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C41BDD" w:rsidP="00D54D50">
      <w:pPr>
        <w:pStyle w:val="Title"/>
      </w:pPr>
      <w:r w:rsidRPr="00EB74DD">
        <w:t>M</w:t>
      </w:r>
      <w:r>
        <w:t>anaging</w:t>
      </w:r>
      <w:r w:rsidRPr="00EB74DD">
        <w:t xml:space="preserve"> C</w:t>
      </w:r>
      <w:r>
        <w:t>hronic</w:t>
      </w:r>
      <w:r w:rsidRPr="00EB74DD">
        <w:t xml:space="preserve"> K</w:t>
      </w:r>
      <w:r>
        <w:t>idney</w:t>
      </w:r>
      <w:r w:rsidRPr="00EB74DD">
        <w:t xml:space="preserve"> D</w:t>
      </w:r>
      <w:r>
        <w:t>isease in Primary Care</w:t>
      </w:r>
    </w:p>
    <w:p w:rsidR="00343365" w:rsidRDefault="00EE7DBB" w:rsidP="00343365">
      <w:pPr>
        <w:pStyle w:val="Year"/>
      </w:pPr>
      <w:r w:rsidRPr="00EE7DBB">
        <w:t xml:space="preserve">National Consensus Statement </w:t>
      </w:r>
    </w:p>
    <w:p w:rsidR="00C86248" w:rsidRDefault="00EE7DBB" w:rsidP="00343365">
      <w:pPr>
        <w:pStyle w:val="Subhead"/>
      </w:pPr>
      <w:r>
        <w:t>2015</w:t>
      </w:r>
      <w:r w:rsidR="00C41BDD" w:rsidRPr="00EB74DD">
        <w:t xml:space="preserve"> </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F74342" w:rsidRDefault="00A80363">
      <w:pPr>
        <w:pStyle w:val="Imprint"/>
      </w:pPr>
      <w:r>
        <w:lastRenderedPageBreak/>
        <w:t xml:space="preserve">Citation: </w:t>
      </w:r>
      <w:r w:rsidR="00F74342">
        <w:t>Ministry of Health. 201</w:t>
      </w:r>
      <w:r w:rsidR="00EE7DBB">
        <w:t>5</w:t>
      </w:r>
      <w:r w:rsidR="00F74342">
        <w:t xml:space="preserve">. </w:t>
      </w:r>
      <w:r w:rsidR="00F74342">
        <w:rPr>
          <w:i/>
        </w:rPr>
        <w:t xml:space="preserve">Managing Chronic Kidney Disease in Primary </w:t>
      </w:r>
      <w:bookmarkStart w:id="0" w:name="_GoBack"/>
      <w:bookmarkEnd w:id="0"/>
      <w:r w:rsidR="00F74342">
        <w:rPr>
          <w:i/>
        </w:rPr>
        <w:t>Care:</w:t>
      </w:r>
      <w:r w:rsidR="00317B00">
        <w:rPr>
          <w:i/>
        </w:rPr>
        <w:t> </w:t>
      </w:r>
      <w:r w:rsidR="00F74342" w:rsidRPr="00F74342">
        <w:rPr>
          <w:i/>
        </w:rPr>
        <w:t>National Consensus Statement</w:t>
      </w:r>
      <w:r w:rsidR="00F74342">
        <w:t>. Wellington: Ministry of Health.</w:t>
      </w:r>
    </w:p>
    <w:p w:rsidR="00C86248" w:rsidRDefault="00C86248">
      <w:pPr>
        <w:pStyle w:val="Imprint"/>
      </w:pPr>
      <w:r>
        <w:t xml:space="preserve">Published in </w:t>
      </w:r>
      <w:r w:rsidR="00583F50">
        <w:t>March</w:t>
      </w:r>
      <w:r w:rsidR="00EE7DBB">
        <w:t xml:space="preserve"> 2015</w:t>
      </w:r>
      <w:r w:rsidR="005019AE">
        <w:br/>
      </w:r>
      <w:r>
        <w:t>by the</w:t>
      </w:r>
      <w:r w:rsidR="005019AE">
        <w:br/>
      </w:r>
      <w:r>
        <w:t>Ministry of Health</w:t>
      </w:r>
      <w:r>
        <w:br/>
        <w:t>PO Box 5013, Wellington</w:t>
      </w:r>
      <w:r w:rsidR="00A80363">
        <w:t xml:space="preserve"> 6145</w:t>
      </w:r>
      <w:r>
        <w:t>, New Zealand</w:t>
      </w:r>
    </w:p>
    <w:p w:rsidR="00082CD6" w:rsidRPr="009C0F2D" w:rsidRDefault="00082CD6" w:rsidP="00082CD6">
      <w:pPr>
        <w:pStyle w:val="Imprint"/>
      </w:pPr>
      <w:r>
        <w:t>ISBN</w:t>
      </w:r>
      <w:r w:rsidR="00636D7D">
        <w:t xml:space="preserve"> </w:t>
      </w:r>
      <w:r w:rsidR="00B95ED8">
        <w:t xml:space="preserve">978-0-478-44476-6 </w:t>
      </w:r>
      <w:r>
        <w:t>(online)</w:t>
      </w:r>
      <w:r w:rsidRPr="009C0F2D">
        <w:br/>
        <w:t xml:space="preserve">HP </w:t>
      </w:r>
      <w:r w:rsidR="00B95ED8">
        <w:t>6109</w:t>
      </w:r>
    </w:p>
    <w:p w:rsidR="00C86248" w:rsidRDefault="00C86248">
      <w:pPr>
        <w:pStyle w:val="Imprint"/>
      </w:pPr>
      <w:r>
        <w:t xml:space="preserve">This document is available </w:t>
      </w:r>
      <w:r w:rsidR="0071741C">
        <w:t>at w</w:t>
      </w:r>
      <w:r>
        <w:t>ww.h</w:t>
      </w:r>
      <w:r w:rsidR="00A80363">
        <w:t>ealth</w:t>
      </w:r>
      <w:r>
        <w:t>.govt.nz</w:t>
      </w:r>
    </w:p>
    <w:p w:rsidR="00C86248" w:rsidRPr="00B701D1" w:rsidRDefault="00C41BDD">
      <w:pPr>
        <w:jc w:val="center"/>
      </w:pPr>
      <w:r>
        <w:rPr>
          <w:noProof/>
          <w:lang w:eastAsia="en-NZ"/>
        </w:rPr>
        <w:drawing>
          <wp:inline distT="0" distB="0" distL="0" distR="0" wp14:anchorId="0F6BF5F6" wp14:editId="3BC7A8D9">
            <wp:extent cx="1666875" cy="685800"/>
            <wp:effectExtent l="0" t="0" r="9525" b="0"/>
            <wp:docPr id="1" name="Picture 1" descr="Ministry of Health logo" title="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66875" cy="685800"/>
                    </a:xfrm>
                    <a:prstGeom prst="rect">
                      <a:avLst/>
                    </a:prstGeom>
                    <a:noFill/>
                    <a:ln>
                      <a:noFill/>
                    </a:ln>
                  </pic:spPr>
                </pic:pic>
              </a:graphicData>
            </a:graphic>
          </wp:inline>
        </w:drawing>
      </w:r>
    </w:p>
    <w:p w:rsidR="0064261C" w:rsidRPr="00D535D0" w:rsidRDefault="0064261C" w:rsidP="0064261C">
      <w:pPr>
        <w:pStyle w:val="Heading3"/>
        <w:shd w:val="clear" w:color="auto" w:fill="FFFFFF"/>
        <w:ind w:right="-851"/>
        <w:rPr>
          <w:b w:val="0"/>
          <w:sz w:val="22"/>
          <w:szCs w:val="22"/>
        </w:rPr>
      </w:pPr>
      <w:r>
        <w:rPr>
          <w:rStyle w:val="A4"/>
          <w:rFonts w:eastAsia="Calibri"/>
          <w:b w:val="0"/>
          <w:noProof/>
          <w:sz w:val="22"/>
          <w:szCs w:val="22"/>
          <w:lang w:eastAsia="en-NZ"/>
        </w:rPr>
        <w:drawing>
          <wp:inline distT="0" distB="0" distL="0" distR="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pPr>
        <w:pStyle w:val="IntroHead"/>
      </w:pPr>
      <w:bookmarkStart w:id="1" w:name="_Toc405792991"/>
      <w:bookmarkStart w:id="2" w:name="_Toc405793224"/>
      <w:r>
        <w:lastRenderedPageBreak/>
        <w:t>Contents</w:t>
      </w:r>
      <w:bookmarkEnd w:id="1"/>
      <w:bookmarkEnd w:id="2"/>
    </w:p>
    <w:p w:rsidR="00243192"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243192">
        <w:rPr>
          <w:noProof/>
        </w:rPr>
        <w:t>Executive summary</w:t>
      </w:r>
      <w:r w:rsidR="00243192">
        <w:rPr>
          <w:noProof/>
        </w:rPr>
        <w:tab/>
      </w:r>
      <w:r w:rsidR="00243192">
        <w:rPr>
          <w:noProof/>
        </w:rPr>
        <w:fldChar w:fldCharType="begin"/>
      </w:r>
      <w:r w:rsidR="00243192">
        <w:rPr>
          <w:noProof/>
        </w:rPr>
        <w:instrText xml:space="preserve"> PAGEREF _Toc405492460 \h </w:instrText>
      </w:r>
      <w:r w:rsidR="00243192">
        <w:rPr>
          <w:noProof/>
        </w:rPr>
      </w:r>
      <w:r w:rsidR="00243192">
        <w:rPr>
          <w:noProof/>
        </w:rPr>
        <w:fldChar w:fldCharType="separate"/>
      </w:r>
      <w:r w:rsidR="00282FC9">
        <w:rPr>
          <w:noProof/>
        </w:rPr>
        <w:t>iv</w:t>
      </w:r>
      <w:r w:rsidR="00243192">
        <w:rPr>
          <w:noProof/>
        </w:rPr>
        <w:fldChar w:fldCharType="end"/>
      </w:r>
    </w:p>
    <w:p w:rsidR="00243192" w:rsidRDefault="00243192">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_Toc405492461 \h </w:instrText>
      </w:r>
      <w:r>
        <w:rPr>
          <w:noProof/>
        </w:rPr>
      </w:r>
      <w:r>
        <w:rPr>
          <w:noProof/>
        </w:rPr>
        <w:fldChar w:fldCharType="separate"/>
      </w:r>
      <w:r w:rsidR="00282FC9">
        <w:rPr>
          <w:noProof/>
        </w:rPr>
        <w:t>1</w:t>
      </w:r>
      <w:r>
        <w:rPr>
          <w:noProof/>
        </w:rPr>
        <w:fldChar w:fldCharType="end"/>
      </w:r>
    </w:p>
    <w:p w:rsidR="00243192" w:rsidRDefault="00243192">
      <w:pPr>
        <w:pStyle w:val="TOC1"/>
        <w:rPr>
          <w:rFonts w:asciiTheme="minorHAnsi" w:eastAsiaTheme="minorEastAsia" w:hAnsiTheme="minorHAnsi" w:cstheme="minorBidi"/>
          <w:b w:val="0"/>
          <w:noProof/>
          <w:szCs w:val="22"/>
          <w:lang w:eastAsia="en-NZ"/>
        </w:rPr>
      </w:pPr>
      <w:r>
        <w:rPr>
          <w:noProof/>
        </w:rPr>
        <w:t>The classification of CKD</w:t>
      </w:r>
      <w:r>
        <w:rPr>
          <w:noProof/>
        </w:rPr>
        <w:tab/>
      </w:r>
      <w:r>
        <w:rPr>
          <w:noProof/>
        </w:rPr>
        <w:fldChar w:fldCharType="begin"/>
      </w:r>
      <w:r>
        <w:rPr>
          <w:noProof/>
        </w:rPr>
        <w:instrText xml:space="preserve"> PAGEREF _Toc405492462 \h </w:instrText>
      </w:r>
      <w:r>
        <w:rPr>
          <w:noProof/>
        </w:rPr>
      </w:r>
      <w:r>
        <w:rPr>
          <w:noProof/>
        </w:rPr>
        <w:fldChar w:fldCharType="separate"/>
      </w:r>
      <w:r w:rsidR="00282FC9">
        <w:rPr>
          <w:noProof/>
        </w:rPr>
        <w:t>2</w:t>
      </w:r>
      <w:r>
        <w:rPr>
          <w:noProof/>
        </w:rPr>
        <w:fldChar w:fldCharType="end"/>
      </w:r>
    </w:p>
    <w:p w:rsidR="00243192" w:rsidRDefault="00243192">
      <w:pPr>
        <w:pStyle w:val="TOC1"/>
        <w:rPr>
          <w:rFonts w:asciiTheme="minorHAnsi" w:eastAsiaTheme="minorEastAsia" w:hAnsiTheme="minorHAnsi" w:cstheme="minorBidi"/>
          <w:b w:val="0"/>
          <w:noProof/>
          <w:szCs w:val="22"/>
          <w:lang w:eastAsia="en-NZ"/>
        </w:rPr>
      </w:pPr>
      <w:r>
        <w:rPr>
          <w:noProof/>
        </w:rPr>
        <w:t>Risks of CKD</w:t>
      </w:r>
      <w:r>
        <w:rPr>
          <w:noProof/>
        </w:rPr>
        <w:tab/>
      </w:r>
      <w:r>
        <w:rPr>
          <w:noProof/>
        </w:rPr>
        <w:fldChar w:fldCharType="begin"/>
      </w:r>
      <w:r>
        <w:rPr>
          <w:noProof/>
        </w:rPr>
        <w:instrText xml:space="preserve"> PAGEREF _Toc405492463 \h </w:instrText>
      </w:r>
      <w:r>
        <w:rPr>
          <w:noProof/>
        </w:rPr>
      </w:r>
      <w:r>
        <w:rPr>
          <w:noProof/>
        </w:rPr>
        <w:fldChar w:fldCharType="separate"/>
      </w:r>
      <w:r w:rsidR="00282FC9">
        <w:rPr>
          <w:noProof/>
        </w:rPr>
        <w:t>3</w:t>
      </w:r>
      <w:r>
        <w:rPr>
          <w:noProof/>
        </w:rPr>
        <w:fldChar w:fldCharType="end"/>
      </w:r>
    </w:p>
    <w:p w:rsidR="00243192" w:rsidRDefault="00243192">
      <w:pPr>
        <w:pStyle w:val="TOC1"/>
        <w:rPr>
          <w:rFonts w:asciiTheme="minorHAnsi" w:eastAsiaTheme="minorEastAsia" w:hAnsiTheme="minorHAnsi" w:cstheme="minorBidi"/>
          <w:b w:val="0"/>
          <w:noProof/>
          <w:szCs w:val="22"/>
          <w:lang w:eastAsia="en-NZ"/>
        </w:rPr>
      </w:pPr>
      <w:r>
        <w:rPr>
          <w:noProof/>
        </w:rPr>
        <w:t>Numbers of people with CKD</w:t>
      </w:r>
      <w:r>
        <w:rPr>
          <w:noProof/>
        </w:rPr>
        <w:tab/>
      </w:r>
      <w:r>
        <w:rPr>
          <w:noProof/>
        </w:rPr>
        <w:fldChar w:fldCharType="begin"/>
      </w:r>
      <w:r>
        <w:rPr>
          <w:noProof/>
        </w:rPr>
        <w:instrText xml:space="preserve"> PAGEREF _Toc405492464 \h </w:instrText>
      </w:r>
      <w:r>
        <w:rPr>
          <w:noProof/>
        </w:rPr>
      </w:r>
      <w:r>
        <w:rPr>
          <w:noProof/>
        </w:rPr>
        <w:fldChar w:fldCharType="separate"/>
      </w:r>
      <w:r w:rsidR="00282FC9">
        <w:rPr>
          <w:noProof/>
        </w:rPr>
        <w:t>3</w:t>
      </w:r>
      <w:r>
        <w:rPr>
          <w:noProof/>
        </w:rPr>
        <w:fldChar w:fldCharType="end"/>
      </w:r>
    </w:p>
    <w:p w:rsidR="00243192" w:rsidRDefault="00243192">
      <w:pPr>
        <w:pStyle w:val="TOC1"/>
        <w:rPr>
          <w:rFonts w:asciiTheme="minorHAnsi" w:eastAsiaTheme="minorEastAsia" w:hAnsiTheme="minorHAnsi" w:cstheme="minorBidi"/>
          <w:b w:val="0"/>
          <w:noProof/>
          <w:szCs w:val="22"/>
          <w:lang w:eastAsia="en-NZ"/>
        </w:rPr>
      </w:pPr>
      <w:r>
        <w:rPr>
          <w:noProof/>
        </w:rPr>
        <w:t>High-risk ethnic groups</w:t>
      </w:r>
      <w:r>
        <w:rPr>
          <w:noProof/>
        </w:rPr>
        <w:tab/>
      </w:r>
      <w:r>
        <w:rPr>
          <w:noProof/>
        </w:rPr>
        <w:fldChar w:fldCharType="begin"/>
      </w:r>
      <w:r>
        <w:rPr>
          <w:noProof/>
        </w:rPr>
        <w:instrText xml:space="preserve"> PAGEREF _Toc405492465 \h </w:instrText>
      </w:r>
      <w:r>
        <w:rPr>
          <w:noProof/>
        </w:rPr>
      </w:r>
      <w:r>
        <w:rPr>
          <w:noProof/>
        </w:rPr>
        <w:fldChar w:fldCharType="separate"/>
      </w:r>
      <w:r w:rsidR="00282FC9">
        <w:rPr>
          <w:noProof/>
        </w:rPr>
        <w:t>4</w:t>
      </w:r>
      <w:r>
        <w:rPr>
          <w:noProof/>
        </w:rPr>
        <w:fldChar w:fldCharType="end"/>
      </w:r>
    </w:p>
    <w:p w:rsidR="00243192" w:rsidRDefault="00243192">
      <w:pPr>
        <w:pStyle w:val="TOC1"/>
        <w:rPr>
          <w:rFonts w:asciiTheme="minorHAnsi" w:eastAsiaTheme="minorEastAsia" w:hAnsiTheme="minorHAnsi" w:cstheme="minorBidi"/>
          <w:b w:val="0"/>
          <w:noProof/>
          <w:szCs w:val="22"/>
          <w:lang w:eastAsia="en-NZ"/>
        </w:rPr>
      </w:pPr>
      <w:r>
        <w:rPr>
          <w:noProof/>
        </w:rPr>
        <w:t>Detection in primary care</w:t>
      </w:r>
      <w:r>
        <w:rPr>
          <w:noProof/>
        </w:rPr>
        <w:tab/>
      </w:r>
      <w:r>
        <w:rPr>
          <w:noProof/>
        </w:rPr>
        <w:fldChar w:fldCharType="begin"/>
      </w:r>
      <w:r>
        <w:rPr>
          <w:noProof/>
        </w:rPr>
        <w:instrText xml:space="preserve"> PAGEREF _Toc405492466 \h </w:instrText>
      </w:r>
      <w:r>
        <w:rPr>
          <w:noProof/>
        </w:rPr>
      </w:r>
      <w:r>
        <w:rPr>
          <w:noProof/>
        </w:rPr>
        <w:fldChar w:fldCharType="separate"/>
      </w:r>
      <w:r w:rsidR="00282FC9">
        <w:rPr>
          <w:noProof/>
        </w:rPr>
        <w:t>4</w:t>
      </w:r>
      <w:r>
        <w:rPr>
          <w:noProof/>
        </w:rPr>
        <w:fldChar w:fldCharType="end"/>
      </w:r>
    </w:p>
    <w:p w:rsidR="00243192" w:rsidRDefault="00243192">
      <w:pPr>
        <w:pStyle w:val="TOC2"/>
        <w:rPr>
          <w:rFonts w:asciiTheme="minorHAnsi" w:eastAsiaTheme="minorEastAsia" w:hAnsiTheme="minorHAnsi" w:cstheme="minorBidi"/>
          <w:noProof/>
          <w:szCs w:val="22"/>
          <w:lang w:eastAsia="en-NZ"/>
        </w:rPr>
      </w:pPr>
      <w:r>
        <w:rPr>
          <w:noProof/>
        </w:rPr>
        <w:t>Risk factors for CKD</w:t>
      </w:r>
      <w:r>
        <w:rPr>
          <w:noProof/>
        </w:rPr>
        <w:tab/>
      </w:r>
      <w:r>
        <w:rPr>
          <w:noProof/>
        </w:rPr>
        <w:fldChar w:fldCharType="begin"/>
      </w:r>
      <w:r>
        <w:rPr>
          <w:noProof/>
        </w:rPr>
        <w:instrText xml:space="preserve"> PAGEREF _Toc405492467 \h </w:instrText>
      </w:r>
      <w:r>
        <w:rPr>
          <w:noProof/>
        </w:rPr>
      </w:r>
      <w:r>
        <w:rPr>
          <w:noProof/>
        </w:rPr>
        <w:fldChar w:fldCharType="separate"/>
      </w:r>
      <w:r w:rsidR="00282FC9">
        <w:rPr>
          <w:noProof/>
        </w:rPr>
        <w:t>4</w:t>
      </w:r>
      <w:r>
        <w:rPr>
          <w:noProof/>
        </w:rPr>
        <w:fldChar w:fldCharType="end"/>
      </w:r>
    </w:p>
    <w:p w:rsidR="00243192" w:rsidRDefault="00243192">
      <w:pPr>
        <w:pStyle w:val="TOC1"/>
        <w:rPr>
          <w:rFonts w:asciiTheme="minorHAnsi" w:eastAsiaTheme="minorEastAsia" w:hAnsiTheme="minorHAnsi" w:cstheme="minorBidi"/>
          <w:b w:val="0"/>
          <w:noProof/>
          <w:szCs w:val="22"/>
          <w:lang w:eastAsia="en-NZ"/>
        </w:rPr>
      </w:pPr>
      <w:r>
        <w:rPr>
          <w:noProof/>
        </w:rPr>
        <w:t>Management in primary care</w:t>
      </w:r>
      <w:r>
        <w:rPr>
          <w:noProof/>
        </w:rPr>
        <w:tab/>
      </w:r>
      <w:r>
        <w:rPr>
          <w:noProof/>
        </w:rPr>
        <w:fldChar w:fldCharType="begin"/>
      </w:r>
      <w:r>
        <w:rPr>
          <w:noProof/>
        </w:rPr>
        <w:instrText xml:space="preserve"> PAGEREF _Toc405492468 \h </w:instrText>
      </w:r>
      <w:r>
        <w:rPr>
          <w:noProof/>
        </w:rPr>
      </w:r>
      <w:r>
        <w:rPr>
          <w:noProof/>
        </w:rPr>
        <w:fldChar w:fldCharType="separate"/>
      </w:r>
      <w:r w:rsidR="00282FC9">
        <w:rPr>
          <w:noProof/>
        </w:rPr>
        <w:t>5</w:t>
      </w:r>
      <w:r>
        <w:rPr>
          <w:noProof/>
        </w:rPr>
        <w:fldChar w:fldCharType="end"/>
      </w:r>
    </w:p>
    <w:p w:rsidR="00243192" w:rsidRDefault="00243192">
      <w:pPr>
        <w:pStyle w:val="TOC2"/>
        <w:rPr>
          <w:rFonts w:asciiTheme="minorHAnsi" w:eastAsiaTheme="minorEastAsia" w:hAnsiTheme="minorHAnsi" w:cstheme="minorBidi"/>
          <w:noProof/>
          <w:szCs w:val="22"/>
          <w:lang w:eastAsia="en-NZ"/>
        </w:rPr>
      </w:pPr>
      <w:r>
        <w:rPr>
          <w:noProof/>
        </w:rPr>
        <w:t>Goals for best practice in managing CKD</w:t>
      </w:r>
      <w:r>
        <w:rPr>
          <w:noProof/>
        </w:rPr>
        <w:tab/>
      </w:r>
      <w:r>
        <w:rPr>
          <w:noProof/>
        </w:rPr>
        <w:fldChar w:fldCharType="begin"/>
      </w:r>
      <w:r>
        <w:rPr>
          <w:noProof/>
        </w:rPr>
        <w:instrText xml:space="preserve"> PAGEREF _Toc405492469 \h </w:instrText>
      </w:r>
      <w:r>
        <w:rPr>
          <w:noProof/>
        </w:rPr>
      </w:r>
      <w:r>
        <w:rPr>
          <w:noProof/>
        </w:rPr>
        <w:fldChar w:fldCharType="separate"/>
      </w:r>
      <w:r w:rsidR="00282FC9">
        <w:rPr>
          <w:noProof/>
        </w:rPr>
        <w:t>5</w:t>
      </w:r>
      <w:r>
        <w:rPr>
          <w:noProof/>
        </w:rPr>
        <w:fldChar w:fldCharType="end"/>
      </w:r>
    </w:p>
    <w:p w:rsidR="00243192" w:rsidRDefault="00243192">
      <w:pPr>
        <w:pStyle w:val="TOC2"/>
        <w:rPr>
          <w:rFonts w:asciiTheme="minorHAnsi" w:eastAsiaTheme="minorEastAsia" w:hAnsiTheme="minorHAnsi" w:cstheme="minorBidi"/>
          <w:noProof/>
          <w:szCs w:val="22"/>
          <w:lang w:eastAsia="en-NZ"/>
        </w:rPr>
      </w:pPr>
      <w:r>
        <w:rPr>
          <w:noProof/>
        </w:rPr>
        <w:t>The role of primary care</w:t>
      </w:r>
      <w:r>
        <w:rPr>
          <w:noProof/>
        </w:rPr>
        <w:tab/>
      </w:r>
      <w:r>
        <w:rPr>
          <w:noProof/>
        </w:rPr>
        <w:fldChar w:fldCharType="begin"/>
      </w:r>
      <w:r>
        <w:rPr>
          <w:noProof/>
        </w:rPr>
        <w:instrText xml:space="preserve"> PAGEREF _Toc405492470 \h </w:instrText>
      </w:r>
      <w:r>
        <w:rPr>
          <w:noProof/>
        </w:rPr>
      </w:r>
      <w:r>
        <w:rPr>
          <w:noProof/>
        </w:rPr>
        <w:fldChar w:fldCharType="separate"/>
      </w:r>
      <w:r w:rsidR="00282FC9">
        <w:rPr>
          <w:noProof/>
        </w:rPr>
        <w:t>5</w:t>
      </w:r>
      <w:r>
        <w:rPr>
          <w:noProof/>
        </w:rPr>
        <w:fldChar w:fldCharType="end"/>
      </w:r>
    </w:p>
    <w:p w:rsidR="00243192" w:rsidRDefault="00243192">
      <w:pPr>
        <w:pStyle w:val="TOC2"/>
        <w:rPr>
          <w:rFonts w:asciiTheme="minorHAnsi" w:eastAsiaTheme="minorEastAsia" w:hAnsiTheme="minorHAnsi" w:cstheme="minorBidi"/>
          <w:noProof/>
          <w:szCs w:val="22"/>
          <w:lang w:eastAsia="en-NZ"/>
        </w:rPr>
      </w:pPr>
      <w:r>
        <w:rPr>
          <w:noProof/>
        </w:rPr>
        <w:t>Recommended management practice</w:t>
      </w:r>
      <w:r>
        <w:rPr>
          <w:noProof/>
        </w:rPr>
        <w:tab/>
      </w:r>
      <w:r>
        <w:rPr>
          <w:noProof/>
        </w:rPr>
        <w:fldChar w:fldCharType="begin"/>
      </w:r>
      <w:r>
        <w:rPr>
          <w:noProof/>
        </w:rPr>
        <w:instrText xml:space="preserve"> PAGEREF _Toc405492471 \h </w:instrText>
      </w:r>
      <w:r>
        <w:rPr>
          <w:noProof/>
        </w:rPr>
      </w:r>
      <w:r>
        <w:rPr>
          <w:noProof/>
        </w:rPr>
        <w:fldChar w:fldCharType="separate"/>
      </w:r>
      <w:r w:rsidR="00282FC9">
        <w:rPr>
          <w:noProof/>
        </w:rPr>
        <w:t>6</w:t>
      </w:r>
      <w:r>
        <w:rPr>
          <w:noProof/>
        </w:rPr>
        <w:fldChar w:fldCharType="end"/>
      </w:r>
    </w:p>
    <w:p w:rsidR="00243192" w:rsidRDefault="00243192">
      <w:pPr>
        <w:pStyle w:val="TOC2"/>
        <w:rPr>
          <w:rFonts w:asciiTheme="minorHAnsi" w:eastAsiaTheme="minorEastAsia" w:hAnsiTheme="minorHAnsi" w:cstheme="minorBidi"/>
          <w:noProof/>
          <w:szCs w:val="22"/>
          <w:lang w:eastAsia="en-NZ"/>
        </w:rPr>
      </w:pPr>
      <w:r>
        <w:rPr>
          <w:noProof/>
        </w:rPr>
        <w:t>Referral to specialist services</w:t>
      </w:r>
      <w:r>
        <w:rPr>
          <w:noProof/>
        </w:rPr>
        <w:tab/>
      </w:r>
      <w:r>
        <w:rPr>
          <w:noProof/>
        </w:rPr>
        <w:fldChar w:fldCharType="begin"/>
      </w:r>
      <w:r>
        <w:rPr>
          <w:noProof/>
        </w:rPr>
        <w:instrText xml:space="preserve"> PAGEREF _Toc405492472 \h </w:instrText>
      </w:r>
      <w:r>
        <w:rPr>
          <w:noProof/>
        </w:rPr>
      </w:r>
      <w:r>
        <w:rPr>
          <w:noProof/>
        </w:rPr>
        <w:fldChar w:fldCharType="separate"/>
      </w:r>
      <w:r w:rsidR="00282FC9">
        <w:rPr>
          <w:noProof/>
        </w:rPr>
        <w:t>6</w:t>
      </w:r>
      <w:r>
        <w:rPr>
          <w:noProof/>
        </w:rPr>
        <w:fldChar w:fldCharType="end"/>
      </w:r>
    </w:p>
    <w:p w:rsidR="00243192" w:rsidRDefault="00243192">
      <w:pPr>
        <w:pStyle w:val="TOC1"/>
        <w:rPr>
          <w:rFonts w:asciiTheme="minorHAnsi" w:eastAsiaTheme="minorEastAsia" w:hAnsiTheme="minorHAnsi" w:cstheme="minorBidi"/>
          <w:b w:val="0"/>
          <w:noProof/>
          <w:szCs w:val="22"/>
          <w:lang w:eastAsia="en-NZ"/>
        </w:rPr>
      </w:pPr>
      <w:r>
        <w:rPr>
          <w:noProof/>
        </w:rPr>
        <w:t>Examples of implementing best practice in CKD management in primary care</w:t>
      </w:r>
      <w:r>
        <w:rPr>
          <w:noProof/>
        </w:rPr>
        <w:tab/>
      </w:r>
      <w:r>
        <w:rPr>
          <w:noProof/>
        </w:rPr>
        <w:fldChar w:fldCharType="begin"/>
      </w:r>
      <w:r>
        <w:rPr>
          <w:noProof/>
        </w:rPr>
        <w:instrText xml:space="preserve"> PAGEREF _Toc405492473 \h </w:instrText>
      </w:r>
      <w:r>
        <w:rPr>
          <w:noProof/>
        </w:rPr>
      </w:r>
      <w:r>
        <w:rPr>
          <w:noProof/>
        </w:rPr>
        <w:fldChar w:fldCharType="separate"/>
      </w:r>
      <w:r w:rsidR="00282FC9">
        <w:rPr>
          <w:noProof/>
        </w:rPr>
        <w:t>7</w:t>
      </w:r>
      <w:r>
        <w:rPr>
          <w:noProof/>
        </w:rPr>
        <w:fldChar w:fldCharType="end"/>
      </w:r>
    </w:p>
    <w:p w:rsidR="00243192" w:rsidRDefault="00243192">
      <w:pPr>
        <w:pStyle w:val="TOC1"/>
        <w:rPr>
          <w:rFonts w:asciiTheme="minorHAnsi" w:eastAsiaTheme="minorEastAsia" w:hAnsiTheme="minorHAnsi" w:cstheme="minorBidi"/>
          <w:b w:val="0"/>
          <w:noProof/>
          <w:szCs w:val="22"/>
          <w:lang w:eastAsia="en-NZ"/>
        </w:rPr>
      </w:pPr>
      <w:r>
        <w:rPr>
          <w:noProof/>
        </w:rPr>
        <w:t>Key enablers in CKD management</w:t>
      </w:r>
      <w:r>
        <w:rPr>
          <w:noProof/>
        </w:rPr>
        <w:tab/>
      </w:r>
      <w:r>
        <w:rPr>
          <w:noProof/>
        </w:rPr>
        <w:fldChar w:fldCharType="begin"/>
      </w:r>
      <w:r>
        <w:rPr>
          <w:noProof/>
        </w:rPr>
        <w:instrText xml:space="preserve"> PAGEREF _Toc405492474 \h </w:instrText>
      </w:r>
      <w:r>
        <w:rPr>
          <w:noProof/>
        </w:rPr>
      </w:r>
      <w:r>
        <w:rPr>
          <w:noProof/>
        </w:rPr>
        <w:fldChar w:fldCharType="separate"/>
      </w:r>
      <w:r w:rsidR="00282FC9">
        <w:rPr>
          <w:noProof/>
        </w:rPr>
        <w:t>7</w:t>
      </w:r>
      <w:r>
        <w:rPr>
          <w:noProof/>
        </w:rPr>
        <w:fldChar w:fldCharType="end"/>
      </w:r>
    </w:p>
    <w:p w:rsidR="00243192" w:rsidRDefault="00243192">
      <w:pPr>
        <w:pStyle w:val="TOC1"/>
        <w:rPr>
          <w:rFonts w:asciiTheme="minorHAnsi" w:eastAsiaTheme="minorEastAsia" w:hAnsiTheme="minorHAnsi" w:cstheme="minorBidi"/>
          <w:b w:val="0"/>
          <w:noProof/>
          <w:szCs w:val="22"/>
          <w:lang w:eastAsia="en-NZ"/>
        </w:rPr>
      </w:pPr>
      <w:r>
        <w:rPr>
          <w:noProof/>
        </w:rPr>
        <w:t>Key stakeholder groups in CKD management</w:t>
      </w:r>
      <w:r>
        <w:rPr>
          <w:noProof/>
        </w:rPr>
        <w:tab/>
      </w:r>
      <w:r>
        <w:rPr>
          <w:noProof/>
        </w:rPr>
        <w:fldChar w:fldCharType="begin"/>
      </w:r>
      <w:r>
        <w:rPr>
          <w:noProof/>
        </w:rPr>
        <w:instrText xml:space="preserve"> PAGEREF _Toc405492475 \h </w:instrText>
      </w:r>
      <w:r>
        <w:rPr>
          <w:noProof/>
        </w:rPr>
      </w:r>
      <w:r>
        <w:rPr>
          <w:noProof/>
        </w:rPr>
        <w:fldChar w:fldCharType="separate"/>
      </w:r>
      <w:r w:rsidR="00282FC9">
        <w:rPr>
          <w:noProof/>
        </w:rPr>
        <w:t>8</w:t>
      </w:r>
      <w:r>
        <w:rPr>
          <w:noProof/>
        </w:rPr>
        <w:fldChar w:fldCharType="end"/>
      </w:r>
    </w:p>
    <w:p w:rsidR="00243192" w:rsidRDefault="00243192">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_Toc405492476 \h </w:instrText>
      </w:r>
      <w:r>
        <w:rPr>
          <w:noProof/>
        </w:rPr>
      </w:r>
      <w:r>
        <w:rPr>
          <w:noProof/>
        </w:rPr>
        <w:fldChar w:fldCharType="separate"/>
      </w:r>
      <w:r w:rsidR="00282FC9">
        <w:rPr>
          <w:noProof/>
        </w:rPr>
        <w:t>9</w:t>
      </w:r>
      <w:r>
        <w:rPr>
          <w:noProof/>
        </w:rPr>
        <w:fldChar w:fldCharType="end"/>
      </w:r>
    </w:p>
    <w:p w:rsidR="00243192" w:rsidRDefault="00243192">
      <w:pPr>
        <w:pStyle w:val="TOC1"/>
        <w:rPr>
          <w:rFonts w:asciiTheme="minorHAnsi" w:eastAsiaTheme="minorEastAsia" w:hAnsiTheme="minorHAnsi" w:cstheme="minorBidi"/>
          <w:b w:val="0"/>
          <w:noProof/>
          <w:szCs w:val="22"/>
          <w:lang w:eastAsia="en-NZ"/>
        </w:rPr>
      </w:pPr>
      <w:r>
        <w:rPr>
          <w:noProof/>
        </w:rPr>
        <w:t>Appendix 1: Using software for CKD management in primary care</w:t>
      </w:r>
      <w:r>
        <w:rPr>
          <w:noProof/>
        </w:rPr>
        <w:tab/>
      </w:r>
      <w:r>
        <w:rPr>
          <w:noProof/>
        </w:rPr>
        <w:fldChar w:fldCharType="begin"/>
      </w:r>
      <w:r>
        <w:rPr>
          <w:noProof/>
        </w:rPr>
        <w:instrText xml:space="preserve"> PAGEREF _Toc405492477 \h </w:instrText>
      </w:r>
      <w:r>
        <w:rPr>
          <w:noProof/>
        </w:rPr>
      </w:r>
      <w:r>
        <w:rPr>
          <w:noProof/>
        </w:rPr>
        <w:fldChar w:fldCharType="separate"/>
      </w:r>
      <w:r w:rsidR="00282FC9">
        <w:rPr>
          <w:noProof/>
        </w:rPr>
        <w:t>10</w:t>
      </w:r>
      <w:r>
        <w:rPr>
          <w:noProof/>
        </w:rPr>
        <w:fldChar w:fldCharType="end"/>
      </w:r>
    </w:p>
    <w:p w:rsidR="00243192" w:rsidRDefault="00243192">
      <w:pPr>
        <w:pStyle w:val="TOC1"/>
        <w:rPr>
          <w:rFonts w:asciiTheme="minorHAnsi" w:eastAsiaTheme="minorEastAsia" w:hAnsiTheme="minorHAnsi" w:cstheme="minorBidi"/>
          <w:b w:val="0"/>
          <w:noProof/>
          <w:szCs w:val="22"/>
          <w:lang w:eastAsia="en-NZ"/>
        </w:rPr>
      </w:pPr>
      <w:r>
        <w:rPr>
          <w:noProof/>
        </w:rPr>
        <w:t>Appendix 2: Nurse-led clinics to manage high-risk CKD patients</w:t>
      </w:r>
      <w:r>
        <w:rPr>
          <w:noProof/>
        </w:rPr>
        <w:tab/>
      </w:r>
      <w:r>
        <w:rPr>
          <w:noProof/>
        </w:rPr>
        <w:fldChar w:fldCharType="begin"/>
      </w:r>
      <w:r>
        <w:rPr>
          <w:noProof/>
        </w:rPr>
        <w:instrText xml:space="preserve"> PAGEREF _Toc405492478 \h </w:instrText>
      </w:r>
      <w:r>
        <w:rPr>
          <w:noProof/>
        </w:rPr>
      </w:r>
      <w:r>
        <w:rPr>
          <w:noProof/>
        </w:rPr>
        <w:fldChar w:fldCharType="separate"/>
      </w:r>
      <w:r w:rsidR="00282FC9">
        <w:rPr>
          <w:noProof/>
        </w:rPr>
        <w:t>12</w:t>
      </w:r>
      <w:r>
        <w:rPr>
          <w:noProof/>
        </w:rPr>
        <w:fldChar w:fldCharType="end"/>
      </w:r>
    </w:p>
    <w:p w:rsidR="00243192" w:rsidRDefault="00243192">
      <w:pPr>
        <w:pStyle w:val="TOC1"/>
        <w:rPr>
          <w:rFonts w:asciiTheme="minorHAnsi" w:eastAsiaTheme="minorEastAsia" w:hAnsiTheme="minorHAnsi" w:cstheme="minorBidi"/>
          <w:b w:val="0"/>
          <w:noProof/>
          <w:szCs w:val="22"/>
          <w:lang w:eastAsia="en-NZ"/>
        </w:rPr>
      </w:pPr>
      <w:r>
        <w:rPr>
          <w:noProof/>
        </w:rPr>
        <w:t>Contributors</w:t>
      </w:r>
      <w:r>
        <w:rPr>
          <w:noProof/>
        </w:rPr>
        <w:tab/>
      </w:r>
      <w:r>
        <w:rPr>
          <w:noProof/>
        </w:rPr>
        <w:fldChar w:fldCharType="begin"/>
      </w:r>
      <w:r>
        <w:rPr>
          <w:noProof/>
        </w:rPr>
        <w:instrText xml:space="preserve"> PAGEREF _Toc405492479 \h </w:instrText>
      </w:r>
      <w:r>
        <w:rPr>
          <w:noProof/>
        </w:rPr>
      </w:r>
      <w:r>
        <w:rPr>
          <w:noProof/>
        </w:rPr>
        <w:fldChar w:fldCharType="separate"/>
      </w:r>
      <w:r w:rsidR="00282FC9">
        <w:rPr>
          <w:noProof/>
        </w:rPr>
        <w:t>14</w:t>
      </w:r>
      <w:r>
        <w:rPr>
          <w:noProof/>
        </w:rPr>
        <w:fldChar w:fldCharType="end"/>
      </w:r>
    </w:p>
    <w:p w:rsidR="00C86248" w:rsidRDefault="00C86248">
      <w:r>
        <w:rPr>
          <w:b/>
        </w:rPr>
        <w:fldChar w:fldCharType="end"/>
      </w:r>
    </w:p>
    <w:p w:rsidR="00C86248" w:rsidRDefault="00C86248" w:rsidP="003B1D10">
      <w:pPr>
        <w:pStyle w:val="TOC1"/>
        <w:keepNext/>
      </w:pPr>
      <w:r>
        <w:t>List of Tables</w:t>
      </w:r>
    </w:p>
    <w:p w:rsidR="00243192"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243192">
        <w:rPr>
          <w:noProof/>
        </w:rPr>
        <w:t>Table 1:</w:t>
      </w:r>
      <w:r w:rsidR="00243192">
        <w:rPr>
          <w:noProof/>
        </w:rPr>
        <w:tab/>
        <w:t>CKD classification and prognostic risk from the KDIGO CKD Consensus Consortium</w:t>
      </w:r>
      <w:r w:rsidR="00243192">
        <w:rPr>
          <w:noProof/>
        </w:rPr>
        <w:tab/>
      </w:r>
      <w:r w:rsidR="00243192">
        <w:rPr>
          <w:noProof/>
        </w:rPr>
        <w:fldChar w:fldCharType="begin"/>
      </w:r>
      <w:r w:rsidR="00243192">
        <w:rPr>
          <w:noProof/>
        </w:rPr>
        <w:instrText xml:space="preserve"> PAGEREF _Toc405492480 \h </w:instrText>
      </w:r>
      <w:r w:rsidR="00243192">
        <w:rPr>
          <w:noProof/>
        </w:rPr>
      </w:r>
      <w:r w:rsidR="00243192">
        <w:rPr>
          <w:noProof/>
        </w:rPr>
        <w:fldChar w:fldCharType="separate"/>
      </w:r>
      <w:r w:rsidR="00282FC9">
        <w:rPr>
          <w:noProof/>
        </w:rPr>
        <w:t>2</w:t>
      </w:r>
      <w:r w:rsidR="00243192">
        <w:rPr>
          <w:noProof/>
        </w:rPr>
        <w:fldChar w:fldCharType="end"/>
      </w:r>
    </w:p>
    <w:p w:rsidR="00243192" w:rsidRDefault="00243192">
      <w:pPr>
        <w:pStyle w:val="TOC3"/>
        <w:rPr>
          <w:rFonts w:asciiTheme="minorHAnsi" w:eastAsiaTheme="minorEastAsia" w:hAnsiTheme="minorHAnsi" w:cstheme="minorBidi"/>
          <w:noProof/>
          <w:szCs w:val="22"/>
          <w:lang w:eastAsia="en-NZ"/>
        </w:rPr>
      </w:pPr>
      <w:r>
        <w:rPr>
          <w:noProof/>
        </w:rPr>
        <w:t>Table 2</w:t>
      </w:r>
      <w:r>
        <w:rPr>
          <w:noProof/>
        </w:rPr>
        <w:tab/>
        <w:t>Pooled analysis showing relative risk controlled for multiple co-variates from the CKD Consensus Consortium</w:t>
      </w:r>
      <w:r>
        <w:rPr>
          <w:noProof/>
        </w:rPr>
        <w:tab/>
      </w:r>
      <w:r>
        <w:rPr>
          <w:noProof/>
        </w:rPr>
        <w:fldChar w:fldCharType="begin"/>
      </w:r>
      <w:r>
        <w:rPr>
          <w:noProof/>
        </w:rPr>
        <w:instrText xml:space="preserve"> PAGEREF _Toc405492481 \h </w:instrText>
      </w:r>
      <w:r>
        <w:rPr>
          <w:noProof/>
        </w:rPr>
      </w:r>
      <w:r>
        <w:rPr>
          <w:noProof/>
        </w:rPr>
        <w:fldChar w:fldCharType="separate"/>
      </w:r>
      <w:r w:rsidR="00282FC9">
        <w:rPr>
          <w:noProof/>
        </w:rPr>
        <w:t>3</w:t>
      </w:r>
      <w:r>
        <w:rPr>
          <w:noProof/>
        </w:rPr>
        <w:fldChar w:fldCharType="end"/>
      </w:r>
    </w:p>
    <w:p w:rsidR="00C86248" w:rsidRDefault="00C86248" w:rsidP="0030382F">
      <w:r>
        <w:fldChar w:fldCharType="end"/>
      </w:r>
    </w:p>
    <w:p w:rsidR="0021763B" w:rsidRDefault="0021763B" w:rsidP="0021763B">
      <w:pPr>
        <w:pStyle w:val="Heading1"/>
      </w:pPr>
      <w:r>
        <w:br w:type="page"/>
      </w:r>
      <w:bookmarkStart w:id="3" w:name="_Toc405492460"/>
      <w:r>
        <w:lastRenderedPageBreak/>
        <w:t>Executive summary</w:t>
      </w:r>
      <w:bookmarkEnd w:id="3"/>
    </w:p>
    <w:p w:rsidR="00F74342" w:rsidRDefault="00F74342" w:rsidP="00317B00">
      <w:pPr>
        <w:pStyle w:val="Number"/>
      </w:pPr>
      <w:r>
        <w:t xml:space="preserve">The purpose of this National Consensus Statement is to articulate best practice in the identification and management of </w:t>
      </w:r>
      <w:r w:rsidRPr="000043A9">
        <w:t>chronic kidney disease (CKD</w:t>
      </w:r>
      <w:r>
        <w:t>) in primary care. It is intended as a guide for clinicians and managers in both funder and provider organisations.</w:t>
      </w:r>
    </w:p>
    <w:p w:rsidR="00F74342" w:rsidRDefault="00F74342" w:rsidP="00234D5A"/>
    <w:p w:rsidR="00F74342" w:rsidRPr="00DC62D9" w:rsidRDefault="00F74342" w:rsidP="00234D5A">
      <w:pPr>
        <w:pStyle w:val="Heading3"/>
      </w:pPr>
      <w:r>
        <w:t>Detection</w:t>
      </w:r>
    </w:p>
    <w:p w:rsidR="00F74342" w:rsidRDefault="00F74342" w:rsidP="00317B00">
      <w:pPr>
        <w:pStyle w:val="Number"/>
      </w:pPr>
      <w:r>
        <w:t>To detect</w:t>
      </w:r>
      <w:r w:rsidRPr="000043A9">
        <w:t xml:space="preserve"> and manage chronic kidney disease (CKD)</w:t>
      </w:r>
      <w:r>
        <w:t>, it is necessary to have</w:t>
      </w:r>
      <w:r w:rsidRPr="000043A9">
        <w:t xml:space="preserve"> systematic screening in primary care, linked with the current cardiovascular</w:t>
      </w:r>
      <w:r>
        <w:t xml:space="preserve"> (CVD)</w:t>
      </w:r>
      <w:r w:rsidRPr="000043A9">
        <w:t xml:space="preserve"> and diabetes screening programme.</w:t>
      </w:r>
      <w:r>
        <w:t xml:space="preserve"> This screening would involve </w:t>
      </w:r>
      <w:r w:rsidRPr="00D33F74">
        <w:t>adding</w:t>
      </w:r>
      <w:r w:rsidRPr="00D33F74">
        <w:rPr>
          <w:i/>
        </w:rPr>
        <w:t xml:space="preserve"> </w:t>
      </w:r>
      <w:r w:rsidRPr="00214006">
        <w:rPr>
          <w:b/>
        </w:rPr>
        <w:t>serum creatinine</w:t>
      </w:r>
      <w:r w:rsidRPr="00317B00">
        <w:t xml:space="preserve"> </w:t>
      </w:r>
      <w:r w:rsidRPr="00D33F74">
        <w:t>and</w:t>
      </w:r>
      <w:r w:rsidRPr="00317B00">
        <w:t xml:space="preserve"> </w:t>
      </w:r>
      <w:r w:rsidRPr="00214006">
        <w:rPr>
          <w:b/>
        </w:rPr>
        <w:t>urinary albumin:creatinine ratio</w:t>
      </w:r>
      <w:r w:rsidR="007B0A3D">
        <w:rPr>
          <w:b/>
        </w:rPr>
        <w:t xml:space="preserve"> (ACR)</w:t>
      </w:r>
      <w:r>
        <w:t xml:space="preserve"> to the current laboratory tests in cases where they have not been otherwise documented. High-risk groups require earlier assessment.</w:t>
      </w:r>
    </w:p>
    <w:p w:rsidR="00F74342" w:rsidRDefault="00F74342" w:rsidP="00317B00">
      <w:pPr>
        <w:pStyle w:val="Number"/>
      </w:pPr>
      <w:r>
        <w:t>CKD should be</w:t>
      </w:r>
      <w:r w:rsidRPr="00DC62D9">
        <w:t xml:space="preserve"> classified</w:t>
      </w:r>
      <w:r w:rsidRPr="004F7465">
        <w:t xml:space="preserve"> </w:t>
      </w:r>
      <w:r>
        <w:t>from</w:t>
      </w:r>
      <w:r w:rsidRPr="00214006">
        <w:t xml:space="preserve"> stage </w:t>
      </w:r>
      <w:r>
        <w:t>1</w:t>
      </w:r>
      <w:r w:rsidRPr="00214006">
        <w:t xml:space="preserve"> to </w:t>
      </w:r>
      <w:r>
        <w:t>5</w:t>
      </w:r>
      <w:r w:rsidRPr="004F7465">
        <w:t xml:space="preserve"> and as </w:t>
      </w:r>
      <w:r w:rsidRPr="00214006">
        <w:t>stable or progressive</w:t>
      </w:r>
      <w:r w:rsidRPr="00D33F74">
        <w:rPr>
          <w:i/>
        </w:rPr>
        <w:t>.</w:t>
      </w:r>
    </w:p>
    <w:p w:rsidR="00F74342" w:rsidRDefault="00F74342" w:rsidP="00234D5A"/>
    <w:p w:rsidR="00F74342" w:rsidRPr="00867FC1" w:rsidRDefault="00F74342" w:rsidP="00234D5A">
      <w:pPr>
        <w:pStyle w:val="Heading3"/>
      </w:pPr>
      <w:r w:rsidRPr="00DC62D9">
        <w:t>Management</w:t>
      </w:r>
    </w:p>
    <w:p w:rsidR="00F74342" w:rsidRDefault="00F74342" w:rsidP="00317B00">
      <w:pPr>
        <w:pStyle w:val="Number"/>
      </w:pPr>
      <w:r w:rsidRPr="009B09E0">
        <w:t>People with</w:t>
      </w:r>
      <w:r w:rsidRPr="00317B00">
        <w:t xml:space="preserve"> </w:t>
      </w:r>
      <w:r w:rsidRPr="00214006">
        <w:rPr>
          <w:b/>
        </w:rPr>
        <w:t>stable CKD stages 3</w:t>
      </w:r>
      <w:r>
        <w:rPr>
          <w:b/>
        </w:rPr>
        <w:t>–</w:t>
      </w:r>
      <w:r w:rsidRPr="00214006">
        <w:rPr>
          <w:b/>
        </w:rPr>
        <w:t>4</w:t>
      </w:r>
      <w:r w:rsidRPr="00317B00">
        <w:t xml:space="preserve"> </w:t>
      </w:r>
      <w:r w:rsidRPr="009B09E0">
        <w:t xml:space="preserve">are at </w:t>
      </w:r>
      <w:r w:rsidR="00317B00">
        <w:t>&gt;</w:t>
      </w:r>
      <w:r w:rsidR="00234D5A">
        <w:t> </w:t>
      </w:r>
      <w:r w:rsidRPr="009B09E0">
        <w:t>20</w:t>
      </w:r>
      <w:r>
        <w:t xml:space="preserve"> per cent</w:t>
      </w:r>
      <w:r w:rsidRPr="009B09E0">
        <w:t xml:space="preserve"> </w:t>
      </w:r>
      <w:r>
        <w:t>five-</w:t>
      </w:r>
      <w:r w:rsidRPr="009B09E0">
        <w:t>year CVD risk</w:t>
      </w:r>
      <w:r>
        <w:t xml:space="preserve"> (with diabetes) or &gt;</w:t>
      </w:r>
      <w:r w:rsidR="00234D5A">
        <w:t> </w:t>
      </w:r>
      <w:r>
        <w:t>15 per cent five-year CVD risk (without diabetes). They need appropriate CVD risk management.</w:t>
      </w:r>
    </w:p>
    <w:p w:rsidR="00F74342" w:rsidRDefault="00F74342" w:rsidP="00317B00">
      <w:pPr>
        <w:pStyle w:val="Letter"/>
      </w:pPr>
      <w:r>
        <w:t>Target blood pressure is 140/90 or less without proteinuria or 130/80 or less with proteinuria.</w:t>
      </w:r>
    </w:p>
    <w:p w:rsidR="00F74342" w:rsidRDefault="00F74342" w:rsidP="00317B00">
      <w:pPr>
        <w:pStyle w:val="Letter"/>
      </w:pPr>
      <w:r>
        <w:t>Blood pressure management should start with an ACE inhibitor or angiotensin receptor blocker (unless contraindicated).</w:t>
      </w:r>
    </w:p>
    <w:p w:rsidR="00F74342" w:rsidRPr="004F7465" w:rsidRDefault="00F74342" w:rsidP="00317B00">
      <w:pPr>
        <w:pStyle w:val="Number"/>
        <w:rPr>
          <w:u w:val="single"/>
        </w:rPr>
      </w:pPr>
      <w:r>
        <w:t xml:space="preserve">People with </w:t>
      </w:r>
      <w:r w:rsidRPr="00214006">
        <w:rPr>
          <w:b/>
        </w:rPr>
        <w:t>progressive CKD stages 3</w:t>
      </w:r>
      <w:r>
        <w:rPr>
          <w:b/>
        </w:rPr>
        <w:t>–</w:t>
      </w:r>
      <w:r w:rsidRPr="00214006">
        <w:rPr>
          <w:b/>
        </w:rPr>
        <w:t>4</w:t>
      </w:r>
      <w:r w:rsidRPr="00317B00">
        <w:t xml:space="preserve"> </w:t>
      </w:r>
      <w:r w:rsidRPr="009B09E0">
        <w:t xml:space="preserve">(rate of loss of GFR &gt; 5 </w:t>
      </w:r>
      <w:r w:rsidRPr="00963E56">
        <w:rPr>
          <w:szCs w:val="24"/>
        </w:rPr>
        <w:t xml:space="preserve">ml/min/year) </w:t>
      </w:r>
      <w:r>
        <w:t>have even higher CVD risk and a much higher risk of developing renal failure with need for dialysis or transplant. They must be intensively managed to reduce risk, which involves weekly or fortnightly risk factor management and review until stable. This approach could involve integrating nurse-led clinics into Long Term Conditions Management Programmes.</w:t>
      </w:r>
    </w:p>
    <w:p w:rsidR="00F74342" w:rsidRPr="00CF38F2" w:rsidRDefault="00F74342" w:rsidP="00317B00">
      <w:pPr>
        <w:pStyle w:val="Number"/>
      </w:pPr>
      <w:r w:rsidRPr="004307B3">
        <w:t xml:space="preserve">The great majority </w:t>
      </w:r>
      <w:r w:rsidRPr="00CF38F2">
        <w:t xml:space="preserve">of patients, particularly those with </w:t>
      </w:r>
      <w:r w:rsidRPr="00214006">
        <w:rPr>
          <w:b/>
        </w:rPr>
        <w:t>stable stage 3 CKD or who are</w:t>
      </w:r>
      <w:r w:rsidRPr="00802FB9">
        <w:rPr>
          <w:b/>
        </w:rPr>
        <w:t xml:space="preserve"> </w:t>
      </w:r>
      <w:r w:rsidRPr="00214006">
        <w:rPr>
          <w:b/>
        </w:rPr>
        <w:t>older (&gt;</w:t>
      </w:r>
      <w:r w:rsidR="00234D5A">
        <w:rPr>
          <w:b/>
        </w:rPr>
        <w:t> </w:t>
      </w:r>
      <w:r w:rsidRPr="00214006">
        <w:rPr>
          <w:b/>
        </w:rPr>
        <w:t>75</w:t>
      </w:r>
      <w:r>
        <w:rPr>
          <w:b/>
        </w:rPr>
        <w:t xml:space="preserve"> </w:t>
      </w:r>
      <w:r w:rsidRPr="00214006">
        <w:rPr>
          <w:b/>
        </w:rPr>
        <w:t>years) with early stable stage 4 CKD</w:t>
      </w:r>
      <w:r w:rsidRPr="00CF38F2">
        <w:t>, can be fully managed in primary care</w:t>
      </w:r>
      <w:r>
        <w:t>.</w:t>
      </w:r>
      <w:r w:rsidRPr="00CF38F2">
        <w:t xml:space="preserve"> </w:t>
      </w:r>
      <w:r>
        <w:t xml:space="preserve">Note </w:t>
      </w:r>
      <w:r w:rsidRPr="00CF38F2">
        <w:t>that prescribing of medication should be carefully considered.</w:t>
      </w:r>
    </w:p>
    <w:p w:rsidR="00F74342" w:rsidRDefault="00F74342" w:rsidP="00234D5A"/>
    <w:p w:rsidR="00F74342" w:rsidRPr="00867FC1" w:rsidRDefault="00F74342" w:rsidP="00234D5A">
      <w:pPr>
        <w:pStyle w:val="Heading3"/>
      </w:pPr>
      <w:r w:rsidRPr="00DC62D9">
        <w:t>Enablers/monitoring</w:t>
      </w:r>
    </w:p>
    <w:p w:rsidR="00F74342" w:rsidRDefault="00F74342" w:rsidP="00317B00">
      <w:pPr>
        <w:pStyle w:val="Number"/>
      </w:pPr>
      <w:r>
        <w:t>Software-based decision support, audit and recall systems for best practice are part of best practice in the management of CKD.</w:t>
      </w:r>
    </w:p>
    <w:p w:rsidR="0021763B" w:rsidRPr="0021763B" w:rsidRDefault="0021763B" w:rsidP="0021763B"/>
    <w:p w:rsidR="00C86248" w:rsidRDefault="00C86248" w:rsidP="0086388B"/>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86388B" w:rsidP="0086388B">
      <w:pPr>
        <w:pStyle w:val="Heading1"/>
      </w:pPr>
      <w:bookmarkStart w:id="4" w:name="_Toc405492461"/>
      <w:r>
        <w:lastRenderedPageBreak/>
        <w:t>Introduction</w:t>
      </w:r>
      <w:bookmarkEnd w:id="4"/>
    </w:p>
    <w:p w:rsidR="00F74342" w:rsidRPr="00D71953" w:rsidRDefault="00F74342" w:rsidP="00234D5A">
      <w:r>
        <w:t>C</w:t>
      </w:r>
      <w:r w:rsidRPr="00867FC1">
        <w:t xml:space="preserve">hronic </w:t>
      </w:r>
      <w:r>
        <w:t>k</w:t>
      </w:r>
      <w:r w:rsidRPr="00867FC1">
        <w:t xml:space="preserve">idney </w:t>
      </w:r>
      <w:r>
        <w:t>d</w:t>
      </w:r>
      <w:r w:rsidRPr="00867FC1">
        <w:t>isease (CKD)</w:t>
      </w:r>
      <w:r w:rsidRPr="000043A9">
        <w:t xml:space="preserve"> </w:t>
      </w:r>
      <w:r w:rsidRPr="00D71953">
        <w:t>was identified in 2008 as an important health issue by the National Renal Advisory Board working in conjunction with Ministry of Health</w:t>
      </w:r>
      <w:r>
        <w:t>. It has been</w:t>
      </w:r>
      <w:r w:rsidRPr="00D71953">
        <w:t xml:space="preserve"> defined in the</w:t>
      </w:r>
      <w:r>
        <w:t xml:space="preserve"> scoping paper entitled </w:t>
      </w:r>
      <w:r w:rsidRPr="00214006">
        <w:rPr>
          <w:i/>
        </w:rPr>
        <w:t>New Zealand’s Renal Services: Towards a national strategic plan</w:t>
      </w:r>
      <w:r>
        <w:t>. (1)</w:t>
      </w:r>
    </w:p>
    <w:p w:rsidR="00F74342" w:rsidRDefault="00F74342" w:rsidP="00234D5A"/>
    <w:p w:rsidR="00F74342" w:rsidRDefault="00F74342" w:rsidP="00234D5A">
      <w:r>
        <w:t>The reasons for this initiative included the:</w:t>
      </w:r>
    </w:p>
    <w:p w:rsidR="00F74342" w:rsidRDefault="00F74342" w:rsidP="00317B00">
      <w:pPr>
        <w:pStyle w:val="Number"/>
        <w:numPr>
          <w:ilvl w:val="0"/>
          <w:numId w:val="48"/>
        </w:numPr>
        <w:spacing w:before="60"/>
        <w:ind w:left="567" w:hanging="567"/>
      </w:pPr>
      <w:r>
        <w:t>rising incidence and prevalence of end stage kidney disease (ESKD)</w:t>
      </w:r>
    </w:p>
    <w:p w:rsidR="00F74342" w:rsidRDefault="00F74342" w:rsidP="00317B00">
      <w:pPr>
        <w:pStyle w:val="Number"/>
        <w:spacing w:before="60"/>
      </w:pPr>
      <w:r>
        <w:t>need to improve identification and management of CKD in primary care</w:t>
      </w:r>
    </w:p>
    <w:p w:rsidR="00F74342" w:rsidRDefault="00F74342" w:rsidP="00317B00">
      <w:pPr>
        <w:pStyle w:val="Number"/>
        <w:spacing w:before="60"/>
      </w:pPr>
      <w:r>
        <w:t>need for effective national screening of at-risk patient groups</w:t>
      </w:r>
    </w:p>
    <w:p w:rsidR="00F74342" w:rsidRDefault="00F74342" w:rsidP="00317B00">
      <w:pPr>
        <w:pStyle w:val="Number"/>
        <w:spacing w:before="60"/>
      </w:pPr>
      <w:r>
        <w:t>need for broad implementation of patient-centred strategies in primary care to manage most patients with CKD.</w:t>
      </w:r>
    </w:p>
    <w:p w:rsidR="00F74342" w:rsidRDefault="00F74342" w:rsidP="00234D5A"/>
    <w:p w:rsidR="00F74342" w:rsidRDefault="00F74342" w:rsidP="00234D5A">
      <w:r>
        <w:t>The Ministry of Health supported four pilot projects running over two years that used innovative approaches to electronic screening and referral for CKD, and nurse-led clinics in primary care focused on intensive management of CKD.</w:t>
      </w:r>
    </w:p>
    <w:p w:rsidR="00F74342" w:rsidRDefault="00F74342" w:rsidP="00234D5A"/>
    <w:p w:rsidR="00F74342" w:rsidRDefault="00F74342" w:rsidP="00234D5A">
      <w:r>
        <w:t>The results of these pilot projects and a separate randomised controlled trial (DEFEND, undertaken in Auckland with M</w:t>
      </w:r>
      <w:r w:rsidRPr="00776A41">
        <w:rPr>
          <w:szCs w:val="24"/>
        </w:rPr>
        <w:t>ā</w:t>
      </w:r>
      <w:r>
        <w:t>ori and Pacific patients with diabetes and CKD) led to a National Consensus conference on CKD held at Matakana</w:t>
      </w:r>
      <w:r w:rsidRPr="005335FA">
        <w:t xml:space="preserve"> </w:t>
      </w:r>
      <w:r>
        <w:t>in 2013.</w:t>
      </w:r>
    </w:p>
    <w:p w:rsidR="00F74342" w:rsidRDefault="00F74342" w:rsidP="00234D5A"/>
    <w:p w:rsidR="00F74342" w:rsidRDefault="00F74342" w:rsidP="00234D5A">
      <w:r>
        <w:t>Participants included diabetes specialists, nephrologists (renal physicians), family practitioners, nurses from primary and secondary care and Ministry of Health personnel.</w:t>
      </w:r>
    </w:p>
    <w:p w:rsidR="00F74342" w:rsidRDefault="00F74342" w:rsidP="00234D5A"/>
    <w:p w:rsidR="00F74342" w:rsidRDefault="00F74342" w:rsidP="00234D5A">
      <w:r>
        <w:t>This document</w:t>
      </w:r>
      <w:r w:rsidRPr="00DC0C03">
        <w:t xml:space="preserve"> </w:t>
      </w:r>
      <w:r>
        <w:t xml:space="preserve">has been prepared by the CKD Core Work Group. It summarises the conclusions and recommendations emerging from this consensus meeting. Its purpose is to articulate best practice in the identification and management of </w:t>
      </w:r>
      <w:r w:rsidRPr="000043A9">
        <w:t>chronic kidney disease (CKD</w:t>
      </w:r>
      <w:r>
        <w:t>) in primary care. It is intended as a guide for clinicians and managers in both funder and provider organisations.</w:t>
      </w:r>
    </w:p>
    <w:p w:rsidR="00F74342" w:rsidRDefault="00F74342" w:rsidP="00234D5A"/>
    <w:p w:rsidR="00234D5A" w:rsidRDefault="00234D5A" w:rsidP="00234D5A">
      <w:bookmarkStart w:id="5" w:name="_Toc403628255"/>
      <w:r>
        <w:br w:type="page"/>
      </w:r>
    </w:p>
    <w:p w:rsidR="00F74342" w:rsidRDefault="00F74342" w:rsidP="00F74342">
      <w:pPr>
        <w:pStyle w:val="Heading1"/>
      </w:pPr>
      <w:bookmarkStart w:id="6" w:name="_Toc405492462"/>
      <w:r w:rsidRPr="00CF1A94">
        <w:t xml:space="preserve">The </w:t>
      </w:r>
      <w:r>
        <w:t>c</w:t>
      </w:r>
      <w:r w:rsidRPr="00CF1A94">
        <w:t>lassification of CKD</w:t>
      </w:r>
      <w:bookmarkEnd w:id="5"/>
      <w:bookmarkEnd w:id="6"/>
    </w:p>
    <w:p w:rsidR="00F74342" w:rsidRDefault="00F74342" w:rsidP="00234D5A">
      <w:r>
        <w:t>Chronic kidney disease</w:t>
      </w:r>
      <w:r w:rsidRPr="00841888">
        <w:t xml:space="preserve"> is a general term for chronic disorders that affect kidney structure and function. Complications from CKD may in time affect all organ systems. However</w:t>
      </w:r>
      <w:r>
        <w:t>,</w:t>
      </w:r>
      <w:r w:rsidRPr="00841888">
        <w:t xml:space="preserve"> most people with mild or moderate CKD have no symptoms.</w:t>
      </w:r>
    </w:p>
    <w:p w:rsidR="00F74342" w:rsidRPr="00CF1A94" w:rsidRDefault="00F74342" w:rsidP="00234D5A"/>
    <w:p w:rsidR="00F74342" w:rsidRDefault="00F74342" w:rsidP="00234D5A">
      <w:r w:rsidRPr="00031C99">
        <w:t xml:space="preserve">CKD </w:t>
      </w:r>
      <w:r>
        <w:t>is cl</w:t>
      </w:r>
      <w:r w:rsidRPr="00AA0558">
        <w:t>assified using the</w:t>
      </w:r>
      <w:r w:rsidRPr="005221F3">
        <w:t xml:space="preserve"> </w:t>
      </w:r>
      <w:r>
        <w:t>criteria of the</w:t>
      </w:r>
      <w:r w:rsidRPr="00B17265">
        <w:t xml:space="preserve"> </w:t>
      </w:r>
      <w:r w:rsidRPr="00F76FDB">
        <w:t>Kidney Disease Improving Global Outcomes Foundation</w:t>
      </w:r>
      <w:r w:rsidRPr="00B17265">
        <w:t xml:space="preserve"> </w:t>
      </w:r>
      <w:r w:rsidRPr="00AA0558">
        <w:t>(KDIGO)</w:t>
      </w:r>
      <w:r>
        <w:t xml:space="preserve"> CKD Consensus Consortium (Figure 1). The classification is independent of the underlying cause of the kidney disease. Each stage is characterised by a </w:t>
      </w:r>
      <w:r w:rsidRPr="00843C1C">
        <w:t>glomerular filtration rate</w:t>
      </w:r>
      <w:r>
        <w:t xml:space="preserve"> (GFR) range. The GFR is an estimate of kidney function based on serum creatinine as measured by the laboratory.</w:t>
      </w:r>
    </w:p>
    <w:p w:rsidR="00F74342" w:rsidRDefault="00F74342" w:rsidP="00234D5A"/>
    <w:p w:rsidR="00F74342" w:rsidRDefault="00F74342" w:rsidP="00234D5A">
      <w:r>
        <w:t>Patients in stages 1 and 2 CKD have documented kidney disease (eg, diabetic nephropathy or polycystic kidney disease) and are sub-classified by GFR. Patients in stages 3–5 have reduced GFR on which the classification is based. Because GFR declines in the overall population by 1</w:t>
      </w:r>
      <w:r w:rsidR="00234D5A">
        <w:t> </w:t>
      </w:r>
      <w:r>
        <w:t>ml/minute/year, many elderly patients have reduced GFR and so meet the criterion for CKD stage 3. Most of these patients, however, do not show any evidence of active or structural kidney disease. In such cases, a kidney biopsy is likely to reveal sclerotic changes affecting renal vessels, glomeruli and interstitium (arteriolonephrosc</w:t>
      </w:r>
      <w:r w:rsidR="007B0A3D">
        <w:t>l</w:t>
      </w:r>
      <w:r>
        <w:t>erosis) which might be described as ageing-related.</w:t>
      </w:r>
    </w:p>
    <w:p w:rsidR="00F74342" w:rsidRDefault="00F74342" w:rsidP="00234D5A"/>
    <w:p w:rsidR="00F74342" w:rsidRDefault="004E5ACC" w:rsidP="004E29DB">
      <w:pPr>
        <w:pStyle w:val="Table"/>
      </w:pPr>
      <w:bookmarkStart w:id="7" w:name="_Toc405492480"/>
      <w:r>
        <w:t>Table</w:t>
      </w:r>
      <w:r w:rsidR="00F74342" w:rsidRPr="003F2775">
        <w:t xml:space="preserve"> 1</w:t>
      </w:r>
      <w:r w:rsidR="00F74342">
        <w:t>:</w:t>
      </w:r>
      <w:r w:rsidR="00F74342" w:rsidRPr="003F2775">
        <w:t xml:space="preserve"> CKD classification and prognostic risk from the </w:t>
      </w:r>
      <w:r w:rsidR="00F74342">
        <w:t xml:space="preserve">KDIGO </w:t>
      </w:r>
      <w:r w:rsidR="00F74342" w:rsidRPr="003F2775">
        <w:t>CKD Consensus Consortium (</w:t>
      </w:r>
      <w:r w:rsidR="00F74342">
        <w:t>2</w:t>
      </w:r>
      <w:r w:rsidR="00F74342" w:rsidRPr="003F2775">
        <w:t>)</w:t>
      </w:r>
      <w:bookmarkEnd w:id="7"/>
    </w:p>
    <w:tbl>
      <w:tblPr>
        <w:tblStyle w:val="TableGrid"/>
        <w:tblW w:w="9356" w:type="dxa"/>
        <w:tblInd w:w="57" w:type="dxa"/>
        <w:tblLayout w:type="fixed"/>
        <w:tblCellMar>
          <w:left w:w="57" w:type="dxa"/>
          <w:right w:w="57" w:type="dxa"/>
        </w:tblCellMar>
        <w:tblLook w:val="04A0" w:firstRow="1" w:lastRow="0" w:firstColumn="1" w:lastColumn="0" w:noHBand="0" w:noVBand="1"/>
      </w:tblPr>
      <w:tblGrid>
        <w:gridCol w:w="709"/>
        <w:gridCol w:w="709"/>
        <w:gridCol w:w="2977"/>
        <w:gridCol w:w="850"/>
        <w:gridCol w:w="1370"/>
        <w:gridCol w:w="1370"/>
        <w:gridCol w:w="1371"/>
      </w:tblGrid>
      <w:tr w:rsidR="004E5ACC" w:rsidTr="004E5ACC">
        <w:trPr>
          <w:cantSplit/>
        </w:trPr>
        <w:tc>
          <w:tcPr>
            <w:tcW w:w="5245" w:type="dxa"/>
            <w:gridSpan w:val="4"/>
            <w:vMerge w:val="restart"/>
            <w:vAlign w:val="center"/>
          </w:tcPr>
          <w:p w:rsidR="004E5ACC" w:rsidRPr="004E5ACC" w:rsidRDefault="004E5ACC" w:rsidP="004E5ACC">
            <w:pPr>
              <w:pStyle w:val="TableText"/>
              <w:jc w:val="center"/>
              <w:rPr>
                <w:b/>
              </w:rPr>
            </w:pPr>
            <w:r w:rsidRPr="004E5ACC">
              <w:rPr>
                <w:b/>
              </w:rPr>
              <w:t>Prognosis of CKD by GFR</w:t>
            </w:r>
            <w:r>
              <w:rPr>
                <w:b/>
              </w:rPr>
              <w:br/>
            </w:r>
            <w:r w:rsidRPr="004E5ACC">
              <w:rPr>
                <w:b/>
              </w:rPr>
              <w:t>and Albuminuria Categories:</w:t>
            </w:r>
            <w:r>
              <w:rPr>
                <w:b/>
              </w:rPr>
              <w:br/>
            </w:r>
            <w:r w:rsidRPr="004E5ACC">
              <w:rPr>
                <w:b/>
              </w:rPr>
              <w:t>KDIGO 2012</w:t>
            </w:r>
            <w:r w:rsidR="007B0A3D">
              <w:rPr>
                <w:b/>
              </w:rPr>
              <w:t xml:space="preserve"> (units changed to SI)</w:t>
            </w:r>
          </w:p>
        </w:tc>
        <w:tc>
          <w:tcPr>
            <w:tcW w:w="4111" w:type="dxa"/>
            <w:gridSpan w:val="3"/>
          </w:tcPr>
          <w:p w:rsidR="004E5ACC" w:rsidRPr="004E5ACC" w:rsidRDefault="004E5ACC" w:rsidP="004E5ACC">
            <w:pPr>
              <w:pStyle w:val="TableText"/>
              <w:jc w:val="center"/>
              <w:rPr>
                <w:b/>
              </w:rPr>
            </w:pPr>
            <w:r>
              <w:rPr>
                <w:b/>
              </w:rPr>
              <w:t>Persistent albuminuria categories</w:t>
            </w:r>
            <w:r>
              <w:rPr>
                <w:b/>
              </w:rPr>
              <w:br/>
              <w:t>Description and range</w:t>
            </w:r>
          </w:p>
        </w:tc>
      </w:tr>
      <w:tr w:rsidR="004E5ACC" w:rsidTr="004E5ACC">
        <w:trPr>
          <w:cantSplit/>
        </w:trPr>
        <w:tc>
          <w:tcPr>
            <w:tcW w:w="5245" w:type="dxa"/>
            <w:gridSpan w:val="4"/>
            <w:vMerge/>
          </w:tcPr>
          <w:p w:rsidR="004E5ACC" w:rsidRDefault="004E5ACC" w:rsidP="00317B00">
            <w:pPr>
              <w:pStyle w:val="TableText"/>
            </w:pPr>
          </w:p>
        </w:tc>
        <w:tc>
          <w:tcPr>
            <w:tcW w:w="1370" w:type="dxa"/>
            <w:tcBorders>
              <w:bottom w:val="single" w:sz="4" w:space="0" w:color="auto"/>
            </w:tcBorders>
          </w:tcPr>
          <w:p w:rsidR="004E5ACC" w:rsidRDefault="004E5ACC" w:rsidP="004E5ACC">
            <w:pPr>
              <w:pStyle w:val="TableText"/>
              <w:jc w:val="center"/>
              <w:rPr>
                <w:b/>
              </w:rPr>
            </w:pPr>
            <w:r>
              <w:rPr>
                <w:b/>
              </w:rPr>
              <w:t>A1</w:t>
            </w:r>
          </w:p>
          <w:p w:rsidR="004E5ACC" w:rsidRPr="004E5ACC" w:rsidRDefault="004E5ACC" w:rsidP="004E5ACC">
            <w:pPr>
              <w:pStyle w:val="TableText"/>
              <w:ind w:left="-51" w:right="-51"/>
              <w:jc w:val="center"/>
              <w:rPr>
                <w:spacing w:val="-2"/>
              </w:rPr>
            </w:pPr>
            <w:r w:rsidRPr="004E5ACC">
              <w:rPr>
                <w:spacing w:val="-2"/>
              </w:rPr>
              <w:t>Normal to mildly increased</w:t>
            </w:r>
          </w:p>
          <w:p w:rsidR="004E5ACC" w:rsidRPr="004E5ACC" w:rsidRDefault="004E5ACC" w:rsidP="004E5ACC">
            <w:pPr>
              <w:pStyle w:val="TableText"/>
              <w:jc w:val="center"/>
            </w:pPr>
            <w:r>
              <w:t>&lt; 3 mg/mmol</w:t>
            </w:r>
          </w:p>
        </w:tc>
        <w:tc>
          <w:tcPr>
            <w:tcW w:w="1370" w:type="dxa"/>
            <w:tcBorders>
              <w:bottom w:val="single" w:sz="4" w:space="0" w:color="auto"/>
            </w:tcBorders>
          </w:tcPr>
          <w:p w:rsidR="004E5ACC" w:rsidRDefault="004E5ACC" w:rsidP="004E5ACC">
            <w:pPr>
              <w:pStyle w:val="TableText"/>
              <w:jc w:val="center"/>
              <w:rPr>
                <w:b/>
              </w:rPr>
            </w:pPr>
            <w:r>
              <w:rPr>
                <w:b/>
              </w:rPr>
              <w:t>A2</w:t>
            </w:r>
          </w:p>
          <w:p w:rsidR="004E5ACC" w:rsidRDefault="004E5ACC" w:rsidP="004E5ACC">
            <w:pPr>
              <w:pStyle w:val="TableText"/>
              <w:jc w:val="center"/>
            </w:pPr>
            <w:r>
              <w:t>Moderately increased</w:t>
            </w:r>
          </w:p>
          <w:p w:rsidR="004E5ACC" w:rsidRPr="004E5ACC" w:rsidRDefault="004E5ACC" w:rsidP="004E5ACC">
            <w:pPr>
              <w:pStyle w:val="TableText"/>
              <w:jc w:val="center"/>
            </w:pPr>
            <w:r>
              <w:br/>
              <w:t>3–30 mg/mmol</w:t>
            </w:r>
          </w:p>
        </w:tc>
        <w:tc>
          <w:tcPr>
            <w:tcW w:w="1371" w:type="dxa"/>
            <w:tcBorders>
              <w:bottom w:val="single" w:sz="4" w:space="0" w:color="auto"/>
            </w:tcBorders>
          </w:tcPr>
          <w:p w:rsidR="004E5ACC" w:rsidRDefault="004E5ACC" w:rsidP="004E5ACC">
            <w:pPr>
              <w:pStyle w:val="TableText"/>
              <w:jc w:val="center"/>
              <w:rPr>
                <w:b/>
              </w:rPr>
            </w:pPr>
            <w:r>
              <w:rPr>
                <w:b/>
              </w:rPr>
              <w:t>A3</w:t>
            </w:r>
          </w:p>
          <w:p w:rsidR="004E5ACC" w:rsidRDefault="004E5ACC" w:rsidP="004E5ACC">
            <w:pPr>
              <w:pStyle w:val="TableText"/>
              <w:jc w:val="center"/>
            </w:pPr>
            <w:r>
              <w:t>Severely increased</w:t>
            </w:r>
          </w:p>
          <w:p w:rsidR="004E5ACC" w:rsidRPr="004E5ACC" w:rsidRDefault="004E5ACC" w:rsidP="004E5ACC">
            <w:pPr>
              <w:pStyle w:val="TableText"/>
              <w:jc w:val="center"/>
            </w:pPr>
            <w:r>
              <w:br/>
              <w:t>&gt; 30 mg/mmol</w:t>
            </w:r>
          </w:p>
        </w:tc>
      </w:tr>
      <w:tr w:rsidR="00317B00" w:rsidTr="004E5ACC">
        <w:trPr>
          <w:cantSplit/>
          <w:trHeight w:hRule="exact" w:val="510"/>
        </w:trPr>
        <w:tc>
          <w:tcPr>
            <w:tcW w:w="709" w:type="dxa"/>
            <w:vMerge w:val="restart"/>
            <w:textDirection w:val="btLr"/>
            <w:vAlign w:val="bottom"/>
          </w:tcPr>
          <w:p w:rsidR="00317B00" w:rsidRPr="004E5ACC" w:rsidRDefault="00317B00" w:rsidP="00317B00">
            <w:pPr>
              <w:pStyle w:val="TableText"/>
              <w:ind w:left="113" w:right="113"/>
              <w:jc w:val="center"/>
              <w:rPr>
                <w:b/>
              </w:rPr>
            </w:pPr>
            <w:r w:rsidRPr="004E5ACC">
              <w:rPr>
                <w:b/>
              </w:rPr>
              <w:t>GFR categories (ml/min/1.73 m</w:t>
            </w:r>
            <w:r w:rsidRPr="004E5ACC">
              <w:rPr>
                <w:b/>
                <w:vertAlign w:val="superscript"/>
              </w:rPr>
              <w:t>2</w:t>
            </w:r>
            <w:r w:rsidRPr="004E5ACC">
              <w:rPr>
                <w:b/>
              </w:rPr>
              <w:t>)</w:t>
            </w:r>
            <w:r w:rsidRPr="004E5ACC">
              <w:rPr>
                <w:b/>
              </w:rPr>
              <w:br/>
              <w:t>Description and range</w:t>
            </w:r>
          </w:p>
        </w:tc>
        <w:tc>
          <w:tcPr>
            <w:tcW w:w="709" w:type="dxa"/>
            <w:vAlign w:val="center"/>
          </w:tcPr>
          <w:p w:rsidR="00317B00" w:rsidRDefault="00317B00" w:rsidP="004E5ACC">
            <w:pPr>
              <w:pStyle w:val="TableText"/>
            </w:pPr>
            <w:r>
              <w:t>G1</w:t>
            </w:r>
          </w:p>
        </w:tc>
        <w:tc>
          <w:tcPr>
            <w:tcW w:w="2977" w:type="dxa"/>
            <w:vAlign w:val="center"/>
          </w:tcPr>
          <w:p w:rsidR="00317B00" w:rsidRDefault="00317B00" w:rsidP="004E5ACC">
            <w:pPr>
              <w:pStyle w:val="TableText"/>
            </w:pPr>
            <w:r>
              <w:t>Normal or high</w:t>
            </w:r>
          </w:p>
        </w:tc>
        <w:tc>
          <w:tcPr>
            <w:tcW w:w="850" w:type="dxa"/>
            <w:vAlign w:val="center"/>
          </w:tcPr>
          <w:p w:rsidR="00317B00" w:rsidRDefault="00317B00" w:rsidP="004E5ACC">
            <w:pPr>
              <w:pStyle w:val="TableText"/>
            </w:pPr>
            <w:r>
              <w:rPr>
                <w:rFonts w:cs="Arial"/>
              </w:rPr>
              <w:t xml:space="preserve">≥ </w:t>
            </w:r>
            <w:r>
              <w:t>90</w:t>
            </w:r>
          </w:p>
        </w:tc>
        <w:tc>
          <w:tcPr>
            <w:tcW w:w="1370" w:type="dxa"/>
            <w:tcBorders>
              <w:bottom w:val="single" w:sz="4" w:space="0" w:color="auto"/>
            </w:tcBorders>
            <w:shd w:val="clear" w:color="auto" w:fill="00B050"/>
            <w:vAlign w:val="center"/>
          </w:tcPr>
          <w:p w:rsidR="00317B00" w:rsidRDefault="00317B00" w:rsidP="004E29DB">
            <w:pPr>
              <w:pStyle w:val="TableText"/>
              <w:jc w:val="center"/>
            </w:pPr>
          </w:p>
        </w:tc>
        <w:tc>
          <w:tcPr>
            <w:tcW w:w="1370" w:type="dxa"/>
            <w:tcBorders>
              <w:bottom w:val="single" w:sz="4" w:space="0" w:color="auto"/>
            </w:tcBorders>
            <w:shd w:val="clear" w:color="auto" w:fill="FFFF00"/>
            <w:vAlign w:val="center"/>
          </w:tcPr>
          <w:p w:rsidR="00317B00" w:rsidRDefault="00317B00" w:rsidP="004E29DB">
            <w:pPr>
              <w:pStyle w:val="TableText"/>
              <w:jc w:val="center"/>
            </w:pPr>
          </w:p>
        </w:tc>
        <w:tc>
          <w:tcPr>
            <w:tcW w:w="1371" w:type="dxa"/>
            <w:tcBorders>
              <w:bottom w:val="single" w:sz="4" w:space="0" w:color="auto"/>
            </w:tcBorders>
            <w:shd w:val="clear" w:color="auto" w:fill="FFC000"/>
            <w:vAlign w:val="center"/>
          </w:tcPr>
          <w:p w:rsidR="00317B00" w:rsidRDefault="00317B00" w:rsidP="004E29DB">
            <w:pPr>
              <w:pStyle w:val="TableText"/>
              <w:jc w:val="center"/>
            </w:pPr>
          </w:p>
        </w:tc>
      </w:tr>
      <w:tr w:rsidR="00317B00" w:rsidTr="004E5ACC">
        <w:trPr>
          <w:cantSplit/>
          <w:trHeight w:hRule="exact" w:val="510"/>
        </w:trPr>
        <w:tc>
          <w:tcPr>
            <w:tcW w:w="709" w:type="dxa"/>
            <w:vMerge/>
          </w:tcPr>
          <w:p w:rsidR="00317B00" w:rsidRDefault="00317B00" w:rsidP="00317B00">
            <w:pPr>
              <w:pStyle w:val="TableText"/>
            </w:pPr>
          </w:p>
        </w:tc>
        <w:tc>
          <w:tcPr>
            <w:tcW w:w="709" w:type="dxa"/>
            <w:vAlign w:val="center"/>
          </w:tcPr>
          <w:p w:rsidR="00317B00" w:rsidRDefault="00317B00" w:rsidP="004E5ACC">
            <w:pPr>
              <w:pStyle w:val="TableText"/>
            </w:pPr>
            <w:r>
              <w:t>G2</w:t>
            </w:r>
          </w:p>
        </w:tc>
        <w:tc>
          <w:tcPr>
            <w:tcW w:w="2977" w:type="dxa"/>
            <w:vAlign w:val="center"/>
          </w:tcPr>
          <w:p w:rsidR="00317B00" w:rsidRDefault="00317B00" w:rsidP="004E5ACC">
            <w:pPr>
              <w:pStyle w:val="TableText"/>
            </w:pPr>
            <w:r>
              <w:t>Mildly decreased</w:t>
            </w:r>
          </w:p>
        </w:tc>
        <w:tc>
          <w:tcPr>
            <w:tcW w:w="850" w:type="dxa"/>
            <w:vAlign w:val="center"/>
          </w:tcPr>
          <w:p w:rsidR="00317B00" w:rsidRDefault="00317B00" w:rsidP="004E5ACC">
            <w:pPr>
              <w:pStyle w:val="TableText"/>
            </w:pPr>
            <w:r>
              <w:t>60–89</w:t>
            </w:r>
          </w:p>
        </w:tc>
        <w:tc>
          <w:tcPr>
            <w:tcW w:w="1370" w:type="dxa"/>
            <w:tcBorders>
              <w:top w:val="single" w:sz="4" w:space="0" w:color="auto"/>
              <w:bottom w:val="single" w:sz="4" w:space="0" w:color="auto"/>
            </w:tcBorders>
            <w:shd w:val="clear" w:color="auto" w:fill="00B050"/>
            <w:vAlign w:val="center"/>
          </w:tcPr>
          <w:p w:rsidR="00317B00" w:rsidRDefault="00317B00" w:rsidP="004E29DB">
            <w:pPr>
              <w:pStyle w:val="TableText"/>
              <w:jc w:val="center"/>
            </w:pPr>
          </w:p>
        </w:tc>
        <w:tc>
          <w:tcPr>
            <w:tcW w:w="1370" w:type="dxa"/>
            <w:tcBorders>
              <w:top w:val="single" w:sz="4" w:space="0" w:color="auto"/>
              <w:bottom w:val="single" w:sz="4" w:space="0" w:color="auto"/>
            </w:tcBorders>
            <w:shd w:val="clear" w:color="auto" w:fill="FFFF00"/>
            <w:vAlign w:val="center"/>
          </w:tcPr>
          <w:p w:rsidR="00317B00" w:rsidRDefault="00317B00" w:rsidP="004E29DB">
            <w:pPr>
              <w:pStyle w:val="TableText"/>
              <w:jc w:val="center"/>
            </w:pPr>
          </w:p>
        </w:tc>
        <w:tc>
          <w:tcPr>
            <w:tcW w:w="1371" w:type="dxa"/>
            <w:tcBorders>
              <w:top w:val="single" w:sz="4" w:space="0" w:color="auto"/>
              <w:bottom w:val="single" w:sz="4" w:space="0" w:color="auto"/>
            </w:tcBorders>
            <w:shd w:val="clear" w:color="auto" w:fill="FFC000"/>
            <w:vAlign w:val="center"/>
          </w:tcPr>
          <w:p w:rsidR="00317B00" w:rsidRDefault="00317B00" w:rsidP="004E29DB">
            <w:pPr>
              <w:pStyle w:val="TableText"/>
              <w:jc w:val="center"/>
            </w:pPr>
          </w:p>
        </w:tc>
      </w:tr>
      <w:tr w:rsidR="00317B00" w:rsidTr="004E5ACC">
        <w:trPr>
          <w:cantSplit/>
          <w:trHeight w:hRule="exact" w:val="510"/>
        </w:trPr>
        <w:tc>
          <w:tcPr>
            <w:tcW w:w="709" w:type="dxa"/>
            <w:vMerge/>
          </w:tcPr>
          <w:p w:rsidR="00317B00" w:rsidRDefault="00317B00" w:rsidP="00317B00">
            <w:pPr>
              <w:pStyle w:val="TableText"/>
            </w:pPr>
          </w:p>
        </w:tc>
        <w:tc>
          <w:tcPr>
            <w:tcW w:w="709" w:type="dxa"/>
            <w:vAlign w:val="center"/>
          </w:tcPr>
          <w:p w:rsidR="00317B00" w:rsidRDefault="00317B00" w:rsidP="004E5ACC">
            <w:pPr>
              <w:pStyle w:val="TableText"/>
            </w:pPr>
            <w:r>
              <w:t>G3a</w:t>
            </w:r>
          </w:p>
        </w:tc>
        <w:tc>
          <w:tcPr>
            <w:tcW w:w="2977" w:type="dxa"/>
            <w:vAlign w:val="center"/>
          </w:tcPr>
          <w:p w:rsidR="00317B00" w:rsidRDefault="00317B00" w:rsidP="004E5ACC">
            <w:pPr>
              <w:pStyle w:val="TableText"/>
            </w:pPr>
            <w:r>
              <w:t>Mildly to moderately decreased</w:t>
            </w:r>
          </w:p>
        </w:tc>
        <w:tc>
          <w:tcPr>
            <w:tcW w:w="850" w:type="dxa"/>
            <w:vAlign w:val="center"/>
          </w:tcPr>
          <w:p w:rsidR="00317B00" w:rsidRDefault="00317B00" w:rsidP="004E5ACC">
            <w:pPr>
              <w:pStyle w:val="TableText"/>
            </w:pPr>
            <w:r>
              <w:t>45–59</w:t>
            </w:r>
          </w:p>
        </w:tc>
        <w:tc>
          <w:tcPr>
            <w:tcW w:w="1370" w:type="dxa"/>
            <w:tcBorders>
              <w:top w:val="single" w:sz="4" w:space="0" w:color="auto"/>
              <w:bottom w:val="single" w:sz="4" w:space="0" w:color="auto"/>
            </w:tcBorders>
            <w:shd w:val="clear" w:color="auto" w:fill="FFFF00"/>
            <w:vAlign w:val="center"/>
          </w:tcPr>
          <w:p w:rsidR="00317B00" w:rsidRDefault="00317B00" w:rsidP="004E29DB">
            <w:pPr>
              <w:pStyle w:val="TableText"/>
              <w:jc w:val="center"/>
            </w:pPr>
          </w:p>
        </w:tc>
        <w:tc>
          <w:tcPr>
            <w:tcW w:w="1370" w:type="dxa"/>
            <w:tcBorders>
              <w:top w:val="single" w:sz="4" w:space="0" w:color="auto"/>
              <w:bottom w:val="single" w:sz="4" w:space="0" w:color="auto"/>
            </w:tcBorders>
            <w:shd w:val="clear" w:color="auto" w:fill="FFC000"/>
            <w:vAlign w:val="center"/>
          </w:tcPr>
          <w:p w:rsidR="00317B00" w:rsidRDefault="00317B00" w:rsidP="004E29DB">
            <w:pPr>
              <w:pStyle w:val="TableText"/>
              <w:jc w:val="center"/>
            </w:pPr>
          </w:p>
        </w:tc>
        <w:tc>
          <w:tcPr>
            <w:tcW w:w="1371" w:type="dxa"/>
            <w:tcBorders>
              <w:top w:val="single" w:sz="4" w:space="0" w:color="auto"/>
              <w:bottom w:val="single" w:sz="4" w:space="0" w:color="auto"/>
            </w:tcBorders>
            <w:shd w:val="clear" w:color="auto" w:fill="FFC000"/>
            <w:vAlign w:val="center"/>
          </w:tcPr>
          <w:p w:rsidR="00317B00" w:rsidRDefault="00317B00" w:rsidP="004E29DB">
            <w:pPr>
              <w:pStyle w:val="TableText"/>
              <w:jc w:val="center"/>
            </w:pPr>
          </w:p>
        </w:tc>
      </w:tr>
      <w:tr w:rsidR="00317B00" w:rsidTr="004E5ACC">
        <w:trPr>
          <w:cantSplit/>
          <w:trHeight w:hRule="exact" w:val="510"/>
        </w:trPr>
        <w:tc>
          <w:tcPr>
            <w:tcW w:w="709" w:type="dxa"/>
            <w:vMerge/>
          </w:tcPr>
          <w:p w:rsidR="00317B00" w:rsidRDefault="00317B00" w:rsidP="00317B00">
            <w:pPr>
              <w:pStyle w:val="TableText"/>
            </w:pPr>
          </w:p>
        </w:tc>
        <w:tc>
          <w:tcPr>
            <w:tcW w:w="709" w:type="dxa"/>
            <w:vAlign w:val="center"/>
          </w:tcPr>
          <w:p w:rsidR="00317B00" w:rsidRDefault="00317B00" w:rsidP="004E5ACC">
            <w:pPr>
              <w:pStyle w:val="TableText"/>
            </w:pPr>
            <w:r>
              <w:t>G3b</w:t>
            </w:r>
          </w:p>
        </w:tc>
        <w:tc>
          <w:tcPr>
            <w:tcW w:w="2977" w:type="dxa"/>
            <w:vAlign w:val="center"/>
          </w:tcPr>
          <w:p w:rsidR="00317B00" w:rsidRDefault="00317B00" w:rsidP="004E5ACC">
            <w:pPr>
              <w:pStyle w:val="TableText"/>
            </w:pPr>
            <w:r>
              <w:t>Moderately to severely decreased</w:t>
            </w:r>
          </w:p>
        </w:tc>
        <w:tc>
          <w:tcPr>
            <w:tcW w:w="850" w:type="dxa"/>
            <w:vAlign w:val="center"/>
          </w:tcPr>
          <w:p w:rsidR="00317B00" w:rsidRDefault="00317B00" w:rsidP="004E5ACC">
            <w:pPr>
              <w:pStyle w:val="TableText"/>
            </w:pPr>
            <w:r>
              <w:t>30–44</w:t>
            </w:r>
          </w:p>
        </w:tc>
        <w:tc>
          <w:tcPr>
            <w:tcW w:w="1370" w:type="dxa"/>
            <w:tcBorders>
              <w:top w:val="single" w:sz="4" w:space="0" w:color="auto"/>
              <w:bottom w:val="single" w:sz="4" w:space="0" w:color="auto"/>
            </w:tcBorders>
            <w:shd w:val="clear" w:color="auto" w:fill="FFC000"/>
            <w:vAlign w:val="center"/>
          </w:tcPr>
          <w:p w:rsidR="00317B00" w:rsidRDefault="00317B00" w:rsidP="004E29DB">
            <w:pPr>
              <w:pStyle w:val="TableText"/>
              <w:jc w:val="center"/>
            </w:pPr>
          </w:p>
        </w:tc>
        <w:tc>
          <w:tcPr>
            <w:tcW w:w="1370" w:type="dxa"/>
            <w:tcBorders>
              <w:top w:val="single" w:sz="4" w:space="0" w:color="auto"/>
              <w:bottom w:val="single" w:sz="4" w:space="0" w:color="auto"/>
            </w:tcBorders>
            <w:shd w:val="clear" w:color="auto" w:fill="FFC000"/>
            <w:vAlign w:val="center"/>
          </w:tcPr>
          <w:p w:rsidR="00317B00" w:rsidRDefault="00317B00" w:rsidP="004E29DB">
            <w:pPr>
              <w:pStyle w:val="TableText"/>
              <w:jc w:val="center"/>
            </w:pPr>
          </w:p>
        </w:tc>
        <w:tc>
          <w:tcPr>
            <w:tcW w:w="1371" w:type="dxa"/>
            <w:tcBorders>
              <w:top w:val="single" w:sz="4" w:space="0" w:color="auto"/>
              <w:bottom w:val="single" w:sz="4" w:space="0" w:color="auto"/>
            </w:tcBorders>
            <w:shd w:val="clear" w:color="auto" w:fill="FFC000"/>
            <w:vAlign w:val="center"/>
          </w:tcPr>
          <w:p w:rsidR="00317B00" w:rsidRDefault="00317B00" w:rsidP="004E29DB">
            <w:pPr>
              <w:pStyle w:val="TableText"/>
              <w:jc w:val="center"/>
            </w:pPr>
          </w:p>
        </w:tc>
      </w:tr>
      <w:tr w:rsidR="00317B00" w:rsidTr="004E5ACC">
        <w:trPr>
          <w:cantSplit/>
          <w:trHeight w:hRule="exact" w:val="510"/>
        </w:trPr>
        <w:tc>
          <w:tcPr>
            <w:tcW w:w="709" w:type="dxa"/>
            <w:vMerge/>
          </w:tcPr>
          <w:p w:rsidR="00317B00" w:rsidRDefault="00317B00" w:rsidP="00317B00">
            <w:pPr>
              <w:pStyle w:val="TableText"/>
            </w:pPr>
          </w:p>
        </w:tc>
        <w:tc>
          <w:tcPr>
            <w:tcW w:w="709" w:type="dxa"/>
            <w:vAlign w:val="center"/>
          </w:tcPr>
          <w:p w:rsidR="00317B00" w:rsidRDefault="00317B00" w:rsidP="004E5ACC">
            <w:pPr>
              <w:pStyle w:val="TableText"/>
            </w:pPr>
            <w:r>
              <w:t>G4</w:t>
            </w:r>
          </w:p>
        </w:tc>
        <w:tc>
          <w:tcPr>
            <w:tcW w:w="2977" w:type="dxa"/>
            <w:vAlign w:val="center"/>
          </w:tcPr>
          <w:p w:rsidR="00317B00" w:rsidRDefault="00317B00" w:rsidP="004E5ACC">
            <w:pPr>
              <w:pStyle w:val="TableText"/>
            </w:pPr>
            <w:r>
              <w:t>Severely decreased</w:t>
            </w:r>
          </w:p>
        </w:tc>
        <w:tc>
          <w:tcPr>
            <w:tcW w:w="850" w:type="dxa"/>
            <w:vAlign w:val="center"/>
          </w:tcPr>
          <w:p w:rsidR="00317B00" w:rsidRDefault="00317B00" w:rsidP="004E5ACC">
            <w:pPr>
              <w:pStyle w:val="TableText"/>
            </w:pPr>
            <w:r>
              <w:t>15–29</w:t>
            </w:r>
          </w:p>
        </w:tc>
        <w:tc>
          <w:tcPr>
            <w:tcW w:w="1370" w:type="dxa"/>
            <w:shd w:val="clear" w:color="auto" w:fill="FF0000"/>
            <w:vAlign w:val="center"/>
          </w:tcPr>
          <w:p w:rsidR="00317B00" w:rsidRDefault="00317B00" w:rsidP="004E29DB">
            <w:pPr>
              <w:pStyle w:val="TableText"/>
              <w:jc w:val="center"/>
            </w:pPr>
          </w:p>
        </w:tc>
        <w:tc>
          <w:tcPr>
            <w:tcW w:w="1370" w:type="dxa"/>
            <w:shd w:val="clear" w:color="auto" w:fill="FF0000"/>
            <w:vAlign w:val="center"/>
          </w:tcPr>
          <w:p w:rsidR="00317B00" w:rsidRDefault="00317B00" w:rsidP="004E29DB">
            <w:pPr>
              <w:pStyle w:val="TableText"/>
              <w:jc w:val="center"/>
            </w:pPr>
          </w:p>
        </w:tc>
        <w:tc>
          <w:tcPr>
            <w:tcW w:w="1371" w:type="dxa"/>
            <w:shd w:val="clear" w:color="auto" w:fill="FF0000"/>
            <w:vAlign w:val="center"/>
          </w:tcPr>
          <w:p w:rsidR="00317B00" w:rsidRDefault="00317B00" w:rsidP="004E29DB">
            <w:pPr>
              <w:pStyle w:val="TableText"/>
              <w:jc w:val="center"/>
            </w:pPr>
          </w:p>
        </w:tc>
      </w:tr>
      <w:tr w:rsidR="00317B00" w:rsidTr="004E5ACC">
        <w:trPr>
          <w:cantSplit/>
          <w:trHeight w:hRule="exact" w:val="510"/>
        </w:trPr>
        <w:tc>
          <w:tcPr>
            <w:tcW w:w="709" w:type="dxa"/>
            <w:vMerge/>
          </w:tcPr>
          <w:p w:rsidR="00317B00" w:rsidRDefault="00317B00" w:rsidP="00317B00">
            <w:pPr>
              <w:pStyle w:val="TableText"/>
            </w:pPr>
          </w:p>
        </w:tc>
        <w:tc>
          <w:tcPr>
            <w:tcW w:w="709" w:type="dxa"/>
            <w:vAlign w:val="center"/>
          </w:tcPr>
          <w:p w:rsidR="00317B00" w:rsidRDefault="00317B00" w:rsidP="004E5ACC">
            <w:pPr>
              <w:pStyle w:val="TableText"/>
            </w:pPr>
            <w:r>
              <w:t>G5</w:t>
            </w:r>
          </w:p>
        </w:tc>
        <w:tc>
          <w:tcPr>
            <w:tcW w:w="2977" w:type="dxa"/>
            <w:vAlign w:val="center"/>
          </w:tcPr>
          <w:p w:rsidR="00317B00" w:rsidRDefault="00317B00" w:rsidP="004E5ACC">
            <w:pPr>
              <w:pStyle w:val="TableText"/>
            </w:pPr>
            <w:r>
              <w:t>Kidney failure</w:t>
            </w:r>
          </w:p>
        </w:tc>
        <w:tc>
          <w:tcPr>
            <w:tcW w:w="850" w:type="dxa"/>
            <w:vAlign w:val="center"/>
          </w:tcPr>
          <w:p w:rsidR="00317B00" w:rsidRDefault="00317B00" w:rsidP="004E5ACC">
            <w:pPr>
              <w:pStyle w:val="TableText"/>
            </w:pPr>
            <w:r>
              <w:t>&lt; 15</w:t>
            </w:r>
          </w:p>
        </w:tc>
        <w:tc>
          <w:tcPr>
            <w:tcW w:w="1370" w:type="dxa"/>
            <w:shd w:val="clear" w:color="auto" w:fill="FF0000"/>
            <w:vAlign w:val="center"/>
          </w:tcPr>
          <w:p w:rsidR="00317B00" w:rsidRDefault="00317B00" w:rsidP="004E29DB">
            <w:pPr>
              <w:pStyle w:val="TableText"/>
              <w:jc w:val="center"/>
            </w:pPr>
          </w:p>
        </w:tc>
        <w:tc>
          <w:tcPr>
            <w:tcW w:w="1370" w:type="dxa"/>
            <w:shd w:val="clear" w:color="auto" w:fill="FF0000"/>
            <w:vAlign w:val="center"/>
          </w:tcPr>
          <w:p w:rsidR="00317B00" w:rsidRDefault="00317B00" w:rsidP="004E29DB">
            <w:pPr>
              <w:pStyle w:val="TableText"/>
              <w:jc w:val="center"/>
            </w:pPr>
          </w:p>
        </w:tc>
        <w:tc>
          <w:tcPr>
            <w:tcW w:w="1371" w:type="dxa"/>
            <w:shd w:val="clear" w:color="auto" w:fill="FF0000"/>
            <w:vAlign w:val="center"/>
          </w:tcPr>
          <w:p w:rsidR="00317B00" w:rsidRDefault="00317B00" w:rsidP="004E29DB">
            <w:pPr>
              <w:pStyle w:val="TableText"/>
              <w:jc w:val="center"/>
            </w:pPr>
          </w:p>
        </w:tc>
      </w:tr>
    </w:tbl>
    <w:p w:rsidR="00F74342" w:rsidRPr="00DB048D" w:rsidRDefault="00317B00" w:rsidP="00317B00">
      <w:pPr>
        <w:pStyle w:val="Note"/>
      </w:pPr>
      <w:r>
        <w:t>Green: low risk (if no other markers of kidney disease, no CKD); Yellow: moderately increased risk; Orange: high risk; Red: very high risk.</w:t>
      </w:r>
    </w:p>
    <w:p w:rsidR="004E5ACC" w:rsidRDefault="004E5ACC" w:rsidP="00234D5A">
      <w:bookmarkStart w:id="8" w:name="_Toc403628256"/>
    </w:p>
    <w:p w:rsidR="00234D5A" w:rsidRDefault="00234D5A" w:rsidP="00234D5A">
      <w:r>
        <w:br w:type="page"/>
      </w:r>
    </w:p>
    <w:p w:rsidR="00F74342" w:rsidRDefault="00F74342" w:rsidP="00F74342">
      <w:pPr>
        <w:pStyle w:val="Heading1"/>
      </w:pPr>
      <w:bookmarkStart w:id="9" w:name="_Toc405492463"/>
      <w:r>
        <w:t>Risks of CKD</w:t>
      </w:r>
      <w:bookmarkEnd w:id="8"/>
      <w:bookmarkEnd w:id="9"/>
    </w:p>
    <w:p w:rsidR="00F74342" w:rsidRDefault="00F74342" w:rsidP="00234D5A">
      <w:r w:rsidRPr="00841888">
        <w:t>CKD is associated with increased cardiovascular (CVD) and cerebrovascular risk and premature death. The presence of albuminuria is a marker of increased CVD risk as well as renal injury.</w:t>
      </w:r>
    </w:p>
    <w:p w:rsidR="00F74342" w:rsidRDefault="00F74342" w:rsidP="00234D5A"/>
    <w:p w:rsidR="00F74342" w:rsidRDefault="004E29DB" w:rsidP="004E29DB">
      <w:pPr>
        <w:pStyle w:val="Table"/>
      </w:pPr>
      <w:bookmarkStart w:id="10" w:name="_Toc405492481"/>
      <w:r>
        <w:t>Table</w:t>
      </w:r>
      <w:r w:rsidR="00F74342" w:rsidRPr="003F2775">
        <w:t xml:space="preserve"> 2</w:t>
      </w:r>
      <w:r w:rsidR="00F74342">
        <w:t xml:space="preserve"> </w:t>
      </w:r>
      <w:r w:rsidR="00F74342" w:rsidRPr="003F2775">
        <w:t xml:space="preserve">Pooled analysis showing </w:t>
      </w:r>
      <w:r w:rsidR="00F74342">
        <w:t>r</w:t>
      </w:r>
      <w:r w:rsidR="00F74342" w:rsidRPr="003F2775">
        <w:t xml:space="preserve">elative </w:t>
      </w:r>
      <w:r w:rsidR="00F74342">
        <w:t>r</w:t>
      </w:r>
      <w:r w:rsidR="00F74342" w:rsidRPr="003F2775">
        <w:t xml:space="preserve">isk controlled for multiple </w:t>
      </w:r>
      <w:r w:rsidR="00F74342">
        <w:t>c</w:t>
      </w:r>
      <w:r w:rsidR="00F74342" w:rsidRPr="003F2775">
        <w:t>o-</w:t>
      </w:r>
      <w:r w:rsidR="00F74342">
        <w:t>v</w:t>
      </w:r>
      <w:r w:rsidR="00F74342" w:rsidRPr="003F2775">
        <w:t>ariates from the CKD Consensus Consortium (1)</w:t>
      </w:r>
      <w:bookmarkEnd w:id="10"/>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907"/>
        <w:gridCol w:w="907"/>
        <w:gridCol w:w="907"/>
        <w:gridCol w:w="907"/>
        <w:gridCol w:w="908"/>
        <w:gridCol w:w="284"/>
        <w:gridCol w:w="907"/>
        <w:gridCol w:w="907"/>
        <w:gridCol w:w="907"/>
        <w:gridCol w:w="907"/>
        <w:gridCol w:w="908"/>
      </w:tblGrid>
      <w:tr w:rsidR="00242A9A" w:rsidRPr="00242A9A" w:rsidTr="00242A9A">
        <w:trPr>
          <w:cantSplit/>
        </w:trPr>
        <w:tc>
          <w:tcPr>
            <w:tcW w:w="4536" w:type="dxa"/>
            <w:gridSpan w:val="5"/>
            <w:tcBorders>
              <w:top w:val="nil"/>
              <w:left w:val="nil"/>
              <w:right w:val="nil"/>
            </w:tcBorders>
            <w:vAlign w:val="center"/>
          </w:tcPr>
          <w:p w:rsidR="00242A9A" w:rsidRPr="00242A9A" w:rsidRDefault="00242A9A" w:rsidP="00242A9A">
            <w:pPr>
              <w:pStyle w:val="TableText"/>
              <w:spacing w:before="0" w:after="120"/>
              <w:jc w:val="center"/>
              <w:rPr>
                <w:b/>
                <w:sz w:val="24"/>
                <w:szCs w:val="24"/>
              </w:rPr>
            </w:pPr>
            <w:r w:rsidRPr="00242A9A">
              <w:rPr>
                <w:b/>
                <w:sz w:val="24"/>
                <w:szCs w:val="24"/>
              </w:rPr>
              <w:t>All-cause mortality</w:t>
            </w:r>
          </w:p>
        </w:tc>
        <w:tc>
          <w:tcPr>
            <w:tcW w:w="284" w:type="dxa"/>
            <w:tcBorders>
              <w:top w:val="nil"/>
              <w:left w:val="nil"/>
              <w:bottom w:val="nil"/>
              <w:right w:val="nil"/>
            </w:tcBorders>
            <w:vAlign w:val="center"/>
          </w:tcPr>
          <w:p w:rsidR="00242A9A" w:rsidRPr="00242A9A" w:rsidRDefault="00242A9A" w:rsidP="00242A9A">
            <w:pPr>
              <w:pStyle w:val="TableText"/>
              <w:spacing w:before="0" w:after="120"/>
              <w:jc w:val="center"/>
              <w:rPr>
                <w:b/>
                <w:sz w:val="24"/>
                <w:szCs w:val="24"/>
              </w:rPr>
            </w:pPr>
          </w:p>
        </w:tc>
        <w:tc>
          <w:tcPr>
            <w:tcW w:w="4536" w:type="dxa"/>
            <w:gridSpan w:val="5"/>
            <w:tcBorders>
              <w:top w:val="nil"/>
              <w:left w:val="nil"/>
              <w:right w:val="nil"/>
            </w:tcBorders>
            <w:vAlign w:val="center"/>
          </w:tcPr>
          <w:p w:rsidR="00242A9A" w:rsidRPr="00242A9A" w:rsidRDefault="00242A9A" w:rsidP="00242A9A">
            <w:pPr>
              <w:pStyle w:val="TableText"/>
              <w:spacing w:before="0" w:after="120"/>
              <w:jc w:val="center"/>
              <w:rPr>
                <w:b/>
                <w:sz w:val="24"/>
                <w:szCs w:val="24"/>
              </w:rPr>
            </w:pPr>
            <w:r w:rsidRPr="00242A9A">
              <w:rPr>
                <w:b/>
                <w:sz w:val="24"/>
                <w:szCs w:val="24"/>
              </w:rPr>
              <w:t>Cardiovascular mortality</w:t>
            </w:r>
          </w:p>
        </w:tc>
      </w:tr>
      <w:tr w:rsidR="00242A9A" w:rsidRPr="00242A9A" w:rsidTr="00242A9A">
        <w:trPr>
          <w:cantSplit/>
        </w:trPr>
        <w:tc>
          <w:tcPr>
            <w:tcW w:w="907" w:type="dxa"/>
            <w:vAlign w:val="center"/>
          </w:tcPr>
          <w:p w:rsidR="00242A9A" w:rsidRPr="00242A9A" w:rsidRDefault="00242A9A" w:rsidP="00242A9A">
            <w:pPr>
              <w:pStyle w:val="TableText"/>
              <w:jc w:val="center"/>
              <w:rPr>
                <w:b/>
              </w:rPr>
            </w:pPr>
          </w:p>
        </w:tc>
        <w:tc>
          <w:tcPr>
            <w:tcW w:w="907" w:type="dxa"/>
            <w:tcBorders>
              <w:bottom w:val="single" w:sz="4" w:space="0" w:color="auto"/>
            </w:tcBorders>
            <w:vAlign w:val="center"/>
          </w:tcPr>
          <w:p w:rsidR="00242A9A" w:rsidRPr="00242A9A" w:rsidRDefault="00242A9A" w:rsidP="007B0A3D">
            <w:pPr>
              <w:pStyle w:val="TableText"/>
              <w:jc w:val="center"/>
              <w:rPr>
                <w:b/>
              </w:rPr>
            </w:pPr>
            <w:r w:rsidRPr="00242A9A">
              <w:rPr>
                <w:b/>
              </w:rPr>
              <w:t>ACR</w:t>
            </w:r>
            <w:r w:rsidRPr="00242A9A">
              <w:rPr>
                <w:b/>
              </w:rPr>
              <w:br/>
              <w:t>&lt; </w:t>
            </w:r>
            <w:r w:rsidR="007B0A3D">
              <w:rPr>
                <w:b/>
              </w:rPr>
              <w:t>1</w:t>
            </w:r>
          </w:p>
        </w:tc>
        <w:tc>
          <w:tcPr>
            <w:tcW w:w="907" w:type="dxa"/>
            <w:tcBorders>
              <w:bottom w:val="single" w:sz="4" w:space="0" w:color="auto"/>
            </w:tcBorders>
            <w:vAlign w:val="center"/>
          </w:tcPr>
          <w:p w:rsidR="00242A9A" w:rsidRPr="00242A9A" w:rsidRDefault="00242A9A" w:rsidP="007B0A3D">
            <w:pPr>
              <w:pStyle w:val="TableText"/>
              <w:jc w:val="center"/>
              <w:rPr>
                <w:b/>
              </w:rPr>
            </w:pPr>
            <w:r w:rsidRPr="00242A9A">
              <w:rPr>
                <w:b/>
              </w:rPr>
              <w:t>ACR</w:t>
            </w:r>
            <w:r w:rsidRPr="00242A9A">
              <w:rPr>
                <w:b/>
              </w:rPr>
              <w:br/>
            </w:r>
            <w:r w:rsidR="007B0A3D">
              <w:rPr>
                <w:b/>
              </w:rPr>
              <w:t>1-3</w:t>
            </w:r>
          </w:p>
        </w:tc>
        <w:tc>
          <w:tcPr>
            <w:tcW w:w="907" w:type="dxa"/>
            <w:tcBorders>
              <w:bottom w:val="single" w:sz="4" w:space="0" w:color="auto"/>
            </w:tcBorders>
            <w:vAlign w:val="center"/>
          </w:tcPr>
          <w:p w:rsidR="00242A9A" w:rsidRPr="00242A9A" w:rsidRDefault="00242A9A" w:rsidP="007B0A3D">
            <w:pPr>
              <w:pStyle w:val="TableText"/>
              <w:jc w:val="center"/>
              <w:rPr>
                <w:b/>
              </w:rPr>
            </w:pPr>
            <w:r w:rsidRPr="00242A9A">
              <w:rPr>
                <w:b/>
              </w:rPr>
              <w:t>ACR</w:t>
            </w:r>
            <w:r w:rsidRPr="00242A9A">
              <w:rPr>
                <w:b/>
              </w:rPr>
              <w:br/>
            </w:r>
            <w:r w:rsidR="007B0A3D">
              <w:rPr>
                <w:b/>
              </w:rPr>
              <w:t>3--30</w:t>
            </w:r>
          </w:p>
        </w:tc>
        <w:tc>
          <w:tcPr>
            <w:tcW w:w="908" w:type="dxa"/>
            <w:tcBorders>
              <w:bottom w:val="single" w:sz="4" w:space="0" w:color="auto"/>
            </w:tcBorders>
            <w:vAlign w:val="center"/>
          </w:tcPr>
          <w:p w:rsidR="00242A9A" w:rsidRPr="00242A9A" w:rsidRDefault="00242A9A" w:rsidP="007B0A3D">
            <w:pPr>
              <w:pStyle w:val="TableText"/>
              <w:jc w:val="center"/>
              <w:rPr>
                <w:b/>
              </w:rPr>
            </w:pPr>
            <w:r w:rsidRPr="00242A9A">
              <w:rPr>
                <w:b/>
              </w:rPr>
              <w:t>ACR</w:t>
            </w:r>
            <w:r w:rsidRPr="00242A9A">
              <w:rPr>
                <w:b/>
              </w:rPr>
              <w:br/>
            </w:r>
            <w:r w:rsidR="007B0A3D">
              <w:rPr>
                <w:rFonts w:cs="Arial"/>
                <w:b/>
              </w:rPr>
              <w:t>≥30</w:t>
            </w:r>
          </w:p>
        </w:tc>
        <w:tc>
          <w:tcPr>
            <w:tcW w:w="284" w:type="dxa"/>
            <w:tcBorders>
              <w:top w:val="nil"/>
              <w:bottom w:val="nil"/>
            </w:tcBorders>
            <w:vAlign w:val="center"/>
          </w:tcPr>
          <w:p w:rsidR="00242A9A" w:rsidRPr="00242A9A" w:rsidRDefault="00242A9A" w:rsidP="00242A9A">
            <w:pPr>
              <w:pStyle w:val="TableText"/>
              <w:jc w:val="center"/>
              <w:rPr>
                <w:b/>
              </w:rPr>
            </w:pPr>
          </w:p>
        </w:tc>
        <w:tc>
          <w:tcPr>
            <w:tcW w:w="907" w:type="dxa"/>
            <w:vAlign w:val="center"/>
          </w:tcPr>
          <w:p w:rsidR="00242A9A" w:rsidRPr="00242A9A" w:rsidRDefault="00242A9A" w:rsidP="00242A9A">
            <w:pPr>
              <w:pStyle w:val="TableText"/>
              <w:jc w:val="center"/>
              <w:rPr>
                <w:b/>
              </w:rPr>
            </w:pPr>
          </w:p>
        </w:tc>
        <w:tc>
          <w:tcPr>
            <w:tcW w:w="907" w:type="dxa"/>
            <w:tcBorders>
              <w:bottom w:val="single" w:sz="4" w:space="0" w:color="auto"/>
            </w:tcBorders>
            <w:vAlign w:val="center"/>
          </w:tcPr>
          <w:p w:rsidR="00242A9A" w:rsidRPr="00242A9A" w:rsidRDefault="00242A9A" w:rsidP="007B0A3D">
            <w:pPr>
              <w:pStyle w:val="TableText"/>
              <w:jc w:val="center"/>
              <w:rPr>
                <w:b/>
              </w:rPr>
            </w:pPr>
            <w:r w:rsidRPr="00242A9A">
              <w:rPr>
                <w:b/>
              </w:rPr>
              <w:t>ACR</w:t>
            </w:r>
            <w:r w:rsidRPr="00242A9A">
              <w:rPr>
                <w:b/>
              </w:rPr>
              <w:br/>
              <w:t>&lt; </w:t>
            </w:r>
            <w:r w:rsidR="007B0A3D">
              <w:rPr>
                <w:b/>
              </w:rPr>
              <w:t>1</w:t>
            </w:r>
          </w:p>
        </w:tc>
        <w:tc>
          <w:tcPr>
            <w:tcW w:w="907" w:type="dxa"/>
            <w:tcBorders>
              <w:bottom w:val="single" w:sz="4" w:space="0" w:color="auto"/>
            </w:tcBorders>
            <w:vAlign w:val="center"/>
          </w:tcPr>
          <w:p w:rsidR="00242A9A" w:rsidRPr="00242A9A" w:rsidRDefault="00242A9A" w:rsidP="007B0A3D">
            <w:pPr>
              <w:pStyle w:val="TableText"/>
              <w:jc w:val="center"/>
              <w:rPr>
                <w:b/>
              </w:rPr>
            </w:pPr>
            <w:r w:rsidRPr="00242A9A">
              <w:rPr>
                <w:b/>
              </w:rPr>
              <w:t>ACR</w:t>
            </w:r>
            <w:r w:rsidRPr="00242A9A">
              <w:rPr>
                <w:b/>
              </w:rPr>
              <w:br/>
            </w:r>
            <w:r w:rsidR="007B0A3D">
              <w:rPr>
                <w:b/>
              </w:rPr>
              <w:t>1-3</w:t>
            </w:r>
          </w:p>
        </w:tc>
        <w:tc>
          <w:tcPr>
            <w:tcW w:w="907" w:type="dxa"/>
            <w:tcBorders>
              <w:bottom w:val="single" w:sz="4" w:space="0" w:color="auto"/>
            </w:tcBorders>
            <w:vAlign w:val="center"/>
          </w:tcPr>
          <w:p w:rsidR="00242A9A" w:rsidRPr="00242A9A" w:rsidRDefault="00242A9A" w:rsidP="007B0A3D">
            <w:pPr>
              <w:pStyle w:val="TableText"/>
              <w:jc w:val="center"/>
              <w:rPr>
                <w:b/>
              </w:rPr>
            </w:pPr>
            <w:r w:rsidRPr="00242A9A">
              <w:rPr>
                <w:b/>
              </w:rPr>
              <w:t>ACR</w:t>
            </w:r>
            <w:r w:rsidRPr="00242A9A">
              <w:rPr>
                <w:b/>
              </w:rPr>
              <w:br/>
            </w:r>
            <w:r w:rsidR="007B0A3D">
              <w:rPr>
                <w:b/>
              </w:rPr>
              <w:t>3-30</w:t>
            </w:r>
          </w:p>
        </w:tc>
        <w:tc>
          <w:tcPr>
            <w:tcW w:w="908" w:type="dxa"/>
            <w:tcBorders>
              <w:bottom w:val="single" w:sz="4" w:space="0" w:color="auto"/>
            </w:tcBorders>
            <w:vAlign w:val="center"/>
          </w:tcPr>
          <w:p w:rsidR="00242A9A" w:rsidRPr="00242A9A" w:rsidRDefault="00242A9A" w:rsidP="007B0A3D">
            <w:pPr>
              <w:pStyle w:val="TableText"/>
              <w:jc w:val="center"/>
              <w:rPr>
                <w:b/>
              </w:rPr>
            </w:pPr>
            <w:r w:rsidRPr="00242A9A">
              <w:rPr>
                <w:b/>
              </w:rPr>
              <w:t>ACR</w:t>
            </w:r>
            <w:r w:rsidRPr="00242A9A">
              <w:rPr>
                <w:b/>
              </w:rPr>
              <w:br/>
            </w:r>
            <w:r w:rsidR="007B0A3D">
              <w:rPr>
                <w:rFonts w:cs="Arial"/>
                <w:b/>
              </w:rPr>
              <w:t>≥30</w:t>
            </w:r>
          </w:p>
        </w:tc>
      </w:tr>
      <w:tr w:rsidR="00242A9A" w:rsidTr="00242A9A">
        <w:trPr>
          <w:cantSplit/>
        </w:trPr>
        <w:tc>
          <w:tcPr>
            <w:tcW w:w="907" w:type="dxa"/>
            <w:vAlign w:val="center"/>
          </w:tcPr>
          <w:p w:rsidR="00242A9A" w:rsidRDefault="00242A9A" w:rsidP="00242A9A">
            <w:pPr>
              <w:pStyle w:val="TableText"/>
              <w:jc w:val="center"/>
            </w:pPr>
            <w:r>
              <w:t>eGFR</w:t>
            </w:r>
            <w:r>
              <w:br/>
              <w:t>&gt; 105</w:t>
            </w:r>
          </w:p>
        </w:tc>
        <w:tc>
          <w:tcPr>
            <w:tcW w:w="907" w:type="dxa"/>
            <w:shd w:val="clear" w:color="auto" w:fill="00B050"/>
            <w:vAlign w:val="center"/>
          </w:tcPr>
          <w:p w:rsidR="00242A9A" w:rsidRPr="00242A9A" w:rsidRDefault="00242A9A" w:rsidP="00F57BAF">
            <w:pPr>
              <w:pStyle w:val="TableText"/>
              <w:jc w:val="center"/>
              <w:rPr>
                <w:sz w:val="24"/>
                <w:szCs w:val="24"/>
              </w:rPr>
            </w:pPr>
            <w:r w:rsidRPr="00242A9A">
              <w:rPr>
                <w:sz w:val="24"/>
                <w:szCs w:val="24"/>
              </w:rPr>
              <w:t>1.1</w:t>
            </w:r>
          </w:p>
        </w:tc>
        <w:tc>
          <w:tcPr>
            <w:tcW w:w="907" w:type="dxa"/>
            <w:tcBorders>
              <w:bottom w:val="single" w:sz="4" w:space="0" w:color="auto"/>
            </w:tcBorders>
            <w:shd w:val="clear" w:color="auto" w:fill="FFFF00"/>
            <w:vAlign w:val="center"/>
          </w:tcPr>
          <w:p w:rsidR="00242A9A" w:rsidRPr="00242A9A" w:rsidRDefault="00242A9A" w:rsidP="00F57BAF">
            <w:pPr>
              <w:pStyle w:val="TableText"/>
              <w:jc w:val="center"/>
              <w:rPr>
                <w:sz w:val="24"/>
                <w:szCs w:val="24"/>
              </w:rPr>
            </w:pPr>
            <w:r w:rsidRPr="00242A9A">
              <w:rPr>
                <w:sz w:val="24"/>
                <w:szCs w:val="24"/>
              </w:rPr>
              <w:t>1.5</w:t>
            </w:r>
          </w:p>
        </w:tc>
        <w:tc>
          <w:tcPr>
            <w:tcW w:w="907" w:type="dxa"/>
            <w:tcBorders>
              <w:bottom w:val="single" w:sz="4" w:space="0" w:color="auto"/>
            </w:tcBorders>
            <w:shd w:val="clear" w:color="auto" w:fill="FFC000"/>
            <w:vAlign w:val="center"/>
          </w:tcPr>
          <w:p w:rsidR="00242A9A" w:rsidRPr="00242A9A" w:rsidRDefault="00242A9A" w:rsidP="00F57BAF">
            <w:pPr>
              <w:pStyle w:val="TableText"/>
              <w:jc w:val="center"/>
              <w:rPr>
                <w:sz w:val="24"/>
                <w:szCs w:val="24"/>
              </w:rPr>
            </w:pPr>
            <w:r w:rsidRPr="00242A9A">
              <w:rPr>
                <w:sz w:val="24"/>
                <w:szCs w:val="24"/>
              </w:rPr>
              <w:t>2.2</w:t>
            </w:r>
          </w:p>
        </w:tc>
        <w:tc>
          <w:tcPr>
            <w:tcW w:w="908" w:type="dxa"/>
            <w:tcBorders>
              <w:bottom w:val="single" w:sz="4" w:space="0" w:color="auto"/>
            </w:tcBorders>
            <w:shd w:val="clear" w:color="auto" w:fill="FF0000"/>
            <w:vAlign w:val="center"/>
          </w:tcPr>
          <w:p w:rsidR="00242A9A" w:rsidRPr="00242A9A" w:rsidRDefault="00242A9A" w:rsidP="00F57BAF">
            <w:pPr>
              <w:pStyle w:val="TableText"/>
              <w:jc w:val="center"/>
              <w:rPr>
                <w:sz w:val="24"/>
                <w:szCs w:val="24"/>
              </w:rPr>
            </w:pPr>
            <w:r w:rsidRPr="00242A9A">
              <w:rPr>
                <w:sz w:val="24"/>
                <w:szCs w:val="24"/>
              </w:rPr>
              <w:t>5.0</w:t>
            </w:r>
          </w:p>
        </w:tc>
        <w:tc>
          <w:tcPr>
            <w:tcW w:w="284" w:type="dxa"/>
            <w:tcBorders>
              <w:top w:val="nil"/>
              <w:bottom w:val="nil"/>
            </w:tcBorders>
            <w:vAlign w:val="center"/>
          </w:tcPr>
          <w:p w:rsidR="00242A9A" w:rsidRDefault="00242A9A" w:rsidP="00F57BAF">
            <w:pPr>
              <w:pStyle w:val="TableText"/>
              <w:jc w:val="center"/>
            </w:pPr>
          </w:p>
        </w:tc>
        <w:tc>
          <w:tcPr>
            <w:tcW w:w="907" w:type="dxa"/>
            <w:vAlign w:val="center"/>
          </w:tcPr>
          <w:p w:rsidR="00242A9A" w:rsidRDefault="00242A9A" w:rsidP="00F57BAF">
            <w:pPr>
              <w:pStyle w:val="TableText"/>
              <w:jc w:val="center"/>
            </w:pPr>
            <w:r>
              <w:t>eGFR</w:t>
            </w:r>
            <w:r>
              <w:br/>
              <w:t>&gt; 105</w:t>
            </w:r>
          </w:p>
        </w:tc>
        <w:tc>
          <w:tcPr>
            <w:tcW w:w="907" w:type="dxa"/>
            <w:shd w:val="clear" w:color="auto" w:fill="00B050"/>
            <w:vAlign w:val="center"/>
          </w:tcPr>
          <w:p w:rsidR="00242A9A" w:rsidRPr="00242A9A" w:rsidRDefault="00242A9A" w:rsidP="00F57BAF">
            <w:pPr>
              <w:pStyle w:val="TableText"/>
              <w:jc w:val="center"/>
              <w:rPr>
                <w:sz w:val="24"/>
                <w:szCs w:val="24"/>
              </w:rPr>
            </w:pPr>
            <w:r w:rsidRPr="00242A9A">
              <w:rPr>
                <w:sz w:val="24"/>
                <w:szCs w:val="24"/>
              </w:rPr>
              <w:t>0.9</w:t>
            </w:r>
          </w:p>
        </w:tc>
        <w:tc>
          <w:tcPr>
            <w:tcW w:w="907" w:type="dxa"/>
            <w:tcBorders>
              <w:bottom w:val="single" w:sz="4" w:space="0" w:color="auto"/>
            </w:tcBorders>
            <w:shd w:val="clear" w:color="auto" w:fill="00B050"/>
            <w:vAlign w:val="center"/>
          </w:tcPr>
          <w:p w:rsidR="00242A9A" w:rsidRPr="00242A9A" w:rsidRDefault="00242A9A" w:rsidP="00F57BAF">
            <w:pPr>
              <w:pStyle w:val="TableText"/>
              <w:jc w:val="center"/>
              <w:rPr>
                <w:sz w:val="24"/>
                <w:szCs w:val="24"/>
              </w:rPr>
            </w:pPr>
            <w:r w:rsidRPr="00242A9A">
              <w:rPr>
                <w:sz w:val="24"/>
                <w:szCs w:val="24"/>
              </w:rPr>
              <w:t>1.3</w:t>
            </w:r>
          </w:p>
        </w:tc>
        <w:tc>
          <w:tcPr>
            <w:tcW w:w="907" w:type="dxa"/>
            <w:tcBorders>
              <w:bottom w:val="single" w:sz="4" w:space="0" w:color="auto"/>
            </w:tcBorders>
            <w:shd w:val="clear" w:color="auto" w:fill="FFC000"/>
            <w:vAlign w:val="center"/>
          </w:tcPr>
          <w:p w:rsidR="00242A9A" w:rsidRPr="00242A9A" w:rsidRDefault="00242A9A" w:rsidP="00242A9A">
            <w:pPr>
              <w:pStyle w:val="TableText"/>
              <w:jc w:val="center"/>
              <w:rPr>
                <w:sz w:val="24"/>
                <w:szCs w:val="24"/>
              </w:rPr>
            </w:pPr>
            <w:r w:rsidRPr="00242A9A">
              <w:rPr>
                <w:sz w:val="24"/>
                <w:szCs w:val="24"/>
              </w:rPr>
              <w:t>2.3</w:t>
            </w:r>
          </w:p>
        </w:tc>
        <w:tc>
          <w:tcPr>
            <w:tcW w:w="908" w:type="dxa"/>
            <w:tcBorders>
              <w:bottom w:val="single" w:sz="4" w:space="0" w:color="auto"/>
            </w:tcBorders>
            <w:shd w:val="clear" w:color="auto" w:fill="FFFF00"/>
            <w:vAlign w:val="center"/>
          </w:tcPr>
          <w:p w:rsidR="00242A9A" w:rsidRPr="00242A9A" w:rsidRDefault="00242A9A" w:rsidP="00242A9A">
            <w:pPr>
              <w:pStyle w:val="TableText"/>
              <w:jc w:val="center"/>
              <w:rPr>
                <w:sz w:val="24"/>
                <w:szCs w:val="24"/>
              </w:rPr>
            </w:pPr>
            <w:r w:rsidRPr="00242A9A">
              <w:rPr>
                <w:sz w:val="24"/>
                <w:szCs w:val="24"/>
              </w:rPr>
              <w:t>2.1</w:t>
            </w:r>
          </w:p>
        </w:tc>
      </w:tr>
      <w:tr w:rsidR="00242A9A" w:rsidTr="00242A9A">
        <w:trPr>
          <w:cantSplit/>
        </w:trPr>
        <w:tc>
          <w:tcPr>
            <w:tcW w:w="907" w:type="dxa"/>
            <w:vAlign w:val="center"/>
          </w:tcPr>
          <w:p w:rsidR="00242A9A" w:rsidRDefault="00242A9A" w:rsidP="00242A9A">
            <w:pPr>
              <w:pStyle w:val="TableText"/>
              <w:jc w:val="center"/>
            </w:pPr>
            <w:r>
              <w:t>eGFR</w:t>
            </w:r>
            <w:r>
              <w:br/>
              <w:t>90–105</w:t>
            </w:r>
          </w:p>
        </w:tc>
        <w:tc>
          <w:tcPr>
            <w:tcW w:w="907" w:type="dxa"/>
            <w:tcBorders>
              <w:bottom w:val="single" w:sz="4" w:space="0" w:color="auto"/>
            </w:tcBorders>
            <w:shd w:val="clear" w:color="auto" w:fill="00B050"/>
            <w:vAlign w:val="center"/>
          </w:tcPr>
          <w:p w:rsidR="00242A9A" w:rsidRPr="00242A9A" w:rsidRDefault="00242A9A" w:rsidP="00242A9A">
            <w:pPr>
              <w:pStyle w:val="TableText"/>
              <w:jc w:val="center"/>
              <w:rPr>
                <w:sz w:val="24"/>
                <w:szCs w:val="24"/>
              </w:rPr>
            </w:pPr>
            <w:r w:rsidRPr="00242A9A">
              <w:rPr>
                <w:sz w:val="24"/>
                <w:szCs w:val="24"/>
              </w:rPr>
              <w:t>Ref</w:t>
            </w:r>
          </w:p>
        </w:tc>
        <w:tc>
          <w:tcPr>
            <w:tcW w:w="907" w:type="dxa"/>
            <w:tcBorders>
              <w:bottom w:val="single" w:sz="4" w:space="0" w:color="auto"/>
            </w:tcBorders>
            <w:shd w:val="clear" w:color="auto" w:fill="00B050"/>
            <w:vAlign w:val="center"/>
          </w:tcPr>
          <w:p w:rsidR="00242A9A" w:rsidRPr="00242A9A" w:rsidRDefault="00242A9A" w:rsidP="00242A9A">
            <w:pPr>
              <w:pStyle w:val="TableText"/>
              <w:jc w:val="center"/>
              <w:rPr>
                <w:sz w:val="24"/>
                <w:szCs w:val="24"/>
              </w:rPr>
            </w:pPr>
            <w:r w:rsidRPr="00242A9A">
              <w:rPr>
                <w:sz w:val="24"/>
                <w:szCs w:val="24"/>
              </w:rPr>
              <w:t>1.4</w:t>
            </w:r>
          </w:p>
        </w:tc>
        <w:tc>
          <w:tcPr>
            <w:tcW w:w="907" w:type="dxa"/>
            <w:tcBorders>
              <w:bottom w:val="single" w:sz="4" w:space="0" w:color="auto"/>
            </w:tcBorders>
            <w:shd w:val="clear" w:color="auto" w:fill="FFFF00"/>
            <w:vAlign w:val="center"/>
          </w:tcPr>
          <w:p w:rsidR="00242A9A" w:rsidRPr="00242A9A" w:rsidRDefault="00242A9A" w:rsidP="00242A9A">
            <w:pPr>
              <w:pStyle w:val="TableText"/>
              <w:jc w:val="center"/>
              <w:rPr>
                <w:sz w:val="24"/>
                <w:szCs w:val="24"/>
              </w:rPr>
            </w:pPr>
            <w:r w:rsidRPr="00242A9A">
              <w:rPr>
                <w:sz w:val="24"/>
                <w:szCs w:val="24"/>
              </w:rPr>
              <w:t>1.5</w:t>
            </w:r>
          </w:p>
        </w:tc>
        <w:tc>
          <w:tcPr>
            <w:tcW w:w="908" w:type="dxa"/>
            <w:tcBorders>
              <w:bottom w:val="single" w:sz="4" w:space="0" w:color="auto"/>
            </w:tcBorders>
            <w:shd w:val="clear" w:color="auto" w:fill="FFC000"/>
            <w:vAlign w:val="center"/>
          </w:tcPr>
          <w:p w:rsidR="00242A9A" w:rsidRPr="00242A9A" w:rsidRDefault="00242A9A" w:rsidP="00242A9A">
            <w:pPr>
              <w:pStyle w:val="TableText"/>
              <w:jc w:val="center"/>
              <w:rPr>
                <w:sz w:val="24"/>
                <w:szCs w:val="24"/>
              </w:rPr>
            </w:pPr>
            <w:r w:rsidRPr="00242A9A">
              <w:rPr>
                <w:sz w:val="24"/>
                <w:szCs w:val="24"/>
              </w:rPr>
              <w:t>3.1</w:t>
            </w:r>
          </w:p>
        </w:tc>
        <w:tc>
          <w:tcPr>
            <w:tcW w:w="284" w:type="dxa"/>
            <w:tcBorders>
              <w:top w:val="nil"/>
              <w:bottom w:val="nil"/>
            </w:tcBorders>
            <w:vAlign w:val="center"/>
          </w:tcPr>
          <w:p w:rsidR="00242A9A" w:rsidRDefault="00242A9A" w:rsidP="00242A9A">
            <w:pPr>
              <w:pStyle w:val="TableText"/>
              <w:jc w:val="center"/>
            </w:pPr>
          </w:p>
        </w:tc>
        <w:tc>
          <w:tcPr>
            <w:tcW w:w="907" w:type="dxa"/>
            <w:vAlign w:val="center"/>
          </w:tcPr>
          <w:p w:rsidR="00242A9A" w:rsidRDefault="00242A9A" w:rsidP="00F57BAF">
            <w:pPr>
              <w:pStyle w:val="TableText"/>
              <w:jc w:val="center"/>
            </w:pPr>
            <w:r>
              <w:t>eGFR</w:t>
            </w:r>
            <w:r>
              <w:br/>
              <w:t>90–105</w:t>
            </w:r>
          </w:p>
        </w:tc>
        <w:tc>
          <w:tcPr>
            <w:tcW w:w="907" w:type="dxa"/>
            <w:tcBorders>
              <w:bottom w:val="single" w:sz="4" w:space="0" w:color="auto"/>
            </w:tcBorders>
            <w:shd w:val="clear" w:color="auto" w:fill="00B050"/>
            <w:vAlign w:val="center"/>
          </w:tcPr>
          <w:p w:rsidR="00242A9A" w:rsidRPr="00242A9A" w:rsidRDefault="00242A9A" w:rsidP="00242A9A">
            <w:pPr>
              <w:pStyle w:val="TableText"/>
              <w:jc w:val="center"/>
              <w:rPr>
                <w:sz w:val="24"/>
                <w:szCs w:val="24"/>
              </w:rPr>
            </w:pPr>
            <w:r w:rsidRPr="00242A9A">
              <w:rPr>
                <w:sz w:val="24"/>
                <w:szCs w:val="24"/>
              </w:rPr>
              <w:t>Ref</w:t>
            </w:r>
          </w:p>
        </w:tc>
        <w:tc>
          <w:tcPr>
            <w:tcW w:w="907" w:type="dxa"/>
            <w:tcBorders>
              <w:bottom w:val="single" w:sz="4" w:space="0" w:color="auto"/>
            </w:tcBorders>
            <w:shd w:val="clear" w:color="auto" w:fill="FFFF00"/>
            <w:vAlign w:val="center"/>
          </w:tcPr>
          <w:p w:rsidR="00242A9A" w:rsidRPr="00242A9A" w:rsidRDefault="00242A9A" w:rsidP="00242A9A">
            <w:pPr>
              <w:pStyle w:val="TableText"/>
              <w:jc w:val="center"/>
              <w:rPr>
                <w:sz w:val="24"/>
                <w:szCs w:val="24"/>
              </w:rPr>
            </w:pPr>
            <w:r w:rsidRPr="00242A9A">
              <w:rPr>
                <w:sz w:val="24"/>
                <w:szCs w:val="24"/>
              </w:rPr>
              <w:t>1.5</w:t>
            </w:r>
          </w:p>
        </w:tc>
        <w:tc>
          <w:tcPr>
            <w:tcW w:w="907" w:type="dxa"/>
            <w:tcBorders>
              <w:bottom w:val="single" w:sz="4" w:space="0" w:color="auto"/>
            </w:tcBorders>
            <w:shd w:val="clear" w:color="auto" w:fill="FFFF00"/>
            <w:vAlign w:val="center"/>
          </w:tcPr>
          <w:p w:rsidR="00242A9A" w:rsidRPr="00242A9A" w:rsidRDefault="00242A9A" w:rsidP="00242A9A">
            <w:pPr>
              <w:pStyle w:val="TableText"/>
              <w:jc w:val="center"/>
              <w:rPr>
                <w:sz w:val="24"/>
                <w:szCs w:val="24"/>
              </w:rPr>
            </w:pPr>
            <w:r w:rsidRPr="00242A9A">
              <w:rPr>
                <w:sz w:val="24"/>
                <w:szCs w:val="24"/>
              </w:rPr>
              <w:t>1.7</w:t>
            </w:r>
          </w:p>
        </w:tc>
        <w:tc>
          <w:tcPr>
            <w:tcW w:w="908" w:type="dxa"/>
            <w:tcBorders>
              <w:bottom w:val="single" w:sz="4" w:space="0" w:color="auto"/>
            </w:tcBorders>
            <w:shd w:val="clear" w:color="auto" w:fill="FFC000"/>
            <w:vAlign w:val="center"/>
          </w:tcPr>
          <w:p w:rsidR="00242A9A" w:rsidRPr="00242A9A" w:rsidRDefault="00242A9A" w:rsidP="00242A9A">
            <w:pPr>
              <w:pStyle w:val="TableText"/>
              <w:jc w:val="center"/>
              <w:rPr>
                <w:sz w:val="24"/>
                <w:szCs w:val="24"/>
              </w:rPr>
            </w:pPr>
            <w:r w:rsidRPr="00242A9A">
              <w:rPr>
                <w:sz w:val="24"/>
                <w:szCs w:val="24"/>
              </w:rPr>
              <w:t>3.7</w:t>
            </w:r>
          </w:p>
        </w:tc>
      </w:tr>
      <w:tr w:rsidR="00242A9A" w:rsidTr="00242A9A">
        <w:trPr>
          <w:cantSplit/>
        </w:trPr>
        <w:tc>
          <w:tcPr>
            <w:tcW w:w="907" w:type="dxa"/>
            <w:vAlign w:val="center"/>
          </w:tcPr>
          <w:p w:rsidR="00242A9A" w:rsidRDefault="00242A9A" w:rsidP="00242A9A">
            <w:pPr>
              <w:pStyle w:val="TableText"/>
              <w:jc w:val="center"/>
            </w:pPr>
            <w:r>
              <w:t>eGFR</w:t>
            </w:r>
            <w:r>
              <w:br/>
              <w:t>75–90</w:t>
            </w:r>
          </w:p>
        </w:tc>
        <w:tc>
          <w:tcPr>
            <w:tcW w:w="907" w:type="dxa"/>
            <w:tcBorders>
              <w:top w:val="single" w:sz="4" w:space="0" w:color="auto"/>
              <w:bottom w:val="single" w:sz="4" w:space="0" w:color="auto"/>
            </w:tcBorders>
            <w:shd w:val="clear" w:color="auto" w:fill="00B050"/>
            <w:vAlign w:val="center"/>
          </w:tcPr>
          <w:p w:rsidR="00242A9A" w:rsidRPr="00242A9A" w:rsidRDefault="00242A9A" w:rsidP="00242A9A">
            <w:pPr>
              <w:pStyle w:val="TableText"/>
              <w:jc w:val="center"/>
              <w:rPr>
                <w:sz w:val="24"/>
                <w:szCs w:val="24"/>
              </w:rPr>
            </w:pPr>
            <w:r w:rsidRPr="00242A9A">
              <w:rPr>
                <w:sz w:val="24"/>
                <w:szCs w:val="24"/>
              </w:rPr>
              <w:t>1.0</w:t>
            </w:r>
          </w:p>
        </w:tc>
        <w:tc>
          <w:tcPr>
            <w:tcW w:w="907" w:type="dxa"/>
            <w:tcBorders>
              <w:top w:val="single" w:sz="4" w:space="0" w:color="auto"/>
              <w:bottom w:val="single" w:sz="4" w:space="0" w:color="auto"/>
            </w:tcBorders>
            <w:shd w:val="clear" w:color="auto" w:fill="00B050"/>
            <w:vAlign w:val="center"/>
          </w:tcPr>
          <w:p w:rsidR="00242A9A" w:rsidRPr="00242A9A" w:rsidRDefault="00242A9A" w:rsidP="00242A9A">
            <w:pPr>
              <w:pStyle w:val="TableText"/>
              <w:jc w:val="center"/>
              <w:rPr>
                <w:sz w:val="24"/>
                <w:szCs w:val="24"/>
              </w:rPr>
            </w:pPr>
            <w:r w:rsidRPr="00242A9A">
              <w:rPr>
                <w:sz w:val="24"/>
                <w:szCs w:val="24"/>
              </w:rPr>
              <w:t>1.3</w:t>
            </w:r>
          </w:p>
        </w:tc>
        <w:tc>
          <w:tcPr>
            <w:tcW w:w="907" w:type="dxa"/>
            <w:tcBorders>
              <w:top w:val="single" w:sz="4" w:space="0" w:color="auto"/>
              <w:bottom w:val="single" w:sz="4" w:space="0" w:color="auto"/>
            </w:tcBorders>
            <w:shd w:val="clear" w:color="auto" w:fill="FFFF00"/>
            <w:vAlign w:val="center"/>
          </w:tcPr>
          <w:p w:rsidR="00242A9A" w:rsidRPr="00242A9A" w:rsidRDefault="00242A9A" w:rsidP="00242A9A">
            <w:pPr>
              <w:pStyle w:val="TableText"/>
              <w:jc w:val="center"/>
              <w:rPr>
                <w:sz w:val="24"/>
                <w:szCs w:val="24"/>
              </w:rPr>
            </w:pPr>
            <w:r w:rsidRPr="00242A9A">
              <w:rPr>
                <w:sz w:val="24"/>
                <w:szCs w:val="24"/>
              </w:rPr>
              <w:t>1.7</w:t>
            </w:r>
          </w:p>
        </w:tc>
        <w:tc>
          <w:tcPr>
            <w:tcW w:w="908" w:type="dxa"/>
            <w:tcBorders>
              <w:top w:val="single" w:sz="4" w:space="0" w:color="auto"/>
              <w:bottom w:val="single" w:sz="4" w:space="0" w:color="auto"/>
            </w:tcBorders>
            <w:shd w:val="clear" w:color="auto" w:fill="FFC000"/>
            <w:vAlign w:val="center"/>
          </w:tcPr>
          <w:p w:rsidR="00242A9A" w:rsidRPr="00242A9A" w:rsidRDefault="00242A9A" w:rsidP="00242A9A">
            <w:pPr>
              <w:pStyle w:val="TableText"/>
              <w:jc w:val="center"/>
              <w:rPr>
                <w:sz w:val="24"/>
                <w:szCs w:val="24"/>
              </w:rPr>
            </w:pPr>
            <w:r w:rsidRPr="00242A9A">
              <w:rPr>
                <w:sz w:val="24"/>
                <w:szCs w:val="24"/>
              </w:rPr>
              <w:t>2.3</w:t>
            </w:r>
          </w:p>
        </w:tc>
        <w:tc>
          <w:tcPr>
            <w:tcW w:w="284" w:type="dxa"/>
            <w:tcBorders>
              <w:top w:val="nil"/>
              <w:bottom w:val="nil"/>
            </w:tcBorders>
            <w:vAlign w:val="center"/>
          </w:tcPr>
          <w:p w:rsidR="00242A9A" w:rsidRDefault="00242A9A" w:rsidP="00242A9A">
            <w:pPr>
              <w:pStyle w:val="TableText"/>
              <w:jc w:val="center"/>
            </w:pPr>
          </w:p>
        </w:tc>
        <w:tc>
          <w:tcPr>
            <w:tcW w:w="907" w:type="dxa"/>
            <w:vAlign w:val="center"/>
          </w:tcPr>
          <w:p w:rsidR="00242A9A" w:rsidRDefault="00242A9A" w:rsidP="00F57BAF">
            <w:pPr>
              <w:pStyle w:val="TableText"/>
              <w:jc w:val="center"/>
            </w:pPr>
            <w:r>
              <w:t>eGFR</w:t>
            </w:r>
            <w:r>
              <w:br/>
              <w:t>75–90</w:t>
            </w:r>
          </w:p>
        </w:tc>
        <w:tc>
          <w:tcPr>
            <w:tcW w:w="907" w:type="dxa"/>
            <w:tcBorders>
              <w:top w:val="single" w:sz="4" w:space="0" w:color="auto"/>
              <w:bottom w:val="single" w:sz="4" w:space="0" w:color="auto"/>
            </w:tcBorders>
            <w:shd w:val="clear" w:color="auto" w:fill="00B050"/>
            <w:vAlign w:val="center"/>
          </w:tcPr>
          <w:p w:rsidR="00242A9A" w:rsidRPr="00242A9A" w:rsidRDefault="00242A9A" w:rsidP="00242A9A">
            <w:pPr>
              <w:pStyle w:val="TableText"/>
              <w:jc w:val="center"/>
              <w:rPr>
                <w:sz w:val="24"/>
                <w:szCs w:val="24"/>
              </w:rPr>
            </w:pPr>
            <w:r w:rsidRPr="00242A9A">
              <w:rPr>
                <w:sz w:val="24"/>
                <w:szCs w:val="24"/>
              </w:rPr>
              <w:t>1.0</w:t>
            </w:r>
          </w:p>
        </w:tc>
        <w:tc>
          <w:tcPr>
            <w:tcW w:w="907" w:type="dxa"/>
            <w:tcBorders>
              <w:top w:val="single" w:sz="4" w:space="0" w:color="auto"/>
              <w:bottom w:val="single" w:sz="4" w:space="0" w:color="auto"/>
            </w:tcBorders>
            <w:shd w:val="clear" w:color="auto" w:fill="00B050"/>
            <w:vAlign w:val="center"/>
          </w:tcPr>
          <w:p w:rsidR="00242A9A" w:rsidRPr="00242A9A" w:rsidRDefault="00242A9A" w:rsidP="00242A9A">
            <w:pPr>
              <w:pStyle w:val="TableText"/>
              <w:jc w:val="center"/>
              <w:rPr>
                <w:sz w:val="24"/>
                <w:szCs w:val="24"/>
              </w:rPr>
            </w:pPr>
            <w:r w:rsidRPr="00242A9A">
              <w:rPr>
                <w:sz w:val="24"/>
                <w:szCs w:val="24"/>
              </w:rPr>
              <w:t>1.3</w:t>
            </w:r>
          </w:p>
        </w:tc>
        <w:tc>
          <w:tcPr>
            <w:tcW w:w="907" w:type="dxa"/>
            <w:tcBorders>
              <w:top w:val="single" w:sz="4" w:space="0" w:color="auto"/>
              <w:bottom w:val="single" w:sz="4" w:space="0" w:color="auto"/>
            </w:tcBorders>
            <w:shd w:val="clear" w:color="auto" w:fill="FFFF00"/>
            <w:vAlign w:val="center"/>
          </w:tcPr>
          <w:p w:rsidR="00242A9A" w:rsidRPr="00242A9A" w:rsidRDefault="00242A9A" w:rsidP="00242A9A">
            <w:pPr>
              <w:pStyle w:val="TableText"/>
              <w:jc w:val="center"/>
              <w:rPr>
                <w:sz w:val="24"/>
                <w:szCs w:val="24"/>
              </w:rPr>
            </w:pPr>
            <w:r w:rsidRPr="00242A9A">
              <w:rPr>
                <w:sz w:val="24"/>
                <w:szCs w:val="24"/>
              </w:rPr>
              <w:t>1.6</w:t>
            </w:r>
          </w:p>
        </w:tc>
        <w:tc>
          <w:tcPr>
            <w:tcW w:w="908" w:type="dxa"/>
            <w:tcBorders>
              <w:top w:val="single" w:sz="4" w:space="0" w:color="auto"/>
              <w:bottom w:val="single" w:sz="4" w:space="0" w:color="auto"/>
            </w:tcBorders>
            <w:shd w:val="clear" w:color="auto" w:fill="FFC000"/>
            <w:vAlign w:val="center"/>
          </w:tcPr>
          <w:p w:rsidR="00242A9A" w:rsidRPr="00242A9A" w:rsidRDefault="00242A9A" w:rsidP="00242A9A">
            <w:pPr>
              <w:pStyle w:val="TableText"/>
              <w:jc w:val="center"/>
              <w:rPr>
                <w:sz w:val="24"/>
                <w:szCs w:val="24"/>
              </w:rPr>
            </w:pPr>
            <w:r w:rsidRPr="00242A9A">
              <w:rPr>
                <w:sz w:val="24"/>
                <w:szCs w:val="24"/>
              </w:rPr>
              <w:t>3.7</w:t>
            </w:r>
          </w:p>
        </w:tc>
      </w:tr>
      <w:tr w:rsidR="00242A9A" w:rsidTr="00242A9A">
        <w:trPr>
          <w:cantSplit/>
        </w:trPr>
        <w:tc>
          <w:tcPr>
            <w:tcW w:w="907" w:type="dxa"/>
            <w:vAlign w:val="center"/>
          </w:tcPr>
          <w:p w:rsidR="00242A9A" w:rsidRDefault="00242A9A" w:rsidP="00242A9A">
            <w:pPr>
              <w:pStyle w:val="TableText"/>
              <w:jc w:val="center"/>
            </w:pPr>
            <w:r>
              <w:t>eGFR</w:t>
            </w:r>
            <w:r>
              <w:br/>
              <w:t>60–75</w:t>
            </w:r>
          </w:p>
        </w:tc>
        <w:tc>
          <w:tcPr>
            <w:tcW w:w="907" w:type="dxa"/>
            <w:tcBorders>
              <w:top w:val="single" w:sz="4" w:space="0" w:color="auto"/>
            </w:tcBorders>
            <w:shd w:val="clear" w:color="auto" w:fill="00B050"/>
            <w:vAlign w:val="center"/>
          </w:tcPr>
          <w:p w:rsidR="00242A9A" w:rsidRPr="00242A9A" w:rsidRDefault="00242A9A" w:rsidP="00242A9A">
            <w:pPr>
              <w:pStyle w:val="TableText"/>
              <w:jc w:val="center"/>
              <w:rPr>
                <w:sz w:val="24"/>
                <w:szCs w:val="24"/>
              </w:rPr>
            </w:pPr>
            <w:r w:rsidRPr="00242A9A">
              <w:rPr>
                <w:sz w:val="24"/>
                <w:szCs w:val="24"/>
              </w:rPr>
              <w:t>1.0</w:t>
            </w:r>
          </w:p>
        </w:tc>
        <w:tc>
          <w:tcPr>
            <w:tcW w:w="907" w:type="dxa"/>
            <w:tcBorders>
              <w:top w:val="single" w:sz="4" w:space="0" w:color="auto"/>
              <w:bottom w:val="single" w:sz="4" w:space="0" w:color="auto"/>
            </w:tcBorders>
            <w:shd w:val="clear" w:color="auto" w:fill="00B050"/>
            <w:vAlign w:val="center"/>
          </w:tcPr>
          <w:p w:rsidR="00242A9A" w:rsidRPr="00242A9A" w:rsidRDefault="00242A9A" w:rsidP="00242A9A">
            <w:pPr>
              <w:pStyle w:val="TableText"/>
              <w:jc w:val="center"/>
              <w:rPr>
                <w:sz w:val="24"/>
                <w:szCs w:val="24"/>
              </w:rPr>
            </w:pPr>
            <w:r w:rsidRPr="00242A9A">
              <w:rPr>
                <w:sz w:val="24"/>
                <w:szCs w:val="24"/>
              </w:rPr>
              <w:t>1.4</w:t>
            </w:r>
          </w:p>
        </w:tc>
        <w:tc>
          <w:tcPr>
            <w:tcW w:w="907" w:type="dxa"/>
            <w:tcBorders>
              <w:top w:val="single" w:sz="4" w:space="0" w:color="auto"/>
              <w:bottom w:val="single" w:sz="4" w:space="0" w:color="auto"/>
            </w:tcBorders>
            <w:shd w:val="clear" w:color="auto" w:fill="FFFF00"/>
            <w:vAlign w:val="center"/>
          </w:tcPr>
          <w:p w:rsidR="00242A9A" w:rsidRPr="00242A9A" w:rsidRDefault="00242A9A" w:rsidP="00242A9A">
            <w:pPr>
              <w:pStyle w:val="TableText"/>
              <w:jc w:val="center"/>
              <w:rPr>
                <w:sz w:val="24"/>
                <w:szCs w:val="24"/>
              </w:rPr>
            </w:pPr>
            <w:r w:rsidRPr="00242A9A">
              <w:rPr>
                <w:sz w:val="24"/>
                <w:szCs w:val="24"/>
              </w:rPr>
              <w:t>1.8</w:t>
            </w:r>
          </w:p>
        </w:tc>
        <w:tc>
          <w:tcPr>
            <w:tcW w:w="908" w:type="dxa"/>
            <w:tcBorders>
              <w:top w:val="single" w:sz="4" w:space="0" w:color="auto"/>
              <w:bottom w:val="single" w:sz="4" w:space="0" w:color="auto"/>
            </w:tcBorders>
            <w:shd w:val="clear" w:color="auto" w:fill="FFC000"/>
            <w:vAlign w:val="center"/>
          </w:tcPr>
          <w:p w:rsidR="00242A9A" w:rsidRPr="00242A9A" w:rsidRDefault="00242A9A" w:rsidP="00242A9A">
            <w:pPr>
              <w:pStyle w:val="TableText"/>
              <w:jc w:val="center"/>
              <w:rPr>
                <w:sz w:val="24"/>
                <w:szCs w:val="24"/>
              </w:rPr>
            </w:pPr>
            <w:r w:rsidRPr="00242A9A">
              <w:rPr>
                <w:sz w:val="24"/>
                <w:szCs w:val="24"/>
              </w:rPr>
              <w:t>2.7</w:t>
            </w:r>
          </w:p>
        </w:tc>
        <w:tc>
          <w:tcPr>
            <w:tcW w:w="284" w:type="dxa"/>
            <w:tcBorders>
              <w:top w:val="nil"/>
              <w:bottom w:val="nil"/>
            </w:tcBorders>
            <w:vAlign w:val="center"/>
          </w:tcPr>
          <w:p w:rsidR="00242A9A" w:rsidRDefault="00242A9A" w:rsidP="00242A9A">
            <w:pPr>
              <w:pStyle w:val="TableText"/>
              <w:jc w:val="center"/>
            </w:pPr>
          </w:p>
        </w:tc>
        <w:tc>
          <w:tcPr>
            <w:tcW w:w="907" w:type="dxa"/>
            <w:vAlign w:val="center"/>
          </w:tcPr>
          <w:p w:rsidR="00242A9A" w:rsidRDefault="00242A9A" w:rsidP="00F57BAF">
            <w:pPr>
              <w:pStyle w:val="TableText"/>
              <w:jc w:val="center"/>
            </w:pPr>
            <w:r>
              <w:t>eGFR</w:t>
            </w:r>
            <w:r>
              <w:br/>
              <w:t>60–75</w:t>
            </w:r>
          </w:p>
        </w:tc>
        <w:tc>
          <w:tcPr>
            <w:tcW w:w="907" w:type="dxa"/>
            <w:tcBorders>
              <w:top w:val="single" w:sz="4" w:space="0" w:color="auto"/>
              <w:bottom w:val="single" w:sz="4" w:space="0" w:color="auto"/>
            </w:tcBorders>
            <w:shd w:val="clear" w:color="auto" w:fill="00B050"/>
            <w:vAlign w:val="center"/>
          </w:tcPr>
          <w:p w:rsidR="00242A9A" w:rsidRPr="00242A9A" w:rsidRDefault="00242A9A" w:rsidP="00242A9A">
            <w:pPr>
              <w:pStyle w:val="TableText"/>
              <w:jc w:val="center"/>
              <w:rPr>
                <w:sz w:val="24"/>
                <w:szCs w:val="24"/>
              </w:rPr>
            </w:pPr>
            <w:r w:rsidRPr="00242A9A">
              <w:rPr>
                <w:sz w:val="24"/>
                <w:szCs w:val="24"/>
              </w:rPr>
              <w:t>1.1</w:t>
            </w:r>
          </w:p>
        </w:tc>
        <w:tc>
          <w:tcPr>
            <w:tcW w:w="907" w:type="dxa"/>
            <w:tcBorders>
              <w:top w:val="single" w:sz="4" w:space="0" w:color="auto"/>
              <w:bottom w:val="single" w:sz="4" w:space="0" w:color="auto"/>
            </w:tcBorders>
            <w:shd w:val="clear" w:color="auto" w:fill="00B050"/>
            <w:vAlign w:val="center"/>
          </w:tcPr>
          <w:p w:rsidR="00242A9A" w:rsidRPr="00242A9A" w:rsidRDefault="00242A9A" w:rsidP="00242A9A">
            <w:pPr>
              <w:pStyle w:val="TableText"/>
              <w:jc w:val="center"/>
              <w:rPr>
                <w:sz w:val="24"/>
                <w:szCs w:val="24"/>
              </w:rPr>
            </w:pPr>
            <w:r w:rsidRPr="00242A9A">
              <w:rPr>
                <w:sz w:val="24"/>
                <w:szCs w:val="24"/>
              </w:rPr>
              <w:t>1.4</w:t>
            </w:r>
          </w:p>
        </w:tc>
        <w:tc>
          <w:tcPr>
            <w:tcW w:w="907" w:type="dxa"/>
            <w:tcBorders>
              <w:top w:val="single" w:sz="4" w:space="0" w:color="auto"/>
              <w:bottom w:val="single" w:sz="4" w:space="0" w:color="auto"/>
            </w:tcBorders>
            <w:shd w:val="clear" w:color="auto" w:fill="FFFF00"/>
            <w:vAlign w:val="center"/>
          </w:tcPr>
          <w:p w:rsidR="00242A9A" w:rsidRPr="00242A9A" w:rsidRDefault="00242A9A" w:rsidP="00242A9A">
            <w:pPr>
              <w:pStyle w:val="TableText"/>
              <w:jc w:val="center"/>
              <w:rPr>
                <w:sz w:val="24"/>
                <w:szCs w:val="24"/>
              </w:rPr>
            </w:pPr>
            <w:r w:rsidRPr="00242A9A">
              <w:rPr>
                <w:sz w:val="24"/>
                <w:szCs w:val="24"/>
              </w:rPr>
              <w:t>2.0</w:t>
            </w:r>
          </w:p>
        </w:tc>
        <w:tc>
          <w:tcPr>
            <w:tcW w:w="908" w:type="dxa"/>
            <w:tcBorders>
              <w:top w:val="single" w:sz="4" w:space="0" w:color="auto"/>
              <w:bottom w:val="single" w:sz="4" w:space="0" w:color="auto"/>
            </w:tcBorders>
            <w:shd w:val="clear" w:color="auto" w:fill="FF0000"/>
            <w:vAlign w:val="center"/>
          </w:tcPr>
          <w:p w:rsidR="00242A9A" w:rsidRPr="00242A9A" w:rsidRDefault="00242A9A" w:rsidP="00242A9A">
            <w:pPr>
              <w:pStyle w:val="TableText"/>
              <w:jc w:val="center"/>
              <w:rPr>
                <w:sz w:val="24"/>
                <w:szCs w:val="24"/>
              </w:rPr>
            </w:pPr>
            <w:r w:rsidRPr="00242A9A">
              <w:rPr>
                <w:sz w:val="24"/>
                <w:szCs w:val="24"/>
              </w:rPr>
              <w:t>4.1</w:t>
            </w:r>
          </w:p>
        </w:tc>
      </w:tr>
      <w:tr w:rsidR="00242A9A" w:rsidTr="00242A9A">
        <w:trPr>
          <w:cantSplit/>
        </w:trPr>
        <w:tc>
          <w:tcPr>
            <w:tcW w:w="907" w:type="dxa"/>
            <w:vAlign w:val="center"/>
          </w:tcPr>
          <w:p w:rsidR="00242A9A" w:rsidRDefault="00242A9A" w:rsidP="00242A9A">
            <w:pPr>
              <w:pStyle w:val="TableText"/>
              <w:jc w:val="center"/>
            </w:pPr>
            <w:r>
              <w:t>eGFR</w:t>
            </w:r>
            <w:r>
              <w:br/>
              <w:t>45–60</w:t>
            </w:r>
          </w:p>
        </w:tc>
        <w:tc>
          <w:tcPr>
            <w:tcW w:w="907" w:type="dxa"/>
            <w:tcBorders>
              <w:bottom w:val="single" w:sz="4" w:space="0" w:color="auto"/>
            </w:tcBorders>
            <w:shd w:val="clear" w:color="auto" w:fill="00B050"/>
            <w:vAlign w:val="center"/>
          </w:tcPr>
          <w:p w:rsidR="00242A9A" w:rsidRPr="00242A9A" w:rsidRDefault="00242A9A" w:rsidP="00242A9A">
            <w:pPr>
              <w:pStyle w:val="TableText"/>
              <w:jc w:val="center"/>
              <w:rPr>
                <w:sz w:val="24"/>
                <w:szCs w:val="24"/>
              </w:rPr>
            </w:pPr>
            <w:r w:rsidRPr="00242A9A">
              <w:rPr>
                <w:sz w:val="24"/>
                <w:szCs w:val="24"/>
              </w:rPr>
              <w:t>1.3</w:t>
            </w:r>
          </w:p>
        </w:tc>
        <w:tc>
          <w:tcPr>
            <w:tcW w:w="907" w:type="dxa"/>
            <w:tcBorders>
              <w:bottom w:val="single" w:sz="4" w:space="0" w:color="auto"/>
            </w:tcBorders>
            <w:shd w:val="clear" w:color="auto" w:fill="FFFF00"/>
            <w:vAlign w:val="center"/>
          </w:tcPr>
          <w:p w:rsidR="00242A9A" w:rsidRPr="00242A9A" w:rsidRDefault="00242A9A" w:rsidP="00242A9A">
            <w:pPr>
              <w:pStyle w:val="TableText"/>
              <w:jc w:val="center"/>
              <w:rPr>
                <w:sz w:val="24"/>
                <w:szCs w:val="24"/>
              </w:rPr>
            </w:pPr>
            <w:r w:rsidRPr="00242A9A">
              <w:rPr>
                <w:sz w:val="24"/>
                <w:szCs w:val="24"/>
              </w:rPr>
              <w:t>1.7</w:t>
            </w:r>
          </w:p>
        </w:tc>
        <w:tc>
          <w:tcPr>
            <w:tcW w:w="907" w:type="dxa"/>
            <w:tcBorders>
              <w:bottom w:val="single" w:sz="4" w:space="0" w:color="auto"/>
            </w:tcBorders>
            <w:shd w:val="clear" w:color="auto" w:fill="FFC000"/>
            <w:vAlign w:val="center"/>
          </w:tcPr>
          <w:p w:rsidR="00242A9A" w:rsidRPr="00242A9A" w:rsidRDefault="00242A9A" w:rsidP="00242A9A">
            <w:pPr>
              <w:pStyle w:val="TableText"/>
              <w:jc w:val="center"/>
              <w:rPr>
                <w:sz w:val="24"/>
                <w:szCs w:val="24"/>
              </w:rPr>
            </w:pPr>
            <w:r w:rsidRPr="00242A9A">
              <w:rPr>
                <w:sz w:val="24"/>
                <w:szCs w:val="24"/>
              </w:rPr>
              <w:t>2.2</w:t>
            </w:r>
          </w:p>
        </w:tc>
        <w:tc>
          <w:tcPr>
            <w:tcW w:w="908" w:type="dxa"/>
            <w:tcBorders>
              <w:bottom w:val="single" w:sz="4" w:space="0" w:color="auto"/>
            </w:tcBorders>
            <w:shd w:val="clear" w:color="auto" w:fill="FF0000"/>
            <w:vAlign w:val="center"/>
          </w:tcPr>
          <w:p w:rsidR="00242A9A" w:rsidRPr="00242A9A" w:rsidRDefault="00242A9A" w:rsidP="00242A9A">
            <w:pPr>
              <w:pStyle w:val="TableText"/>
              <w:jc w:val="center"/>
              <w:rPr>
                <w:sz w:val="24"/>
                <w:szCs w:val="24"/>
              </w:rPr>
            </w:pPr>
            <w:r w:rsidRPr="00242A9A">
              <w:rPr>
                <w:sz w:val="24"/>
                <w:szCs w:val="24"/>
              </w:rPr>
              <w:t>3.6</w:t>
            </w:r>
          </w:p>
        </w:tc>
        <w:tc>
          <w:tcPr>
            <w:tcW w:w="284" w:type="dxa"/>
            <w:tcBorders>
              <w:top w:val="nil"/>
              <w:bottom w:val="nil"/>
            </w:tcBorders>
            <w:vAlign w:val="center"/>
          </w:tcPr>
          <w:p w:rsidR="00242A9A" w:rsidRDefault="00242A9A" w:rsidP="00242A9A">
            <w:pPr>
              <w:pStyle w:val="TableText"/>
              <w:jc w:val="center"/>
            </w:pPr>
          </w:p>
        </w:tc>
        <w:tc>
          <w:tcPr>
            <w:tcW w:w="907" w:type="dxa"/>
            <w:vAlign w:val="center"/>
          </w:tcPr>
          <w:p w:rsidR="00242A9A" w:rsidRDefault="00242A9A" w:rsidP="00F57BAF">
            <w:pPr>
              <w:pStyle w:val="TableText"/>
              <w:jc w:val="center"/>
            </w:pPr>
            <w:r>
              <w:t>eGFR</w:t>
            </w:r>
            <w:r>
              <w:br/>
              <w:t>45–60</w:t>
            </w:r>
          </w:p>
        </w:tc>
        <w:tc>
          <w:tcPr>
            <w:tcW w:w="907" w:type="dxa"/>
            <w:tcBorders>
              <w:top w:val="single" w:sz="4" w:space="0" w:color="auto"/>
              <w:bottom w:val="single" w:sz="4" w:space="0" w:color="auto"/>
            </w:tcBorders>
            <w:shd w:val="clear" w:color="auto" w:fill="00B050"/>
            <w:vAlign w:val="center"/>
          </w:tcPr>
          <w:p w:rsidR="00242A9A" w:rsidRPr="00242A9A" w:rsidRDefault="00242A9A" w:rsidP="00242A9A">
            <w:pPr>
              <w:pStyle w:val="TableText"/>
              <w:jc w:val="center"/>
              <w:rPr>
                <w:sz w:val="24"/>
                <w:szCs w:val="24"/>
              </w:rPr>
            </w:pPr>
            <w:r w:rsidRPr="00242A9A">
              <w:rPr>
                <w:sz w:val="24"/>
                <w:szCs w:val="24"/>
              </w:rPr>
              <w:t>1.5</w:t>
            </w:r>
          </w:p>
        </w:tc>
        <w:tc>
          <w:tcPr>
            <w:tcW w:w="907" w:type="dxa"/>
            <w:tcBorders>
              <w:top w:val="single" w:sz="4" w:space="0" w:color="auto"/>
              <w:bottom w:val="single" w:sz="4" w:space="0" w:color="auto"/>
            </w:tcBorders>
            <w:shd w:val="clear" w:color="auto" w:fill="FFFF00"/>
            <w:vAlign w:val="center"/>
          </w:tcPr>
          <w:p w:rsidR="00242A9A" w:rsidRPr="00242A9A" w:rsidRDefault="00242A9A" w:rsidP="00242A9A">
            <w:pPr>
              <w:pStyle w:val="TableText"/>
              <w:jc w:val="center"/>
              <w:rPr>
                <w:sz w:val="24"/>
                <w:szCs w:val="24"/>
              </w:rPr>
            </w:pPr>
            <w:r w:rsidRPr="00242A9A">
              <w:rPr>
                <w:sz w:val="24"/>
                <w:szCs w:val="24"/>
              </w:rPr>
              <w:t>2.2</w:t>
            </w:r>
          </w:p>
        </w:tc>
        <w:tc>
          <w:tcPr>
            <w:tcW w:w="907" w:type="dxa"/>
            <w:tcBorders>
              <w:top w:val="single" w:sz="4" w:space="0" w:color="auto"/>
              <w:bottom w:val="single" w:sz="4" w:space="0" w:color="auto"/>
            </w:tcBorders>
            <w:shd w:val="clear" w:color="auto" w:fill="FFC000"/>
            <w:vAlign w:val="center"/>
          </w:tcPr>
          <w:p w:rsidR="00242A9A" w:rsidRPr="00242A9A" w:rsidRDefault="00242A9A" w:rsidP="00242A9A">
            <w:pPr>
              <w:pStyle w:val="TableText"/>
              <w:jc w:val="center"/>
              <w:rPr>
                <w:sz w:val="24"/>
                <w:szCs w:val="24"/>
              </w:rPr>
            </w:pPr>
            <w:r w:rsidRPr="00242A9A">
              <w:rPr>
                <w:sz w:val="24"/>
                <w:szCs w:val="24"/>
              </w:rPr>
              <w:t>2.8</w:t>
            </w:r>
          </w:p>
        </w:tc>
        <w:tc>
          <w:tcPr>
            <w:tcW w:w="908" w:type="dxa"/>
            <w:tcBorders>
              <w:top w:val="single" w:sz="4" w:space="0" w:color="auto"/>
              <w:bottom w:val="single" w:sz="4" w:space="0" w:color="auto"/>
            </w:tcBorders>
            <w:shd w:val="clear" w:color="auto" w:fill="FF0000"/>
            <w:vAlign w:val="center"/>
          </w:tcPr>
          <w:p w:rsidR="00242A9A" w:rsidRPr="00242A9A" w:rsidRDefault="00242A9A" w:rsidP="00242A9A">
            <w:pPr>
              <w:pStyle w:val="TableText"/>
              <w:jc w:val="center"/>
              <w:rPr>
                <w:sz w:val="24"/>
                <w:szCs w:val="24"/>
              </w:rPr>
            </w:pPr>
            <w:r w:rsidRPr="00242A9A">
              <w:rPr>
                <w:sz w:val="24"/>
                <w:szCs w:val="24"/>
              </w:rPr>
              <w:t>4.3</w:t>
            </w:r>
          </w:p>
        </w:tc>
      </w:tr>
      <w:tr w:rsidR="00242A9A" w:rsidTr="00242A9A">
        <w:trPr>
          <w:cantSplit/>
        </w:trPr>
        <w:tc>
          <w:tcPr>
            <w:tcW w:w="907" w:type="dxa"/>
            <w:vAlign w:val="center"/>
          </w:tcPr>
          <w:p w:rsidR="00242A9A" w:rsidRDefault="00242A9A" w:rsidP="00242A9A">
            <w:pPr>
              <w:pStyle w:val="TableText"/>
              <w:jc w:val="center"/>
            </w:pPr>
            <w:r>
              <w:t>eGFR</w:t>
            </w:r>
            <w:r>
              <w:br/>
              <w:t>30–45</w:t>
            </w:r>
          </w:p>
        </w:tc>
        <w:tc>
          <w:tcPr>
            <w:tcW w:w="907" w:type="dxa"/>
            <w:tcBorders>
              <w:top w:val="single" w:sz="4" w:space="0" w:color="auto"/>
              <w:bottom w:val="single" w:sz="4" w:space="0" w:color="auto"/>
            </w:tcBorders>
            <w:shd w:val="clear" w:color="auto" w:fill="FFFF00"/>
            <w:vAlign w:val="center"/>
          </w:tcPr>
          <w:p w:rsidR="00242A9A" w:rsidRPr="00242A9A" w:rsidRDefault="00242A9A" w:rsidP="00242A9A">
            <w:pPr>
              <w:pStyle w:val="TableText"/>
              <w:jc w:val="center"/>
              <w:rPr>
                <w:sz w:val="24"/>
                <w:szCs w:val="24"/>
              </w:rPr>
            </w:pPr>
            <w:r w:rsidRPr="00242A9A">
              <w:rPr>
                <w:sz w:val="24"/>
                <w:szCs w:val="24"/>
              </w:rPr>
              <w:t>1.9</w:t>
            </w:r>
          </w:p>
        </w:tc>
        <w:tc>
          <w:tcPr>
            <w:tcW w:w="907" w:type="dxa"/>
            <w:tcBorders>
              <w:top w:val="single" w:sz="4" w:space="0" w:color="auto"/>
              <w:bottom w:val="single" w:sz="4" w:space="0" w:color="auto"/>
            </w:tcBorders>
            <w:shd w:val="clear" w:color="auto" w:fill="FFC000"/>
            <w:vAlign w:val="center"/>
          </w:tcPr>
          <w:p w:rsidR="00242A9A" w:rsidRPr="00242A9A" w:rsidRDefault="00242A9A" w:rsidP="00242A9A">
            <w:pPr>
              <w:pStyle w:val="TableText"/>
              <w:jc w:val="center"/>
              <w:rPr>
                <w:sz w:val="24"/>
                <w:szCs w:val="24"/>
              </w:rPr>
            </w:pPr>
            <w:r w:rsidRPr="00242A9A">
              <w:rPr>
                <w:sz w:val="24"/>
                <w:szCs w:val="24"/>
              </w:rPr>
              <w:t>2.3</w:t>
            </w:r>
          </w:p>
        </w:tc>
        <w:tc>
          <w:tcPr>
            <w:tcW w:w="907" w:type="dxa"/>
            <w:tcBorders>
              <w:top w:val="single" w:sz="4" w:space="0" w:color="auto"/>
              <w:bottom w:val="single" w:sz="4" w:space="0" w:color="auto"/>
            </w:tcBorders>
            <w:shd w:val="clear" w:color="auto" w:fill="FFC000"/>
            <w:vAlign w:val="center"/>
          </w:tcPr>
          <w:p w:rsidR="00242A9A" w:rsidRPr="00242A9A" w:rsidRDefault="00242A9A" w:rsidP="00242A9A">
            <w:pPr>
              <w:pStyle w:val="TableText"/>
              <w:jc w:val="center"/>
              <w:rPr>
                <w:sz w:val="24"/>
                <w:szCs w:val="24"/>
              </w:rPr>
            </w:pPr>
            <w:r w:rsidRPr="00242A9A">
              <w:rPr>
                <w:sz w:val="24"/>
                <w:szCs w:val="24"/>
              </w:rPr>
              <w:t>3.3</w:t>
            </w:r>
          </w:p>
        </w:tc>
        <w:tc>
          <w:tcPr>
            <w:tcW w:w="908" w:type="dxa"/>
            <w:tcBorders>
              <w:top w:val="single" w:sz="4" w:space="0" w:color="auto"/>
              <w:bottom w:val="single" w:sz="4" w:space="0" w:color="auto"/>
            </w:tcBorders>
            <w:shd w:val="clear" w:color="auto" w:fill="FF0000"/>
            <w:vAlign w:val="center"/>
          </w:tcPr>
          <w:p w:rsidR="00242A9A" w:rsidRPr="00242A9A" w:rsidRDefault="00242A9A" w:rsidP="00242A9A">
            <w:pPr>
              <w:pStyle w:val="TableText"/>
              <w:jc w:val="center"/>
              <w:rPr>
                <w:sz w:val="24"/>
                <w:szCs w:val="24"/>
              </w:rPr>
            </w:pPr>
            <w:r w:rsidRPr="00242A9A">
              <w:rPr>
                <w:sz w:val="24"/>
                <w:szCs w:val="24"/>
              </w:rPr>
              <w:t>4.9</w:t>
            </w:r>
          </w:p>
        </w:tc>
        <w:tc>
          <w:tcPr>
            <w:tcW w:w="284" w:type="dxa"/>
            <w:tcBorders>
              <w:top w:val="nil"/>
              <w:bottom w:val="nil"/>
            </w:tcBorders>
            <w:vAlign w:val="center"/>
          </w:tcPr>
          <w:p w:rsidR="00242A9A" w:rsidRDefault="00242A9A" w:rsidP="00242A9A">
            <w:pPr>
              <w:pStyle w:val="TableText"/>
              <w:jc w:val="center"/>
            </w:pPr>
          </w:p>
        </w:tc>
        <w:tc>
          <w:tcPr>
            <w:tcW w:w="907" w:type="dxa"/>
            <w:vAlign w:val="center"/>
          </w:tcPr>
          <w:p w:rsidR="00242A9A" w:rsidRDefault="00242A9A" w:rsidP="00F57BAF">
            <w:pPr>
              <w:pStyle w:val="TableText"/>
              <w:jc w:val="center"/>
            </w:pPr>
            <w:r>
              <w:t>eGFR</w:t>
            </w:r>
            <w:r>
              <w:br/>
              <w:t>30–45</w:t>
            </w:r>
          </w:p>
        </w:tc>
        <w:tc>
          <w:tcPr>
            <w:tcW w:w="907" w:type="dxa"/>
            <w:tcBorders>
              <w:top w:val="single" w:sz="4" w:space="0" w:color="auto"/>
              <w:bottom w:val="single" w:sz="4" w:space="0" w:color="auto"/>
              <w:right w:val="single" w:sz="4" w:space="0" w:color="auto"/>
            </w:tcBorders>
            <w:shd w:val="clear" w:color="auto" w:fill="FFC000"/>
            <w:vAlign w:val="center"/>
          </w:tcPr>
          <w:p w:rsidR="00242A9A" w:rsidRPr="00242A9A" w:rsidRDefault="00242A9A" w:rsidP="00242A9A">
            <w:pPr>
              <w:pStyle w:val="TableText"/>
              <w:jc w:val="center"/>
              <w:rPr>
                <w:sz w:val="24"/>
                <w:szCs w:val="24"/>
              </w:rPr>
            </w:pPr>
            <w:r w:rsidRPr="00242A9A">
              <w:rPr>
                <w:sz w:val="24"/>
                <w:szCs w:val="24"/>
              </w:rPr>
              <w:t>2.2</w:t>
            </w:r>
          </w:p>
        </w:tc>
        <w:tc>
          <w:tcPr>
            <w:tcW w:w="907" w:type="dxa"/>
            <w:tcBorders>
              <w:top w:val="single" w:sz="4" w:space="0" w:color="auto"/>
              <w:left w:val="single" w:sz="4" w:space="0" w:color="auto"/>
              <w:bottom w:val="single" w:sz="4" w:space="0" w:color="auto"/>
              <w:right w:val="single" w:sz="4" w:space="0" w:color="auto"/>
            </w:tcBorders>
            <w:shd w:val="clear" w:color="auto" w:fill="FFC000"/>
            <w:vAlign w:val="center"/>
          </w:tcPr>
          <w:p w:rsidR="00242A9A" w:rsidRPr="00242A9A" w:rsidRDefault="00242A9A" w:rsidP="00242A9A">
            <w:pPr>
              <w:pStyle w:val="TableText"/>
              <w:jc w:val="center"/>
              <w:rPr>
                <w:sz w:val="24"/>
                <w:szCs w:val="24"/>
              </w:rPr>
            </w:pPr>
            <w:r w:rsidRPr="00242A9A">
              <w:rPr>
                <w:sz w:val="24"/>
                <w:szCs w:val="24"/>
              </w:rPr>
              <w:t>2.7</w:t>
            </w:r>
          </w:p>
        </w:tc>
        <w:tc>
          <w:tcPr>
            <w:tcW w:w="907" w:type="dxa"/>
            <w:tcBorders>
              <w:top w:val="single" w:sz="4" w:space="0" w:color="auto"/>
              <w:left w:val="single" w:sz="4" w:space="0" w:color="auto"/>
              <w:bottom w:val="single" w:sz="4" w:space="0" w:color="auto"/>
              <w:right w:val="single" w:sz="4" w:space="0" w:color="auto"/>
            </w:tcBorders>
            <w:shd w:val="clear" w:color="auto" w:fill="FFC000"/>
            <w:vAlign w:val="center"/>
          </w:tcPr>
          <w:p w:rsidR="00242A9A" w:rsidRPr="00242A9A" w:rsidRDefault="00242A9A" w:rsidP="00242A9A">
            <w:pPr>
              <w:pStyle w:val="TableText"/>
              <w:jc w:val="center"/>
              <w:rPr>
                <w:sz w:val="24"/>
                <w:szCs w:val="24"/>
              </w:rPr>
            </w:pPr>
            <w:r w:rsidRPr="00242A9A">
              <w:rPr>
                <w:sz w:val="24"/>
                <w:szCs w:val="24"/>
              </w:rPr>
              <w:t>3.4</w:t>
            </w:r>
          </w:p>
        </w:tc>
        <w:tc>
          <w:tcPr>
            <w:tcW w:w="908" w:type="dxa"/>
            <w:tcBorders>
              <w:top w:val="single" w:sz="4" w:space="0" w:color="auto"/>
              <w:left w:val="single" w:sz="4" w:space="0" w:color="auto"/>
              <w:bottom w:val="single" w:sz="4" w:space="0" w:color="auto"/>
            </w:tcBorders>
            <w:shd w:val="clear" w:color="auto" w:fill="FF0000"/>
            <w:vAlign w:val="center"/>
          </w:tcPr>
          <w:p w:rsidR="00242A9A" w:rsidRPr="00242A9A" w:rsidRDefault="00242A9A" w:rsidP="00242A9A">
            <w:pPr>
              <w:pStyle w:val="TableText"/>
              <w:jc w:val="center"/>
              <w:rPr>
                <w:sz w:val="24"/>
                <w:szCs w:val="24"/>
              </w:rPr>
            </w:pPr>
            <w:r w:rsidRPr="00242A9A">
              <w:rPr>
                <w:sz w:val="24"/>
                <w:szCs w:val="24"/>
              </w:rPr>
              <w:t>5.2</w:t>
            </w:r>
          </w:p>
        </w:tc>
      </w:tr>
      <w:tr w:rsidR="00242A9A" w:rsidTr="00242A9A">
        <w:trPr>
          <w:cantSplit/>
        </w:trPr>
        <w:tc>
          <w:tcPr>
            <w:tcW w:w="907" w:type="dxa"/>
            <w:vAlign w:val="center"/>
          </w:tcPr>
          <w:p w:rsidR="00242A9A" w:rsidRDefault="00242A9A" w:rsidP="00242A9A">
            <w:pPr>
              <w:pStyle w:val="TableText"/>
              <w:jc w:val="center"/>
            </w:pPr>
            <w:r>
              <w:t>eGFR</w:t>
            </w:r>
            <w:r>
              <w:br/>
              <w:t>15–30</w:t>
            </w:r>
          </w:p>
        </w:tc>
        <w:tc>
          <w:tcPr>
            <w:tcW w:w="907" w:type="dxa"/>
            <w:tcBorders>
              <w:right w:val="single" w:sz="4" w:space="0" w:color="auto"/>
            </w:tcBorders>
            <w:shd w:val="clear" w:color="auto" w:fill="FF0000"/>
            <w:vAlign w:val="center"/>
          </w:tcPr>
          <w:p w:rsidR="00242A9A" w:rsidRPr="00242A9A" w:rsidRDefault="00242A9A" w:rsidP="00242A9A">
            <w:pPr>
              <w:pStyle w:val="TableText"/>
              <w:jc w:val="center"/>
              <w:rPr>
                <w:sz w:val="24"/>
                <w:szCs w:val="24"/>
              </w:rPr>
            </w:pPr>
            <w:r w:rsidRPr="00242A9A">
              <w:rPr>
                <w:sz w:val="24"/>
                <w:szCs w:val="24"/>
              </w:rPr>
              <w:t>5.3</w:t>
            </w:r>
          </w:p>
        </w:tc>
        <w:tc>
          <w:tcPr>
            <w:tcW w:w="907" w:type="dxa"/>
            <w:tcBorders>
              <w:left w:val="single" w:sz="4" w:space="0" w:color="auto"/>
              <w:right w:val="single" w:sz="4" w:space="0" w:color="auto"/>
            </w:tcBorders>
            <w:shd w:val="clear" w:color="auto" w:fill="FF0000"/>
            <w:vAlign w:val="center"/>
          </w:tcPr>
          <w:p w:rsidR="00242A9A" w:rsidRPr="00242A9A" w:rsidRDefault="00242A9A" w:rsidP="00242A9A">
            <w:pPr>
              <w:pStyle w:val="TableText"/>
              <w:jc w:val="center"/>
              <w:rPr>
                <w:sz w:val="24"/>
                <w:szCs w:val="24"/>
              </w:rPr>
            </w:pPr>
            <w:r w:rsidRPr="00242A9A">
              <w:rPr>
                <w:sz w:val="24"/>
                <w:szCs w:val="24"/>
              </w:rPr>
              <w:t>3.6</w:t>
            </w:r>
          </w:p>
        </w:tc>
        <w:tc>
          <w:tcPr>
            <w:tcW w:w="907" w:type="dxa"/>
            <w:tcBorders>
              <w:left w:val="single" w:sz="4" w:space="0" w:color="auto"/>
              <w:right w:val="single" w:sz="4" w:space="0" w:color="auto"/>
            </w:tcBorders>
            <w:shd w:val="clear" w:color="auto" w:fill="FF0000"/>
            <w:vAlign w:val="center"/>
          </w:tcPr>
          <w:p w:rsidR="00242A9A" w:rsidRPr="00242A9A" w:rsidRDefault="00242A9A" w:rsidP="00242A9A">
            <w:pPr>
              <w:pStyle w:val="TableText"/>
              <w:jc w:val="center"/>
              <w:rPr>
                <w:sz w:val="24"/>
                <w:szCs w:val="24"/>
              </w:rPr>
            </w:pPr>
            <w:r w:rsidRPr="00242A9A">
              <w:rPr>
                <w:sz w:val="24"/>
                <w:szCs w:val="24"/>
              </w:rPr>
              <w:t>4.7</w:t>
            </w:r>
          </w:p>
        </w:tc>
        <w:tc>
          <w:tcPr>
            <w:tcW w:w="908" w:type="dxa"/>
            <w:tcBorders>
              <w:left w:val="single" w:sz="4" w:space="0" w:color="auto"/>
            </w:tcBorders>
            <w:shd w:val="clear" w:color="auto" w:fill="FF0000"/>
            <w:vAlign w:val="center"/>
          </w:tcPr>
          <w:p w:rsidR="00242A9A" w:rsidRPr="00242A9A" w:rsidRDefault="00242A9A" w:rsidP="00242A9A">
            <w:pPr>
              <w:pStyle w:val="TableText"/>
              <w:jc w:val="center"/>
              <w:rPr>
                <w:sz w:val="24"/>
                <w:szCs w:val="24"/>
              </w:rPr>
            </w:pPr>
            <w:r w:rsidRPr="00242A9A">
              <w:rPr>
                <w:sz w:val="24"/>
                <w:szCs w:val="24"/>
              </w:rPr>
              <w:t>6.6</w:t>
            </w:r>
          </w:p>
        </w:tc>
        <w:tc>
          <w:tcPr>
            <w:tcW w:w="284" w:type="dxa"/>
            <w:tcBorders>
              <w:top w:val="nil"/>
              <w:bottom w:val="nil"/>
            </w:tcBorders>
            <w:vAlign w:val="center"/>
          </w:tcPr>
          <w:p w:rsidR="00242A9A" w:rsidRDefault="00242A9A" w:rsidP="00242A9A">
            <w:pPr>
              <w:pStyle w:val="TableText"/>
              <w:jc w:val="center"/>
            </w:pPr>
          </w:p>
        </w:tc>
        <w:tc>
          <w:tcPr>
            <w:tcW w:w="907" w:type="dxa"/>
            <w:vAlign w:val="center"/>
          </w:tcPr>
          <w:p w:rsidR="00242A9A" w:rsidRDefault="00242A9A" w:rsidP="00F57BAF">
            <w:pPr>
              <w:pStyle w:val="TableText"/>
              <w:jc w:val="center"/>
            </w:pPr>
            <w:r>
              <w:t>eGFR</w:t>
            </w:r>
            <w:r>
              <w:br/>
              <w:t>15–30</w:t>
            </w:r>
          </w:p>
        </w:tc>
        <w:tc>
          <w:tcPr>
            <w:tcW w:w="907" w:type="dxa"/>
            <w:tcBorders>
              <w:top w:val="single" w:sz="4" w:space="0" w:color="auto"/>
              <w:right w:val="single" w:sz="4" w:space="0" w:color="auto"/>
            </w:tcBorders>
            <w:shd w:val="clear" w:color="auto" w:fill="FF0000"/>
            <w:vAlign w:val="center"/>
          </w:tcPr>
          <w:p w:rsidR="00242A9A" w:rsidRPr="00242A9A" w:rsidRDefault="00242A9A" w:rsidP="00242A9A">
            <w:pPr>
              <w:pStyle w:val="TableText"/>
              <w:jc w:val="center"/>
              <w:rPr>
                <w:sz w:val="24"/>
                <w:szCs w:val="24"/>
              </w:rPr>
            </w:pPr>
            <w:r w:rsidRPr="00242A9A">
              <w:rPr>
                <w:sz w:val="24"/>
                <w:szCs w:val="24"/>
              </w:rPr>
              <w:t>14</w:t>
            </w:r>
          </w:p>
        </w:tc>
        <w:tc>
          <w:tcPr>
            <w:tcW w:w="907" w:type="dxa"/>
            <w:tcBorders>
              <w:top w:val="single" w:sz="4" w:space="0" w:color="auto"/>
              <w:left w:val="single" w:sz="4" w:space="0" w:color="auto"/>
              <w:right w:val="single" w:sz="4" w:space="0" w:color="auto"/>
            </w:tcBorders>
            <w:shd w:val="clear" w:color="auto" w:fill="FF0000"/>
            <w:vAlign w:val="center"/>
          </w:tcPr>
          <w:p w:rsidR="00242A9A" w:rsidRPr="00242A9A" w:rsidRDefault="00242A9A" w:rsidP="00242A9A">
            <w:pPr>
              <w:pStyle w:val="TableText"/>
              <w:jc w:val="center"/>
              <w:rPr>
                <w:sz w:val="24"/>
                <w:szCs w:val="24"/>
              </w:rPr>
            </w:pPr>
            <w:r w:rsidRPr="00242A9A">
              <w:rPr>
                <w:sz w:val="24"/>
                <w:szCs w:val="24"/>
              </w:rPr>
              <w:t>7.9</w:t>
            </w:r>
          </w:p>
        </w:tc>
        <w:tc>
          <w:tcPr>
            <w:tcW w:w="907" w:type="dxa"/>
            <w:tcBorders>
              <w:top w:val="single" w:sz="4" w:space="0" w:color="auto"/>
              <w:left w:val="single" w:sz="4" w:space="0" w:color="auto"/>
              <w:right w:val="single" w:sz="4" w:space="0" w:color="auto"/>
            </w:tcBorders>
            <w:shd w:val="clear" w:color="auto" w:fill="FF0000"/>
            <w:vAlign w:val="center"/>
          </w:tcPr>
          <w:p w:rsidR="00242A9A" w:rsidRPr="00242A9A" w:rsidRDefault="00242A9A" w:rsidP="00242A9A">
            <w:pPr>
              <w:pStyle w:val="TableText"/>
              <w:jc w:val="center"/>
              <w:rPr>
                <w:sz w:val="24"/>
                <w:szCs w:val="24"/>
              </w:rPr>
            </w:pPr>
            <w:r w:rsidRPr="00242A9A">
              <w:rPr>
                <w:sz w:val="24"/>
                <w:szCs w:val="24"/>
              </w:rPr>
              <w:t>4.8</w:t>
            </w:r>
          </w:p>
        </w:tc>
        <w:tc>
          <w:tcPr>
            <w:tcW w:w="908" w:type="dxa"/>
            <w:tcBorders>
              <w:top w:val="single" w:sz="4" w:space="0" w:color="auto"/>
              <w:left w:val="single" w:sz="4" w:space="0" w:color="auto"/>
            </w:tcBorders>
            <w:shd w:val="clear" w:color="auto" w:fill="FF0000"/>
            <w:vAlign w:val="center"/>
          </w:tcPr>
          <w:p w:rsidR="00242A9A" w:rsidRPr="00242A9A" w:rsidRDefault="00242A9A" w:rsidP="00242A9A">
            <w:pPr>
              <w:pStyle w:val="TableText"/>
              <w:jc w:val="center"/>
              <w:rPr>
                <w:sz w:val="24"/>
                <w:szCs w:val="24"/>
              </w:rPr>
            </w:pPr>
            <w:r w:rsidRPr="00242A9A">
              <w:rPr>
                <w:sz w:val="24"/>
                <w:szCs w:val="24"/>
              </w:rPr>
              <w:t>8.1</w:t>
            </w:r>
          </w:p>
        </w:tc>
      </w:tr>
    </w:tbl>
    <w:p w:rsidR="00F74342" w:rsidRDefault="00F74342" w:rsidP="00234D5A">
      <w:pPr>
        <w:pStyle w:val="Note"/>
      </w:pPr>
      <w:r>
        <w:t>Note:</w:t>
      </w:r>
      <w:r w:rsidRPr="003F2775">
        <w:t xml:space="preserve"> </w:t>
      </w:r>
      <w:r w:rsidR="007B0A3D">
        <w:t xml:space="preserve">The </w:t>
      </w:r>
      <w:r w:rsidRPr="003F2775">
        <w:t>A</w:t>
      </w:r>
      <w:r>
        <w:t xml:space="preserve">CR is in </w:t>
      </w:r>
      <w:r w:rsidR="007B0A3D">
        <w:t xml:space="preserve">SI units and has been converted from </w:t>
      </w:r>
      <w:r>
        <w:t>North American units</w:t>
      </w:r>
      <w:r w:rsidR="007B0A3D">
        <w:t xml:space="preserve"> in the original.</w:t>
      </w:r>
      <w:r>
        <w:t>. A m</w:t>
      </w:r>
      <w:r w:rsidRPr="003F2775">
        <w:t>icroalbuminuria</w:t>
      </w:r>
      <w:r>
        <w:t xml:space="preserve"> to urine a</w:t>
      </w:r>
      <w:r w:rsidRPr="003F2775">
        <w:t>lbumin/</w:t>
      </w:r>
      <w:r w:rsidR="007B0A3D">
        <w:t>c</w:t>
      </w:r>
      <w:r w:rsidR="007B0A3D" w:rsidRPr="003F2775">
        <w:t>reatinine</w:t>
      </w:r>
      <w:r w:rsidR="007B0A3D">
        <w:t xml:space="preserve"> (ACR) </w:t>
      </w:r>
      <w:r w:rsidRPr="003F2775">
        <w:t>ratio of 3</w:t>
      </w:r>
      <w:r>
        <w:t>–30 mg</w:t>
      </w:r>
      <w:r w:rsidRPr="003F2775">
        <w:t>/mmol (the microalbuminuria range) is equivalent to 30</w:t>
      </w:r>
      <w:r>
        <w:t>–</w:t>
      </w:r>
      <w:r w:rsidRPr="003F2775">
        <w:t>299 in North American units</w:t>
      </w:r>
      <w:r>
        <w:t>.</w:t>
      </w:r>
    </w:p>
    <w:p w:rsidR="00F74342" w:rsidRDefault="00F74342" w:rsidP="00234D5A"/>
    <w:p w:rsidR="00234D5A" w:rsidRDefault="00234D5A" w:rsidP="00234D5A">
      <w:bookmarkStart w:id="11" w:name="_Toc403628257"/>
    </w:p>
    <w:p w:rsidR="00F74342" w:rsidRDefault="00F74342" w:rsidP="00F74342">
      <w:pPr>
        <w:pStyle w:val="Heading1"/>
      </w:pPr>
      <w:bookmarkStart w:id="12" w:name="_Toc405492464"/>
      <w:r>
        <w:t>Numbers of people with CKD</w:t>
      </w:r>
      <w:bookmarkEnd w:id="11"/>
      <w:bookmarkEnd w:id="12"/>
    </w:p>
    <w:p w:rsidR="00F74342" w:rsidRDefault="00F74342" w:rsidP="00234D5A">
      <w:r w:rsidRPr="00841888">
        <w:t>In New Zealand at the end of 2012</w:t>
      </w:r>
      <w:r>
        <w:t>,</w:t>
      </w:r>
      <w:r w:rsidRPr="00841888">
        <w:t xml:space="preserve"> there were 2469 dialysis patients and 1520 successfully transplanted patients</w:t>
      </w:r>
      <w:r w:rsidR="00234D5A">
        <w:t>.</w:t>
      </w:r>
      <w:r w:rsidRPr="00841888">
        <w:t>(</w:t>
      </w:r>
      <w:r>
        <w:t>3</w:t>
      </w:r>
      <w:r w:rsidRPr="00841888">
        <w:t>) During that year</w:t>
      </w:r>
      <w:r>
        <w:t>,</w:t>
      </w:r>
      <w:r w:rsidRPr="00841888">
        <w:t xml:space="preserve"> 513 commenced dialysis or had a pre-emptive kidney transplant. The number of treated dialysis patients has risen steadily throughout the history of this treatment. For example</w:t>
      </w:r>
      <w:r>
        <w:t>,</w:t>
      </w:r>
      <w:r w:rsidRPr="00841888">
        <w:t xml:space="preserve"> in 2000 there were 1336 patients on dialysis compared </w:t>
      </w:r>
      <w:r>
        <w:t>with</w:t>
      </w:r>
      <w:r w:rsidRPr="00841888">
        <w:t xml:space="preserve"> 2469 at the end of 2012, </w:t>
      </w:r>
      <w:r>
        <w:t xml:space="preserve">representing </w:t>
      </w:r>
      <w:r w:rsidRPr="00841888">
        <w:t xml:space="preserve">an increase of 84 </w:t>
      </w:r>
      <w:r>
        <w:t>per cent</w:t>
      </w:r>
      <w:r w:rsidRPr="00841888">
        <w:t xml:space="preserve"> in 12 years. About half of all dialysis patients have diabetes as a primary cause. The cost to the </w:t>
      </w:r>
      <w:r>
        <w:t>h</w:t>
      </w:r>
      <w:r w:rsidRPr="00841888">
        <w:t>ealth</w:t>
      </w:r>
      <w:r>
        <w:t xml:space="preserve"> c</w:t>
      </w:r>
      <w:r w:rsidRPr="00841888">
        <w:t xml:space="preserve">are system of dialysis for an individual ranges from $30,000 to $60,000 per </w:t>
      </w:r>
      <w:r>
        <w:t>year</w:t>
      </w:r>
      <w:r w:rsidRPr="00841888">
        <w:t>.</w:t>
      </w:r>
    </w:p>
    <w:p w:rsidR="00F74342" w:rsidRDefault="00F74342" w:rsidP="00234D5A"/>
    <w:p w:rsidR="00F74342" w:rsidRDefault="00F74342" w:rsidP="00234D5A">
      <w:r>
        <w:t xml:space="preserve">Currently in </w:t>
      </w:r>
      <w:smartTag w:uri="urn:schemas-microsoft-com:office:smarttags" w:element="country-region">
        <w:smartTag w:uri="urn:schemas-microsoft-com:office:smarttags" w:element="place">
          <w:r>
            <w:t>New Zealand</w:t>
          </w:r>
        </w:smartTag>
      </w:smartTag>
      <w:r>
        <w:t xml:space="preserve"> the number of adults with CKD is unknown. According to data from elsewhere, including the USA, European and Asian countries, there is a prevalence of 7–10 per cent of the adult population. Assuming a prevalence of 7 per cent, there would be about 210,000 adult New Zealanders with CKD. However, fewer than 2 per cent of these will ultimately require renal replacement therapy (dialysis and/or kidney transplantation). In contrast, most are at increased risk for cardiovascular disease and/or death.</w:t>
      </w:r>
    </w:p>
    <w:p w:rsidR="00F74342" w:rsidRDefault="00F74342" w:rsidP="00234D5A"/>
    <w:p w:rsidR="001027D4" w:rsidRDefault="001027D4">
      <w:pPr>
        <w:spacing w:line="240" w:lineRule="auto"/>
      </w:pPr>
      <w:bookmarkStart w:id="13" w:name="_Toc403628258"/>
      <w:r>
        <w:br w:type="page"/>
      </w:r>
    </w:p>
    <w:p w:rsidR="00234D5A" w:rsidRDefault="00234D5A" w:rsidP="00234D5A"/>
    <w:p w:rsidR="00F74342" w:rsidRDefault="00F74342" w:rsidP="00F74342">
      <w:pPr>
        <w:pStyle w:val="Heading1"/>
      </w:pPr>
      <w:bookmarkStart w:id="14" w:name="_Toc405492465"/>
      <w:r>
        <w:t>High-risk ethnic groups</w:t>
      </w:r>
      <w:bookmarkEnd w:id="13"/>
      <w:bookmarkEnd w:id="14"/>
    </w:p>
    <w:p w:rsidR="00F74342" w:rsidRDefault="00F74342" w:rsidP="00234D5A">
      <w:r w:rsidRPr="00841888">
        <w:t>Māori, Pacific and Indo Asian people</w:t>
      </w:r>
      <w:r>
        <w:t>s</w:t>
      </w:r>
      <w:r w:rsidRPr="00841888">
        <w:t xml:space="preserve"> have much higher rates of diabetes, CKD and ESKD than other ethnic groups in New Zealand. </w:t>
      </w:r>
      <w:r>
        <w:t>Achieving the e</w:t>
      </w:r>
      <w:r w:rsidRPr="00841888">
        <w:t>arly detection and management of diabetes and CKD for people of these ethnicities is a significant challenge for our health system.</w:t>
      </w:r>
    </w:p>
    <w:p w:rsidR="00F74342" w:rsidRDefault="00F74342" w:rsidP="00234D5A"/>
    <w:p w:rsidR="00F74342" w:rsidRDefault="00F74342" w:rsidP="00234D5A">
      <w:r w:rsidRPr="00841888">
        <w:t>It is necessary for health teams to establish relationships with Māori, Pacific and Indo Asian</w:t>
      </w:r>
      <w:r w:rsidRPr="00841888" w:rsidDel="005D6D36">
        <w:t xml:space="preserve"> </w:t>
      </w:r>
      <w:r w:rsidRPr="00841888">
        <w:t>people</w:t>
      </w:r>
      <w:r>
        <w:t>s</w:t>
      </w:r>
      <w:r w:rsidRPr="00841888">
        <w:t xml:space="preserve"> as individuals, whānau</w:t>
      </w:r>
      <w:r>
        <w:t xml:space="preserve">, </w:t>
      </w:r>
      <w:r w:rsidRPr="00841888">
        <w:t xml:space="preserve">families and communities. </w:t>
      </w:r>
      <w:r>
        <w:t>Developing these relationships</w:t>
      </w:r>
      <w:r w:rsidRPr="00841888">
        <w:t xml:space="preserve"> might include working with leaders of churches or marae. Long-term relationships, not only</w:t>
      </w:r>
      <w:r>
        <w:t xml:space="preserve"> with</w:t>
      </w:r>
      <w:r w:rsidRPr="00841888">
        <w:t xml:space="preserve"> individual</w:t>
      </w:r>
      <w:r>
        <w:t>s</w:t>
      </w:r>
      <w:r w:rsidRPr="00841888">
        <w:t xml:space="preserve"> but </w:t>
      </w:r>
      <w:r>
        <w:t xml:space="preserve">also on a </w:t>
      </w:r>
      <w:r w:rsidRPr="00841888">
        <w:t>collective</w:t>
      </w:r>
      <w:r>
        <w:t xml:space="preserve"> basis</w:t>
      </w:r>
      <w:r w:rsidRPr="00841888">
        <w:t>, underpin all successful long-term care. Without them</w:t>
      </w:r>
      <w:r>
        <w:t>,</w:t>
      </w:r>
      <w:r w:rsidRPr="00841888">
        <w:t xml:space="preserve"> health teams will fail to engage with those individuals and families most in need.</w:t>
      </w:r>
    </w:p>
    <w:p w:rsidR="00F74342" w:rsidRPr="00841888" w:rsidRDefault="00F74342" w:rsidP="00234D5A"/>
    <w:p w:rsidR="00234D5A" w:rsidRDefault="00234D5A" w:rsidP="00234D5A">
      <w:bookmarkStart w:id="15" w:name="_Toc403628259"/>
    </w:p>
    <w:p w:rsidR="00F74342" w:rsidRDefault="00F74342" w:rsidP="00F74342">
      <w:pPr>
        <w:pStyle w:val="Heading1"/>
      </w:pPr>
      <w:bookmarkStart w:id="16" w:name="_Toc405492466"/>
      <w:r>
        <w:t>Detection in primary care</w:t>
      </w:r>
      <w:bookmarkEnd w:id="15"/>
      <w:bookmarkEnd w:id="16"/>
    </w:p>
    <w:p w:rsidR="00F74342" w:rsidRDefault="00F74342" w:rsidP="00234D5A">
      <w:r w:rsidRPr="00841888">
        <w:t xml:space="preserve">CKD is usually first identified following tests arranged by </w:t>
      </w:r>
      <w:r>
        <w:t>p</w:t>
      </w:r>
      <w:r w:rsidRPr="00841888">
        <w:t xml:space="preserve">rimary </w:t>
      </w:r>
      <w:r>
        <w:t>c</w:t>
      </w:r>
      <w:r w:rsidRPr="00841888">
        <w:t xml:space="preserve">are clinicians. An important challenge in </w:t>
      </w:r>
      <w:r>
        <w:t>p</w:t>
      </w:r>
      <w:r w:rsidRPr="00841888">
        <w:t xml:space="preserve">rimary </w:t>
      </w:r>
      <w:r>
        <w:t>c</w:t>
      </w:r>
      <w:r w:rsidRPr="00841888">
        <w:t>are is to identify</w:t>
      </w:r>
      <w:r>
        <w:t>,</w:t>
      </w:r>
      <w:r w:rsidRPr="00841888">
        <w:t xml:space="preserve"> and </w:t>
      </w:r>
      <w:r>
        <w:t xml:space="preserve">then </w:t>
      </w:r>
      <w:r w:rsidRPr="00841888">
        <w:t>carefully manage</w:t>
      </w:r>
      <w:r>
        <w:t>,</w:t>
      </w:r>
      <w:r w:rsidRPr="00841888">
        <w:t xml:space="preserve"> the minority with progressive CKD. </w:t>
      </w:r>
      <w:r>
        <w:t>Although</w:t>
      </w:r>
      <w:r w:rsidRPr="00841888">
        <w:t xml:space="preserve"> the average rate of loss of GFR with age is about 1</w:t>
      </w:r>
      <w:r>
        <w:t> </w:t>
      </w:r>
      <w:r w:rsidRPr="00841888">
        <w:t>ml/min/year, patients with progressive CKD may lose kidney function at much faster rates, often as high as 10</w:t>
      </w:r>
      <w:r>
        <w:t>–</w:t>
      </w:r>
      <w:r w:rsidRPr="00841888">
        <w:t>20 ml/min/year.</w:t>
      </w:r>
    </w:p>
    <w:p w:rsidR="00F74342" w:rsidRDefault="00F74342" w:rsidP="00234D5A"/>
    <w:p w:rsidR="00F74342" w:rsidRPr="004307B3" w:rsidRDefault="00F74342" w:rsidP="00234D5A">
      <w:pPr>
        <w:pStyle w:val="Heading2"/>
      </w:pPr>
      <w:bookmarkStart w:id="17" w:name="_Toc403628260"/>
      <w:bookmarkStart w:id="18" w:name="_Toc405492467"/>
      <w:r w:rsidRPr="004307B3">
        <w:t>Risk factors for CKD</w:t>
      </w:r>
      <w:bookmarkEnd w:id="17"/>
      <w:bookmarkEnd w:id="18"/>
    </w:p>
    <w:p w:rsidR="00F74342" w:rsidRPr="004307B3" w:rsidRDefault="00F74342" w:rsidP="00234D5A">
      <w:r w:rsidRPr="004307B3">
        <w:t>Risk factors for CKD are:</w:t>
      </w:r>
    </w:p>
    <w:p w:rsidR="00F74342" w:rsidRDefault="00F74342" w:rsidP="00234D5A">
      <w:pPr>
        <w:pStyle w:val="Bullet"/>
      </w:pPr>
      <w:r>
        <w:t>h</w:t>
      </w:r>
      <w:r w:rsidRPr="000043A9">
        <w:t>ypertension</w:t>
      </w:r>
    </w:p>
    <w:p w:rsidR="00F74342" w:rsidRDefault="00F74342" w:rsidP="00234D5A">
      <w:pPr>
        <w:pStyle w:val="Bullet"/>
      </w:pPr>
      <w:r>
        <w:t>d</w:t>
      </w:r>
      <w:r w:rsidRPr="000043A9">
        <w:t>iabetes</w:t>
      </w:r>
    </w:p>
    <w:p w:rsidR="00F74342" w:rsidRPr="000043A9" w:rsidRDefault="00F74342" w:rsidP="00234D5A">
      <w:pPr>
        <w:pStyle w:val="Bullet"/>
      </w:pPr>
      <w:r>
        <w:t>BMI &gt; 35</w:t>
      </w:r>
    </w:p>
    <w:p w:rsidR="00F74342" w:rsidRDefault="00F74342" w:rsidP="00234D5A">
      <w:pPr>
        <w:pStyle w:val="Bullet"/>
      </w:pPr>
      <w:r>
        <w:t>c</w:t>
      </w:r>
      <w:r w:rsidRPr="000043A9">
        <w:t>ardiovascular disease</w:t>
      </w:r>
    </w:p>
    <w:p w:rsidR="00F74342" w:rsidRDefault="00F74342" w:rsidP="00234D5A">
      <w:pPr>
        <w:pStyle w:val="Bullet"/>
      </w:pPr>
      <w:r>
        <w:t>f</w:t>
      </w:r>
      <w:r w:rsidRPr="000043A9">
        <w:t>amily history of kidney disease</w:t>
      </w:r>
    </w:p>
    <w:p w:rsidR="00F74342" w:rsidRDefault="00F74342" w:rsidP="00234D5A">
      <w:pPr>
        <w:pStyle w:val="Bullet"/>
      </w:pPr>
      <w:r>
        <w:t>p</w:t>
      </w:r>
      <w:r w:rsidRPr="000043A9">
        <w:t>rostatic syndrome/urologic disease</w:t>
      </w:r>
    </w:p>
    <w:p w:rsidR="00F74342" w:rsidRDefault="00F74342" w:rsidP="00234D5A">
      <w:pPr>
        <w:pStyle w:val="Bullet"/>
      </w:pPr>
      <w:r>
        <w:t>n</w:t>
      </w:r>
      <w:r w:rsidRPr="000043A9">
        <w:t>ephrotoxic drugs</w:t>
      </w:r>
    </w:p>
    <w:p w:rsidR="00F74342" w:rsidRDefault="00F74342" w:rsidP="00234D5A">
      <w:pPr>
        <w:pStyle w:val="Bullet"/>
      </w:pPr>
      <w:r w:rsidRPr="000043A9">
        <w:t xml:space="preserve">Māori, </w:t>
      </w:r>
      <w:r>
        <w:t>Pacific</w:t>
      </w:r>
      <w:r w:rsidRPr="000043A9">
        <w:t xml:space="preserve"> or </w:t>
      </w:r>
      <w:r>
        <w:t xml:space="preserve">Indo </w:t>
      </w:r>
      <w:r w:rsidRPr="000043A9">
        <w:t>Asian ethnicity</w:t>
      </w:r>
    </w:p>
    <w:p w:rsidR="00F74342" w:rsidRPr="000043A9" w:rsidRDefault="00F74342" w:rsidP="00234D5A">
      <w:pPr>
        <w:pStyle w:val="Bullet"/>
      </w:pPr>
      <w:r>
        <w:t>a</w:t>
      </w:r>
      <w:r w:rsidRPr="000043A9">
        <w:t xml:space="preserve">ge over </w:t>
      </w:r>
      <w:r>
        <w:t>6</w:t>
      </w:r>
      <w:r w:rsidRPr="000043A9">
        <w:t>0</w:t>
      </w:r>
      <w:r>
        <w:t xml:space="preserve"> years.</w:t>
      </w:r>
    </w:p>
    <w:p w:rsidR="00F74342" w:rsidRDefault="00F74342" w:rsidP="00234D5A"/>
    <w:p w:rsidR="00F74342" w:rsidRDefault="00F74342" w:rsidP="00234D5A">
      <w:r w:rsidRPr="008819C2">
        <w:t>Screening everyone with a single demographic risk factor for CKD as an independent clinical activity is not feasible in primary care.</w:t>
      </w:r>
      <w:r>
        <w:t xml:space="preserve"> A realistic alternative is to</w:t>
      </w:r>
      <w:r w:rsidRPr="008819C2">
        <w:t xml:space="preserve"> test those identified according to their risk of CKD as part of a CVD risk assessment or diabetes check.</w:t>
      </w:r>
    </w:p>
    <w:p w:rsidR="00F74342" w:rsidRPr="008819C2" w:rsidRDefault="00F74342" w:rsidP="00234D5A"/>
    <w:p w:rsidR="00F74342" w:rsidRPr="004307B3" w:rsidRDefault="00F74342" w:rsidP="00234D5A">
      <w:r w:rsidRPr="004307B3">
        <w:t>The individual’s risk factors for CKD should be considered when deciding whether to arrange screening for CKD with a serum creatinine (and eGFR) and urine ACR.</w:t>
      </w:r>
    </w:p>
    <w:p w:rsidR="007D0246" w:rsidRDefault="007D0246">
      <w:pPr>
        <w:spacing w:line="240" w:lineRule="auto"/>
      </w:pPr>
      <w:r>
        <w:br w:type="page"/>
      </w:r>
    </w:p>
    <w:p w:rsidR="00F74342" w:rsidRDefault="00F74342" w:rsidP="00F74342">
      <w:pPr>
        <w:pStyle w:val="Heading1"/>
      </w:pPr>
      <w:bookmarkStart w:id="19" w:name="_Toc403628261"/>
      <w:bookmarkStart w:id="20" w:name="_Toc405492468"/>
      <w:r>
        <w:t>Management in primary care</w:t>
      </w:r>
      <w:bookmarkEnd w:id="19"/>
      <w:bookmarkEnd w:id="20"/>
    </w:p>
    <w:p w:rsidR="00F74342" w:rsidRDefault="00F74342" w:rsidP="00234D5A">
      <w:r w:rsidRPr="00841888">
        <w:t>It is now clear that CKD needs to be addressed under the umbrella of better management of long</w:t>
      </w:r>
      <w:r>
        <w:t>-</w:t>
      </w:r>
      <w:r w:rsidRPr="00841888">
        <w:t xml:space="preserve">term conditions in </w:t>
      </w:r>
      <w:r>
        <w:t>p</w:t>
      </w:r>
      <w:r w:rsidRPr="00841888">
        <w:t xml:space="preserve">rimary </w:t>
      </w:r>
      <w:r>
        <w:t>c</w:t>
      </w:r>
      <w:r w:rsidRPr="00841888">
        <w:t xml:space="preserve">are. Many patients </w:t>
      </w:r>
      <w:r>
        <w:t xml:space="preserve">can be fully </w:t>
      </w:r>
      <w:r w:rsidRPr="00841888">
        <w:t xml:space="preserve">managed in </w:t>
      </w:r>
      <w:r>
        <w:t>p</w:t>
      </w:r>
      <w:r w:rsidRPr="00841888">
        <w:t xml:space="preserve">rimary </w:t>
      </w:r>
      <w:r>
        <w:t>c</w:t>
      </w:r>
      <w:r w:rsidRPr="00841888">
        <w:t>are but</w:t>
      </w:r>
      <w:r>
        <w:t>,</w:t>
      </w:r>
      <w:r w:rsidRPr="00841888">
        <w:t xml:space="preserve"> </w:t>
      </w:r>
      <w:r>
        <w:t xml:space="preserve">for </w:t>
      </w:r>
      <w:r w:rsidRPr="00841888">
        <w:t>a minority</w:t>
      </w:r>
      <w:r>
        <w:t>, management</w:t>
      </w:r>
      <w:r w:rsidRPr="00841888">
        <w:t xml:space="preserve"> require</w:t>
      </w:r>
      <w:r>
        <w:t>s</w:t>
      </w:r>
      <w:r w:rsidRPr="00841888">
        <w:t xml:space="preserve"> discussion with </w:t>
      </w:r>
      <w:r>
        <w:t>r</w:t>
      </w:r>
      <w:r w:rsidRPr="00841888">
        <w:t xml:space="preserve">enal </w:t>
      </w:r>
      <w:r>
        <w:t>s</w:t>
      </w:r>
      <w:r w:rsidRPr="00841888">
        <w:t xml:space="preserve">ervices for advice and further management. An important focus of secondary </w:t>
      </w:r>
      <w:r>
        <w:t>r</w:t>
      </w:r>
      <w:r w:rsidRPr="00841888">
        <w:t xml:space="preserve">enal and </w:t>
      </w:r>
      <w:r>
        <w:t>d</w:t>
      </w:r>
      <w:r w:rsidRPr="00841888">
        <w:t xml:space="preserve">iabetes services should be to work innovatively together with </w:t>
      </w:r>
      <w:r>
        <w:t>p</w:t>
      </w:r>
      <w:r w:rsidRPr="00841888">
        <w:t xml:space="preserve">rimary </w:t>
      </w:r>
      <w:r>
        <w:t>c</w:t>
      </w:r>
      <w:r w:rsidRPr="00841888">
        <w:t>are to ensure that all clinicians are well supported in the</w:t>
      </w:r>
      <w:r>
        <w:t>ir</w:t>
      </w:r>
      <w:r w:rsidRPr="00841888">
        <w:t xml:space="preserve"> provision of optimal renal care.</w:t>
      </w:r>
    </w:p>
    <w:p w:rsidR="00F74342" w:rsidRDefault="00F74342" w:rsidP="00234D5A"/>
    <w:p w:rsidR="00F74342" w:rsidRPr="00841888" w:rsidRDefault="00F74342" w:rsidP="00234D5A">
      <w:pPr>
        <w:rPr>
          <w:szCs w:val="28"/>
        </w:rPr>
      </w:pPr>
      <w:r w:rsidRPr="00841888">
        <w:t>Guidelines for the management of CKD are well established</w:t>
      </w:r>
      <w:r>
        <w:t>. However,</w:t>
      </w:r>
      <w:r w:rsidRPr="00841888">
        <w:t xml:space="preserve"> implementation of best practice for CKD in primary care settings is challenging </w:t>
      </w:r>
      <w:r>
        <w:t>because:</w:t>
      </w:r>
    </w:p>
    <w:p w:rsidR="00F74342" w:rsidRDefault="00F74342" w:rsidP="00234D5A">
      <w:pPr>
        <w:pStyle w:val="Bullet"/>
      </w:pPr>
      <w:r>
        <w:t>the implementation of decision-support tools based on current guidelines</w:t>
      </w:r>
      <w:r w:rsidRPr="003B6928">
        <w:t xml:space="preserve"> </w:t>
      </w:r>
      <w:r>
        <w:t>is variable</w:t>
      </w:r>
    </w:p>
    <w:p w:rsidR="00F74342" w:rsidRDefault="00F74342" w:rsidP="00234D5A">
      <w:pPr>
        <w:pStyle w:val="Bullet"/>
      </w:pPr>
      <w:r w:rsidRPr="006F1762">
        <w:t xml:space="preserve">incorporating detection and management of CKD into primary practice patterns </w:t>
      </w:r>
      <w:r>
        <w:t>is a complex process</w:t>
      </w:r>
    </w:p>
    <w:p w:rsidR="00F74342" w:rsidRDefault="00F74342" w:rsidP="00234D5A">
      <w:pPr>
        <w:pStyle w:val="Bullet"/>
      </w:pPr>
      <w:r w:rsidRPr="00D36515">
        <w:t>effective</w:t>
      </w:r>
      <w:r>
        <w:t>ly</w:t>
      </w:r>
      <w:r w:rsidRPr="00D36515">
        <w:t xml:space="preserve"> collaborati</w:t>
      </w:r>
      <w:r>
        <w:t>ng</w:t>
      </w:r>
      <w:r w:rsidRPr="00D36515">
        <w:t xml:space="preserve"> with patients to make significant lifestyle changes</w:t>
      </w:r>
      <w:r>
        <w:t xml:space="preserve"> involves considerable skill and time</w:t>
      </w:r>
    </w:p>
    <w:p w:rsidR="00F74342" w:rsidRDefault="00F74342" w:rsidP="00234D5A">
      <w:pPr>
        <w:pStyle w:val="Bullet"/>
      </w:pPr>
      <w:r>
        <w:t>high-risk patients with progressive CKD need a focused case-management approach.</w:t>
      </w:r>
    </w:p>
    <w:p w:rsidR="00F74342" w:rsidRDefault="00F74342" w:rsidP="00234D5A"/>
    <w:p w:rsidR="00F74342" w:rsidRDefault="00F74342" w:rsidP="00234D5A">
      <w:pPr>
        <w:pStyle w:val="Heading2"/>
      </w:pPr>
      <w:bookmarkStart w:id="21" w:name="_Toc403628262"/>
      <w:bookmarkStart w:id="22" w:name="_Toc405492469"/>
      <w:r>
        <w:t>Goals for b</w:t>
      </w:r>
      <w:r w:rsidRPr="005F6619">
        <w:t>est practice in managing CKD</w:t>
      </w:r>
      <w:bookmarkEnd w:id="21"/>
      <w:bookmarkEnd w:id="22"/>
    </w:p>
    <w:p w:rsidR="00F74342" w:rsidRDefault="00F74342" w:rsidP="00C85510">
      <w:pPr>
        <w:pStyle w:val="Bullet"/>
      </w:pPr>
      <w:r w:rsidRPr="008819C2">
        <w:t>Those people with, or at risk of, progressive CKD are identified and effectively managed.</w:t>
      </w:r>
    </w:p>
    <w:p w:rsidR="00F74342" w:rsidRDefault="00F74342" w:rsidP="00C85510">
      <w:pPr>
        <w:pStyle w:val="Bullet"/>
      </w:pPr>
      <w:r w:rsidRPr="00DA63D9">
        <w:t xml:space="preserve">Cardiovascular risk is </w:t>
      </w:r>
      <w:r>
        <w:t xml:space="preserve">reduced </w:t>
      </w:r>
      <w:r w:rsidRPr="00DA63D9">
        <w:t xml:space="preserve">through optimal lifestyle modification, smoking cessation, blood pressure control, glycaemic control, </w:t>
      </w:r>
      <w:r>
        <w:t xml:space="preserve">and </w:t>
      </w:r>
      <w:r w:rsidRPr="00DA63D9">
        <w:t>use of statins.</w:t>
      </w:r>
    </w:p>
    <w:p w:rsidR="00F74342" w:rsidRPr="00AC7A80" w:rsidRDefault="00F74342" w:rsidP="00C85510">
      <w:pPr>
        <w:pStyle w:val="Bullet"/>
      </w:pPr>
      <w:r w:rsidRPr="008819C2">
        <w:t xml:space="preserve">Effective </w:t>
      </w:r>
      <w:r>
        <w:t>b</w:t>
      </w:r>
      <w:r w:rsidRPr="008819C2">
        <w:t xml:space="preserve">lood </w:t>
      </w:r>
      <w:r>
        <w:t>p</w:t>
      </w:r>
      <w:r w:rsidRPr="008819C2">
        <w:t>ressure control reduces albuminuria and slow</w:t>
      </w:r>
      <w:r>
        <w:t>s</w:t>
      </w:r>
      <w:r w:rsidRPr="008819C2">
        <w:t xml:space="preserve"> the rate of decline of eGFR in many patients</w:t>
      </w:r>
      <w:r>
        <w:t>.</w:t>
      </w:r>
    </w:p>
    <w:p w:rsidR="00F74342" w:rsidRDefault="00F74342" w:rsidP="00C85510">
      <w:pPr>
        <w:pStyle w:val="Bullet"/>
      </w:pPr>
      <w:r w:rsidRPr="00092E1F">
        <w:t>The incidence and prevalence of CVD, progressive</w:t>
      </w:r>
      <w:r w:rsidRPr="00D33F74">
        <w:t xml:space="preserve"> CKD</w:t>
      </w:r>
      <w:r>
        <w:t xml:space="preserve"> and</w:t>
      </w:r>
      <w:r w:rsidRPr="00D33F74">
        <w:t xml:space="preserve"> ESKD, and their associated morbidity and mortality rates</w:t>
      </w:r>
      <w:r>
        <w:t>,</w:t>
      </w:r>
      <w:r w:rsidRPr="00D33F74">
        <w:t xml:space="preserve"> fall over time</w:t>
      </w:r>
      <w:r>
        <w:t>.</w:t>
      </w:r>
    </w:p>
    <w:p w:rsidR="00F74342" w:rsidRDefault="00F74342" w:rsidP="00C85510"/>
    <w:p w:rsidR="00F74342" w:rsidRPr="004307B3" w:rsidRDefault="00F74342" w:rsidP="00C85510">
      <w:pPr>
        <w:pStyle w:val="Heading2"/>
      </w:pPr>
      <w:bookmarkStart w:id="23" w:name="_Toc403628263"/>
      <w:bookmarkStart w:id="24" w:name="_Toc405492470"/>
      <w:r w:rsidRPr="004307B3">
        <w:t>The role of primary care</w:t>
      </w:r>
      <w:bookmarkEnd w:id="23"/>
      <w:bookmarkEnd w:id="24"/>
    </w:p>
    <w:p w:rsidR="00F74342" w:rsidRDefault="00F74342" w:rsidP="00C85510">
      <w:r w:rsidRPr="008819C2">
        <w:t>As people age</w:t>
      </w:r>
      <w:r>
        <w:t>,</w:t>
      </w:r>
      <w:r w:rsidRPr="008819C2">
        <w:t xml:space="preserve"> GFR slowly falls</w:t>
      </w:r>
      <w:r>
        <w:t xml:space="preserve"> to the point</w:t>
      </w:r>
      <w:r w:rsidRPr="008819C2">
        <w:t xml:space="preserve"> that</w:t>
      </w:r>
      <w:r>
        <w:t>,</w:t>
      </w:r>
      <w:r w:rsidRPr="008819C2">
        <w:t xml:space="preserve"> by the age of 70 </w:t>
      </w:r>
      <w:r>
        <w:t xml:space="preserve">years, </w:t>
      </w:r>
      <w:r w:rsidRPr="008819C2">
        <w:t>some 30</w:t>
      </w:r>
      <w:r>
        <w:t xml:space="preserve"> per cent</w:t>
      </w:r>
      <w:r w:rsidRPr="008819C2">
        <w:t xml:space="preserve"> of the population could be classified as having CKD. However, most of these individuals do not have progressive CKD and further loss of renal function is slow. In contrast, those with diseases such as diabetic nephropathy can lose k</w:t>
      </w:r>
      <w:r>
        <w:t>idney function at a rate of 10–</w:t>
      </w:r>
      <w:r w:rsidRPr="008819C2">
        <w:t>20 ml/min/year and rapidly progress towards E</w:t>
      </w:r>
      <w:r>
        <w:t>SKD</w:t>
      </w:r>
      <w:r w:rsidRPr="008819C2">
        <w:t>.</w:t>
      </w:r>
    </w:p>
    <w:p w:rsidR="00F74342" w:rsidRPr="008819C2" w:rsidRDefault="00F74342" w:rsidP="00C85510"/>
    <w:p w:rsidR="00F74342" w:rsidRDefault="00F74342" w:rsidP="00C85510">
      <w:r w:rsidRPr="008819C2">
        <w:t xml:space="preserve">Primary care has an important role </w:t>
      </w:r>
      <w:r>
        <w:t>in</w:t>
      </w:r>
      <w:r w:rsidRPr="008819C2">
        <w:t xml:space="preserve"> distinguish</w:t>
      </w:r>
      <w:r>
        <w:t>ing between:</w:t>
      </w:r>
    </w:p>
    <w:p w:rsidR="00F74342" w:rsidRDefault="00F74342" w:rsidP="00C85510">
      <w:pPr>
        <w:pStyle w:val="Bullet"/>
      </w:pPr>
      <w:r w:rsidRPr="008819C2">
        <w:t>the majority with stable CKD</w:t>
      </w:r>
      <w:r>
        <w:t xml:space="preserve">, </w:t>
      </w:r>
      <w:r w:rsidRPr="008819C2">
        <w:t>who require</w:t>
      </w:r>
      <w:r w:rsidRPr="008819C2">
        <w:rPr>
          <w:i/>
        </w:rPr>
        <w:t xml:space="preserve"> </w:t>
      </w:r>
      <w:r w:rsidRPr="008819C2">
        <w:t xml:space="preserve">standard management of their </w:t>
      </w:r>
      <w:r>
        <w:t>blood pressure, blood sugars, care with drug dosing and attention to cardiovascular risk reduction</w:t>
      </w:r>
    </w:p>
    <w:p w:rsidR="00F74342" w:rsidRDefault="00F74342" w:rsidP="00C85510">
      <w:pPr>
        <w:pStyle w:val="Bullet"/>
      </w:pPr>
      <w:r w:rsidRPr="008819C2">
        <w:t>the minority with or at high risk of progressive CKD, who need to be closely</w:t>
      </w:r>
      <w:r>
        <w:t xml:space="preserve"> and often intensively</w:t>
      </w:r>
      <w:r w:rsidRPr="008819C2">
        <w:t xml:space="preserve"> supervised.</w:t>
      </w:r>
    </w:p>
    <w:p w:rsidR="00F74342" w:rsidRPr="004307B3" w:rsidRDefault="00F74342" w:rsidP="00C85510"/>
    <w:p w:rsidR="00F74342" w:rsidRPr="004307B3" w:rsidRDefault="00F74342" w:rsidP="00C85510">
      <w:r w:rsidRPr="004307B3">
        <w:t xml:space="preserve">The great majority </w:t>
      </w:r>
      <w:r w:rsidRPr="008819C2">
        <w:t xml:space="preserve">of patients, particularly those with stable </w:t>
      </w:r>
      <w:r>
        <w:t>s</w:t>
      </w:r>
      <w:r w:rsidRPr="008819C2">
        <w:t>tage 3 CKD or who are older (&gt;</w:t>
      </w:r>
      <w:r w:rsidR="00C85510">
        <w:t> </w:t>
      </w:r>
      <w:r w:rsidRPr="008819C2">
        <w:t>75</w:t>
      </w:r>
      <w:r w:rsidR="00C85510">
        <w:t> </w:t>
      </w:r>
      <w:r w:rsidRPr="008819C2">
        <w:t xml:space="preserve">years) with early stable </w:t>
      </w:r>
      <w:r>
        <w:t>s</w:t>
      </w:r>
      <w:r w:rsidRPr="008819C2">
        <w:t>tage 4 CKD</w:t>
      </w:r>
      <w:r>
        <w:t>,</w:t>
      </w:r>
      <w:r w:rsidRPr="008819C2">
        <w:t xml:space="preserve"> can be fully managed in primary care</w:t>
      </w:r>
      <w:r>
        <w:t xml:space="preserve">, </w:t>
      </w:r>
      <w:r w:rsidRPr="008819C2">
        <w:t>taking</w:t>
      </w:r>
      <w:r w:rsidRPr="004307B3">
        <w:t xml:space="preserve"> into account their age and whether they have stable or progressive CKD.</w:t>
      </w:r>
    </w:p>
    <w:p w:rsidR="00F74342" w:rsidRPr="004307B3" w:rsidRDefault="00F74342" w:rsidP="00C85510"/>
    <w:p w:rsidR="00F74342" w:rsidRPr="008819C2" w:rsidRDefault="00F74342" w:rsidP="00C85510">
      <w:pPr>
        <w:pStyle w:val="Heading2"/>
      </w:pPr>
      <w:bookmarkStart w:id="25" w:name="_Toc403628264"/>
      <w:bookmarkStart w:id="26" w:name="_Toc405492471"/>
      <w:r w:rsidRPr="004307B3">
        <w:t>Recommended management practice</w:t>
      </w:r>
      <w:bookmarkEnd w:id="25"/>
      <w:bookmarkEnd w:id="26"/>
    </w:p>
    <w:p w:rsidR="00F74342" w:rsidRDefault="00F74342" w:rsidP="00F57BAF">
      <w:pPr>
        <w:pStyle w:val="Bullet"/>
        <w:spacing w:before="60"/>
      </w:pPr>
      <w:r w:rsidRPr="003B6928">
        <w:t>Facilitate dietary and lifestyle modification to reduce cardiovascular risk:</w:t>
      </w:r>
      <w:r>
        <w:t xml:space="preserve"> stop</w:t>
      </w:r>
      <w:r w:rsidRPr="003B6928">
        <w:t xml:space="preserve"> </w:t>
      </w:r>
      <w:r>
        <w:t>s</w:t>
      </w:r>
      <w:r w:rsidRPr="003B6928">
        <w:t xml:space="preserve">moking, reduce salt </w:t>
      </w:r>
      <w:r>
        <w:t xml:space="preserve">in </w:t>
      </w:r>
      <w:r w:rsidRPr="003B6928">
        <w:t>diet, and reduce BMI through diet and exercise.</w:t>
      </w:r>
    </w:p>
    <w:p w:rsidR="00F74342" w:rsidRPr="000043A9" w:rsidRDefault="00F74342" w:rsidP="00F57BAF">
      <w:pPr>
        <w:pStyle w:val="Bullet"/>
        <w:spacing w:before="60"/>
      </w:pPr>
      <w:r w:rsidRPr="000043A9">
        <w:t>Encourage patient</w:t>
      </w:r>
      <w:r>
        <w:t>s to get</w:t>
      </w:r>
      <w:r w:rsidRPr="000043A9">
        <w:t xml:space="preserve"> involve</w:t>
      </w:r>
      <w:r>
        <w:t>d</w:t>
      </w:r>
      <w:r w:rsidRPr="000043A9">
        <w:t xml:space="preserve"> in </w:t>
      </w:r>
      <w:r>
        <w:t xml:space="preserve">their own </w:t>
      </w:r>
      <w:r w:rsidRPr="000043A9">
        <w:t>self-management. Those who are well informed and motivated feel empowered and more in control.</w:t>
      </w:r>
    </w:p>
    <w:p w:rsidR="00F74342" w:rsidRDefault="00F74342" w:rsidP="00F57BAF">
      <w:pPr>
        <w:pStyle w:val="Bullet"/>
        <w:spacing w:before="60"/>
      </w:pPr>
      <w:r w:rsidRPr="000043A9">
        <w:t xml:space="preserve">Manage blood pressure to recommended targets </w:t>
      </w:r>
      <w:r w:rsidRPr="003B6928">
        <w:t>(140/90</w:t>
      </w:r>
      <w:r>
        <w:t xml:space="preserve"> </w:t>
      </w:r>
      <w:r w:rsidRPr="003B6928">
        <w:t>mmHg</w:t>
      </w:r>
      <w:r>
        <w:t xml:space="preserve"> or less</w:t>
      </w:r>
      <w:r w:rsidRPr="003B6928">
        <w:t>, or 130/80</w:t>
      </w:r>
      <w:r>
        <w:t xml:space="preserve"> </w:t>
      </w:r>
      <w:r w:rsidRPr="003B6928">
        <w:t xml:space="preserve">mmHg </w:t>
      </w:r>
      <w:r>
        <w:t xml:space="preserve">or less </w:t>
      </w:r>
      <w:r w:rsidRPr="003B6928">
        <w:t>in proteinuric CKD)</w:t>
      </w:r>
      <w:r w:rsidRPr="000043A9">
        <w:t xml:space="preserve">, initially with </w:t>
      </w:r>
      <w:r w:rsidRPr="003B6928">
        <w:t xml:space="preserve">ACE inhibitors or </w:t>
      </w:r>
      <w:r>
        <w:t>a</w:t>
      </w:r>
      <w:r w:rsidRPr="003B6928">
        <w:t xml:space="preserve">ngiotensin </w:t>
      </w:r>
      <w:r>
        <w:t>r</w:t>
      </w:r>
      <w:r w:rsidRPr="003B6928">
        <w:t xml:space="preserve">eceptor </w:t>
      </w:r>
      <w:r>
        <w:t>b</w:t>
      </w:r>
      <w:r w:rsidRPr="003B6928">
        <w:t>lockers</w:t>
      </w:r>
      <w:r w:rsidRPr="000043A9">
        <w:t xml:space="preserve">. </w:t>
      </w:r>
      <w:r>
        <w:t>Managing blood pressure</w:t>
      </w:r>
      <w:r w:rsidRPr="000043A9">
        <w:t xml:space="preserve"> reduces the progression of CKD as well as lowering the risk of cardiovascular events.</w:t>
      </w:r>
    </w:p>
    <w:p w:rsidR="00F74342" w:rsidRPr="00A411D5" w:rsidRDefault="00F74342" w:rsidP="00F57BAF">
      <w:pPr>
        <w:pStyle w:val="Bullet"/>
        <w:spacing w:before="60"/>
      </w:pPr>
      <w:r w:rsidRPr="004307B3">
        <w:rPr>
          <w:bCs/>
        </w:rPr>
        <w:t>In elderly patients (age &gt; 70–75 years), blood pressure &lt; 150/90 may be a reasonable target, reached gently. Monitor more closely for adverse events (electrolyte disorders, acute decline in GFR, postural hypotension and drug side effects).</w:t>
      </w:r>
    </w:p>
    <w:p w:rsidR="00F74342" w:rsidRDefault="00F74342" w:rsidP="00F57BAF">
      <w:pPr>
        <w:pStyle w:val="Bullet"/>
        <w:spacing w:before="60"/>
      </w:pPr>
      <w:r w:rsidRPr="004307B3">
        <w:rPr>
          <w:szCs w:val="24"/>
        </w:rPr>
        <w:t>Manage diabetes to targets appropriate to CKD disease stage. (Because there is a significant risk of hypoglycaemia in advanced stages 4 and 5 CKD, less intensive blood sugar control may be appropriate and it is necessary to closely supervise and adjust (</w:t>
      </w:r>
      <w:r>
        <w:t>often reduce</w:t>
      </w:r>
      <w:r w:rsidRPr="004307B3">
        <w:rPr>
          <w:szCs w:val="24"/>
        </w:rPr>
        <w:t xml:space="preserve">) hypoglycaemic </w:t>
      </w:r>
      <w:r w:rsidRPr="000043A9">
        <w:t>agents</w:t>
      </w:r>
      <w:r>
        <w:t xml:space="preserve"> accordingly.</w:t>
      </w:r>
      <w:r w:rsidRPr="000043A9">
        <w:t>)</w:t>
      </w:r>
    </w:p>
    <w:p w:rsidR="00F74342" w:rsidRDefault="00F74342" w:rsidP="00F57BAF">
      <w:pPr>
        <w:pStyle w:val="Bullet"/>
        <w:spacing w:before="60"/>
      </w:pPr>
      <w:r w:rsidRPr="006F1762">
        <w:t>U</w:t>
      </w:r>
      <w:r w:rsidRPr="00D36515">
        <w:t>se statins and aspirin according to guidelines to reduce cardiovascular risk.</w:t>
      </w:r>
    </w:p>
    <w:p w:rsidR="00F74342" w:rsidRDefault="00F74342" w:rsidP="00F57BAF">
      <w:pPr>
        <w:pStyle w:val="Bullet"/>
        <w:spacing w:before="60"/>
      </w:pPr>
      <w:r w:rsidRPr="000043A9">
        <w:t>Ensure all patients with progressive CKD have ongoing monitoring and management</w:t>
      </w:r>
      <w:r>
        <w:t xml:space="preserve"> with</w:t>
      </w:r>
      <w:r w:rsidRPr="000043A9">
        <w:t>:</w:t>
      </w:r>
    </w:p>
    <w:p w:rsidR="00F74342" w:rsidRPr="008819C2" w:rsidRDefault="00F74342" w:rsidP="00F57BAF">
      <w:pPr>
        <w:pStyle w:val="Dash"/>
        <w:spacing w:before="30"/>
        <w:ind w:left="568" w:hanging="284"/>
      </w:pPr>
      <w:r>
        <w:t>blood pressure</w:t>
      </w:r>
      <w:r w:rsidRPr="008819C2">
        <w:t xml:space="preserve"> measurement and optimisation</w:t>
      </w:r>
      <w:r>
        <w:t xml:space="preserve"> </w:t>
      </w:r>
      <w:r w:rsidRPr="008819C2">
        <w:t>(</w:t>
      </w:r>
      <w:r>
        <w:t>f</w:t>
      </w:r>
      <w:r w:rsidRPr="008819C2">
        <w:t xml:space="preserve">ollow-up may </w:t>
      </w:r>
      <w:r>
        <w:t>be needed every two to four weeks</w:t>
      </w:r>
      <w:r w:rsidRPr="008819C2">
        <w:t xml:space="preserve"> in </w:t>
      </w:r>
      <w:r>
        <w:t xml:space="preserve">the </w:t>
      </w:r>
      <w:r w:rsidRPr="008819C2">
        <w:t xml:space="preserve">early stages to </w:t>
      </w:r>
      <w:r>
        <w:t>achieve</w:t>
      </w:r>
      <w:r w:rsidRPr="008819C2">
        <w:t xml:space="preserve"> optimal </w:t>
      </w:r>
      <w:r>
        <w:t>blood pressure</w:t>
      </w:r>
      <w:r w:rsidRPr="008819C2">
        <w:t xml:space="preserve"> as noted above</w:t>
      </w:r>
      <w:r>
        <w:t>)</w:t>
      </w:r>
      <w:r w:rsidRPr="008819C2">
        <w:t xml:space="preserve">. Many patients require </w:t>
      </w:r>
      <w:r>
        <w:t>two</w:t>
      </w:r>
      <w:r w:rsidRPr="008819C2">
        <w:t xml:space="preserve"> or </w:t>
      </w:r>
      <w:r>
        <w:t>three</w:t>
      </w:r>
      <w:r w:rsidRPr="008819C2">
        <w:t xml:space="preserve"> anti-hypertensive agents</w:t>
      </w:r>
      <w:r>
        <w:t>,</w:t>
      </w:r>
      <w:r w:rsidRPr="008819C2">
        <w:t xml:space="preserve"> and advice on </w:t>
      </w:r>
      <w:r>
        <w:t>sodium</w:t>
      </w:r>
      <w:r w:rsidRPr="008819C2">
        <w:t xml:space="preserve"> restriction to &lt;</w:t>
      </w:r>
      <w:r w:rsidR="00F57BAF">
        <w:t> </w:t>
      </w:r>
      <w:r w:rsidRPr="008819C2">
        <w:t>100 mmol/day is essential for most)</w:t>
      </w:r>
    </w:p>
    <w:p w:rsidR="00F74342" w:rsidRPr="008819C2" w:rsidRDefault="00F74342" w:rsidP="00F57BAF">
      <w:pPr>
        <w:pStyle w:val="Dash"/>
        <w:spacing w:before="30"/>
        <w:ind w:left="568" w:hanging="284"/>
      </w:pPr>
      <w:r>
        <w:t>l</w:t>
      </w:r>
      <w:r w:rsidRPr="008819C2">
        <w:t xml:space="preserve">aboratory measures of serum creatinine/eGFR and urine albumin/creatinine (or protein/creatinine) ratio </w:t>
      </w:r>
      <w:r>
        <w:t>every three</w:t>
      </w:r>
      <w:r w:rsidRPr="008819C2">
        <w:t xml:space="preserve"> month</w:t>
      </w:r>
      <w:r>
        <w:t>s</w:t>
      </w:r>
      <w:r w:rsidRPr="008819C2">
        <w:t xml:space="preserve"> and after introduction of ACE inhibitors/</w:t>
      </w:r>
      <w:r w:rsidR="00F57BAF">
        <w:t xml:space="preserve"> </w:t>
      </w:r>
      <w:r w:rsidRPr="008819C2">
        <w:t>ARB</w:t>
      </w:r>
      <w:r>
        <w:t>s</w:t>
      </w:r>
      <w:r w:rsidRPr="008819C2">
        <w:t xml:space="preserve"> or diuretics)</w:t>
      </w:r>
    </w:p>
    <w:p w:rsidR="00F74342" w:rsidRDefault="00F74342" w:rsidP="00F57BAF">
      <w:pPr>
        <w:pStyle w:val="Dash"/>
        <w:spacing w:before="30"/>
        <w:ind w:left="568" w:hanging="284"/>
      </w:pPr>
      <w:r>
        <w:t>a</w:t>
      </w:r>
      <w:r w:rsidRPr="003B6928">
        <w:t>dditional laboratory monitoring as indicated by the stage of CKD</w:t>
      </w:r>
      <w:r>
        <w:t xml:space="preserve"> </w:t>
      </w:r>
      <w:r w:rsidRPr="003B6928">
        <w:t>(</w:t>
      </w:r>
      <w:r>
        <w:t>4</w:t>
      </w:r>
      <w:r w:rsidRPr="003B6928">
        <w:t>)</w:t>
      </w:r>
      <w:r>
        <w:t>.</w:t>
      </w:r>
    </w:p>
    <w:p w:rsidR="00F74342" w:rsidRDefault="00F74342" w:rsidP="00F57BAF">
      <w:pPr>
        <w:pStyle w:val="Bullet"/>
        <w:spacing w:before="60"/>
      </w:pPr>
      <w:r w:rsidRPr="003B6928">
        <w:t xml:space="preserve">Intensively manage those patients identified as at high risk </w:t>
      </w:r>
      <w:r>
        <w:t>–</w:t>
      </w:r>
      <w:r w:rsidRPr="003B6928">
        <w:t xml:space="preserve"> those who</w:t>
      </w:r>
      <w:r>
        <w:t>,</w:t>
      </w:r>
      <w:r w:rsidRPr="003B6928">
        <w:t xml:space="preserve"> despite standard care</w:t>
      </w:r>
      <w:r>
        <w:t>,</w:t>
      </w:r>
      <w:r w:rsidRPr="003B6928">
        <w:t xml:space="preserve"> have uncontrolled </w:t>
      </w:r>
      <w:r>
        <w:t>blood pressure</w:t>
      </w:r>
      <w:r w:rsidRPr="003B6928">
        <w:t>, or rapid loss of renal function. These patients are a minority, but are at greatest risk of adverse outcomes including significantly increased cardiovascular risk and progression to ESKD.</w:t>
      </w:r>
    </w:p>
    <w:p w:rsidR="00F74342" w:rsidRPr="000043A9" w:rsidRDefault="00F74342" w:rsidP="00C85510"/>
    <w:p w:rsidR="00F74342" w:rsidRDefault="00F74342" w:rsidP="00C85510">
      <w:pPr>
        <w:pStyle w:val="Heading2"/>
      </w:pPr>
      <w:bookmarkStart w:id="27" w:name="_Toc403628265"/>
      <w:bookmarkStart w:id="28" w:name="_Toc405492472"/>
      <w:r w:rsidRPr="00F165A6">
        <w:t>Referral to specialist services</w:t>
      </w:r>
      <w:bookmarkEnd w:id="27"/>
      <w:bookmarkEnd w:id="28"/>
    </w:p>
    <w:p w:rsidR="00F74342" w:rsidRDefault="00F74342" w:rsidP="00C85510">
      <w:r>
        <w:t xml:space="preserve">Most DHBs offer indications for referral to renal (nephrology) and/or diabetes services. See Kidney Health New Zealand’s </w:t>
      </w:r>
      <w:r w:rsidRPr="00477DB5">
        <w:rPr>
          <w:i/>
        </w:rPr>
        <w:t>Chronic Kidney Disease Management in General Practice</w:t>
      </w:r>
      <w:r>
        <w:t xml:space="preserve"> (5) for additional guidance.</w:t>
      </w:r>
    </w:p>
    <w:p w:rsidR="00F74342" w:rsidRDefault="00F74342" w:rsidP="00C85510"/>
    <w:p w:rsidR="00F74342" w:rsidRDefault="00F74342" w:rsidP="00C85510">
      <w:r>
        <w:t>Refer patients for:</w:t>
      </w:r>
    </w:p>
    <w:p w:rsidR="00F74342" w:rsidRPr="008819C2" w:rsidRDefault="00F74342" w:rsidP="00F57BAF">
      <w:pPr>
        <w:pStyle w:val="Bullet"/>
        <w:spacing w:before="60"/>
        <w:rPr>
          <w:rFonts w:cs="Arial"/>
          <w:color w:val="000000"/>
        </w:rPr>
      </w:pPr>
      <w:r>
        <w:t xml:space="preserve">intrinsic kidney disease (eg, </w:t>
      </w:r>
      <w:r w:rsidRPr="008819C2">
        <w:t xml:space="preserve">glomerulonephritis, </w:t>
      </w:r>
      <w:r>
        <w:t xml:space="preserve">polycystic kidney disease </w:t>
      </w:r>
      <w:r w:rsidRPr="008819C2">
        <w:t xml:space="preserve">or interstitial nephritis) where </w:t>
      </w:r>
      <w:r>
        <w:t>specialised diagnosis and management are required</w:t>
      </w:r>
    </w:p>
    <w:p w:rsidR="00F74342" w:rsidRPr="008819C2" w:rsidRDefault="00F74342" w:rsidP="00F57BAF">
      <w:pPr>
        <w:pStyle w:val="Bullet"/>
        <w:spacing w:before="60"/>
        <w:rPr>
          <w:rFonts w:cs="Arial"/>
          <w:color w:val="000000"/>
        </w:rPr>
      </w:pPr>
      <w:r>
        <w:t>d</w:t>
      </w:r>
      <w:r w:rsidRPr="004307B3">
        <w:t>rug-resistant hypertension and/or significant issues with blood glucose control and/or multiple microvascular complications</w:t>
      </w:r>
    </w:p>
    <w:p w:rsidR="00F74342" w:rsidRPr="008819C2" w:rsidRDefault="00F74342" w:rsidP="00F57BAF">
      <w:pPr>
        <w:pStyle w:val="Bullet"/>
        <w:spacing w:before="60"/>
        <w:rPr>
          <w:rFonts w:cs="Arial"/>
          <w:color w:val="000000"/>
        </w:rPr>
      </w:pPr>
      <w:r>
        <w:t>p</w:t>
      </w:r>
      <w:r w:rsidRPr="008819C2">
        <w:t xml:space="preserve">rogressive </w:t>
      </w:r>
      <w:r>
        <w:t>s</w:t>
      </w:r>
      <w:r w:rsidRPr="008819C2">
        <w:t>tage</w:t>
      </w:r>
      <w:r>
        <w:t>s</w:t>
      </w:r>
      <w:r w:rsidRPr="008819C2">
        <w:t xml:space="preserve"> 3B and 4 CKD</w:t>
      </w:r>
      <w:r>
        <w:t xml:space="preserve">. As well as </w:t>
      </w:r>
      <w:r w:rsidRPr="008819C2">
        <w:t>focus</w:t>
      </w:r>
      <w:r>
        <w:t>ing</w:t>
      </w:r>
      <w:r w:rsidRPr="008819C2">
        <w:t xml:space="preserve"> on delaying progression of CKD</w:t>
      </w:r>
      <w:r>
        <w:t>,</w:t>
      </w:r>
      <w:r w:rsidRPr="008819C2">
        <w:t xml:space="preserve"> the renal team will address disorders associated with advanced CKD (acidosis, bone mineral disease, anaemia and increased risks of infection and acute kidney injury</w:t>
      </w:r>
      <w:r>
        <w:t>,</w:t>
      </w:r>
      <w:r w:rsidRPr="008819C2">
        <w:t xml:space="preserve"> nutritional issues and the need to prepare for renal replacement therapies or conservative management</w:t>
      </w:r>
      <w:r>
        <w:t>).</w:t>
      </w:r>
    </w:p>
    <w:p w:rsidR="00F74342" w:rsidRDefault="00F74342" w:rsidP="00C85510"/>
    <w:p w:rsidR="00C85510" w:rsidRDefault="00F74342" w:rsidP="00C85510">
      <w:r>
        <w:t>W</w:t>
      </w:r>
      <w:r w:rsidRPr="008819C2">
        <w:t xml:space="preserve">here </w:t>
      </w:r>
      <w:r>
        <w:t xml:space="preserve">primary care clinicians are </w:t>
      </w:r>
      <w:r w:rsidRPr="008819C2">
        <w:t>uncertain about management or referral,</w:t>
      </w:r>
      <w:r>
        <w:t xml:space="preserve"> it</w:t>
      </w:r>
      <w:r w:rsidRPr="008819C2">
        <w:t xml:space="preserve"> is highly recommended </w:t>
      </w:r>
      <w:r>
        <w:t xml:space="preserve">that they </w:t>
      </w:r>
      <w:r w:rsidRPr="008819C2">
        <w:t>use telephone consultations and/or ‘virtual’ referrals</w:t>
      </w:r>
      <w:r>
        <w:t>.</w:t>
      </w:r>
      <w:bookmarkStart w:id="29" w:name="_Toc403628266"/>
      <w:r w:rsidR="00C85510">
        <w:br w:type="page"/>
      </w:r>
    </w:p>
    <w:p w:rsidR="00F74342" w:rsidRDefault="00F74342" w:rsidP="00F74342">
      <w:pPr>
        <w:pStyle w:val="Heading1"/>
      </w:pPr>
      <w:bookmarkStart w:id="30" w:name="_Toc405492473"/>
      <w:r>
        <w:t>Examples of i</w:t>
      </w:r>
      <w:r w:rsidRPr="00CB6195">
        <w:t>mplementing best practice in CKD management in primary care</w:t>
      </w:r>
      <w:bookmarkEnd w:id="29"/>
      <w:bookmarkEnd w:id="30"/>
    </w:p>
    <w:p w:rsidR="00F74342" w:rsidRPr="00CF1A94" w:rsidRDefault="00F74342" w:rsidP="00C85510">
      <w:pPr>
        <w:rPr>
          <w:szCs w:val="28"/>
        </w:rPr>
      </w:pPr>
      <w:r w:rsidRPr="00CF1A94">
        <w:t xml:space="preserve">Recent pilot projects and the DEFEND </w:t>
      </w:r>
      <w:r>
        <w:t xml:space="preserve">randomised controlled trial </w:t>
      </w:r>
      <w:r w:rsidRPr="00CF1A94">
        <w:t>(</w:t>
      </w:r>
      <w:r>
        <w:t>6</w:t>
      </w:r>
      <w:r w:rsidRPr="00CF1A94">
        <w:t>) have demonstrated the effectiveness of complementary strategies to implement improved management of CKD in primary care and collaboration with secondary care</w:t>
      </w:r>
      <w:r>
        <w:t>. In particular</w:t>
      </w:r>
      <w:r w:rsidRPr="00CF1A94">
        <w:t>:</w:t>
      </w:r>
    </w:p>
    <w:p w:rsidR="00F74342" w:rsidRPr="003119D1" w:rsidRDefault="00F74342" w:rsidP="00C85510">
      <w:pPr>
        <w:pStyle w:val="Bullet"/>
      </w:pPr>
      <w:r>
        <w:t>a</w:t>
      </w:r>
      <w:r w:rsidRPr="003119D1">
        <w:t xml:space="preserve">n electronic desktop tool </w:t>
      </w:r>
      <w:r>
        <w:t xml:space="preserve">has been used </w:t>
      </w:r>
      <w:r w:rsidRPr="003119D1">
        <w:t>to facilitate the detection and management of</w:t>
      </w:r>
      <w:r>
        <w:t xml:space="preserve"> CKD in a primary care setting</w:t>
      </w:r>
    </w:p>
    <w:p w:rsidR="00F74342" w:rsidRPr="003119D1" w:rsidRDefault="00F74342" w:rsidP="00C85510">
      <w:pPr>
        <w:pStyle w:val="Bullet"/>
      </w:pPr>
      <w:r>
        <w:t>n</w:t>
      </w:r>
      <w:r w:rsidRPr="003119D1">
        <w:t>urse-led clinics involv</w:t>
      </w:r>
      <w:r>
        <w:t>ed</w:t>
      </w:r>
      <w:r w:rsidRPr="003119D1">
        <w:t xml:space="preserve"> intensive management of those identified as high</w:t>
      </w:r>
      <w:r>
        <w:t>-</w:t>
      </w:r>
      <w:r w:rsidRPr="003119D1">
        <w:t>risk CKD patients within a primary care setting</w:t>
      </w:r>
    </w:p>
    <w:p w:rsidR="00F74342" w:rsidRPr="00D33FE2" w:rsidRDefault="00F74342" w:rsidP="00C85510">
      <w:pPr>
        <w:pStyle w:val="Bullet"/>
      </w:pPr>
      <w:r>
        <w:t>t</w:t>
      </w:r>
      <w:r w:rsidRPr="003119D1">
        <w:t>he D</w:t>
      </w:r>
      <w:r>
        <w:t>EFEND</w:t>
      </w:r>
      <w:r w:rsidRPr="003119D1">
        <w:t xml:space="preserve"> </w:t>
      </w:r>
      <w:r>
        <w:t>s</w:t>
      </w:r>
      <w:r w:rsidRPr="003119D1">
        <w:t>tudy</w:t>
      </w:r>
      <w:r>
        <w:t xml:space="preserve"> involved </w:t>
      </w:r>
      <w:r w:rsidRPr="003119D1">
        <w:t xml:space="preserve">a </w:t>
      </w:r>
      <w:r>
        <w:t>randomised controlled trial</w:t>
      </w:r>
      <w:r w:rsidRPr="003119D1">
        <w:t xml:space="preserve"> of intensive renal nurse-led management to delay p</w:t>
      </w:r>
      <w:r>
        <w:t>r</w:t>
      </w:r>
      <w:r w:rsidRPr="003119D1">
        <w:t>o</w:t>
      </w:r>
      <w:r>
        <w:t>g</w:t>
      </w:r>
      <w:r w:rsidRPr="003119D1">
        <w:t>ression of CKD in M</w:t>
      </w:r>
      <w:r>
        <w:t>ā</w:t>
      </w:r>
      <w:r w:rsidRPr="003119D1">
        <w:t>ori and Pacific patients with established stage</w:t>
      </w:r>
      <w:r w:rsidR="00C85510">
        <w:t> </w:t>
      </w:r>
      <w:r w:rsidRPr="003119D1">
        <w:t>3 or 4 diabetic nephropathy</w:t>
      </w:r>
      <w:r>
        <w:t xml:space="preserve">. Health care assistants (community health workers), under the supervision of a nurse specialist and physicians, visited patients at home or at work to encourage them to adhere to their medication and adjusted medication according to an algorithm. </w:t>
      </w:r>
      <w:r w:rsidRPr="003119D1">
        <w:t>(</w:t>
      </w:r>
      <w:r>
        <w:t>6</w:t>
      </w:r>
      <w:r w:rsidRPr="003119D1">
        <w:t>)</w:t>
      </w:r>
    </w:p>
    <w:p w:rsidR="00F74342" w:rsidRDefault="00F74342" w:rsidP="00C85510"/>
    <w:p w:rsidR="00C85510" w:rsidRDefault="00C85510" w:rsidP="00C85510">
      <w:bookmarkStart w:id="31" w:name="_Toc403628267"/>
    </w:p>
    <w:p w:rsidR="00F74342" w:rsidRPr="00CF1A94" w:rsidRDefault="00F74342" w:rsidP="00F74342">
      <w:pPr>
        <w:pStyle w:val="Heading1"/>
      </w:pPr>
      <w:bookmarkStart w:id="32" w:name="_Toc405492474"/>
      <w:r w:rsidRPr="00CF1A94">
        <w:t>Key enablers in CKD management</w:t>
      </w:r>
      <w:bookmarkEnd w:id="31"/>
      <w:bookmarkEnd w:id="32"/>
    </w:p>
    <w:p w:rsidR="00F74342" w:rsidRDefault="00F74342" w:rsidP="00C85510">
      <w:pPr>
        <w:rPr>
          <w:rFonts w:cs="Arial"/>
          <w:szCs w:val="24"/>
        </w:rPr>
      </w:pPr>
      <w:r>
        <w:t>CKD c</w:t>
      </w:r>
      <w:r w:rsidRPr="00CF1A94">
        <w:t>an only be effectively managed in primary care as one aspect of the management of the range of long</w:t>
      </w:r>
      <w:r>
        <w:t>-</w:t>
      </w:r>
      <w:r w:rsidRPr="00CF1A94">
        <w:t xml:space="preserve">term conditions. </w:t>
      </w:r>
      <w:r>
        <w:rPr>
          <w:rFonts w:cs="Arial"/>
          <w:szCs w:val="24"/>
        </w:rPr>
        <w:t xml:space="preserve">Primary care clinicians </w:t>
      </w:r>
      <w:r w:rsidRPr="003119D1">
        <w:rPr>
          <w:rFonts w:cs="Arial"/>
          <w:szCs w:val="24"/>
        </w:rPr>
        <w:t>can easily incorporate</w:t>
      </w:r>
      <w:r>
        <w:rPr>
          <w:rFonts w:cs="Arial"/>
          <w:szCs w:val="24"/>
        </w:rPr>
        <w:t xml:space="preserve"> the identification of CKD into</w:t>
      </w:r>
      <w:r w:rsidRPr="003119D1">
        <w:rPr>
          <w:rFonts w:cs="Arial"/>
          <w:szCs w:val="24"/>
        </w:rPr>
        <w:t xml:space="preserve"> CVD risk assessment and diabetes checks.</w:t>
      </w:r>
    </w:p>
    <w:p w:rsidR="00F74342" w:rsidRPr="003119D1" w:rsidRDefault="00F74342" w:rsidP="00C85510"/>
    <w:p w:rsidR="00F74342" w:rsidRPr="003119D1" w:rsidRDefault="00F74342" w:rsidP="00C85510">
      <w:r>
        <w:t>T</w:t>
      </w:r>
      <w:r w:rsidRPr="003119D1">
        <w:t>o manage CKD effectively</w:t>
      </w:r>
      <w:r>
        <w:t>,</w:t>
      </w:r>
      <w:r w:rsidRPr="003119D1">
        <w:t xml:space="preserve"> primary care practices need</w:t>
      </w:r>
      <w:r>
        <w:t xml:space="preserve"> suitable electronic support (see Appendix 1), including</w:t>
      </w:r>
      <w:r w:rsidRPr="003119D1">
        <w:t>:</w:t>
      </w:r>
    </w:p>
    <w:p w:rsidR="00F74342" w:rsidRDefault="00F74342" w:rsidP="00C85510">
      <w:pPr>
        <w:pStyle w:val="Bullet"/>
      </w:pPr>
      <w:r>
        <w:t>i</w:t>
      </w:r>
      <w:r w:rsidRPr="003119D1">
        <w:t>nformation systems</w:t>
      </w:r>
      <w:r w:rsidRPr="003119D1">
        <w:rPr>
          <w:i/>
        </w:rPr>
        <w:t xml:space="preserve"> </w:t>
      </w:r>
      <w:r w:rsidRPr="003119D1">
        <w:t>to identify, register, monitor and appropriately recall all people with CKD in the practice</w:t>
      </w:r>
    </w:p>
    <w:p w:rsidR="00F74342" w:rsidRPr="00E44E6B" w:rsidRDefault="00F74342" w:rsidP="00C85510">
      <w:pPr>
        <w:pStyle w:val="Bullet"/>
      </w:pPr>
      <w:r w:rsidRPr="003B713E">
        <w:rPr>
          <w:color w:val="000000"/>
        </w:rPr>
        <w:t>an electronic tool offering a clear decision pathway that supports best practice management of CKD</w:t>
      </w:r>
    </w:p>
    <w:p w:rsidR="00F74342" w:rsidRDefault="00F74342" w:rsidP="00C85510">
      <w:pPr>
        <w:pStyle w:val="Bullet"/>
      </w:pPr>
      <w:r w:rsidRPr="00E44E6B">
        <w:t>audit supported by their primary health organisation to provide useful feedback on the practice’s performance in a continuous quality improvement (CQI) environment.</w:t>
      </w:r>
    </w:p>
    <w:p w:rsidR="00F74342" w:rsidRDefault="00F74342" w:rsidP="00C85510"/>
    <w:p w:rsidR="00F74342" w:rsidRDefault="00F74342" w:rsidP="00C85510">
      <w:r>
        <w:t>Nurse-led clinics</w:t>
      </w:r>
      <w:r w:rsidRPr="003119D1">
        <w:t xml:space="preserve"> for people with long</w:t>
      </w:r>
      <w:r>
        <w:t>-</w:t>
      </w:r>
      <w:r w:rsidRPr="003119D1">
        <w:t>term conditions</w:t>
      </w:r>
      <w:r>
        <w:t xml:space="preserve"> can undertake i</w:t>
      </w:r>
      <w:r w:rsidRPr="003119D1">
        <w:t xml:space="preserve">ntensive management of people </w:t>
      </w:r>
      <w:r>
        <w:t>identified at</w:t>
      </w:r>
      <w:r w:rsidRPr="003119D1">
        <w:t xml:space="preserve"> high risk of progressive CKD</w:t>
      </w:r>
      <w:r>
        <w:t xml:space="preserve"> (see Appendix 2)</w:t>
      </w:r>
      <w:r w:rsidRPr="003119D1">
        <w:t>.</w:t>
      </w:r>
      <w:r>
        <w:t xml:space="preserve"> </w:t>
      </w:r>
      <w:r w:rsidRPr="003119D1">
        <w:t>To manage CKD in primary care</w:t>
      </w:r>
      <w:r>
        <w:t>,</w:t>
      </w:r>
      <w:r w:rsidRPr="003119D1">
        <w:t xml:space="preserve"> practice nurses need to be able to work to their scope of practice.</w:t>
      </w:r>
      <w:r>
        <w:t xml:space="preserve"> </w:t>
      </w:r>
      <w:r w:rsidRPr="003119D1">
        <w:t>This requires:</w:t>
      </w:r>
    </w:p>
    <w:p w:rsidR="00F74342" w:rsidRPr="003119D1" w:rsidRDefault="00F74342" w:rsidP="00C85510">
      <w:pPr>
        <w:pStyle w:val="Bullet"/>
      </w:pPr>
      <w:r w:rsidRPr="003119D1">
        <w:t xml:space="preserve">specialist nurses from secondary </w:t>
      </w:r>
      <w:r>
        <w:t>care based in renal departments to u</w:t>
      </w:r>
      <w:r w:rsidRPr="003119D1">
        <w:t xml:space="preserve">pskill </w:t>
      </w:r>
      <w:r>
        <w:t>practice</w:t>
      </w:r>
      <w:r w:rsidRPr="003119D1">
        <w:t xml:space="preserve"> nurses</w:t>
      </w:r>
      <w:r w:rsidRPr="003119D1">
        <w:rPr>
          <w:i/>
        </w:rPr>
        <w:t xml:space="preserve"> </w:t>
      </w:r>
      <w:r w:rsidRPr="003119D1">
        <w:t>in CKD management</w:t>
      </w:r>
    </w:p>
    <w:p w:rsidR="00F74342" w:rsidRDefault="00F74342" w:rsidP="00C85510">
      <w:pPr>
        <w:pStyle w:val="Bullet"/>
      </w:pPr>
      <w:r>
        <w:t>i</w:t>
      </w:r>
      <w:r w:rsidRPr="003119D1">
        <w:t>nnovative funding models that support primary care practices to enable their practice nurses to work with patients in nurse-led clinics with</w:t>
      </w:r>
      <w:r>
        <w:t>in primary care</w:t>
      </w:r>
      <w:r w:rsidR="00F57BAF">
        <w:t>.</w:t>
      </w:r>
    </w:p>
    <w:p w:rsidR="00F74342" w:rsidRDefault="00F74342" w:rsidP="00F74342">
      <w:pPr>
        <w:pStyle w:val="Heading1"/>
      </w:pPr>
      <w:bookmarkStart w:id="33" w:name="_Toc403628268"/>
      <w:bookmarkStart w:id="34" w:name="_Toc405492475"/>
      <w:r w:rsidRPr="00607B60">
        <w:t>Key stakeholder groups in CKD manag</w:t>
      </w:r>
      <w:r>
        <w:t>em</w:t>
      </w:r>
      <w:r w:rsidRPr="00607B60">
        <w:t>ent</w:t>
      </w:r>
      <w:bookmarkEnd w:id="33"/>
      <w:bookmarkEnd w:id="34"/>
    </w:p>
    <w:p w:rsidR="00F74342" w:rsidRPr="00CF1A94" w:rsidRDefault="00F74342" w:rsidP="00C85510">
      <w:pPr>
        <w:rPr>
          <w:szCs w:val="28"/>
        </w:rPr>
      </w:pPr>
      <w:r w:rsidRPr="00CF1A94">
        <w:t>Improving care of people with CKD in primary care involves action from a range of groups in the health sector</w:t>
      </w:r>
      <w:r>
        <w:t>.</w:t>
      </w:r>
    </w:p>
    <w:p w:rsidR="00F74342" w:rsidRDefault="00F74342" w:rsidP="00F57BAF">
      <w:pPr>
        <w:pStyle w:val="Bullet"/>
        <w:spacing w:before="150"/>
      </w:pPr>
      <w:r w:rsidRPr="00F57BAF">
        <w:rPr>
          <w:b/>
        </w:rPr>
        <w:t>Primary health organisations (PHOs) and primary care practices</w:t>
      </w:r>
      <w:r w:rsidRPr="00F57BAF">
        <w:t xml:space="preserve"> need</w:t>
      </w:r>
      <w:r w:rsidRPr="003119D1">
        <w:t xml:space="preserve"> to </w:t>
      </w:r>
      <w:r>
        <w:t>make</w:t>
      </w:r>
      <w:r w:rsidRPr="003119D1">
        <w:t xml:space="preserve"> the care of people with CKD </w:t>
      </w:r>
      <w:r>
        <w:t>an</w:t>
      </w:r>
      <w:r w:rsidRPr="003119D1">
        <w:t xml:space="preserve"> integral </w:t>
      </w:r>
      <w:r>
        <w:t xml:space="preserve">part of </w:t>
      </w:r>
      <w:r w:rsidRPr="003119D1">
        <w:t>the assessment and management of CVD risk and diabetes.</w:t>
      </w:r>
      <w:r>
        <w:t xml:space="preserve"> Because m</w:t>
      </w:r>
      <w:r w:rsidRPr="003119D1">
        <w:t xml:space="preserve">ost patients </w:t>
      </w:r>
      <w:r>
        <w:t xml:space="preserve">with CKD </w:t>
      </w:r>
      <w:r w:rsidRPr="003119D1">
        <w:t xml:space="preserve">can only be </w:t>
      </w:r>
      <w:r>
        <w:t xml:space="preserve">identified and </w:t>
      </w:r>
      <w:r w:rsidRPr="003119D1">
        <w:t xml:space="preserve">effectively managed in primary care, </w:t>
      </w:r>
      <w:r>
        <w:t>managing s</w:t>
      </w:r>
      <w:r w:rsidRPr="003119D1">
        <w:t>tage 3 CKD is part of the core work</w:t>
      </w:r>
      <w:r>
        <w:t xml:space="preserve"> of the primary care team</w:t>
      </w:r>
      <w:r w:rsidRPr="003119D1">
        <w:t>.</w:t>
      </w:r>
    </w:p>
    <w:p w:rsidR="00F74342" w:rsidRDefault="00F74342" w:rsidP="00F57BAF">
      <w:pPr>
        <w:pStyle w:val="Bullet"/>
        <w:spacing w:before="150"/>
      </w:pPr>
      <w:r w:rsidRPr="00F57BAF">
        <w:rPr>
          <w:b/>
        </w:rPr>
        <w:t>Nephrology services</w:t>
      </w:r>
      <w:r w:rsidRPr="00F57BAF">
        <w:t xml:space="preserve"> need</w:t>
      </w:r>
      <w:r w:rsidRPr="003119D1">
        <w:t xml:space="preserve"> to support primary care practices in the management of CKD, including </w:t>
      </w:r>
      <w:r>
        <w:t xml:space="preserve">through the </w:t>
      </w:r>
      <w:r w:rsidRPr="003119D1">
        <w:t>development of senior nursing positions to lead work with primary care. Working with primary care services in the management of CKD is part of the core work of specialist renal services.</w:t>
      </w:r>
    </w:p>
    <w:p w:rsidR="00F74342" w:rsidRPr="003119D1" w:rsidRDefault="00F74342" w:rsidP="00F57BAF">
      <w:pPr>
        <w:pStyle w:val="Bullet"/>
        <w:spacing w:before="150"/>
      </w:pPr>
      <w:r w:rsidRPr="00F57BAF">
        <w:rPr>
          <w:b/>
        </w:rPr>
        <w:t>Diabetes services</w:t>
      </w:r>
      <w:r w:rsidRPr="00F57BAF">
        <w:t xml:space="preserve"> need to support primary care practices in the detection and management of patients who</w:t>
      </w:r>
      <w:r>
        <w:t xml:space="preserve"> have</w:t>
      </w:r>
      <w:r w:rsidRPr="003119D1">
        <w:t xml:space="preserve"> diabetes </w:t>
      </w:r>
      <w:r>
        <w:t>and</w:t>
      </w:r>
      <w:r w:rsidRPr="003119D1">
        <w:t xml:space="preserve"> CKD</w:t>
      </w:r>
      <w:r>
        <w:t>. Specifically</w:t>
      </w:r>
      <w:r w:rsidRPr="003119D1">
        <w:t xml:space="preserve"> diabetologists and diabetes nurse specialists </w:t>
      </w:r>
      <w:r>
        <w:t>need to work</w:t>
      </w:r>
      <w:r w:rsidRPr="003119D1">
        <w:t xml:space="preserve"> with primary care staff.</w:t>
      </w:r>
      <w:r>
        <w:t xml:space="preserve"> </w:t>
      </w:r>
      <w:r w:rsidRPr="003119D1">
        <w:t xml:space="preserve">Many of the patients </w:t>
      </w:r>
      <w:r>
        <w:t>who have</w:t>
      </w:r>
      <w:r w:rsidRPr="003119D1">
        <w:t xml:space="preserve"> diabetes </w:t>
      </w:r>
      <w:r>
        <w:t>and</w:t>
      </w:r>
      <w:r w:rsidRPr="003119D1">
        <w:t xml:space="preserve"> CKD have multiple complications.</w:t>
      </w:r>
    </w:p>
    <w:p w:rsidR="00F74342" w:rsidRPr="003119D1" w:rsidRDefault="00F74342" w:rsidP="00F57BAF">
      <w:pPr>
        <w:pStyle w:val="Bullet"/>
        <w:spacing w:before="150"/>
      </w:pPr>
      <w:r w:rsidRPr="00F57BAF">
        <w:rPr>
          <w:b/>
        </w:rPr>
        <w:t>Clinical and community pharmacists</w:t>
      </w:r>
      <w:r w:rsidRPr="00F57BAF">
        <w:t xml:space="preserve"> need to</w:t>
      </w:r>
      <w:r w:rsidRPr="003119D1">
        <w:t xml:space="preserve"> </w:t>
      </w:r>
      <w:r>
        <w:t>dispense</w:t>
      </w:r>
      <w:r w:rsidRPr="003119D1">
        <w:t xml:space="preserve"> medications</w:t>
      </w:r>
      <w:r>
        <w:t xml:space="preserve"> appropriately</w:t>
      </w:r>
      <w:r w:rsidRPr="003119D1">
        <w:t xml:space="preserve">, ensuring </w:t>
      </w:r>
      <w:r>
        <w:t xml:space="preserve">patients collect their </w:t>
      </w:r>
      <w:r w:rsidRPr="003119D1">
        <w:t>repeat</w:t>
      </w:r>
      <w:r>
        <w:t xml:space="preserve"> prescriptions</w:t>
      </w:r>
      <w:r w:rsidRPr="003119D1">
        <w:t xml:space="preserve"> and advising </w:t>
      </w:r>
      <w:r>
        <w:t>about</w:t>
      </w:r>
      <w:r w:rsidRPr="003119D1">
        <w:t xml:space="preserve"> nephrotoxic medications and medications requiring dosage adjustments.</w:t>
      </w:r>
    </w:p>
    <w:p w:rsidR="00F74342" w:rsidRPr="003119D1" w:rsidRDefault="00F74342" w:rsidP="00F57BAF">
      <w:pPr>
        <w:pStyle w:val="Bullet"/>
        <w:spacing w:before="150"/>
      </w:pPr>
      <w:r w:rsidRPr="00F57BAF">
        <w:rPr>
          <w:b/>
        </w:rPr>
        <w:t>DHB funding and planning teams</w:t>
      </w:r>
      <w:r w:rsidRPr="00F57BAF">
        <w:t xml:space="preserve"> need to promote the</w:t>
      </w:r>
      <w:r w:rsidRPr="003119D1">
        <w:t xml:space="preserve"> development of better management of CKD in primary care practices via their PHOs</w:t>
      </w:r>
      <w:r>
        <w:t>, as well as to</w:t>
      </w:r>
      <w:r w:rsidRPr="003119D1">
        <w:t xml:space="preserve"> develop their </w:t>
      </w:r>
      <w:r>
        <w:t xml:space="preserve">own </w:t>
      </w:r>
      <w:r w:rsidRPr="003119D1">
        <w:t>secondary nephrology and diabetes services to support primary care practices. Given the financial savings to be made by managing CKD in primary care rather than ESKD in specialist care, this</w:t>
      </w:r>
      <w:r>
        <w:t xml:space="preserve"> work</w:t>
      </w:r>
      <w:r w:rsidRPr="003119D1">
        <w:t xml:space="preserve"> will include innovative funding arrangements with PHOs, </w:t>
      </w:r>
      <w:r>
        <w:t xml:space="preserve">which </w:t>
      </w:r>
      <w:r w:rsidRPr="003119D1">
        <w:t xml:space="preserve">are aligned with the management of CVD and diabetes in primary care, enabling </w:t>
      </w:r>
      <w:r>
        <w:t xml:space="preserve">the emergence of </w:t>
      </w:r>
      <w:r w:rsidRPr="003119D1">
        <w:t>different practice patterns.</w:t>
      </w:r>
    </w:p>
    <w:p w:rsidR="00F74342" w:rsidRDefault="00F74342" w:rsidP="00F57BAF">
      <w:pPr>
        <w:pStyle w:val="Bullet"/>
        <w:spacing w:before="150"/>
      </w:pPr>
      <w:r w:rsidRPr="00F57BAF">
        <w:rPr>
          <w:b/>
        </w:rPr>
        <w:t>Professional groups (primary care, nephrology, diabetes)</w:t>
      </w:r>
      <w:r w:rsidRPr="00F57BAF">
        <w:t xml:space="preserve"> need to</w:t>
      </w:r>
      <w:r w:rsidRPr="003119D1">
        <w:t xml:space="preserve"> lead in the development and dissemination of best practice guidelines that support innovative management of CKD in primary care.</w:t>
      </w:r>
    </w:p>
    <w:p w:rsidR="00F74342" w:rsidRPr="003119D1" w:rsidRDefault="00F74342" w:rsidP="00F57BAF">
      <w:pPr>
        <w:pStyle w:val="Bullet"/>
        <w:spacing w:before="150"/>
      </w:pPr>
      <w:r w:rsidRPr="00F57BAF">
        <w:rPr>
          <w:b/>
        </w:rPr>
        <w:t>Patient organisations</w:t>
      </w:r>
      <w:r w:rsidRPr="00F57BAF">
        <w:t xml:space="preserve"> need to educate</w:t>
      </w:r>
      <w:r w:rsidRPr="003119D1">
        <w:t xml:space="preserve"> their members about the risks, detection and management of kidney disease.</w:t>
      </w:r>
    </w:p>
    <w:p w:rsidR="00F74342" w:rsidRDefault="00F74342" w:rsidP="00F57BAF">
      <w:pPr>
        <w:pStyle w:val="Bullet"/>
        <w:spacing w:before="150"/>
      </w:pPr>
      <w:r w:rsidRPr="00F57BAF">
        <w:rPr>
          <w:b/>
        </w:rPr>
        <w:t>The Ministry of Health</w:t>
      </w:r>
      <w:r w:rsidRPr="00F57BAF">
        <w:t xml:space="preserve"> needs to include</w:t>
      </w:r>
      <w:r w:rsidRPr="003119D1">
        <w:t xml:space="preserve"> CKD management in primary care in guidance</w:t>
      </w:r>
      <w:r>
        <w:t xml:space="preserve"> and</w:t>
      </w:r>
      <w:r w:rsidRPr="003119D1">
        <w:t xml:space="preserve"> link</w:t>
      </w:r>
      <w:r>
        <w:t xml:space="preserve"> it</w:t>
      </w:r>
      <w:r w:rsidRPr="003119D1">
        <w:t xml:space="preserve"> to associated long</w:t>
      </w:r>
      <w:r>
        <w:t>-</w:t>
      </w:r>
      <w:r w:rsidRPr="003119D1">
        <w:t>term conditions such as CVD and diabetes.</w:t>
      </w:r>
    </w:p>
    <w:p w:rsidR="00C85510" w:rsidRDefault="00C85510" w:rsidP="00C85510"/>
    <w:p w:rsidR="005C20CA" w:rsidRDefault="005C20CA">
      <w:pPr>
        <w:spacing w:line="240" w:lineRule="auto"/>
      </w:pPr>
      <w:r>
        <w:br w:type="page"/>
      </w:r>
    </w:p>
    <w:p w:rsidR="00F74342" w:rsidRDefault="00F74342" w:rsidP="00F74342">
      <w:pPr>
        <w:pStyle w:val="Heading1"/>
        <w:spacing w:line="240" w:lineRule="auto"/>
      </w:pPr>
      <w:bookmarkStart w:id="35" w:name="_Toc403628269"/>
      <w:bookmarkStart w:id="36" w:name="_Toc405492476"/>
      <w:r>
        <w:t>References</w:t>
      </w:r>
      <w:bookmarkEnd w:id="35"/>
      <w:bookmarkEnd w:id="36"/>
    </w:p>
    <w:p w:rsidR="00F74342" w:rsidRPr="00F57BAF" w:rsidRDefault="00F74342" w:rsidP="00C85510">
      <w:pPr>
        <w:pStyle w:val="References"/>
        <w:ind w:left="567" w:hanging="567"/>
        <w:rPr>
          <w:sz w:val="22"/>
          <w:szCs w:val="22"/>
        </w:rPr>
      </w:pPr>
      <w:r w:rsidRPr="00F57BAF">
        <w:rPr>
          <w:sz w:val="22"/>
          <w:szCs w:val="22"/>
        </w:rPr>
        <w:t>1.</w:t>
      </w:r>
      <w:r w:rsidRPr="00F57BAF">
        <w:rPr>
          <w:sz w:val="22"/>
          <w:szCs w:val="22"/>
        </w:rPr>
        <w:tab/>
        <w:t xml:space="preserve">National Renal Advisory Board. 2006. </w:t>
      </w:r>
      <w:r w:rsidRPr="00F57BAF">
        <w:rPr>
          <w:i/>
          <w:sz w:val="22"/>
          <w:szCs w:val="22"/>
        </w:rPr>
        <w:t>New Zealand’s Renal Services: Towards a national strategic plan</w:t>
      </w:r>
      <w:r w:rsidRPr="00F57BAF">
        <w:rPr>
          <w:sz w:val="22"/>
          <w:szCs w:val="22"/>
        </w:rPr>
        <w:t>. Wellington: National Renal Advisory Board.</w:t>
      </w:r>
    </w:p>
    <w:p w:rsidR="00F74342" w:rsidRPr="00F57BAF" w:rsidRDefault="00F74342" w:rsidP="00C85510">
      <w:pPr>
        <w:pStyle w:val="References"/>
        <w:ind w:left="567" w:hanging="567"/>
        <w:rPr>
          <w:rFonts w:eastAsia="MS Mincho" w:cs="AdvMyrlight_R"/>
          <w:color w:val="231F20"/>
          <w:sz w:val="22"/>
          <w:szCs w:val="22"/>
          <w:lang w:eastAsia="ja-JP"/>
        </w:rPr>
      </w:pPr>
      <w:r w:rsidRPr="00F57BAF">
        <w:rPr>
          <w:sz w:val="22"/>
          <w:szCs w:val="22"/>
        </w:rPr>
        <w:t>2.</w:t>
      </w:r>
      <w:r w:rsidRPr="00F57BAF">
        <w:rPr>
          <w:sz w:val="22"/>
          <w:szCs w:val="22"/>
        </w:rPr>
        <w:tab/>
        <w:t>Kidney Disease: Improving Global Outcomes (KDIGO) CKD Work Group. 2013. KDIGO 2012 Clinical Practice Guideline for the Evaluation and Management of Chronic Kidney Disease.</w:t>
      </w:r>
      <w:r w:rsidRPr="00F57BAF">
        <w:rPr>
          <w:rFonts w:eastAsia="MS Mincho" w:cs="AdvMyrlight_I"/>
          <w:color w:val="231F20"/>
          <w:sz w:val="22"/>
          <w:szCs w:val="22"/>
          <w:lang w:eastAsia="ja-JP"/>
        </w:rPr>
        <w:t xml:space="preserve"> </w:t>
      </w:r>
      <w:r w:rsidRPr="00F57BAF">
        <w:rPr>
          <w:rFonts w:eastAsia="MS Mincho" w:cs="AdvMyrlight_I"/>
          <w:i/>
          <w:color w:val="231F20"/>
          <w:sz w:val="22"/>
          <w:szCs w:val="22"/>
          <w:lang w:eastAsia="ja-JP"/>
        </w:rPr>
        <w:t>Kidney International Supplements</w:t>
      </w:r>
      <w:r w:rsidRPr="00F57BAF">
        <w:rPr>
          <w:rFonts w:eastAsia="MS Mincho" w:cs="AdvMyrlight_I"/>
          <w:color w:val="231F20"/>
          <w:sz w:val="22"/>
          <w:szCs w:val="22"/>
          <w:lang w:eastAsia="ja-JP"/>
        </w:rPr>
        <w:t xml:space="preserve"> </w:t>
      </w:r>
      <w:r w:rsidRPr="00F57BAF">
        <w:rPr>
          <w:rFonts w:eastAsia="MS Mincho" w:cs="AdvMyriad_B"/>
          <w:color w:val="231F20"/>
          <w:sz w:val="22"/>
          <w:szCs w:val="22"/>
          <w:lang w:eastAsia="ja-JP"/>
        </w:rPr>
        <w:t>3</w:t>
      </w:r>
      <w:r w:rsidRPr="00F57BAF">
        <w:rPr>
          <w:rFonts w:eastAsia="MS Mincho" w:cs="AdvMyrlight_R"/>
          <w:color w:val="231F20"/>
          <w:sz w:val="22"/>
          <w:szCs w:val="22"/>
          <w:lang w:eastAsia="ja-JP"/>
        </w:rPr>
        <w:t>(1): 1–150.</w:t>
      </w:r>
    </w:p>
    <w:p w:rsidR="00F74342" w:rsidRPr="00F57BAF" w:rsidRDefault="00F74342" w:rsidP="00C85510">
      <w:pPr>
        <w:pStyle w:val="References"/>
        <w:ind w:left="567" w:hanging="567"/>
        <w:rPr>
          <w:sz w:val="22"/>
          <w:szCs w:val="22"/>
        </w:rPr>
      </w:pPr>
      <w:r w:rsidRPr="00F57BAF">
        <w:rPr>
          <w:sz w:val="22"/>
          <w:szCs w:val="22"/>
        </w:rPr>
        <w:t>3.</w:t>
      </w:r>
      <w:r w:rsidRPr="00F57BAF">
        <w:rPr>
          <w:sz w:val="22"/>
          <w:szCs w:val="22"/>
        </w:rPr>
        <w:tab/>
        <w:t xml:space="preserve">Australia and New Zealand Dialysis and Transplant Registry. 2013. </w:t>
      </w:r>
      <w:r w:rsidRPr="00F57BAF">
        <w:rPr>
          <w:i/>
          <w:sz w:val="22"/>
          <w:szCs w:val="22"/>
        </w:rPr>
        <w:t>Summary of Australia and New Zealand Dialysis and Transplantation 2012</w:t>
      </w:r>
      <w:r w:rsidRPr="00F57BAF">
        <w:rPr>
          <w:sz w:val="22"/>
          <w:szCs w:val="22"/>
        </w:rPr>
        <w:t xml:space="preserve">. URL: </w:t>
      </w:r>
      <w:hyperlink r:id="rId18" w:history="1">
        <w:r w:rsidRPr="00F57BAF">
          <w:rPr>
            <w:rStyle w:val="Hyperlink"/>
            <w:sz w:val="22"/>
            <w:szCs w:val="22"/>
          </w:rPr>
          <w:t>www.anzdata.org.au/anzdata/AnzdataReport/36thReport/2012_Summary_v1.pdf</w:t>
        </w:r>
      </w:hyperlink>
      <w:r w:rsidRPr="00F57BAF">
        <w:rPr>
          <w:sz w:val="22"/>
          <w:szCs w:val="22"/>
        </w:rPr>
        <w:t xml:space="preserve"> (accessed 11</w:t>
      </w:r>
      <w:r w:rsidR="00C85510" w:rsidRPr="00F57BAF">
        <w:rPr>
          <w:sz w:val="22"/>
          <w:szCs w:val="22"/>
        </w:rPr>
        <w:t> </w:t>
      </w:r>
      <w:r w:rsidRPr="00F57BAF">
        <w:rPr>
          <w:sz w:val="22"/>
          <w:szCs w:val="22"/>
        </w:rPr>
        <w:t>November 2014).</w:t>
      </w:r>
    </w:p>
    <w:p w:rsidR="00F74342" w:rsidRPr="00F57BAF" w:rsidRDefault="00F74342" w:rsidP="00C85510">
      <w:pPr>
        <w:pStyle w:val="References"/>
        <w:ind w:left="567" w:hanging="567"/>
        <w:rPr>
          <w:sz w:val="22"/>
          <w:szCs w:val="22"/>
        </w:rPr>
      </w:pPr>
      <w:r w:rsidRPr="00F57BAF">
        <w:rPr>
          <w:color w:val="000000"/>
          <w:sz w:val="22"/>
          <w:szCs w:val="22"/>
        </w:rPr>
        <w:t>4.</w:t>
      </w:r>
      <w:r w:rsidRPr="00F57BAF">
        <w:rPr>
          <w:color w:val="000000"/>
          <w:sz w:val="22"/>
          <w:szCs w:val="22"/>
        </w:rPr>
        <w:tab/>
        <w:t xml:space="preserve">Kidney Health Australia. 2005–2013. </w:t>
      </w:r>
      <w:r w:rsidRPr="00F57BAF">
        <w:rPr>
          <w:i/>
          <w:color w:val="000000"/>
          <w:sz w:val="22"/>
          <w:szCs w:val="22"/>
        </w:rPr>
        <w:t>Caring for Australasians with Renal Insufficiency (CARI): CKD Guidelines</w:t>
      </w:r>
      <w:r w:rsidRPr="00F57BAF">
        <w:rPr>
          <w:color w:val="000000"/>
          <w:sz w:val="22"/>
          <w:szCs w:val="22"/>
        </w:rPr>
        <w:t xml:space="preserve">. URL: </w:t>
      </w:r>
      <w:hyperlink r:id="rId19" w:history="1">
        <w:r w:rsidRPr="00F57BAF">
          <w:rPr>
            <w:rStyle w:val="Hyperlink"/>
            <w:sz w:val="22"/>
            <w:szCs w:val="22"/>
          </w:rPr>
          <w:t>www.cari.org.au/CKD/ckd_guidelines.html</w:t>
        </w:r>
      </w:hyperlink>
      <w:r w:rsidRPr="00F57BAF">
        <w:rPr>
          <w:sz w:val="22"/>
          <w:szCs w:val="22"/>
        </w:rPr>
        <w:t xml:space="preserve"> (accessed 11</w:t>
      </w:r>
      <w:r w:rsidR="00C85510" w:rsidRPr="00F57BAF">
        <w:rPr>
          <w:sz w:val="22"/>
          <w:szCs w:val="22"/>
        </w:rPr>
        <w:t> </w:t>
      </w:r>
      <w:r w:rsidRPr="00F57BAF">
        <w:rPr>
          <w:sz w:val="22"/>
          <w:szCs w:val="22"/>
        </w:rPr>
        <w:t>November 2014).</w:t>
      </w:r>
    </w:p>
    <w:p w:rsidR="00F74342" w:rsidRPr="00F57BAF" w:rsidRDefault="00F74342" w:rsidP="00C85510">
      <w:pPr>
        <w:pStyle w:val="References"/>
        <w:ind w:left="567" w:hanging="567"/>
        <w:rPr>
          <w:sz w:val="22"/>
          <w:szCs w:val="22"/>
        </w:rPr>
      </w:pPr>
      <w:r w:rsidRPr="00F57BAF">
        <w:rPr>
          <w:sz w:val="22"/>
          <w:szCs w:val="22"/>
        </w:rPr>
        <w:t>5.</w:t>
      </w:r>
      <w:r w:rsidRPr="00F57BAF">
        <w:rPr>
          <w:sz w:val="22"/>
          <w:szCs w:val="22"/>
        </w:rPr>
        <w:tab/>
        <w:t xml:space="preserve">Kidney Health New Zealand. 2014. </w:t>
      </w:r>
      <w:r w:rsidRPr="00F57BAF">
        <w:rPr>
          <w:i/>
          <w:sz w:val="22"/>
          <w:szCs w:val="22"/>
        </w:rPr>
        <w:t>Chronic Kidney Disease Management in General Practice</w:t>
      </w:r>
      <w:r w:rsidRPr="00F57BAF">
        <w:rPr>
          <w:sz w:val="22"/>
          <w:szCs w:val="22"/>
        </w:rPr>
        <w:t xml:space="preserve">. URL: </w:t>
      </w:r>
      <w:hyperlink r:id="rId20" w:history="1">
        <w:r w:rsidRPr="00F57BAF">
          <w:rPr>
            <w:rStyle w:val="Hyperlink"/>
            <w:sz w:val="22"/>
            <w:szCs w:val="22"/>
          </w:rPr>
          <w:t>www.kidneys.co.nz/resources/file/ckd_management_in_general_practice._2014_version.pdf</w:t>
        </w:r>
      </w:hyperlink>
      <w:r w:rsidRPr="00F57BAF">
        <w:rPr>
          <w:sz w:val="22"/>
          <w:szCs w:val="22"/>
        </w:rPr>
        <w:t xml:space="preserve"> (accessed 11 November 2014).</w:t>
      </w:r>
    </w:p>
    <w:p w:rsidR="00F74342" w:rsidRPr="00F57BAF" w:rsidRDefault="00F74342" w:rsidP="00C85510">
      <w:pPr>
        <w:pStyle w:val="References"/>
        <w:ind w:left="567" w:hanging="567"/>
        <w:rPr>
          <w:sz w:val="22"/>
          <w:szCs w:val="22"/>
        </w:rPr>
      </w:pPr>
      <w:r w:rsidRPr="00F57BAF">
        <w:rPr>
          <w:sz w:val="22"/>
          <w:szCs w:val="22"/>
        </w:rPr>
        <w:t>6.</w:t>
      </w:r>
      <w:r w:rsidRPr="00F57BAF">
        <w:rPr>
          <w:sz w:val="22"/>
          <w:szCs w:val="22"/>
        </w:rPr>
        <w:tab/>
        <w:t xml:space="preserve">Hotu C, Bagg W, Collins J, et al. 2010. A community-based model of care improves blood pressure control and delays progression of proteinuria, left ventricular hypertrophy, and diastolic dysfunction in Maori and Pacific people with type 2 diabetes and chronic kidney disease: a randomised controlled trial. </w:t>
      </w:r>
      <w:r w:rsidRPr="00F57BAF">
        <w:rPr>
          <w:i/>
          <w:sz w:val="22"/>
          <w:szCs w:val="22"/>
        </w:rPr>
        <w:t>Nephrology, Dialysis and Transplant</w:t>
      </w:r>
      <w:r w:rsidRPr="00F57BAF">
        <w:rPr>
          <w:sz w:val="22"/>
          <w:szCs w:val="22"/>
        </w:rPr>
        <w:t xml:space="preserve"> 25(10): 3260–66.</w:t>
      </w:r>
    </w:p>
    <w:p w:rsidR="00F74342" w:rsidRPr="00CF005C" w:rsidRDefault="00F74342" w:rsidP="00C85510"/>
    <w:p w:rsidR="00F74342" w:rsidRDefault="00F74342" w:rsidP="00C85510">
      <w:pPr>
        <w:pStyle w:val="Heading3"/>
      </w:pPr>
      <w:r w:rsidRPr="00A33B0E">
        <w:t xml:space="preserve">CKD </w:t>
      </w:r>
      <w:r>
        <w:t xml:space="preserve">Core </w:t>
      </w:r>
      <w:r w:rsidRPr="00A33B0E">
        <w:t>Work Group</w:t>
      </w:r>
    </w:p>
    <w:p w:rsidR="00F74342" w:rsidRPr="003119D1" w:rsidRDefault="00F74342" w:rsidP="00C85510">
      <w:pPr>
        <w:spacing w:before="60"/>
      </w:pPr>
      <w:r w:rsidRPr="003119D1">
        <w:t>John Collins</w:t>
      </w:r>
      <w:r>
        <w:t>, Renal Physician, Auckland DHB</w:t>
      </w:r>
    </w:p>
    <w:p w:rsidR="00F74342" w:rsidRDefault="00F74342" w:rsidP="00C85510">
      <w:pPr>
        <w:spacing w:before="60"/>
        <w:rPr>
          <w:lang w:val="de-DE"/>
        </w:rPr>
      </w:pPr>
      <w:r w:rsidRPr="003119D1">
        <w:rPr>
          <w:lang w:val="de-DE"/>
        </w:rPr>
        <w:t>Ailsa Jacobson</w:t>
      </w:r>
      <w:r>
        <w:rPr>
          <w:lang w:val="de-DE"/>
        </w:rPr>
        <w:t>, Senior Advisor, Ministry of Health</w:t>
      </w:r>
    </w:p>
    <w:p w:rsidR="00F74342" w:rsidRDefault="00F74342" w:rsidP="00C85510">
      <w:pPr>
        <w:spacing w:before="60"/>
        <w:rPr>
          <w:lang w:val="de-DE"/>
        </w:rPr>
      </w:pPr>
      <w:r w:rsidRPr="003119D1">
        <w:rPr>
          <w:lang w:val="de-DE"/>
        </w:rPr>
        <w:t>Nick Polaschek</w:t>
      </w:r>
      <w:r>
        <w:rPr>
          <w:lang w:val="de-DE"/>
        </w:rPr>
        <w:t>, Senior Project Manager, Ministry of Health</w:t>
      </w:r>
    </w:p>
    <w:p w:rsidR="00F74342" w:rsidRPr="003119D1" w:rsidRDefault="00F74342" w:rsidP="00C85510">
      <w:pPr>
        <w:spacing w:before="60"/>
        <w:rPr>
          <w:lang w:val="de-DE"/>
        </w:rPr>
      </w:pPr>
      <w:r w:rsidRPr="003119D1">
        <w:rPr>
          <w:lang w:val="de-DE"/>
        </w:rPr>
        <w:t>Helen Rodenburg</w:t>
      </w:r>
      <w:r>
        <w:rPr>
          <w:lang w:val="de-DE"/>
        </w:rPr>
        <w:t>, General Practiioner, National Director Long Term Conditions</w:t>
      </w:r>
    </w:p>
    <w:p w:rsidR="00F74342" w:rsidRDefault="00F74342" w:rsidP="00C85510">
      <w:pPr>
        <w:spacing w:before="60"/>
      </w:pPr>
      <w:r w:rsidRPr="003119D1">
        <w:t>Rachael Walker</w:t>
      </w:r>
      <w:r>
        <w:t>, Renal Nurse Practitioner, Hawke’s Bay DHB</w:t>
      </w:r>
    </w:p>
    <w:p w:rsidR="00C85510" w:rsidRPr="003119D1" w:rsidRDefault="00C85510" w:rsidP="00C85510"/>
    <w:p w:rsidR="00F74342" w:rsidRPr="00EA592D" w:rsidRDefault="00F74342" w:rsidP="00F74342">
      <w:pPr>
        <w:pStyle w:val="Heading1"/>
        <w:spacing w:line="240" w:lineRule="auto"/>
      </w:pPr>
      <w:r>
        <w:br w:type="page"/>
      </w:r>
      <w:bookmarkStart w:id="37" w:name="_Toc405492477"/>
      <w:bookmarkStart w:id="38" w:name="_Toc403628270"/>
      <w:r w:rsidRPr="00EA592D">
        <w:t xml:space="preserve">Appendix </w:t>
      </w:r>
      <w:r>
        <w:t>1</w:t>
      </w:r>
      <w:r w:rsidRPr="00EA592D">
        <w:t xml:space="preserve">: </w:t>
      </w:r>
      <w:r>
        <w:t>Using software for CKD management in primary care</w:t>
      </w:r>
      <w:bookmarkEnd w:id="37"/>
    </w:p>
    <w:p w:rsidR="00F74342" w:rsidRDefault="00F74342" w:rsidP="00C85510">
      <w:pPr>
        <w:pStyle w:val="Heading3"/>
      </w:pPr>
      <w:r>
        <w:t>General principles for any software to be used for CKD management in primary care</w:t>
      </w:r>
    </w:p>
    <w:p w:rsidR="00F74342" w:rsidRPr="00837BD2" w:rsidRDefault="00F74342" w:rsidP="00C85510">
      <w:r>
        <w:t>A</w:t>
      </w:r>
      <w:r w:rsidRPr="00837BD2">
        <w:t xml:space="preserve">n electronic decision support pathway for best practice management of CKD </w:t>
      </w:r>
      <w:r>
        <w:t>must</w:t>
      </w:r>
      <w:r w:rsidRPr="00837BD2">
        <w:t>:</w:t>
      </w:r>
    </w:p>
    <w:p w:rsidR="00F74342" w:rsidRPr="00837BD2" w:rsidRDefault="00F74342" w:rsidP="00C85510">
      <w:pPr>
        <w:pStyle w:val="Bullet"/>
      </w:pPr>
      <w:r w:rsidRPr="00837BD2">
        <w:t>integrate with patient management systems (PMS)</w:t>
      </w:r>
      <w:r w:rsidRPr="007547A5">
        <w:t xml:space="preserve"> </w:t>
      </w:r>
      <w:r>
        <w:t xml:space="preserve">of the </w:t>
      </w:r>
      <w:r w:rsidRPr="00837BD2">
        <w:t>general practice</w:t>
      </w:r>
    </w:p>
    <w:p w:rsidR="00F74342" w:rsidRDefault="00F74342" w:rsidP="00C85510">
      <w:pPr>
        <w:pStyle w:val="Bullet"/>
      </w:pPr>
      <w:r w:rsidRPr="00837BD2">
        <w:t>assist in assessment of patients</w:t>
      </w:r>
    </w:p>
    <w:p w:rsidR="00F74342" w:rsidRPr="00837BD2" w:rsidRDefault="00F74342" w:rsidP="00C85510">
      <w:pPr>
        <w:pStyle w:val="Bullet"/>
      </w:pPr>
      <w:r w:rsidRPr="00837BD2">
        <w:t>provide advice on management, including electronic referral to secondary care</w:t>
      </w:r>
    </w:p>
    <w:p w:rsidR="00F74342" w:rsidRDefault="00F74342" w:rsidP="00C85510">
      <w:pPr>
        <w:pStyle w:val="Bullet"/>
      </w:pPr>
      <w:r w:rsidRPr="00837BD2">
        <w:t xml:space="preserve">enable review of adequacy of </w:t>
      </w:r>
      <w:r>
        <w:t xml:space="preserve">the practice of </w:t>
      </w:r>
      <w:r w:rsidRPr="00837BD2">
        <w:t xml:space="preserve">detection and management of </w:t>
      </w:r>
      <w:r>
        <w:t xml:space="preserve">CKD in </w:t>
      </w:r>
      <w:r w:rsidRPr="00837BD2">
        <w:t>the local patient population.</w:t>
      </w:r>
    </w:p>
    <w:p w:rsidR="00F74342" w:rsidRDefault="00F74342" w:rsidP="00C85510"/>
    <w:p w:rsidR="00F74342" w:rsidRDefault="00F74342" w:rsidP="0060744A">
      <w:pPr>
        <w:pStyle w:val="Heading3"/>
      </w:pPr>
      <w:r w:rsidRPr="003F48AB">
        <w:t xml:space="preserve">Electronic desktop tool </w:t>
      </w:r>
      <w:r>
        <w:t xml:space="preserve">available </w:t>
      </w:r>
      <w:r w:rsidRPr="003F48AB">
        <w:t>for CKD management in primary care</w:t>
      </w:r>
    </w:p>
    <w:p w:rsidR="00F74342" w:rsidRDefault="00F74342" w:rsidP="0060744A">
      <w:r w:rsidRPr="008D7AF6">
        <w:t xml:space="preserve">The </w:t>
      </w:r>
      <w:r>
        <w:t xml:space="preserve">electronic desktop </w:t>
      </w:r>
      <w:r w:rsidRPr="008D7AF6">
        <w:t xml:space="preserve">tool </w:t>
      </w:r>
      <w:r>
        <w:t xml:space="preserve">developed by the </w:t>
      </w:r>
      <w:r w:rsidRPr="008D7AF6">
        <w:t>B</w:t>
      </w:r>
      <w:r>
        <w:t xml:space="preserve">est </w:t>
      </w:r>
      <w:r w:rsidRPr="008D7AF6">
        <w:t>P</w:t>
      </w:r>
      <w:r>
        <w:t xml:space="preserve">ractice </w:t>
      </w:r>
      <w:r w:rsidRPr="008D7AF6">
        <w:t>A</w:t>
      </w:r>
      <w:r>
        <w:t xml:space="preserve">dvocacy </w:t>
      </w:r>
      <w:r w:rsidRPr="008D7AF6">
        <w:t>C</w:t>
      </w:r>
      <w:r>
        <w:t xml:space="preserve">entre (BPAC) </w:t>
      </w:r>
      <w:r w:rsidRPr="008D7AF6">
        <w:t xml:space="preserve">to manage CKD is available </w:t>
      </w:r>
      <w:r>
        <w:t xml:space="preserve">free </w:t>
      </w:r>
      <w:r w:rsidRPr="008D7AF6">
        <w:t>to primary care practices</w:t>
      </w:r>
      <w:r>
        <w:t xml:space="preserve"> nationwide</w:t>
      </w:r>
      <w:r w:rsidRPr="008D7AF6">
        <w:t>.</w:t>
      </w:r>
    </w:p>
    <w:p w:rsidR="00F74342" w:rsidRPr="00837BD2" w:rsidRDefault="00F74342" w:rsidP="0060744A"/>
    <w:p w:rsidR="00F74342" w:rsidRPr="00837BD2" w:rsidRDefault="00F74342" w:rsidP="0060744A">
      <w:r w:rsidRPr="00837BD2">
        <w:t>The tool is a clinical pathway, using a best practice approach informed by specialist renal expertise, including:</w:t>
      </w:r>
    </w:p>
    <w:p w:rsidR="00F74342" w:rsidRPr="00837BD2" w:rsidRDefault="00F74342" w:rsidP="0060744A">
      <w:pPr>
        <w:pStyle w:val="Bullet"/>
      </w:pPr>
      <w:r w:rsidRPr="00837BD2">
        <w:t>staging of CKD and assessment of rate of change in renal function</w:t>
      </w:r>
    </w:p>
    <w:p w:rsidR="00F74342" w:rsidRDefault="00F74342" w:rsidP="0060744A">
      <w:pPr>
        <w:pStyle w:val="Bullet"/>
      </w:pPr>
      <w:r w:rsidRPr="00837BD2">
        <w:t xml:space="preserve">clinical advice on management of CKD, including </w:t>
      </w:r>
      <w:r>
        <w:t>blood pressure</w:t>
      </w:r>
      <w:r w:rsidRPr="00837BD2">
        <w:t>, anaemia, mineral metabolism, nephrotoxic medication adjustment</w:t>
      </w:r>
    </w:p>
    <w:p w:rsidR="00F74342" w:rsidRDefault="00F74342" w:rsidP="0060744A">
      <w:pPr>
        <w:pStyle w:val="Bullet"/>
      </w:pPr>
      <w:r w:rsidRPr="00837BD2">
        <w:t>recommended laboratory monitoring and clinical follow-up, generating forms and appointments</w:t>
      </w:r>
    </w:p>
    <w:p w:rsidR="00F74342" w:rsidRDefault="00F74342" w:rsidP="0060744A">
      <w:pPr>
        <w:pStyle w:val="Bullet"/>
      </w:pPr>
      <w:r w:rsidRPr="00837BD2">
        <w:t>electronic referral to secondary care where necessary, populated from electronic tool and PMS.</w:t>
      </w:r>
    </w:p>
    <w:p w:rsidR="00F74342" w:rsidRPr="00837BD2" w:rsidRDefault="00F74342" w:rsidP="00F57BAF"/>
    <w:p w:rsidR="00F74342" w:rsidRPr="00837BD2" w:rsidRDefault="00F74342" w:rsidP="00F57BAF">
      <w:r w:rsidRPr="00837BD2">
        <w:t>To be used successfully</w:t>
      </w:r>
      <w:r>
        <w:t>,</w:t>
      </w:r>
      <w:r w:rsidRPr="00837BD2">
        <w:t xml:space="preserve"> such an electronic system needs to fit into current general practice work patterns through:</w:t>
      </w:r>
    </w:p>
    <w:p w:rsidR="00F74342" w:rsidRPr="00837BD2" w:rsidRDefault="00F74342" w:rsidP="00F57BAF">
      <w:pPr>
        <w:pStyle w:val="Bullet"/>
      </w:pPr>
      <w:r w:rsidRPr="00837BD2">
        <w:t>single screens auto populating all relevant data from the main PMS</w:t>
      </w:r>
    </w:p>
    <w:p w:rsidR="00F74342" w:rsidRDefault="00F74342" w:rsidP="00F57BAF">
      <w:pPr>
        <w:pStyle w:val="Bullet"/>
      </w:pPr>
      <w:r w:rsidRPr="00837BD2">
        <w:t>minimis</w:t>
      </w:r>
      <w:r>
        <w:t>ing</w:t>
      </w:r>
      <w:r w:rsidRPr="00837BD2">
        <w:t xml:space="preserve"> the care and documentation of the majority with stable CKD</w:t>
      </w:r>
    </w:p>
    <w:p w:rsidR="00F74342" w:rsidRPr="00837BD2" w:rsidRDefault="00F74342" w:rsidP="00F57BAF">
      <w:pPr>
        <w:pStyle w:val="Bullet"/>
      </w:pPr>
      <w:r>
        <w:t xml:space="preserve">embedding </w:t>
      </w:r>
      <w:r w:rsidRPr="00837BD2">
        <w:t>an intuitive process of clinical decision support in a sequence of screens</w:t>
      </w:r>
    </w:p>
    <w:p w:rsidR="00F74342" w:rsidRDefault="00F74342" w:rsidP="00F57BAF">
      <w:pPr>
        <w:pStyle w:val="Bullet"/>
      </w:pPr>
      <w:r>
        <w:t xml:space="preserve">being </w:t>
      </w:r>
      <w:r w:rsidRPr="00837BD2">
        <w:t xml:space="preserve">integrated </w:t>
      </w:r>
      <w:r>
        <w:t xml:space="preserve">with </w:t>
      </w:r>
      <w:r w:rsidRPr="00837BD2">
        <w:t xml:space="preserve">e-referral </w:t>
      </w:r>
      <w:r>
        <w:t xml:space="preserve">so that it </w:t>
      </w:r>
      <w:r w:rsidRPr="00837BD2">
        <w:t>generat</w:t>
      </w:r>
      <w:r>
        <w:t>es</w:t>
      </w:r>
      <w:r w:rsidRPr="00837BD2">
        <w:t xml:space="preserve"> a letter to secondary care populated by all relevant data</w:t>
      </w:r>
    </w:p>
    <w:p w:rsidR="00F74342" w:rsidRPr="00837BD2" w:rsidRDefault="00F74342" w:rsidP="00F57BAF">
      <w:pPr>
        <w:pStyle w:val="Bullet"/>
      </w:pPr>
      <w:r>
        <w:t xml:space="preserve">having the </w:t>
      </w:r>
      <w:r w:rsidRPr="00837BD2">
        <w:t>capacity for interrogation to identify all patients with certain diagnostic/management characteristics.</w:t>
      </w:r>
    </w:p>
    <w:p w:rsidR="00F74342" w:rsidRDefault="00F74342" w:rsidP="00F57BAF"/>
    <w:p w:rsidR="00DC62B5" w:rsidRDefault="00DC62B5" w:rsidP="00F57BAF"/>
    <w:p w:rsidR="00F74342" w:rsidRPr="00837BD2" w:rsidRDefault="00F74342" w:rsidP="00F57BAF">
      <w:pPr>
        <w:pStyle w:val="Heading3"/>
      </w:pPr>
      <w:r>
        <w:t>Challenges to implementation</w:t>
      </w:r>
    </w:p>
    <w:p w:rsidR="00F74342" w:rsidRDefault="00F74342" w:rsidP="00F57BAF">
      <w:r w:rsidRPr="00837BD2">
        <w:t>Given electronic desktop tools for CKD management are now available,</w:t>
      </w:r>
      <w:r>
        <w:t xml:space="preserve"> some of the</w:t>
      </w:r>
      <w:r w:rsidRPr="00837BD2">
        <w:t xml:space="preserve"> challenges to implementation</w:t>
      </w:r>
      <w:r>
        <w:t xml:space="preserve"> are to</w:t>
      </w:r>
      <w:r w:rsidRPr="00837BD2">
        <w:t>:</w:t>
      </w:r>
    </w:p>
    <w:p w:rsidR="00F74342" w:rsidRDefault="00F74342" w:rsidP="00F57BAF">
      <w:pPr>
        <w:pStyle w:val="Bullet"/>
      </w:pPr>
      <w:r>
        <w:t xml:space="preserve">secure </w:t>
      </w:r>
      <w:r w:rsidRPr="00837BD2">
        <w:t>any funding required for integration of electronic CKD management tools with general PMS</w:t>
      </w:r>
    </w:p>
    <w:p w:rsidR="00F74342" w:rsidRPr="00837BD2" w:rsidRDefault="00F74342" w:rsidP="00F57BAF">
      <w:pPr>
        <w:pStyle w:val="Bullet"/>
      </w:pPr>
      <w:r w:rsidRPr="00837BD2">
        <w:t>educat</w:t>
      </w:r>
      <w:r>
        <w:t>e</w:t>
      </w:r>
      <w:r w:rsidRPr="00837BD2">
        <w:t xml:space="preserve"> primary care practitioners in </w:t>
      </w:r>
      <w:r>
        <w:t xml:space="preserve">the </w:t>
      </w:r>
      <w:r w:rsidRPr="00837BD2">
        <w:t>use of electronic CKD management tools</w:t>
      </w:r>
    </w:p>
    <w:p w:rsidR="00F74342" w:rsidRPr="00837BD2" w:rsidRDefault="00F74342" w:rsidP="00F57BAF">
      <w:pPr>
        <w:pStyle w:val="Bullet"/>
      </w:pPr>
      <w:r w:rsidRPr="00837BD2">
        <w:t>promot</w:t>
      </w:r>
      <w:r>
        <w:t>e the</w:t>
      </w:r>
      <w:r w:rsidRPr="00837BD2">
        <w:t xml:space="preserve"> use of tools by PHOs to monitor </w:t>
      </w:r>
      <w:r>
        <w:t xml:space="preserve">the </w:t>
      </w:r>
      <w:r w:rsidRPr="00837BD2">
        <w:t>detection</w:t>
      </w:r>
      <w:r>
        <w:t xml:space="preserve"> an</w:t>
      </w:r>
      <w:r w:rsidRPr="00837BD2">
        <w:t>d management of CKD across local populations</w:t>
      </w:r>
    </w:p>
    <w:p w:rsidR="00F74342" w:rsidRDefault="00F74342" w:rsidP="00F57BAF">
      <w:pPr>
        <w:pStyle w:val="Bullet"/>
      </w:pPr>
      <w:r w:rsidRPr="00837BD2">
        <w:t>integrat</w:t>
      </w:r>
      <w:r>
        <w:t>e</w:t>
      </w:r>
      <w:r w:rsidRPr="00837BD2">
        <w:t xml:space="preserve"> e-referral with secondary care patient data systems.</w:t>
      </w:r>
    </w:p>
    <w:p w:rsidR="00F57BAF" w:rsidRDefault="00F57BAF" w:rsidP="00F57BAF"/>
    <w:p w:rsidR="00F74342" w:rsidRDefault="00F74342" w:rsidP="00F74342">
      <w:pPr>
        <w:pStyle w:val="Heading1"/>
        <w:spacing w:line="276" w:lineRule="auto"/>
      </w:pPr>
      <w:r w:rsidRPr="00837BD2">
        <w:br w:type="page"/>
      </w:r>
      <w:bookmarkStart w:id="39" w:name="_Toc405492478"/>
      <w:r w:rsidRPr="00837BD2">
        <w:t xml:space="preserve">Appendix </w:t>
      </w:r>
      <w:r>
        <w:t>2</w:t>
      </w:r>
      <w:r w:rsidRPr="00837BD2">
        <w:t>: Nurse-led clinics to manage high</w:t>
      </w:r>
      <w:r>
        <w:t>-</w:t>
      </w:r>
      <w:r w:rsidRPr="00837BD2">
        <w:t>risk CKD patients</w:t>
      </w:r>
      <w:bookmarkEnd w:id="39"/>
    </w:p>
    <w:p w:rsidR="00F74342" w:rsidRDefault="00F74342" w:rsidP="00AB53A2">
      <w:pPr>
        <w:pStyle w:val="Heading3"/>
      </w:pPr>
      <w:r>
        <w:t>General principles for nurse-led clinics in CKD management</w:t>
      </w:r>
    </w:p>
    <w:p w:rsidR="00F74342" w:rsidRPr="00837BD2" w:rsidRDefault="00F74342" w:rsidP="00AB53A2">
      <w:r>
        <w:t>In t</w:t>
      </w:r>
      <w:r w:rsidRPr="00837BD2">
        <w:t>his strategy</w:t>
      </w:r>
      <w:r>
        <w:t xml:space="preserve"> for best-practice CKD management,</w:t>
      </w:r>
      <w:r w:rsidRPr="00837BD2">
        <w:t xml:space="preserve"> a primary care nurse manag</w:t>
      </w:r>
      <w:r>
        <w:t>es</w:t>
      </w:r>
      <w:r w:rsidRPr="00837BD2">
        <w:t xml:space="preserve"> a group of high</w:t>
      </w:r>
      <w:r>
        <w:t>-</w:t>
      </w:r>
      <w:r w:rsidRPr="00837BD2">
        <w:t>risk CKD patients:</w:t>
      </w:r>
    </w:p>
    <w:p w:rsidR="00F74342" w:rsidRPr="00837BD2" w:rsidRDefault="00F74342" w:rsidP="00AB53A2">
      <w:pPr>
        <w:pStyle w:val="Bullet"/>
      </w:pPr>
      <w:r w:rsidRPr="00837BD2">
        <w:t>through regular clinics that are identified in the primary care practice</w:t>
      </w:r>
    </w:p>
    <w:p w:rsidR="00F74342" w:rsidRPr="00837BD2" w:rsidRDefault="00F74342" w:rsidP="00AB53A2">
      <w:pPr>
        <w:pStyle w:val="Bullet"/>
      </w:pPr>
      <w:r w:rsidRPr="00837BD2">
        <w:t>using an individuali</w:t>
      </w:r>
      <w:r>
        <w:t>s</w:t>
      </w:r>
      <w:r w:rsidRPr="00837BD2">
        <w:t>ed programme with each patient</w:t>
      </w:r>
    </w:p>
    <w:p w:rsidR="00F74342" w:rsidRPr="00837BD2" w:rsidRDefault="00F74342" w:rsidP="00AB53A2">
      <w:pPr>
        <w:pStyle w:val="Bullet"/>
      </w:pPr>
      <w:r w:rsidRPr="00837BD2">
        <w:t>supported by specialist secondary care nursing, as well as both primary care</w:t>
      </w:r>
      <w:r>
        <w:t xml:space="preserve"> </w:t>
      </w:r>
      <w:r w:rsidRPr="00837BD2">
        <w:t>and specialist secondary care medical expertise</w:t>
      </w:r>
    </w:p>
    <w:p w:rsidR="00F74342" w:rsidRPr="00837BD2" w:rsidRDefault="00F74342" w:rsidP="00AB53A2">
      <w:pPr>
        <w:pStyle w:val="Bullet"/>
      </w:pPr>
      <w:r w:rsidRPr="00837BD2">
        <w:t>aiming to improve identified risk factors for these</w:t>
      </w:r>
      <w:r>
        <w:t xml:space="preserve"> patients.</w:t>
      </w:r>
    </w:p>
    <w:p w:rsidR="00F74342" w:rsidRPr="00837BD2" w:rsidRDefault="00F74342" w:rsidP="00AB53A2"/>
    <w:p w:rsidR="00F74342" w:rsidRDefault="00F74342" w:rsidP="00AB53A2">
      <w:r w:rsidRPr="00837BD2">
        <w:t>During the clinics the nurse oversees the management of these high</w:t>
      </w:r>
      <w:r>
        <w:t>-</w:t>
      </w:r>
      <w:r w:rsidRPr="00837BD2">
        <w:t>risk CKD patients by:</w:t>
      </w:r>
    </w:p>
    <w:p w:rsidR="00F74342" w:rsidRPr="00837BD2" w:rsidRDefault="00F74342" w:rsidP="00AB53A2">
      <w:pPr>
        <w:pStyle w:val="Bullet"/>
      </w:pPr>
      <w:r w:rsidRPr="00837BD2">
        <w:t>producing an individuali</w:t>
      </w:r>
      <w:r>
        <w:t>s</w:t>
      </w:r>
      <w:r w:rsidRPr="00837BD2">
        <w:t>ed care plan based on a comprehensive assessment</w:t>
      </w:r>
    </w:p>
    <w:p w:rsidR="00F74342" w:rsidRPr="00837BD2" w:rsidRDefault="00F74342" w:rsidP="00AB53A2">
      <w:pPr>
        <w:pStyle w:val="Bullet"/>
      </w:pPr>
      <w:r w:rsidRPr="00837BD2">
        <w:t>focusing on the education of patients about their condition and management</w:t>
      </w:r>
    </w:p>
    <w:p w:rsidR="00F74342" w:rsidRPr="00837BD2" w:rsidRDefault="00F74342" w:rsidP="00AB53A2">
      <w:pPr>
        <w:pStyle w:val="Bullet"/>
      </w:pPr>
      <w:r w:rsidRPr="00837BD2">
        <w:t>monitoring and follow</w:t>
      </w:r>
      <w:r>
        <w:t xml:space="preserve">ing </w:t>
      </w:r>
      <w:r w:rsidRPr="00837BD2">
        <w:t xml:space="preserve">up to </w:t>
      </w:r>
      <w:r>
        <w:t xml:space="preserve">optimise the </w:t>
      </w:r>
      <w:r w:rsidRPr="00837BD2">
        <w:t xml:space="preserve">management of key patient parameters such as </w:t>
      </w:r>
      <w:r>
        <w:t>blood pressure</w:t>
      </w:r>
      <w:r w:rsidRPr="00837BD2">
        <w:t>, blood glucose</w:t>
      </w:r>
      <w:r>
        <w:t xml:space="preserve"> and</w:t>
      </w:r>
      <w:r w:rsidRPr="00837BD2">
        <w:t xml:space="preserve"> cholesterol</w:t>
      </w:r>
    </w:p>
    <w:p w:rsidR="00F74342" w:rsidRPr="00837BD2" w:rsidRDefault="00F74342" w:rsidP="00AB53A2">
      <w:pPr>
        <w:pStyle w:val="Bullet"/>
      </w:pPr>
      <w:r w:rsidRPr="00837BD2">
        <w:t>regular</w:t>
      </w:r>
      <w:r>
        <w:t>ly</w:t>
      </w:r>
      <w:r w:rsidRPr="00837BD2">
        <w:t xml:space="preserve"> review</w:t>
      </w:r>
      <w:r>
        <w:t>ing</w:t>
      </w:r>
      <w:r w:rsidRPr="00837BD2">
        <w:t xml:space="preserve"> progress toward c</w:t>
      </w:r>
      <w:r>
        <w:t>linical goals with the patient</w:t>
      </w:r>
    </w:p>
    <w:p w:rsidR="00F74342" w:rsidRPr="00837BD2" w:rsidRDefault="00F74342" w:rsidP="00AB53A2">
      <w:pPr>
        <w:pStyle w:val="Bullet"/>
      </w:pPr>
      <w:r>
        <w:t xml:space="preserve">maintaining a </w:t>
      </w:r>
      <w:r w:rsidRPr="00837BD2">
        <w:t>patient database to enable audit of practice</w:t>
      </w:r>
    </w:p>
    <w:p w:rsidR="00F74342" w:rsidRPr="00837BD2" w:rsidRDefault="00F74342" w:rsidP="00AB53A2">
      <w:pPr>
        <w:pStyle w:val="Bullet"/>
      </w:pPr>
      <w:r w:rsidRPr="00837BD2">
        <w:t xml:space="preserve">identifying patients who continue to progress towards </w:t>
      </w:r>
      <w:r>
        <w:t>ESKD</w:t>
      </w:r>
      <w:r w:rsidRPr="00837BD2">
        <w:t xml:space="preserve"> despite optimal treatment.</w:t>
      </w:r>
    </w:p>
    <w:p w:rsidR="00F74342" w:rsidRPr="00837BD2" w:rsidRDefault="00F74342" w:rsidP="00AB53A2"/>
    <w:p w:rsidR="00F74342" w:rsidRPr="00837BD2" w:rsidRDefault="00F74342" w:rsidP="00AB53A2">
      <w:r w:rsidRPr="00837BD2">
        <w:t>To be used successfully, the nurse</w:t>
      </w:r>
      <w:r>
        <w:t>-</w:t>
      </w:r>
      <w:r w:rsidRPr="00837BD2">
        <w:t>led</w:t>
      </w:r>
      <w:r>
        <w:t xml:space="preserve"> </w:t>
      </w:r>
      <w:r w:rsidRPr="00837BD2">
        <w:t>clinic needs to fit into current general practice work patterns through:</w:t>
      </w:r>
    </w:p>
    <w:p w:rsidR="00F74342" w:rsidRPr="00837BD2" w:rsidRDefault="00F74342" w:rsidP="00AB53A2">
      <w:pPr>
        <w:pStyle w:val="Bullet"/>
      </w:pPr>
      <w:r w:rsidRPr="00837BD2">
        <w:t xml:space="preserve">systems </w:t>
      </w:r>
      <w:r>
        <w:t>that can</w:t>
      </w:r>
      <w:r w:rsidRPr="00837BD2">
        <w:t xml:space="preserve"> readily identify suitable high</w:t>
      </w:r>
      <w:r>
        <w:t>-</w:t>
      </w:r>
      <w:r w:rsidRPr="00837BD2">
        <w:t>risk CKD patients and provide appropriate recall appointments</w:t>
      </w:r>
    </w:p>
    <w:p w:rsidR="00F74342" w:rsidRDefault="00F74342" w:rsidP="00AB53A2">
      <w:pPr>
        <w:pStyle w:val="Bullet"/>
      </w:pPr>
      <w:r w:rsidRPr="00837BD2">
        <w:t>availab</w:t>
      </w:r>
      <w:r>
        <w:t>ility of</w:t>
      </w:r>
      <w:r w:rsidRPr="00837BD2">
        <w:t xml:space="preserve"> practice nurses who can include CKD clinics as part of their work in long</w:t>
      </w:r>
      <w:r>
        <w:t>-</w:t>
      </w:r>
      <w:r w:rsidRPr="00837BD2">
        <w:t>term conditions</w:t>
      </w:r>
    </w:p>
    <w:p w:rsidR="00F74342" w:rsidRDefault="00F74342" w:rsidP="00AB53A2">
      <w:pPr>
        <w:pStyle w:val="Bullet"/>
      </w:pPr>
      <w:r w:rsidRPr="00837BD2">
        <w:t>access to resources for patient education and protocols for patient management</w:t>
      </w:r>
    </w:p>
    <w:p w:rsidR="00F74342" w:rsidRPr="00837BD2" w:rsidRDefault="00F74342" w:rsidP="00AB53A2">
      <w:pPr>
        <w:pStyle w:val="Bullet"/>
      </w:pPr>
      <w:r w:rsidRPr="00837BD2">
        <w:t>integration with medical management of CKD in primary care</w:t>
      </w:r>
    </w:p>
    <w:p w:rsidR="00F74342" w:rsidRDefault="00F74342" w:rsidP="00AB53A2">
      <w:pPr>
        <w:pStyle w:val="Bullet"/>
      </w:pPr>
      <w:r w:rsidRPr="00837BD2">
        <w:t>availability of specialist nurses to upskill practice nurses</w:t>
      </w:r>
    </w:p>
    <w:p w:rsidR="00F74342" w:rsidRDefault="00F74342" w:rsidP="00AB53A2">
      <w:pPr>
        <w:pStyle w:val="Bullet"/>
      </w:pPr>
      <w:r w:rsidRPr="00837BD2">
        <w:t xml:space="preserve">support from </w:t>
      </w:r>
      <w:r>
        <w:t>r</w:t>
      </w:r>
      <w:r w:rsidRPr="00837BD2">
        <w:t xml:space="preserve">enal </w:t>
      </w:r>
      <w:r>
        <w:t>p</w:t>
      </w:r>
      <w:r w:rsidRPr="00837BD2">
        <w:t xml:space="preserve">hysicians, </w:t>
      </w:r>
      <w:r>
        <w:t>d</w:t>
      </w:r>
      <w:r w:rsidRPr="00837BD2">
        <w:t>iabetes specialists and specialist nurses and dieticians.</w:t>
      </w:r>
    </w:p>
    <w:p w:rsidR="00F74342" w:rsidRDefault="00F74342" w:rsidP="00AB53A2"/>
    <w:p w:rsidR="00F74342" w:rsidRPr="00837BD2" w:rsidRDefault="00F74342" w:rsidP="00AB53A2">
      <w:pPr>
        <w:pStyle w:val="Heading3"/>
      </w:pPr>
      <w:r>
        <w:t>Successful trial of one model of nurse-led care</w:t>
      </w:r>
    </w:p>
    <w:p w:rsidR="00F74342" w:rsidRPr="000043A9" w:rsidRDefault="00F74342" w:rsidP="00AB53A2">
      <w:r>
        <w:t>In o</w:t>
      </w:r>
      <w:r w:rsidRPr="000043A9">
        <w:t>ne successful model of nurse-led care</w:t>
      </w:r>
      <w:r>
        <w:t>,</w:t>
      </w:r>
      <w:r w:rsidRPr="000043A9">
        <w:t xml:space="preserve"> nurses </w:t>
      </w:r>
      <w:r>
        <w:t xml:space="preserve">have </w:t>
      </w:r>
      <w:r w:rsidRPr="000043A9">
        <w:t>supervis</w:t>
      </w:r>
      <w:r>
        <w:t>ed</w:t>
      </w:r>
      <w:r w:rsidRPr="000043A9">
        <w:t xml:space="preserve"> community health workers who visit patients at home or work to encourage</w:t>
      </w:r>
      <w:r>
        <w:t xml:space="preserve"> them to adhere to their</w:t>
      </w:r>
      <w:r w:rsidRPr="000043A9">
        <w:t xml:space="preserve"> medication and </w:t>
      </w:r>
      <w:r>
        <w:t xml:space="preserve">who </w:t>
      </w:r>
      <w:r w:rsidRPr="000043A9">
        <w:t xml:space="preserve">adjust blood pressure medication according to </w:t>
      </w:r>
      <w:r>
        <w:t>an</w:t>
      </w:r>
      <w:r w:rsidRPr="00072FFF">
        <w:t xml:space="preserve"> </w:t>
      </w:r>
      <w:r>
        <w:t>algorithm.</w:t>
      </w:r>
      <w:r w:rsidRPr="000043A9">
        <w:t xml:space="preserve"> This </w:t>
      </w:r>
      <w:r>
        <w:t xml:space="preserve">model </w:t>
      </w:r>
      <w:r w:rsidRPr="000043A9">
        <w:t xml:space="preserve">was successfully trialled in </w:t>
      </w:r>
      <w:smartTag w:uri="urn:schemas-microsoft-com:office:smarttags" w:element="City">
        <w:smartTag w:uri="urn:schemas-microsoft-com:office:smarttags" w:element="place">
          <w:r w:rsidRPr="000043A9">
            <w:t>Auckland</w:t>
          </w:r>
        </w:smartTag>
      </w:smartTag>
      <w:r w:rsidRPr="000043A9">
        <w:t xml:space="preserve"> in the DEFEND trial. (</w:t>
      </w:r>
      <w:r>
        <w:t>6</w:t>
      </w:r>
      <w:r w:rsidRPr="000043A9">
        <w:t>)</w:t>
      </w:r>
    </w:p>
    <w:p w:rsidR="00F74342" w:rsidRDefault="00F74342" w:rsidP="00AB53A2"/>
    <w:p w:rsidR="00F74342" w:rsidRDefault="00F74342" w:rsidP="00AB53A2">
      <w:pPr>
        <w:pStyle w:val="Heading3"/>
      </w:pPr>
      <w:r>
        <w:t>Challenges to implementation</w:t>
      </w:r>
    </w:p>
    <w:p w:rsidR="00F74342" w:rsidRPr="00837BD2" w:rsidRDefault="00F74342" w:rsidP="00AB53A2">
      <w:r w:rsidRPr="00837BD2">
        <w:t xml:space="preserve">Given the current configuration of primary and specialist care, </w:t>
      </w:r>
      <w:r>
        <w:t xml:space="preserve">some of the </w:t>
      </w:r>
      <w:r w:rsidRPr="00837BD2">
        <w:t>challenges to implementation</w:t>
      </w:r>
      <w:r>
        <w:t xml:space="preserve"> are to</w:t>
      </w:r>
      <w:r w:rsidRPr="00837BD2">
        <w:t>:</w:t>
      </w:r>
    </w:p>
    <w:p w:rsidR="00F74342" w:rsidRPr="00837BD2" w:rsidRDefault="00F74342" w:rsidP="00AB53A2">
      <w:pPr>
        <w:pStyle w:val="Bullet"/>
      </w:pPr>
      <w:r>
        <w:t xml:space="preserve">secure </w:t>
      </w:r>
      <w:r w:rsidRPr="00837BD2">
        <w:t>funding of practice nurse time for free clinics for patients with long</w:t>
      </w:r>
      <w:r>
        <w:t>-</w:t>
      </w:r>
      <w:r w:rsidRPr="00837BD2">
        <w:t>term conditions</w:t>
      </w:r>
    </w:p>
    <w:p w:rsidR="00F74342" w:rsidRPr="00837BD2" w:rsidRDefault="00F74342" w:rsidP="00AB53A2">
      <w:pPr>
        <w:pStyle w:val="Bullet"/>
      </w:pPr>
      <w:r>
        <w:t>make available</w:t>
      </w:r>
      <w:r w:rsidRPr="00837BD2">
        <w:t xml:space="preserve"> appropriate and funded nursing courses for chronic disease management</w:t>
      </w:r>
    </w:p>
    <w:p w:rsidR="00F74342" w:rsidRPr="00837BD2" w:rsidRDefault="00F74342" w:rsidP="00AB53A2">
      <w:pPr>
        <w:pStyle w:val="Bullet"/>
      </w:pPr>
      <w:r>
        <w:t xml:space="preserve">ensure the </w:t>
      </w:r>
      <w:r w:rsidRPr="00837BD2">
        <w:t xml:space="preserve">availability of specialist nurses and effective clinical support from secondary care renal and diabetes services to initiate clinics and upskill primary care nurses and </w:t>
      </w:r>
      <w:r>
        <w:t>general practitioners</w:t>
      </w:r>
    </w:p>
    <w:p w:rsidR="00F74342" w:rsidRPr="00837BD2" w:rsidRDefault="00F74342" w:rsidP="00AB53A2">
      <w:pPr>
        <w:pStyle w:val="Bullet"/>
      </w:pPr>
      <w:r w:rsidRPr="00837BD2">
        <w:t>develop processes for mentoring practice nurses to upskill them to undertake clinics</w:t>
      </w:r>
    </w:p>
    <w:p w:rsidR="00F74342" w:rsidRPr="00837BD2" w:rsidRDefault="00F74342" w:rsidP="00AB53A2">
      <w:pPr>
        <w:pStyle w:val="Bullet"/>
      </w:pPr>
      <w:r>
        <w:t xml:space="preserve">establish </w:t>
      </w:r>
      <w:r w:rsidRPr="00837BD2">
        <w:t>adequate protocols to integrate with medical management in primary and secondary care</w:t>
      </w:r>
    </w:p>
    <w:p w:rsidR="00F74342" w:rsidRDefault="00F74342" w:rsidP="00AB53A2">
      <w:pPr>
        <w:pStyle w:val="Bullet"/>
      </w:pPr>
      <w:r w:rsidRPr="00837BD2">
        <w:t>enabl</w:t>
      </w:r>
      <w:r>
        <w:t>e</w:t>
      </w:r>
      <w:r w:rsidRPr="00837BD2">
        <w:t xml:space="preserve"> a fast</w:t>
      </w:r>
      <w:r>
        <w:t>-</w:t>
      </w:r>
      <w:r w:rsidRPr="00837BD2">
        <w:t>track referral for patients with progressive CKD.</w:t>
      </w:r>
    </w:p>
    <w:p w:rsidR="00F74342" w:rsidRPr="00837BD2" w:rsidRDefault="00F74342" w:rsidP="00AB53A2"/>
    <w:bookmarkEnd w:id="38"/>
    <w:p w:rsidR="00AB53A2" w:rsidRDefault="00AB53A2" w:rsidP="00AB53A2">
      <w:r>
        <w:br w:type="page"/>
      </w:r>
    </w:p>
    <w:p w:rsidR="00F74342" w:rsidRPr="006A2087" w:rsidRDefault="00F74342" w:rsidP="00AB53A2">
      <w:pPr>
        <w:pStyle w:val="Heading1"/>
      </w:pPr>
      <w:bookmarkStart w:id="40" w:name="_Toc405492479"/>
      <w:r w:rsidRPr="006A2087">
        <w:t>Contributors</w:t>
      </w:r>
      <w:bookmarkEnd w:id="40"/>
    </w:p>
    <w:p w:rsidR="00F74342" w:rsidRDefault="00F74342" w:rsidP="00AB53A2">
      <w:pPr>
        <w:tabs>
          <w:tab w:val="left" w:pos="2552"/>
        </w:tabs>
        <w:spacing w:before="120"/>
        <w:rPr>
          <w:lang w:eastAsia="en-NZ"/>
        </w:rPr>
      </w:pPr>
      <w:r w:rsidRPr="00EF1BC0">
        <w:rPr>
          <w:lang w:eastAsia="en-NZ"/>
        </w:rPr>
        <w:t xml:space="preserve">Janine Bycroft </w:t>
      </w:r>
      <w:r w:rsidR="00AB53A2">
        <w:rPr>
          <w:lang w:eastAsia="en-NZ"/>
        </w:rPr>
        <w:tab/>
      </w:r>
      <w:r w:rsidRPr="00EF1BC0">
        <w:rPr>
          <w:lang w:eastAsia="en-NZ"/>
        </w:rPr>
        <w:t>Medical Director Health Navigator</w:t>
      </w:r>
    </w:p>
    <w:p w:rsidR="00F74342" w:rsidRDefault="00F74342" w:rsidP="00AB53A2">
      <w:pPr>
        <w:tabs>
          <w:tab w:val="left" w:pos="2552"/>
        </w:tabs>
        <w:spacing w:before="120"/>
        <w:rPr>
          <w:lang w:eastAsia="en-NZ"/>
        </w:rPr>
      </w:pPr>
      <w:r w:rsidRPr="00EF1BC0">
        <w:rPr>
          <w:lang w:eastAsia="en-NZ"/>
        </w:rPr>
        <w:t xml:space="preserve">Rachael Calverley </w:t>
      </w:r>
      <w:r w:rsidRPr="00EF1BC0">
        <w:rPr>
          <w:lang w:eastAsia="en-NZ"/>
        </w:rPr>
        <w:tab/>
        <w:t>Director of Nursing and Workforce Development Waitemata PHO</w:t>
      </w:r>
    </w:p>
    <w:p w:rsidR="00F74342" w:rsidRDefault="00F74342" w:rsidP="00AB53A2">
      <w:pPr>
        <w:tabs>
          <w:tab w:val="left" w:pos="2552"/>
        </w:tabs>
        <w:spacing w:before="120"/>
        <w:rPr>
          <w:lang w:eastAsia="en-NZ"/>
        </w:rPr>
      </w:pPr>
      <w:r w:rsidRPr="00EF1BC0">
        <w:rPr>
          <w:lang w:eastAsia="en-NZ"/>
        </w:rPr>
        <w:t>John Collins</w:t>
      </w:r>
      <w:r w:rsidR="00AB53A2">
        <w:rPr>
          <w:lang w:eastAsia="en-NZ"/>
        </w:rPr>
        <w:tab/>
      </w:r>
      <w:r w:rsidRPr="00EF1BC0">
        <w:rPr>
          <w:lang w:eastAsia="en-NZ"/>
        </w:rPr>
        <w:t>Renal Physician Auckland DHB</w:t>
      </w:r>
    </w:p>
    <w:p w:rsidR="00F74342" w:rsidRDefault="00F74342" w:rsidP="00AB53A2">
      <w:pPr>
        <w:tabs>
          <w:tab w:val="left" w:pos="2552"/>
        </w:tabs>
        <w:spacing w:before="120"/>
      </w:pPr>
      <w:r w:rsidRPr="00EF1BC0">
        <w:t xml:space="preserve">Tim Cundy </w:t>
      </w:r>
      <w:r w:rsidR="00AB53A2">
        <w:tab/>
      </w:r>
      <w:r w:rsidRPr="00EF1BC0">
        <w:t>Professor of Medicine University of Auckland</w:t>
      </w:r>
    </w:p>
    <w:p w:rsidR="00F74342" w:rsidRPr="00EF1BC0" w:rsidRDefault="00F74342" w:rsidP="00AB53A2">
      <w:pPr>
        <w:tabs>
          <w:tab w:val="left" w:pos="2552"/>
        </w:tabs>
        <w:spacing w:before="120"/>
        <w:ind w:left="2552" w:hanging="2552"/>
        <w:rPr>
          <w:lang w:eastAsia="en-NZ"/>
        </w:rPr>
      </w:pPr>
      <w:r w:rsidRPr="00EF1BC0">
        <w:rPr>
          <w:lang w:eastAsia="en-NZ"/>
        </w:rPr>
        <w:t xml:space="preserve">Paul Drury </w:t>
      </w:r>
      <w:r w:rsidR="00AB53A2">
        <w:rPr>
          <w:lang w:eastAsia="en-NZ"/>
        </w:rPr>
        <w:tab/>
      </w:r>
      <w:r w:rsidRPr="00EF1BC0">
        <w:rPr>
          <w:bCs/>
          <w:iCs/>
          <w:lang w:eastAsia="en-NZ"/>
        </w:rPr>
        <w:t>Clinical Director, Auckland Diabetes Centre, Chair National Diabetes</w:t>
      </w:r>
      <w:r w:rsidR="00AB53A2">
        <w:rPr>
          <w:bCs/>
          <w:iCs/>
          <w:lang w:eastAsia="en-NZ"/>
        </w:rPr>
        <w:t xml:space="preserve"> </w:t>
      </w:r>
      <w:r w:rsidRPr="00EF1BC0">
        <w:rPr>
          <w:lang w:eastAsia="en-NZ"/>
        </w:rPr>
        <w:t>Service Improvement Group</w:t>
      </w:r>
    </w:p>
    <w:p w:rsidR="00F74342" w:rsidRDefault="00F74342" w:rsidP="00AB53A2">
      <w:pPr>
        <w:tabs>
          <w:tab w:val="left" w:pos="2552"/>
        </w:tabs>
        <w:spacing w:before="120"/>
        <w:rPr>
          <w:lang w:eastAsia="en-NZ"/>
        </w:rPr>
      </w:pPr>
      <w:r w:rsidRPr="00EF1BC0">
        <w:rPr>
          <w:lang w:eastAsia="en-NZ"/>
        </w:rPr>
        <w:t>Maggie Fisher</w:t>
      </w:r>
      <w:r>
        <w:rPr>
          <w:lang w:eastAsia="en-NZ"/>
        </w:rPr>
        <w:t xml:space="preserve"> </w:t>
      </w:r>
      <w:r w:rsidR="00AB53A2">
        <w:rPr>
          <w:lang w:eastAsia="en-NZ"/>
        </w:rPr>
        <w:tab/>
      </w:r>
      <w:r w:rsidRPr="00EF1BC0">
        <w:rPr>
          <w:lang w:eastAsia="en-NZ"/>
        </w:rPr>
        <w:t>Diabetes Physician Waikato DHB</w:t>
      </w:r>
    </w:p>
    <w:p w:rsidR="00F74342" w:rsidRPr="00EF1BC0" w:rsidRDefault="00F74342" w:rsidP="00AB53A2">
      <w:pPr>
        <w:tabs>
          <w:tab w:val="left" w:pos="2552"/>
        </w:tabs>
        <w:spacing w:before="120"/>
        <w:rPr>
          <w:lang w:eastAsia="en-NZ"/>
        </w:rPr>
      </w:pPr>
      <w:r w:rsidRPr="00EF1BC0">
        <w:rPr>
          <w:lang w:eastAsia="en-NZ"/>
        </w:rPr>
        <w:t xml:space="preserve">Carmel Gregan-Ford </w:t>
      </w:r>
      <w:r w:rsidRPr="00EF1BC0">
        <w:rPr>
          <w:lang w:eastAsia="en-NZ"/>
        </w:rPr>
        <w:tab/>
        <w:t>Education Manager Kidney Health New Zealand</w:t>
      </w:r>
    </w:p>
    <w:p w:rsidR="00F74342" w:rsidRPr="00EF1BC0" w:rsidRDefault="00F74342" w:rsidP="00AB53A2">
      <w:pPr>
        <w:tabs>
          <w:tab w:val="left" w:pos="2552"/>
        </w:tabs>
        <w:spacing w:before="120"/>
        <w:rPr>
          <w:b/>
          <w:color w:val="000000"/>
        </w:rPr>
      </w:pPr>
      <w:r w:rsidRPr="00EF1BC0">
        <w:rPr>
          <w:lang w:eastAsia="en-NZ"/>
        </w:rPr>
        <w:t xml:space="preserve">Ailsa Jacobson </w:t>
      </w:r>
      <w:r w:rsidR="00AB53A2">
        <w:rPr>
          <w:lang w:eastAsia="en-NZ"/>
        </w:rPr>
        <w:tab/>
      </w:r>
      <w:r w:rsidRPr="00EF1BC0">
        <w:rPr>
          <w:lang w:eastAsia="en-NZ"/>
        </w:rPr>
        <w:t>Senior Advisor Ministry of Health</w:t>
      </w:r>
    </w:p>
    <w:p w:rsidR="00F74342" w:rsidRDefault="00F74342" w:rsidP="00AB53A2">
      <w:pPr>
        <w:tabs>
          <w:tab w:val="left" w:pos="2552"/>
        </w:tabs>
        <w:spacing w:before="120"/>
        <w:rPr>
          <w:color w:val="000000"/>
          <w:lang w:eastAsia="en-NZ"/>
        </w:rPr>
      </w:pPr>
      <w:r w:rsidRPr="00EF1BC0">
        <w:t xml:space="preserve">Tim Kenealy </w:t>
      </w:r>
      <w:r w:rsidR="00AB53A2">
        <w:tab/>
      </w:r>
      <w:r w:rsidRPr="00EF1BC0">
        <w:rPr>
          <w:color w:val="000000"/>
          <w:lang w:eastAsia="en-NZ"/>
        </w:rPr>
        <w:t>Associate Professor of Integrated Care, University of Auckland</w:t>
      </w:r>
    </w:p>
    <w:p w:rsidR="00F74342" w:rsidRPr="00EF1BC0" w:rsidRDefault="00F74342" w:rsidP="00AB53A2">
      <w:pPr>
        <w:tabs>
          <w:tab w:val="left" w:pos="2552"/>
        </w:tabs>
        <w:spacing w:before="120"/>
        <w:rPr>
          <w:lang w:eastAsia="en-NZ"/>
        </w:rPr>
      </w:pPr>
      <w:r w:rsidRPr="00EF1BC0">
        <w:rPr>
          <w:lang w:eastAsia="en-NZ"/>
        </w:rPr>
        <w:t xml:space="preserve">Murray Leikis </w:t>
      </w:r>
      <w:r w:rsidR="00AB53A2">
        <w:rPr>
          <w:lang w:eastAsia="en-NZ"/>
        </w:rPr>
        <w:tab/>
      </w:r>
      <w:r w:rsidRPr="00EF1BC0">
        <w:rPr>
          <w:lang w:eastAsia="en-NZ"/>
        </w:rPr>
        <w:t>Renal Physician Capital and Coast DHB</w:t>
      </w:r>
    </w:p>
    <w:p w:rsidR="00F74342" w:rsidRDefault="00F74342" w:rsidP="00AB53A2">
      <w:pPr>
        <w:tabs>
          <w:tab w:val="left" w:pos="2552"/>
        </w:tabs>
        <w:spacing w:before="120"/>
        <w:rPr>
          <w:lang w:eastAsia="en-NZ"/>
        </w:rPr>
      </w:pPr>
      <w:r w:rsidRPr="00EF1BC0">
        <w:rPr>
          <w:lang w:eastAsia="en-NZ"/>
        </w:rPr>
        <w:t>Hwyel Lloyd</w:t>
      </w:r>
      <w:r w:rsidR="00AB53A2">
        <w:rPr>
          <w:lang w:eastAsia="en-NZ"/>
        </w:rPr>
        <w:tab/>
      </w:r>
      <w:r w:rsidRPr="00AF3D70">
        <w:t>Chief Medical Adviser, BPAC</w:t>
      </w:r>
    </w:p>
    <w:p w:rsidR="00F74342" w:rsidRDefault="00F74342" w:rsidP="00AB53A2">
      <w:pPr>
        <w:tabs>
          <w:tab w:val="left" w:pos="2552"/>
        </w:tabs>
        <w:spacing w:before="120"/>
        <w:rPr>
          <w:lang w:eastAsia="en-NZ"/>
        </w:rPr>
      </w:pPr>
      <w:r w:rsidRPr="00EF1BC0">
        <w:rPr>
          <w:lang w:eastAsia="en-NZ"/>
        </w:rPr>
        <w:t xml:space="preserve">Kelvin Lynn </w:t>
      </w:r>
      <w:r w:rsidR="00AB53A2">
        <w:rPr>
          <w:lang w:eastAsia="en-NZ"/>
        </w:rPr>
        <w:tab/>
      </w:r>
      <w:r w:rsidRPr="00EF1BC0">
        <w:rPr>
          <w:lang w:eastAsia="en-NZ"/>
        </w:rPr>
        <w:t xml:space="preserve">Medical </w:t>
      </w:r>
      <w:r w:rsidR="00AB53A2">
        <w:rPr>
          <w:lang w:eastAsia="en-NZ"/>
        </w:rPr>
        <w:t>D</w:t>
      </w:r>
      <w:r w:rsidRPr="00EF1BC0">
        <w:rPr>
          <w:lang w:eastAsia="en-NZ"/>
        </w:rPr>
        <w:t>irector Kidney Health New Zealand</w:t>
      </w:r>
    </w:p>
    <w:p w:rsidR="00F74342" w:rsidRDefault="00F74342" w:rsidP="00AB53A2">
      <w:pPr>
        <w:tabs>
          <w:tab w:val="left" w:pos="2552"/>
        </w:tabs>
        <w:spacing w:before="120"/>
        <w:rPr>
          <w:lang w:eastAsia="en-NZ"/>
        </w:rPr>
      </w:pPr>
      <w:r w:rsidRPr="00EF1BC0">
        <w:rPr>
          <w:lang w:eastAsia="en-NZ"/>
        </w:rPr>
        <w:t xml:space="preserve">Donna McArley </w:t>
      </w:r>
      <w:r w:rsidR="00AB53A2">
        <w:rPr>
          <w:lang w:eastAsia="en-NZ"/>
        </w:rPr>
        <w:tab/>
      </w:r>
      <w:r w:rsidRPr="00EF1BC0">
        <w:rPr>
          <w:lang w:eastAsia="en-NZ"/>
        </w:rPr>
        <w:t>Western Bay of Plenty PHO</w:t>
      </w:r>
    </w:p>
    <w:p w:rsidR="00F74342" w:rsidRDefault="00F74342" w:rsidP="00AB53A2">
      <w:pPr>
        <w:tabs>
          <w:tab w:val="left" w:pos="2552"/>
        </w:tabs>
        <w:spacing w:before="120"/>
        <w:rPr>
          <w:lang w:eastAsia="en-NZ"/>
        </w:rPr>
      </w:pPr>
      <w:r w:rsidRPr="00EF1BC0">
        <w:rPr>
          <w:lang w:eastAsia="en-NZ"/>
        </w:rPr>
        <w:t xml:space="preserve">Fifita McReady </w:t>
      </w:r>
      <w:r w:rsidR="00AB53A2">
        <w:rPr>
          <w:lang w:eastAsia="en-NZ"/>
        </w:rPr>
        <w:tab/>
      </w:r>
      <w:r w:rsidR="00FF113C">
        <w:rPr>
          <w:lang w:eastAsia="en-NZ"/>
        </w:rPr>
        <w:t>Diabetes Nurse Tongan H</w:t>
      </w:r>
      <w:r w:rsidRPr="00EF1BC0">
        <w:rPr>
          <w:lang w:eastAsia="en-NZ"/>
        </w:rPr>
        <w:t>ealth Society</w:t>
      </w:r>
    </w:p>
    <w:p w:rsidR="00F74342" w:rsidRDefault="00F74342" w:rsidP="00AB53A2">
      <w:pPr>
        <w:tabs>
          <w:tab w:val="left" w:pos="2552"/>
        </w:tabs>
        <w:spacing w:before="120"/>
        <w:ind w:left="2552" w:hanging="2552"/>
        <w:rPr>
          <w:lang w:eastAsia="en-NZ"/>
        </w:rPr>
      </w:pPr>
      <w:r w:rsidRPr="00EF1BC0">
        <w:rPr>
          <w:lang w:eastAsia="en-NZ"/>
        </w:rPr>
        <w:t xml:space="preserve">Lois Nikolajenko </w:t>
      </w:r>
      <w:r w:rsidRPr="00EF1BC0">
        <w:rPr>
          <w:lang w:eastAsia="en-NZ"/>
        </w:rPr>
        <w:tab/>
        <w:t>Clinical Nurse Specialist Diabetes Primary Health Care</w:t>
      </w:r>
      <w:r w:rsidR="00AB53A2">
        <w:rPr>
          <w:lang w:eastAsia="en-NZ"/>
        </w:rPr>
        <w:br/>
      </w:r>
      <w:r w:rsidRPr="00EF1BC0">
        <w:rPr>
          <w:lang w:eastAsia="en-NZ"/>
        </w:rPr>
        <w:t>Mid</w:t>
      </w:r>
      <w:r w:rsidR="00FF113C">
        <w:rPr>
          <w:lang w:eastAsia="en-NZ"/>
        </w:rPr>
        <w:t>C</w:t>
      </w:r>
      <w:r w:rsidRPr="00EF1BC0">
        <w:rPr>
          <w:lang w:eastAsia="en-NZ"/>
        </w:rPr>
        <w:t>entral DHB</w:t>
      </w:r>
    </w:p>
    <w:p w:rsidR="00F74342" w:rsidRDefault="00F74342" w:rsidP="00AB53A2">
      <w:pPr>
        <w:tabs>
          <w:tab w:val="left" w:pos="2552"/>
        </w:tabs>
        <w:spacing w:before="120"/>
        <w:rPr>
          <w:lang w:eastAsia="en-NZ"/>
        </w:rPr>
      </w:pPr>
      <w:r w:rsidRPr="00EF1BC0">
        <w:rPr>
          <w:lang w:eastAsia="en-NZ"/>
        </w:rPr>
        <w:t>Nick Polaschek</w:t>
      </w:r>
      <w:r w:rsidR="00AB53A2">
        <w:rPr>
          <w:lang w:eastAsia="en-NZ"/>
        </w:rPr>
        <w:tab/>
      </w:r>
      <w:r w:rsidRPr="00EF1BC0">
        <w:rPr>
          <w:lang w:eastAsia="en-NZ"/>
        </w:rPr>
        <w:t>Senior Project Manager Ministry of Health</w:t>
      </w:r>
    </w:p>
    <w:p w:rsidR="00F74342" w:rsidRPr="00EF1BC0" w:rsidRDefault="00F74342" w:rsidP="00AB53A2">
      <w:pPr>
        <w:tabs>
          <w:tab w:val="left" w:pos="2552"/>
        </w:tabs>
        <w:spacing w:before="120"/>
        <w:rPr>
          <w:lang w:eastAsia="en-NZ"/>
        </w:rPr>
      </w:pPr>
      <w:r w:rsidRPr="00EF1BC0">
        <w:rPr>
          <w:lang w:eastAsia="en-NZ"/>
        </w:rPr>
        <w:t xml:space="preserve">Helen Rodenberg </w:t>
      </w:r>
      <w:r w:rsidRPr="00EF1BC0">
        <w:rPr>
          <w:lang w:eastAsia="en-NZ"/>
        </w:rPr>
        <w:tab/>
        <w:t xml:space="preserve">National Clinical Director Long Term </w:t>
      </w:r>
      <w:r w:rsidR="00FF113C">
        <w:rPr>
          <w:lang w:eastAsia="en-NZ"/>
        </w:rPr>
        <w:t>C</w:t>
      </w:r>
      <w:r w:rsidRPr="00EF1BC0">
        <w:rPr>
          <w:lang w:eastAsia="en-NZ"/>
        </w:rPr>
        <w:t>onditions Ministry of Health</w:t>
      </w:r>
    </w:p>
    <w:p w:rsidR="00F74342" w:rsidRDefault="00F74342" w:rsidP="00AB53A2">
      <w:pPr>
        <w:tabs>
          <w:tab w:val="left" w:pos="2552"/>
        </w:tabs>
        <w:spacing w:before="120"/>
        <w:rPr>
          <w:lang w:eastAsia="en-NZ"/>
        </w:rPr>
      </w:pPr>
      <w:r w:rsidRPr="00EF1BC0">
        <w:t xml:space="preserve">Tracey Saweirs </w:t>
      </w:r>
      <w:r w:rsidR="00AB53A2">
        <w:tab/>
      </w:r>
      <w:r w:rsidRPr="00EF1BC0">
        <w:rPr>
          <w:lang w:eastAsia="en-NZ"/>
        </w:rPr>
        <w:t>Renal Nurse Specialist Northland DHB</w:t>
      </w:r>
    </w:p>
    <w:p w:rsidR="00F74342" w:rsidRPr="00EF1BC0" w:rsidRDefault="00F74342" w:rsidP="00AB53A2">
      <w:pPr>
        <w:tabs>
          <w:tab w:val="left" w:pos="2552"/>
        </w:tabs>
        <w:spacing w:before="120"/>
        <w:rPr>
          <w:lang w:eastAsia="en-NZ"/>
        </w:rPr>
      </w:pPr>
      <w:r w:rsidRPr="00EF1BC0">
        <w:rPr>
          <w:lang w:eastAsia="en-NZ"/>
        </w:rPr>
        <w:t xml:space="preserve">Walaa Saweirs </w:t>
      </w:r>
      <w:r w:rsidR="00AB53A2">
        <w:rPr>
          <w:lang w:eastAsia="en-NZ"/>
        </w:rPr>
        <w:tab/>
      </w:r>
      <w:r w:rsidRPr="00EF1BC0">
        <w:rPr>
          <w:lang w:eastAsia="en-NZ"/>
        </w:rPr>
        <w:t>Renal Physician Northland DHB</w:t>
      </w:r>
    </w:p>
    <w:p w:rsidR="00F74342" w:rsidRDefault="00F74342" w:rsidP="00AB53A2">
      <w:pPr>
        <w:tabs>
          <w:tab w:val="left" w:pos="2552"/>
        </w:tabs>
        <w:spacing w:before="120"/>
        <w:rPr>
          <w:lang w:eastAsia="en-NZ"/>
        </w:rPr>
      </w:pPr>
      <w:r w:rsidRPr="00EF1BC0">
        <w:rPr>
          <w:lang w:eastAsia="en-NZ"/>
        </w:rPr>
        <w:t xml:space="preserve">Ian Simpson </w:t>
      </w:r>
      <w:r w:rsidR="00AB53A2">
        <w:rPr>
          <w:lang w:eastAsia="en-NZ"/>
        </w:rPr>
        <w:tab/>
      </w:r>
      <w:r w:rsidRPr="00EF1BC0">
        <w:rPr>
          <w:lang w:eastAsia="en-NZ"/>
        </w:rPr>
        <w:t>Renal Physician</w:t>
      </w:r>
    </w:p>
    <w:p w:rsidR="00F74342" w:rsidRDefault="00F74342" w:rsidP="00AB53A2">
      <w:pPr>
        <w:tabs>
          <w:tab w:val="left" w:pos="2552"/>
        </w:tabs>
        <w:spacing w:before="120"/>
      </w:pPr>
      <w:r w:rsidRPr="00EF1BC0">
        <w:t>Sandy Speedy</w:t>
      </w:r>
      <w:r w:rsidR="00AB53A2">
        <w:tab/>
      </w:r>
      <w:r w:rsidRPr="00EF1BC0">
        <w:t xml:space="preserve">Renal Nurse Specialist </w:t>
      </w:r>
      <w:r w:rsidRPr="00EF1BC0">
        <w:rPr>
          <w:lang w:eastAsia="en-NZ"/>
        </w:rPr>
        <w:t>Auckland DHB</w:t>
      </w:r>
    </w:p>
    <w:p w:rsidR="00F74342" w:rsidRPr="00EF1BC0" w:rsidRDefault="00F74342" w:rsidP="00AB53A2">
      <w:pPr>
        <w:tabs>
          <w:tab w:val="left" w:pos="2552"/>
        </w:tabs>
        <w:spacing w:before="120"/>
        <w:rPr>
          <w:lang w:eastAsia="en-NZ"/>
        </w:rPr>
      </w:pPr>
      <w:r w:rsidRPr="00EF1BC0">
        <w:rPr>
          <w:lang w:eastAsia="en-NZ"/>
        </w:rPr>
        <w:t xml:space="preserve">Jasmine Tan </w:t>
      </w:r>
      <w:r w:rsidR="00AB53A2">
        <w:rPr>
          <w:lang w:eastAsia="en-NZ"/>
        </w:rPr>
        <w:tab/>
      </w:r>
      <w:r w:rsidRPr="00EF1BC0">
        <w:rPr>
          <w:bCs/>
          <w:color w:val="222222"/>
        </w:rPr>
        <w:t>Jasmine Tan</w:t>
      </w:r>
      <w:r w:rsidR="00BD2699">
        <w:rPr>
          <w:bCs/>
          <w:color w:val="222222"/>
        </w:rPr>
        <w:t xml:space="preserve">, </w:t>
      </w:r>
      <w:r w:rsidRPr="00EF1BC0">
        <w:rPr>
          <w:color w:val="222222"/>
        </w:rPr>
        <w:t>Diabetes Fellow,</w:t>
      </w:r>
      <w:r w:rsidR="00BD2699">
        <w:rPr>
          <w:color w:val="222222"/>
        </w:rPr>
        <w:t xml:space="preserve"> </w:t>
      </w:r>
      <w:r w:rsidRPr="00EF1BC0">
        <w:rPr>
          <w:bCs/>
          <w:color w:val="222222"/>
        </w:rPr>
        <w:t>Auckland</w:t>
      </w:r>
      <w:r w:rsidR="00BD2699">
        <w:rPr>
          <w:bCs/>
          <w:color w:val="222222"/>
        </w:rPr>
        <w:t xml:space="preserve"> </w:t>
      </w:r>
      <w:r w:rsidRPr="00EF1BC0">
        <w:rPr>
          <w:color w:val="222222"/>
        </w:rPr>
        <w:t>Diabetes Centre</w:t>
      </w:r>
    </w:p>
    <w:p w:rsidR="00F74342" w:rsidRPr="00AB53A2" w:rsidRDefault="00F74342" w:rsidP="00AB53A2">
      <w:pPr>
        <w:tabs>
          <w:tab w:val="left" w:pos="2552"/>
        </w:tabs>
        <w:spacing w:before="120"/>
        <w:rPr>
          <w:iCs/>
          <w:color w:val="813F62"/>
          <w:lang w:eastAsia="en-NZ"/>
        </w:rPr>
      </w:pPr>
      <w:r w:rsidRPr="00EF1BC0">
        <w:rPr>
          <w:lang w:eastAsia="en-NZ"/>
        </w:rPr>
        <w:t xml:space="preserve">Chrissy Taylor </w:t>
      </w:r>
      <w:r w:rsidR="00AB53A2">
        <w:rPr>
          <w:lang w:eastAsia="en-NZ"/>
        </w:rPr>
        <w:tab/>
      </w:r>
      <w:r w:rsidRPr="00EF1BC0">
        <w:t xml:space="preserve">Renal Nurse Specialist </w:t>
      </w:r>
      <w:r w:rsidRPr="00EF1BC0">
        <w:rPr>
          <w:lang w:eastAsia="en-NZ"/>
        </w:rPr>
        <w:t>Auckland DHB</w:t>
      </w:r>
    </w:p>
    <w:p w:rsidR="00F74342" w:rsidRPr="00EF1BC0" w:rsidRDefault="00F74342" w:rsidP="00AB53A2">
      <w:pPr>
        <w:tabs>
          <w:tab w:val="left" w:pos="2552"/>
        </w:tabs>
        <w:spacing w:before="120"/>
        <w:rPr>
          <w:lang w:eastAsia="en-NZ"/>
        </w:rPr>
      </w:pPr>
      <w:r w:rsidRPr="00EF1BC0">
        <w:rPr>
          <w:lang w:eastAsia="en-NZ"/>
        </w:rPr>
        <w:t>Murray Tilyard</w:t>
      </w:r>
      <w:r w:rsidR="00AB53A2">
        <w:rPr>
          <w:lang w:eastAsia="en-NZ"/>
        </w:rPr>
        <w:tab/>
      </w:r>
      <w:r w:rsidRPr="00EF1BC0">
        <w:rPr>
          <w:lang w:eastAsia="en-NZ"/>
        </w:rPr>
        <w:t>Professor General Practice University of Otago CEO BPAC</w:t>
      </w:r>
    </w:p>
    <w:p w:rsidR="00F74342" w:rsidRPr="00EF1BC0" w:rsidRDefault="00F74342" w:rsidP="00AB53A2">
      <w:pPr>
        <w:tabs>
          <w:tab w:val="left" w:pos="2552"/>
        </w:tabs>
        <w:spacing w:before="120"/>
        <w:rPr>
          <w:lang w:eastAsia="en-NZ"/>
        </w:rPr>
      </w:pPr>
      <w:r w:rsidRPr="00EF1BC0">
        <w:rPr>
          <w:lang w:eastAsia="en-NZ"/>
        </w:rPr>
        <w:t>Villi Tutone</w:t>
      </w:r>
      <w:r>
        <w:rPr>
          <w:lang w:eastAsia="en-NZ"/>
        </w:rPr>
        <w:t xml:space="preserve"> </w:t>
      </w:r>
      <w:r w:rsidR="00AB53A2">
        <w:rPr>
          <w:lang w:eastAsia="en-NZ"/>
        </w:rPr>
        <w:tab/>
      </w:r>
      <w:r w:rsidRPr="00EF1BC0">
        <w:rPr>
          <w:lang w:eastAsia="en-NZ"/>
        </w:rPr>
        <w:t>Renal Physician Counties Manukau DHB</w:t>
      </w:r>
    </w:p>
    <w:p w:rsidR="00F74342" w:rsidRDefault="00F74342" w:rsidP="00AB53A2">
      <w:pPr>
        <w:tabs>
          <w:tab w:val="left" w:pos="2552"/>
        </w:tabs>
        <w:spacing w:before="120"/>
        <w:rPr>
          <w:lang w:eastAsia="en-NZ"/>
        </w:rPr>
      </w:pPr>
      <w:r w:rsidRPr="00EF1BC0">
        <w:rPr>
          <w:lang w:eastAsia="en-NZ"/>
        </w:rPr>
        <w:t xml:space="preserve">Curtis Walker </w:t>
      </w:r>
      <w:r w:rsidR="00AB53A2">
        <w:rPr>
          <w:lang w:eastAsia="en-NZ"/>
        </w:rPr>
        <w:tab/>
      </w:r>
      <w:r w:rsidRPr="00EF1BC0">
        <w:rPr>
          <w:lang w:eastAsia="en-NZ"/>
        </w:rPr>
        <w:t>Physician MidCentral DHB</w:t>
      </w:r>
    </w:p>
    <w:p w:rsidR="00F74342" w:rsidRPr="00EF1BC0" w:rsidRDefault="00F74342" w:rsidP="00AB53A2">
      <w:pPr>
        <w:tabs>
          <w:tab w:val="left" w:pos="2552"/>
        </w:tabs>
        <w:spacing w:before="120"/>
        <w:rPr>
          <w:lang w:eastAsia="en-NZ"/>
        </w:rPr>
      </w:pPr>
      <w:r w:rsidRPr="00EF1BC0">
        <w:rPr>
          <w:lang w:eastAsia="en-NZ"/>
        </w:rPr>
        <w:t>Miranda Walker</w:t>
      </w:r>
      <w:r w:rsidR="00AB53A2">
        <w:rPr>
          <w:lang w:eastAsia="en-NZ"/>
        </w:rPr>
        <w:tab/>
      </w:r>
      <w:r w:rsidRPr="00EF1BC0">
        <w:rPr>
          <w:lang w:eastAsia="en-NZ"/>
        </w:rPr>
        <w:t>Diabetes Nurse Specialist Capital and Coast DHB</w:t>
      </w:r>
    </w:p>
    <w:p w:rsidR="00F74342" w:rsidRPr="00EF1BC0" w:rsidRDefault="00F74342" w:rsidP="00AB53A2">
      <w:pPr>
        <w:tabs>
          <w:tab w:val="left" w:pos="2552"/>
        </w:tabs>
        <w:spacing w:before="120"/>
        <w:rPr>
          <w:lang w:eastAsia="en-NZ"/>
        </w:rPr>
      </w:pPr>
      <w:r w:rsidRPr="00EF1BC0">
        <w:rPr>
          <w:lang w:eastAsia="en-NZ"/>
        </w:rPr>
        <w:t>Rachael Walker</w:t>
      </w:r>
      <w:r w:rsidR="00AB53A2">
        <w:rPr>
          <w:lang w:eastAsia="en-NZ"/>
        </w:rPr>
        <w:tab/>
      </w:r>
      <w:r w:rsidRPr="00EF1BC0">
        <w:rPr>
          <w:lang w:eastAsia="en-NZ"/>
        </w:rPr>
        <w:t>Renal Nurse Practitioner Hawkes Bay DHB</w:t>
      </w:r>
    </w:p>
    <w:p w:rsidR="0086388B" w:rsidRPr="0086388B" w:rsidRDefault="0086388B" w:rsidP="0021763B"/>
    <w:sectPr w:rsidR="0086388B" w:rsidRPr="0086388B" w:rsidSect="009D5125">
      <w:headerReference w:type="default" r:id="rId21"/>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48B" w:rsidRDefault="00A0348B">
      <w:pPr>
        <w:spacing w:line="240" w:lineRule="auto"/>
      </w:pPr>
      <w:r>
        <w:separator/>
      </w:r>
    </w:p>
  </w:endnote>
  <w:endnote w:type="continuationSeparator" w:id="0">
    <w:p w:rsidR="00A0348B" w:rsidRDefault="00A03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undrySans-Normal">
    <w:altName w:val="FoundrySans-Normal"/>
    <w:panose1 w:val="00000000000000000000"/>
    <w:charset w:val="00"/>
    <w:family w:val="swiss"/>
    <w:notTrueType/>
    <w:pitch w:val="default"/>
    <w:sig w:usb0="00000003" w:usb1="00000000" w:usb2="00000000" w:usb3="00000000" w:csb0="00000001" w:csb1="00000000"/>
  </w:font>
  <w:font w:name="DINPro-Light">
    <w:altName w:val="DINPro-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vMyrlight_R">
    <w:panose1 w:val="00000000000000000000"/>
    <w:charset w:val="00"/>
    <w:family w:val="swiss"/>
    <w:notTrueType/>
    <w:pitch w:val="default"/>
    <w:sig w:usb0="00000003" w:usb1="00000000" w:usb2="00000000" w:usb3="00000000" w:csb0="00000001" w:csb1="00000000"/>
  </w:font>
  <w:font w:name="AdvMyrlight_I">
    <w:panose1 w:val="00000000000000000000"/>
    <w:charset w:val="00"/>
    <w:family w:val="swiss"/>
    <w:notTrueType/>
    <w:pitch w:val="default"/>
    <w:sig w:usb0="00000003" w:usb1="00000000" w:usb2="00000000" w:usb3="00000000" w:csb0="00000001" w:csb1="00000000"/>
  </w:font>
  <w:font w:name="AdvMyriad_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46" w:rsidRPr="003648EF" w:rsidRDefault="007D0246"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46" w:rsidRDefault="007D0246"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46" w:rsidRDefault="007D02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46" w:rsidRPr="00275D08" w:rsidRDefault="007D0246"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4261C">
      <w:rPr>
        <w:rStyle w:val="PageNumber"/>
        <w:noProof/>
      </w:rPr>
      <w:t>14</w:t>
    </w:r>
    <w:r w:rsidRPr="00FC46E7">
      <w:rPr>
        <w:rStyle w:val="PageNumber"/>
      </w:rPr>
      <w:fldChar w:fldCharType="end"/>
    </w:r>
    <w:r>
      <w:tab/>
    </w:r>
    <w:r w:rsidRPr="00EB74DD">
      <w:t>M</w:t>
    </w:r>
    <w:r>
      <w:t>anaging</w:t>
    </w:r>
    <w:r w:rsidRPr="00EB74DD">
      <w:t xml:space="preserve"> C</w:t>
    </w:r>
    <w:r>
      <w:t>hronic</w:t>
    </w:r>
    <w:r w:rsidRPr="00EB74DD">
      <w:t xml:space="preserve"> K</w:t>
    </w:r>
    <w:r>
      <w:t>idney</w:t>
    </w:r>
    <w:r w:rsidRPr="00EB74DD">
      <w:t xml:space="preserve"> D</w:t>
    </w:r>
    <w:r>
      <w:t>isease in Primary Care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46" w:rsidRDefault="007D0246" w:rsidP="00533B90">
    <w:pPr>
      <w:pStyle w:val="RectoFooter"/>
    </w:pPr>
    <w:r>
      <w:tab/>
    </w:r>
    <w:r w:rsidRPr="00EB74DD">
      <w:t>M</w:t>
    </w:r>
    <w:r>
      <w:t>anaging</w:t>
    </w:r>
    <w:r w:rsidRPr="00EB74DD">
      <w:t xml:space="preserve"> C</w:t>
    </w:r>
    <w:r>
      <w:t>hronic</w:t>
    </w:r>
    <w:r w:rsidRPr="00EB74DD">
      <w:t xml:space="preserve"> K</w:t>
    </w:r>
    <w:r>
      <w:t>idney</w:t>
    </w:r>
    <w:r w:rsidRPr="00EB74DD">
      <w:t xml:space="preserve"> D</w:t>
    </w:r>
    <w:r>
      <w:t>isease in Primary Care</w:t>
    </w:r>
    <w:r>
      <w:tab/>
    </w:r>
    <w:r>
      <w:rPr>
        <w:rStyle w:val="PageNumber"/>
      </w:rPr>
      <w:fldChar w:fldCharType="begin"/>
    </w:r>
    <w:r>
      <w:rPr>
        <w:rStyle w:val="PageNumber"/>
      </w:rPr>
      <w:instrText xml:space="preserve"> PAGE </w:instrText>
    </w:r>
    <w:r>
      <w:rPr>
        <w:rStyle w:val="PageNumber"/>
      </w:rPr>
      <w:fldChar w:fldCharType="separate"/>
    </w:r>
    <w:r w:rsidR="0064261C">
      <w:rPr>
        <w:rStyle w:val="PageNumber"/>
        <w:noProof/>
      </w:rPr>
      <w:t>iii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48B" w:rsidRPr="00E460B6" w:rsidRDefault="00A0348B" w:rsidP="007B4D3E"/>
  </w:footnote>
  <w:footnote w:type="continuationSeparator" w:id="0">
    <w:p w:rsidR="00A0348B" w:rsidRDefault="00A03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46" w:rsidRDefault="007D0246" w:rsidP="00D25FFE">
    <w:pPr>
      <w:pStyle w:val="Header"/>
      <w:ind w:left="-1559"/>
    </w:pPr>
    <w:r>
      <w:rPr>
        <w:noProof/>
        <w:lang w:eastAsia="en-NZ"/>
      </w:rPr>
      <w:drawing>
        <wp:inline distT="0" distB="0" distL="0" distR="0">
          <wp:extent cx="6410325" cy="609600"/>
          <wp:effectExtent l="0" t="0" r="9525" b="0"/>
          <wp:docPr id="2"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10325"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46" w:rsidRDefault="007D0246"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46" w:rsidRDefault="007D0246"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46" w:rsidRDefault="007D0246"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E2823E2"/>
    <w:lvl w:ilvl="0">
      <w:start w:val="1"/>
      <w:numFmt w:val="decimal"/>
      <w:lvlText w:val="%1."/>
      <w:lvlJc w:val="left"/>
      <w:pPr>
        <w:tabs>
          <w:tab w:val="num" w:pos="1492"/>
        </w:tabs>
        <w:ind w:left="1492" w:hanging="360"/>
      </w:pPr>
    </w:lvl>
  </w:abstractNum>
  <w:abstractNum w:abstractNumId="1">
    <w:nsid w:val="FFFFFF7D"/>
    <w:multiLevelType w:val="singleLevel"/>
    <w:tmpl w:val="4B10092C"/>
    <w:lvl w:ilvl="0">
      <w:start w:val="1"/>
      <w:numFmt w:val="decimal"/>
      <w:lvlText w:val="%1."/>
      <w:lvlJc w:val="left"/>
      <w:pPr>
        <w:tabs>
          <w:tab w:val="num" w:pos="1209"/>
        </w:tabs>
        <w:ind w:left="1209" w:hanging="360"/>
      </w:pPr>
    </w:lvl>
  </w:abstractNum>
  <w:abstractNum w:abstractNumId="2">
    <w:nsid w:val="FFFFFF7E"/>
    <w:multiLevelType w:val="singleLevel"/>
    <w:tmpl w:val="2E0AAAC2"/>
    <w:lvl w:ilvl="0">
      <w:start w:val="1"/>
      <w:numFmt w:val="decimal"/>
      <w:lvlText w:val="%1."/>
      <w:lvlJc w:val="left"/>
      <w:pPr>
        <w:tabs>
          <w:tab w:val="num" w:pos="926"/>
        </w:tabs>
        <w:ind w:left="926" w:hanging="360"/>
      </w:pPr>
    </w:lvl>
  </w:abstractNum>
  <w:abstractNum w:abstractNumId="3">
    <w:nsid w:val="FFFFFF7F"/>
    <w:multiLevelType w:val="singleLevel"/>
    <w:tmpl w:val="BE960188"/>
    <w:lvl w:ilvl="0">
      <w:start w:val="1"/>
      <w:numFmt w:val="decimal"/>
      <w:lvlText w:val="%1."/>
      <w:lvlJc w:val="left"/>
      <w:pPr>
        <w:tabs>
          <w:tab w:val="num" w:pos="643"/>
        </w:tabs>
        <w:ind w:left="643" w:hanging="360"/>
      </w:pPr>
    </w:lvl>
  </w:abstractNum>
  <w:abstractNum w:abstractNumId="4">
    <w:nsid w:val="FFFFFF80"/>
    <w:multiLevelType w:val="singleLevel"/>
    <w:tmpl w:val="6ED8CC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84E7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632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A6A7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6A09AE"/>
    <w:lvl w:ilvl="0">
      <w:start w:val="1"/>
      <w:numFmt w:val="decimal"/>
      <w:lvlText w:val="%1."/>
      <w:lvlJc w:val="left"/>
      <w:pPr>
        <w:tabs>
          <w:tab w:val="num" w:pos="360"/>
        </w:tabs>
        <w:ind w:left="360" w:hanging="360"/>
      </w:pPr>
    </w:lvl>
  </w:abstractNum>
  <w:abstractNum w:abstractNumId="9">
    <w:nsid w:val="FFFFFF89"/>
    <w:multiLevelType w:val="singleLevel"/>
    <w:tmpl w:val="CCBE42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06874D4"/>
    <w:lvl w:ilvl="0">
      <w:numFmt w:val="bullet"/>
      <w:lvlText w:val="*"/>
      <w:lvlJc w:val="left"/>
    </w:lvl>
  </w:abstractNum>
  <w:abstractNum w:abstractNumId="11">
    <w:nsid w:val="00F556A2"/>
    <w:multiLevelType w:val="hybridMultilevel"/>
    <w:tmpl w:val="982A1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3">
    <w:nsid w:val="048A6195"/>
    <w:multiLevelType w:val="hybridMultilevel"/>
    <w:tmpl w:val="B562E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5890E14"/>
    <w:multiLevelType w:val="singleLevel"/>
    <w:tmpl w:val="A0B8487E"/>
    <w:lvl w:ilvl="0">
      <w:start w:val="27"/>
      <w:numFmt w:val="decimal"/>
      <w:lvlText w:val="%1."/>
      <w:lvlJc w:val="left"/>
      <w:pPr>
        <w:tabs>
          <w:tab w:val="num" w:pos="750"/>
        </w:tabs>
        <w:ind w:left="750" w:hanging="750"/>
      </w:pPr>
      <w:rPr>
        <w:rFonts w:hint="default"/>
      </w:rPr>
    </w:lvl>
  </w:abstractNum>
  <w:abstractNum w:abstractNumId="15">
    <w:nsid w:val="06D13392"/>
    <w:multiLevelType w:val="hybridMultilevel"/>
    <w:tmpl w:val="26F6F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0AD416FF"/>
    <w:multiLevelType w:val="hybridMultilevel"/>
    <w:tmpl w:val="F8C4146A"/>
    <w:lvl w:ilvl="0" w:tplc="E03E36DC">
      <w:start w:val="1"/>
      <w:numFmt w:val="lowerLetter"/>
      <w:pStyle w:val="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0D797DB7"/>
    <w:multiLevelType w:val="hybridMultilevel"/>
    <w:tmpl w:val="A796B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15644B73"/>
    <w:multiLevelType w:val="hybridMultilevel"/>
    <w:tmpl w:val="90F8F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5743D63"/>
    <w:multiLevelType w:val="hybridMultilevel"/>
    <w:tmpl w:val="72EEA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202D1E39"/>
    <w:multiLevelType w:val="hybridMultilevel"/>
    <w:tmpl w:val="D7208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8AA4369"/>
    <w:multiLevelType w:val="hybridMultilevel"/>
    <w:tmpl w:val="C5A014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212595"/>
    <w:multiLevelType w:val="hybridMultilevel"/>
    <w:tmpl w:val="233283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77C59BB"/>
    <w:multiLevelType w:val="hybridMultilevel"/>
    <w:tmpl w:val="55089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BA565AF"/>
    <w:multiLevelType w:val="hybridMultilevel"/>
    <w:tmpl w:val="195ADE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4ECF2F61"/>
    <w:multiLevelType w:val="hybridMultilevel"/>
    <w:tmpl w:val="C2805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2751E89"/>
    <w:multiLevelType w:val="hybridMultilevel"/>
    <w:tmpl w:val="588E9366"/>
    <w:lvl w:ilvl="0" w:tplc="A9CEAE70">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68E59B2"/>
    <w:multiLevelType w:val="hybridMultilevel"/>
    <w:tmpl w:val="A7A03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5D1A0508"/>
    <w:multiLevelType w:val="hybridMultilevel"/>
    <w:tmpl w:val="DB6A23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7">
    <w:nsid w:val="69A8256F"/>
    <w:multiLevelType w:val="hybridMultilevel"/>
    <w:tmpl w:val="9B78C6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6B462539"/>
    <w:multiLevelType w:val="hybridMultilevel"/>
    <w:tmpl w:val="154C620C"/>
    <w:lvl w:ilvl="0" w:tplc="D766FC02">
      <w:start w:val="1"/>
      <w:numFmt w:val="decimal"/>
      <w:lvlText w:val="%1."/>
      <w:lvlJc w:val="left"/>
      <w:pPr>
        <w:tabs>
          <w:tab w:val="num" w:pos="786"/>
        </w:tabs>
        <w:ind w:left="786" w:hanging="360"/>
      </w:pPr>
      <w:rPr>
        <w:rFonts w:ascii="Arial" w:eastAsia="Calibri" w:hAnsi="Arial" w:cs="Arial" w:hint="default"/>
        <w:color w:val="auto"/>
        <w:sz w:val="24"/>
        <w:szCs w:val="24"/>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9">
    <w:nsid w:val="6E83669F"/>
    <w:multiLevelType w:val="hybridMultilevel"/>
    <w:tmpl w:val="5F92D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nsid w:val="7279607C"/>
    <w:multiLevelType w:val="hybridMultilevel"/>
    <w:tmpl w:val="58482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4E25B11"/>
    <w:multiLevelType w:val="hybridMultilevel"/>
    <w:tmpl w:val="BA0E6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44">
    <w:nsid w:val="7D1A1184"/>
    <w:multiLevelType w:val="hybridMultilevel"/>
    <w:tmpl w:val="5614C5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FC0E1F"/>
    <w:multiLevelType w:val="hybridMultilevel"/>
    <w:tmpl w:val="D9F4166E"/>
    <w:lvl w:ilvl="0" w:tplc="A1C69802">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7E346A01"/>
    <w:multiLevelType w:val="hybridMultilevel"/>
    <w:tmpl w:val="06AE9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28"/>
  </w:num>
  <w:num w:numId="4">
    <w:abstractNumId w:val="29"/>
  </w:num>
  <w:num w:numId="5">
    <w:abstractNumId w:val="12"/>
  </w:num>
  <w:num w:numId="6">
    <w:abstractNumId w:val="34"/>
  </w:num>
  <w:num w:numId="7">
    <w:abstractNumId w:val="21"/>
  </w:num>
  <w:num w:numId="8">
    <w:abstractNumId w:val="40"/>
  </w:num>
  <w:num w:numId="9">
    <w:abstractNumId w:val="18"/>
  </w:num>
  <w:num w:numId="10">
    <w:abstractNumId w:val="23"/>
  </w:num>
  <w:num w:numId="11">
    <w:abstractNumId w:val="30"/>
  </w:num>
  <w:num w:numId="12">
    <w:abstractNumId w:val="9"/>
  </w:num>
  <w:num w:numId="13">
    <w:abstractNumId w:val="44"/>
  </w:num>
  <w:num w:numId="14">
    <w:abstractNumId w:val="10"/>
    <w:lvlOverride w:ilvl="0">
      <w:lvl w:ilvl="0">
        <w:numFmt w:val="bullet"/>
        <w:lvlText w:val=""/>
        <w:legacy w:legacy="1" w:legacySpace="0" w:legacyIndent="0"/>
        <w:lvlJc w:val="left"/>
        <w:rPr>
          <w:rFonts w:ascii="Symbol" w:hAnsi="Symbol" w:hint="default"/>
          <w:sz w:val="22"/>
        </w:rPr>
      </w:lvl>
    </w:lvlOverride>
  </w:num>
  <w:num w:numId="15">
    <w:abstractNumId w:val="13"/>
  </w:num>
  <w:num w:numId="16">
    <w:abstractNumId w:val="15"/>
  </w:num>
  <w:num w:numId="17">
    <w:abstractNumId w:val="46"/>
  </w:num>
  <w:num w:numId="18">
    <w:abstractNumId w:val="31"/>
  </w:num>
  <w:num w:numId="19">
    <w:abstractNumId w:val="33"/>
  </w:num>
  <w:num w:numId="20">
    <w:abstractNumId w:val="11"/>
  </w:num>
  <w:num w:numId="21">
    <w:abstractNumId w:val="42"/>
  </w:num>
  <w:num w:numId="22">
    <w:abstractNumId w:val="39"/>
  </w:num>
  <w:num w:numId="23">
    <w:abstractNumId w:val="27"/>
  </w:num>
  <w:num w:numId="24">
    <w:abstractNumId w:val="35"/>
  </w:num>
  <w:num w:numId="25">
    <w:abstractNumId w:val="41"/>
  </w:num>
  <w:num w:numId="26">
    <w:abstractNumId w:val="37"/>
  </w:num>
  <w:num w:numId="27">
    <w:abstractNumId w:val="19"/>
  </w:num>
  <w:num w:numId="28">
    <w:abstractNumId w:val="26"/>
  </w:num>
  <w:num w:numId="29">
    <w:abstractNumId w:val="25"/>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 w:numId="40">
    <w:abstractNumId w:val="22"/>
  </w:num>
  <w:num w:numId="41">
    <w:abstractNumId w:val="24"/>
  </w:num>
  <w:num w:numId="42">
    <w:abstractNumId w:val="38"/>
  </w:num>
  <w:num w:numId="43">
    <w:abstractNumId w:val="14"/>
  </w:num>
  <w:num w:numId="44">
    <w:abstractNumId w:val="20"/>
  </w:num>
  <w:num w:numId="45">
    <w:abstractNumId w:val="32"/>
  </w:num>
  <w:num w:numId="46">
    <w:abstractNumId w:val="45"/>
  </w:num>
  <w:num w:numId="47">
    <w:abstractNumId w:val="16"/>
  </w:num>
  <w:num w:numId="48">
    <w:abstractNumId w:val="32"/>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6228D"/>
    <w:rsid w:val="00072BD6"/>
    <w:rsid w:val="00075B78"/>
    <w:rsid w:val="00082CD6"/>
    <w:rsid w:val="00085AFE"/>
    <w:rsid w:val="000B0730"/>
    <w:rsid w:val="000F2AE2"/>
    <w:rsid w:val="00102063"/>
    <w:rsid w:val="001027D4"/>
    <w:rsid w:val="0010541C"/>
    <w:rsid w:val="00106F93"/>
    <w:rsid w:val="00111D50"/>
    <w:rsid w:val="00113B8E"/>
    <w:rsid w:val="001342C7"/>
    <w:rsid w:val="0013585C"/>
    <w:rsid w:val="00142954"/>
    <w:rsid w:val="001460E0"/>
    <w:rsid w:val="00147F71"/>
    <w:rsid w:val="00150A6E"/>
    <w:rsid w:val="0016468A"/>
    <w:rsid w:val="001A5CF5"/>
    <w:rsid w:val="001B39D2"/>
    <w:rsid w:val="001C4326"/>
    <w:rsid w:val="001D3541"/>
    <w:rsid w:val="00201A01"/>
    <w:rsid w:val="002104D3"/>
    <w:rsid w:val="00213A33"/>
    <w:rsid w:val="0021763B"/>
    <w:rsid w:val="00234D5A"/>
    <w:rsid w:val="00242A9A"/>
    <w:rsid w:val="00243192"/>
    <w:rsid w:val="00246DB1"/>
    <w:rsid w:val="002476B5"/>
    <w:rsid w:val="00253ECF"/>
    <w:rsid w:val="002546A1"/>
    <w:rsid w:val="00275D08"/>
    <w:rsid w:val="00282FC9"/>
    <w:rsid w:val="002858E3"/>
    <w:rsid w:val="0029190A"/>
    <w:rsid w:val="00292C5A"/>
    <w:rsid w:val="00295241"/>
    <w:rsid w:val="002B047D"/>
    <w:rsid w:val="002B732B"/>
    <w:rsid w:val="002C2219"/>
    <w:rsid w:val="002D0DF2"/>
    <w:rsid w:val="002D23BD"/>
    <w:rsid w:val="002E0B47"/>
    <w:rsid w:val="002F7213"/>
    <w:rsid w:val="0030382F"/>
    <w:rsid w:val="003060E4"/>
    <w:rsid w:val="003160E7"/>
    <w:rsid w:val="0031739E"/>
    <w:rsid w:val="00317B00"/>
    <w:rsid w:val="003325AB"/>
    <w:rsid w:val="0033412B"/>
    <w:rsid w:val="00343365"/>
    <w:rsid w:val="00353501"/>
    <w:rsid w:val="003606F8"/>
    <w:rsid w:val="003648EF"/>
    <w:rsid w:val="003673E6"/>
    <w:rsid w:val="00377264"/>
    <w:rsid w:val="00386D3C"/>
    <w:rsid w:val="003A26A5"/>
    <w:rsid w:val="003A3761"/>
    <w:rsid w:val="003A5FEA"/>
    <w:rsid w:val="003B1D10"/>
    <w:rsid w:val="003C76D4"/>
    <w:rsid w:val="003E7C46"/>
    <w:rsid w:val="003F52A7"/>
    <w:rsid w:val="0040240C"/>
    <w:rsid w:val="00413021"/>
    <w:rsid w:val="00440BE0"/>
    <w:rsid w:val="0044584B"/>
    <w:rsid w:val="00447CB7"/>
    <w:rsid w:val="00460826"/>
    <w:rsid w:val="00460EA7"/>
    <w:rsid w:val="0046195B"/>
    <w:rsid w:val="0046596D"/>
    <w:rsid w:val="00487C04"/>
    <w:rsid w:val="004907E1"/>
    <w:rsid w:val="004A035B"/>
    <w:rsid w:val="004A38D7"/>
    <w:rsid w:val="004A53CD"/>
    <w:rsid w:val="004A778C"/>
    <w:rsid w:val="004C2E6A"/>
    <w:rsid w:val="004D2A2D"/>
    <w:rsid w:val="004D6689"/>
    <w:rsid w:val="004E1D1D"/>
    <w:rsid w:val="004E29DB"/>
    <w:rsid w:val="004E5ACC"/>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7B58"/>
    <w:rsid w:val="005763E0"/>
    <w:rsid w:val="00583F50"/>
    <w:rsid w:val="005A27CA"/>
    <w:rsid w:val="005A43BD"/>
    <w:rsid w:val="005C20CA"/>
    <w:rsid w:val="005E226E"/>
    <w:rsid w:val="006015D7"/>
    <w:rsid w:val="00601B21"/>
    <w:rsid w:val="0060744A"/>
    <w:rsid w:val="00626CF8"/>
    <w:rsid w:val="00630BA8"/>
    <w:rsid w:val="00636D7D"/>
    <w:rsid w:val="0064261C"/>
    <w:rsid w:val="00642868"/>
    <w:rsid w:val="006512BC"/>
    <w:rsid w:val="00653A5A"/>
    <w:rsid w:val="006575F4"/>
    <w:rsid w:val="006579E6"/>
    <w:rsid w:val="00662DD9"/>
    <w:rsid w:val="00663AAF"/>
    <w:rsid w:val="00663EDC"/>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8171E"/>
    <w:rsid w:val="00795B34"/>
    <w:rsid w:val="007B0A3D"/>
    <w:rsid w:val="007B1770"/>
    <w:rsid w:val="007B4D3E"/>
    <w:rsid w:val="007B7C70"/>
    <w:rsid w:val="007D0246"/>
    <w:rsid w:val="007D2151"/>
    <w:rsid w:val="007D42CC"/>
    <w:rsid w:val="007D5DE4"/>
    <w:rsid w:val="007E1341"/>
    <w:rsid w:val="007E1B41"/>
    <w:rsid w:val="007E30B9"/>
    <w:rsid w:val="007F0F0C"/>
    <w:rsid w:val="007F1288"/>
    <w:rsid w:val="00800A8A"/>
    <w:rsid w:val="0080155C"/>
    <w:rsid w:val="008052E1"/>
    <w:rsid w:val="00822F2C"/>
    <w:rsid w:val="008305E8"/>
    <w:rsid w:val="0083189A"/>
    <w:rsid w:val="00860826"/>
    <w:rsid w:val="00860E21"/>
    <w:rsid w:val="0086388B"/>
    <w:rsid w:val="008642E5"/>
    <w:rsid w:val="00872D93"/>
    <w:rsid w:val="00880470"/>
    <w:rsid w:val="00880C83"/>
    <w:rsid w:val="00880D94"/>
    <w:rsid w:val="008A3755"/>
    <w:rsid w:val="008B264F"/>
    <w:rsid w:val="008B6F83"/>
    <w:rsid w:val="008C2973"/>
    <w:rsid w:val="008D74D5"/>
    <w:rsid w:val="008F29BE"/>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A418B"/>
    <w:rsid w:val="009A4473"/>
    <w:rsid w:val="009C151C"/>
    <w:rsid w:val="009D5125"/>
    <w:rsid w:val="009D60B8"/>
    <w:rsid w:val="009D7D4B"/>
    <w:rsid w:val="009E36ED"/>
    <w:rsid w:val="009F460A"/>
    <w:rsid w:val="00A0348B"/>
    <w:rsid w:val="00A043FB"/>
    <w:rsid w:val="00A0729C"/>
    <w:rsid w:val="00A07779"/>
    <w:rsid w:val="00A20B2E"/>
    <w:rsid w:val="00A3068F"/>
    <w:rsid w:val="00A3145B"/>
    <w:rsid w:val="00A339D0"/>
    <w:rsid w:val="00A4201A"/>
    <w:rsid w:val="00A553CE"/>
    <w:rsid w:val="00A5677A"/>
    <w:rsid w:val="00A6490D"/>
    <w:rsid w:val="00A80363"/>
    <w:rsid w:val="00A9169D"/>
    <w:rsid w:val="00AB53A2"/>
    <w:rsid w:val="00AD4CF1"/>
    <w:rsid w:val="00AD5988"/>
    <w:rsid w:val="00AF7800"/>
    <w:rsid w:val="00B072E0"/>
    <w:rsid w:val="00B253F6"/>
    <w:rsid w:val="00B332F8"/>
    <w:rsid w:val="00B3492B"/>
    <w:rsid w:val="00B4646F"/>
    <w:rsid w:val="00B55C7D"/>
    <w:rsid w:val="00B63038"/>
    <w:rsid w:val="00B64BD8"/>
    <w:rsid w:val="00B701D1"/>
    <w:rsid w:val="00B73AF2"/>
    <w:rsid w:val="00B7551A"/>
    <w:rsid w:val="00B87D9C"/>
    <w:rsid w:val="00B95ED8"/>
    <w:rsid w:val="00BC59F1"/>
    <w:rsid w:val="00BD2699"/>
    <w:rsid w:val="00BF3DE1"/>
    <w:rsid w:val="00BF4843"/>
    <w:rsid w:val="00BF5205"/>
    <w:rsid w:val="00C12508"/>
    <w:rsid w:val="00C41BDD"/>
    <w:rsid w:val="00C45AA2"/>
    <w:rsid w:val="00C77282"/>
    <w:rsid w:val="00C84DE5"/>
    <w:rsid w:val="00C85510"/>
    <w:rsid w:val="00C86248"/>
    <w:rsid w:val="00CA4C33"/>
    <w:rsid w:val="00CA6F4A"/>
    <w:rsid w:val="00CD2119"/>
    <w:rsid w:val="00CD36AC"/>
    <w:rsid w:val="00CE7A76"/>
    <w:rsid w:val="00CF1747"/>
    <w:rsid w:val="00D2392A"/>
    <w:rsid w:val="00D25FFE"/>
    <w:rsid w:val="00D4476F"/>
    <w:rsid w:val="00D54D50"/>
    <w:rsid w:val="00D66797"/>
    <w:rsid w:val="00D7087C"/>
    <w:rsid w:val="00D70C3C"/>
    <w:rsid w:val="00D72BE5"/>
    <w:rsid w:val="00D82F26"/>
    <w:rsid w:val="00D863D0"/>
    <w:rsid w:val="00D87C87"/>
    <w:rsid w:val="00DB39CF"/>
    <w:rsid w:val="00DC62B5"/>
    <w:rsid w:val="00DD447A"/>
    <w:rsid w:val="00DE6C94"/>
    <w:rsid w:val="00DE6FD7"/>
    <w:rsid w:val="00E23271"/>
    <w:rsid w:val="00E24F80"/>
    <w:rsid w:val="00E4486C"/>
    <w:rsid w:val="00E460B6"/>
    <w:rsid w:val="00E50EF5"/>
    <w:rsid w:val="00E511D5"/>
    <w:rsid w:val="00E65269"/>
    <w:rsid w:val="00EA796A"/>
    <w:rsid w:val="00EB1856"/>
    <w:rsid w:val="00EC50CE"/>
    <w:rsid w:val="00EC5B34"/>
    <w:rsid w:val="00EE4ADE"/>
    <w:rsid w:val="00EE5CB7"/>
    <w:rsid w:val="00EE7DBB"/>
    <w:rsid w:val="00F024FE"/>
    <w:rsid w:val="00F05AD4"/>
    <w:rsid w:val="00F57BAF"/>
    <w:rsid w:val="00F67496"/>
    <w:rsid w:val="00F74342"/>
    <w:rsid w:val="00F801BA"/>
    <w:rsid w:val="00F946C9"/>
    <w:rsid w:val="00FA74EE"/>
    <w:rsid w:val="00FC46E7"/>
    <w:rsid w:val="00FC5D25"/>
    <w:rsid w:val="00FD0D7E"/>
    <w:rsid w:val="00FE6E13"/>
    <w:rsid w:val="00FF113C"/>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5:docId w15:val="{49E424CF-3013-482C-830B-93D53BB5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1027D4"/>
    <w:pP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E5ACC"/>
    <w:pPr>
      <w:pBdr>
        <w:bottom w:val="single" w:sz="4" w:space="6" w:color="auto"/>
      </w:pBdr>
      <w:spacing w:before="80"/>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7E134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341"/>
    <w:rPr>
      <w:rFonts w:ascii="Tahoma" w:hAnsi="Tahoma" w:cs="Tahoma"/>
      <w:sz w:val="16"/>
      <w:szCs w:val="16"/>
      <w:lang w:eastAsia="en-GB"/>
    </w:rPr>
  </w:style>
  <w:style w:type="character" w:customStyle="1" w:styleId="NoteChar">
    <w:name w:val="Note Char"/>
    <w:link w:val="Note"/>
    <w:rsid w:val="004E5ACC"/>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paragraph" w:customStyle="1" w:styleId="ColorfulList-Accent11">
    <w:name w:val="Colorful List - Accent 11"/>
    <w:basedOn w:val="Normal"/>
    <w:uiPriority w:val="34"/>
    <w:qFormat/>
    <w:rsid w:val="0086388B"/>
    <w:pPr>
      <w:spacing w:line="240" w:lineRule="auto"/>
      <w:ind w:left="720"/>
      <w:contextualSpacing/>
    </w:pPr>
    <w:rPr>
      <w:rFonts w:ascii="Arial" w:eastAsia="Calibri" w:hAnsi="Arial"/>
      <w:sz w:val="20"/>
      <w:szCs w:val="22"/>
      <w:lang w:eastAsia="en-US"/>
    </w:rPr>
  </w:style>
  <w:style w:type="character" w:styleId="CommentReference">
    <w:name w:val="annotation reference"/>
    <w:uiPriority w:val="99"/>
    <w:semiHidden/>
    <w:unhideWhenUsed/>
    <w:rsid w:val="0086388B"/>
    <w:rPr>
      <w:sz w:val="18"/>
      <w:szCs w:val="18"/>
    </w:rPr>
  </w:style>
  <w:style w:type="paragraph" w:styleId="CommentText">
    <w:name w:val="annotation text"/>
    <w:basedOn w:val="Normal"/>
    <w:link w:val="CommentTextChar"/>
    <w:uiPriority w:val="99"/>
    <w:semiHidden/>
    <w:unhideWhenUsed/>
    <w:rsid w:val="0086388B"/>
    <w:pPr>
      <w:spacing w:line="240" w:lineRule="auto"/>
    </w:pPr>
    <w:rPr>
      <w:rFonts w:ascii="Arial" w:eastAsia="Calibri" w:hAnsi="Arial"/>
      <w:sz w:val="24"/>
      <w:szCs w:val="24"/>
      <w:lang w:val="x-none" w:eastAsia="x-none"/>
    </w:rPr>
  </w:style>
  <w:style w:type="character" w:customStyle="1" w:styleId="CommentTextChar">
    <w:name w:val="Comment Text Char"/>
    <w:link w:val="CommentText"/>
    <w:uiPriority w:val="99"/>
    <w:semiHidden/>
    <w:rsid w:val="0086388B"/>
    <w:rPr>
      <w:rFonts w:ascii="Arial" w:eastAsia="Calibri" w:hAnsi="Arial"/>
      <w:sz w:val="24"/>
      <w:szCs w:val="24"/>
      <w:lang w:val="x-none" w:eastAsia="x-none"/>
    </w:rPr>
  </w:style>
  <w:style w:type="paragraph" w:styleId="CommentSubject">
    <w:name w:val="annotation subject"/>
    <w:basedOn w:val="CommentText"/>
    <w:next w:val="CommentText"/>
    <w:link w:val="CommentSubjectChar"/>
    <w:uiPriority w:val="99"/>
    <w:semiHidden/>
    <w:unhideWhenUsed/>
    <w:rsid w:val="0086388B"/>
    <w:rPr>
      <w:b/>
      <w:bCs/>
    </w:rPr>
  </w:style>
  <w:style w:type="character" w:customStyle="1" w:styleId="CommentSubjectChar">
    <w:name w:val="Comment Subject Char"/>
    <w:link w:val="CommentSubject"/>
    <w:uiPriority w:val="99"/>
    <w:semiHidden/>
    <w:rsid w:val="0086388B"/>
    <w:rPr>
      <w:rFonts w:ascii="Arial" w:eastAsia="Calibri" w:hAnsi="Arial"/>
      <w:b/>
      <w:bCs/>
      <w:sz w:val="24"/>
      <w:szCs w:val="24"/>
      <w:lang w:val="x-none" w:eastAsia="x-none"/>
    </w:rPr>
  </w:style>
  <w:style w:type="paragraph" w:styleId="ListParagraph">
    <w:name w:val="List Paragraph"/>
    <w:basedOn w:val="Normal"/>
    <w:uiPriority w:val="34"/>
    <w:qFormat/>
    <w:rsid w:val="0086388B"/>
    <w:pPr>
      <w:spacing w:line="240" w:lineRule="auto"/>
      <w:ind w:left="720"/>
      <w:contextualSpacing/>
    </w:pPr>
    <w:rPr>
      <w:rFonts w:ascii="Arial" w:eastAsia="Calibri" w:hAnsi="Arial"/>
      <w:sz w:val="20"/>
      <w:szCs w:val="22"/>
      <w:lang w:eastAsia="en-US"/>
    </w:rPr>
  </w:style>
  <w:style w:type="paragraph" w:styleId="NormalWeb">
    <w:name w:val="Normal (Web)"/>
    <w:basedOn w:val="Normal"/>
    <w:uiPriority w:val="99"/>
    <w:unhideWhenUsed/>
    <w:rsid w:val="0086388B"/>
    <w:pPr>
      <w:spacing w:before="100" w:beforeAutospacing="1" w:after="100" w:afterAutospacing="1" w:line="240" w:lineRule="auto"/>
    </w:pPr>
    <w:rPr>
      <w:rFonts w:ascii="Times New Roman" w:hAnsi="Times New Roman"/>
      <w:sz w:val="24"/>
      <w:szCs w:val="24"/>
      <w:lang w:eastAsia="en-NZ"/>
    </w:rPr>
  </w:style>
  <w:style w:type="character" w:customStyle="1" w:styleId="Heading1Char">
    <w:name w:val="Heading 1 Char"/>
    <w:link w:val="Heading1"/>
    <w:rsid w:val="001027D4"/>
    <w:rPr>
      <w:rFonts w:ascii="Georgia" w:hAnsi="Georgia"/>
      <w:b/>
      <w:sz w:val="60"/>
      <w:lang w:eastAsia="en-GB"/>
    </w:rPr>
  </w:style>
  <w:style w:type="paragraph" w:customStyle="1" w:styleId="Pa37">
    <w:name w:val="Pa37"/>
    <w:basedOn w:val="Normal"/>
    <w:next w:val="Normal"/>
    <w:uiPriority w:val="99"/>
    <w:rsid w:val="0086388B"/>
    <w:pPr>
      <w:autoSpaceDE w:val="0"/>
      <w:autoSpaceDN w:val="0"/>
      <w:adjustRightInd w:val="0"/>
      <w:spacing w:line="141" w:lineRule="atLeast"/>
    </w:pPr>
    <w:rPr>
      <w:rFonts w:ascii="FoundrySans-Normal" w:eastAsia="Calibri" w:hAnsi="FoundrySans-Normal"/>
      <w:sz w:val="24"/>
      <w:szCs w:val="24"/>
      <w:lang w:eastAsia="en-NZ"/>
    </w:rPr>
  </w:style>
  <w:style w:type="character" w:customStyle="1" w:styleId="A19">
    <w:name w:val="A19"/>
    <w:uiPriority w:val="99"/>
    <w:rsid w:val="0086388B"/>
    <w:rPr>
      <w:rFonts w:cs="FoundrySans-Normal"/>
      <w:color w:val="000000"/>
      <w:sz w:val="8"/>
      <w:szCs w:val="8"/>
    </w:rPr>
  </w:style>
  <w:style w:type="paragraph" w:customStyle="1" w:styleId="Pa38">
    <w:name w:val="Pa38"/>
    <w:basedOn w:val="Normal"/>
    <w:next w:val="Normal"/>
    <w:uiPriority w:val="99"/>
    <w:rsid w:val="0086388B"/>
    <w:pPr>
      <w:autoSpaceDE w:val="0"/>
      <w:autoSpaceDN w:val="0"/>
      <w:adjustRightInd w:val="0"/>
      <w:spacing w:line="141" w:lineRule="atLeast"/>
    </w:pPr>
    <w:rPr>
      <w:rFonts w:ascii="FoundrySans-Normal" w:eastAsia="Calibri" w:hAnsi="FoundrySans-Normal"/>
      <w:sz w:val="24"/>
      <w:szCs w:val="24"/>
      <w:lang w:eastAsia="en-NZ"/>
    </w:rPr>
  </w:style>
  <w:style w:type="character" w:customStyle="1" w:styleId="A1">
    <w:name w:val="A1"/>
    <w:uiPriority w:val="99"/>
    <w:rsid w:val="0086388B"/>
    <w:rPr>
      <w:rFonts w:cs="FoundrySans-Normal"/>
      <w:color w:val="000000"/>
      <w:sz w:val="16"/>
      <w:szCs w:val="16"/>
    </w:rPr>
  </w:style>
  <w:style w:type="character" w:customStyle="1" w:styleId="A18">
    <w:name w:val="A18"/>
    <w:uiPriority w:val="99"/>
    <w:rsid w:val="0086388B"/>
    <w:rPr>
      <w:rFonts w:cs="FoundrySans-Normal"/>
      <w:color w:val="000000"/>
      <w:sz w:val="9"/>
      <w:szCs w:val="9"/>
    </w:rPr>
  </w:style>
  <w:style w:type="paragraph" w:styleId="Revision">
    <w:name w:val="Revision"/>
    <w:hidden/>
    <w:uiPriority w:val="99"/>
    <w:semiHidden/>
    <w:rsid w:val="0086388B"/>
    <w:rPr>
      <w:rFonts w:ascii="Calibri" w:eastAsia="Calibri" w:hAnsi="Calibri"/>
      <w:sz w:val="22"/>
      <w:szCs w:val="22"/>
      <w:lang w:val="en-US" w:eastAsia="en-US"/>
    </w:rPr>
  </w:style>
  <w:style w:type="paragraph" w:styleId="NoSpacing">
    <w:name w:val="No Spacing"/>
    <w:uiPriority w:val="1"/>
    <w:qFormat/>
    <w:rsid w:val="0086388B"/>
    <w:pPr>
      <w:widowControl w:val="0"/>
    </w:pPr>
    <w:rPr>
      <w:rFonts w:ascii="Calibri" w:eastAsia="Calibri" w:hAnsi="Calibri"/>
      <w:sz w:val="22"/>
      <w:szCs w:val="22"/>
      <w:lang w:val="en-US" w:eastAsia="en-US"/>
    </w:rPr>
  </w:style>
  <w:style w:type="paragraph" w:styleId="ListBullet">
    <w:name w:val="List Bullet"/>
    <w:basedOn w:val="Normal"/>
    <w:uiPriority w:val="99"/>
    <w:unhideWhenUsed/>
    <w:rsid w:val="0086388B"/>
    <w:pPr>
      <w:numPr>
        <w:numId w:val="12"/>
      </w:numPr>
      <w:spacing w:line="240" w:lineRule="auto"/>
      <w:contextualSpacing/>
    </w:pPr>
    <w:rPr>
      <w:rFonts w:ascii="Arial" w:eastAsia="Calibri" w:hAnsi="Arial"/>
      <w:sz w:val="20"/>
      <w:szCs w:val="22"/>
      <w:lang w:eastAsia="en-US"/>
    </w:rPr>
  </w:style>
  <w:style w:type="paragraph" w:styleId="Caption">
    <w:name w:val="caption"/>
    <w:basedOn w:val="Normal"/>
    <w:next w:val="Normal"/>
    <w:uiPriority w:val="35"/>
    <w:unhideWhenUsed/>
    <w:qFormat/>
    <w:rsid w:val="0086388B"/>
    <w:pPr>
      <w:spacing w:line="240" w:lineRule="auto"/>
      <w:ind w:left="794" w:hanging="794"/>
    </w:pPr>
    <w:rPr>
      <w:rFonts w:ascii="Arial" w:eastAsia="Calibri" w:hAnsi="Arial"/>
      <w:b/>
      <w:bCs/>
      <w:sz w:val="20"/>
      <w:lang w:eastAsia="en-US"/>
    </w:rPr>
  </w:style>
  <w:style w:type="character" w:styleId="FollowedHyperlink">
    <w:name w:val="FollowedHyperlink"/>
    <w:uiPriority w:val="99"/>
    <w:semiHidden/>
    <w:unhideWhenUsed/>
    <w:rsid w:val="0086388B"/>
    <w:rPr>
      <w:color w:val="800080"/>
      <w:u w:val="single"/>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TitleChar">
    <w:name w:val="Title Char"/>
    <w:link w:val="Title"/>
    <w:rsid w:val="00F74342"/>
    <w:rPr>
      <w:rFonts w:ascii="Georgia" w:hAnsi="Georgia"/>
      <w:b/>
      <w:sz w:val="80"/>
      <w:lang w:eastAsia="en-GB"/>
    </w:rPr>
  </w:style>
  <w:style w:type="paragraph" w:customStyle="1" w:styleId="Number">
    <w:name w:val="Number"/>
    <w:basedOn w:val="Normal"/>
    <w:qFormat/>
    <w:rsid w:val="00317B00"/>
    <w:pPr>
      <w:numPr>
        <w:numId w:val="45"/>
      </w:numPr>
      <w:spacing w:before="220"/>
      <w:ind w:left="567" w:hanging="567"/>
    </w:pPr>
  </w:style>
  <w:style w:type="paragraph" w:customStyle="1" w:styleId="Letter">
    <w:name w:val="Letter"/>
    <w:basedOn w:val="Normal"/>
    <w:qFormat/>
    <w:rsid w:val="00317B00"/>
    <w:pPr>
      <w:numPr>
        <w:numId w:val="47"/>
      </w:numPr>
      <w:spacing w:before="120"/>
      <w:ind w:left="1134" w:hanging="567"/>
    </w:pPr>
  </w:style>
  <w:style w:type="character" w:customStyle="1" w:styleId="A4">
    <w:name w:val="A4"/>
    <w:uiPriority w:val="99"/>
    <w:rsid w:val="0064261C"/>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nzdata.org.au/anzdata/AnzdataReport/36thReport/2012_Summary_v1.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kidneys.co.nz/resources/file/ckd_management_in_general_practice._2014_vers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ari.org.au/CKD/ckd_guideline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8C927-C952-4290-AD7B-C9B14CC3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18</Pages>
  <Words>4712</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Managing Chronic Kidney Disease in Primary Care National Consensus Statement</vt:lpstr>
    </vt:vector>
  </TitlesOfParts>
  <Company>Microsoft</Company>
  <LinksUpToDate>false</LinksUpToDate>
  <CharactersWithSpaces>31514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Chronic Kidney Disease in Primary Care National Consensus Statement</dc:title>
  <dc:creator>Ministry of Health</dc:creator>
  <cp:lastModifiedBy>Logan Smith</cp:lastModifiedBy>
  <cp:revision>2</cp:revision>
  <cp:lastPrinted>2015-03-02T00:55:00Z</cp:lastPrinted>
  <dcterms:created xsi:type="dcterms:W3CDTF">2015-08-16T22:40:00Z</dcterms:created>
  <dcterms:modified xsi:type="dcterms:W3CDTF">2015-08-16T22:40:00Z</dcterms:modified>
</cp:coreProperties>
</file>