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B322A" w14:textId="77777777" w:rsidR="00455CC9" w:rsidRDefault="003715DC" w:rsidP="00DC0A66">
      <w:pPr>
        <w:pStyle w:val="Title"/>
      </w:pPr>
      <w:r>
        <w:t>Annual Update of Key Results</w:t>
      </w:r>
      <w:r w:rsidR="00DC0A66">
        <w:t xml:space="preserve"> 2015/16</w:t>
      </w:r>
    </w:p>
    <w:p w14:paraId="10F032C7" w14:textId="77777777" w:rsidR="00C86248" w:rsidRDefault="00DC0A66" w:rsidP="00343365">
      <w:pPr>
        <w:pStyle w:val="Subhead"/>
      </w:pPr>
      <w:r>
        <w:t>New Zealand Health Survey</w:t>
      </w:r>
    </w:p>
    <w:p w14:paraId="69D8B4A3" w14:textId="77777777" w:rsidR="00DC0A66" w:rsidRPr="00DC0A66" w:rsidRDefault="00DC0A66" w:rsidP="00DC0A66"/>
    <w:p w14:paraId="3996C1D5" w14:textId="77777777"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14:paraId="6796E271" w14:textId="77777777" w:rsidR="00A80363" w:rsidRPr="00442C1C" w:rsidRDefault="00A80363">
      <w:pPr>
        <w:pStyle w:val="Imprint"/>
      </w:pPr>
      <w:r>
        <w:lastRenderedPageBreak/>
        <w:t xml:space="preserve">Citation: </w:t>
      </w:r>
      <w:r w:rsidR="00442C1C">
        <w:t xml:space="preserve">Ministry of Health. </w:t>
      </w:r>
      <w:r w:rsidR="00DC0A66">
        <w:t>2016</w:t>
      </w:r>
      <w:r w:rsidR="00442C1C">
        <w:t xml:space="preserve">. </w:t>
      </w:r>
      <w:r w:rsidR="003715DC">
        <w:rPr>
          <w:i/>
        </w:rPr>
        <w:t>Annual Update of Key Results</w:t>
      </w:r>
      <w:r w:rsidR="00DC0A66">
        <w:rPr>
          <w:i/>
        </w:rPr>
        <w:t xml:space="preserve"> 2015/16:</w:t>
      </w:r>
      <w:r w:rsidR="00DC0A66">
        <w:rPr>
          <w:i/>
        </w:rPr>
        <w:br/>
        <w:t>New Zealand Health Survey</w:t>
      </w:r>
      <w:r w:rsidR="00442C1C">
        <w:t>. Wellington: Ministry of Health.</w:t>
      </w:r>
    </w:p>
    <w:p w14:paraId="2279EFA1" w14:textId="77777777" w:rsidR="00C86248" w:rsidRDefault="00C86248">
      <w:pPr>
        <w:pStyle w:val="Imprint"/>
      </w:pPr>
      <w:r>
        <w:t xml:space="preserve">Published in </w:t>
      </w:r>
      <w:r w:rsidR="00DC0A66">
        <w:t>December 2016</w:t>
      </w:r>
      <w:r w:rsidR="005019AE">
        <w:br/>
      </w:r>
      <w:r>
        <w:t>by the</w:t>
      </w:r>
      <w:r w:rsidR="00442C1C">
        <w:t xml:space="preserve"> </w:t>
      </w:r>
      <w:r>
        <w:t>Ministry of Health</w:t>
      </w:r>
      <w:r>
        <w:br/>
        <w:t>PO Box 5013, Wellington</w:t>
      </w:r>
      <w:r w:rsidR="00A80363">
        <w:t xml:space="preserve"> 614</w:t>
      </w:r>
      <w:r w:rsidR="006041F0">
        <w:t>0</w:t>
      </w:r>
      <w:r>
        <w:t>, New Zealand</w:t>
      </w:r>
    </w:p>
    <w:p w14:paraId="3AEAC084" w14:textId="56AD5EB4" w:rsidR="00082CD6" w:rsidRPr="009C0F2D" w:rsidRDefault="00F63781" w:rsidP="00082CD6">
      <w:pPr>
        <w:pStyle w:val="Imprint"/>
      </w:pPr>
      <w:r>
        <w:t xml:space="preserve">ISBN </w:t>
      </w:r>
      <w:r w:rsidR="006224D8" w:rsidRPr="006224D8">
        <w:rPr>
          <w:lang w:val="en-US"/>
        </w:rPr>
        <w:t>978-0-947515-91-1</w:t>
      </w:r>
      <w:r w:rsidR="00442C1C">
        <w:t xml:space="preserve"> </w:t>
      </w:r>
      <w:r w:rsidR="00D863D0">
        <w:t>(</w:t>
      </w:r>
      <w:r w:rsidR="00442C1C">
        <w:t>online</w:t>
      </w:r>
      <w:r w:rsidR="00D863D0">
        <w:t>)</w:t>
      </w:r>
      <w:r w:rsidR="00082CD6">
        <w:br/>
      </w:r>
      <w:r w:rsidR="00082CD6" w:rsidRPr="009C0F2D">
        <w:t xml:space="preserve">HP </w:t>
      </w:r>
      <w:r w:rsidR="006224D8">
        <w:t>6521</w:t>
      </w:r>
    </w:p>
    <w:p w14:paraId="5AE8574D" w14:textId="3A8C9997" w:rsidR="00C86248" w:rsidRDefault="00C86248">
      <w:pPr>
        <w:pStyle w:val="Imprint"/>
      </w:pPr>
      <w:r>
        <w:t xml:space="preserve">This document is available </w:t>
      </w:r>
      <w:r w:rsidR="006224D8">
        <w:t xml:space="preserve">at </w:t>
      </w:r>
      <w:r>
        <w:t>h</w:t>
      </w:r>
      <w:r w:rsidR="00A80363">
        <w:t>ealth</w:t>
      </w:r>
      <w:r>
        <w:t>.govt.nz</w:t>
      </w:r>
    </w:p>
    <w:p w14:paraId="1E6A0C87" w14:textId="77777777" w:rsidR="00C86248" w:rsidRDefault="008C64C4">
      <w:pPr>
        <w:jc w:val="center"/>
      </w:pPr>
      <w:r>
        <w:rPr>
          <w:noProof/>
          <w:lang w:eastAsia="en-NZ"/>
        </w:rPr>
        <w:drawing>
          <wp:inline distT="0" distB="0" distL="0" distR="0" wp14:anchorId="78B95A4E" wp14:editId="79CA62C3">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14:paraId="656F4B91" w14:textId="77777777" w:rsidR="007E74F1" w:rsidRPr="001F45A7" w:rsidRDefault="007E74F1" w:rsidP="001F45A7">
      <w:pPr>
        <w:spacing w:before="240"/>
        <w:ind w:right="-851"/>
        <w:rPr>
          <w:sz w:val="18"/>
          <w:szCs w:val="18"/>
        </w:rPr>
      </w:pPr>
      <w:r w:rsidRPr="001F45A7">
        <w:rPr>
          <w:b/>
          <w:noProof/>
          <w:sz w:val="18"/>
          <w:szCs w:val="18"/>
          <w:lang w:eastAsia="en-NZ"/>
        </w:rPr>
        <w:drawing>
          <wp:inline distT="0" distB="0" distL="0" distR="0" wp14:anchorId="643BB991" wp14:editId="624ACAB6">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1F45A7">
        <w:rPr>
          <w:sz w:val="18"/>
          <w:szCs w:val="18"/>
        </w:rPr>
        <w:t xml:space="preserve"> </w:t>
      </w:r>
      <w:r w:rsidR="00FC0DB8" w:rsidRPr="00D535D0">
        <w:rPr>
          <w:sz w:val="18"/>
          <w:szCs w:val="18"/>
        </w:rPr>
        <w:t xml:space="preserve">This work </w:t>
      </w:r>
      <w:r w:rsidR="00FD6712">
        <w:rPr>
          <w:sz w:val="18"/>
          <w:szCs w:val="18"/>
        </w:rPr>
        <w:t xml:space="preserve">is licensed under the </w:t>
      </w:r>
      <w:hyperlink r:id="rId12" w:history="1">
        <w:r w:rsidR="00FD6712" w:rsidRPr="00FD6712">
          <w:rPr>
            <w:rStyle w:val="Hyperlink"/>
            <w:sz w:val="18"/>
            <w:szCs w:val="18"/>
          </w:rPr>
          <w:t>Creative Commons Attribution 4.0 International licence</w:t>
        </w:r>
      </w:hyperlink>
      <w:r w:rsidR="00FC0DB8" w:rsidRPr="00D535D0">
        <w:rPr>
          <w:sz w:val="18"/>
          <w:szCs w:val="18"/>
        </w:rPr>
        <w:t xml:space="preserve">. In essence, </w:t>
      </w:r>
      <w:r w:rsidR="00FC0DB8" w:rsidRPr="00D535D0">
        <w:rPr>
          <w:rFonts w:cs="Arial"/>
          <w:bCs/>
          <w:sz w:val="18"/>
          <w:szCs w:val="18"/>
        </w:rPr>
        <w:t xml:space="preserve">you are free to: </w:t>
      </w:r>
      <w:r w:rsidR="00FC0DB8" w:rsidRPr="00D535D0">
        <w:rPr>
          <w:rFonts w:cs="Arial"/>
          <w:sz w:val="18"/>
          <w:szCs w:val="18"/>
        </w:rPr>
        <w:t xml:space="preserve">share ie, copy and redistribute the material in any medium or format; adapt ie, remix, transform and build upon the material. </w:t>
      </w:r>
      <w:r w:rsidR="00FC0DB8" w:rsidRPr="00D535D0">
        <w:rPr>
          <w:rFonts w:cs="Arial"/>
          <w:bCs/>
          <w:sz w:val="18"/>
          <w:szCs w:val="18"/>
        </w:rPr>
        <w:t>You must give appropriate credit, provide a link to the licence and indicate if changes were made.</w:t>
      </w:r>
    </w:p>
    <w:p w14:paraId="79B2E02D" w14:textId="77777777" w:rsidR="00C86248" w:rsidRDefault="00C86248">
      <w:pPr>
        <w:jc w:val="center"/>
        <w:sectPr w:rsidR="00C86248" w:rsidSect="0016468A">
          <w:footerReference w:type="even" r:id="rId13"/>
          <w:footerReference w:type="default" r:id="rId14"/>
          <w:pgSz w:w="11907" w:h="16834" w:code="9"/>
          <w:pgMar w:top="1701" w:right="1134" w:bottom="1134" w:left="1985" w:header="0" w:footer="0" w:gutter="0"/>
          <w:cols w:space="720"/>
          <w:vAlign w:val="bottom"/>
        </w:sectPr>
      </w:pPr>
    </w:p>
    <w:p w14:paraId="5E4F0AC4" w14:textId="77777777" w:rsidR="00FC0DB8" w:rsidRDefault="00FC0DB8" w:rsidP="00FC0DB8">
      <w:pPr>
        <w:pStyle w:val="Heading1"/>
      </w:pPr>
      <w:bookmarkStart w:id="0" w:name="_Toc436730762"/>
      <w:bookmarkStart w:id="1" w:name="_Toc467831524"/>
      <w:bookmarkStart w:id="2" w:name="_Toc405792991"/>
      <w:bookmarkStart w:id="3" w:name="_Toc405793224"/>
      <w:r>
        <w:lastRenderedPageBreak/>
        <w:t>Foreword</w:t>
      </w:r>
      <w:bookmarkEnd w:id="0"/>
      <w:bookmarkEnd w:id="1"/>
    </w:p>
    <w:p w14:paraId="2AA2B8DE" w14:textId="77777777" w:rsidR="009F208D" w:rsidRDefault="009F208D" w:rsidP="009F208D">
      <w:r>
        <w:t xml:space="preserve">I am pleased to present the latest findings from the New Zealand Health Survey. Started in 2011 as a continuous survey, it is a vital tool in helping us understand the health of New Zealanders. </w:t>
      </w:r>
    </w:p>
    <w:p w14:paraId="3F9AF776" w14:textId="77777777" w:rsidR="009F208D" w:rsidRDefault="009F208D" w:rsidP="009F208D"/>
    <w:p w14:paraId="37144967" w14:textId="77777777" w:rsidR="009F208D" w:rsidRPr="005C2411" w:rsidRDefault="009F208D" w:rsidP="009F208D">
      <w:r>
        <w:t>This latest report provides information on the health of both adults and children from July 2015 to June 2016, together with trend data. It also updates</w:t>
      </w:r>
      <w:r w:rsidRPr="00D10DD9">
        <w:t xml:space="preserve"> </w:t>
      </w:r>
      <w:r>
        <w:t>the</w:t>
      </w:r>
      <w:r w:rsidRPr="002D65E9">
        <w:rPr>
          <w:i/>
        </w:rPr>
        <w:t xml:space="preserve"> </w:t>
      </w:r>
      <w:hyperlink r:id="rId15" w:history="1">
        <w:r w:rsidRPr="003E18D6">
          <w:rPr>
            <w:rStyle w:val="Hyperlink"/>
            <w:i/>
          </w:rPr>
          <w:t>Annual Update of Key Results 2014/15: New Zealand Health Survey</w:t>
        </w:r>
      </w:hyperlink>
      <w:r w:rsidRPr="005C2411">
        <w:t>.</w:t>
      </w:r>
    </w:p>
    <w:p w14:paraId="2050BE99" w14:textId="77777777" w:rsidR="009F208D" w:rsidRDefault="009F208D" w:rsidP="009F208D"/>
    <w:p w14:paraId="54ACC6AD" w14:textId="7702D7BC" w:rsidR="009F208D" w:rsidRDefault="009F208D" w:rsidP="009F208D">
      <w:r>
        <w:t xml:space="preserve">Being able to look at comprehensive information over time enables us to monitor trends and identify changing patterns of disease. It also provides an excellent source of data on many risk factors that influence New Zealanders’ health and wellbeing, including obesity. </w:t>
      </w:r>
    </w:p>
    <w:p w14:paraId="034EC58D" w14:textId="77777777" w:rsidR="009F208D" w:rsidRDefault="009F208D" w:rsidP="009F208D"/>
    <w:p w14:paraId="7FFD5882" w14:textId="77777777" w:rsidR="009F208D" w:rsidRDefault="009F208D" w:rsidP="009F208D">
      <w:r>
        <w:t xml:space="preserve">The knowledge we’ve gained from this survey has helped determine the direction set out in the New Zealand Health Strategy.  It will continue to inform how we respond to the challenges we face, and help identify where investment, effort and education will make the most difference – allowing more New Zealanders to </w:t>
      </w:r>
      <w:r w:rsidRPr="00552B26">
        <w:t xml:space="preserve">live well, stay well and get well.  </w:t>
      </w:r>
    </w:p>
    <w:p w14:paraId="71C53199" w14:textId="77777777" w:rsidR="00FC0DB8" w:rsidRDefault="00FC0DB8" w:rsidP="00E17B60"/>
    <w:p w14:paraId="350CA19C" w14:textId="77777777" w:rsidR="00FC0DB8" w:rsidRPr="00D0325B" w:rsidRDefault="00FC0DB8" w:rsidP="00E17B60">
      <w:r>
        <w:t>Some of the data collected by the New Zealand Health Survey have been designated as key official statistics. These statistics, known as Tier 1 statistics, include smoking (current), past-year drinking, hazardous drinking, obesity, unmet need for a general practitioner due to cost, unfilled prescription due to cost, self-rated health and mental health status (psychological distress). This report has been produced, analysed and released according to the high statistical standards expected of producers of Tier 1 statistics.</w:t>
      </w:r>
    </w:p>
    <w:p w14:paraId="40A0AE38" w14:textId="77777777" w:rsidR="00FC0DB8" w:rsidRDefault="00FC0DB8" w:rsidP="00E17B60"/>
    <w:p w14:paraId="6F487E4C" w14:textId="77777777" w:rsidR="00FC0DB8" w:rsidRDefault="00FC0DB8" w:rsidP="00E17B60">
      <w:r>
        <w:t>I would like to thank the many people who have been involved in the survey. I would also like to extend a special thank you to the many thousands of New Zealanders who gave their time to take part. The information they have provided is critical in developing and monitoring health policy and services in New Zealand.</w:t>
      </w:r>
    </w:p>
    <w:p w14:paraId="4B220F49" w14:textId="77777777" w:rsidR="00FC0DB8" w:rsidRDefault="00FC0DB8" w:rsidP="00E17B60"/>
    <w:p w14:paraId="74B15016" w14:textId="77777777" w:rsidR="00FC0DB8" w:rsidRDefault="00FC0DB8" w:rsidP="00E17B60">
      <w:r>
        <w:t>I hope you find this report of interest.</w:t>
      </w:r>
    </w:p>
    <w:p w14:paraId="515A63C3" w14:textId="77777777" w:rsidR="00FC0DB8" w:rsidRDefault="00FC0DB8" w:rsidP="00E17B60"/>
    <w:p w14:paraId="13B20EC7" w14:textId="77777777" w:rsidR="00FC0DB8" w:rsidRDefault="00FC0DB8" w:rsidP="00FC0DB8">
      <w:r>
        <w:t>Ch</w:t>
      </w:r>
      <w:r w:rsidRPr="00E17B60">
        <w:t>a</w:t>
      </w:r>
      <w:r>
        <w:t>i Chuah</w:t>
      </w:r>
    </w:p>
    <w:p w14:paraId="30EDA117" w14:textId="77777777" w:rsidR="00FC0DB8" w:rsidRDefault="00FC0DB8" w:rsidP="00E17B60">
      <w:r>
        <w:t>Director-General of Health</w:t>
      </w:r>
    </w:p>
    <w:p w14:paraId="2749BD0F" w14:textId="77777777" w:rsidR="00FC0DB8" w:rsidRDefault="00FC0DB8" w:rsidP="00E17B60">
      <w:r>
        <w:t>Ministry of Health</w:t>
      </w:r>
    </w:p>
    <w:p w14:paraId="52E6A9C9" w14:textId="77777777" w:rsidR="00FC0DB8" w:rsidRDefault="00FC0DB8" w:rsidP="00E17B60"/>
    <w:p w14:paraId="760C6CD7" w14:textId="77777777" w:rsidR="00FC0DB8" w:rsidRDefault="00FC0DB8" w:rsidP="00FC0DB8">
      <w:pPr>
        <w:spacing w:line="240" w:lineRule="auto"/>
      </w:pPr>
      <w:r>
        <w:br w:type="page"/>
      </w:r>
    </w:p>
    <w:p w14:paraId="55B878BA" w14:textId="77777777" w:rsidR="00FC0DB8" w:rsidRDefault="00FC0DB8" w:rsidP="00E17B60">
      <w:pPr>
        <w:pStyle w:val="Heading2"/>
      </w:pPr>
      <w:bookmarkStart w:id="4" w:name="_Toc436730763"/>
      <w:bookmarkStart w:id="5" w:name="_Toc467831525"/>
      <w:r>
        <w:lastRenderedPageBreak/>
        <w:t>Authors</w:t>
      </w:r>
      <w:bookmarkEnd w:id="4"/>
      <w:bookmarkEnd w:id="5"/>
    </w:p>
    <w:p w14:paraId="5B46F14D" w14:textId="50ADA633" w:rsidR="007F5D11" w:rsidRDefault="007F5D11" w:rsidP="007F5D11">
      <w:r w:rsidRPr="008C5A1E">
        <w:t xml:space="preserve">This report was written by </w:t>
      </w:r>
      <w:r>
        <w:t>Sharon Cox</w:t>
      </w:r>
      <w:r w:rsidRPr="008C5A1E">
        <w:t xml:space="preserve">, with </w:t>
      </w:r>
      <w:r>
        <w:t>important contributions from</w:t>
      </w:r>
      <w:r w:rsidRPr="008C5A1E">
        <w:t xml:space="preserve"> </w:t>
      </w:r>
      <w:r>
        <w:t xml:space="preserve">Bridget Murphy, Deepa Weerasekera, Inbal Salz, Maria Turley, Martin Tobias, </w:t>
      </w:r>
      <w:r w:rsidR="00BF481C">
        <w:t xml:space="preserve">Matthew Cronin, </w:t>
      </w:r>
      <w:r>
        <w:t>Michelle Liu, Sonia Chen and Steven Johnston</w:t>
      </w:r>
      <w:r w:rsidRPr="008C5A1E">
        <w:t xml:space="preserve">. </w:t>
      </w:r>
      <w:r>
        <w:t xml:space="preserve">All of these authors </w:t>
      </w:r>
      <w:r w:rsidRPr="008C5A1E">
        <w:t xml:space="preserve">are employed by </w:t>
      </w:r>
      <w:r>
        <w:t xml:space="preserve">the </w:t>
      </w:r>
      <w:r w:rsidRPr="008C5A1E">
        <w:t>Health and Disability Intelligence</w:t>
      </w:r>
      <w:r>
        <w:t xml:space="preserve"> Group</w:t>
      </w:r>
      <w:r w:rsidRPr="008C5A1E">
        <w:t>, Ministry of Health.</w:t>
      </w:r>
      <w:bookmarkStart w:id="6" w:name="_GoBack"/>
      <w:bookmarkEnd w:id="6"/>
    </w:p>
    <w:p w14:paraId="4BA401BF" w14:textId="77777777" w:rsidR="007F5D11" w:rsidRDefault="007F5D11" w:rsidP="007F5D11"/>
    <w:p w14:paraId="6DE3D001" w14:textId="77777777" w:rsidR="007F5D11" w:rsidRDefault="007F5D11" w:rsidP="007F5D11">
      <w:r>
        <w:t xml:space="preserve">Input into the report and/or peer review were also provided by </w:t>
      </w:r>
      <w:r w:rsidRPr="00765AE9">
        <w:t>Alan Henderson</w:t>
      </w:r>
      <w:r>
        <w:t>,</w:t>
      </w:r>
      <w:r w:rsidRPr="00424A09">
        <w:t xml:space="preserve"> </w:t>
      </w:r>
      <w:r>
        <w:t xml:space="preserve">Barbara Burt, </w:t>
      </w:r>
      <w:r w:rsidRPr="001C7D56">
        <w:t>Barry Welsh</w:t>
      </w:r>
      <w:r>
        <w:t>, Fran McGrath, Harriette Carr, John Stribling,</w:t>
      </w:r>
      <w:r w:rsidRPr="00314FB5">
        <w:t xml:space="preserve"> </w:t>
      </w:r>
      <w:r>
        <w:t>Louise McIntyre, Pat Tuohy, Paula Searle, Peter Kennerly and Ross Judge, all employed by the Ministry of Health.</w:t>
      </w:r>
    </w:p>
    <w:p w14:paraId="79C14F5E" w14:textId="77777777" w:rsidR="00FC0DB8" w:rsidRDefault="00FC0DB8" w:rsidP="00E17B60"/>
    <w:p w14:paraId="080EC05D" w14:textId="77777777" w:rsidR="00FC0DB8" w:rsidRDefault="00FC0DB8" w:rsidP="00E17B60">
      <w:pPr>
        <w:pStyle w:val="Heading2"/>
      </w:pPr>
      <w:bookmarkStart w:id="7" w:name="_Toc435784730"/>
      <w:bookmarkStart w:id="8" w:name="_Toc436730764"/>
      <w:bookmarkStart w:id="9" w:name="_Toc467831526"/>
      <w:r>
        <w:t>Acknowledgements</w:t>
      </w:r>
      <w:bookmarkEnd w:id="7"/>
      <w:bookmarkEnd w:id="8"/>
      <w:bookmarkEnd w:id="9"/>
    </w:p>
    <w:p w14:paraId="38F662F6" w14:textId="77777777" w:rsidR="00FC0DB8" w:rsidRPr="008C5A1E" w:rsidRDefault="00FC0DB8" w:rsidP="00E17B60">
      <w:r w:rsidRPr="008C5A1E">
        <w:t>The New Zealand Health Survey would not have been possible without the support and enthusiasm of many individuals</w:t>
      </w:r>
      <w:r>
        <w:t xml:space="preserve">, including </w:t>
      </w:r>
      <w:r w:rsidRPr="008C5A1E">
        <w:t xml:space="preserve">the many thousands of New Zealanders who gave their time to participate in </w:t>
      </w:r>
      <w:r>
        <w:t xml:space="preserve">it and the interviewers who worked so diligently to collect the data. </w:t>
      </w:r>
      <w:r w:rsidRPr="008C5A1E">
        <w:t>This report would not have been possible without your generosity.</w:t>
      </w:r>
    </w:p>
    <w:p w14:paraId="5F3F5387" w14:textId="77777777" w:rsidR="00DE3B20" w:rsidRDefault="00DE3B20" w:rsidP="00E17B60"/>
    <w:p w14:paraId="1B744BEB" w14:textId="77777777" w:rsidR="00C86248" w:rsidRDefault="00C86248">
      <w:pPr>
        <w:pStyle w:val="IntroHead"/>
      </w:pPr>
      <w:r>
        <w:lastRenderedPageBreak/>
        <w:t>Contents</w:t>
      </w:r>
      <w:bookmarkEnd w:id="2"/>
      <w:bookmarkEnd w:id="3"/>
    </w:p>
    <w:p w14:paraId="57914319" w14:textId="77777777" w:rsidR="00C2252C"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C2252C">
        <w:rPr>
          <w:noProof/>
        </w:rPr>
        <w:t>Foreword</w:t>
      </w:r>
      <w:r w:rsidR="00C2252C">
        <w:rPr>
          <w:noProof/>
        </w:rPr>
        <w:tab/>
      </w:r>
      <w:r w:rsidR="00C2252C">
        <w:rPr>
          <w:noProof/>
        </w:rPr>
        <w:fldChar w:fldCharType="begin"/>
      </w:r>
      <w:r w:rsidR="00C2252C">
        <w:rPr>
          <w:noProof/>
        </w:rPr>
        <w:instrText xml:space="preserve"> PAGEREF _Toc467831524 \h </w:instrText>
      </w:r>
      <w:r w:rsidR="00C2252C">
        <w:rPr>
          <w:noProof/>
        </w:rPr>
      </w:r>
      <w:r w:rsidR="00C2252C">
        <w:rPr>
          <w:noProof/>
        </w:rPr>
        <w:fldChar w:fldCharType="separate"/>
      </w:r>
      <w:r w:rsidR="003D5B32">
        <w:rPr>
          <w:noProof/>
        </w:rPr>
        <w:t>iii</w:t>
      </w:r>
      <w:r w:rsidR="00C2252C">
        <w:rPr>
          <w:noProof/>
        </w:rPr>
        <w:fldChar w:fldCharType="end"/>
      </w:r>
    </w:p>
    <w:p w14:paraId="7AC7EFEB" w14:textId="77777777" w:rsidR="00C2252C" w:rsidRDefault="00C2252C">
      <w:pPr>
        <w:pStyle w:val="TOC2"/>
        <w:rPr>
          <w:rFonts w:asciiTheme="minorHAnsi" w:eastAsiaTheme="minorEastAsia" w:hAnsiTheme="minorHAnsi" w:cstheme="minorBidi"/>
          <w:noProof/>
          <w:szCs w:val="22"/>
          <w:lang w:eastAsia="en-NZ"/>
        </w:rPr>
      </w:pPr>
      <w:r>
        <w:rPr>
          <w:noProof/>
        </w:rPr>
        <w:t>Authors</w:t>
      </w:r>
      <w:r>
        <w:rPr>
          <w:noProof/>
        </w:rPr>
        <w:tab/>
      </w:r>
      <w:r>
        <w:rPr>
          <w:noProof/>
        </w:rPr>
        <w:fldChar w:fldCharType="begin"/>
      </w:r>
      <w:r>
        <w:rPr>
          <w:noProof/>
        </w:rPr>
        <w:instrText xml:space="preserve"> PAGEREF _Toc467831525 \h </w:instrText>
      </w:r>
      <w:r>
        <w:rPr>
          <w:noProof/>
        </w:rPr>
      </w:r>
      <w:r>
        <w:rPr>
          <w:noProof/>
        </w:rPr>
        <w:fldChar w:fldCharType="separate"/>
      </w:r>
      <w:r w:rsidR="003D5B32">
        <w:rPr>
          <w:noProof/>
        </w:rPr>
        <w:t>iv</w:t>
      </w:r>
      <w:r>
        <w:rPr>
          <w:noProof/>
        </w:rPr>
        <w:fldChar w:fldCharType="end"/>
      </w:r>
    </w:p>
    <w:p w14:paraId="634C0268" w14:textId="77777777" w:rsidR="00C2252C" w:rsidRDefault="00C2252C">
      <w:pPr>
        <w:pStyle w:val="TOC2"/>
        <w:rPr>
          <w:rFonts w:asciiTheme="minorHAnsi" w:eastAsiaTheme="minorEastAsia" w:hAnsiTheme="minorHAnsi" w:cstheme="minorBidi"/>
          <w:noProof/>
          <w:szCs w:val="22"/>
          <w:lang w:eastAsia="en-NZ"/>
        </w:rPr>
      </w:pPr>
      <w:r>
        <w:rPr>
          <w:noProof/>
        </w:rPr>
        <w:t>Acknowledgements</w:t>
      </w:r>
      <w:r>
        <w:rPr>
          <w:noProof/>
        </w:rPr>
        <w:tab/>
      </w:r>
      <w:r>
        <w:rPr>
          <w:noProof/>
        </w:rPr>
        <w:fldChar w:fldCharType="begin"/>
      </w:r>
      <w:r>
        <w:rPr>
          <w:noProof/>
        </w:rPr>
        <w:instrText xml:space="preserve"> PAGEREF _Toc467831526 \h </w:instrText>
      </w:r>
      <w:r>
        <w:rPr>
          <w:noProof/>
        </w:rPr>
      </w:r>
      <w:r>
        <w:rPr>
          <w:noProof/>
        </w:rPr>
        <w:fldChar w:fldCharType="separate"/>
      </w:r>
      <w:r w:rsidR="003D5B32">
        <w:rPr>
          <w:noProof/>
        </w:rPr>
        <w:t>iv</w:t>
      </w:r>
      <w:r>
        <w:rPr>
          <w:noProof/>
        </w:rPr>
        <w:fldChar w:fldCharType="end"/>
      </w:r>
    </w:p>
    <w:p w14:paraId="76052951" w14:textId="77777777" w:rsidR="00C2252C" w:rsidRDefault="00C2252C">
      <w:pPr>
        <w:pStyle w:val="TOC1"/>
        <w:rPr>
          <w:rFonts w:asciiTheme="minorHAnsi" w:eastAsiaTheme="minorEastAsia" w:hAnsiTheme="minorHAnsi" w:cstheme="minorBidi"/>
          <w:b w:val="0"/>
          <w:noProof/>
          <w:szCs w:val="22"/>
          <w:lang w:eastAsia="en-NZ"/>
        </w:rPr>
      </w:pPr>
      <w:r>
        <w:rPr>
          <w:noProof/>
        </w:rPr>
        <w:t>Executive summary</w:t>
      </w:r>
      <w:r>
        <w:rPr>
          <w:noProof/>
        </w:rPr>
        <w:tab/>
      </w:r>
      <w:r>
        <w:rPr>
          <w:noProof/>
        </w:rPr>
        <w:fldChar w:fldCharType="begin"/>
      </w:r>
      <w:r>
        <w:rPr>
          <w:noProof/>
        </w:rPr>
        <w:instrText xml:space="preserve"> PAGEREF _Toc467831527 \h </w:instrText>
      </w:r>
      <w:r>
        <w:rPr>
          <w:noProof/>
        </w:rPr>
      </w:r>
      <w:r>
        <w:rPr>
          <w:noProof/>
        </w:rPr>
        <w:fldChar w:fldCharType="separate"/>
      </w:r>
      <w:r w:rsidR="003D5B32">
        <w:rPr>
          <w:noProof/>
        </w:rPr>
        <w:t>vii</w:t>
      </w:r>
      <w:r>
        <w:rPr>
          <w:noProof/>
        </w:rPr>
        <w:fldChar w:fldCharType="end"/>
      </w:r>
    </w:p>
    <w:p w14:paraId="3F0F0AF4" w14:textId="77777777" w:rsidR="00C2252C" w:rsidRDefault="00C2252C">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_Toc467831528 \h </w:instrText>
      </w:r>
      <w:r>
        <w:rPr>
          <w:noProof/>
        </w:rPr>
      </w:r>
      <w:r>
        <w:rPr>
          <w:noProof/>
        </w:rPr>
        <w:fldChar w:fldCharType="separate"/>
      </w:r>
      <w:r w:rsidR="003D5B32">
        <w:rPr>
          <w:noProof/>
        </w:rPr>
        <w:t>1</w:t>
      </w:r>
      <w:r>
        <w:rPr>
          <w:noProof/>
        </w:rPr>
        <w:fldChar w:fldCharType="end"/>
      </w:r>
    </w:p>
    <w:p w14:paraId="3F23F64D" w14:textId="77777777" w:rsidR="00C2252C" w:rsidRDefault="00C2252C">
      <w:pPr>
        <w:pStyle w:val="TOC2"/>
        <w:rPr>
          <w:rFonts w:asciiTheme="minorHAnsi" w:eastAsiaTheme="minorEastAsia" w:hAnsiTheme="minorHAnsi" w:cstheme="minorBidi"/>
          <w:noProof/>
          <w:szCs w:val="22"/>
          <w:lang w:eastAsia="en-NZ"/>
        </w:rPr>
      </w:pPr>
      <w:r>
        <w:rPr>
          <w:noProof/>
        </w:rPr>
        <w:t>Overview</w:t>
      </w:r>
      <w:r>
        <w:rPr>
          <w:noProof/>
        </w:rPr>
        <w:tab/>
      </w:r>
      <w:r>
        <w:rPr>
          <w:noProof/>
        </w:rPr>
        <w:fldChar w:fldCharType="begin"/>
      </w:r>
      <w:r>
        <w:rPr>
          <w:noProof/>
        </w:rPr>
        <w:instrText xml:space="preserve"> PAGEREF _Toc467831529 \h </w:instrText>
      </w:r>
      <w:r>
        <w:rPr>
          <w:noProof/>
        </w:rPr>
      </w:r>
      <w:r>
        <w:rPr>
          <w:noProof/>
        </w:rPr>
        <w:fldChar w:fldCharType="separate"/>
      </w:r>
      <w:r w:rsidR="003D5B32">
        <w:rPr>
          <w:noProof/>
        </w:rPr>
        <w:t>1</w:t>
      </w:r>
      <w:r>
        <w:rPr>
          <w:noProof/>
        </w:rPr>
        <w:fldChar w:fldCharType="end"/>
      </w:r>
    </w:p>
    <w:p w14:paraId="61ACC2A2" w14:textId="77777777" w:rsidR="00C2252C" w:rsidRDefault="00C2252C">
      <w:pPr>
        <w:pStyle w:val="TOC2"/>
        <w:rPr>
          <w:rFonts w:asciiTheme="minorHAnsi" w:eastAsiaTheme="minorEastAsia" w:hAnsiTheme="minorHAnsi" w:cstheme="minorBidi"/>
          <w:noProof/>
          <w:szCs w:val="22"/>
          <w:lang w:eastAsia="en-NZ"/>
        </w:rPr>
      </w:pPr>
      <w:r>
        <w:rPr>
          <w:noProof/>
        </w:rPr>
        <w:t>Methodology</w:t>
      </w:r>
      <w:r>
        <w:rPr>
          <w:noProof/>
        </w:rPr>
        <w:tab/>
      </w:r>
      <w:r>
        <w:rPr>
          <w:noProof/>
        </w:rPr>
        <w:fldChar w:fldCharType="begin"/>
      </w:r>
      <w:r>
        <w:rPr>
          <w:noProof/>
        </w:rPr>
        <w:instrText xml:space="preserve"> PAGEREF _Toc467831530 \h </w:instrText>
      </w:r>
      <w:r>
        <w:rPr>
          <w:noProof/>
        </w:rPr>
      </w:r>
      <w:r>
        <w:rPr>
          <w:noProof/>
        </w:rPr>
        <w:fldChar w:fldCharType="separate"/>
      </w:r>
      <w:r w:rsidR="003D5B32">
        <w:rPr>
          <w:noProof/>
        </w:rPr>
        <w:t>2</w:t>
      </w:r>
      <w:r>
        <w:rPr>
          <w:noProof/>
        </w:rPr>
        <w:fldChar w:fldCharType="end"/>
      </w:r>
    </w:p>
    <w:p w14:paraId="3BB3B8D0" w14:textId="77777777" w:rsidR="00C2252C" w:rsidRDefault="00C2252C">
      <w:pPr>
        <w:pStyle w:val="TOC2"/>
        <w:rPr>
          <w:rFonts w:asciiTheme="minorHAnsi" w:eastAsiaTheme="minorEastAsia" w:hAnsiTheme="minorHAnsi" w:cstheme="minorBidi"/>
          <w:noProof/>
          <w:szCs w:val="22"/>
          <w:lang w:eastAsia="en-NZ"/>
        </w:rPr>
      </w:pPr>
      <w:r>
        <w:rPr>
          <w:noProof/>
        </w:rPr>
        <w:t>How are the results reported?</w:t>
      </w:r>
      <w:r>
        <w:rPr>
          <w:noProof/>
        </w:rPr>
        <w:tab/>
      </w:r>
      <w:r>
        <w:rPr>
          <w:noProof/>
        </w:rPr>
        <w:fldChar w:fldCharType="begin"/>
      </w:r>
      <w:r>
        <w:rPr>
          <w:noProof/>
        </w:rPr>
        <w:instrText xml:space="preserve"> PAGEREF _Toc467831531 \h </w:instrText>
      </w:r>
      <w:r>
        <w:rPr>
          <w:noProof/>
        </w:rPr>
      </w:r>
      <w:r>
        <w:rPr>
          <w:noProof/>
        </w:rPr>
        <w:fldChar w:fldCharType="separate"/>
      </w:r>
      <w:r w:rsidR="003D5B32">
        <w:rPr>
          <w:noProof/>
        </w:rPr>
        <w:t>7</w:t>
      </w:r>
      <w:r>
        <w:rPr>
          <w:noProof/>
        </w:rPr>
        <w:fldChar w:fldCharType="end"/>
      </w:r>
    </w:p>
    <w:p w14:paraId="78C5D5FB" w14:textId="77777777" w:rsidR="00C2252C" w:rsidRDefault="00C2252C">
      <w:pPr>
        <w:pStyle w:val="TOC1"/>
        <w:rPr>
          <w:rFonts w:asciiTheme="minorHAnsi" w:eastAsiaTheme="minorEastAsia" w:hAnsiTheme="minorHAnsi" w:cstheme="minorBidi"/>
          <w:b w:val="0"/>
          <w:noProof/>
          <w:szCs w:val="22"/>
          <w:lang w:eastAsia="en-NZ"/>
        </w:rPr>
      </w:pPr>
      <w:r>
        <w:rPr>
          <w:noProof/>
        </w:rPr>
        <w:t>The health of New Zealand adults</w:t>
      </w:r>
      <w:r>
        <w:rPr>
          <w:noProof/>
        </w:rPr>
        <w:tab/>
      </w:r>
      <w:r>
        <w:rPr>
          <w:noProof/>
        </w:rPr>
        <w:fldChar w:fldCharType="begin"/>
      </w:r>
      <w:r>
        <w:rPr>
          <w:noProof/>
        </w:rPr>
        <w:instrText xml:space="preserve"> PAGEREF _Toc467831532 \h </w:instrText>
      </w:r>
      <w:r>
        <w:rPr>
          <w:noProof/>
        </w:rPr>
      </w:r>
      <w:r>
        <w:rPr>
          <w:noProof/>
        </w:rPr>
        <w:fldChar w:fldCharType="separate"/>
      </w:r>
      <w:r w:rsidR="003D5B32">
        <w:rPr>
          <w:noProof/>
        </w:rPr>
        <w:t>8</w:t>
      </w:r>
      <w:r>
        <w:rPr>
          <w:noProof/>
        </w:rPr>
        <w:fldChar w:fldCharType="end"/>
      </w:r>
    </w:p>
    <w:p w14:paraId="58AEF6E4" w14:textId="77777777" w:rsidR="00C2252C" w:rsidRDefault="00C2252C">
      <w:pPr>
        <w:pStyle w:val="TOC2"/>
        <w:rPr>
          <w:rFonts w:asciiTheme="minorHAnsi" w:eastAsiaTheme="minorEastAsia" w:hAnsiTheme="minorHAnsi" w:cstheme="minorBidi"/>
          <w:noProof/>
          <w:szCs w:val="22"/>
          <w:lang w:eastAsia="en-NZ"/>
        </w:rPr>
      </w:pPr>
      <w:r>
        <w:rPr>
          <w:noProof/>
        </w:rPr>
        <w:t>Health status, health behaviours and risk factors of adults</w:t>
      </w:r>
      <w:r>
        <w:rPr>
          <w:noProof/>
        </w:rPr>
        <w:tab/>
      </w:r>
      <w:r>
        <w:rPr>
          <w:noProof/>
        </w:rPr>
        <w:fldChar w:fldCharType="begin"/>
      </w:r>
      <w:r>
        <w:rPr>
          <w:noProof/>
        </w:rPr>
        <w:instrText xml:space="preserve"> PAGEREF _Toc467831533 \h </w:instrText>
      </w:r>
      <w:r>
        <w:rPr>
          <w:noProof/>
        </w:rPr>
      </w:r>
      <w:r>
        <w:rPr>
          <w:noProof/>
        </w:rPr>
        <w:fldChar w:fldCharType="separate"/>
      </w:r>
      <w:r w:rsidR="003D5B32">
        <w:rPr>
          <w:noProof/>
        </w:rPr>
        <w:t>12</w:t>
      </w:r>
      <w:r>
        <w:rPr>
          <w:noProof/>
        </w:rPr>
        <w:fldChar w:fldCharType="end"/>
      </w:r>
    </w:p>
    <w:p w14:paraId="4B427AA5" w14:textId="77777777" w:rsidR="00C2252C" w:rsidRDefault="00C2252C">
      <w:pPr>
        <w:pStyle w:val="TOC2"/>
        <w:rPr>
          <w:rFonts w:asciiTheme="minorHAnsi" w:eastAsiaTheme="minorEastAsia" w:hAnsiTheme="minorHAnsi" w:cstheme="minorBidi"/>
          <w:noProof/>
          <w:szCs w:val="22"/>
          <w:lang w:eastAsia="en-NZ"/>
        </w:rPr>
      </w:pPr>
      <w:r>
        <w:rPr>
          <w:noProof/>
        </w:rPr>
        <w:t>Health conditions of adults</w:t>
      </w:r>
      <w:r>
        <w:rPr>
          <w:noProof/>
        </w:rPr>
        <w:tab/>
      </w:r>
      <w:r>
        <w:rPr>
          <w:noProof/>
        </w:rPr>
        <w:fldChar w:fldCharType="begin"/>
      </w:r>
      <w:r>
        <w:rPr>
          <w:noProof/>
        </w:rPr>
        <w:instrText xml:space="preserve"> PAGEREF _Toc467831534 \h </w:instrText>
      </w:r>
      <w:r>
        <w:rPr>
          <w:noProof/>
        </w:rPr>
      </w:r>
      <w:r>
        <w:rPr>
          <w:noProof/>
        </w:rPr>
        <w:fldChar w:fldCharType="separate"/>
      </w:r>
      <w:r w:rsidR="003D5B32">
        <w:rPr>
          <w:noProof/>
        </w:rPr>
        <w:t>25</w:t>
      </w:r>
      <w:r>
        <w:rPr>
          <w:noProof/>
        </w:rPr>
        <w:fldChar w:fldCharType="end"/>
      </w:r>
    </w:p>
    <w:p w14:paraId="5067E268" w14:textId="77777777" w:rsidR="00C2252C" w:rsidRDefault="00C2252C">
      <w:pPr>
        <w:pStyle w:val="TOC2"/>
        <w:rPr>
          <w:rFonts w:asciiTheme="minorHAnsi" w:eastAsiaTheme="minorEastAsia" w:hAnsiTheme="minorHAnsi" w:cstheme="minorBidi"/>
          <w:noProof/>
          <w:szCs w:val="22"/>
          <w:lang w:eastAsia="en-NZ"/>
        </w:rPr>
      </w:pPr>
      <w:r>
        <w:rPr>
          <w:noProof/>
        </w:rPr>
        <w:t>Adults’ access to health care</w:t>
      </w:r>
      <w:r>
        <w:rPr>
          <w:noProof/>
        </w:rPr>
        <w:tab/>
      </w:r>
      <w:r>
        <w:rPr>
          <w:noProof/>
        </w:rPr>
        <w:fldChar w:fldCharType="begin"/>
      </w:r>
      <w:r>
        <w:rPr>
          <w:noProof/>
        </w:rPr>
        <w:instrText xml:space="preserve"> PAGEREF _Toc467831535 \h </w:instrText>
      </w:r>
      <w:r>
        <w:rPr>
          <w:noProof/>
        </w:rPr>
      </w:r>
      <w:r>
        <w:rPr>
          <w:noProof/>
        </w:rPr>
        <w:fldChar w:fldCharType="separate"/>
      </w:r>
      <w:r w:rsidR="003D5B32">
        <w:rPr>
          <w:noProof/>
        </w:rPr>
        <w:t>36</w:t>
      </w:r>
      <w:r>
        <w:rPr>
          <w:noProof/>
        </w:rPr>
        <w:fldChar w:fldCharType="end"/>
      </w:r>
    </w:p>
    <w:p w14:paraId="3C65A126" w14:textId="77777777" w:rsidR="00C2252C" w:rsidRDefault="00C2252C">
      <w:pPr>
        <w:pStyle w:val="TOC2"/>
        <w:rPr>
          <w:rFonts w:asciiTheme="minorHAnsi" w:eastAsiaTheme="minorEastAsia" w:hAnsiTheme="minorHAnsi" w:cstheme="minorBidi"/>
          <w:noProof/>
          <w:szCs w:val="22"/>
          <w:lang w:eastAsia="en-NZ"/>
        </w:rPr>
      </w:pPr>
      <w:r>
        <w:rPr>
          <w:noProof/>
        </w:rPr>
        <w:t>Oral health of adults</w:t>
      </w:r>
      <w:r>
        <w:rPr>
          <w:noProof/>
        </w:rPr>
        <w:tab/>
      </w:r>
      <w:r>
        <w:rPr>
          <w:noProof/>
        </w:rPr>
        <w:fldChar w:fldCharType="begin"/>
      </w:r>
      <w:r>
        <w:rPr>
          <w:noProof/>
        </w:rPr>
        <w:instrText xml:space="preserve"> PAGEREF _Toc467831536 \h </w:instrText>
      </w:r>
      <w:r>
        <w:rPr>
          <w:noProof/>
        </w:rPr>
      </w:r>
      <w:r>
        <w:rPr>
          <w:noProof/>
        </w:rPr>
        <w:fldChar w:fldCharType="separate"/>
      </w:r>
      <w:r w:rsidR="003D5B32">
        <w:rPr>
          <w:noProof/>
        </w:rPr>
        <w:t>45</w:t>
      </w:r>
      <w:r>
        <w:rPr>
          <w:noProof/>
        </w:rPr>
        <w:fldChar w:fldCharType="end"/>
      </w:r>
    </w:p>
    <w:p w14:paraId="21E401D4" w14:textId="77777777" w:rsidR="00C2252C" w:rsidRDefault="00C2252C">
      <w:pPr>
        <w:pStyle w:val="TOC1"/>
        <w:rPr>
          <w:rFonts w:asciiTheme="minorHAnsi" w:eastAsiaTheme="minorEastAsia" w:hAnsiTheme="minorHAnsi" w:cstheme="minorBidi"/>
          <w:b w:val="0"/>
          <w:noProof/>
          <w:szCs w:val="22"/>
          <w:lang w:eastAsia="en-NZ"/>
        </w:rPr>
      </w:pPr>
      <w:r>
        <w:rPr>
          <w:noProof/>
        </w:rPr>
        <w:t>The health of New Zealand children</w:t>
      </w:r>
      <w:r>
        <w:rPr>
          <w:noProof/>
        </w:rPr>
        <w:tab/>
      </w:r>
      <w:r>
        <w:rPr>
          <w:noProof/>
        </w:rPr>
        <w:fldChar w:fldCharType="begin"/>
      </w:r>
      <w:r>
        <w:rPr>
          <w:noProof/>
        </w:rPr>
        <w:instrText xml:space="preserve"> PAGEREF _Toc467831537 \h </w:instrText>
      </w:r>
      <w:r>
        <w:rPr>
          <w:noProof/>
        </w:rPr>
      </w:r>
      <w:r>
        <w:rPr>
          <w:noProof/>
        </w:rPr>
        <w:fldChar w:fldCharType="separate"/>
      </w:r>
      <w:r w:rsidR="003D5B32">
        <w:rPr>
          <w:noProof/>
        </w:rPr>
        <w:t>48</w:t>
      </w:r>
      <w:r>
        <w:rPr>
          <w:noProof/>
        </w:rPr>
        <w:fldChar w:fldCharType="end"/>
      </w:r>
    </w:p>
    <w:p w14:paraId="4326DF62" w14:textId="77777777" w:rsidR="00C2252C" w:rsidRDefault="00C2252C">
      <w:pPr>
        <w:pStyle w:val="TOC2"/>
        <w:rPr>
          <w:rFonts w:asciiTheme="minorHAnsi" w:eastAsiaTheme="minorEastAsia" w:hAnsiTheme="minorHAnsi" w:cstheme="minorBidi"/>
          <w:noProof/>
          <w:szCs w:val="22"/>
          <w:lang w:eastAsia="en-NZ"/>
        </w:rPr>
      </w:pPr>
      <w:r>
        <w:rPr>
          <w:noProof/>
        </w:rPr>
        <w:t>Health status, health behaviours and risk factors of children</w:t>
      </w:r>
      <w:r>
        <w:rPr>
          <w:noProof/>
        </w:rPr>
        <w:tab/>
      </w:r>
      <w:r>
        <w:rPr>
          <w:noProof/>
        </w:rPr>
        <w:fldChar w:fldCharType="begin"/>
      </w:r>
      <w:r>
        <w:rPr>
          <w:noProof/>
        </w:rPr>
        <w:instrText xml:space="preserve"> PAGEREF _Toc467831538 \h </w:instrText>
      </w:r>
      <w:r>
        <w:rPr>
          <w:noProof/>
        </w:rPr>
      </w:r>
      <w:r>
        <w:rPr>
          <w:noProof/>
        </w:rPr>
        <w:fldChar w:fldCharType="separate"/>
      </w:r>
      <w:r w:rsidR="003D5B32">
        <w:rPr>
          <w:noProof/>
        </w:rPr>
        <w:t>52</w:t>
      </w:r>
      <w:r>
        <w:rPr>
          <w:noProof/>
        </w:rPr>
        <w:fldChar w:fldCharType="end"/>
      </w:r>
    </w:p>
    <w:p w14:paraId="45548360" w14:textId="77777777" w:rsidR="00C2252C" w:rsidRDefault="00C2252C">
      <w:pPr>
        <w:pStyle w:val="TOC2"/>
        <w:rPr>
          <w:rFonts w:asciiTheme="minorHAnsi" w:eastAsiaTheme="minorEastAsia" w:hAnsiTheme="minorHAnsi" w:cstheme="minorBidi"/>
          <w:noProof/>
          <w:szCs w:val="22"/>
          <w:lang w:eastAsia="en-NZ"/>
        </w:rPr>
      </w:pPr>
      <w:r>
        <w:rPr>
          <w:noProof/>
        </w:rPr>
        <w:t>Health conditions of children</w:t>
      </w:r>
      <w:r>
        <w:rPr>
          <w:noProof/>
        </w:rPr>
        <w:tab/>
      </w:r>
      <w:r>
        <w:rPr>
          <w:noProof/>
        </w:rPr>
        <w:fldChar w:fldCharType="begin"/>
      </w:r>
      <w:r>
        <w:rPr>
          <w:noProof/>
        </w:rPr>
        <w:instrText xml:space="preserve"> PAGEREF _Toc467831539 \h </w:instrText>
      </w:r>
      <w:r>
        <w:rPr>
          <w:noProof/>
        </w:rPr>
      </w:r>
      <w:r>
        <w:rPr>
          <w:noProof/>
        </w:rPr>
        <w:fldChar w:fldCharType="separate"/>
      </w:r>
      <w:r w:rsidR="003D5B32">
        <w:rPr>
          <w:noProof/>
        </w:rPr>
        <w:t>58</w:t>
      </w:r>
      <w:r>
        <w:rPr>
          <w:noProof/>
        </w:rPr>
        <w:fldChar w:fldCharType="end"/>
      </w:r>
    </w:p>
    <w:p w14:paraId="5640CC5F" w14:textId="77777777" w:rsidR="00C2252C" w:rsidRDefault="00C2252C">
      <w:pPr>
        <w:pStyle w:val="TOC2"/>
        <w:rPr>
          <w:rFonts w:asciiTheme="minorHAnsi" w:eastAsiaTheme="minorEastAsia" w:hAnsiTheme="minorHAnsi" w:cstheme="minorBidi"/>
          <w:noProof/>
          <w:szCs w:val="22"/>
          <w:lang w:eastAsia="en-NZ"/>
        </w:rPr>
      </w:pPr>
      <w:r>
        <w:rPr>
          <w:noProof/>
        </w:rPr>
        <w:t>Children’s access to health care</w:t>
      </w:r>
      <w:r>
        <w:rPr>
          <w:noProof/>
        </w:rPr>
        <w:tab/>
      </w:r>
      <w:r>
        <w:rPr>
          <w:noProof/>
        </w:rPr>
        <w:fldChar w:fldCharType="begin"/>
      </w:r>
      <w:r>
        <w:rPr>
          <w:noProof/>
        </w:rPr>
        <w:instrText xml:space="preserve"> PAGEREF _Toc467831540 \h </w:instrText>
      </w:r>
      <w:r>
        <w:rPr>
          <w:noProof/>
        </w:rPr>
      </w:r>
      <w:r>
        <w:rPr>
          <w:noProof/>
        </w:rPr>
        <w:fldChar w:fldCharType="separate"/>
      </w:r>
      <w:r w:rsidR="003D5B32">
        <w:rPr>
          <w:noProof/>
        </w:rPr>
        <w:t>60</w:t>
      </w:r>
      <w:r>
        <w:rPr>
          <w:noProof/>
        </w:rPr>
        <w:fldChar w:fldCharType="end"/>
      </w:r>
    </w:p>
    <w:p w14:paraId="0EED31D4" w14:textId="77777777" w:rsidR="00C2252C" w:rsidRDefault="00C2252C">
      <w:pPr>
        <w:pStyle w:val="TOC2"/>
        <w:rPr>
          <w:rFonts w:asciiTheme="minorHAnsi" w:eastAsiaTheme="minorEastAsia" w:hAnsiTheme="minorHAnsi" w:cstheme="minorBidi"/>
          <w:noProof/>
          <w:szCs w:val="22"/>
          <w:lang w:eastAsia="en-NZ"/>
        </w:rPr>
      </w:pPr>
      <w:r>
        <w:rPr>
          <w:noProof/>
        </w:rPr>
        <w:t>Oral health of children</w:t>
      </w:r>
      <w:r>
        <w:rPr>
          <w:noProof/>
        </w:rPr>
        <w:tab/>
      </w:r>
      <w:r>
        <w:rPr>
          <w:noProof/>
        </w:rPr>
        <w:fldChar w:fldCharType="begin"/>
      </w:r>
      <w:r>
        <w:rPr>
          <w:noProof/>
        </w:rPr>
        <w:instrText xml:space="preserve"> PAGEREF _Toc467831541 \h </w:instrText>
      </w:r>
      <w:r>
        <w:rPr>
          <w:noProof/>
        </w:rPr>
      </w:r>
      <w:r>
        <w:rPr>
          <w:noProof/>
        </w:rPr>
        <w:fldChar w:fldCharType="separate"/>
      </w:r>
      <w:r w:rsidR="003D5B32">
        <w:rPr>
          <w:noProof/>
        </w:rPr>
        <w:t>69</w:t>
      </w:r>
      <w:r>
        <w:rPr>
          <w:noProof/>
        </w:rPr>
        <w:fldChar w:fldCharType="end"/>
      </w:r>
    </w:p>
    <w:p w14:paraId="3C9D5946" w14:textId="77777777" w:rsidR="00C2252C" w:rsidRDefault="00C2252C">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_Toc467831542 \h </w:instrText>
      </w:r>
      <w:r>
        <w:rPr>
          <w:noProof/>
        </w:rPr>
      </w:r>
      <w:r>
        <w:rPr>
          <w:noProof/>
        </w:rPr>
        <w:fldChar w:fldCharType="separate"/>
      </w:r>
      <w:r w:rsidR="003D5B32">
        <w:rPr>
          <w:noProof/>
        </w:rPr>
        <w:t>72</w:t>
      </w:r>
      <w:r>
        <w:rPr>
          <w:noProof/>
        </w:rPr>
        <w:fldChar w:fldCharType="end"/>
      </w:r>
    </w:p>
    <w:p w14:paraId="7B76A24D" w14:textId="77777777" w:rsidR="00C2252C" w:rsidRDefault="00C2252C">
      <w:pPr>
        <w:pStyle w:val="TOC1"/>
        <w:rPr>
          <w:rFonts w:asciiTheme="minorHAnsi" w:eastAsiaTheme="minorEastAsia" w:hAnsiTheme="minorHAnsi" w:cstheme="minorBidi"/>
          <w:b w:val="0"/>
          <w:noProof/>
          <w:szCs w:val="22"/>
          <w:lang w:eastAsia="en-NZ"/>
        </w:rPr>
      </w:pPr>
      <w:r>
        <w:rPr>
          <w:noProof/>
        </w:rPr>
        <w:t>Appendix 1: Definitions and statistical methods</w:t>
      </w:r>
      <w:r>
        <w:rPr>
          <w:noProof/>
        </w:rPr>
        <w:tab/>
      </w:r>
      <w:r>
        <w:rPr>
          <w:noProof/>
        </w:rPr>
        <w:fldChar w:fldCharType="begin"/>
      </w:r>
      <w:r>
        <w:rPr>
          <w:noProof/>
        </w:rPr>
        <w:instrText xml:space="preserve"> PAGEREF _Toc467831543 \h </w:instrText>
      </w:r>
      <w:r>
        <w:rPr>
          <w:noProof/>
        </w:rPr>
      </w:r>
      <w:r>
        <w:rPr>
          <w:noProof/>
        </w:rPr>
        <w:fldChar w:fldCharType="separate"/>
      </w:r>
      <w:r w:rsidR="003D5B32">
        <w:rPr>
          <w:noProof/>
        </w:rPr>
        <w:t>74</w:t>
      </w:r>
      <w:r>
        <w:rPr>
          <w:noProof/>
        </w:rPr>
        <w:fldChar w:fldCharType="end"/>
      </w:r>
    </w:p>
    <w:p w14:paraId="113D55F1" w14:textId="77777777" w:rsidR="00C2252C" w:rsidRDefault="00C2252C">
      <w:pPr>
        <w:pStyle w:val="TOC2"/>
        <w:rPr>
          <w:rFonts w:asciiTheme="minorHAnsi" w:eastAsiaTheme="minorEastAsia" w:hAnsiTheme="minorHAnsi" w:cstheme="minorBidi"/>
          <w:noProof/>
          <w:szCs w:val="22"/>
          <w:lang w:eastAsia="en-NZ"/>
        </w:rPr>
      </w:pPr>
      <w:r>
        <w:rPr>
          <w:noProof/>
          <w:lang w:eastAsia="en-US"/>
        </w:rPr>
        <w:t>Total response ethnicity</w:t>
      </w:r>
      <w:r>
        <w:rPr>
          <w:noProof/>
        </w:rPr>
        <w:tab/>
      </w:r>
      <w:r>
        <w:rPr>
          <w:noProof/>
        </w:rPr>
        <w:fldChar w:fldCharType="begin"/>
      </w:r>
      <w:r>
        <w:rPr>
          <w:noProof/>
        </w:rPr>
        <w:instrText xml:space="preserve"> PAGEREF _Toc467831544 \h </w:instrText>
      </w:r>
      <w:r>
        <w:rPr>
          <w:noProof/>
        </w:rPr>
      </w:r>
      <w:r>
        <w:rPr>
          <w:noProof/>
        </w:rPr>
        <w:fldChar w:fldCharType="separate"/>
      </w:r>
      <w:r w:rsidR="003D5B32">
        <w:rPr>
          <w:noProof/>
        </w:rPr>
        <w:t>74</w:t>
      </w:r>
      <w:r>
        <w:rPr>
          <w:noProof/>
        </w:rPr>
        <w:fldChar w:fldCharType="end"/>
      </w:r>
    </w:p>
    <w:p w14:paraId="7916BCAA" w14:textId="77777777" w:rsidR="00C2252C" w:rsidRDefault="00C2252C">
      <w:pPr>
        <w:pStyle w:val="TOC2"/>
        <w:rPr>
          <w:rFonts w:asciiTheme="minorHAnsi" w:eastAsiaTheme="minorEastAsia" w:hAnsiTheme="minorHAnsi" w:cstheme="minorBidi"/>
          <w:noProof/>
          <w:szCs w:val="22"/>
          <w:lang w:eastAsia="en-NZ"/>
        </w:rPr>
      </w:pPr>
      <w:r>
        <w:rPr>
          <w:noProof/>
        </w:rPr>
        <w:t>Adjusted rate ratios</w:t>
      </w:r>
      <w:r>
        <w:rPr>
          <w:noProof/>
        </w:rPr>
        <w:tab/>
      </w:r>
      <w:r>
        <w:rPr>
          <w:noProof/>
        </w:rPr>
        <w:fldChar w:fldCharType="begin"/>
      </w:r>
      <w:r>
        <w:rPr>
          <w:noProof/>
        </w:rPr>
        <w:instrText xml:space="preserve"> PAGEREF _Toc467831545 \h </w:instrText>
      </w:r>
      <w:r>
        <w:rPr>
          <w:noProof/>
        </w:rPr>
      </w:r>
      <w:r>
        <w:rPr>
          <w:noProof/>
        </w:rPr>
        <w:fldChar w:fldCharType="separate"/>
      </w:r>
      <w:r w:rsidR="003D5B32">
        <w:rPr>
          <w:noProof/>
        </w:rPr>
        <w:t>74</w:t>
      </w:r>
      <w:r>
        <w:rPr>
          <w:noProof/>
        </w:rPr>
        <w:fldChar w:fldCharType="end"/>
      </w:r>
    </w:p>
    <w:p w14:paraId="7850B5D9" w14:textId="77777777" w:rsidR="00C2252C" w:rsidRDefault="00C2252C">
      <w:pPr>
        <w:pStyle w:val="TOC2"/>
        <w:rPr>
          <w:rFonts w:asciiTheme="minorHAnsi" w:eastAsiaTheme="minorEastAsia" w:hAnsiTheme="minorHAnsi" w:cstheme="minorBidi"/>
          <w:noProof/>
          <w:szCs w:val="22"/>
          <w:lang w:eastAsia="en-NZ"/>
        </w:rPr>
      </w:pPr>
      <w:r>
        <w:rPr>
          <w:noProof/>
        </w:rPr>
        <w:t>Neighbourhood deprivation</w:t>
      </w:r>
      <w:r>
        <w:rPr>
          <w:noProof/>
        </w:rPr>
        <w:tab/>
      </w:r>
      <w:r>
        <w:rPr>
          <w:noProof/>
        </w:rPr>
        <w:fldChar w:fldCharType="begin"/>
      </w:r>
      <w:r>
        <w:rPr>
          <w:noProof/>
        </w:rPr>
        <w:instrText xml:space="preserve"> PAGEREF _Toc467831546 \h </w:instrText>
      </w:r>
      <w:r>
        <w:rPr>
          <w:noProof/>
        </w:rPr>
      </w:r>
      <w:r>
        <w:rPr>
          <w:noProof/>
        </w:rPr>
        <w:fldChar w:fldCharType="separate"/>
      </w:r>
      <w:r w:rsidR="003D5B32">
        <w:rPr>
          <w:noProof/>
        </w:rPr>
        <w:t>75</w:t>
      </w:r>
      <w:r>
        <w:rPr>
          <w:noProof/>
        </w:rPr>
        <w:fldChar w:fldCharType="end"/>
      </w:r>
    </w:p>
    <w:p w14:paraId="4B5D3BD8" w14:textId="77777777" w:rsidR="00C2252C" w:rsidRDefault="00C2252C">
      <w:pPr>
        <w:pStyle w:val="TOC2"/>
        <w:rPr>
          <w:rFonts w:asciiTheme="minorHAnsi" w:eastAsiaTheme="minorEastAsia" w:hAnsiTheme="minorHAnsi" w:cstheme="minorBidi"/>
          <w:noProof/>
          <w:szCs w:val="22"/>
          <w:lang w:eastAsia="en-NZ"/>
        </w:rPr>
      </w:pPr>
      <w:r>
        <w:rPr>
          <w:noProof/>
        </w:rPr>
        <w:t>Results are representative of the total adult or child population</w:t>
      </w:r>
      <w:r>
        <w:rPr>
          <w:noProof/>
        </w:rPr>
        <w:tab/>
      </w:r>
      <w:r>
        <w:rPr>
          <w:noProof/>
        </w:rPr>
        <w:fldChar w:fldCharType="begin"/>
      </w:r>
      <w:r>
        <w:rPr>
          <w:noProof/>
        </w:rPr>
        <w:instrText xml:space="preserve"> PAGEREF _Toc467831547 \h </w:instrText>
      </w:r>
      <w:r>
        <w:rPr>
          <w:noProof/>
        </w:rPr>
      </w:r>
      <w:r>
        <w:rPr>
          <w:noProof/>
        </w:rPr>
        <w:fldChar w:fldCharType="separate"/>
      </w:r>
      <w:r w:rsidR="003D5B32">
        <w:rPr>
          <w:noProof/>
        </w:rPr>
        <w:t>75</w:t>
      </w:r>
      <w:r>
        <w:rPr>
          <w:noProof/>
        </w:rPr>
        <w:fldChar w:fldCharType="end"/>
      </w:r>
    </w:p>
    <w:p w14:paraId="52CDAA9B" w14:textId="77777777" w:rsidR="00C2252C" w:rsidRDefault="00C2252C">
      <w:pPr>
        <w:pStyle w:val="TOC2"/>
        <w:rPr>
          <w:rFonts w:asciiTheme="minorHAnsi" w:eastAsiaTheme="minorEastAsia" w:hAnsiTheme="minorHAnsi" w:cstheme="minorBidi"/>
          <w:noProof/>
          <w:szCs w:val="22"/>
          <w:lang w:eastAsia="en-NZ"/>
        </w:rPr>
      </w:pPr>
      <w:r>
        <w:rPr>
          <w:noProof/>
        </w:rPr>
        <w:t>Percentages refer to unadjusted values</w:t>
      </w:r>
      <w:r>
        <w:rPr>
          <w:noProof/>
        </w:rPr>
        <w:tab/>
      </w:r>
      <w:r>
        <w:rPr>
          <w:noProof/>
        </w:rPr>
        <w:fldChar w:fldCharType="begin"/>
      </w:r>
      <w:r>
        <w:rPr>
          <w:noProof/>
        </w:rPr>
        <w:instrText xml:space="preserve"> PAGEREF _Toc467831548 \h </w:instrText>
      </w:r>
      <w:r>
        <w:rPr>
          <w:noProof/>
        </w:rPr>
      </w:r>
      <w:r>
        <w:rPr>
          <w:noProof/>
        </w:rPr>
        <w:fldChar w:fldCharType="separate"/>
      </w:r>
      <w:r w:rsidR="003D5B32">
        <w:rPr>
          <w:noProof/>
        </w:rPr>
        <w:t>75</w:t>
      </w:r>
      <w:r>
        <w:rPr>
          <w:noProof/>
        </w:rPr>
        <w:fldChar w:fldCharType="end"/>
      </w:r>
    </w:p>
    <w:p w14:paraId="3716CDAE" w14:textId="77777777" w:rsidR="00C2252C" w:rsidRDefault="00C2252C">
      <w:pPr>
        <w:pStyle w:val="TOC2"/>
        <w:rPr>
          <w:rFonts w:asciiTheme="minorHAnsi" w:eastAsiaTheme="minorEastAsia" w:hAnsiTheme="minorHAnsi" w:cstheme="minorBidi"/>
          <w:noProof/>
          <w:szCs w:val="22"/>
          <w:lang w:eastAsia="en-NZ"/>
        </w:rPr>
      </w:pPr>
      <w:r>
        <w:rPr>
          <w:noProof/>
        </w:rPr>
        <w:t>Statistical significance</w:t>
      </w:r>
      <w:r>
        <w:rPr>
          <w:noProof/>
        </w:rPr>
        <w:tab/>
      </w:r>
      <w:r>
        <w:rPr>
          <w:noProof/>
        </w:rPr>
        <w:fldChar w:fldCharType="begin"/>
      </w:r>
      <w:r>
        <w:rPr>
          <w:noProof/>
        </w:rPr>
        <w:instrText xml:space="preserve"> PAGEREF _Toc467831549 \h </w:instrText>
      </w:r>
      <w:r>
        <w:rPr>
          <w:noProof/>
        </w:rPr>
      </w:r>
      <w:r>
        <w:rPr>
          <w:noProof/>
        </w:rPr>
        <w:fldChar w:fldCharType="separate"/>
      </w:r>
      <w:r w:rsidR="003D5B32">
        <w:rPr>
          <w:noProof/>
        </w:rPr>
        <w:t>75</w:t>
      </w:r>
      <w:r>
        <w:rPr>
          <w:noProof/>
        </w:rPr>
        <w:fldChar w:fldCharType="end"/>
      </w:r>
    </w:p>
    <w:p w14:paraId="00DD7018" w14:textId="77777777" w:rsidR="00C2252C" w:rsidRDefault="00C2252C">
      <w:pPr>
        <w:pStyle w:val="TOC2"/>
        <w:rPr>
          <w:rFonts w:asciiTheme="minorHAnsi" w:eastAsiaTheme="minorEastAsia" w:hAnsiTheme="minorHAnsi" w:cstheme="minorBidi"/>
          <w:noProof/>
          <w:szCs w:val="22"/>
          <w:lang w:eastAsia="en-NZ"/>
        </w:rPr>
      </w:pPr>
      <w:r>
        <w:rPr>
          <w:noProof/>
        </w:rPr>
        <w:t>Time trends</w:t>
      </w:r>
      <w:r>
        <w:rPr>
          <w:noProof/>
        </w:rPr>
        <w:tab/>
      </w:r>
      <w:r>
        <w:rPr>
          <w:noProof/>
        </w:rPr>
        <w:fldChar w:fldCharType="begin"/>
      </w:r>
      <w:r>
        <w:rPr>
          <w:noProof/>
        </w:rPr>
        <w:instrText xml:space="preserve"> PAGEREF _Toc467831550 \h </w:instrText>
      </w:r>
      <w:r>
        <w:rPr>
          <w:noProof/>
        </w:rPr>
      </w:r>
      <w:r>
        <w:rPr>
          <w:noProof/>
        </w:rPr>
        <w:fldChar w:fldCharType="separate"/>
      </w:r>
      <w:r w:rsidR="003D5B32">
        <w:rPr>
          <w:noProof/>
        </w:rPr>
        <w:t>76</w:t>
      </w:r>
      <w:r>
        <w:rPr>
          <w:noProof/>
        </w:rPr>
        <w:fldChar w:fldCharType="end"/>
      </w:r>
    </w:p>
    <w:p w14:paraId="4A220111" w14:textId="77777777" w:rsidR="00C2252C" w:rsidRDefault="00C2252C">
      <w:pPr>
        <w:pStyle w:val="TOC2"/>
        <w:rPr>
          <w:rFonts w:asciiTheme="minorHAnsi" w:eastAsiaTheme="minorEastAsia" w:hAnsiTheme="minorHAnsi" w:cstheme="minorBidi"/>
          <w:noProof/>
          <w:szCs w:val="22"/>
          <w:lang w:eastAsia="en-NZ"/>
        </w:rPr>
      </w:pPr>
      <w:r>
        <w:rPr>
          <w:noProof/>
        </w:rPr>
        <w:t>Linear regression</w:t>
      </w:r>
      <w:r>
        <w:rPr>
          <w:noProof/>
        </w:rPr>
        <w:tab/>
      </w:r>
      <w:r>
        <w:rPr>
          <w:noProof/>
        </w:rPr>
        <w:fldChar w:fldCharType="begin"/>
      </w:r>
      <w:r>
        <w:rPr>
          <w:noProof/>
        </w:rPr>
        <w:instrText xml:space="preserve"> PAGEREF _Toc467831551 \h </w:instrText>
      </w:r>
      <w:r>
        <w:rPr>
          <w:noProof/>
        </w:rPr>
      </w:r>
      <w:r>
        <w:rPr>
          <w:noProof/>
        </w:rPr>
        <w:fldChar w:fldCharType="separate"/>
      </w:r>
      <w:r w:rsidR="003D5B32">
        <w:rPr>
          <w:noProof/>
        </w:rPr>
        <w:t>76</w:t>
      </w:r>
      <w:r>
        <w:rPr>
          <w:noProof/>
        </w:rPr>
        <w:fldChar w:fldCharType="end"/>
      </w:r>
    </w:p>
    <w:p w14:paraId="158FB36F" w14:textId="77777777" w:rsidR="00C2252C" w:rsidRDefault="00C2252C">
      <w:pPr>
        <w:pStyle w:val="TOC2"/>
        <w:rPr>
          <w:rFonts w:asciiTheme="minorHAnsi" w:eastAsiaTheme="minorEastAsia" w:hAnsiTheme="minorHAnsi" w:cstheme="minorBidi"/>
          <w:noProof/>
          <w:szCs w:val="22"/>
          <w:lang w:eastAsia="en-NZ"/>
        </w:rPr>
      </w:pPr>
      <w:r>
        <w:rPr>
          <w:noProof/>
        </w:rPr>
        <w:t>Absolute and relative differences</w:t>
      </w:r>
      <w:r>
        <w:rPr>
          <w:noProof/>
        </w:rPr>
        <w:tab/>
      </w:r>
      <w:r>
        <w:rPr>
          <w:noProof/>
        </w:rPr>
        <w:fldChar w:fldCharType="begin"/>
      </w:r>
      <w:r>
        <w:rPr>
          <w:noProof/>
        </w:rPr>
        <w:instrText xml:space="preserve"> PAGEREF _Toc467831552 \h </w:instrText>
      </w:r>
      <w:r>
        <w:rPr>
          <w:noProof/>
        </w:rPr>
      </w:r>
      <w:r>
        <w:rPr>
          <w:noProof/>
        </w:rPr>
        <w:fldChar w:fldCharType="separate"/>
      </w:r>
      <w:r w:rsidR="003D5B32">
        <w:rPr>
          <w:noProof/>
        </w:rPr>
        <w:t>76</w:t>
      </w:r>
      <w:r>
        <w:rPr>
          <w:noProof/>
        </w:rPr>
        <w:fldChar w:fldCharType="end"/>
      </w:r>
    </w:p>
    <w:p w14:paraId="44E3687D" w14:textId="77777777" w:rsidR="00C2252C" w:rsidRDefault="00C2252C">
      <w:pPr>
        <w:pStyle w:val="TOC2"/>
        <w:rPr>
          <w:rFonts w:asciiTheme="minorHAnsi" w:eastAsiaTheme="minorEastAsia" w:hAnsiTheme="minorHAnsi" w:cstheme="minorBidi"/>
          <w:noProof/>
          <w:szCs w:val="22"/>
          <w:lang w:eastAsia="en-NZ"/>
        </w:rPr>
      </w:pPr>
      <w:r>
        <w:rPr>
          <w:noProof/>
        </w:rPr>
        <w:t>Survey results show associations rather than cause-and-effect relationships</w:t>
      </w:r>
      <w:r>
        <w:rPr>
          <w:noProof/>
        </w:rPr>
        <w:tab/>
      </w:r>
      <w:r>
        <w:rPr>
          <w:noProof/>
        </w:rPr>
        <w:fldChar w:fldCharType="begin"/>
      </w:r>
      <w:r>
        <w:rPr>
          <w:noProof/>
        </w:rPr>
        <w:instrText xml:space="preserve"> PAGEREF _Toc467831553 \h </w:instrText>
      </w:r>
      <w:r>
        <w:rPr>
          <w:noProof/>
        </w:rPr>
      </w:r>
      <w:r>
        <w:rPr>
          <w:noProof/>
        </w:rPr>
        <w:fldChar w:fldCharType="separate"/>
      </w:r>
      <w:r w:rsidR="003D5B32">
        <w:rPr>
          <w:noProof/>
        </w:rPr>
        <w:t>76</w:t>
      </w:r>
      <w:r>
        <w:rPr>
          <w:noProof/>
        </w:rPr>
        <w:fldChar w:fldCharType="end"/>
      </w:r>
    </w:p>
    <w:p w14:paraId="632C61F8" w14:textId="77777777" w:rsidR="00C2252C" w:rsidRDefault="00C2252C">
      <w:pPr>
        <w:pStyle w:val="TOC2"/>
        <w:rPr>
          <w:rFonts w:asciiTheme="minorHAnsi" w:eastAsiaTheme="minorEastAsia" w:hAnsiTheme="minorHAnsi" w:cstheme="minorBidi"/>
          <w:noProof/>
          <w:szCs w:val="22"/>
          <w:lang w:eastAsia="en-NZ"/>
        </w:rPr>
      </w:pPr>
      <w:r>
        <w:rPr>
          <w:noProof/>
        </w:rPr>
        <w:t>Reliability of survey results</w:t>
      </w:r>
      <w:r>
        <w:rPr>
          <w:noProof/>
        </w:rPr>
        <w:tab/>
      </w:r>
      <w:r>
        <w:rPr>
          <w:noProof/>
        </w:rPr>
        <w:fldChar w:fldCharType="begin"/>
      </w:r>
      <w:r>
        <w:rPr>
          <w:noProof/>
        </w:rPr>
        <w:instrText xml:space="preserve"> PAGEREF _Toc467831554 \h </w:instrText>
      </w:r>
      <w:r>
        <w:rPr>
          <w:noProof/>
        </w:rPr>
      </w:r>
      <w:r>
        <w:rPr>
          <w:noProof/>
        </w:rPr>
        <w:fldChar w:fldCharType="separate"/>
      </w:r>
      <w:r w:rsidR="003D5B32">
        <w:rPr>
          <w:noProof/>
        </w:rPr>
        <w:t>76</w:t>
      </w:r>
      <w:r>
        <w:rPr>
          <w:noProof/>
        </w:rPr>
        <w:fldChar w:fldCharType="end"/>
      </w:r>
    </w:p>
    <w:p w14:paraId="38B749C6" w14:textId="77777777" w:rsidR="00C86248" w:rsidRDefault="00C86248">
      <w:r>
        <w:rPr>
          <w:b/>
        </w:rPr>
        <w:fldChar w:fldCharType="end"/>
      </w:r>
    </w:p>
    <w:p w14:paraId="6A96133C" w14:textId="77777777" w:rsidR="00C86248" w:rsidRDefault="00C86248" w:rsidP="003B1D10">
      <w:pPr>
        <w:pStyle w:val="TOC1"/>
        <w:keepNext/>
      </w:pPr>
      <w:r>
        <w:lastRenderedPageBreak/>
        <w:t>List of Tables</w:t>
      </w:r>
    </w:p>
    <w:p w14:paraId="1A6CCAA1" w14:textId="77777777" w:rsidR="00C2252C" w:rsidRDefault="00C86248" w:rsidP="00C2252C">
      <w:pPr>
        <w:pStyle w:val="TOC3"/>
        <w:keepNext/>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C2252C">
        <w:rPr>
          <w:noProof/>
          <w:lang w:eastAsia="en-NZ"/>
        </w:rPr>
        <w:t>Table 1:</w:t>
      </w:r>
      <w:r w:rsidR="00C2252C">
        <w:rPr>
          <w:noProof/>
          <w:lang w:eastAsia="en-NZ"/>
        </w:rPr>
        <w:tab/>
        <w:t>Sample sizes for children and adults, by ethnic group, New Zealand Health Survey 2015/16</w:t>
      </w:r>
      <w:r w:rsidR="00C2252C">
        <w:rPr>
          <w:noProof/>
        </w:rPr>
        <w:tab/>
      </w:r>
      <w:r w:rsidR="00C2252C">
        <w:rPr>
          <w:noProof/>
        </w:rPr>
        <w:fldChar w:fldCharType="begin"/>
      </w:r>
      <w:r w:rsidR="00C2252C">
        <w:rPr>
          <w:noProof/>
        </w:rPr>
        <w:instrText xml:space="preserve"> PAGEREF _Toc467831555 \h </w:instrText>
      </w:r>
      <w:r w:rsidR="00C2252C">
        <w:rPr>
          <w:noProof/>
        </w:rPr>
      </w:r>
      <w:r w:rsidR="00C2252C">
        <w:rPr>
          <w:noProof/>
        </w:rPr>
        <w:fldChar w:fldCharType="separate"/>
      </w:r>
      <w:r w:rsidR="003D5B32">
        <w:rPr>
          <w:noProof/>
        </w:rPr>
        <w:t>2</w:t>
      </w:r>
      <w:r w:rsidR="00C2252C">
        <w:rPr>
          <w:noProof/>
        </w:rPr>
        <w:fldChar w:fldCharType="end"/>
      </w:r>
    </w:p>
    <w:p w14:paraId="5AA63031" w14:textId="77777777" w:rsidR="00C2252C" w:rsidRDefault="00C2252C">
      <w:pPr>
        <w:pStyle w:val="TOC3"/>
        <w:rPr>
          <w:rFonts w:asciiTheme="minorHAnsi" w:eastAsiaTheme="minorEastAsia" w:hAnsiTheme="minorHAnsi" w:cstheme="minorBidi"/>
          <w:noProof/>
          <w:szCs w:val="22"/>
          <w:lang w:eastAsia="en-NZ"/>
        </w:rPr>
      </w:pPr>
      <w:r>
        <w:rPr>
          <w:noProof/>
          <w:lang w:eastAsia="en-NZ"/>
        </w:rPr>
        <w:t>Table 2:</w:t>
      </w:r>
      <w:r>
        <w:rPr>
          <w:noProof/>
          <w:lang w:eastAsia="en-NZ"/>
        </w:rPr>
        <w:tab/>
        <w:t>Annual indicators from the survey</w:t>
      </w:r>
      <w:r>
        <w:rPr>
          <w:noProof/>
        </w:rPr>
        <w:tab/>
      </w:r>
      <w:r>
        <w:rPr>
          <w:noProof/>
        </w:rPr>
        <w:fldChar w:fldCharType="begin"/>
      </w:r>
      <w:r>
        <w:rPr>
          <w:noProof/>
        </w:rPr>
        <w:instrText xml:space="preserve"> PAGEREF _Toc467831556 \h </w:instrText>
      </w:r>
      <w:r>
        <w:rPr>
          <w:noProof/>
        </w:rPr>
      </w:r>
      <w:r>
        <w:rPr>
          <w:noProof/>
        </w:rPr>
        <w:fldChar w:fldCharType="separate"/>
      </w:r>
      <w:r w:rsidR="003D5B32">
        <w:rPr>
          <w:noProof/>
        </w:rPr>
        <w:t>3</w:t>
      </w:r>
      <w:r>
        <w:rPr>
          <w:noProof/>
        </w:rPr>
        <w:fldChar w:fldCharType="end"/>
      </w:r>
    </w:p>
    <w:p w14:paraId="3493C05D" w14:textId="77777777" w:rsidR="00C2252C" w:rsidRDefault="00C2252C">
      <w:pPr>
        <w:pStyle w:val="TOC3"/>
        <w:rPr>
          <w:rFonts w:asciiTheme="minorHAnsi" w:eastAsiaTheme="minorEastAsia" w:hAnsiTheme="minorHAnsi" w:cstheme="minorBidi"/>
          <w:noProof/>
          <w:szCs w:val="22"/>
          <w:lang w:eastAsia="en-NZ"/>
        </w:rPr>
      </w:pPr>
      <w:r>
        <w:rPr>
          <w:noProof/>
          <w:lang w:eastAsia="en-NZ"/>
        </w:rPr>
        <w:t>Table 3:</w:t>
      </w:r>
      <w:r>
        <w:rPr>
          <w:noProof/>
          <w:lang w:eastAsia="en-NZ"/>
        </w:rPr>
        <w:tab/>
        <w:t>Key survey results for adults (15 years and over)</w:t>
      </w:r>
      <w:r>
        <w:rPr>
          <w:noProof/>
        </w:rPr>
        <w:tab/>
      </w:r>
      <w:r>
        <w:rPr>
          <w:noProof/>
        </w:rPr>
        <w:fldChar w:fldCharType="begin"/>
      </w:r>
      <w:r>
        <w:rPr>
          <w:noProof/>
        </w:rPr>
        <w:instrText xml:space="preserve"> PAGEREF _Toc467831557 \h </w:instrText>
      </w:r>
      <w:r>
        <w:rPr>
          <w:noProof/>
        </w:rPr>
      </w:r>
      <w:r>
        <w:rPr>
          <w:noProof/>
        </w:rPr>
        <w:fldChar w:fldCharType="separate"/>
      </w:r>
      <w:r w:rsidR="003D5B32">
        <w:rPr>
          <w:noProof/>
        </w:rPr>
        <w:t>9</w:t>
      </w:r>
      <w:r>
        <w:rPr>
          <w:noProof/>
        </w:rPr>
        <w:fldChar w:fldCharType="end"/>
      </w:r>
    </w:p>
    <w:p w14:paraId="23476D3A" w14:textId="77777777" w:rsidR="00C2252C" w:rsidRDefault="00C2252C">
      <w:pPr>
        <w:pStyle w:val="TOC3"/>
        <w:rPr>
          <w:rFonts w:asciiTheme="minorHAnsi" w:eastAsiaTheme="minorEastAsia" w:hAnsiTheme="minorHAnsi" w:cstheme="minorBidi"/>
          <w:noProof/>
          <w:szCs w:val="22"/>
          <w:lang w:eastAsia="en-NZ"/>
        </w:rPr>
      </w:pPr>
      <w:r>
        <w:rPr>
          <w:noProof/>
        </w:rPr>
        <w:t>Table 4:</w:t>
      </w:r>
      <w:r>
        <w:rPr>
          <w:noProof/>
        </w:rPr>
        <w:tab/>
        <w:t>Key survey results for Māori adults</w:t>
      </w:r>
      <w:r>
        <w:rPr>
          <w:noProof/>
        </w:rPr>
        <w:tab/>
      </w:r>
      <w:r>
        <w:rPr>
          <w:noProof/>
        </w:rPr>
        <w:fldChar w:fldCharType="begin"/>
      </w:r>
      <w:r>
        <w:rPr>
          <w:noProof/>
        </w:rPr>
        <w:instrText xml:space="preserve"> PAGEREF _Toc467831558 \h </w:instrText>
      </w:r>
      <w:r>
        <w:rPr>
          <w:noProof/>
        </w:rPr>
      </w:r>
      <w:r>
        <w:rPr>
          <w:noProof/>
        </w:rPr>
        <w:fldChar w:fldCharType="separate"/>
      </w:r>
      <w:r w:rsidR="003D5B32">
        <w:rPr>
          <w:noProof/>
        </w:rPr>
        <w:t>10</w:t>
      </w:r>
      <w:r>
        <w:rPr>
          <w:noProof/>
        </w:rPr>
        <w:fldChar w:fldCharType="end"/>
      </w:r>
    </w:p>
    <w:p w14:paraId="063621D1" w14:textId="77777777" w:rsidR="00C2252C" w:rsidRDefault="00C2252C">
      <w:pPr>
        <w:pStyle w:val="TOC3"/>
        <w:rPr>
          <w:rFonts w:asciiTheme="minorHAnsi" w:eastAsiaTheme="minorEastAsia" w:hAnsiTheme="minorHAnsi" w:cstheme="minorBidi"/>
          <w:noProof/>
          <w:szCs w:val="22"/>
          <w:lang w:eastAsia="en-NZ"/>
        </w:rPr>
      </w:pPr>
      <w:r>
        <w:rPr>
          <w:noProof/>
        </w:rPr>
        <w:t>Table 5:</w:t>
      </w:r>
      <w:r>
        <w:rPr>
          <w:noProof/>
        </w:rPr>
        <w:tab/>
        <w:t>Key survey results for Pacific adults</w:t>
      </w:r>
      <w:r>
        <w:rPr>
          <w:noProof/>
        </w:rPr>
        <w:tab/>
      </w:r>
      <w:r>
        <w:rPr>
          <w:noProof/>
        </w:rPr>
        <w:fldChar w:fldCharType="begin"/>
      </w:r>
      <w:r>
        <w:rPr>
          <w:noProof/>
        </w:rPr>
        <w:instrText xml:space="preserve"> PAGEREF _Toc467831559 \h </w:instrText>
      </w:r>
      <w:r>
        <w:rPr>
          <w:noProof/>
        </w:rPr>
      </w:r>
      <w:r>
        <w:rPr>
          <w:noProof/>
        </w:rPr>
        <w:fldChar w:fldCharType="separate"/>
      </w:r>
      <w:r w:rsidR="003D5B32">
        <w:rPr>
          <w:noProof/>
        </w:rPr>
        <w:t>11</w:t>
      </w:r>
      <w:r>
        <w:rPr>
          <w:noProof/>
        </w:rPr>
        <w:fldChar w:fldCharType="end"/>
      </w:r>
    </w:p>
    <w:p w14:paraId="65BBF6EF" w14:textId="77777777" w:rsidR="00C2252C" w:rsidRDefault="00C2252C">
      <w:pPr>
        <w:pStyle w:val="TOC3"/>
        <w:rPr>
          <w:rFonts w:asciiTheme="minorHAnsi" w:eastAsiaTheme="minorEastAsia" w:hAnsiTheme="minorHAnsi" w:cstheme="minorBidi"/>
          <w:noProof/>
          <w:szCs w:val="22"/>
          <w:lang w:eastAsia="en-NZ"/>
        </w:rPr>
      </w:pPr>
      <w:r>
        <w:rPr>
          <w:noProof/>
          <w:lang w:eastAsia="en-NZ"/>
        </w:rPr>
        <w:t>Table 6:</w:t>
      </w:r>
      <w:r>
        <w:rPr>
          <w:noProof/>
          <w:lang w:eastAsia="en-NZ"/>
        </w:rPr>
        <w:tab/>
        <w:t>Change in daily smoking prevalence, linear regressions, 2006/07–2015/16</w:t>
      </w:r>
      <w:r>
        <w:rPr>
          <w:noProof/>
        </w:rPr>
        <w:tab/>
      </w:r>
      <w:r>
        <w:rPr>
          <w:noProof/>
        </w:rPr>
        <w:fldChar w:fldCharType="begin"/>
      </w:r>
      <w:r>
        <w:rPr>
          <w:noProof/>
        </w:rPr>
        <w:instrText xml:space="preserve"> PAGEREF _Toc467831560 \h </w:instrText>
      </w:r>
      <w:r>
        <w:rPr>
          <w:noProof/>
        </w:rPr>
      </w:r>
      <w:r>
        <w:rPr>
          <w:noProof/>
        </w:rPr>
        <w:fldChar w:fldCharType="separate"/>
      </w:r>
      <w:r w:rsidR="003D5B32">
        <w:rPr>
          <w:noProof/>
        </w:rPr>
        <w:t>16</w:t>
      </w:r>
      <w:r>
        <w:rPr>
          <w:noProof/>
        </w:rPr>
        <w:fldChar w:fldCharType="end"/>
      </w:r>
    </w:p>
    <w:p w14:paraId="76FD2EE0" w14:textId="77777777" w:rsidR="00C2252C" w:rsidRDefault="00C2252C">
      <w:pPr>
        <w:pStyle w:val="TOC3"/>
        <w:rPr>
          <w:rFonts w:asciiTheme="minorHAnsi" w:eastAsiaTheme="minorEastAsia" w:hAnsiTheme="minorHAnsi" w:cstheme="minorBidi"/>
          <w:noProof/>
          <w:szCs w:val="22"/>
          <w:lang w:eastAsia="en-NZ"/>
        </w:rPr>
      </w:pPr>
      <w:r>
        <w:rPr>
          <w:noProof/>
          <w:lang w:eastAsia="en-NZ"/>
        </w:rPr>
        <w:t>Table 7:</w:t>
      </w:r>
      <w:r>
        <w:rPr>
          <w:noProof/>
          <w:lang w:eastAsia="en-NZ"/>
        </w:rPr>
        <w:tab/>
        <w:t>Key survey results for children (aged 0–14 years, unless stated below)</w:t>
      </w:r>
      <w:r>
        <w:rPr>
          <w:noProof/>
        </w:rPr>
        <w:tab/>
      </w:r>
      <w:r>
        <w:rPr>
          <w:noProof/>
        </w:rPr>
        <w:fldChar w:fldCharType="begin"/>
      </w:r>
      <w:r>
        <w:rPr>
          <w:noProof/>
        </w:rPr>
        <w:instrText xml:space="preserve"> PAGEREF _Toc467831561 \h </w:instrText>
      </w:r>
      <w:r>
        <w:rPr>
          <w:noProof/>
        </w:rPr>
      </w:r>
      <w:r>
        <w:rPr>
          <w:noProof/>
        </w:rPr>
        <w:fldChar w:fldCharType="separate"/>
      </w:r>
      <w:r w:rsidR="003D5B32">
        <w:rPr>
          <w:noProof/>
        </w:rPr>
        <w:t>49</w:t>
      </w:r>
      <w:r>
        <w:rPr>
          <w:noProof/>
        </w:rPr>
        <w:fldChar w:fldCharType="end"/>
      </w:r>
    </w:p>
    <w:p w14:paraId="69FC3179" w14:textId="77777777" w:rsidR="00C2252C" w:rsidRDefault="00C2252C">
      <w:pPr>
        <w:pStyle w:val="TOC3"/>
        <w:rPr>
          <w:rFonts w:asciiTheme="minorHAnsi" w:eastAsiaTheme="minorEastAsia" w:hAnsiTheme="minorHAnsi" w:cstheme="minorBidi"/>
          <w:noProof/>
          <w:szCs w:val="22"/>
          <w:lang w:eastAsia="en-NZ"/>
        </w:rPr>
      </w:pPr>
      <w:r>
        <w:rPr>
          <w:noProof/>
          <w:lang w:eastAsia="en-NZ"/>
        </w:rPr>
        <w:t>Table 8:</w:t>
      </w:r>
      <w:r>
        <w:rPr>
          <w:noProof/>
          <w:lang w:eastAsia="en-NZ"/>
        </w:rPr>
        <w:tab/>
        <w:t>Key survey results for Māori children (aged 0–14 years, unless stated below)</w:t>
      </w:r>
      <w:r>
        <w:rPr>
          <w:noProof/>
        </w:rPr>
        <w:tab/>
      </w:r>
      <w:r>
        <w:rPr>
          <w:noProof/>
        </w:rPr>
        <w:fldChar w:fldCharType="begin"/>
      </w:r>
      <w:r>
        <w:rPr>
          <w:noProof/>
        </w:rPr>
        <w:instrText xml:space="preserve"> PAGEREF _Toc467831562 \h </w:instrText>
      </w:r>
      <w:r>
        <w:rPr>
          <w:noProof/>
        </w:rPr>
      </w:r>
      <w:r>
        <w:rPr>
          <w:noProof/>
        </w:rPr>
        <w:fldChar w:fldCharType="separate"/>
      </w:r>
      <w:r w:rsidR="003D5B32">
        <w:rPr>
          <w:noProof/>
        </w:rPr>
        <w:t>50</w:t>
      </w:r>
      <w:r>
        <w:rPr>
          <w:noProof/>
        </w:rPr>
        <w:fldChar w:fldCharType="end"/>
      </w:r>
    </w:p>
    <w:p w14:paraId="0B02D098" w14:textId="77777777" w:rsidR="00C2252C" w:rsidRDefault="00C2252C">
      <w:pPr>
        <w:pStyle w:val="TOC3"/>
        <w:rPr>
          <w:rFonts w:asciiTheme="minorHAnsi" w:eastAsiaTheme="minorEastAsia" w:hAnsiTheme="minorHAnsi" w:cstheme="minorBidi"/>
          <w:noProof/>
          <w:szCs w:val="22"/>
          <w:lang w:eastAsia="en-NZ"/>
        </w:rPr>
      </w:pPr>
      <w:r>
        <w:rPr>
          <w:noProof/>
          <w:lang w:eastAsia="en-NZ"/>
        </w:rPr>
        <w:t>Table 9:</w:t>
      </w:r>
      <w:r>
        <w:rPr>
          <w:noProof/>
          <w:lang w:eastAsia="en-NZ"/>
        </w:rPr>
        <w:tab/>
        <w:t>Key survey results for Pacific children (aged 0–14 years, unless stated below)</w:t>
      </w:r>
      <w:r>
        <w:rPr>
          <w:noProof/>
        </w:rPr>
        <w:tab/>
      </w:r>
      <w:r>
        <w:rPr>
          <w:noProof/>
        </w:rPr>
        <w:fldChar w:fldCharType="begin"/>
      </w:r>
      <w:r>
        <w:rPr>
          <w:noProof/>
        </w:rPr>
        <w:instrText xml:space="preserve"> PAGEREF _Toc467831563 \h </w:instrText>
      </w:r>
      <w:r>
        <w:rPr>
          <w:noProof/>
        </w:rPr>
      </w:r>
      <w:r>
        <w:rPr>
          <w:noProof/>
        </w:rPr>
        <w:fldChar w:fldCharType="separate"/>
      </w:r>
      <w:r w:rsidR="003D5B32">
        <w:rPr>
          <w:noProof/>
        </w:rPr>
        <w:t>51</w:t>
      </w:r>
      <w:r>
        <w:rPr>
          <w:noProof/>
        </w:rPr>
        <w:fldChar w:fldCharType="end"/>
      </w:r>
    </w:p>
    <w:p w14:paraId="0608FE56" w14:textId="77777777" w:rsidR="00C86248" w:rsidRDefault="00C86248" w:rsidP="0030382F">
      <w:r>
        <w:fldChar w:fldCharType="end"/>
      </w:r>
    </w:p>
    <w:p w14:paraId="2211D5AD" w14:textId="77777777" w:rsidR="003A5FEA" w:rsidRDefault="003A5FEA" w:rsidP="008B07B9">
      <w:pPr>
        <w:pStyle w:val="TOC1"/>
        <w:keepNext/>
      </w:pPr>
      <w:r>
        <w:t>List of Figures</w:t>
      </w:r>
    </w:p>
    <w:p w14:paraId="213F1CAD" w14:textId="77777777" w:rsidR="00C2252C"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C2252C">
        <w:rPr>
          <w:noProof/>
        </w:rPr>
        <w:t>Figure 1:</w:t>
      </w:r>
      <w:r w:rsidR="00C2252C">
        <w:rPr>
          <w:noProof/>
        </w:rPr>
        <w:tab/>
        <w:t>Daily smoking prevalence, 2006/07–2015/16</w:t>
      </w:r>
      <w:r w:rsidR="00C2252C">
        <w:rPr>
          <w:noProof/>
        </w:rPr>
        <w:tab/>
      </w:r>
      <w:r w:rsidR="00C2252C">
        <w:rPr>
          <w:noProof/>
        </w:rPr>
        <w:fldChar w:fldCharType="begin"/>
      </w:r>
      <w:r w:rsidR="00C2252C">
        <w:rPr>
          <w:noProof/>
        </w:rPr>
        <w:instrText xml:space="preserve"> PAGEREF _Toc467831564 \h </w:instrText>
      </w:r>
      <w:r w:rsidR="00C2252C">
        <w:rPr>
          <w:noProof/>
        </w:rPr>
      </w:r>
      <w:r w:rsidR="00C2252C">
        <w:rPr>
          <w:noProof/>
        </w:rPr>
        <w:fldChar w:fldCharType="separate"/>
      </w:r>
      <w:r w:rsidR="003D5B32">
        <w:rPr>
          <w:noProof/>
        </w:rPr>
        <w:t>15</w:t>
      </w:r>
      <w:r w:rsidR="00C2252C">
        <w:rPr>
          <w:noProof/>
        </w:rPr>
        <w:fldChar w:fldCharType="end"/>
      </w:r>
    </w:p>
    <w:p w14:paraId="0D3BCFA0" w14:textId="77777777" w:rsidR="00C2252C" w:rsidRDefault="00C2252C">
      <w:pPr>
        <w:pStyle w:val="TOC3"/>
        <w:rPr>
          <w:rFonts w:asciiTheme="minorHAnsi" w:eastAsiaTheme="minorEastAsia" w:hAnsiTheme="minorHAnsi" w:cstheme="minorBidi"/>
          <w:noProof/>
          <w:szCs w:val="22"/>
          <w:lang w:eastAsia="en-NZ"/>
        </w:rPr>
      </w:pPr>
      <w:r>
        <w:rPr>
          <w:noProof/>
        </w:rPr>
        <w:t>Figure 2:</w:t>
      </w:r>
      <w:r>
        <w:rPr>
          <w:noProof/>
        </w:rPr>
        <w:tab/>
        <w:t>The picture showcard used in the 2015/16 survey, showing the number of standard drinks in commonly consumed alcoholic drinks</w:t>
      </w:r>
      <w:r>
        <w:rPr>
          <w:noProof/>
        </w:rPr>
        <w:tab/>
      </w:r>
      <w:r>
        <w:rPr>
          <w:noProof/>
        </w:rPr>
        <w:fldChar w:fldCharType="begin"/>
      </w:r>
      <w:r>
        <w:rPr>
          <w:noProof/>
        </w:rPr>
        <w:instrText xml:space="preserve"> PAGEREF _Toc467831565 \h </w:instrText>
      </w:r>
      <w:r>
        <w:rPr>
          <w:noProof/>
        </w:rPr>
      </w:r>
      <w:r>
        <w:rPr>
          <w:noProof/>
        </w:rPr>
        <w:fldChar w:fldCharType="separate"/>
      </w:r>
      <w:r w:rsidR="003D5B32">
        <w:rPr>
          <w:noProof/>
        </w:rPr>
        <w:t>19</w:t>
      </w:r>
      <w:r>
        <w:rPr>
          <w:noProof/>
        </w:rPr>
        <w:fldChar w:fldCharType="end"/>
      </w:r>
    </w:p>
    <w:p w14:paraId="4A98D822" w14:textId="77777777" w:rsidR="00C2252C" w:rsidRDefault="00C2252C">
      <w:pPr>
        <w:pStyle w:val="TOC3"/>
        <w:rPr>
          <w:rFonts w:asciiTheme="minorHAnsi" w:eastAsiaTheme="minorEastAsia" w:hAnsiTheme="minorHAnsi" w:cstheme="minorBidi"/>
          <w:noProof/>
          <w:szCs w:val="22"/>
          <w:lang w:eastAsia="en-NZ"/>
        </w:rPr>
      </w:pPr>
      <w:r>
        <w:rPr>
          <w:noProof/>
        </w:rPr>
        <w:t>Figure 3:</w:t>
      </w:r>
      <w:r>
        <w:rPr>
          <w:noProof/>
        </w:rPr>
        <w:tab/>
        <w:t>Prevalence of hypertension, by age groups, 2012–2016</w:t>
      </w:r>
      <w:r>
        <w:rPr>
          <w:noProof/>
        </w:rPr>
        <w:tab/>
      </w:r>
      <w:r>
        <w:rPr>
          <w:noProof/>
        </w:rPr>
        <w:fldChar w:fldCharType="begin"/>
      </w:r>
      <w:r>
        <w:rPr>
          <w:noProof/>
        </w:rPr>
        <w:instrText xml:space="preserve"> PAGEREF _Toc467831566 \h </w:instrText>
      </w:r>
      <w:r>
        <w:rPr>
          <w:noProof/>
        </w:rPr>
      </w:r>
      <w:r>
        <w:rPr>
          <w:noProof/>
        </w:rPr>
        <w:fldChar w:fldCharType="separate"/>
      </w:r>
      <w:r w:rsidR="003D5B32">
        <w:rPr>
          <w:noProof/>
        </w:rPr>
        <w:t>27</w:t>
      </w:r>
      <w:r>
        <w:rPr>
          <w:noProof/>
        </w:rPr>
        <w:fldChar w:fldCharType="end"/>
      </w:r>
    </w:p>
    <w:p w14:paraId="64A8743B" w14:textId="77777777" w:rsidR="00C2252C" w:rsidRDefault="00C2252C">
      <w:pPr>
        <w:pStyle w:val="TOC3"/>
        <w:rPr>
          <w:rFonts w:asciiTheme="minorHAnsi" w:eastAsiaTheme="minorEastAsia" w:hAnsiTheme="minorHAnsi" w:cstheme="minorBidi"/>
          <w:noProof/>
          <w:szCs w:val="22"/>
          <w:lang w:eastAsia="en-NZ"/>
        </w:rPr>
      </w:pPr>
      <w:r>
        <w:rPr>
          <w:noProof/>
        </w:rPr>
        <w:t>Figure 4:</w:t>
      </w:r>
      <w:r>
        <w:rPr>
          <w:noProof/>
        </w:rPr>
        <w:tab/>
        <w:t>Prevalence of controlled high blood pressure among adults taking hypertensive medication, by sex and age group, 2012–2016</w:t>
      </w:r>
      <w:r>
        <w:rPr>
          <w:noProof/>
        </w:rPr>
        <w:tab/>
      </w:r>
      <w:r>
        <w:rPr>
          <w:noProof/>
        </w:rPr>
        <w:fldChar w:fldCharType="begin"/>
      </w:r>
      <w:r>
        <w:rPr>
          <w:noProof/>
        </w:rPr>
        <w:instrText xml:space="preserve"> PAGEREF _Toc467831567 \h </w:instrText>
      </w:r>
      <w:r>
        <w:rPr>
          <w:noProof/>
        </w:rPr>
      </w:r>
      <w:r>
        <w:rPr>
          <w:noProof/>
        </w:rPr>
        <w:fldChar w:fldCharType="separate"/>
      </w:r>
      <w:r w:rsidR="003D5B32">
        <w:rPr>
          <w:noProof/>
        </w:rPr>
        <w:t>28</w:t>
      </w:r>
      <w:r>
        <w:rPr>
          <w:noProof/>
        </w:rPr>
        <w:fldChar w:fldCharType="end"/>
      </w:r>
    </w:p>
    <w:p w14:paraId="2D7FDA25" w14:textId="77777777" w:rsidR="003A5FEA" w:rsidRDefault="003A5FEA" w:rsidP="003A5FEA">
      <w:r>
        <w:fldChar w:fldCharType="end"/>
      </w:r>
    </w:p>
    <w:p w14:paraId="1CE087B3" w14:textId="77777777" w:rsidR="00FC0DB8" w:rsidRDefault="00FC0DB8" w:rsidP="00FC0DB8">
      <w:pPr>
        <w:pStyle w:val="Heading1"/>
      </w:pPr>
      <w:bookmarkStart w:id="10" w:name="_Toc436730765"/>
      <w:bookmarkStart w:id="11" w:name="_Toc467831527"/>
      <w:r>
        <w:lastRenderedPageBreak/>
        <w:t>Executive summary</w:t>
      </w:r>
      <w:bookmarkEnd w:id="10"/>
      <w:bookmarkEnd w:id="11"/>
    </w:p>
    <w:p w14:paraId="6CC291BA" w14:textId="77777777" w:rsidR="00FC0DB8" w:rsidRPr="00BF2EA0" w:rsidRDefault="00FC0DB8" w:rsidP="00E17B60">
      <w:bookmarkStart w:id="12" w:name="_Toc339969936"/>
      <w:r>
        <w:t>The f</w:t>
      </w:r>
      <w:r w:rsidRPr="00EA0AF0">
        <w:t>ollowing is a summary</w:t>
      </w:r>
      <w:bookmarkEnd w:id="12"/>
      <w:r w:rsidRPr="00EA0AF0">
        <w:t xml:space="preserve"> of the key findings of the 201</w:t>
      </w:r>
      <w:r>
        <w:t>5</w:t>
      </w:r>
      <w:r w:rsidRPr="00EA0AF0">
        <w:t>/1</w:t>
      </w:r>
      <w:r>
        <w:t>6</w:t>
      </w:r>
      <w:r w:rsidRPr="00EA0AF0">
        <w:t xml:space="preserve"> New Zealand Health Survey</w:t>
      </w:r>
      <w:r>
        <w:t xml:space="preserve"> (the survey)</w:t>
      </w:r>
      <w:r w:rsidRPr="00BF2EA0">
        <w:t>, including notable trends and differences between population groups.</w:t>
      </w:r>
    </w:p>
    <w:p w14:paraId="7F5D7325" w14:textId="77777777" w:rsidR="00FC0DB8" w:rsidRDefault="00FC0DB8" w:rsidP="00E17B60">
      <w:pPr>
        <w:pStyle w:val="Bullet"/>
        <w:spacing w:before="240"/>
      </w:pPr>
      <w:r w:rsidRPr="00D871B3">
        <w:rPr>
          <w:b/>
        </w:rPr>
        <w:t>Most New Zealanders report being in good health</w:t>
      </w:r>
      <w:r>
        <w:rPr>
          <w:b/>
        </w:rPr>
        <w:t>.</w:t>
      </w:r>
      <w:r>
        <w:rPr>
          <w:b/>
        </w:rPr>
        <w:br/>
      </w:r>
      <w:r w:rsidRPr="00D871B3">
        <w:t xml:space="preserve">Most adults rate their </w:t>
      </w:r>
      <w:r>
        <w:t>own (88</w:t>
      </w:r>
      <w:r w:rsidRPr="00D871B3">
        <w:t>%)</w:t>
      </w:r>
      <w:r>
        <w:t xml:space="preserve"> and their children</w:t>
      </w:r>
      <w:r w:rsidR="00FD6712">
        <w:t>’</w:t>
      </w:r>
      <w:r>
        <w:t xml:space="preserve">s (98%) </w:t>
      </w:r>
      <w:r w:rsidRPr="00D871B3">
        <w:t xml:space="preserve">health as good, very good or excellent. </w:t>
      </w:r>
      <w:r>
        <w:t>Adults living in the most socioeconomically deprived areas were 2.5 times as likely to rate themselves as being in fair or poor health compared with adults living in the least deprived areas, after adjusting for age, sex and ethnicity.</w:t>
      </w:r>
    </w:p>
    <w:p w14:paraId="3F1745E8" w14:textId="77777777" w:rsidR="00FC0DB8" w:rsidRPr="00725346" w:rsidRDefault="00FC0DB8" w:rsidP="00E17B60">
      <w:pPr>
        <w:pStyle w:val="Bullet"/>
        <w:spacing w:before="240"/>
      </w:pPr>
      <w:r>
        <w:rPr>
          <w:b/>
        </w:rPr>
        <w:t>The current smoking rate has decreased.</w:t>
      </w:r>
      <w:r>
        <w:rPr>
          <w:b/>
        </w:rPr>
        <w:br/>
      </w:r>
      <w:r w:rsidRPr="00AC33EE">
        <w:t xml:space="preserve">The current smoking rate (adults who smoke at least monthly) </w:t>
      </w:r>
      <w:r>
        <w:t>has fallen</w:t>
      </w:r>
      <w:r w:rsidRPr="00AC33EE">
        <w:t xml:space="preserve"> from 20% in 2006/</w:t>
      </w:r>
      <w:r>
        <w:t>07 to 16% in 2015/16</w:t>
      </w:r>
      <w:r w:rsidRPr="00AC33EE">
        <w:t xml:space="preserve">. </w:t>
      </w:r>
      <w:r w:rsidRPr="00A10D32">
        <w:t>The</w:t>
      </w:r>
      <w:r w:rsidRPr="0063608B">
        <w:t xml:space="preserve"> most substantial reduction in current smoking since 2006/07 was for 15</w:t>
      </w:r>
      <w:r>
        <w:t xml:space="preserve">- to </w:t>
      </w:r>
      <w:r w:rsidRPr="0063608B">
        <w:t>17</w:t>
      </w:r>
      <w:r>
        <w:t>-</w:t>
      </w:r>
      <w:r w:rsidRPr="0063608B">
        <w:t>y</w:t>
      </w:r>
      <w:r>
        <w:t>ear-olds</w:t>
      </w:r>
      <w:r w:rsidRPr="0063608B">
        <w:t>, 6% of whom smoked in 2015/16</w:t>
      </w:r>
      <w:r>
        <w:t xml:space="preserve"> compared with 16% in 2006/07.</w:t>
      </w:r>
    </w:p>
    <w:p w14:paraId="7AE1ABAC" w14:textId="77777777" w:rsidR="00FC0DB8" w:rsidRPr="004B70F8" w:rsidRDefault="00FC0DB8" w:rsidP="00E17B60">
      <w:pPr>
        <w:pStyle w:val="Bullet"/>
        <w:spacing w:before="240"/>
      </w:pPr>
      <w:r w:rsidRPr="00F0538C">
        <w:rPr>
          <w:b/>
        </w:rPr>
        <w:t xml:space="preserve">The percentage of adults with hazardous drinking patterns </w:t>
      </w:r>
      <w:r>
        <w:rPr>
          <w:b/>
        </w:rPr>
        <w:t>is increasing.</w:t>
      </w:r>
      <w:r>
        <w:rPr>
          <w:b/>
        </w:rPr>
        <w:br/>
      </w:r>
      <w:r>
        <w:t xml:space="preserve">The survey measured drinking in </w:t>
      </w:r>
      <w:r w:rsidR="00FD6712">
        <w:t>‘</w:t>
      </w:r>
      <w:r>
        <w:t>standard drinks</w:t>
      </w:r>
      <w:r w:rsidR="00FD6712">
        <w:t>’</w:t>
      </w:r>
      <w:r>
        <w:t xml:space="preserve"> as well as </w:t>
      </w:r>
      <w:r w:rsidR="00FD6712">
        <w:t>‘</w:t>
      </w:r>
      <w:r>
        <w:t>drinks</w:t>
      </w:r>
      <w:r w:rsidR="00FD6712">
        <w:t>’</w:t>
      </w:r>
      <w:r>
        <w:t xml:space="preserve"> in 2015/16. </w:t>
      </w:r>
      <w:r w:rsidR="00FD6712">
        <w:t>‘</w:t>
      </w:r>
      <w:r>
        <w:t>Standard drinks</w:t>
      </w:r>
      <w:r w:rsidR="00FD6712">
        <w:t>’</w:t>
      </w:r>
      <w:r>
        <w:t xml:space="preserve"> set a specific size to the drink being consumed. Measuring in </w:t>
      </w:r>
      <w:r w:rsidR="00FD6712">
        <w:t>‘</w:t>
      </w:r>
      <w:r>
        <w:t>drinks</w:t>
      </w:r>
      <w:r w:rsidR="00FD6712">
        <w:t>’</w:t>
      </w:r>
      <w:r>
        <w:t xml:space="preserve"> is the measure used in previous years. It did not specify a size to the drink being consumed. Measuring in </w:t>
      </w:r>
      <w:r w:rsidR="00FD6712">
        <w:t>‘</w:t>
      </w:r>
      <w:r>
        <w:t>drinks</w:t>
      </w:r>
      <w:r w:rsidR="00FD6712">
        <w:t>’</w:t>
      </w:r>
      <w:r>
        <w:t xml:space="preserve"> as well as </w:t>
      </w:r>
      <w:r w:rsidR="00FD6712">
        <w:t>‘</w:t>
      </w:r>
      <w:r>
        <w:t>standard drinks</w:t>
      </w:r>
      <w:r w:rsidR="00FD6712">
        <w:t>’</w:t>
      </w:r>
      <w:r>
        <w:t xml:space="preserve"> allowed us to compare this years</w:t>
      </w:r>
      <w:r w:rsidR="00FD6712">
        <w:t>’</w:t>
      </w:r>
      <w:r>
        <w:t xml:space="preserve"> results with previous years. The hazardous drinking rate (measured in </w:t>
      </w:r>
      <w:r w:rsidR="00FD6712">
        <w:t>‘</w:t>
      </w:r>
      <w:r>
        <w:t>drinks</w:t>
      </w:r>
      <w:r w:rsidR="00FD6712">
        <w:t>’</w:t>
      </w:r>
      <w:r>
        <w:t xml:space="preserve">) declined from 18% in 2006/07 to 15% in 2011/12 and then </w:t>
      </w:r>
      <w:r w:rsidRPr="0093422D">
        <w:t>increased steadily to 19%</w:t>
      </w:r>
      <w:r>
        <w:t xml:space="preserve"> in 2015/16</w:t>
      </w:r>
      <w:r w:rsidRPr="0093422D">
        <w:t>.</w:t>
      </w:r>
      <w:r>
        <w:t xml:space="preserve"> The improved measure of </w:t>
      </w:r>
      <w:r w:rsidR="00FD6712">
        <w:t>‘</w:t>
      </w:r>
      <w:r>
        <w:t>standard drinks</w:t>
      </w:r>
      <w:r w:rsidR="00FD6712">
        <w:t>’</w:t>
      </w:r>
      <w:r>
        <w:t xml:space="preserve"> used in 2015/16 shows that about </w:t>
      </w:r>
      <w:r w:rsidRPr="00D118D3">
        <w:t>one in five (2</w:t>
      </w:r>
      <w:r>
        <w:t>1</w:t>
      </w:r>
      <w:r w:rsidRPr="00D118D3">
        <w:t>%) adults had a hazardous drinking pattern</w:t>
      </w:r>
      <w:r>
        <w:t xml:space="preserve"> in 2015/16</w:t>
      </w:r>
      <w:r w:rsidRPr="00D118D3">
        <w:t>.</w:t>
      </w:r>
    </w:p>
    <w:p w14:paraId="3E83CFE2" w14:textId="77777777" w:rsidR="00FC0DB8" w:rsidRPr="00395F29" w:rsidRDefault="00FC0DB8" w:rsidP="00E17B60">
      <w:pPr>
        <w:pStyle w:val="Bullet"/>
        <w:spacing w:before="240"/>
      </w:pPr>
      <w:r>
        <w:rPr>
          <w:b/>
        </w:rPr>
        <w:t>Less than half of all adults eat the recommended amounts of both vegetables and fruit.</w:t>
      </w:r>
      <w:r>
        <w:rPr>
          <w:b/>
        </w:rPr>
        <w:br/>
      </w:r>
      <w:r>
        <w:t xml:space="preserve">Four in ten adults (40%) eat at least three servings of vegetables as well as two servings of fruit each day, as recommended in the </w:t>
      </w:r>
      <w:r w:rsidRPr="00DE1F83">
        <w:rPr>
          <w:i/>
        </w:rPr>
        <w:t>Eating and Activity Guidelines for New Zealand Adults</w:t>
      </w:r>
      <w:r w:rsidRPr="004C67A7">
        <w:t xml:space="preserve"> (Ministry of Health 2015</w:t>
      </w:r>
      <w:r>
        <w:t>a). The percentage of adults eating the recommended amounts of both vegetables and fruit has dropped from 43% in 2006/07.</w:t>
      </w:r>
    </w:p>
    <w:p w14:paraId="61CAE83E" w14:textId="77777777" w:rsidR="00FC0DB8" w:rsidRDefault="00FC0DB8" w:rsidP="00E17B60">
      <w:pPr>
        <w:pStyle w:val="Bullet"/>
        <w:spacing w:before="240"/>
      </w:pPr>
      <w:r w:rsidRPr="00E17B60">
        <w:rPr>
          <w:b/>
        </w:rPr>
        <w:t>The percentage of adults who are physically active is decreasing, while the percentage of adults who do little or no physical activity is increasing.</w:t>
      </w:r>
      <w:r>
        <w:br/>
        <w:t>The survey categorises physical activity into three groups: those who are physically active (getting at least 30 minutes of physical activity on at least five days a week); those who are somewhat active but do not meet the physical activity guidelines and those who do little or no physical activity (defined as getting less than 30 minutes of physical activity a week, including housework, work-related activity and walking). Less than half of adults (48%) are physically active, down from 52% in 2006/07. More adults are physically inactive (15%) than in 2006/07, when 10% were physically inactive</w:t>
      </w:r>
      <w:r w:rsidRPr="00776F9C">
        <w:t>.</w:t>
      </w:r>
    </w:p>
    <w:p w14:paraId="403C75E1" w14:textId="77777777" w:rsidR="00FC0DB8" w:rsidRPr="00502CF1" w:rsidRDefault="00FC0DB8" w:rsidP="00E17B60">
      <w:pPr>
        <w:pStyle w:val="Bullet"/>
        <w:spacing w:before="240"/>
      </w:pPr>
      <w:r>
        <w:rPr>
          <w:b/>
        </w:rPr>
        <w:t>About half of the adults who currently take hypertensive medication have their high blood pressure under control.</w:t>
      </w:r>
      <w:r>
        <w:rPr>
          <w:b/>
        </w:rPr>
        <w:br/>
      </w:r>
      <w:r w:rsidRPr="00502CF1">
        <w:t>One in six</w:t>
      </w:r>
      <w:r>
        <w:t xml:space="preserve"> (17%)</w:t>
      </w:r>
      <w:r w:rsidRPr="00502CF1">
        <w:t xml:space="preserve"> adults reported </w:t>
      </w:r>
      <w:r>
        <w:t>that a doctor had diagnosed them with high blood pressure and they were taking medication for it. Of the adults who self-reported high blood pressure (and were medicated), just over half (53%) of them had their blood pressure under control when measured in the survey.</w:t>
      </w:r>
    </w:p>
    <w:p w14:paraId="6A830D08" w14:textId="77777777" w:rsidR="00FD6712" w:rsidRDefault="00FC0DB8" w:rsidP="00E17B60">
      <w:pPr>
        <w:pStyle w:val="Bullet"/>
        <w:spacing w:before="240"/>
      </w:pPr>
      <w:r>
        <w:rPr>
          <w:b/>
        </w:rPr>
        <w:lastRenderedPageBreak/>
        <w:t>Obesity rates have been stable for children since 2011/12.</w:t>
      </w:r>
      <w:r>
        <w:rPr>
          <w:b/>
        </w:rPr>
        <w:br/>
      </w:r>
      <w:r>
        <w:t>One in nine</w:t>
      </w:r>
      <w:r w:rsidRPr="0007586A">
        <w:t xml:space="preserve"> children aged 2–14 years (</w:t>
      </w:r>
      <w:r>
        <w:t>11</w:t>
      </w:r>
      <w:r w:rsidRPr="0007586A">
        <w:t xml:space="preserve">%) </w:t>
      </w:r>
      <w:r>
        <w:t>are</w:t>
      </w:r>
      <w:r w:rsidRPr="0007586A">
        <w:t xml:space="preserve"> obese. </w:t>
      </w:r>
      <w:r>
        <w:t>T</w:t>
      </w:r>
      <w:r w:rsidRPr="002A0A5E">
        <w:t>he child obesity</w:t>
      </w:r>
      <w:r w:rsidRPr="0007586A">
        <w:t xml:space="preserve"> rate</w:t>
      </w:r>
      <w:r>
        <w:t xml:space="preserve"> has not changed significantly</w:t>
      </w:r>
      <w:r w:rsidRPr="0007586A">
        <w:t xml:space="preserve"> since 2011/12 (when it was 11%)</w:t>
      </w:r>
      <w:r>
        <w:t>. Twenty percent of children living in the most socioeconomically deprived areas are obese, compared with 4% living in the least deprived areas.</w:t>
      </w:r>
    </w:p>
    <w:p w14:paraId="4097D302" w14:textId="77777777" w:rsidR="00FC0DB8" w:rsidRPr="00677561" w:rsidRDefault="00FC0DB8" w:rsidP="00FC0DB8">
      <w:pPr>
        <w:pStyle w:val="Bullet"/>
        <w:spacing w:before="240"/>
      </w:pPr>
      <w:r>
        <w:rPr>
          <w:b/>
        </w:rPr>
        <w:t>Obesity rates have increased for adults since 2006/07.</w:t>
      </w:r>
      <w:r>
        <w:rPr>
          <w:b/>
        </w:rPr>
        <w:br/>
      </w:r>
      <w:r>
        <w:t>Thirty-two percent of adults are obese, up from 27% in 2006/07.</w:t>
      </w:r>
      <w:r w:rsidRPr="00677561">
        <w:t xml:space="preserve"> </w:t>
      </w:r>
      <w:r>
        <w:t>Since 2006/07, rates of extreme obesity (about 2%) and obesity (about 23%) have stayed the same for adults in the least deprived areas. In contrast, for adults in the most deprived areas, extreme obesity rates increased from 8% to 11% and obesity rates increased from 39% to 44% during the same period.</w:t>
      </w:r>
    </w:p>
    <w:p w14:paraId="1B86CB2C" w14:textId="77777777" w:rsidR="00FD6712" w:rsidRDefault="00FC0DB8" w:rsidP="00FC0DB8">
      <w:pPr>
        <w:pStyle w:val="Bullet"/>
        <w:spacing w:before="240"/>
        <w:rPr>
          <w:b/>
        </w:rPr>
      </w:pPr>
      <w:r>
        <w:rPr>
          <w:b/>
        </w:rPr>
        <w:t>More than one in five adults experience chronic pain and this number is increasing.</w:t>
      </w:r>
      <w:r>
        <w:rPr>
          <w:b/>
        </w:rPr>
        <w:br/>
      </w:r>
      <w:r w:rsidRPr="00974315">
        <w:t>Twenty-one percent of adults experience chronic pain, up from 17% in 2006/07. This represents about 777,000 adults experiencing pain almost every day; a 37% increase from 567,000 adults in 2006/07.</w:t>
      </w:r>
    </w:p>
    <w:p w14:paraId="1D2D097D" w14:textId="77777777" w:rsidR="00FC0DB8" w:rsidRPr="00776F9C" w:rsidRDefault="00FC0DB8" w:rsidP="00FC0DB8">
      <w:pPr>
        <w:pStyle w:val="Bullet"/>
        <w:spacing w:before="240"/>
      </w:pPr>
      <w:r w:rsidRPr="00776F9C">
        <w:rPr>
          <w:b/>
        </w:rPr>
        <w:t>Child physica</w:t>
      </w:r>
      <w:r>
        <w:rPr>
          <w:b/>
        </w:rPr>
        <w:t>l punishment rates are decreasing.</w:t>
      </w:r>
      <w:r>
        <w:rPr>
          <w:b/>
        </w:rPr>
        <w:br/>
      </w:r>
      <w:r w:rsidRPr="00776F9C">
        <w:t>The percentage of children who were physically punished (eg</w:t>
      </w:r>
      <w:r>
        <w:t>,</w:t>
      </w:r>
      <w:r w:rsidRPr="00776F9C">
        <w:t xml:space="preserve"> smacked) by their parent</w:t>
      </w:r>
      <w:r>
        <w:t xml:space="preserve"> or primary </w:t>
      </w:r>
      <w:r w:rsidRPr="00776F9C">
        <w:t>caregiver in a four</w:t>
      </w:r>
      <w:r>
        <w:t>-</w:t>
      </w:r>
      <w:r w:rsidRPr="00776F9C">
        <w:t xml:space="preserve">week period </w:t>
      </w:r>
      <w:r>
        <w:t xml:space="preserve">has decreased </w:t>
      </w:r>
      <w:r w:rsidRPr="00776F9C">
        <w:t>f</w:t>
      </w:r>
      <w:r>
        <w:t>rom 10% in 2006/07 to 6% in 2015/16</w:t>
      </w:r>
      <w:r w:rsidRPr="00776F9C">
        <w:t xml:space="preserve">. Māori </w:t>
      </w:r>
      <w:r>
        <w:t xml:space="preserve">and Pacific children </w:t>
      </w:r>
      <w:r w:rsidRPr="00776F9C">
        <w:t xml:space="preserve">are </w:t>
      </w:r>
      <w:r>
        <w:t>about</w:t>
      </w:r>
      <w:r w:rsidRPr="00776F9C">
        <w:t xml:space="preserve"> twice as likely to be physically punished as non-Māori</w:t>
      </w:r>
      <w:r>
        <w:t xml:space="preserve"> and non-Pacific children, </w:t>
      </w:r>
      <w:r w:rsidRPr="00776F9C">
        <w:t>after adjusting for age and sex differences.</w:t>
      </w:r>
    </w:p>
    <w:p w14:paraId="63D1C438" w14:textId="77777777" w:rsidR="00FC0DB8" w:rsidRPr="00776F9C" w:rsidRDefault="00FC0DB8" w:rsidP="00FC0DB8">
      <w:pPr>
        <w:pStyle w:val="Bullet"/>
        <w:spacing w:before="240"/>
      </w:pPr>
      <w:r>
        <w:rPr>
          <w:b/>
        </w:rPr>
        <w:t>The percentage of adults experiencing psychological distress decreases with age.</w:t>
      </w:r>
      <w:r>
        <w:rPr>
          <w:b/>
        </w:rPr>
        <w:br/>
      </w:r>
      <w:r>
        <w:t xml:space="preserve">About 256,000 adults (7%) </w:t>
      </w:r>
      <w:r w:rsidRPr="0007586A">
        <w:t xml:space="preserve">experienced psychological distress in the </w:t>
      </w:r>
      <w:r>
        <w:t>four weeks before taking part in the survey, indicating a high probability of the person having an anxiety or depressive disorder. Psychological distress rates decreased with age. Less than 5% of adults aged 65</w:t>
      </w:r>
      <w:r w:rsidR="00E17B60">
        <w:t> </w:t>
      </w:r>
      <w:r>
        <w:t>years and over experienced psychological distress in the previous four weeks. In contrast, more than 8% of adults aged 15–44 years experienced psychological distress in the previous four weeks.</w:t>
      </w:r>
    </w:p>
    <w:p w14:paraId="016180F3" w14:textId="77777777" w:rsidR="00FC0DB8" w:rsidRDefault="00FC0DB8" w:rsidP="00FC0DB8">
      <w:pPr>
        <w:pStyle w:val="Bullet"/>
        <w:spacing w:before="240"/>
      </w:pPr>
      <w:r>
        <w:rPr>
          <w:b/>
        </w:rPr>
        <w:t>A lower percentage of adults have definite c</w:t>
      </w:r>
      <w:r w:rsidRPr="00776F9C">
        <w:rPr>
          <w:b/>
        </w:rPr>
        <w:t xml:space="preserve">onfidence and trust in </w:t>
      </w:r>
      <w:r>
        <w:rPr>
          <w:b/>
        </w:rPr>
        <w:t>their general practitioner (GP).</w:t>
      </w:r>
      <w:r>
        <w:rPr>
          <w:b/>
        </w:rPr>
        <w:br/>
      </w:r>
      <w:r>
        <w:t>Most adults (79</w:t>
      </w:r>
      <w:r w:rsidRPr="00776F9C">
        <w:t xml:space="preserve">%) have </w:t>
      </w:r>
      <w:r>
        <w:t xml:space="preserve">definite </w:t>
      </w:r>
      <w:r w:rsidRPr="00776F9C">
        <w:t>confidence and trust in the GP they</w:t>
      </w:r>
      <w:r w:rsidRPr="00A56633">
        <w:t xml:space="preserve"> last visited</w:t>
      </w:r>
      <w:r>
        <w:t>. However,</w:t>
      </w:r>
      <w:r w:rsidRPr="00A56633">
        <w:t xml:space="preserve"> this </w:t>
      </w:r>
      <w:r>
        <w:t>figure</w:t>
      </w:r>
      <w:r w:rsidRPr="00A56633">
        <w:t xml:space="preserve"> </w:t>
      </w:r>
      <w:r>
        <w:t xml:space="preserve">has decreased since </w:t>
      </w:r>
      <w:r w:rsidRPr="00A56633">
        <w:t>2011/12</w:t>
      </w:r>
      <w:r>
        <w:t>, when it was</w:t>
      </w:r>
      <w:r w:rsidRPr="00A56633">
        <w:t xml:space="preserve"> </w:t>
      </w:r>
      <w:r>
        <w:t>84%</w:t>
      </w:r>
      <w:r w:rsidRPr="00A56633">
        <w:t xml:space="preserve">. </w:t>
      </w:r>
      <w:r w:rsidRPr="00513289">
        <w:t>At the same time, adults who have some confidence a</w:t>
      </w:r>
      <w:r>
        <w:t>nd trust has increased from 14% in 2011/12 to 17</w:t>
      </w:r>
      <w:r w:rsidRPr="00513289">
        <w:t xml:space="preserve">% in 2015/16. </w:t>
      </w:r>
      <w:r>
        <w:t>The percentage of a</w:t>
      </w:r>
      <w:r w:rsidRPr="00513289">
        <w:t xml:space="preserve">dults who have no </w:t>
      </w:r>
      <w:r>
        <w:t xml:space="preserve">confidence and </w:t>
      </w:r>
      <w:r w:rsidRPr="00513289">
        <w:t>trust at all in their GP has increased from 2.1% in 2011/12 to 3.4% in 2015/16.</w:t>
      </w:r>
    </w:p>
    <w:p w14:paraId="149C8D46" w14:textId="0250E556" w:rsidR="00E17B60" w:rsidRDefault="00FC0DB8" w:rsidP="00FC0DB8">
      <w:pPr>
        <w:pStyle w:val="Bullet"/>
        <w:spacing w:before="240"/>
      </w:pPr>
      <w:r w:rsidRPr="00262123">
        <w:rPr>
          <w:b/>
        </w:rPr>
        <w:t>Most children had their last visi</w:t>
      </w:r>
      <w:r>
        <w:rPr>
          <w:b/>
        </w:rPr>
        <w:t>t with a GP</w:t>
      </w:r>
      <w:r w:rsidRPr="00262123">
        <w:rPr>
          <w:b/>
        </w:rPr>
        <w:t xml:space="preserve"> or after-hours medical centre for free</w:t>
      </w:r>
      <w:r>
        <w:rPr>
          <w:b/>
        </w:rPr>
        <w:t>.</w:t>
      </w:r>
      <w:r>
        <w:rPr>
          <w:b/>
        </w:rPr>
        <w:br/>
      </w:r>
      <w:r>
        <w:t>In July 2015, the Ministry of Health (the Ministry) started the Zero Fees for Under 13s initiative, providing funding to encourage free GP and after-hours medical centre visits for children under 13 years of age. Eighty-two percent of children received</w:t>
      </w:r>
      <w:r w:rsidR="00782130">
        <w:t xml:space="preserve"> their last GP visit free and 67</w:t>
      </w:r>
      <w:r>
        <w:t>% received their last after-hours visit free, up from 57% and 55% respectively in 2014/15. For children aged 6</w:t>
      </w:r>
      <w:r w:rsidRPr="00F2505D">
        <w:t>–1</w:t>
      </w:r>
      <w:r>
        <w:t>2</w:t>
      </w:r>
      <w:r w:rsidRPr="00F2505D">
        <w:t xml:space="preserve"> years</w:t>
      </w:r>
      <w:r>
        <w:t>, more than three-quarters (77%) had their last GP visit free (up from one-quarter in 2014/15) and about half (52%) had their last after-hours medical centre visit free (up from 18% in 2014/15).</w:t>
      </w:r>
    </w:p>
    <w:p w14:paraId="54E4633D" w14:textId="77777777" w:rsidR="00FC0DB8" w:rsidRDefault="00FC0DB8" w:rsidP="00E17B60">
      <w:pPr>
        <w:spacing w:before="120"/>
        <w:ind w:left="284"/>
      </w:pPr>
      <w:r>
        <w:t xml:space="preserve">The survey also asks questions about unmet need for primary health care, including questions about whether children were unable to visit the GP or after-hours medical centre in the past 12 months because of cost. The survey interview was conducted over a range of dates, and these questions asked respondents to recall visits in the </w:t>
      </w:r>
      <w:r w:rsidRPr="00F12B3C">
        <w:rPr>
          <w:i/>
        </w:rPr>
        <w:t>past</w:t>
      </w:r>
      <w:r>
        <w:t xml:space="preserve"> year. This meant that </w:t>
      </w:r>
      <w:r>
        <w:lastRenderedPageBreak/>
        <w:t>for most respondents interviewed during 2015/16, the 12 month recall period for the unmet need questions will have included a period of time before Zero Fees for Under 13s was introduced.</w:t>
      </w:r>
      <w:r w:rsidR="00FD6712">
        <w:t xml:space="preserve"> </w:t>
      </w:r>
      <w:r>
        <w:t>There was no significant change, compared with 2014/15, in the rate of children aged 6</w:t>
      </w:r>
      <w:r w:rsidRPr="00F2505D">
        <w:t>–1</w:t>
      </w:r>
      <w:r>
        <w:t>2</w:t>
      </w:r>
      <w:r w:rsidRPr="00F2505D">
        <w:t xml:space="preserve"> years</w:t>
      </w:r>
      <w:r>
        <w:t xml:space="preserve"> experiencing unmet need for GPs or after-hours medical centres due to cost. All of next year</w:t>
      </w:r>
      <w:r w:rsidR="00FD6712">
        <w:t>’</w:t>
      </w:r>
      <w:r>
        <w:t>s data will be from a recall period after Zero Fees for Under 13s was introduced.</w:t>
      </w:r>
    </w:p>
    <w:p w14:paraId="58BFF1F7" w14:textId="77777777" w:rsidR="00E17B60" w:rsidRDefault="00FC0DB8" w:rsidP="00FC0DB8">
      <w:pPr>
        <w:pStyle w:val="Bullet"/>
        <w:spacing w:before="240"/>
      </w:pPr>
      <w:r>
        <w:rPr>
          <w:b/>
        </w:rPr>
        <w:t>Rates of experiencing one or more type of unmet need for primary health care are increasing for adults and children.</w:t>
      </w:r>
      <w:r>
        <w:rPr>
          <w:b/>
        </w:rPr>
        <w:br/>
      </w:r>
      <w:r>
        <w:t>While m</w:t>
      </w:r>
      <w:r w:rsidRPr="0007586A">
        <w:t xml:space="preserve">ost </w:t>
      </w:r>
      <w:r>
        <w:t>people</w:t>
      </w:r>
      <w:r w:rsidRPr="0007586A">
        <w:t xml:space="preserve"> were able to access primary</w:t>
      </w:r>
      <w:r>
        <w:t xml:space="preserve"> health care when they needed to, rates of experiencing one or more type of unmet need for primary health care are increasing. Twenty-nine percent</w:t>
      </w:r>
      <w:r w:rsidRPr="0007586A">
        <w:t xml:space="preserve"> of adults </w:t>
      </w:r>
      <w:r>
        <w:t>reporte</w:t>
      </w:r>
      <w:r w:rsidRPr="0007586A">
        <w:t xml:space="preserve">d </w:t>
      </w:r>
      <w:r>
        <w:t>one or more types of</w:t>
      </w:r>
      <w:r w:rsidRPr="0007586A">
        <w:t xml:space="preserve"> unmet need </w:t>
      </w:r>
      <w:r>
        <w:t>for primary health care in the p</w:t>
      </w:r>
      <w:r w:rsidRPr="0007586A">
        <w:t>ast 12 months</w:t>
      </w:r>
      <w:r>
        <w:t xml:space="preserve">, up from 27% in 2011/12. Nearly one-quarter </w:t>
      </w:r>
      <w:r w:rsidRPr="0007586A">
        <w:t xml:space="preserve">of children </w:t>
      </w:r>
      <w:r>
        <w:t xml:space="preserve">(24%) </w:t>
      </w:r>
      <w:r w:rsidRPr="0007586A">
        <w:t xml:space="preserve">experienced one or more types of unmet need for primary </w:t>
      </w:r>
      <w:r>
        <w:t xml:space="preserve">health </w:t>
      </w:r>
      <w:r w:rsidRPr="0007586A">
        <w:t xml:space="preserve">care at some point in the </w:t>
      </w:r>
      <w:r>
        <w:t>past</w:t>
      </w:r>
      <w:r w:rsidRPr="0007586A">
        <w:t xml:space="preserve"> 12 months</w:t>
      </w:r>
      <w:r>
        <w:t>, up from 20% in 2011/12</w:t>
      </w:r>
      <w:r w:rsidRPr="0007586A">
        <w:t>.</w:t>
      </w:r>
    </w:p>
    <w:p w14:paraId="56B267F2" w14:textId="1622736D" w:rsidR="00FC0DB8" w:rsidRDefault="00FC0DB8" w:rsidP="00E17B60">
      <w:pPr>
        <w:spacing w:before="120"/>
        <w:ind w:left="284"/>
      </w:pPr>
      <w:r>
        <w:t xml:space="preserve">These increases were mainly driven by more adults and children not being able to get an appointment at their usual medical centre within 24 hours when they wanted to, rather than unmet need for primary health care due to cost. Eighteen percent of children were unable to get an appointment at their usual medical centre within 24 hours when their parents wanted them to be </w:t>
      </w:r>
      <w:r w:rsidR="00782130">
        <w:t>seen within 24 hours, up from 13</w:t>
      </w:r>
      <w:r>
        <w:t>% in 2011/12. For adults, this rate de</w:t>
      </w:r>
      <w:r w:rsidR="0071224A">
        <w:t>clined from 18% in 2006/07 to 15</w:t>
      </w:r>
      <w:r>
        <w:t xml:space="preserve">% in 2011/12 and then </w:t>
      </w:r>
      <w:r w:rsidRPr="0093422D">
        <w:t>inc</w:t>
      </w:r>
      <w:r>
        <w:t>reased steadily to 18</w:t>
      </w:r>
      <w:r w:rsidRPr="0093422D">
        <w:t>%</w:t>
      </w:r>
      <w:r>
        <w:t xml:space="preserve"> in 2015/16</w:t>
      </w:r>
      <w:r w:rsidRPr="0093422D">
        <w:t>.</w:t>
      </w:r>
    </w:p>
    <w:p w14:paraId="154A993E" w14:textId="77777777" w:rsidR="00FC0DB8" w:rsidRDefault="00FC0DB8" w:rsidP="00FC0DB8">
      <w:pPr>
        <w:pStyle w:val="Bullet"/>
        <w:spacing w:before="240"/>
      </w:pPr>
      <w:r w:rsidRPr="002E7D83">
        <w:rPr>
          <w:b/>
        </w:rPr>
        <w:t>Māori have poorer health and more unmet need for health care</w:t>
      </w:r>
      <w:r>
        <w:rPr>
          <w:b/>
        </w:rPr>
        <w:t>.</w:t>
      </w:r>
      <w:r>
        <w:br/>
      </w:r>
      <w:r w:rsidRPr="004B70F8">
        <w:t xml:space="preserve">Māori adults have higher rates for most health risks and conditions, such as smoking, hazardous drinking, obesity, </w:t>
      </w:r>
      <w:r>
        <w:t>physically inactivity</w:t>
      </w:r>
      <w:r w:rsidRPr="004B70F8">
        <w:t xml:space="preserve">, </w:t>
      </w:r>
      <w:r>
        <w:t xml:space="preserve">psychological distress, </w:t>
      </w:r>
      <w:r w:rsidRPr="004B70F8">
        <w:t>asthma</w:t>
      </w:r>
      <w:r>
        <w:t>, arthritis and chronic pain,</w:t>
      </w:r>
      <w:r w:rsidRPr="004B70F8">
        <w:t xml:space="preserve"> than non-Māori </w:t>
      </w:r>
      <w:r>
        <w:t>adults. Māori children also experience</w:t>
      </w:r>
      <w:r w:rsidRPr="004B70F8">
        <w:t xml:space="preserve"> comparatively high rates of obesity</w:t>
      </w:r>
      <w:r>
        <w:t xml:space="preserve"> and asthma.</w:t>
      </w:r>
    </w:p>
    <w:p w14:paraId="69E58955" w14:textId="77777777" w:rsidR="00FC0DB8" w:rsidRPr="00624107" w:rsidRDefault="00FC0DB8" w:rsidP="00FC0DB8">
      <w:pPr>
        <w:spacing w:before="120"/>
        <w:ind w:left="284"/>
      </w:pPr>
      <w:r>
        <w:t>On a positive note, Māori women experienced a small decline (although not statistically significant) in current smoking (from 45% in 2006/07 down to 40% in 2015/16). Also, a lower percentage of Māori children were introduced to solid foods before four months of age; the rate decreased from 17% in 2006/07 to 11% in 2015/16.</w:t>
      </w:r>
    </w:p>
    <w:p w14:paraId="25D2695B" w14:textId="77777777" w:rsidR="00FC0DB8" w:rsidRDefault="00FC0DB8" w:rsidP="00FC0DB8">
      <w:pPr>
        <w:spacing w:before="120"/>
        <w:ind w:left="284"/>
      </w:pPr>
      <w:r w:rsidRPr="00F15D9C">
        <w:t xml:space="preserve">Māori </w:t>
      </w:r>
      <w:r>
        <w:t>have a greater level of unmet need for primary health care than non-</w:t>
      </w:r>
      <w:r w:rsidRPr="00F15D9C">
        <w:t>Māori</w:t>
      </w:r>
      <w:r>
        <w:t xml:space="preserve">. One reason for this is prescription costs. Prescription costs have prevented 15% of Māori adults and the parents or primary caregivers of 7% of Māori children from collecting a prescription in the past 12 months. </w:t>
      </w:r>
      <w:r w:rsidRPr="00F15D9C">
        <w:t>Māori</w:t>
      </w:r>
      <w:r>
        <w:t xml:space="preserve"> adults and children are more than twice as likely to have not collected a prescription due to cost as non-</w:t>
      </w:r>
      <w:r w:rsidRPr="00F15D9C">
        <w:t>Māori</w:t>
      </w:r>
      <w:r>
        <w:t xml:space="preserve"> adults and children respectively, after adjusting for age and sex differences.</w:t>
      </w:r>
    </w:p>
    <w:p w14:paraId="14209BFB" w14:textId="77777777" w:rsidR="00FC0DB8" w:rsidRDefault="00FC0DB8" w:rsidP="00FC0DB8">
      <w:pPr>
        <w:pStyle w:val="Bullet"/>
        <w:spacing w:before="240"/>
      </w:pPr>
      <w:r w:rsidRPr="004B70F8">
        <w:rPr>
          <w:b/>
        </w:rPr>
        <w:t>Pacific people</w:t>
      </w:r>
      <w:r>
        <w:rPr>
          <w:b/>
        </w:rPr>
        <w:t>s</w:t>
      </w:r>
      <w:r w:rsidRPr="004B70F8">
        <w:rPr>
          <w:b/>
        </w:rPr>
        <w:t xml:space="preserve"> have poorer health and more unmet need for health care</w:t>
      </w:r>
      <w:r>
        <w:rPr>
          <w:b/>
        </w:rPr>
        <w:t>.</w:t>
      </w:r>
      <w:r>
        <w:rPr>
          <w:b/>
        </w:rPr>
        <w:br/>
      </w:r>
      <w:r w:rsidRPr="00766A99">
        <w:t xml:space="preserve">Pacific adults have higher rates </w:t>
      </w:r>
      <w:r>
        <w:t>of</w:t>
      </w:r>
      <w:r w:rsidRPr="00766A99">
        <w:t xml:space="preserve"> health </w:t>
      </w:r>
      <w:r>
        <w:t xml:space="preserve">risks </w:t>
      </w:r>
      <w:r w:rsidRPr="00766A99">
        <w:t>such as smoking,</w:t>
      </w:r>
      <w:r w:rsidRPr="004B70F8">
        <w:t xml:space="preserve"> </w:t>
      </w:r>
      <w:r>
        <w:t>not eating enough vegetables and fruit, physical inactivity and psychological distress</w:t>
      </w:r>
      <w:r w:rsidRPr="004B70F8">
        <w:t xml:space="preserve"> than non-Pacific adults.</w:t>
      </w:r>
    </w:p>
    <w:p w14:paraId="420CB072" w14:textId="77777777" w:rsidR="00FC0DB8" w:rsidRDefault="00FC0DB8" w:rsidP="00FC0DB8">
      <w:pPr>
        <w:spacing w:before="120"/>
        <w:ind w:left="284"/>
      </w:pPr>
      <w:r>
        <w:t>Pacific adults and children have the highest rates of obesity. Two-thirds of Pacific adults (67%) and almost one-third of Pacific children (30%) are obese.</w:t>
      </w:r>
    </w:p>
    <w:p w14:paraId="7BD9CB18" w14:textId="575523A7" w:rsidR="00FC0DB8" w:rsidRDefault="00FC0DB8" w:rsidP="00E17B60">
      <w:pPr>
        <w:keepLines/>
        <w:spacing w:before="120"/>
        <w:ind w:left="284"/>
      </w:pPr>
      <w:r>
        <w:t>Cost may be a barrier to Pacific peoples accessing prescription medications to treat health problems. Prescription costs have prevented 19% of Pacific adults and the parents or</w:t>
      </w:r>
      <w:r w:rsidR="00782130">
        <w:t xml:space="preserve"> primary caregivers of 10</w:t>
      </w:r>
      <w:r>
        <w:t>% of Pacific children from collecting a prescription in the past 12 months. Pacific adults and children are more than three times as likely to have not collected a prescription due to cost as non-Pacific adults and children respectively, after adjusting for age and sex differences.</w:t>
      </w:r>
    </w:p>
    <w:p w14:paraId="6D515512" w14:textId="77777777" w:rsidR="00FC0DB8" w:rsidRDefault="00FC0DB8" w:rsidP="00E17B60">
      <w:pPr>
        <w:pStyle w:val="Bullet"/>
        <w:keepLines/>
        <w:spacing w:before="240"/>
      </w:pPr>
      <w:r w:rsidRPr="00BD43C2">
        <w:rPr>
          <w:b/>
        </w:rPr>
        <w:lastRenderedPageBreak/>
        <w:t>Asian health is generally good</w:t>
      </w:r>
      <w:r>
        <w:rPr>
          <w:b/>
        </w:rPr>
        <w:t>.</w:t>
      </w:r>
      <w:r>
        <w:rPr>
          <w:b/>
        </w:rPr>
        <w:br/>
      </w:r>
      <w:r w:rsidRPr="00BD43C2">
        <w:t>Asian adults</w:t>
      </w:r>
      <w:r w:rsidRPr="00406730">
        <w:t xml:space="preserve"> have low rates of smoking</w:t>
      </w:r>
      <w:r>
        <w:t xml:space="preserve"> and hazardous drinking compared with non-Asian adults. Asians have comparatively low rates of o</w:t>
      </w:r>
      <w:r w:rsidRPr="004F547F">
        <w:t>besity</w:t>
      </w:r>
      <w:r>
        <w:t>, a</w:t>
      </w:r>
      <w:r w:rsidRPr="00406730">
        <w:t>sthma, arthritis</w:t>
      </w:r>
      <w:r>
        <w:t xml:space="preserve"> and</w:t>
      </w:r>
      <w:r w:rsidRPr="00406730">
        <w:t xml:space="preserve"> chronic pain</w:t>
      </w:r>
      <w:r>
        <w:t xml:space="preserve">. However, Asian adults are about 1.8 times as likely as non-Asians to have been diagnosed with diabetes in the last 12 months, </w:t>
      </w:r>
      <w:r w:rsidRPr="002123DA">
        <w:t>after adjusting for age and sex differences</w:t>
      </w:r>
      <w:r>
        <w:t>.</w:t>
      </w:r>
    </w:p>
    <w:p w14:paraId="64398F65" w14:textId="77777777" w:rsidR="00FC0DB8" w:rsidRDefault="00FC0DB8" w:rsidP="00FC0DB8">
      <w:pPr>
        <w:spacing w:before="120"/>
        <w:ind w:left="284"/>
      </w:pPr>
      <w:r w:rsidRPr="00406730">
        <w:t xml:space="preserve">Asian adults generally report lower use of primary health </w:t>
      </w:r>
      <w:r>
        <w:t xml:space="preserve">care </w:t>
      </w:r>
      <w:r w:rsidRPr="00406730">
        <w:t>services than other adults, possibly due to their better health status.</w:t>
      </w:r>
      <w:r>
        <w:t xml:space="preserve"> Asian adults also have the lowest rate of unmet need for health care (23%).</w:t>
      </w:r>
    </w:p>
    <w:p w14:paraId="0F3EF946" w14:textId="77777777" w:rsidR="00FC0DB8" w:rsidRPr="00406730" w:rsidRDefault="00FC0DB8" w:rsidP="00FC0DB8">
      <w:pPr>
        <w:spacing w:before="120"/>
        <w:ind w:left="284"/>
      </w:pPr>
      <w:r w:rsidRPr="00406730">
        <w:t>Note that the Asian ethnic group is very diverse, and therefore data</w:t>
      </w:r>
      <w:r>
        <w:t xml:space="preserve"> should be interpreted with caution</w:t>
      </w:r>
      <w:r w:rsidRPr="00406730">
        <w:t>. For example, the health profile of Indians is different to that of Chinese. Furthermore</w:t>
      </w:r>
      <w:r>
        <w:t>,</w:t>
      </w:r>
      <w:r w:rsidRPr="00406730">
        <w:t xml:space="preserve"> profiles differ within these </w:t>
      </w:r>
      <w:r>
        <w:t xml:space="preserve">different </w:t>
      </w:r>
      <w:r w:rsidRPr="00406730">
        <w:t>Asian groups</w:t>
      </w:r>
      <w:r>
        <w:t>,</w:t>
      </w:r>
      <w:r w:rsidRPr="00406730">
        <w:t xml:space="preserve"> for example, depending on whether people were born in New Zealand or overseas.</w:t>
      </w:r>
    </w:p>
    <w:p w14:paraId="7DEDB543" w14:textId="77777777" w:rsidR="00FC0DB8" w:rsidRPr="00BD43C2" w:rsidRDefault="00FC0DB8" w:rsidP="00FC0DB8">
      <w:pPr>
        <w:pStyle w:val="Bullet"/>
        <w:spacing w:before="240"/>
      </w:pPr>
      <w:r w:rsidRPr="00406730">
        <w:rPr>
          <w:b/>
        </w:rPr>
        <w:t>People living in more</w:t>
      </w:r>
      <w:r>
        <w:rPr>
          <w:b/>
        </w:rPr>
        <w:t xml:space="preserve"> socioeconomically</w:t>
      </w:r>
      <w:r w:rsidRPr="00406730">
        <w:rPr>
          <w:b/>
        </w:rPr>
        <w:t xml:space="preserve"> deprived areas have poorer health and report greater unmet need for health care</w:t>
      </w:r>
      <w:r>
        <w:rPr>
          <w:b/>
        </w:rPr>
        <w:t>, after adjusting for age, sex and ethnic differences.</w:t>
      </w:r>
      <w:r>
        <w:rPr>
          <w:b/>
        </w:rPr>
        <w:br/>
      </w:r>
      <w:r w:rsidRPr="00BD43C2">
        <w:t>Adults living in the most deprived areas are less likely to report being in good health than those living in the least deprived areas</w:t>
      </w:r>
      <w:r>
        <w:t>.</w:t>
      </w:r>
    </w:p>
    <w:p w14:paraId="234FCC72" w14:textId="77777777" w:rsidR="00FC0DB8" w:rsidRDefault="00FC0DB8" w:rsidP="00FC0DB8">
      <w:pPr>
        <w:spacing w:before="120"/>
        <w:ind w:left="284"/>
      </w:pPr>
      <w:r>
        <w:t>A</w:t>
      </w:r>
      <w:r w:rsidRPr="00406730">
        <w:t>dults living in the most socioeconomically deprived areas have significantly higher levels of most health risks, including smoking, hazardous drinking, inadequate vegetable and fruit intake, physical inactivity and obesity.</w:t>
      </w:r>
      <w:r>
        <w:t xml:space="preserve"> </w:t>
      </w:r>
      <w:r w:rsidRPr="00406730">
        <w:t xml:space="preserve">They also have higher rates of </w:t>
      </w:r>
      <w:r>
        <w:t xml:space="preserve">high blood pressure (medicated), </w:t>
      </w:r>
      <w:r w:rsidRPr="00406730">
        <w:t>psychological distress</w:t>
      </w:r>
      <w:r>
        <w:t>,</w:t>
      </w:r>
      <w:r w:rsidRPr="00406730">
        <w:t xml:space="preserve"> </w:t>
      </w:r>
      <w:r>
        <w:t xml:space="preserve">asthma, arthritis </w:t>
      </w:r>
      <w:r w:rsidRPr="00406730">
        <w:t>and chronic pain.</w:t>
      </w:r>
    </w:p>
    <w:p w14:paraId="4762E3B1" w14:textId="77777777" w:rsidR="00FC0DB8" w:rsidRPr="00B34C5F" w:rsidRDefault="00FC0DB8" w:rsidP="00E17B60">
      <w:pPr>
        <w:spacing w:before="120"/>
        <w:ind w:left="284"/>
      </w:pPr>
      <w:r w:rsidRPr="00316BA0">
        <w:t>C</w:t>
      </w:r>
      <w:r>
        <w:t>hildren living in socioeconomically deprived areas also have higher levels of most health risks than those living in the least deprived areas. For example, they are less likely to eat breakfast at home every day, more likely to drink three or more fizzy drinks in a week and more likely to be obese. They also have higher rates of asthma (medicated) and teeth being removed due to decay, abscess or infection.</w:t>
      </w:r>
      <w:r w:rsidRPr="00B34C5F">
        <w:t xml:space="preserve"> </w:t>
      </w:r>
      <w:r w:rsidRPr="00776F9C">
        <w:t xml:space="preserve">Children living in the most deprived areas are </w:t>
      </w:r>
      <w:r>
        <w:t>three times</w:t>
      </w:r>
      <w:r w:rsidRPr="00776F9C">
        <w:t xml:space="preserve"> as likely to be physically punished as those </w:t>
      </w:r>
      <w:r>
        <w:t xml:space="preserve">living </w:t>
      </w:r>
      <w:r w:rsidRPr="00776F9C">
        <w:t>in the least deprived areas, after adjusting for a</w:t>
      </w:r>
      <w:r>
        <w:t>ge, sex and ethnic differences.</w:t>
      </w:r>
    </w:p>
    <w:p w14:paraId="37C5D292" w14:textId="77777777" w:rsidR="00FD6712" w:rsidRDefault="00FC0DB8" w:rsidP="00FC0DB8">
      <w:pPr>
        <w:spacing w:before="120"/>
        <w:ind w:left="284"/>
      </w:pPr>
      <w:r>
        <w:t>Although adults living in the most deprived areas report similar levels of GP use over the past year to those living in the least deprived areas, they have much higher levels of unmet need for health care. Adults living in the most deprived areas are more than twice as likely to have not visited a GP due to cost in the past year and more than four times as likely to have not collected a prescription due to cost, compared with those living in the least deprived areas, after adjusting for age, sex and ethnic differences.</w:t>
      </w:r>
    </w:p>
    <w:p w14:paraId="3B2BF9A4" w14:textId="77777777" w:rsidR="00FC0DB8" w:rsidRDefault="00FC0DB8" w:rsidP="00FC0DB8">
      <w:pPr>
        <w:spacing w:before="120"/>
        <w:ind w:left="284"/>
      </w:pPr>
      <w:r>
        <w:t>Children living in the most deprived areas were 5.6 times as likely to have not collected a prescription due to cost in the past year, compared with those living in the least deprived areas, after adjusting for age, sex and ethnic differences. These types of unmet need for health care are of particular concern where they affect people who are already in poor health.</w:t>
      </w:r>
    </w:p>
    <w:p w14:paraId="2114D0D0" w14:textId="77777777" w:rsidR="00FC0DB8" w:rsidRDefault="00FC0DB8" w:rsidP="00FC0DB8"/>
    <w:p w14:paraId="369B72EF" w14:textId="77777777" w:rsidR="00FC0DB8" w:rsidRDefault="00FC0DB8" w:rsidP="00E11BD8">
      <w:pPr>
        <w:pStyle w:val="BoxHeading"/>
        <w:pBdr>
          <w:top w:val="single" w:sz="4" w:space="12" w:color="auto"/>
          <w:left w:val="single" w:sz="4" w:space="12" w:color="auto"/>
          <w:bottom w:val="single" w:sz="4" w:space="12" w:color="auto"/>
          <w:right w:val="single" w:sz="4" w:space="12" w:color="auto"/>
        </w:pBdr>
        <w:ind w:left="284" w:right="284"/>
        <w:rPr>
          <w:lang w:eastAsia="en-NZ"/>
        </w:rPr>
      </w:pPr>
      <w:r>
        <w:rPr>
          <w:lang w:eastAsia="en-NZ"/>
        </w:rPr>
        <w:t>Did you find what you were looking for?</w:t>
      </w:r>
    </w:p>
    <w:p w14:paraId="04951D95" w14:textId="77777777" w:rsidR="00FC0DB8" w:rsidRDefault="00FC0DB8" w:rsidP="00E11BD8">
      <w:pPr>
        <w:pStyle w:val="Box"/>
        <w:pBdr>
          <w:top w:val="single" w:sz="4" w:space="12" w:color="auto"/>
          <w:left w:val="single" w:sz="4" w:space="12" w:color="auto"/>
          <w:bottom w:val="single" w:sz="4" w:space="12" w:color="auto"/>
          <w:right w:val="single" w:sz="4" w:space="12" w:color="auto"/>
        </w:pBdr>
        <w:ind w:left="284" w:right="284"/>
        <w:rPr>
          <w:rFonts w:cs="Arial Mäori"/>
          <w:lang w:eastAsia="en-NZ"/>
        </w:rPr>
      </w:pPr>
      <w:r>
        <w:rPr>
          <w:lang w:eastAsia="en-NZ"/>
        </w:rPr>
        <w:t xml:space="preserve">Please help us improve our reports – tell us whether we are giving you the information you </w:t>
      </w:r>
      <w:r>
        <w:rPr>
          <w:rFonts w:cs="Arial Mäori"/>
          <w:lang w:eastAsia="en-NZ"/>
        </w:rPr>
        <w:t xml:space="preserve">want at </w:t>
      </w:r>
      <w:hyperlink r:id="rId16" w:history="1">
        <w:r>
          <w:rPr>
            <w:rStyle w:val="Hyperlink"/>
            <w:rFonts w:cs="Arial Mäori"/>
            <w:b/>
            <w:sz w:val="24"/>
            <w:szCs w:val="24"/>
            <w:lang w:eastAsia="en-NZ"/>
          </w:rPr>
          <w:t>www.health.govt.nz/nzhs-feedback</w:t>
        </w:r>
      </w:hyperlink>
    </w:p>
    <w:p w14:paraId="679CA00A" w14:textId="77777777" w:rsidR="00FC0DB8" w:rsidRPr="005C7823" w:rsidRDefault="00FC0DB8" w:rsidP="00E11BD8">
      <w:pPr>
        <w:pStyle w:val="Box"/>
        <w:pBdr>
          <w:top w:val="single" w:sz="4" w:space="12" w:color="auto"/>
          <w:left w:val="single" w:sz="4" w:space="12" w:color="auto"/>
          <w:bottom w:val="single" w:sz="4" w:space="12" w:color="auto"/>
          <w:right w:val="single" w:sz="4" w:space="12" w:color="auto"/>
        </w:pBdr>
        <w:ind w:left="284" w:right="284"/>
      </w:pPr>
      <w:r>
        <w:rPr>
          <w:rFonts w:cs="Arial Mäori"/>
          <w:lang w:eastAsia="en-NZ"/>
        </w:rPr>
        <w:t>It</w:t>
      </w:r>
      <w:r>
        <w:rPr>
          <w:lang w:eastAsia="en-NZ"/>
        </w:rPr>
        <w:t xml:space="preserve"> will only take a minute or two, and we really value your feedback!</w:t>
      </w:r>
    </w:p>
    <w:p w14:paraId="7EB48156" w14:textId="77777777" w:rsidR="00FC0DB8" w:rsidRPr="0021763B" w:rsidRDefault="00FC0DB8" w:rsidP="00FC0DB8"/>
    <w:p w14:paraId="6DD2BB0C" w14:textId="77777777" w:rsidR="00455CC9" w:rsidRDefault="00455CC9" w:rsidP="0086388B"/>
    <w:p w14:paraId="485EB079" w14:textId="77777777" w:rsidR="00C86248" w:rsidRDefault="00C86248">
      <w:pPr>
        <w:sectPr w:rsidR="00C86248" w:rsidSect="009D5125">
          <w:headerReference w:type="even" r:id="rId17"/>
          <w:headerReference w:type="default" r:id="rId18"/>
          <w:footerReference w:type="even" r:id="rId19"/>
          <w:footerReference w:type="default" r:id="rId20"/>
          <w:pgSz w:w="11907" w:h="16840" w:code="9"/>
          <w:pgMar w:top="851" w:right="1134" w:bottom="1134" w:left="1134" w:header="284" w:footer="567" w:gutter="284"/>
          <w:pgNumType w:fmt="lowerRoman"/>
          <w:cols w:space="720"/>
        </w:sectPr>
      </w:pPr>
    </w:p>
    <w:p w14:paraId="73A4E832" w14:textId="77777777" w:rsidR="008C2973" w:rsidRDefault="00032C0A" w:rsidP="0086388B">
      <w:pPr>
        <w:pStyle w:val="Heading1"/>
      </w:pPr>
      <w:bookmarkStart w:id="13" w:name="_Toc467831528"/>
      <w:r>
        <w:lastRenderedPageBreak/>
        <w:t>Introduction</w:t>
      </w:r>
      <w:bookmarkEnd w:id="13"/>
    </w:p>
    <w:p w14:paraId="186CC8FE" w14:textId="77777777" w:rsidR="00DC0A66" w:rsidRDefault="00DC0A66" w:rsidP="00E17B60">
      <w:pPr>
        <w:pStyle w:val="Heading2"/>
      </w:pPr>
      <w:bookmarkStart w:id="14" w:name="_Toc372445542"/>
      <w:bookmarkStart w:id="15" w:name="_Toc403043996"/>
      <w:bookmarkStart w:id="16" w:name="_Toc467491512"/>
      <w:bookmarkStart w:id="17" w:name="_Toc467831529"/>
      <w:r>
        <w:t>Overview</w:t>
      </w:r>
      <w:bookmarkEnd w:id="14"/>
      <w:bookmarkEnd w:id="15"/>
      <w:bookmarkEnd w:id="16"/>
      <w:bookmarkEnd w:id="17"/>
    </w:p>
    <w:p w14:paraId="20677172" w14:textId="77777777" w:rsidR="00FC0DB8" w:rsidRDefault="00FC0DB8" w:rsidP="00E17B60">
      <w:r>
        <w:t xml:space="preserve">The New Zealand Health Survey conducts face-to-face </w:t>
      </w:r>
      <w:r w:rsidRPr="008C5A1E">
        <w:t>interviews</w:t>
      </w:r>
      <w:r>
        <w:t xml:space="preserve"> with</w:t>
      </w:r>
      <w:r w:rsidRPr="008C5A1E">
        <w:t xml:space="preserve"> </w:t>
      </w:r>
      <w:r>
        <w:t>over</w:t>
      </w:r>
      <w:r w:rsidRPr="008C5A1E">
        <w:t xml:space="preserve"> 13,000 adults and the parents</w:t>
      </w:r>
      <w:r>
        <w:t xml:space="preserve"> or primary </w:t>
      </w:r>
      <w:r w:rsidRPr="008C5A1E">
        <w:t xml:space="preserve">caregivers of </w:t>
      </w:r>
      <w:r>
        <w:t xml:space="preserve">over </w:t>
      </w:r>
      <w:r w:rsidRPr="008C5A1E">
        <w:t>4</w:t>
      </w:r>
      <w:r>
        <w:t>0</w:t>
      </w:r>
      <w:r w:rsidRPr="008C5A1E">
        <w:t>00 children annually. The survey collects</w:t>
      </w:r>
      <w:r>
        <w:t xml:space="preserve"> a wealth of</w:t>
      </w:r>
      <w:r w:rsidRPr="008C5A1E">
        <w:t xml:space="preserve"> information on the health and wellbeing of New Zealanders. Every year</w:t>
      </w:r>
      <w:r>
        <w:t>,</w:t>
      </w:r>
      <w:r w:rsidRPr="008C5A1E">
        <w:t xml:space="preserve"> </w:t>
      </w:r>
      <w:r>
        <w:t>it</w:t>
      </w:r>
      <w:r w:rsidRPr="008C5A1E">
        <w:t xml:space="preserve"> </w:t>
      </w:r>
      <w:r>
        <w:t>includes</w:t>
      </w:r>
      <w:r w:rsidRPr="008C5A1E">
        <w:t xml:space="preserve"> a core set of questions</w:t>
      </w:r>
      <w:r>
        <w:t>,</w:t>
      </w:r>
      <w:r w:rsidRPr="008C5A1E">
        <w:t xml:space="preserve"> </w:t>
      </w:r>
      <w:r>
        <w:t xml:space="preserve">which </w:t>
      </w:r>
      <w:r w:rsidRPr="008C5A1E">
        <w:t xml:space="preserve">help </w:t>
      </w:r>
      <w:r>
        <w:t>the Ministry of Health (the Ministry)</w:t>
      </w:r>
      <w:r w:rsidRPr="008C5A1E">
        <w:t xml:space="preserve"> identify key issues and monitor trends</w:t>
      </w:r>
      <w:r>
        <w:t>.</w:t>
      </w:r>
    </w:p>
    <w:p w14:paraId="3B77EC98" w14:textId="77777777" w:rsidR="00FC0DB8" w:rsidRDefault="00FC0DB8" w:rsidP="00206717"/>
    <w:p w14:paraId="02BC5651" w14:textId="77777777" w:rsidR="00FC0DB8" w:rsidRDefault="00FC0DB8" w:rsidP="00206717">
      <w:r>
        <w:t xml:space="preserve">This report </w:t>
      </w:r>
      <w:r w:rsidRPr="008C5A1E">
        <w:t>present</w:t>
      </w:r>
      <w:r>
        <w:t>s</w:t>
      </w:r>
      <w:r w:rsidRPr="008C5A1E">
        <w:t xml:space="preserve"> t</w:t>
      </w:r>
      <w:r>
        <w:t>he annual update of key result</w:t>
      </w:r>
      <w:r w:rsidRPr="002223C4">
        <w:t xml:space="preserve">s from the </w:t>
      </w:r>
      <w:r w:rsidRPr="008C5A1E">
        <w:t>201</w:t>
      </w:r>
      <w:r>
        <w:t>5</w:t>
      </w:r>
      <w:r w:rsidRPr="008C5A1E">
        <w:t>/1</w:t>
      </w:r>
      <w:r>
        <w:t>6</w:t>
      </w:r>
      <w:r w:rsidRPr="008C5A1E">
        <w:t xml:space="preserve"> </w:t>
      </w:r>
      <w:r>
        <w:t xml:space="preserve">New Zealand Health Survey (the survey), which collected data from July 2015 to June 2016. It includes data for key survey indicators, providing a </w:t>
      </w:r>
      <w:r w:rsidRPr="008C5A1E">
        <w:t>snapshot of health behaviours, health status and access to health care fo</w:t>
      </w:r>
      <w:r>
        <w:t>r both adults and children. These key indicators</w:t>
      </w:r>
      <w:r w:rsidRPr="008C5A1E">
        <w:t xml:space="preserve"> help highlight at-risk groups and focus attention on </w:t>
      </w:r>
      <w:r>
        <w:t>important</w:t>
      </w:r>
      <w:r w:rsidRPr="008C5A1E">
        <w:t xml:space="preserve"> issues, as well as identifying areas for further research.</w:t>
      </w:r>
    </w:p>
    <w:p w14:paraId="0E4825C4" w14:textId="77777777" w:rsidR="00FC0DB8" w:rsidRDefault="00FC0DB8" w:rsidP="00206717"/>
    <w:p w14:paraId="00DD767F" w14:textId="77777777" w:rsidR="00FC0DB8" w:rsidRDefault="00FC0DB8" w:rsidP="00FC0DB8">
      <w:r w:rsidRPr="008C5A1E">
        <w:t xml:space="preserve">Data from the </w:t>
      </w:r>
      <w:r>
        <w:t>survey are made</w:t>
      </w:r>
      <w:r w:rsidRPr="008C5A1E">
        <w:t xml:space="preserve"> available in a range of formats to suit the needs of different users</w:t>
      </w:r>
      <w:r>
        <w:t>, i</w:t>
      </w:r>
      <w:r w:rsidRPr="00206717">
        <w:t>n</w:t>
      </w:r>
      <w:r>
        <w:t>cluding as</w:t>
      </w:r>
      <w:r w:rsidRPr="008C5A1E">
        <w:t>:</w:t>
      </w:r>
    </w:p>
    <w:p w14:paraId="4B17A9A6" w14:textId="77777777" w:rsidR="00FC0DB8" w:rsidRPr="003B39FF" w:rsidRDefault="00FC0DB8" w:rsidP="00206717">
      <w:pPr>
        <w:pStyle w:val="Bullet"/>
      </w:pPr>
      <w:r>
        <w:t>an a</w:t>
      </w:r>
      <w:r w:rsidRPr="002223C4">
        <w:t xml:space="preserve">nnual update of key findings </w:t>
      </w:r>
      <w:r w:rsidRPr="003B39FF">
        <w:t>(</w:t>
      </w:r>
      <w:r w:rsidRPr="006A3A72">
        <w:t>this report)</w:t>
      </w:r>
    </w:p>
    <w:p w14:paraId="65D41208" w14:textId="54DD52B1" w:rsidR="00FC0DB8" w:rsidRDefault="00BF481C" w:rsidP="00FC0DB8">
      <w:pPr>
        <w:pStyle w:val="Bullet"/>
      </w:pPr>
      <w:hyperlink r:id="rId21" w:history="1">
        <w:r w:rsidR="00206717" w:rsidRPr="00206717">
          <w:rPr>
            <w:rStyle w:val="Hyperlink"/>
          </w:rPr>
          <w:t>online tables</w:t>
        </w:r>
      </w:hyperlink>
      <w:r w:rsidR="00206717">
        <w:t xml:space="preserve"> </w:t>
      </w:r>
      <w:r w:rsidR="00CC227A" w:rsidRPr="008C5A1E">
        <w:t>–</w:t>
      </w:r>
      <w:r w:rsidR="00CC227A">
        <w:t xml:space="preserve"> </w:t>
      </w:r>
      <w:r w:rsidR="00FC0DB8">
        <w:t>detailed n</w:t>
      </w:r>
      <w:r w:rsidR="00FC0DB8" w:rsidRPr="008C5A1E">
        <w:t xml:space="preserve">ational results </w:t>
      </w:r>
      <w:r w:rsidR="00FC0DB8">
        <w:t>broken down for adults and children by age, sex, ethnic group and s</w:t>
      </w:r>
      <w:r w:rsidR="00FC0DB8" w:rsidRPr="00EF3E76">
        <w:t xml:space="preserve">ocioeconomic </w:t>
      </w:r>
      <w:r w:rsidR="00FC0DB8">
        <w:t>deprivation (previous survey results are also provided for comparison). You can now download the data in these tables in a machine-readable format.</w:t>
      </w:r>
    </w:p>
    <w:p w14:paraId="13C4A236" w14:textId="77777777" w:rsidR="00FC0DB8" w:rsidRPr="008C5A1E" w:rsidRDefault="00FC0DB8" w:rsidP="00FC0DB8"/>
    <w:p w14:paraId="798FBB45" w14:textId="77777777" w:rsidR="00FC0DB8" w:rsidRDefault="00FC0DB8" w:rsidP="00FC0DB8">
      <w:r w:rsidRPr="008C5A1E">
        <w:t xml:space="preserve">The </w:t>
      </w:r>
      <w:r>
        <w:t xml:space="preserve">survey </w:t>
      </w:r>
      <w:r w:rsidRPr="002223C4">
        <w:t>publications</w:t>
      </w:r>
      <w:r w:rsidRPr="008C5A1E">
        <w:t xml:space="preserve"> are intended to answer three questions</w:t>
      </w:r>
      <w:r>
        <w:t xml:space="preserve"> for each indicator.</w:t>
      </w:r>
    </w:p>
    <w:p w14:paraId="1A10351D" w14:textId="77777777" w:rsidR="00FC0DB8" w:rsidRPr="00CC50E6" w:rsidRDefault="00FC0DB8" w:rsidP="00FC0DB8">
      <w:pPr>
        <w:spacing w:before="240"/>
        <w:ind w:left="567" w:hanging="567"/>
        <w:rPr>
          <w:b/>
        </w:rPr>
      </w:pPr>
      <w:r w:rsidRPr="00CC50E6">
        <w:rPr>
          <w:b/>
        </w:rPr>
        <w:t>1</w:t>
      </w:r>
      <w:r w:rsidRPr="00CC50E6">
        <w:rPr>
          <w:b/>
        </w:rPr>
        <w:tab/>
        <w:t>What is the rate in the total population?</w:t>
      </w:r>
    </w:p>
    <w:p w14:paraId="7AD25480" w14:textId="77777777" w:rsidR="00FC0DB8" w:rsidRPr="008C5A1E" w:rsidRDefault="00FC0DB8" w:rsidP="00FC0DB8">
      <w:pPr>
        <w:pStyle w:val="Bullet"/>
        <w:tabs>
          <w:tab w:val="clear" w:pos="284"/>
          <w:tab w:val="num" w:pos="851"/>
        </w:tabs>
        <w:ind w:left="851"/>
      </w:pPr>
      <w:r w:rsidRPr="008C5A1E">
        <w:t xml:space="preserve">The </w:t>
      </w:r>
      <w:r>
        <w:t xml:space="preserve">report presents </w:t>
      </w:r>
      <w:r w:rsidRPr="008C5A1E">
        <w:t>201</w:t>
      </w:r>
      <w:r>
        <w:t>5</w:t>
      </w:r>
      <w:r w:rsidRPr="008C5A1E">
        <w:t>/1</w:t>
      </w:r>
      <w:r>
        <w:t>6</w:t>
      </w:r>
      <w:r w:rsidRPr="008C5A1E">
        <w:t xml:space="preserve"> rate</w:t>
      </w:r>
      <w:r>
        <w:t>s</w:t>
      </w:r>
      <w:r w:rsidRPr="008C5A1E">
        <w:t xml:space="preserve"> </w:t>
      </w:r>
      <w:r>
        <w:t>(and estimated numbers) for adults and children.</w:t>
      </w:r>
    </w:p>
    <w:p w14:paraId="7200B0D4" w14:textId="77777777" w:rsidR="00FC0DB8" w:rsidRPr="00CC50E6" w:rsidRDefault="00FC0DB8" w:rsidP="00FC0DB8">
      <w:pPr>
        <w:spacing w:before="240"/>
        <w:ind w:left="567" w:hanging="567"/>
        <w:rPr>
          <w:b/>
        </w:rPr>
      </w:pPr>
      <w:r w:rsidRPr="00CC50E6">
        <w:rPr>
          <w:b/>
        </w:rPr>
        <w:t>2</w:t>
      </w:r>
      <w:r w:rsidRPr="00CC50E6">
        <w:rPr>
          <w:b/>
        </w:rPr>
        <w:tab/>
        <w:t xml:space="preserve">What </w:t>
      </w:r>
      <w:r>
        <w:rPr>
          <w:b/>
        </w:rPr>
        <w:t>has changed</w:t>
      </w:r>
      <w:r w:rsidRPr="00CC50E6">
        <w:rPr>
          <w:b/>
        </w:rPr>
        <w:t>?</w:t>
      </w:r>
    </w:p>
    <w:p w14:paraId="1F8C9873" w14:textId="77777777" w:rsidR="00FC0DB8" w:rsidRDefault="00FC0DB8" w:rsidP="00FC0DB8">
      <w:pPr>
        <w:pStyle w:val="Bullet"/>
        <w:tabs>
          <w:tab w:val="clear" w:pos="284"/>
          <w:tab w:val="num" w:pos="851"/>
        </w:tabs>
        <w:ind w:left="851"/>
      </w:pPr>
      <w:r w:rsidRPr="008C5A1E">
        <w:t>Where available</w:t>
      </w:r>
      <w:r>
        <w:t>,</w:t>
      </w:r>
      <w:r w:rsidRPr="008C5A1E">
        <w:t xml:space="preserve"> </w:t>
      </w:r>
      <w:r>
        <w:t>the report</w:t>
      </w:r>
      <w:r w:rsidRPr="008C5A1E">
        <w:t xml:space="preserve"> present</w:t>
      </w:r>
      <w:r>
        <w:t>s</w:t>
      </w:r>
      <w:r w:rsidRPr="008C5A1E">
        <w:t xml:space="preserve"> </w:t>
      </w:r>
      <w:r w:rsidRPr="00154B72">
        <w:t>rates for the key survey indicator</w:t>
      </w:r>
      <w:r w:rsidRPr="008C5A1E">
        <w:t>s</w:t>
      </w:r>
      <w:r>
        <w:t xml:space="preserve"> for all years of the New Zealand Health Survey since 2006/07</w:t>
      </w:r>
      <w:r w:rsidR="00247BA3">
        <w:t>,</w:t>
      </w:r>
      <w:r w:rsidR="00206717">
        <w:rPr>
          <w:rStyle w:val="FootnoteReference"/>
        </w:rPr>
        <w:footnoteReference w:id="1"/>
      </w:r>
      <w:r>
        <w:t xml:space="preserve"> enabling comparisons to be made.</w:t>
      </w:r>
    </w:p>
    <w:p w14:paraId="6FC128C0" w14:textId="77777777" w:rsidR="00FC0DB8" w:rsidRDefault="00FC0DB8" w:rsidP="00FC0DB8">
      <w:pPr>
        <w:pStyle w:val="Bullet"/>
        <w:tabs>
          <w:tab w:val="clear" w:pos="284"/>
          <w:tab w:val="num" w:pos="851"/>
        </w:tabs>
        <w:ind w:left="851"/>
      </w:pPr>
      <w:r>
        <w:t>The beginning of the adult and child sections of this report</w:t>
      </w:r>
      <w:r w:rsidDel="00902A2D">
        <w:t xml:space="preserve"> </w:t>
      </w:r>
      <w:r>
        <w:t>provide k</w:t>
      </w:r>
      <w:r w:rsidRPr="008C5A1E">
        <w:t xml:space="preserve">ey survey indicators for </w:t>
      </w:r>
      <w:r>
        <w:t>Māori</w:t>
      </w:r>
      <w:r w:rsidRPr="008C5A1E">
        <w:t xml:space="preserve"> and Pacific </w:t>
      </w:r>
      <w:r>
        <w:t>peoples, enabling comparisons to be made</w:t>
      </w:r>
      <w:r w:rsidRPr="008C5A1E">
        <w:t>.</w:t>
      </w:r>
    </w:p>
    <w:p w14:paraId="604537B2" w14:textId="3859F29C" w:rsidR="00FC0DB8" w:rsidRPr="008C5A1E" w:rsidRDefault="00BF481C" w:rsidP="00FC0DB8">
      <w:pPr>
        <w:pStyle w:val="Bullet"/>
        <w:ind w:left="851"/>
      </w:pPr>
      <w:hyperlink r:id="rId22" w:history="1">
        <w:r w:rsidR="00FC0DB8" w:rsidRPr="00CC227A">
          <w:rPr>
            <w:rStyle w:val="Hyperlink"/>
          </w:rPr>
          <w:t>Online tables</w:t>
        </w:r>
      </w:hyperlink>
      <w:r w:rsidR="00FC0DB8">
        <w:t xml:space="preserve"> provide m</w:t>
      </w:r>
      <w:r w:rsidR="00FC0DB8" w:rsidRPr="008C5A1E">
        <w:t xml:space="preserve">ore detailed trend data, including analyses by </w:t>
      </w:r>
      <w:r w:rsidR="00FC0DB8">
        <w:t>sex, age and ethnicity</w:t>
      </w:r>
      <w:r w:rsidR="00FC0DB8" w:rsidRPr="008C5A1E">
        <w:t>.</w:t>
      </w:r>
    </w:p>
    <w:p w14:paraId="5A76A1DF" w14:textId="77777777" w:rsidR="00FC0DB8" w:rsidRDefault="00FC0DB8" w:rsidP="00FC0DB8">
      <w:pPr>
        <w:spacing w:before="240"/>
        <w:ind w:left="567" w:hanging="567"/>
        <w:rPr>
          <w:b/>
        </w:rPr>
      </w:pPr>
      <w:r w:rsidRPr="00CC50E6">
        <w:rPr>
          <w:b/>
        </w:rPr>
        <w:t>3</w:t>
      </w:r>
      <w:r w:rsidRPr="00CC50E6">
        <w:rPr>
          <w:b/>
        </w:rPr>
        <w:tab/>
        <w:t>Are the results the same for everyone? In particular, do indicators vary by sex, age, ethnicit</w:t>
      </w:r>
      <w:r>
        <w:rPr>
          <w:b/>
        </w:rPr>
        <w:t>y or neighbourhood</w:t>
      </w:r>
      <w:r w:rsidRPr="00CC50E6">
        <w:rPr>
          <w:b/>
        </w:rPr>
        <w:t xml:space="preserve"> deprivation?</w:t>
      </w:r>
    </w:p>
    <w:p w14:paraId="142CCBAB" w14:textId="77777777" w:rsidR="00FC0DB8" w:rsidRDefault="00FC0DB8" w:rsidP="00FC0DB8">
      <w:pPr>
        <w:pStyle w:val="Bullet"/>
        <w:tabs>
          <w:tab w:val="clear" w:pos="284"/>
          <w:tab w:val="num" w:pos="851"/>
        </w:tabs>
        <w:ind w:left="851"/>
      </w:pPr>
      <w:r>
        <w:t>R</w:t>
      </w:r>
      <w:r w:rsidRPr="008C5A1E">
        <w:t>ate ratios compar</w:t>
      </w:r>
      <w:r>
        <w:t>e</w:t>
      </w:r>
      <w:r w:rsidRPr="008C5A1E">
        <w:t xml:space="preserve"> male</w:t>
      </w:r>
      <w:r>
        <w:t>s</w:t>
      </w:r>
      <w:r w:rsidRPr="008C5A1E">
        <w:t xml:space="preserve"> </w:t>
      </w:r>
      <w:r>
        <w:t>with</w:t>
      </w:r>
      <w:r w:rsidRPr="008C5A1E">
        <w:t xml:space="preserve"> female</w:t>
      </w:r>
      <w:r>
        <w:t>s</w:t>
      </w:r>
      <w:r w:rsidRPr="008C5A1E">
        <w:t xml:space="preserve">, Māori </w:t>
      </w:r>
      <w:r>
        <w:t>with</w:t>
      </w:r>
      <w:r w:rsidRPr="008C5A1E">
        <w:t xml:space="preserve"> non-Māori, Pacific </w:t>
      </w:r>
      <w:r>
        <w:t>with</w:t>
      </w:r>
      <w:r w:rsidRPr="008C5A1E">
        <w:t xml:space="preserve"> non-Pacific</w:t>
      </w:r>
      <w:r>
        <w:t>,</w:t>
      </w:r>
      <w:r w:rsidRPr="008C5A1E">
        <w:t xml:space="preserve"> and </w:t>
      </w:r>
      <w:r>
        <w:t xml:space="preserve">people living in </w:t>
      </w:r>
      <w:r w:rsidRPr="008C5A1E">
        <w:t>high</w:t>
      </w:r>
      <w:r>
        <w:t>-</w:t>
      </w:r>
      <w:r w:rsidRPr="008C5A1E">
        <w:t xml:space="preserve">deprivation </w:t>
      </w:r>
      <w:r>
        <w:t>areas with</w:t>
      </w:r>
      <w:r w:rsidRPr="008C5A1E">
        <w:t xml:space="preserve"> </w:t>
      </w:r>
      <w:r>
        <w:t xml:space="preserve">those in </w:t>
      </w:r>
      <w:r w:rsidRPr="008C5A1E">
        <w:t>low</w:t>
      </w:r>
      <w:r>
        <w:t>-</w:t>
      </w:r>
      <w:r w:rsidRPr="008C5A1E">
        <w:t xml:space="preserve">deprivation areas for each key survey indicator. </w:t>
      </w:r>
      <w:r>
        <w:t>These rate ratios are adjusted for differences in the age, sex and ethnic structure of the population groups being compared, as appropriate.</w:t>
      </w:r>
    </w:p>
    <w:p w14:paraId="158E28EE" w14:textId="77777777" w:rsidR="00FC0DB8" w:rsidRPr="008C5A1E" w:rsidRDefault="00FC0DB8" w:rsidP="00FC0DB8">
      <w:pPr>
        <w:pStyle w:val="Bullet"/>
        <w:ind w:left="851"/>
      </w:pPr>
      <w:r>
        <w:t>A bar chart summarises the age distribution of</w:t>
      </w:r>
      <w:r w:rsidRPr="008C5A1E">
        <w:t xml:space="preserve"> each indicator.</w:t>
      </w:r>
      <w:r>
        <w:t xml:space="preserve"> The online tables provide detailed results, including trends by sex, age and ethnicity.</w:t>
      </w:r>
    </w:p>
    <w:p w14:paraId="09C4E2B8" w14:textId="77777777" w:rsidR="00FC0DB8" w:rsidRDefault="00FC0DB8" w:rsidP="00FC0DB8"/>
    <w:p w14:paraId="613A5F6B" w14:textId="77777777" w:rsidR="00FC0DB8" w:rsidRPr="008C5A1E" w:rsidRDefault="00FC0DB8" w:rsidP="00FC0DB8">
      <w:pPr>
        <w:pStyle w:val="Heading2"/>
      </w:pPr>
      <w:bookmarkStart w:id="18" w:name="_Toc373153649"/>
      <w:bookmarkStart w:id="19" w:name="_Toc404618277"/>
      <w:bookmarkStart w:id="20" w:name="_Toc435784734"/>
      <w:bookmarkStart w:id="21" w:name="_Toc436730768"/>
      <w:bookmarkStart w:id="22" w:name="_Toc467831530"/>
      <w:r w:rsidRPr="00A04F43">
        <w:lastRenderedPageBreak/>
        <w:t>Methodology</w:t>
      </w:r>
      <w:bookmarkEnd w:id="18"/>
      <w:bookmarkEnd w:id="19"/>
      <w:bookmarkEnd w:id="20"/>
      <w:bookmarkEnd w:id="21"/>
      <w:bookmarkEnd w:id="22"/>
    </w:p>
    <w:p w14:paraId="176B7D04" w14:textId="77777777" w:rsidR="00FC0DB8" w:rsidRPr="008C5A1E" w:rsidRDefault="00FC0DB8" w:rsidP="00FC0DB8">
      <w:pPr>
        <w:pStyle w:val="Heading3"/>
      </w:pPr>
      <w:r w:rsidRPr="008C5A1E">
        <w:t xml:space="preserve">Sample </w:t>
      </w:r>
      <w:r>
        <w:t>s</w:t>
      </w:r>
      <w:r w:rsidRPr="008C5A1E">
        <w:t>election</w:t>
      </w:r>
    </w:p>
    <w:p w14:paraId="11A7C092" w14:textId="4A31D104" w:rsidR="00FC0DB8" w:rsidRDefault="00FC0DB8" w:rsidP="00FC0DB8">
      <w:r w:rsidRPr="008C5A1E">
        <w:t>The 201</w:t>
      </w:r>
      <w:r>
        <w:t>5</w:t>
      </w:r>
      <w:r w:rsidRPr="008C5A1E">
        <w:t>/1</w:t>
      </w:r>
      <w:r>
        <w:t>6</w:t>
      </w:r>
      <w:r w:rsidRPr="008C5A1E">
        <w:t xml:space="preserve"> results </w:t>
      </w:r>
      <w:r>
        <w:t xml:space="preserve">provided </w:t>
      </w:r>
      <w:r w:rsidRPr="008C5A1E">
        <w:t xml:space="preserve">in this report refer to the sample selected </w:t>
      </w:r>
      <w:r>
        <w:t>for the period</w:t>
      </w:r>
      <w:r w:rsidRPr="008C5A1E">
        <w:t xml:space="preserve"> July 201</w:t>
      </w:r>
      <w:r>
        <w:t xml:space="preserve">5 to </w:t>
      </w:r>
      <w:r w:rsidRPr="008C5A1E">
        <w:t>June 201</w:t>
      </w:r>
      <w:r>
        <w:t>6</w:t>
      </w:r>
      <w:r w:rsidRPr="008C5A1E">
        <w:t xml:space="preserve">. </w:t>
      </w:r>
      <w:r w:rsidR="00BF2E4A">
        <w:t>S</w:t>
      </w:r>
      <w:r w:rsidRPr="008C5A1E">
        <w:t xml:space="preserve">urvey </w:t>
      </w:r>
      <w:r w:rsidR="00BF2E4A">
        <w:t xml:space="preserve">respondents are selected from </w:t>
      </w:r>
      <w:r w:rsidRPr="008C5A1E">
        <w:t xml:space="preserve">the </w:t>
      </w:r>
      <w:r w:rsidR="00FD6712">
        <w:t>‘</w:t>
      </w:r>
      <w:r w:rsidRPr="008C5A1E">
        <w:t>usually resident</w:t>
      </w:r>
      <w:r w:rsidR="00FD6712">
        <w:t>’</w:t>
      </w:r>
      <w:r w:rsidRPr="008C5A1E">
        <w:t xml:space="preserve"> population of all ages living in </w:t>
      </w:r>
      <w:r w:rsidR="00BF2E4A">
        <w:t xml:space="preserve">private </w:t>
      </w:r>
      <w:r w:rsidRPr="008C5A1E">
        <w:t>dwellings, aged-care facilitie</w:t>
      </w:r>
      <w:r>
        <w:t>s and student accommodation. The survey did not include</w:t>
      </w:r>
      <w:r w:rsidRPr="008C5A1E">
        <w:t xml:space="preserve">: people living in institutions </w:t>
      </w:r>
      <w:r>
        <w:t>(</w:t>
      </w:r>
      <w:r w:rsidRPr="008C5A1E">
        <w:t>such as long-term hospital care, hospital-</w:t>
      </w:r>
      <w:r>
        <w:t xml:space="preserve"> </w:t>
      </w:r>
      <w:r w:rsidRPr="008C5A1E">
        <w:t>and dementia-level care in aged-care facilities and prisons</w:t>
      </w:r>
      <w:r>
        <w:t>),</w:t>
      </w:r>
      <w:r w:rsidRPr="008C5A1E">
        <w:t xml:space="preserve"> the homeless</w:t>
      </w:r>
      <w:r>
        <w:t>,</w:t>
      </w:r>
      <w:r w:rsidRPr="008C5A1E">
        <w:t xml:space="preserve"> short-term visitors and tourists.</w:t>
      </w:r>
      <w:r>
        <w:t xml:space="preserve"> T</w:t>
      </w:r>
      <w:r w:rsidRPr="008C5A1E">
        <w:t xml:space="preserve">rained </w:t>
      </w:r>
      <w:r>
        <w:t>interviewer</w:t>
      </w:r>
      <w:r w:rsidRPr="008C5A1E">
        <w:t xml:space="preserve">s from CBG Health Research Ltd </w:t>
      </w:r>
      <w:r>
        <w:t xml:space="preserve">randomly selected participants and </w:t>
      </w:r>
      <w:r w:rsidRPr="008C5A1E">
        <w:t>carr</w:t>
      </w:r>
      <w:r>
        <w:t>ied</w:t>
      </w:r>
      <w:r w:rsidRPr="008C5A1E">
        <w:t xml:space="preserve"> out the survey interviews</w:t>
      </w:r>
      <w:r>
        <w:t>. Further details on the sample design are available in</w:t>
      </w:r>
      <w:r w:rsidR="00247BA3">
        <w:t xml:space="preserve"> </w:t>
      </w:r>
      <w:hyperlink r:id="rId23" w:history="1">
        <w:r w:rsidR="00247BA3" w:rsidRPr="00B24158">
          <w:rPr>
            <w:rStyle w:val="Hyperlink"/>
            <w:i/>
          </w:rPr>
          <w:t>Sample Design from 2015/16: New Zealand Health Survey</w:t>
        </w:r>
      </w:hyperlink>
      <w:r w:rsidR="00247BA3">
        <w:t xml:space="preserve"> </w:t>
      </w:r>
      <w:r>
        <w:t>(Ministry of Health 2016a).</w:t>
      </w:r>
    </w:p>
    <w:p w14:paraId="6B936AC4" w14:textId="77777777" w:rsidR="00FC0DB8" w:rsidRDefault="00FC0DB8" w:rsidP="00247BA3"/>
    <w:p w14:paraId="1173D738" w14:textId="77777777" w:rsidR="00FC0DB8" w:rsidRDefault="00FC0DB8" w:rsidP="00FC0DB8">
      <w:pPr>
        <w:pStyle w:val="Heading3"/>
      </w:pPr>
      <w:r w:rsidRPr="00C0193B">
        <w:t>Sample size</w:t>
      </w:r>
    </w:p>
    <w:p w14:paraId="2414361E" w14:textId="77777777" w:rsidR="00FD6712" w:rsidRDefault="00FC0DB8" w:rsidP="00FC0DB8">
      <w:r w:rsidRPr="006C17A2">
        <w:t>Of those invited to participate in the survey, 80% of adults (13,781 adults) and 80% of parents or primary caregivers (representing 4721 children)</w:t>
      </w:r>
      <w:r w:rsidRPr="00A31525">
        <w:t xml:space="preserve"> agreed to be interviewed. Table </w:t>
      </w:r>
      <w:r>
        <w:t>1</w:t>
      </w:r>
      <w:r w:rsidRPr="00A31525">
        <w:t xml:space="preserve"> summar</w:t>
      </w:r>
      <w:r>
        <w:t>ises</w:t>
      </w:r>
      <w:r w:rsidRPr="00A31525">
        <w:t xml:space="preserve"> the number of survey respondents by ethnic group.</w:t>
      </w:r>
    </w:p>
    <w:p w14:paraId="366CEE45" w14:textId="77777777" w:rsidR="00FC0DB8" w:rsidRDefault="00FC0DB8" w:rsidP="00FC0DB8"/>
    <w:p w14:paraId="0BFDB0F3" w14:textId="77777777" w:rsidR="00FC0DB8" w:rsidRPr="00A31525" w:rsidRDefault="00FC0DB8" w:rsidP="00FC0DB8">
      <w:r w:rsidRPr="00A31525">
        <w:t xml:space="preserve">Please note that the data in the table </w:t>
      </w:r>
      <w:r>
        <w:t>are</w:t>
      </w:r>
      <w:r w:rsidRPr="00A31525">
        <w:t xml:space="preserve"> based on total response ethnicity so</w:t>
      </w:r>
      <w:r>
        <w:t>,</w:t>
      </w:r>
      <w:r w:rsidRPr="00A31525">
        <w:t xml:space="preserve"> when</w:t>
      </w:r>
      <w:r>
        <w:t xml:space="preserve"> the different categories are</w:t>
      </w:r>
      <w:r w:rsidRPr="00A31525">
        <w:t xml:space="preserve"> summed</w:t>
      </w:r>
      <w:r>
        <w:t>,</w:t>
      </w:r>
      <w:r w:rsidRPr="00A31525">
        <w:t xml:space="preserve"> the total is greater than the total number of respondents. Appendix 1 provides further information on total response ethnicity.</w:t>
      </w:r>
    </w:p>
    <w:p w14:paraId="1E7A12A0" w14:textId="77777777" w:rsidR="00FC0DB8" w:rsidRPr="00A31525" w:rsidRDefault="00FC0DB8" w:rsidP="00FC0DB8">
      <w:pPr>
        <w:rPr>
          <w:lang w:eastAsia="en-NZ"/>
        </w:rPr>
      </w:pPr>
    </w:p>
    <w:p w14:paraId="4C294E61" w14:textId="77777777" w:rsidR="00FC0DB8" w:rsidRDefault="00FC0DB8" w:rsidP="00FC0DB8">
      <w:bookmarkStart w:id="23" w:name="_Toc404618201"/>
      <w:bookmarkStart w:id="24" w:name="_Toc435784748"/>
      <w:r w:rsidRPr="00406730">
        <w:t xml:space="preserve">Note </w:t>
      </w:r>
      <w:r>
        <w:t xml:space="preserve">also </w:t>
      </w:r>
      <w:r w:rsidRPr="00406730">
        <w:t>that the Asian ethnic group is very diverse, and therefore data</w:t>
      </w:r>
      <w:r>
        <w:t xml:space="preserve"> should be interpreted with caution</w:t>
      </w:r>
      <w:r w:rsidRPr="00406730">
        <w:t>. For example, the health profile of Indians is different to that of Chinese. Furthermore</w:t>
      </w:r>
      <w:r>
        <w:t>, profiles differ within the</w:t>
      </w:r>
      <w:r w:rsidRPr="00406730">
        <w:t xml:space="preserve"> </w:t>
      </w:r>
      <w:r>
        <w:t xml:space="preserve">different </w:t>
      </w:r>
      <w:r w:rsidRPr="00406730">
        <w:t>Asian groups; for example, depending on whether people were born in New Zealand or overseas.</w:t>
      </w:r>
    </w:p>
    <w:p w14:paraId="67B0B94D" w14:textId="77777777" w:rsidR="00FC0DB8" w:rsidRPr="00406730" w:rsidRDefault="00FC0DB8" w:rsidP="00FC0DB8"/>
    <w:p w14:paraId="01C1A58E" w14:textId="77777777" w:rsidR="00FC0DB8" w:rsidRPr="00A31525" w:rsidRDefault="00FC0DB8" w:rsidP="00247BA3">
      <w:pPr>
        <w:pStyle w:val="Table"/>
        <w:rPr>
          <w:lang w:eastAsia="en-NZ"/>
        </w:rPr>
      </w:pPr>
      <w:bookmarkStart w:id="25" w:name="_Toc466618810"/>
      <w:bookmarkStart w:id="26" w:name="_Toc467831555"/>
      <w:r w:rsidRPr="00A31525">
        <w:rPr>
          <w:lang w:eastAsia="en-NZ"/>
        </w:rPr>
        <w:t>Table 1:</w:t>
      </w:r>
      <w:r w:rsidR="00247BA3">
        <w:rPr>
          <w:lang w:eastAsia="en-NZ"/>
        </w:rPr>
        <w:t xml:space="preserve"> </w:t>
      </w:r>
      <w:r w:rsidRPr="00A31525">
        <w:rPr>
          <w:lang w:eastAsia="en-NZ"/>
        </w:rPr>
        <w:t>Sample sizes for children and adults, by ethnic group, N</w:t>
      </w:r>
      <w:r>
        <w:rPr>
          <w:lang w:eastAsia="en-NZ"/>
        </w:rPr>
        <w:t xml:space="preserve">ew </w:t>
      </w:r>
      <w:r w:rsidRPr="00A31525">
        <w:rPr>
          <w:lang w:eastAsia="en-NZ"/>
        </w:rPr>
        <w:t>Z</w:t>
      </w:r>
      <w:r>
        <w:rPr>
          <w:lang w:eastAsia="en-NZ"/>
        </w:rPr>
        <w:t xml:space="preserve">ealand </w:t>
      </w:r>
      <w:r w:rsidRPr="00A31525">
        <w:rPr>
          <w:lang w:eastAsia="en-NZ"/>
        </w:rPr>
        <w:t>H</w:t>
      </w:r>
      <w:r>
        <w:rPr>
          <w:lang w:eastAsia="en-NZ"/>
        </w:rPr>
        <w:t xml:space="preserve">ealth </w:t>
      </w:r>
      <w:r w:rsidRPr="00A31525">
        <w:rPr>
          <w:lang w:eastAsia="en-NZ"/>
        </w:rPr>
        <w:t>S</w:t>
      </w:r>
      <w:r>
        <w:rPr>
          <w:lang w:eastAsia="en-NZ"/>
        </w:rPr>
        <w:t>urvey</w:t>
      </w:r>
      <w:r w:rsidRPr="00A31525">
        <w:rPr>
          <w:lang w:eastAsia="en-NZ"/>
        </w:rPr>
        <w:t xml:space="preserve"> 201</w:t>
      </w:r>
      <w:r>
        <w:rPr>
          <w:lang w:eastAsia="en-NZ"/>
        </w:rPr>
        <w:t>5</w:t>
      </w:r>
      <w:r w:rsidRPr="00A31525">
        <w:rPr>
          <w:lang w:eastAsia="en-NZ"/>
        </w:rPr>
        <w:t>/1</w:t>
      </w:r>
      <w:bookmarkEnd w:id="23"/>
      <w:bookmarkEnd w:id="24"/>
      <w:r>
        <w:rPr>
          <w:lang w:eastAsia="en-NZ"/>
        </w:rPr>
        <w:t>6</w:t>
      </w:r>
      <w:bookmarkEnd w:id="25"/>
      <w:bookmarkEnd w:id="26"/>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835"/>
        <w:gridCol w:w="992"/>
        <w:gridCol w:w="992"/>
      </w:tblGrid>
      <w:tr w:rsidR="00FC0DB8" w:rsidRPr="00A31525" w14:paraId="601F3D9C" w14:textId="77777777" w:rsidTr="00E17B60">
        <w:trPr>
          <w:cantSplit/>
        </w:trPr>
        <w:tc>
          <w:tcPr>
            <w:tcW w:w="2835" w:type="dxa"/>
            <w:tcBorders>
              <w:top w:val="single" w:sz="4" w:space="0" w:color="auto"/>
              <w:bottom w:val="single" w:sz="4" w:space="0" w:color="auto"/>
            </w:tcBorders>
            <w:shd w:val="clear" w:color="auto" w:fill="auto"/>
          </w:tcPr>
          <w:p w14:paraId="7CF8DF3F" w14:textId="77777777" w:rsidR="00FC0DB8" w:rsidRPr="00A31525" w:rsidRDefault="00FC0DB8" w:rsidP="00E17B60">
            <w:pPr>
              <w:pStyle w:val="TableText"/>
              <w:rPr>
                <w:b/>
              </w:rPr>
            </w:pPr>
            <w:r w:rsidRPr="00A31525">
              <w:rPr>
                <w:b/>
              </w:rPr>
              <w:t>Ethnic group (total response)</w:t>
            </w:r>
          </w:p>
        </w:tc>
        <w:tc>
          <w:tcPr>
            <w:tcW w:w="992" w:type="dxa"/>
            <w:tcBorders>
              <w:top w:val="single" w:sz="4" w:space="0" w:color="auto"/>
              <w:bottom w:val="single" w:sz="4" w:space="0" w:color="auto"/>
            </w:tcBorders>
            <w:shd w:val="clear" w:color="auto" w:fill="auto"/>
          </w:tcPr>
          <w:p w14:paraId="72996999" w14:textId="77777777" w:rsidR="00FC0DB8" w:rsidRPr="00A31525" w:rsidRDefault="00FC0DB8" w:rsidP="00E17B60">
            <w:pPr>
              <w:pStyle w:val="TableText"/>
              <w:jc w:val="center"/>
              <w:rPr>
                <w:b/>
              </w:rPr>
            </w:pPr>
            <w:r w:rsidRPr="00A31525">
              <w:rPr>
                <w:b/>
              </w:rPr>
              <w:t>Adults</w:t>
            </w:r>
          </w:p>
        </w:tc>
        <w:tc>
          <w:tcPr>
            <w:tcW w:w="992" w:type="dxa"/>
            <w:tcBorders>
              <w:top w:val="single" w:sz="4" w:space="0" w:color="auto"/>
              <w:bottom w:val="single" w:sz="4" w:space="0" w:color="auto"/>
            </w:tcBorders>
            <w:shd w:val="clear" w:color="auto" w:fill="auto"/>
          </w:tcPr>
          <w:p w14:paraId="02751124" w14:textId="77777777" w:rsidR="00FC0DB8" w:rsidRPr="00A31525" w:rsidRDefault="00FC0DB8" w:rsidP="00E17B60">
            <w:pPr>
              <w:pStyle w:val="TableText"/>
              <w:jc w:val="center"/>
              <w:rPr>
                <w:b/>
              </w:rPr>
            </w:pPr>
            <w:r w:rsidRPr="00A31525">
              <w:rPr>
                <w:b/>
              </w:rPr>
              <w:t>Children</w:t>
            </w:r>
          </w:p>
        </w:tc>
      </w:tr>
      <w:tr w:rsidR="00FC0DB8" w:rsidRPr="00404926" w14:paraId="777008F2" w14:textId="77777777" w:rsidTr="00E17B60">
        <w:trPr>
          <w:cantSplit/>
        </w:trPr>
        <w:tc>
          <w:tcPr>
            <w:tcW w:w="2835" w:type="dxa"/>
            <w:tcBorders>
              <w:top w:val="single" w:sz="4" w:space="0" w:color="auto"/>
              <w:bottom w:val="single" w:sz="4" w:space="0" w:color="A6A6A6" w:themeColor="background1" w:themeShade="A6"/>
            </w:tcBorders>
            <w:shd w:val="clear" w:color="auto" w:fill="auto"/>
          </w:tcPr>
          <w:p w14:paraId="298B77F8" w14:textId="77777777" w:rsidR="00FC0DB8" w:rsidRPr="00A31525" w:rsidRDefault="00FC0DB8" w:rsidP="00E17B60">
            <w:pPr>
              <w:pStyle w:val="TableText"/>
            </w:pPr>
            <w:r w:rsidRPr="00A31525">
              <w:t>European/Other</w:t>
            </w:r>
          </w:p>
        </w:tc>
        <w:tc>
          <w:tcPr>
            <w:tcW w:w="992" w:type="dxa"/>
            <w:tcBorders>
              <w:top w:val="single" w:sz="4" w:space="0" w:color="auto"/>
              <w:bottom w:val="single" w:sz="4" w:space="0" w:color="A6A6A6" w:themeColor="background1" w:themeShade="A6"/>
            </w:tcBorders>
            <w:shd w:val="clear" w:color="auto" w:fill="auto"/>
          </w:tcPr>
          <w:p w14:paraId="66863DF5" w14:textId="77777777" w:rsidR="00FC0DB8" w:rsidRPr="00404926" w:rsidRDefault="00FC0DB8" w:rsidP="00E17B60">
            <w:pPr>
              <w:pStyle w:val="TableText"/>
              <w:jc w:val="right"/>
            </w:pPr>
            <w:r w:rsidRPr="00404926">
              <w:t>10,435</w:t>
            </w:r>
          </w:p>
        </w:tc>
        <w:tc>
          <w:tcPr>
            <w:tcW w:w="992" w:type="dxa"/>
            <w:tcBorders>
              <w:top w:val="single" w:sz="4" w:space="0" w:color="auto"/>
              <w:bottom w:val="single" w:sz="4" w:space="0" w:color="A6A6A6" w:themeColor="background1" w:themeShade="A6"/>
            </w:tcBorders>
            <w:shd w:val="clear" w:color="auto" w:fill="auto"/>
          </w:tcPr>
          <w:p w14:paraId="4703CA2D" w14:textId="77777777" w:rsidR="00FC0DB8" w:rsidRPr="00404926" w:rsidRDefault="00FC0DB8" w:rsidP="00E17B60">
            <w:pPr>
              <w:pStyle w:val="TableText"/>
              <w:jc w:val="right"/>
            </w:pPr>
            <w:r w:rsidRPr="00404926">
              <w:t>3181</w:t>
            </w:r>
          </w:p>
        </w:tc>
      </w:tr>
      <w:tr w:rsidR="00FC0DB8" w:rsidRPr="00404926" w14:paraId="16750579" w14:textId="77777777" w:rsidTr="00E17B60">
        <w:trPr>
          <w:cantSplit/>
        </w:trPr>
        <w:tc>
          <w:tcPr>
            <w:tcW w:w="2835" w:type="dxa"/>
            <w:tcBorders>
              <w:top w:val="single" w:sz="4" w:space="0" w:color="A6A6A6" w:themeColor="background1" w:themeShade="A6"/>
              <w:bottom w:val="single" w:sz="4" w:space="0" w:color="A6A6A6" w:themeColor="background1" w:themeShade="A6"/>
            </w:tcBorders>
            <w:shd w:val="clear" w:color="auto" w:fill="auto"/>
          </w:tcPr>
          <w:p w14:paraId="20141BA2" w14:textId="77777777" w:rsidR="00FC0DB8" w:rsidRPr="00A31525" w:rsidRDefault="00FC0DB8" w:rsidP="00E17B60">
            <w:pPr>
              <w:pStyle w:val="TableText"/>
            </w:pPr>
            <w:r w:rsidRPr="00A31525">
              <w:t>Māori</w:t>
            </w:r>
          </w:p>
        </w:tc>
        <w:tc>
          <w:tcPr>
            <w:tcW w:w="992" w:type="dxa"/>
            <w:tcBorders>
              <w:top w:val="single" w:sz="4" w:space="0" w:color="A6A6A6" w:themeColor="background1" w:themeShade="A6"/>
              <w:bottom w:val="single" w:sz="4" w:space="0" w:color="A6A6A6" w:themeColor="background1" w:themeShade="A6"/>
            </w:tcBorders>
            <w:shd w:val="clear" w:color="auto" w:fill="auto"/>
          </w:tcPr>
          <w:p w14:paraId="3E74E919" w14:textId="77777777" w:rsidR="00FC0DB8" w:rsidRPr="00404926" w:rsidRDefault="00FC0DB8" w:rsidP="00E17B60">
            <w:pPr>
              <w:pStyle w:val="TableText"/>
              <w:jc w:val="right"/>
            </w:pPr>
            <w:r w:rsidRPr="00404926">
              <w:t>2770</w:t>
            </w:r>
          </w:p>
        </w:tc>
        <w:tc>
          <w:tcPr>
            <w:tcW w:w="992" w:type="dxa"/>
            <w:tcBorders>
              <w:top w:val="single" w:sz="4" w:space="0" w:color="A6A6A6" w:themeColor="background1" w:themeShade="A6"/>
              <w:bottom w:val="single" w:sz="4" w:space="0" w:color="A6A6A6" w:themeColor="background1" w:themeShade="A6"/>
            </w:tcBorders>
            <w:shd w:val="clear" w:color="auto" w:fill="auto"/>
          </w:tcPr>
          <w:p w14:paraId="261F365B" w14:textId="77777777" w:rsidR="00FC0DB8" w:rsidRPr="00404926" w:rsidRDefault="00FC0DB8" w:rsidP="00E17B60">
            <w:pPr>
              <w:pStyle w:val="TableText"/>
              <w:jc w:val="right"/>
            </w:pPr>
            <w:r w:rsidRPr="00404926">
              <w:t>1722</w:t>
            </w:r>
          </w:p>
        </w:tc>
      </w:tr>
      <w:tr w:rsidR="00FC0DB8" w:rsidRPr="00404926" w14:paraId="0BD132F1" w14:textId="77777777" w:rsidTr="00E17B60">
        <w:trPr>
          <w:cantSplit/>
        </w:trPr>
        <w:tc>
          <w:tcPr>
            <w:tcW w:w="2835" w:type="dxa"/>
            <w:tcBorders>
              <w:top w:val="single" w:sz="4" w:space="0" w:color="A6A6A6" w:themeColor="background1" w:themeShade="A6"/>
              <w:bottom w:val="single" w:sz="4" w:space="0" w:color="A6A6A6" w:themeColor="background1" w:themeShade="A6"/>
            </w:tcBorders>
            <w:shd w:val="clear" w:color="auto" w:fill="auto"/>
          </w:tcPr>
          <w:p w14:paraId="225FA037" w14:textId="77777777" w:rsidR="00FC0DB8" w:rsidRPr="00A31525" w:rsidRDefault="00FC0DB8" w:rsidP="00E17B60">
            <w:pPr>
              <w:pStyle w:val="TableText"/>
            </w:pPr>
            <w:r w:rsidRPr="00A31525">
              <w:t>Pacific</w:t>
            </w:r>
          </w:p>
        </w:tc>
        <w:tc>
          <w:tcPr>
            <w:tcW w:w="992" w:type="dxa"/>
            <w:tcBorders>
              <w:top w:val="single" w:sz="4" w:space="0" w:color="A6A6A6" w:themeColor="background1" w:themeShade="A6"/>
              <w:bottom w:val="single" w:sz="4" w:space="0" w:color="A6A6A6" w:themeColor="background1" w:themeShade="A6"/>
            </w:tcBorders>
            <w:shd w:val="clear" w:color="auto" w:fill="auto"/>
          </w:tcPr>
          <w:p w14:paraId="49922CBB" w14:textId="77777777" w:rsidR="00FC0DB8" w:rsidRPr="00404926" w:rsidRDefault="00FC0DB8" w:rsidP="00E17B60">
            <w:pPr>
              <w:pStyle w:val="TableText"/>
              <w:jc w:val="right"/>
            </w:pPr>
            <w:r w:rsidRPr="00404926">
              <w:t>838</w:t>
            </w:r>
          </w:p>
        </w:tc>
        <w:tc>
          <w:tcPr>
            <w:tcW w:w="992" w:type="dxa"/>
            <w:tcBorders>
              <w:top w:val="single" w:sz="4" w:space="0" w:color="A6A6A6" w:themeColor="background1" w:themeShade="A6"/>
              <w:bottom w:val="single" w:sz="4" w:space="0" w:color="A6A6A6" w:themeColor="background1" w:themeShade="A6"/>
            </w:tcBorders>
            <w:shd w:val="clear" w:color="auto" w:fill="auto"/>
          </w:tcPr>
          <w:p w14:paraId="07CAD81B" w14:textId="77777777" w:rsidR="00FC0DB8" w:rsidRPr="00404926" w:rsidRDefault="00FC0DB8" w:rsidP="00E17B60">
            <w:pPr>
              <w:pStyle w:val="TableText"/>
              <w:jc w:val="right"/>
            </w:pPr>
            <w:r w:rsidRPr="00404926">
              <w:t>693</w:t>
            </w:r>
          </w:p>
        </w:tc>
      </w:tr>
      <w:tr w:rsidR="00FC0DB8" w:rsidRPr="00404926" w14:paraId="5892E4C3" w14:textId="77777777" w:rsidTr="00E17B60">
        <w:trPr>
          <w:cantSplit/>
        </w:trPr>
        <w:tc>
          <w:tcPr>
            <w:tcW w:w="2835" w:type="dxa"/>
            <w:tcBorders>
              <w:top w:val="single" w:sz="4" w:space="0" w:color="A6A6A6" w:themeColor="background1" w:themeShade="A6"/>
              <w:bottom w:val="single" w:sz="4" w:space="0" w:color="auto"/>
            </w:tcBorders>
            <w:shd w:val="clear" w:color="auto" w:fill="auto"/>
          </w:tcPr>
          <w:p w14:paraId="739C04B0" w14:textId="77777777" w:rsidR="00FC0DB8" w:rsidRPr="00A31525" w:rsidRDefault="00FC0DB8" w:rsidP="00E17B60">
            <w:pPr>
              <w:pStyle w:val="TableText"/>
            </w:pPr>
            <w:r w:rsidRPr="00A31525">
              <w:t>Asian</w:t>
            </w:r>
          </w:p>
        </w:tc>
        <w:tc>
          <w:tcPr>
            <w:tcW w:w="992" w:type="dxa"/>
            <w:tcBorders>
              <w:top w:val="single" w:sz="4" w:space="0" w:color="A6A6A6" w:themeColor="background1" w:themeShade="A6"/>
              <w:bottom w:val="single" w:sz="4" w:space="0" w:color="auto"/>
            </w:tcBorders>
            <w:shd w:val="clear" w:color="auto" w:fill="auto"/>
          </w:tcPr>
          <w:p w14:paraId="436CDC88" w14:textId="77777777" w:rsidR="00FC0DB8" w:rsidRPr="00404926" w:rsidRDefault="00FC0DB8" w:rsidP="00E17B60">
            <w:pPr>
              <w:pStyle w:val="TableText"/>
              <w:jc w:val="right"/>
            </w:pPr>
            <w:r w:rsidRPr="00404926">
              <w:t>1236</w:t>
            </w:r>
          </w:p>
        </w:tc>
        <w:tc>
          <w:tcPr>
            <w:tcW w:w="992" w:type="dxa"/>
            <w:tcBorders>
              <w:top w:val="single" w:sz="4" w:space="0" w:color="A6A6A6" w:themeColor="background1" w:themeShade="A6"/>
              <w:bottom w:val="single" w:sz="4" w:space="0" w:color="auto"/>
            </w:tcBorders>
            <w:shd w:val="clear" w:color="auto" w:fill="auto"/>
          </w:tcPr>
          <w:p w14:paraId="42552C57" w14:textId="77777777" w:rsidR="00FC0DB8" w:rsidRPr="00404926" w:rsidRDefault="00FC0DB8" w:rsidP="00E17B60">
            <w:pPr>
              <w:pStyle w:val="TableText"/>
              <w:jc w:val="right"/>
            </w:pPr>
            <w:r w:rsidRPr="00404926">
              <w:t>583</w:t>
            </w:r>
          </w:p>
        </w:tc>
      </w:tr>
    </w:tbl>
    <w:p w14:paraId="165F00E8" w14:textId="77777777" w:rsidR="00FC0DB8" w:rsidRPr="008C5A1E" w:rsidRDefault="00FC0DB8" w:rsidP="00FC0DB8"/>
    <w:p w14:paraId="55B2859E" w14:textId="77777777" w:rsidR="00FC0DB8" w:rsidRPr="008C5A1E" w:rsidRDefault="00FC0DB8" w:rsidP="00FC0DB8">
      <w:pPr>
        <w:pStyle w:val="Heading3"/>
      </w:pPr>
      <w:r w:rsidRPr="008C5A1E">
        <w:t xml:space="preserve">Interview </w:t>
      </w:r>
      <w:r>
        <w:t>p</w:t>
      </w:r>
      <w:r w:rsidRPr="008C5A1E">
        <w:t>rocess</w:t>
      </w:r>
    </w:p>
    <w:p w14:paraId="3CBCE739" w14:textId="77777777" w:rsidR="00FC0DB8" w:rsidRDefault="00FC0DB8" w:rsidP="00FC0DB8">
      <w:r w:rsidRPr="008C5A1E">
        <w:t>Data collection</w:t>
      </w:r>
      <w:r>
        <w:t xml:space="preserve"> involved a face-to-face</w:t>
      </w:r>
      <w:r w:rsidRPr="008C5A1E">
        <w:t xml:space="preserve"> interview, followed by measurement of height</w:t>
      </w:r>
      <w:r>
        <w:t xml:space="preserve"> and weight (in those aged two years and over)</w:t>
      </w:r>
      <w:r w:rsidRPr="008C5A1E">
        <w:t>,</w:t>
      </w:r>
      <w:r>
        <w:t xml:space="preserve"> waist circumference (in those aged five years and over) and </w:t>
      </w:r>
      <w:r w:rsidRPr="008C5A1E">
        <w:t>blood pressure</w:t>
      </w:r>
      <w:r>
        <w:t xml:space="preserve"> (in adults, aged 15 years and older)</w:t>
      </w:r>
      <w:r w:rsidRPr="008C5A1E">
        <w:t>.</w:t>
      </w:r>
    </w:p>
    <w:p w14:paraId="35FF53F8" w14:textId="77777777" w:rsidR="00FC0DB8" w:rsidRPr="008C5A1E" w:rsidRDefault="00FC0DB8" w:rsidP="00FC0DB8"/>
    <w:p w14:paraId="1F4517E7" w14:textId="77777777" w:rsidR="00FC0DB8" w:rsidRPr="008C5A1E" w:rsidRDefault="00FC0DB8" w:rsidP="00FC0DB8">
      <w:pPr>
        <w:pStyle w:val="Heading3"/>
      </w:pPr>
      <w:r w:rsidRPr="008C5A1E">
        <w:t xml:space="preserve">Annual </w:t>
      </w:r>
      <w:r>
        <w:t>i</w:t>
      </w:r>
      <w:r w:rsidRPr="008C5A1E">
        <w:t xml:space="preserve">ndicators from the </w:t>
      </w:r>
      <w:r>
        <w:t>survey</w:t>
      </w:r>
    </w:p>
    <w:p w14:paraId="38B2C558" w14:textId="2FD5677C" w:rsidR="00FC0DB8" w:rsidRDefault="00FC0DB8" w:rsidP="00FC0DB8">
      <w:r>
        <w:t>T</w:t>
      </w:r>
      <w:r w:rsidRPr="00491611">
        <w:t xml:space="preserve">able </w:t>
      </w:r>
      <w:r>
        <w:t>2 lists</w:t>
      </w:r>
      <w:r w:rsidRPr="00C03EA3">
        <w:t xml:space="preserve"> the annual indicators from the survey </w:t>
      </w:r>
      <w:r>
        <w:t>for</w:t>
      </w:r>
      <w:r w:rsidRPr="008C5A1E">
        <w:t xml:space="preserve"> adults</w:t>
      </w:r>
      <w:r>
        <w:t xml:space="preserve"> and children. The annual indicators either relate</w:t>
      </w:r>
      <w:r w:rsidDel="002F10AB">
        <w:t xml:space="preserve"> </w:t>
      </w:r>
      <w:r>
        <w:t>to single survey questions or are derived from a number of questions in the survey. T</w:t>
      </w:r>
      <w:r w:rsidRPr="008C5A1E">
        <w:t xml:space="preserve">he </w:t>
      </w:r>
      <w:hyperlink r:id="rId24" w:history="1">
        <w:r w:rsidRPr="00B24158">
          <w:rPr>
            <w:rStyle w:val="Hyperlink"/>
            <w:i/>
          </w:rPr>
          <w:t>Indicator Interpretation Guide 2015/16: New Zealand Health Survey</w:t>
        </w:r>
      </w:hyperlink>
      <w:r>
        <w:rPr>
          <w:i/>
        </w:rPr>
        <w:t xml:space="preserve"> </w:t>
      </w:r>
      <w:r>
        <w:t>provides more detailed definitions for each indicator and includes the survey questions</w:t>
      </w:r>
      <w:r w:rsidRPr="00486FBA">
        <w:t>.</w:t>
      </w:r>
    </w:p>
    <w:p w14:paraId="3D49A54C" w14:textId="77777777" w:rsidR="00FC0DB8" w:rsidRDefault="00FC0DB8" w:rsidP="00FC0DB8"/>
    <w:p w14:paraId="4D5736C4" w14:textId="77777777" w:rsidR="00FC0DB8" w:rsidRDefault="00FC0DB8" w:rsidP="00247BA3">
      <w:pPr>
        <w:keepNext/>
      </w:pPr>
      <w:r w:rsidRPr="008C5A1E">
        <w:lastRenderedPageBreak/>
        <w:t xml:space="preserve">In addition to the </w:t>
      </w:r>
      <w:r>
        <w:t xml:space="preserve">tables </w:t>
      </w:r>
      <w:r w:rsidRPr="008C5A1E">
        <w:t>in this report,</w:t>
      </w:r>
      <w:r>
        <w:t xml:space="preserve"> the online tables include</w:t>
      </w:r>
      <w:r w:rsidRPr="008C5A1E">
        <w:t xml:space="preserve"> a number of </w:t>
      </w:r>
      <w:r>
        <w:t>supplementary</w:t>
      </w:r>
      <w:r w:rsidRPr="008C5A1E">
        <w:t xml:space="preserve"> indicators.</w:t>
      </w:r>
      <w:r>
        <w:t xml:space="preserve"> They provide more information on the topics covered in this report.</w:t>
      </w:r>
    </w:p>
    <w:p w14:paraId="25DCD519" w14:textId="77777777" w:rsidR="00FC0DB8" w:rsidRDefault="00FC0DB8" w:rsidP="00FC0DB8"/>
    <w:p w14:paraId="23E7D608" w14:textId="77777777" w:rsidR="00FC0DB8" w:rsidRPr="00000BE4" w:rsidRDefault="00FC0DB8" w:rsidP="00247BA3">
      <w:pPr>
        <w:pStyle w:val="Table"/>
      </w:pPr>
      <w:bookmarkStart w:id="27" w:name="_Toc404618202"/>
      <w:bookmarkStart w:id="28" w:name="_Toc466618811"/>
      <w:bookmarkStart w:id="29" w:name="_Toc467831556"/>
      <w:r w:rsidRPr="004B25C1">
        <w:rPr>
          <w:lang w:eastAsia="en-NZ"/>
        </w:rPr>
        <w:t>Table 2:</w:t>
      </w:r>
      <w:r w:rsidR="00247BA3">
        <w:rPr>
          <w:lang w:eastAsia="en-NZ"/>
        </w:rPr>
        <w:t xml:space="preserve"> </w:t>
      </w:r>
      <w:r>
        <w:rPr>
          <w:lang w:eastAsia="en-NZ"/>
        </w:rPr>
        <w:t>Annual indicators from the survey</w:t>
      </w:r>
      <w:bookmarkEnd w:id="27"/>
      <w:bookmarkEnd w:id="28"/>
      <w:bookmarkEnd w:id="29"/>
    </w:p>
    <w:tbl>
      <w:tblPr>
        <w:tblW w:w="9355"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644"/>
        <w:gridCol w:w="1584"/>
        <w:gridCol w:w="3009"/>
        <w:gridCol w:w="3118"/>
      </w:tblGrid>
      <w:tr w:rsidR="00FC0DB8" w:rsidRPr="003E40CE" w14:paraId="49B8744E" w14:textId="77777777" w:rsidTr="00247BA3">
        <w:trPr>
          <w:cantSplit/>
          <w:tblHeader/>
        </w:trPr>
        <w:tc>
          <w:tcPr>
            <w:tcW w:w="1644" w:type="dxa"/>
            <w:tcBorders>
              <w:top w:val="single" w:sz="4" w:space="0" w:color="auto"/>
              <w:bottom w:val="single" w:sz="4" w:space="0" w:color="auto"/>
            </w:tcBorders>
            <w:shd w:val="clear" w:color="auto" w:fill="auto"/>
          </w:tcPr>
          <w:p w14:paraId="100AC25B" w14:textId="77777777" w:rsidR="00FC0DB8" w:rsidRPr="003E40CE" w:rsidRDefault="00FC0DB8" w:rsidP="00E17B60">
            <w:pPr>
              <w:pStyle w:val="TableText"/>
              <w:spacing w:before="50" w:after="50"/>
              <w:rPr>
                <w:b/>
              </w:rPr>
            </w:pPr>
            <w:r>
              <w:rPr>
                <w:b/>
              </w:rPr>
              <w:t>D</w:t>
            </w:r>
            <w:r w:rsidRPr="003E40CE">
              <w:rPr>
                <w:b/>
              </w:rPr>
              <w:t>o</w:t>
            </w:r>
            <w:r>
              <w:rPr>
                <w:b/>
              </w:rPr>
              <w:t>main</w:t>
            </w:r>
          </w:p>
        </w:tc>
        <w:tc>
          <w:tcPr>
            <w:tcW w:w="1584" w:type="dxa"/>
            <w:tcBorders>
              <w:top w:val="single" w:sz="4" w:space="0" w:color="auto"/>
              <w:bottom w:val="single" w:sz="4" w:space="0" w:color="auto"/>
            </w:tcBorders>
          </w:tcPr>
          <w:p w14:paraId="07CEE18C" w14:textId="77777777" w:rsidR="00FC0DB8" w:rsidRPr="003E40CE" w:rsidRDefault="00FC0DB8" w:rsidP="00E17B60">
            <w:pPr>
              <w:pStyle w:val="TableText"/>
              <w:spacing w:before="50" w:after="50"/>
              <w:ind w:right="142"/>
              <w:rPr>
                <w:b/>
              </w:rPr>
            </w:pPr>
            <w:r>
              <w:rPr>
                <w:b/>
              </w:rPr>
              <w:t>Topic</w:t>
            </w:r>
          </w:p>
        </w:tc>
        <w:tc>
          <w:tcPr>
            <w:tcW w:w="3009" w:type="dxa"/>
            <w:tcBorders>
              <w:top w:val="single" w:sz="4" w:space="0" w:color="auto"/>
              <w:bottom w:val="single" w:sz="4" w:space="0" w:color="auto"/>
            </w:tcBorders>
          </w:tcPr>
          <w:p w14:paraId="26AF6C16" w14:textId="77777777" w:rsidR="00FC0DB8" w:rsidRPr="00B541FC" w:rsidRDefault="00FC0DB8" w:rsidP="00E17B60">
            <w:pPr>
              <w:pStyle w:val="TableText"/>
              <w:spacing w:before="50" w:after="50"/>
              <w:ind w:right="142"/>
              <w:rPr>
                <w:b/>
                <w:i/>
              </w:rPr>
            </w:pPr>
            <w:r w:rsidRPr="003E40CE">
              <w:rPr>
                <w:b/>
              </w:rPr>
              <w:t xml:space="preserve">Adult </w:t>
            </w:r>
            <w:r>
              <w:rPr>
                <w:b/>
              </w:rPr>
              <w:t>i</w:t>
            </w:r>
            <w:r w:rsidRPr="003E40CE">
              <w:rPr>
                <w:b/>
              </w:rPr>
              <w:t>ndicator</w:t>
            </w:r>
          </w:p>
        </w:tc>
        <w:tc>
          <w:tcPr>
            <w:tcW w:w="3118" w:type="dxa"/>
            <w:tcBorders>
              <w:top w:val="single" w:sz="4" w:space="0" w:color="auto"/>
              <w:bottom w:val="single" w:sz="4" w:space="0" w:color="auto"/>
            </w:tcBorders>
            <w:shd w:val="clear" w:color="auto" w:fill="auto"/>
          </w:tcPr>
          <w:p w14:paraId="32D2529F" w14:textId="77777777" w:rsidR="00FC0DB8" w:rsidRPr="00B541FC" w:rsidRDefault="00FC0DB8" w:rsidP="00E17B60">
            <w:pPr>
              <w:pStyle w:val="TableText"/>
              <w:spacing w:before="50" w:after="50"/>
              <w:rPr>
                <w:b/>
                <w:i/>
              </w:rPr>
            </w:pPr>
            <w:r w:rsidRPr="003E40CE">
              <w:rPr>
                <w:b/>
              </w:rPr>
              <w:t xml:space="preserve">Child </w:t>
            </w:r>
            <w:r>
              <w:rPr>
                <w:b/>
              </w:rPr>
              <w:t>i</w:t>
            </w:r>
            <w:r w:rsidRPr="003E40CE">
              <w:rPr>
                <w:b/>
              </w:rPr>
              <w:t>ndicator</w:t>
            </w:r>
          </w:p>
        </w:tc>
      </w:tr>
      <w:tr w:rsidR="00FC0DB8" w:rsidRPr="008C5A1E" w14:paraId="795942A0" w14:textId="77777777" w:rsidTr="00247BA3">
        <w:trPr>
          <w:cantSplit/>
        </w:trPr>
        <w:tc>
          <w:tcPr>
            <w:tcW w:w="1644" w:type="dxa"/>
            <w:tcBorders>
              <w:top w:val="single" w:sz="4" w:space="0" w:color="auto"/>
            </w:tcBorders>
            <w:shd w:val="clear" w:color="auto" w:fill="auto"/>
          </w:tcPr>
          <w:p w14:paraId="4452A64F" w14:textId="77777777" w:rsidR="00FC0DB8" w:rsidRPr="00E075AE" w:rsidRDefault="00FC0DB8" w:rsidP="00E17B60">
            <w:pPr>
              <w:pStyle w:val="TableText"/>
              <w:spacing w:before="50" w:after="50"/>
              <w:rPr>
                <w:szCs w:val="18"/>
              </w:rPr>
            </w:pPr>
            <w:r w:rsidRPr="00E075AE">
              <w:rPr>
                <w:szCs w:val="18"/>
              </w:rPr>
              <w:t>Health status, health behaviours and risk factors</w:t>
            </w:r>
          </w:p>
        </w:tc>
        <w:tc>
          <w:tcPr>
            <w:tcW w:w="1584" w:type="dxa"/>
            <w:tcBorders>
              <w:top w:val="single" w:sz="4" w:space="0" w:color="auto"/>
              <w:bottom w:val="single" w:sz="4" w:space="0" w:color="A6A6A6" w:themeColor="background1" w:themeShade="A6"/>
            </w:tcBorders>
          </w:tcPr>
          <w:p w14:paraId="31C2F39A" w14:textId="77777777" w:rsidR="00FC0DB8" w:rsidRPr="00D51317" w:rsidRDefault="00FC0DB8" w:rsidP="00E17B60">
            <w:pPr>
              <w:pStyle w:val="TableText"/>
              <w:spacing w:before="50" w:after="50"/>
              <w:ind w:right="142"/>
              <w:rPr>
                <w:szCs w:val="18"/>
              </w:rPr>
            </w:pPr>
            <w:r>
              <w:rPr>
                <w:szCs w:val="18"/>
              </w:rPr>
              <w:t>Self- or parent-rated health status</w:t>
            </w:r>
          </w:p>
        </w:tc>
        <w:tc>
          <w:tcPr>
            <w:tcW w:w="3009" w:type="dxa"/>
            <w:tcBorders>
              <w:top w:val="single" w:sz="4" w:space="0" w:color="auto"/>
              <w:bottom w:val="single" w:sz="4" w:space="0" w:color="A6A6A6" w:themeColor="background1" w:themeShade="A6"/>
            </w:tcBorders>
            <w:shd w:val="clear" w:color="auto" w:fill="auto"/>
          </w:tcPr>
          <w:p w14:paraId="1F0818B0" w14:textId="77777777" w:rsidR="00FC0DB8" w:rsidRPr="00D51317" w:rsidRDefault="00FC0DB8" w:rsidP="00E17B60">
            <w:pPr>
              <w:pStyle w:val="TableText"/>
              <w:spacing w:before="50" w:after="50"/>
              <w:ind w:right="142"/>
              <w:rPr>
                <w:szCs w:val="18"/>
              </w:rPr>
            </w:pPr>
            <w:r w:rsidRPr="00D51317">
              <w:rPr>
                <w:szCs w:val="18"/>
              </w:rPr>
              <w:t>Good or better self-rated health</w:t>
            </w:r>
          </w:p>
          <w:p w14:paraId="14A7E531" w14:textId="77777777" w:rsidR="00FC0DB8" w:rsidRPr="00D51317" w:rsidRDefault="00FC0DB8" w:rsidP="00E17B60">
            <w:pPr>
              <w:pStyle w:val="TableText"/>
              <w:spacing w:before="50" w:after="50"/>
              <w:ind w:right="142"/>
              <w:rPr>
                <w:i/>
                <w:szCs w:val="18"/>
              </w:rPr>
            </w:pPr>
            <w:r>
              <w:rPr>
                <w:i/>
                <w:szCs w:val="18"/>
              </w:rPr>
              <w:t>Excellent s</w:t>
            </w:r>
            <w:r w:rsidRPr="00D51317">
              <w:rPr>
                <w:i/>
                <w:szCs w:val="18"/>
              </w:rPr>
              <w:t>elf-rated health</w:t>
            </w:r>
          </w:p>
          <w:p w14:paraId="081046B2" w14:textId="77777777" w:rsidR="00FC0DB8" w:rsidRPr="00D51317" w:rsidRDefault="00FC0DB8" w:rsidP="00E17B60">
            <w:pPr>
              <w:pStyle w:val="TableText"/>
              <w:spacing w:before="50" w:after="50"/>
              <w:ind w:right="142"/>
              <w:rPr>
                <w:i/>
                <w:szCs w:val="18"/>
              </w:rPr>
            </w:pPr>
            <w:r>
              <w:rPr>
                <w:i/>
                <w:szCs w:val="18"/>
              </w:rPr>
              <w:t>Very good s</w:t>
            </w:r>
            <w:r w:rsidRPr="00D51317">
              <w:rPr>
                <w:i/>
                <w:szCs w:val="18"/>
              </w:rPr>
              <w:t>elf-rated health</w:t>
            </w:r>
          </w:p>
          <w:p w14:paraId="7374CF7C" w14:textId="77777777" w:rsidR="00FC0DB8" w:rsidRPr="00D51317" w:rsidRDefault="00FC0DB8" w:rsidP="00E17B60">
            <w:pPr>
              <w:pStyle w:val="TableText"/>
              <w:spacing w:before="50" w:after="50"/>
              <w:ind w:right="142"/>
              <w:rPr>
                <w:i/>
                <w:szCs w:val="18"/>
              </w:rPr>
            </w:pPr>
            <w:r>
              <w:rPr>
                <w:i/>
                <w:szCs w:val="18"/>
              </w:rPr>
              <w:t>Good s</w:t>
            </w:r>
            <w:r w:rsidRPr="00D51317">
              <w:rPr>
                <w:i/>
                <w:szCs w:val="18"/>
              </w:rPr>
              <w:t>elf-rated health</w:t>
            </w:r>
          </w:p>
          <w:p w14:paraId="6348CA6C" w14:textId="77777777" w:rsidR="00FC0DB8" w:rsidRPr="00D51317" w:rsidRDefault="00FC0DB8" w:rsidP="00E17B60">
            <w:pPr>
              <w:pStyle w:val="TableText"/>
              <w:spacing w:before="50" w:after="50"/>
              <w:ind w:right="142"/>
              <w:rPr>
                <w:i/>
                <w:szCs w:val="18"/>
              </w:rPr>
            </w:pPr>
            <w:r>
              <w:rPr>
                <w:i/>
                <w:szCs w:val="18"/>
              </w:rPr>
              <w:t>Fair s</w:t>
            </w:r>
            <w:r w:rsidRPr="00D51317">
              <w:rPr>
                <w:i/>
                <w:szCs w:val="18"/>
              </w:rPr>
              <w:t>elf-rated health</w:t>
            </w:r>
          </w:p>
          <w:p w14:paraId="7A8A6D2B" w14:textId="77777777" w:rsidR="00FC0DB8" w:rsidRPr="00D51317" w:rsidRDefault="00FC0DB8" w:rsidP="00E17B60">
            <w:pPr>
              <w:pStyle w:val="TableText"/>
              <w:spacing w:before="50" w:after="50"/>
              <w:ind w:right="142"/>
              <w:rPr>
                <w:i/>
                <w:szCs w:val="18"/>
              </w:rPr>
            </w:pPr>
            <w:r>
              <w:rPr>
                <w:i/>
                <w:szCs w:val="18"/>
              </w:rPr>
              <w:t>Poor s</w:t>
            </w:r>
            <w:r w:rsidRPr="00D51317">
              <w:rPr>
                <w:i/>
                <w:szCs w:val="18"/>
              </w:rPr>
              <w:t>elf-rated health</w:t>
            </w:r>
          </w:p>
        </w:tc>
        <w:tc>
          <w:tcPr>
            <w:tcW w:w="3118" w:type="dxa"/>
            <w:tcBorders>
              <w:top w:val="single" w:sz="4" w:space="0" w:color="auto"/>
              <w:bottom w:val="single" w:sz="4" w:space="0" w:color="A6A6A6" w:themeColor="background1" w:themeShade="A6"/>
            </w:tcBorders>
            <w:shd w:val="clear" w:color="auto" w:fill="auto"/>
          </w:tcPr>
          <w:p w14:paraId="2B8B05F4" w14:textId="77777777" w:rsidR="00FC0DB8" w:rsidRPr="00D51317" w:rsidRDefault="00FC0DB8" w:rsidP="00E17B60">
            <w:pPr>
              <w:pStyle w:val="TableText"/>
              <w:spacing w:before="50" w:after="50"/>
              <w:rPr>
                <w:szCs w:val="18"/>
              </w:rPr>
            </w:pPr>
            <w:r w:rsidRPr="00D51317">
              <w:rPr>
                <w:szCs w:val="18"/>
              </w:rPr>
              <w:t>Good or better parent-rated health</w:t>
            </w:r>
          </w:p>
          <w:p w14:paraId="0F703AE2" w14:textId="77777777" w:rsidR="00FC0DB8" w:rsidRPr="00D51317" w:rsidRDefault="00FC0DB8" w:rsidP="00E17B60">
            <w:pPr>
              <w:pStyle w:val="TableText"/>
              <w:spacing w:before="50" w:after="50"/>
              <w:rPr>
                <w:i/>
                <w:szCs w:val="18"/>
              </w:rPr>
            </w:pPr>
            <w:r>
              <w:rPr>
                <w:i/>
                <w:szCs w:val="18"/>
              </w:rPr>
              <w:t>Excellent p</w:t>
            </w:r>
            <w:r w:rsidRPr="00D51317">
              <w:rPr>
                <w:i/>
                <w:szCs w:val="18"/>
              </w:rPr>
              <w:t>arent-rated health</w:t>
            </w:r>
          </w:p>
          <w:p w14:paraId="5F8FB063" w14:textId="77777777" w:rsidR="00FC0DB8" w:rsidRPr="00D51317" w:rsidRDefault="00FC0DB8" w:rsidP="00E17B60">
            <w:pPr>
              <w:pStyle w:val="TableText"/>
              <w:spacing w:before="50" w:after="50"/>
              <w:rPr>
                <w:i/>
                <w:szCs w:val="18"/>
              </w:rPr>
            </w:pPr>
            <w:r>
              <w:rPr>
                <w:i/>
                <w:szCs w:val="18"/>
              </w:rPr>
              <w:t>Very good p</w:t>
            </w:r>
            <w:r w:rsidRPr="00D51317">
              <w:rPr>
                <w:i/>
                <w:szCs w:val="18"/>
              </w:rPr>
              <w:t>arent-rated health</w:t>
            </w:r>
          </w:p>
          <w:p w14:paraId="266EC053" w14:textId="77777777" w:rsidR="00FC0DB8" w:rsidRPr="00D51317" w:rsidRDefault="00FC0DB8" w:rsidP="00E17B60">
            <w:pPr>
              <w:pStyle w:val="TableText"/>
              <w:spacing w:before="50" w:after="50"/>
              <w:rPr>
                <w:i/>
                <w:szCs w:val="18"/>
              </w:rPr>
            </w:pPr>
            <w:r>
              <w:rPr>
                <w:i/>
                <w:szCs w:val="18"/>
              </w:rPr>
              <w:t>Good p</w:t>
            </w:r>
            <w:r w:rsidRPr="00D51317">
              <w:rPr>
                <w:i/>
                <w:szCs w:val="18"/>
              </w:rPr>
              <w:t>arent-rated health</w:t>
            </w:r>
          </w:p>
          <w:p w14:paraId="01D4FB62" w14:textId="77777777" w:rsidR="00FC0DB8" w:rsidRPr="00D51317" w:rsidRDefault="00FC0DB8" w:rsidP="00E17B60">
            <w:pPr>
              <w:pStyle w:val="TableText"/>
              <w:spacing w:before="50" w:after="50"/>
              <w:rPr>
                <w:i/>
                <w:szCs w:val="18"/>
              </w:rPr>
            </w:pPr>
            <w:r>
              <w:rPr>
                <w:i/>
                <w:szCs w:val="18"/>
              </w:rPr>
              <w:t>Fair p</w:t>
            </w:r>
            <w:r w:rsidRPr="00D51317">
              <w:rPr>
                <w:i/>
                <w:szCs w:val="18"/>
              </w:rPr>
              <w:t>arent-rated health</w:t>
            </w:r>
          </w:p>
          <w:p w14:paraId="62BCA029" w14:textId="77777777" w:rsidR="00FC0DB8" w:rsidRPr="00CC2DFE" w:rsidRDefault="00FC0DB8" w:rsidP="00E17B60">
            <w:pPr>
              <w:pStyle w:val="TableText"/>
              <w:spacing w:before="50" w:after="50"/>
              <w:rPr>
                <w:i/>
                <w:szCs w:val="18"/>
              </w:rPr>
            </w:pPr>
            <w:r>
              <w:rPr>
                <w:i/>
                <w:szCs w:val="18"/>
              </w:rPr>
              <w:t>Poor p</w:t>
            </w:r>
            <w:r w:rsidRPr="00D51317">
              <w:rPr>
                <w:i/>
                <w:szCs w:val="18"/>
              </w:rPr>
              <w:t>arent-rated health</w:t>
            </w:r>
          </w:p>
        </w:tc>
      </w:tr>
      <w:tr w:rsidR="00FC0DB8" w:rsidRPr="008C5A1E" w14:paraId="4666541E" w14:textId="77777777" w:rsidTr="00247BA3">
        <w:trPr>
          <w:cantSplit/>
        </w:trPr>
        <w:tc>
          <w:tcPr>
            <w:tcW w:w="1644" w:type="dxa"/>
            <w:shd w:val="clear" w:color="auto" w:fill="auto"/>
          </w:tcPr>
          <w:p w14:paraId="705DDD06" w14:textId="77777777" w:rsidR="00FC0DB8" w:rsidRPr="00E075AE" w:rsidRDefault="00FC0DB8" w:rsidP="00E17B60">
            <w:pPr>
              <w:pStyle w:val="TableText"/>
              <w:spacing w:before="50" w:after="50"/>
              <w:rPr>
                <w:szCs w:val="18"/>
              </w:rPr>
            </w:pPr>
          </w:p>
        </w:tc>
        <w:tc>
          <w:tcPr>
            <w:tcW w:w="1584" w:type="dxa"/>
            <w:tcBorders>
              <w:top w:val="single" w:sz="4" w:space="0" w:color="A6A6A6" w:themeColor="background1" w:themeShade="A6"/>
              <w:bottom w:val="single" w:sz="4" w:space="0" w:color="A6A6A6" w:themeColor="background1" w:themeShade="A6"/>
            </w:tcBorders>
          </w:tcPr>
          <w:p w14:paraId="5BF51468" w14:textId="77777777" w:rsidR="00FC0DB8" w:rsidRDefault="00FC0DB8" w:rsidP="00E17B60">
            <w:pPr>
              <w:pStyle w:val="TableText"/>
              <w:spacing w:before="50" w:after="50"/>
              <w:ind w:right="142"/>
              <w:rPr>
                <w:szCs w:val="18"/>
              </w:rPr>
            </w:pPr>
            <w:r>
              <w:rPr>
                <w:szCs w:val="18"/>
              </w:rPr>
              <w:t>Tobacco use</w:t>
            </w:r>
          </w:p>
        </w:tc>
        <w:tc>
          <w:tcPr>
            <w:tcW w:w="3009" w:type="dxa"/>
            <w:tcBorders>
              <w:top w:val="single" w:sz="4" w:space="0" w:color="A6A6A6" w:themeColor="background1" w:themeShade="A6"/>
              <w:bottom w:val="single" w:sz="4" w:space="0" w:color="A6A6A6" w:themeColor="background1" w:themeShade="A6"/>
            </w:tcBorders>
            <w:shd w:val="clear" w:color="auto" w:fill="auto"/>
          </w:tcPr>
          <w:p w14:paraId="641CC2E7" w14:textId="77777777" w:rsidR="00FC0DB8" w:rsidRPr="00D51317" w:rsidRDefault="00FC0DB8" w:rsidP="00E17B60">
            <w:pPr>
              <w:pStyle w:val="TableText"/>
              <w:spacing w:before="50" w:after="50"/>
              <w:ind w:right="142"/>
              <w:rPr>
                <w:szCs w:val="18"/>
              </w:rPr>
            </w:pPr>
            <w:r w:rsidRPr="00D51317">
              <w:rPr>
                <w:szCs w:val="18"/>
              </w:rPr>
              <w:t>Current smokers</w:t>
            </w:r>
          </w:p>
          <w:p w14:paraId="3E6E120D" w14:textId="77777777" w:rsidR="00FC0DB8" w:rsidRPr="00B541FC" w:rsidRDefault="00FC0DB8" w:rsidP="00E17B60">
            <w:pPr>
              <w:pStyle w:val="TableText"/>
              <w:spacing w:before="50" w:after="50"/>
              <w:ind w:right="142"/>
              <w:rPr>
                <w:szCs w:val="18"/>
              </w:rPr>
            </w:pPr>
            <w:r w:rsidRPr="00B541FC">
              <w:rPr>
                <w:szCs w:val="18"/>
              </w:rPr>
              <w:t>Daily smokers</w:t>
            </w:r>
          </w:p>
          <w:p w14:paraId="1FB75969" w14:textId="77777777" w:rsidR="00FC0DB8" w:rsidRPr="00D51317" w:rsidRDefault="00FC0DB8" w:rsidP="00E17B60">
            <w:pPr>
              <w:pStyle w:val="TableText"/>
              <w:spacing w:before="50" w:after="50"/>
              <w:ind w:right="142"/>
              <w:rPr>
                <w:i/>
                <w:szCs w:val="18"/>
              </w:rPr>
            </w:pPr>
            <w:r w:rsidRPr="00D51317">
              <w:rPr>
                <w:i/>
                <w:szCs w:val="18"/>
              </w:rPr>
              <w:t>Ex-smokers</w:t>
            </w:r>
          </w:p>
          <w:p w14:paraId="57EDDF12" w14:textId="77777777" w:rsidR="00FC0DB8" w:rsidRPr="00CC2DFE" w:rsidRDefault="00FC0DB8" w:rsidP="00E17B60">
            <w:pPr>
              <w:pStyle w:val="TableText"/>
              <w:spacing w:before="50" w:after="50"/>
              <w:ind w:right="142"/>
              <w:rPr>
                <w:i/>
                <w:szCs w:val="18"/>
              </w:rPr>
            </w:pPr>
            <w:r w:rsidRPr="00D51317">
              <w:rPr>
                <w:i/>
                <w:szCs w:val="18"/>
              </w:rPr>
              <w:t>Mean number of cigarettes smoked per day (daily smokers)</w:t>
            </w:r>
          </w:p>
        </w:tc>
        <w:tc>
          <w:tcPr>
            <w:tcW w:w="3118" w:type="dxa"/>
            <w:tcBorders>
              <w:top w:val="single" w:sz="4" w:space="0" w:color="A6A6A6" w:themeColor="background1" w:themeShade="A6"/>
              <w:bottom w:val="single" w:sz="4" w:space="0" w:color="A6A6A6" w:themeColor="background1" w:themeShade="A6"/>
            </w:tcBorders>
            <w:shd w:val="clear" w:color="auto" w:fill="auto"/>
          </w:tcPr>
          <w:p w14:paraId="5B938BC8" w14:textId="77777777" w:rsidR="00FC0DB8" w:rsidRPr="00D51317" w:rsidRDefault="00FC0DB8" w:rsidP="00E17B60">
            <w:pPr>
              <w:pStyle w:val="TableText"/>
              <w:spacing w:before="50" w:after="50"/>
              <w:rPr>
                <w:szCs w:val="18"/>
              </w:rPr>
            </w:pPr>
          </w:p>
        </w:tc>
      </w:tr>
      <w:tr w:rsidR="00FC0DB8" w:rsidRPr="008C5A1E" w14:paraId="6FB4653A" w14:textId="77777777" w:rsidTr="00247BA3">
        <w:trPr>
          <w:cantSplit/>
        </w:trPr>
        <w:tc>
          <w:tcPr>
            <w:tcW w:w="1644" w:type="dxa"/>
            <w:tcBorders>
              <w:bottom w:val="nil"/>
            </w:tcBorders>
            <w:shd w:val="clear" w:color="auto" w:fill="auto"/>
          </w:tcPr>
          <w:p w14:paraId="5EB5E248" w14:textId="77777777" w:rsidR="00FC0DB8" w:rsidRPr="00E075AE" w:rsidRDefault="00FC0DB8" w:rsidP="00E17B60">
            <w:pPr>
              <w:pStyle w:val="TableText"/>
              <w:spacing w:before="50" w:after="50"/>
              <w:rPr>
                <w:szCs w:val="18"/>
              </w:rPr>
            </w:pPr>
          </w:p>
        </w:tc>
        <w:tc>
          <w:tcPr>
            <w:tcW w:w="1584" w:type="dxa"/>
            <w:tcBorders>
              <w:top w:val="single" w:sz="4" w:space="0" w:color="A6A6A6" w:themeColor="background1" w:themeShade="A6"/>
              <w:bottom w:val="single" w:sz="4" w:space="0" w:color="A6A6A6" w:themeColor="background1" w:themeShade="A6"/>
            </w:tcBorders>
          </w:tcPr>
          <w:p w14:paraId="02B6C6C4" w14:textId="77777777" w:rsidR="00FC0DB8" w:rsidRDefault="00FC0DB8" w:rsidP="00E17B60">
            <w:pPr>
              <w:pStyle w:val="TableText"/>
              <w:spacing w:before="50" w:after="50"/>
              <w:ind w:right="142"/>
              <w:rPr>
                <w:szCs w:val="18"/>
              </w:rPr>
            </w:pPr>
            <w:r>
              <w:rPr>
                <w:szCs w:val="18"/>
              </w:rPr>
              <w:t>Alcohol use</w:t>
            </w:r>
          </w:p>
        </w:tc>
        <w:tc>
          <w:tcPr>
            <w:tcW w:w="3009" w:type="dxa"/>
            <w:tcBorders>
              <w:top w:val="single" w:sz="4" w:space="0" w:color="A6A6A6" w:themeColor="background1" w:themeShade="A6"/>
              <w:bottom w:val="single" w:sz="4" w:space="0" w:color="A6A6A6" w:themeColor="background1" w:themeShade="A6"/>
            </w:tcBorders>
            <w:shd w:val="clear" w:color="auto" w:fill="auto"/>
          </w:tcPr>
          <w:p w14:paraId="38F4022E" w14:textId="77777777" w:rsidR="00FC0DB8" w:rsidRPr="00D51317" w:rsidRDefault="00FC0DB8" w:rsidP="00E17B60">
            <w:pPr>
              <w:pStyle w:val="TableText"/>
              <w:spacing w:before="50" w:after="50"/>
              <w:ind w:right="142"/>
              <w:rPr>
                <w:szCs w:val="18"/>
              </w:rPr>
            </w:pPr>
            <w:r w:rsidRPr="00D51317">
              <w:rPr>
                <w:szCs w:val="18"/>
              </w:rPr>
              <w:t>Past-year drinkers</w:t>
            </w:r>
          </w:p>
          <w:p w14:paraId="0404624D" w14:textId="77777777" w:rsidR="00FC0DB8" w:rsidRPr="00B541FC" w:rsidRDefault="00FC0DB8" w:rsidP="00E17B60">
            <w:pPr>
              <w:pStyle w:val="TableText"/>
              <w:spacing w:before="50" w:after="50"/>
              <w:ind w:right="142"/>
              <w:rPr>
                <w:szCs w:val="18"/>
              </w:rPr>
            </w:pPr>
            <w:r w:rsidRPr="00B541FC">
              <w:rPr>
                <w:szCs w:val="18"/>
              </w:rPr>
              <w:t>Hazardous drinkers (total population)</w:t>
            </w:r>
          </w:p>
          <w:p w14:paraId="373BE84F" w14:textId="77777777" w:rsidR="00FC0DB8" w:rsidRPr="00D51317" w:rsidRDefault="00FC0DB8" w:rsidP="00E17B60">
            <w:pPr>
              <w:pStyle w:val="TableText"/>
              <w:spacing w:before="50" w:after="50"/>
              <w:ind w:right="142"/>
              <w:rPr>
                <w:i/>
                <w:szCs w:val="18"/>
              </w:rPr>
            </w:pPr>
            <w:r w:rsidRPr="00D51317">
              <w:rPr>
                <w:i/>
                <w:szCs w:val="18"/>
              </w:rPr>
              <w:t>Hazardous drinkers (past-year drinkers)</w:t>
            </w:r>
          </w:p>
          <w:p w14:paraId="104BEB5B" w14:textId="77777777" w:rsidR="00FC0DB8" w:rsidRPr="00D51317" w:rsidRDefault="00FC0DB8" w:rsidP="00E17B60">
            <w:pPr>
              <w:pStyle w:val="TableText"/>
              <w:spacing w:before="50" w:after="50"/>
              <w:ind w:right="142"/>
              <w:rPr>
                <w:i/>
                <w:szCs w:val="18"/>
              </w:rPr>
            </w:pPr>
            <w:r w:rsidRPr="00D51317">
              <w:rPr>
                <w:i/>
                <w:szCs w:val="18"/>
              </w:rPr>
              <w:t>Consumption of 6+ drinks on one occasion at least monthly (total population)</w:t>
            </w:r>
          </w:p>
          <w:p w14:paraId="4B90AE91" w14:textId="77777777" w:rsidR="00FC0DB8" w:rsidRPr="00D51317" w:rsidRDefault="00FC0DB8" w:rsidP="00E17B60">
            <w:pPr>
              <w:pStyle w:val="TableText"/>
              <w:spacing w:before="50" w:after="50"/>
              <w:ind w:right="142"/>
              <w:rPr>
                <w:i/>
                <w:szCs w:val="18"/>
              </w:rPr>
            </w:pPr>
            <w:r w:rsidRPr="00D51317">
              <w:rPr>
                <w:i/>
                <w:szCs w:val="18"/>
              </w:rPr>
              <w:t>Consumption of 6+ drinks on one occasion at least monthly (past-year drinkers)</w:t>
            </w:r>
          </w:p>
          <w:p w14:paraId="0885C679" w14:textId="77777777" w:rsidR="00FC0DB8" w:rsidRPr="00D51317" w:rsidRDefault="00FC0DB8" w:rsidP="00E17B60">
            <w:pPr>
              <w:pStyle w:val="TableText"/>
              <w:spacing w:before="50" w:after="50"/>
              <w:ind w:right="142"/>
              <w:rPr>
                <w:i/>
                <w:szCs w:val="18"/>
              </w:rPr>
            </w:pPr>
            <w:r w:rsidRPr="00D51317">
              <w:rPr>
                <w:i/>
                <w:szCs w:val="18"/>
              </w:rPr>
              <w:t>Consumption of 6+ drinks on one occasion at least weekly (total population)</w:t>
            </w:r>
          </w:p>
          <w:p w14:paraId="0F1BC29D" w14:textId="77777777" w:rsidR="00FC0DB8" w:rsidRPr="00CC2DFE" w:rsidRDefault="00FC0DB8" w:rsidP="00E17B60">
            <w:pPr>
              <w:pStyle w:val="TableText"/>
              <w:spacing w:before="50" w:after="50"/>
              <w:ind w:right="142"/>
              <w:rPr>
                <w:i/>
                <w:szCs w:val="18"/>
              </w:rPr>
            </w:pPr>
            <w:r w:rsidRPr="00D51317">
              <w:rPr>
                <w:i/>
                <w:szCs w:val="18"/>
              </w:rPr>
              <w:t>Consumption of 6+ drinks on one occasion at least weekly (past-year drinkers)</w:t>
            </w:r>
          </w:p>
        </w:tc>
        <w:tc>
          <w:tcPr>
            <w:tcW w:w="3118" w:type="dxa"/>
            <w:tcBorders>
              <w:top w:val="single" w:sz="4" w:space="0" w:color="A6A6A6" w:themeColor="background1" w:themeShade="A6"/>
              <w:bottom w:val="single" w:sz="4" w:space="0" w:color="A6A6A6" w:themeColor="background1" w:themeShade="A6"/>
            </w:tcBorders>
            <w:shd w:val="clear" w:color="auto" w:fill="auto"/>
          </w:tcPr>
          <w:p w14:paraId="3705AC6B" w14:textId="77777777" w:rsidR="00FC0DB8" w:rsidRPr="00D51317" w:rsidRDefault="00FC0DB8" w:rsidP="00E17B60">
            <w:pPr>
              <w:pStyle w:val="TableText"/>
              <w:spacing w:before="50" w:after="50"/>
              <w:rPr>
                <w:szCs w:val="18"/>
              </w:rPr>
            </w:pPr>
          </w:p>
        </w:tc>
      </w:tr>
      <w:tr w:rsidR="00FC0DB8" w:rsidRPr="008C5A1E" w14:paraId="53D8F1DF" w14:textId="77777777" w:rsidTr="00247BA3">
        <w:trPr>
          <w:cantSplit/>
        </w:trPr>
        <w:tc>
          <w:tcPr>
            <w:tcW w:w="1644" w:type="dxa"/>
            <w:tcBorders>
              <w:top w:val="nil"/>
              <w:bottom w:val="nil"/>
            </w:tcBorders>
            <w:shd w:val="clear" w:color="auto" w:fill="auto"/>
          </w:tcPr>
          <w:p w14:paraId="769C5289" w14:textId="77777777" w:rsidR="00FC0DB8" w:rsidRPr="00E075AE" w:rsidRDefault="00FC0DB8" w:rsidP="00E17B60">
            <w:pPr>
              <w:pStyle w:val="TableText"/>
              <w:spacing w:before="50" w:after="50"/>
              <w:rPr>
                <w:szCs w:val="18"/>
              </w:rPr>
            </w:pPr>
          </w:p>
        </w:tc>
        <w:tc>
          <w:tcPr>
            <w:tcW w:w="1584" w:type="dxa"/>
            <w:tcBorders>
              <w:top w:val="single" w:sz="4" w:space="0" w:color="A6A6A6" w:themeColor="background1" w:themeShade="A6"/>
              <w:bottom w:val="single" w:sz="4" w:space="0" w:color="A6A6A6" w:themeColor="background1" w:themeShade="A6"/>
            </w:tcBorders>
          </w:tcPr>
          <w:p w14:paraId="66174455" w14:textId="77777777" w:rsidR="00FC0DB8" w:rsidRDefault="00FC0DB8" w:rsidP="00E17B60">
            <w:pPr>
              <w:pStyle w:val="TableText"/>
              <w:spacing w:before="50" w:after="50"/>
              <w:ind w:right="142"/>
              <w:rPr>
                <w:szCs w:val="18"/>
              </w:rPr>
            </w:pPr>
            <w:r>
              <w:rPr>
                <w:szCs w:val="18"/>
              </w:rPr>
              <w:t>Nutrition and physical activity</w:t>
            </w:r>
          </w:p>
        </w:tc>
        <w:tc>
          <w:tcPr>
            <w:tcW w:w="3009" w:type="dxa"/>
            <w:tcBorders>
              <w:top w:val="single" w:sz="4" w:space="0" w:color="A6A6A6" w:themeColor="background1" w:themeShade="A6"/>
              <w:bottom w:val="single" w:sz="4" w:space="0" w:color="A6A6A6" w:themeColor="background1" w:themeShade="A6"/>
            </w:tcBorders>
            <w:shd w:val="clear" w:color="auto" w:fill="auto"/>
          </w:tcPr>
          <w:p w14:paraId="25A566BE" w14:textId="77777777" w:rsidR="00FC0DB8" w:rsidRPr="00D51317" w:rsidRDefault="00FC0DB8" w:rsidP="00E17B60">
            <w:pPr>
              <w:pStyle w:val="TableText"/>
              <w:spacing w:before="50" w:after="50"/>
              <w:ind w:right="142"/>
              <w:rPr>
                <w:szCs w:val="18"/>
              </w:rPr>
            </w:pPr>
            <w:r w:rsidRPr="00D51317">
              <w:rPr>
                <w:szCs w:val="18"/>
              </w:rPr>
              <w:t>Vegetable intake</w:t>
            </w:r>
          </w:p>
          <w:p w14:paraId="55635626" w14:textId="77777777" w:rsidR="00FC0DB8" w:rsidRPr="009B2DDA" w:rsidRDefault="00FC0DB8" w:rsidP="00E17B60">
            <w:pPr>
              <w:pStyle w:val="TableText"/>
              <w:spacing w:before="50" w:after="50"/>
              <w:ind w:right="142"/>
              <w:rPr>
                <w:szCs w:val="18"/>
              </w:rPr>
            </w:pPr>
            <w:r w:rsidRPr="009B2DDA">
              <w:rPr>
                <w:szCs w:val="18"/>
              </w:rPr>
              <w:t>Fruit intake</w:t>
            </w:r>
          </w:p>
          <w:p w14:paraId="5EECC273" w14:textId="77777777" w:rsidR="00FC0DB8" w:rsidRDefault="00FC0DB8" w:rsidP="00E17B60">
            <w:pPr>
              <w:pStyle w:val="TableText"/>
              <w:spacing w:before="50" w:after="50"/>
              <w:ind w:right="142"/>
              <w:rPr>
                <w:i/>
                <w:szCs w:val="18"/>
              </w:rPr>
            </w:pPr>
            <w:r w:rsidRPr="00D51317">
              <w:rPr>
                <w:i/>
                <w:szCs w:val="18"/>
              </w:rPr>
              <w:t>Vegetable and fruit intake</w:t>
            </w:r>
          </w:p>
          <w:p w14:paraId="3BEC9D07" w14:textId="77777777" w:rsidR="00FC0DB8" w:rsidRPr="009B2DDA" w:rsidRDefault="00FC0DB8" w:rsidP="00E17B60">
            <w:pPr>
              <w:pStyle w:val="TableText"/>
              <w:spacing w:before="50" w:after="50"/>
              <w:ind w:right="142"/>
              <w:rPr>
                <w:szCs w:val="18"/>
              </w:rPr>
            </w:pPr>
            <w:r w:rsidRPr="009B2DDA">
              <w:rPr>
                <w:szCs w:val="18"/>
              </w:rPr>
              <w:t>Physical</w:t>
            </w:r>
            <w:r>
              <w:rPr>
                <w:szCs w:val="18"/>
              </w:rPr>
              <w:t>ly active</w:t>
            </w:r>
          </w:p>
          <w:p w14:paraId="7F50FAEB" w14:textId="77777777" w:rsidR="00FC0DB8" w:rsidRPr="00B541FC" w:rsidRDefault="00FC0DB8" w:rsidP="00E17B60">
            <w:pPr>
              <w:pStyle w:val="TableText"/>
              <w:spacing w:before="50" w:after="50"/>
              <w:ind w:right="142"/>
              <w:rPr>
                <w:szCs w:val="18"/>
              </w:rPr>
            </w:pPr>
            <w:r w:rsidRPr="00B541FC">
              <w:rPr>
                <w:szCs w:val="18"/>
              </w:rPr>
              <w:t>Little or no physical activity</w:t>
            </w:r>
          </w:p>
        </w:tc>
        <w:tc>
          <w:tcPr>
            <w:tcW w:w="3118" w:type="dxa"/>
            <w:tcBorders>
              <w:top w:val="single" w:sz="4" w:space="0" w:color="A6A6A6" w:themeColor="background1" w:themeShade="A6"/>
              <w:bottom w:val="single" w:sz="4" w:space="0" w:color="A6A6A6" w:themeColor="background1" w:themeShade="A6"/>
            </w:tcBorders>
            <w:shd w:val="clear" w:color="auto" w:fill="auto"/>
          </w:tcPr>
          <w:p w14:paraId="60B7005B" w14:textId="77777777" w:rsidR="00FC0DB8" w:rsidRPr="00D51317" w:rsidRDefault="00FC0DB8" w:rsidP="00E17B60">
            <w:pPr>
              <w:pStyle w:val="TableText"/>
              <w:spacing w:before="50" w:after="50"/>
              <w:rPr>
                <w:szCs w:val="18"/>
              </w:rPr>
            </w:pPr>
            <w:r w:rsidRPr="00D51317">
              <w:rPr>
                <w:szCs w:val="18"/>
              </w:rPr>
              <w:t xml:space="preserve">Solid food before four months </w:t>
            </w:r>
            <w:r>
              <w:rPr>
                <w:szCs w:val="18"/>
              </w:rPr>
              <w:t xml:space="preserve">of age </w:t>
            </w:r>
            <w:r w:rsidRPr="00D51317">
              <w:rPr>
                <w:szCs w:val="18"/>
              </w:rPr>
              <w:t>(</w:t>
            </w:r>
            <w:r>
              <w:rPr>
                <w:szCs w:val="18"/>
              </w:rPr>
              <w:t>4</w:t>
            </w:r>
            <w:r w:rsidRPr="00D51317">
              <w:rPr>
                <w:szCs w:val="18"/>
              </w:rPr>
              <w:t xml:space="preserve"> months to </w:t>
            </w:r>
            <w:r>
              <w:rPr>
                <w:szCs w:val="18"/>
              </w:rPr>
              <w:t>4</w:t>
            </w:r>
            <w:r w:rsidRPr="00D51317">
              <w:rPr>
                <w:i/>
                <w:szCs w:val="18"/>
              </w:rPr>
              <w:t xml:space="preserve"> </w:t>
            </w:r>
            <w:r w:rsidRPr="00D51317">
              <w:rPr>
                <w:szCs w:val="18"/>
              </w:rPr>
              <w:t>years)</w:t>
            </w:r>
          </w:p>
          <w:p w14:paraId="67958DFB" w14:textId="77777777" w:rsidR="00FC0DB8" w:rsidRPr="00D51317" w:rsidRDefault="00FC0DB8" w:rsidP="00E17B60">
            <w:pPr>
              <w:pStyle w:val="TableText"/>
              <w:spacing w:before="50" w:after="50"/>
              <w:rPr>
                <w:szCs w:val="18"/>
              </w:rPr>
            </w:pPr>
            <w:r w:rsidRPr="00D51317">
              <w:rPr>
                <w:i/>
                <w:szCs w:val="18"/>
              </w:rPr>
              <w:t>Solid food before six months</w:t>
            </w:r>
            <w:r>
              <w:rPr>
                <w:i/>
                <w:szCs w:val="18"/>
              </w:rPr>
              <w:t xml:space="preserve"> of age</w:t>
            </w:r>
            <w:r w:rsidRPr="00D51317">
              <w:rPr>
                <w:i/>
                <w:szCs w:val="18"/>
              </w:rPr>
              <w:t xml:space="preserve"> (six months to four years)</w:t>
            </w:r>
          </w:p>
          <w:p w14:paraId="6F74B7BD" w14:textId="77777777" w:rsidR="00FC0DB8" w:rsidRPr="00D51317" w:rsidRDefault="00FC0DB8" w:rsidP="00E17B60">
            <w:pPr>
              <w:pStyle w:val="TableText"/>
              <w:spacing w:before="50" w:after="50"/>
              <w:rPr>
                <w:szCs w:val="18"/>
              </w:rPr>
            </w:pPr>
            <w:r w:rsidRPr="00D51317">
              <w:rPr>
                <w:szCs w:val="18"/>
              </w:rPr>
              <w:t>Breakfast</w:t>
            </w:r>
            <w:r>
              <w:rPr>
                <w:szCs w:val="18"/>
              </w:rPr>
              <w:t xml:space="preserve"> </w:t>
            </w:r>
            <w:r w:rsidRPr="00D51317">
              <w:rPr>
                <w:szCs w:val="18"/>
              </w:rPr>
              <w:t>eaten at home every day</w:t>
            </w:r>
            <w:r w:rsidRPr="00D51317">
              <w:rPr>
                <w:szCs w:val="18"/>
              </w:rPr>
              <w:br/>
              <w:t>(2–14 years)</w:t>
            </w:r>
          </w:p>
          <w:p w14:paraId="6BB9BA87" w14:textId="77777777" w:rsidR="00FC0DB8" w:rsidRPr="00D51317" w:rsidRDefault="00FC0DB8" w:rsidP="00E17B60">
            <w:pPr>
              <w:pStyle w:val="TableText"/>
              <w:spacing w:before="50" w:after="50"/>
              <w:rPr>
                <w:i/>
                <w:szCs w:val="18"/>
              </w:rPr>
            </w:pPr>
            <w:r w:rsidRPr="00D51317">
              <w:rPr>
                <w:i/>
                <w:szCs w:val="18"/>
              </w:rPr>
              <w:t>Breakfast</w:t>
            </w:r>
            <w:r>
              <w:rPr>
                <w:i/>
                <w:szCs w:val="18"/>
              </w:rPr>
              <w:t xml:space="preserve"> </w:t>
            </w:r>
            <w:r w:rsidRPr="00D51317">
              <w:rPr>
                <w:i/>
                <w:szCs w:val="18"/>
              </w:rPr>
              <w:t>eaten at home</w:t>
            </w:r>
            <w:r w:rsidRPr="00D51317">
              <w:rPr>
                <w:szCs w:val="18"/>
              </w:rPr>
              <w:t xml:space="preserve"> </w:t>
            </w:r>
            <w:r w:rsidRPr="00D51317">
              <w:rPr>
                <w:i/>
                <w:szCs w:val="18"/>
              </w:rPr>
              <w:t>less than 5</w:t>
            </w:r>
            <w:r w:rsidR="00247BA3">
              <w:rPr>
                <w:i/>
                <w:szCs w:val="18"/>
              </w:rPr>
              <w:t> </w:t>
            </w:r>
            <w:r w:rsidRPr="00D51317">
              <w:rPr>
                <w:i/>
                <w:szCs w:val="18"/>
              </w:rPr>
              <w:t>days in past week (2–14 years)</w:t>
            </w:r>
          </w:p>
          <w:p w14:paraId="4F35CA66" w14:textId="77777777" w:rsidR="00FC0DB8" w:rsidRPr="00D51317" w:rsidRDefault="00FC0DB8" w:rsidP="00E17B60">
            <w:pPr>
              <w:pStyle w:val="TableText"/>
              <w:spacing w:before="50" w:after="50"/>
              <w:rPr>
                <w:i/>
                <w:szCs w:val="18"/>
              </w:rPr>
            </w:pPr>
            <w:r>
              <w:rPr>
                <w:i/>
                <w:szCs w:val="18"/>
              </w:rPr>
              <w:t xml:space="preserve">Fast food </w:t>
            </w:r>
            <w:r w:rsidRPr="00D51317">
              <w:rPr>
                <w:i/>
                <w:szCs w:val="18"/>
              </w:rPr>
              <w:t>at least once per week</w:t>
            </w:r>
            <w:r>
              <w:rPr>
                <w:i/>
                <w:szCs w:val="18"/>
              </w:rPr>
              <w:br/>
            </w:r>
            <w:r w:rsidRPr="00D51317">
              <w:rPr>
                <w:i/>
                <w:szCs w:val="18"/>
              </w:rPr>
              <w:t>(2–14 years)</w:t>
            </w:r>
          </w:p>
          <w:p w14:paraId="5DA2808C" w14:textId="77777777" w:rsidR="00FC0DB8" w:rsidRPr="00D51317" w:rsidRDefault="00FC0DB8" w:rsidP="00E17B60">
            <w:pPr>
              <w:pStyle w:val="TableText"/>
              <w:spacing w:before="50" w:after="50"/>
              <w:rPr>
                <w:i/>
                <w:szCs w:val="18"/>
              </w:rPr>
            </w:pPr>
            <w:r w:rsidRPr="00D51317">
              <w:rPr>
                <w:i/>
                <w:szCs w:val="18"/>
              </w:rPr>
              <w:t xml:space="preserve">Fast food </w:t>
            </w:r>
            <w:r>
              <w:rPr>
                <w:i/>
                <w:szCs w:val="18"/>
              </w:rPr>
              <w:t>3+ times</w:t>
            </w:r>
            <w:r w:rsidRPr="00D51317">
              <w:rPr>
                <w:i/>
                <w:szCs w:val="18"/>
              </w:rPr>
              <w:t xml:space="preserve"> per week</w:t>
            </w:r>
            <w:r>
              <w:rPr>
                <w:i/>
                <w:szCs w:val="18"/>
              </w:rPr>
              <w:br/>
            </w:r>
            <w:r w:rsidRPr="00D51317">
              <w:rPr>
                <w:i/>
                <w:szCs w:val="18"/>
              </w:rPr>
              <w:t>(2–14 years)</w:t>
            </w:r>
          </w:p>
          <w:p w14:paraId="3E2A5E5D" w14:textId="77777777" w:rsidR="00FC0DB8" w:rsidRPr="00D51317" w:rsidRDefault="00FC0DB8" w:rsidP="00E17B60">
            <w:pPr>
              <w:pStyle w:val="TableText"/>
              <w:spacing w:before="50" w:after="50"/>
              <w:rPr>
                <w:i/>
                <w:szCs w:val="18"/>
              </w:rPr>
            </w:pPr>
            <w:r w:rsidRPr="00D51317">
              <w:rPr>
                <w:i/>
                <w:szCs w:val="18"/>
              </w:rPr>
              <w:t>Fizzy drink at least once per week</w:t>
            </w:r>
            <w:r>
              <w:rPr>
                <w:i/>
                <w:szCs w:val="18"/>
              </w:rPr>
              <w:br/>
            </w:r>
            <w:r w:rsidRPr="00D51317">
              <w:rPr>
                <w:i/>
                <w:szCs w:val="18"/>
              </w:rPr>
              <w:t>(2–14 years)</w:t>
            </w:r>
          </w:p>
          <w:p w14:paraId="7A72F803" w14:textId="77777777" w:rsidR="00FC0DB8" w:rsidRPr="009C3F5C" w:rsidRDefault="00FC0DB8" w:rsidP="00E17B60">
            <w:pPr>
              <w:pStyle w:val="TableText"/>
              <w:spacing w:before="50" w:after="50"/>
              <w:rPr>
                <w:szCs w:val="18"/>
              </w:rPr>
            </w:pPr>
            <w:r w:rsidRPr="009C3F5C">
              <w:rPr>
                <w:szCs w:val="18"/>
              </w:rPr>
              <w:t>Fizzy drink 3+ times per week</w:t>
            </w:r>
            <w:r w:rsidRPr="009C3F5C">
              <w:rPr>
                <w:szCs w:val="18"/>
              </w:rPr>
              <w:br/>
              <w:t>(2–14 years)</w:t>
            </w:r>
          </w:p>
          <w:p w14:paraId="27A19050" w14:textId="77777777" w:rsidR="00FC0DB8" w:rsidRPr="00D51317" w:rsidRDefault="00FC0DB8" w:rsidP="00E17B60">
            <w:pPr>
              <w:pStyle w:val="TableText"/>
              <w:spacing w:before="50" w:after="50"/>
              <w:rPr>
                <w:i/>
                <w:szCs w:val="18"/>
              </w:rPr>
            </w:pPr>
            <w:r w:rsidRPr="00D51317">
              <w:rPr>
                <w:i/>
                <w:szCs w:val="18"/>
              </w:rPr>
              <w:t>Vegetable intake (2–14 years)</w:t>
            </w:r>
          </w:p>
          <w:p w14:paraId="7C2A2566" w14:textId="77777777" w:rsidR="00FC0DB8" w:rsidRPr="00D51317" w:rsidRDefault="00FC0DB8" w:rsidP="00E17B60">
            <w:pPr>
              <w:pStyle w:val="TableText"/>
              <w:spacing w:before="50" w:after="50"/>
              <w:rPr>
                <w:i/>
                <w:szCs w:val="18"/>
              </w:rPr>
            </w:pPr>
            <w:r w:rsidRPr="00D51317">
              <w:rPr>
                <w:i/>
                <w:szCs w:val="18"/>
              </w:rPr>
              <w:t>Fruit intake (2–14 years)</w:t>
            </w:r>
          </w:p>
          <w:p w14:paraId="77E9C02C" w14:textId="77777777" w:rsidR="00FC0DB8" w:rsidRPr="009C3F5C" w:rsidRDefault="00FC0DB8" w:rsidP="00E17B60">
            <w:pPr>
              <w:pStyle w:val="TableText"/>
              <w:spacing w:before="50" w:after="50"/>
              <w:rPr>
                <w:i/>
                <w:szCs w:val="18"/>
              </w:rPr>
            </w:pPr>
            <w:r w:rsidRPr="009C3F5C">
              <w:rPr>
                <w:i/>
                <w:szCs w:val="18"/>
              </w:rPr>
              <w:t>Television watching (2–14 years)</w:t>
            </w:r>
          </w:p>
          <w:p w14:paraId="5D7E5D94" w14:textId="77777777" w:rsidR="00FC0DB8" w:rsidRPr="00CC2DFE" w:rsidRDefault="00FC0DB8" w:rsidP="00E17B60">
            <w:pPr>
              <w:pStyle w:val="TableText"/>
              <w:spacing w:before="50" w:after="50"/>
              <w:rPr>
                <w:i/>
                <w:szCs w:val="18"/>
              </w:rPr>
            </w:pPr>
            <w:r w:rsidRPr="00D51317">
              <w:rPr>
                <w:i/>
                <w:szCs w:val="18"/>
              </w:rPr>
              <w:t xml:space="preserve">Active travel </w:t>
            </w:r>
            <w:r w:rsidRPr="00D51317">
              <w:rPr>
                <w:szCs w:val="18"/>
              </w:rPr>
              <w:t>(</w:t>
            </w:r>
            <w:r w:rsidRPr="00D51317">
              <w:rPr>
                <w:i/>
                <w:szCs w:val="18"/>
              </w:rPr>
              <w:t>5–14 years)</w:t>
            </w:r>
          </w:p>
        </w:tc>
      </w:tr>
      <w:tr w:rsidR="00FC0DB8" w:rsidRPr="008C5A1E" w14:paraId="73E8AEC1" w14:textId="77777777" w:rsidTr="00247BA3">
        <w:trPr>
          <w:cantSplit/>
        </w:trPr>
        <w:tc>
          <w:tcPr>
            <w:tcW w:w="1644" w:type="dxa"/>
            <w:tcBorders>
              <w:top w:val="nil"/>
            </w:tcBorders>
            <w:shd w:val="clear" w:color="auto" w:fill="auto"/>
          </w:tcPr>
          <w:p w14:paraId="44C3E28F" w14:textId="77777777" w:rsidR="00FC0DB8" w:rsidRPr="00E075AE" w:rsidRDefault="00FC0DB8" w:rsidP="00E17B60">
            <w:pPr>
              <w:pStyle w:val="TableText"/>
              <w:spacing w:before="50" w:after="50"/>
              <w:rPr>
                <w:szCs w:val="18"/>
              </w:rPr>
            </w:pPr>
          </w:p>
        </w:tc>
        <w:tc>
          <w:tcPr>
            <w:tcW w:w="1584" w:type="dxa"/>
            <w:tcBorders>
              <w:top w:val="single" w:sz="4" w:space="0" w:color="auto"/>
              <w:bottom w:val="single" w:sz="4" w:space="0" w:color="A6A6A6" w:themeColor="background1" w:themeShade="A6"/>
            </w:tcBorders>
          </w:tcPr>
          <w:p w14:paraId="29D76D07" w14:textId="77777777" w:rsidR="00FC0DB8" w:rsidRDefault="00FC0DB8" w:rsidP="00E17B60">
            <w:pPr>
              <w:pStyle w:val="TableText"/>
              <w:spacing w:before="50" w:after="50"/>
              <w:ind w:right="142"/>
              <w:rPr>
                <w:szCs w:val="18"/>
              </w:rPr>
            </w:pPr>
            <w:r>
              <w:rPr>
                <w:szCs w:val="18"/>
              </w:rPr>
              <w:t>Body size</w:t>
            </w:r>
          </w:p>
        </w:tc>
        <w:tc>
          <w:tcPr>
            <w:tcW w:w="3009" w:type="dxa"/>
            <w:tcBorders>
              <w:top w:val="single" w:sz="4" w:space="0" w:color="auto"/>
              <w:bottom w:val="single" w:sz="4" w:space="0" w:color="A6A6A6" w:themeColor="background1" w:themeShade="A6"/>
            </w:tcBorders>
            <w:shd w:val="clear" w:color="auto" w:fill="auto"/>
          </w:tcPr>
          <w:p w14:paraId="487E80A8" w14:textId="77777777" w:rsidR="00FC0DB8" w:rsidRDefault="00FC0DB8" w:rsidP="00E17B60">
            <w:pPr>
              <w:pStyle w:val="TableText"/>
              <w:spacing w:before="50" w:after="50"/>
              <w:ind w:right="142"/>
              <w:rPr>
                <w:i/>
                <w:szCs w:val="18"/>
              </w:rPr>
            </w:pPr>
            <w:r w:rsidRPr="00D51317">
              <w:rPr>
                <w:i/>
                <w:szCs w:val="18"/>
              </w:rPr>
              <w:t>Mean weight</w:t>
            </w:r>
          </w:p>
          <w:p w14:paraId="381A8213" w14:textId="77777777" w:rsidR="00FC0DB8" w:rsidRPr="00D51317" w:rsidRDefault="00FC0DB8" w:rsidP="00E17B60">
            <w:pPr>
              <w:pStyle w:val="TableText"/>
              <w:spacing w:before="50" w:after="50"/>
              <w:ind w:right="142"/>
              <w:rPr>
                <w:i/>
                <w:szCs w:val="18"/>
              </w:rPr>
            </w:pPr>
            <w:r w:rsidRPr="00D51317">
              <w:rPr>
                <w:i/>
                <w:szCs w:val="18"/>
              </w:rPr>
              <w:t>Mean height</w:t>
            </w:r>
          </w:p>
          <w:p w14:paraId="6BFCF2F5" w14:textId="77777777" w:rsidR="00FC0DB8" w:rsidRPr="00D51317" w:rsidRDefault="00FC0DB8" w:rsidP="00E17B60">
            <w:pPr>
              <w:pStyle w:val="TableText"/>
              <w:spacing w:before="50" w:after="50"/>
              <w:ind w:right="142"/>
              <w:rPr>
                <w:szCs w:val="18"/>
              </w:rPr>
            </w:pPr>
            <w:r w:rsidRPr="00D51317">
              <w:rPr>
                <w:i/>
                <w:szCs w:val="18"/>
              </w:rPr>
              <w:t>Mean waist</w:t>
            </w:r>
          </w:p>
          <w:p w14:paraId="62019BF6" w14:textId="77777777" w:rsidR="00FC0DB8" w:rsidRPr="00D51317" w:rsidRDefault="00FC0DB8" w:rsidP="00E17B60">
            <w:pPr>
              <w:pStyle w:val="TableText"/>
              <w:spacing w:before="50" w:after="50"/>
              <w:ind w:right="142"/>
              <w:rPr>
                <w:i/>
                <w:szCs w:val="18"/>
              </w:rPr>
            </w:pPr>
            <w:r w:rsidRPr="00D51317">
              <w:rPr>
                <w:i/>
                <w:szCs w:val="18"/>
              </w:rPr>
              <w:t>Mean body mass index (BMI)</w:t>
            </w:r>
          </w:p>
          <w:p w14:paraId="72C9090D" w14:textId="77777777" w:rsidR="00FC0DB8" w:rsidRDefault="00FC0DB8" w:rsidP="00E17B60">
            <w:pPr>
              <w:pStyle w:val="TableText"/>
              <w:spacing w:before="50" w:after="50"/>
              <w:ind w:right="142"/>
              <w:rPr>
                <w:szCs w:val="18"/>
              </w:rPr>
            </w:pPr>
            <w:r w:rsidRPr="00D51317">
              <w:rPr>
                <w:i/>
                <w:szCs w:val="18"/>
              </w:rPr>
              <w:t>Underweight</w:t>
            </w:r>
          </w:p>
          <w:p w14:paraId="256D2C03" w14:textId="77777777" w:rsidR="00FC0DB8" w:rsidRPr="00D51317" w:rsidRDefault="00FC0DB8" w:rsidP="00E17B60">
            <w:pPr>
              <w:pStyle w:val="TableText"/>
              <w:spacing w:before="50" w:after="50"/>
              <w:ind w:right="142"/>
              <w:rPr>
                <w:i/>
                <w:szCs w:val="18"/>
              </w:rPr>
            </w:pPr>
            <w:r w:rsidRPr="00D51317">
              <w:rPr>
                <w:i/>
                <w:szCs w:val="18"/>
              </w:rPr>
              <w:t>Healthy weight</w:t>
            </w:r>
          </w:p>
          <w:p w14:paraId="683E4555" w14:textId="77777777" w:rsidR="00FC0DB8" w:rsidRPr="00D51317" w:rsidRDefault="00FC0DB8" w:rsidP="00E17B60">
            <w:pPr>
              <w:pStyle w:val="TableText"/>
              <w:spacing w:before="50" w:after="50"/>
              <w:ind w:right="142"/>
              <w:rPr>
                <w:i/>
                <w:szCs w:val="18"/>
              </w:rPr>
            </w:pPr>
            <w:r w:rsidRPr="00D51317">
              <w:rPr>
                <w:i/>
                <w:szCs w:val="18"/>
              </w:rPr>
              <w:t>Overweight</w:t>
            </w:r>
            <w:r>
              <w:rPr>
                <w:i/>
                <w:szCs w:val="18"/>
              </w:rPr>
              <w:t xml:space="preserve"> (but not obese)</w:t>
            </w:r>
          </w:p>
          <w:p w14:paraId="37F6AA57" w14:textId="77777777" w:rsidR="00FC0DB8" w:rsidRPr="00D51317" w:rsidRDefault="00FC0DB8" w:rsidP="00E17B60">
            <w:pPr>
              <w:pStyle w:val="TableText"/>
              <w:spacing w:before="50" w:after="50"/>
              <w:ind w:right="142"/>
              <w:rPr>
                <w:i/>
                <w:szCs w:val="18"/>
              </w:rPr>
            </w:pPr>
            <w:r w:rsidRPr="00D51317">
              <w:rPr>
                <w:i/>
                <w:szCs w:val="18"/>
              </w:rPr>
              <w:t>Overweight or obese</w:t>
            </w:r>
          </w:p>
          <w:p w14:paraId="0CF1AAFE" w14:textId="77777777" w:rsidR="00FC0DB8" w:rsidRPr="00D51317" w:rsidRDefault="00FC0DB8" w:rsidP="00E17B60">
            <w:pPr>
              <w:pStyle w:val="TableText"/>
              <w:spacing w:before="50" w:after="50"/>
              <w:ind w:right="142"/>
              <w:rPr>
                <w:szCs w:val="18"/>
              </w:rPr>
            </w:pPr>
            <w:r w:rsidRPr="00D51317">
              <w:rPr>
                <w:szCs w:val="18"/>
              </w:rPr>
              <w:t>Obesity</w:t>
            </w:r>
          </w:p>
          <w:p w14:paraId="2E398E84" w14:textId="77777777" w:rsidR="00FC0DB8" w:rsidRPr="00D51317" w:rsidRDefault="00FC0DB8" w:rsidP="00E17B60">
            <w:pPr>
              <w:pStyle w:val="TableText"/>
              <w:spacing w:before="50" w:after="50"/>
              <w:ind w:right="142"/>
              <w:rPr>
                <w:i/>
                <w:szCs w:val="18"/>
              </w:rPr>
            </w:pPr>
            <w:r w:rsidRPr="00D51317">
              <w:rPr>
                <w:i/>
                <w:szCs w:val="18"/>
              </w:rPr>
              <w:t xml:space="preserve">Obese </w:t>
            </w:r>
            <w:r>
              <w:rPr>
                <w:i/>
                <w:szCs w:val="18"/>
              </w:rPr>
              <w:t>c</w:t>
            </w:r>
            <w:r w:rsidRPr="00D51317">
              <w:rPr>
                <w:i/>
                <w:szCs w:val="18"/>
              </w:rPr>
              <w:t xml:space="preserve">lass </w:t>
            </w:r>
            <w:r>
              <w:rPr>
                <w:i/>
                <w:szCs w:val="18"/>
              </w:rPr>
              <w:t>1</w:t>
            </w:r>
          </w:p>
          <w:p w14:paraId="711D394A" w14:textId="77777777" w:rsidR="00FC0DB8" w:rsidRPr="00D51317" w:rsidRDefault="00FC0DB8" w:rsidP="00E17B60">
            <w:pPr>
              <w:pStyle w:val="TableText"/>
              <w:spacing w:before="50" w:after="50"/>
              <w:ind w:right="142"/>
              <w:rPr>
                <w:i/>
                <w:szCs w:val="18"/>
              </w:rPr>
            </w:pPr>
            <w:r w:rsidRPr="00D51317">
              <w:rPr>
                <w:i/>
                <w:szCs w:val="18"/>
              </w:rPr>
              <w:t xml:space="preserve">Obese </w:t>
            </w:r>
            <w:r>
              <w:rPr>
                <w:i/>
                <w:szCs w:val="18"/>
              </w:rPr>
              <w:t>c</w:t>
            </w:r>
            <w:r w:rsidRPr="00D51317">
              <w:rPr>
                <w:i/>
                <w:szCs w:val="18"/>
              </w:rPr>
              <w:t>lass 2</w:t>
            </w:r>
          </w:p>
          <w:p w14:paraId="092BB5D6" w14:textId="77777777" w:rsidR="00FC0DB8" w:rsidRPr="00D51317" w:rsidRDefault="00FC0DB8" w:rsidP="00E17B60">
            <w:pPr>
              <w:pStyle w:val="TableText"/>
              <w:spacing w:before="50" w:after="50"/>
              <w:ind w:right="142"/>
              <w:rPr>
                <w:szCs w:val="18"/>
              </w:rPr>
            </w:pPr>
            <w:r w:rsidRPr="00D51317">
              <w:rPr>
                <w:i/>
                <w:szCs w:val="18"/>
              </w:rPr>
              <w:t xml:space="preserve">Obese </w:t>
            </w:r>
            <w:r>
              <w:rPr>
                <w:i/>
                <w:szCs w:val="18"/>
              </w:rPr>
              <w:t>c</w:t>
            </w:r>
            <w:r w:rsidRPr="00D51317">
              <w:rPr>
                <w:i/>
                <w:szCs w:val="18"/>
              </w:rPr>
              <w:t>lass 3</w:t>
            </w:r>
          </w:p>
        </w:tc>
        <w:tc>
          <w:tcPr>
            <w:tcW w:w="3118" w:type="dxa"/>
            <w:tcBorders>
              <w:top w:val="single" w:sz="4" w:space="0" w:color="auto"/>
              <w:bottom w:val="single" w:sz="4" w:space="0" w:color="A6A6A6" w:themeColor="background1" w:themeShade="A6"/>
            </w:tcBorders>
            <w:shd w:val="clear" w:color="auto" w:fill="auto"/>
          </w:tcPr>
          <w:p w14:paraId="6CEB8039" w14:textId="77777777" w:rsidR="00FC0DB8" w:rsidRPr="00D51317" w:rsidRDefault="00FC0DB8" w:rsidP="00E17B60">
            <w:pPr>
              <w:pStyle w:val="TableText"/>
              <w:spacing w:before="50" w:after="50"/>
              <w:rPr>
                <w:i/>
                <w:szCs w:val="18"/>
              </w:rPr>
            </w:pPr>
            <w:r w:rsidRPr="00D51317">
              <w:rPr>
                <w:i/>
                <w:szCs w:val="18"/>
              </w:rPr>
              <w:t>Mean weight (2–14 years)</w:t>
            </w:r>
          </w:p>
          <w:p w14:paraId="21A2EE5D" w14:textId="77777777" w:rsidR="00FC0DB8" w:rsidRPr="00D51317" w:rsidRDefault="00FC0DB8" w:rsidP="00E17B60">
            <w:pPr>
              <w:pStyle w:val="TableText"/>
              <w:spacing w:before="50" w:after="50"/>
              <w:rPr>
                <w:i/>
                <w:szCs w:val="18"/>
              </w:rPr>
            </w:pPr>
            <w:r w:rsidRPr="00D51317">
              <w:rPr>
                <w:i/>
                <w:szCs w:val="18"/>
              </w:rPr>
              <w:t>Mean height (2–14 years)</w:t>
            </w:r>
          </w:p>
          <w:p w14:paraId="029F2FBE" w14:textId="77777777" w:rsidR="00FC0DB8" w:rsidRPr="00D51317" w:rsidRDefault="00FC0DB8" w:rsidP="00E17B60">
            <w:pPr>
              <w:pStyle w:val="TableText"/>
              <w:spacing w:before="50" w:after="50"/>
              <w:rPr>
                <w:i/>
                <w:szCs w:val="18"/>
              </w:rPr>
            </w:pPr>
            <w:r w:rsidRPr="00D51317">
              <w:rPr>
                <w:i/>
                <w:szCs w:val="18"/>
              </w:rPr>
              <w:t>Mean waist (5–14 years)</w:t>
            </w:r>
          </w:p>
          <w:p w14:paraId="2FF74A37" w14:textId="77777777" w:rsidR="00FC0DB8" w:rsidRPr="00D51317" w:rsidRDefault="00FC0DB8" w:rsidP="00E17B60">
            <w:pPr>
              <w:pStyle w:val="TableText"/>
              <w:spacing w:before="50" w:after="50"/>
              <w:rPr>
                <w:i/>
                <w:szCs w:val="18"/>
              </w:rPr>
            </w:pPr>
            <w:r w:rsidRPr="00D51317">
              <w:rPr>
                <w:i/>
                <w:szCs w:val="18"/>
              </w:rPr>
              <w:t>Mean BMI (2–14 years)</w:t>
            </w:r>
          </w:p>
          <w:p w14:paraId="3CE6F0AE" w14:textId="77777777" w:rsidR="00FC0DB8" w:rsidRPr="00D51317" w:rsidRDefault="00FC0DB8" w:rsidP="00E17B60">
            <w:pPr>
              <w:pStyle w:val="TableText"/>
              <w:spacing w:before="50" w:after="50"/>
              <w:rPr>
                <w:i/>
                <w:szCs w:val="18"/>
              </w:rPr>
            </w:pPr>
            <w:r w:rsidRPr="00D51317">
              <w:rPr>
                <w:i/>
                <w:szCs w:val="18"/>
              </w:rPr>
              <w:t>Thinness (2–14 years)</w:t>
            </w:r>
          </w:p>
          <w:p w14:paraId="02AC25BF" w14:textId="77777777" w:rsidR="00FC0DB8" w:rsidRPr="00D51317" w:rsidRDefault="00FC0DB8" w:rsidP="00E17B60">
            <w:pPr>
              <w:pStyle w:val="TableText"/>
              <w:spacing w:before="50" w:after="50"/>
              <w:rPr>
                <w:i/>
                <w:szCs w:val="18"/>
              </w:rPr>
            </w:pPr>
            <w:r w:rsidRPr="00D51317">
              <w:rPr>
                <w:i/>
                <w:szCs w:val="18"/>
              </w:rPr>
              <w:t>Healthy weight (2–14 years)</w:t>
            </w:r>
          </w:p>
          <w:p w14:paraId="2130BE65" w14:textId="77777777" w:rsidR="00FC0DB8" w:rsidRDefault="00FC0DB8" w:rsidP="00E17B60">
            <w:pPr>
              <w:pStyle w:val="TableText"/>
              <w:spacing w:before="50" w:after="50"/>
              <w:rPr>
                <w:i/>
                <w:szCs w:val="18"/>
              </w:rPr>
            </w:pPr>
            <w:r w:rsidRPr="00D51317">
              <w:rPr>
                <w:i/>
                <w:szCs w:val="18"/>
              </w:rPr>
              <w:t xml:space="preserve">Overweight </w:t>
            </w:r>
            <w:r>
              <w:rPr>
                <w:i/>
                <w:szCs w:val="18"/>
              </w:rPr>
              <w:t>(but not obese)</w:t>
            </w:r>
            <w:r w:rsidRPr="00D51317">
              <w:rPr>
                <w:i/>
                <w:szCs w:val="18"/>
              </w:rPr>
              <w:t xml:space="preserve"> (2–14 years)</w:t>
            </w:r>
          </w:p>
          <w:p w14:paraId="6604F066" w14:textId="77777777" w:rsidR="00FC0DB8" w:rsidRPr="00D51317" w:rsidRDefault="00FC0DB8" w:rsidP="00E17B60">
            <w:pPr>
              <w:pStyle w:val="TableText"/>
              <w:spacing w:before="50" w:after="50"/>
              <w:ind w:right="142"/>
              <w:rPr>
                <w:i/>
                <w:szCs w:val="18"/>
              </w:rPr>
            </w:pPr>
            <w:r w:rsidRPr="00D51317">
              <w:rPr>
                <w:i/>
                <w:szCs w:val="18"/>
              </w:rPr>
              <w:t>Overweight or obese</w:t>
            </w:r>
            <w:r>
              <w:rPr>
                <w:i/>
                <w:szCs w:val="18"/>
              </w:rPr>
              <w:t xml:space="preserve"> </w:t>
            </w:r>
            <w:r w:rsidRPr="00D51317">
              <w:rPr>
                <w:i/>
                <w:szCs w:val="18"/>
              </w:rPr>
              <w:t>(2–14 years)</w:t>
            </w:r>
          </w:p>
          <w:p w14:paraId="66876360" w14:textId="77777777" w:rsidR="00FC0DB8" w:rsidRPr="00D51317" w:rsidRDefault="00FC0DB8" w:rsidP="00E17B60">
            <w:pPr>
              <w:pStyle w:val="TableText"/>
              <w:spacing w:before="50" w:after="50"/>
              <w:rPr>
                <w:szCs w:val="18"/>
              </w:rPr>
            </w:pPr>
            <w:r w:rsidRPr="00D51317">
              <w:rPr>
                <w:szCs w:val="18"/>
              </w:rPr>
              <w:t>Obesity (2–14 years)</w:t>
            </w:r>
          </w:p>
          <w:p w14:paraId="72FC5069" w14:textId="77777777" w:rsidR="00FC0DB8" w:rsidRPr="00D51317" w:rsidRDefault="00FC0DB8" w:rsidP="00E17B60">
            <w:pPr>
              <w:pStyle w:val="TableText"/>
              <w:spacing w:before="50" w:after="50"/>
              <w:rPr>
                <w:i/>
                <w:szCs w:val="18"/>
              </w:rPr>
            </w:pPr>
            <w:r w:rsidRPr="00D51317">
              <w:rPr>
                <w:i/>
                <w:szCs w:val="18"/>
              </w:rPr>
              <w:t xml:space="preserve">Obese </w:t>
            </w:r>
            <w:r>
              <w:rPr>
                <w:i/>
                <w:szCs w:val="18"/>
              </w:rPr>
              <w:t>c</w:t>
            </w:r>
            <w:r w:rsidRPr="00D51317">
              <w:rPr>
                <w:i/>
                <w:szCs w:val="18"/>
              </w:rPr>
              <w:t xml:space="preserve">lass </w:t>
            </w:r>
            <w:r>
              <w:rPr>
                <w:i/>
                <w:szCs w:val="18"/>
              </w:rPr>
              <w:t>1</w:t>
            </w:r>
            <w:r w:rsidRPr="00D51317">
              <w:rPr>
                <w:i/>
                <w:szCs w:val="18"/>
              </w:rPr>
              <w:t xml:space="preserve"> (2–14 years)</w:t>
            </w:r>
          </w:p>
          <w:p w14:paraId="54A5B39F" w14:textId="77777777" w:rsidR="00FC0DB8" w:rsidRPr="00D51317" w:rsidRDefault="00FC0DB8" w:rsidP="00E17B60">
            <w:pPr>
              <w:pStyle w:val="TableText"/>
              <w:spacing w:before="50" w:after="50"/>
              <w:rPr>
                <w:szCs w:val="18"/>
              </w:rPr>
            </w:pPr>
            <w:r w:rsidRPr="00D51317">
              <w:rPr>
                <w:i/>
                <w:szCs w:val="18"/>
              </w:rPr>
              <w:t xml:space="preserve">Obese </w:t>
            </w:r>
            <w:r>
              <w:rPr>
                <w:i/>
                <w:szCs w:val="18"/>
              </w:rPr>
              <w:t>c</w:t>
            </w:r>
            <w:r w:rsidRPr="00D51317">
              <w:rPr>
                <w:i/>
                <w:szCs w:val="18"/>
              </w:rPr>
              <w:t>lass 2 or 3 (2–14 years)</w:t>
            </w:r>
          </w:p>
        </w:tc>
      </w:tr>
      <w:tr w:rsidR="00FC0DB8" w:rsidRPr="008C5A1E" w14:paraId="5BEFDCF2" w14:textId="77777777" w:rsidTr="00247BA3">
        <w:trPr>
          <w:cantSplit/>
        </w:trPr>
        <w:tc>
          <w:tcPr>
            <w:tcW w:w="1644" w:type="dxa"/>
            <w:tcBorders>
              <w:bottom w:val="single" w:sz="4" w:space="0" w:color="auto"/>
            </w:tcBorders>
            <w:shd w:val="clear" w:color="auto" w:fill="auto"/>
          </w:tcPr>
          <w:p w14:paraId="408513B4" w14:textId="77777777" w:rsidR="00FC0DB8" w:rsidRPr="00E075AE" w:rsidRDefault="00FC0DB8" w:rsidP="00E17B60">
            <w:pPr>
              <w:pStyle w:val="TableText"/>
              <w:spacing w:before="50" w:after="50"/>
              <w:rPr>
                <w:szCs w:val="18"/>
              </w:rPr>
            </w:pPr>
          </w:p>
        </w:tc>
        <w:tc>
          <w:tcPr>
            <w:tcW w:w="1584" w:type="dxa"/>
            <w:tcBorders>
              <w:top w:val="single" w:sz="4" w:space="0" w:color="A6A6A6" w:themeColor="background1" w:themeShade="A6"/>
              <w:bottom w:val="single" w:sz="4" w:space="0" w:color="auto"/>
            </w:tcBorders>
          </w:tcPr>
          <w:p w14:paraId="4C51C851" w14:textId="77777777" w:rsidR="00FC0DB8" w:rsidRDefault="00FC0DB8" w:rsidP="00E17B60">
            <w:pPr>
              <w:pStyle w:val="TableText"/>
              <w:spacing w:before="50" w:after="50"/>
              <w:ind w:right="142"/>
              <w:rPr>
                <w:szCs w:val="18"/>
              </w:rPr>
            </w:pPr>
            <w:r>
              <w:rPr>
                <w:szCs w:val="18"/>
              </w:rPr>
              <w:t>Physical punishment</w:t>
            </w:r>
          </w:p>
        </w:tc>
        <w:tc>
          <w:tcPr>
            <w:tcW w:w="3009" w:type="dxa"/>
            <w:tcBorders>
              <w:top w:val="single" w:sz="4" w:space="0" w:color="A6A6A6" w:themeColor="background1" w:themeShade="A6"/>
              <w:bottom w:val="single" w:sz="4" w:space="0" w:color="auto"/>
            </w:tcBorders>
            <w:shd w:val="clear" w:color="auto" w:fill="auto"/>
          </w:tcPr>
          <w:p w14:paraId="787EA2CA" w14:textId="77777777" w:rsidR="00FC0DB8" w:rsidRPr="00D51317" w:rsidRDefault="00FC0DB8" w:rsidP="00E17B60">
            <w:pPr>
              <w:pStyle w:val="TableText"/>
              <w:spacing w:before="50" w:after="50"/>
              <w:ind w:right="142"/>
              <w:rPr>
                <w:i/>
                <w:szCs w:val="18"/>
              </w:rPr>
            </w:pPr>
          </w:p>
        </w:tc>
        <w:tc>
          <w:tcPr>
            <w:tcW w:w="3118" w:type="dxa"/>
            <w:tcBorders>
              <w:top w:val="single" w:sz="4" w:space="0" w:color="A6A6A6" w:themeColor="background1" w:themeShade="A6"/>
              <w:bottom w:val="single" w:sz="4" w:space="0" w:color="auto"/>
            </w:tcBorders>
            <w:shd w:val="clear" w:color="auto" w:fill="auto"/>
          </w:tcPr>
          <w:p w14:paraId="2D3817A5" w14:textId="77777777" w:rsidR="00FC0DB8" w:rsidRPr="00D51317" w:rsidRDefault="00FC0DB8" w:rsidP="00E17B60">
            <w:pPr>
              <w:pStyle w:val="TableText"/>
              <w:spacing w:before="50" w:after="50"/>
              <w:rPr>
                <w:i/>
                <w:szCs w:val="18"/>
              </w:rPr>
            </w:pPr>
            <w:r w:rsidRPr="00D51317">
              <w:rPr>
                <w:szCs w:val="18"/>
              </w:rPr>
              <w:t xml:space="preserve">Physical punishment in </w:t>
            </w:r>
            <w:r>
              <w:rPr>
                <w:szCs w:val="18"/>
              </w:rPr>
              <w:t>p</w:t>
            </w:r>
            <w:r w:rsidRPr="00D51317">
              <w:rPr>
                <w:szCs w:val="18"/>
              </w:rPr>
              <w:t>ast 4 weeks</w:t>
            </w:r>
          </w:p>
        </w:tc>
      </w:tr>
      <w:tr w:rsidR="00FC0DB8" w:rsidRPr="008C5A1E" w14:paraId="58489513" w14:textId="77777777" w:rsidTr="00247BA3">
        <w:trPr>
          <w:cantSplit/>
        </w:trPr>
        <w:tc>
          <w:tcPr>
            <w:tcW w:w="1644" w:type="dxa"/>
            <w:vMerge w:val="restart"/>
            <w:tcBorders>
              <w:top w:val="single" w:sz="4" w:space="0" w:color="auto"/>
            </w:tcBorders>
            <w:shd w:val="clear" w:color="auto" w:fill="auto"/>
          </w:tcPr>
          <w:p w14:paraId="1BFC1F1C" w14:textId="77777777" w:rsidR="00FC0DB8" w:rsidRPr="00E075AE" w:rsidRDefault="00FC0DB8" w:rsidP="00E17B60">
            <w:pPr>
              <w:pStyle w:val="TableText"/>
              <w:spacing w:before="50" w:after="50"/>
              <w:rPr>
                <w:szCs w:val="18"/>
              </w:rPr>
            </w:pPr>
            <w:r w:rsidRPr="00E075AE">
              <w:rPr>
                <w:szCs w:val="18"/>
              </w:rPr>
              <w:t>Health conditions</w:t>
            </w:r>
          </w:p>
        </w:tc>
        <w:tc>
          <w:tcPr>
            <w:tcW w:w="1584" w:type="dxa"/>
            <w:tcBorders>
              <w:top w:val="single" w:sz="4" w:space="0" w:color="auto"/>
              <w:bottom w:val="single" w:sz="4" w:space="0" w:color="A6A6A6" w:themeColor="background1" w:themeShade="A6"/>
            </w:tcBorders>
          </w:tcPr>
          <w:p w14:paraId="32423DEE" w14:textId="77777777" w:rsidR="00FC0DB8" w:rsidRPr="00D51317" w:rsidRDefault="00FC0DB8" w:rsidP="00E17B60">
            <w:pPr>
              <w:pStyle w:val="TableText"/>
              <w:spacing w:before="50" w:after="50"/>
              <w:ind w:right="142"/>
              <w:rPr>
                <w:szCs w:val="18"/>
              </w:rPr>
            </w:pPr>
            <w:r>
              <w:rPr>
                <w:szCs w:val="18"/>
              </w:rPr>
              <w:t>Cardiovascular health</w:t>
            </w:r>
          </w:p>
        </w:tc>
        <w:tc>
          <w:tcPr>
            <w:tcW w:w="3009" w:type="dxa"/>
            <w:tcBorders>
              <w:top w:val="single" w:sz="4" w:space="0" w:color="auto"/>
              <w:bottom w:val="single" w:sz="4" w:space="0" w:color="A6A6A6" w:themeColor="background1" w:themeShade="A6"/>
            </w:tcBorders>
          </w:tcPr>
          <w:p w14:paraId="324E9540" w14:textId="77777777" w:rsidR="00FC0DB8" w:rsidRDefault="00FC0DB8" w:rsidP="00E17B60">
            <w:pPr>
              <w:pStyle w:val="TableText"/>
              <w:spacing w:before="50" w:after="50"/>
              <w:ind w:right="142"/>
              <w:rPr>
                <w:szCs w:val="18"/>
              </w:rPr>
            </w:pPr>
            <w:r w:rsidRPr="00D51317">
              <w:rPr>
                <w:szCs w:val="18"/>
              </w:rPr>
              <w:t>High blood pressure (medicated)</w:t>
            </w:r>
          </w:p>
          <w:p w14:paraId="0BC07E29" w14:textId="77777777" w:rsidR="00FC0DB8" w:rsidRDefault="00FC0DB8" w:rsidP="00E17B60">
            <w:pPr>
              <w:pStyle w:val="TableText"/>
              <w:spacing w:before="50" w:after="50"/>
              <w:ind w:right="142"/>
              <w:rPr>
                <w:i/>
                <w:szCs w:val="18"/>
              </w:rPr>
            </w:pPr>
            <w:r w:rsidRPr="0089147F">
              <w:rPr>
                <w:i/>
                <w:szCs w:val="18"/>
              </w:rPr>
              <w:t>Raised blood pressure (measured)</w:t>
            </w:r>
          </w:p>
          <w:p w14:paraId="72B4B06D" w14:textId="77777777" w:rsidR="00FC0DB8" w:rsidRDefault="00FC0DB8" w:rsidP="00E17B60">
            <w:pPr>
              <w:pStyle w:val="TableText"/>
              <w:spacing w:before="50" w:after="50"/>
              <w:ind w:right="142"/>
              <w:rPr>
                <w:i/>
                <w:szCs w:val="18"/>
              </w:rPr>
            </w:pPr>
            <w:r>
              <w:rPr>
                <w:i/>
                <w:szCs w:val="18"/>
              </w:rPr>
              <w:t>Mean systolic blood pressure</w:t>
            </w:r>
          </w:p>
          <w:p w14:paraId="18E13505" w14:textId="77777777" w:rsidR="00FC0DB8" w:rsidRPr="0089147F" w:rsidRDefault="00FC0DB8" w:rsidP="00E17B60">
            <w:pPr>
              <w:pStyle w:val="TableText"/>
              <w:spacing w:before="50" w:after="50"/>
              <w:ind w:right="142"/>
              <w:rPr>
                <w:i/>
                <w:szCs w:val="18"/>
              </w:rPr>
            </w:pPr>
            <w:r>
              <w:rPr>
                <w:i/>
                <w:szCs w:val="18"/>
              </w:rPr>
              <w:t>Mean diastolic blood pressure</w:t>
            </w:r>
          </w:p>
          <w:p w14:paraId="12BBB831" w14:textId="77777777" w:rsidR="00FC0DB8" w:rsidRPr="00D51317" w:rsidRDefault="00FC0DB8" w:rsidP="00E17B60">
            <w:pPr>
              <w:pStyle w:val="TableText"/>
              <w:spacing w:before="50" w:after="50"/>
              <w:ind w:right="142"/>
              <w:rPr>
                <w:szCs w:val="18"/>
              </w:rPr>
            </w:pPr>
            <w:r w:rsidRPr="00D51317">
              <w:rPr>
                <w:szCs w:val="18"/>
              </w:rPr>
              <w:t>High cholesterol (medicated)</w:t>
            </w:r>
          </w:p>
          <w:p w14:paraId="4695EC31" w14:textId="77777777" w:rsidR="00FC0DB8" w:rsidRPr="00D51317" w:rsidRDefault="00FC0DB8" w:rsidP="00E17B60">
            <w:pPr>
              <w:pStyle w:val="TableText"/>
              <w:spacing w:before="50" w:after="50"/>
              <w:ind w:right="142"/>
              <w:rPr>
                <w:szCs w:val="18"/>
              </w:rPr>
            </w:pPr>
            <w:r w:rsidRPr="00D51317">
              <w:rPr>
                <w:szCs w:val="18"/>
              </w:rPr>
              <w:t>Ischaemic heart disease (diagnosed)</w:t>
            </w:r>
          </w:p>
          <w:p w14:paraId="0092FD14" w14:textId="77777777" w:rsidR="00FC0DB8" w:rsidRPr="00D51317" w:rsidRDefault="00FC0DB8" w:rsidP="00E17B60">
            <w:pPr>
              <w:pStyle w:val="TableText"/>
              <w:spacing w:before="50" w:after="50"/>
              <w:ind w:right="142"/>
              <w:rPr>
                <w:i/>
                <w:szCs w:val="18"/>
              </w:rPr>
            </w:pPr>
            <w:r w:rsidRPr="00D51317">
              <w:rPr>
                <w:i/>
                <w:szCs w:val="18"/>
              </w:rPr>
              <w:t>Heart failure (diagnosed)</w:t>
            </w:r>
          </w:p>
          <w:p w14:paraId="2203A39C" w14:textId="77777777" w:rsidR="00FC0DB8" w:rsidRPr="00C83DE3" w:rsidRDefault="00FC0DB8" w:rsidP="00E17B60">
            <w:pPr>
              <w:pStyle w:val="TableText"/>
              <w:spacing w:before="50" w:after="50"/>
              <w:ind w:right="142"/>
              <w:rPr>
                <w:szCs w:val="18"/>
              </w:rPr>
            </w:pPr>
            <w:r>
              <w:rPr>
                <w:szCs w:val="18"/>
              </w:rPr>
              <w:t>Stroke (diagnosed)</w:t>
            </w:r>
          </w:p>
        </w:tc>
        <w:tc>
          <w:tcPr>
            <w:tcW w:w="3118" w:type="dxa"/>
            <w:tcBorders>
              <w:top w:val="single" w:sz="4" w:space="0" w:color="auto"/>
              <w:bottom w:val="single" w:sz="4" w:space="0" w:color="A6A6A6" w:themeColor="background1" w:themeShade="A6"/>
            </w:tcBorders>
            <w:shd w:val="clear" w:color="auto" w:fill="auto"/>
          </w:tcPr>
          <w:p w14:paraId="00A86C1F" w14:textId="77777777" w:rsidR="00FC0DB8" w:rsidRPr="00832FC7" w:rsidRDefault="00FC0DB8" w:rsidP="00E17B60">
            <w:pPr>
              <w:pStyle w:val="TableText"/>
              <w:spacing w:before="50" w:after="50"/>
              <w:rPr>
                <w:i/>
                <w:szCs w:val="18"/>
              </w:rPr>
            </w:pPr>
          </w:p>
        </w:tc>
      </w:tr>
      <w:tr w:rsidR="00FC0DB8" w:rsidRPr="008C5A1E" w14:paraId="1F2B05F7" w14:textId="77777777" w:rsidTr="00247BA3">
        <w:trPr>
          <w:cantSplit/>
        </w:trPr>
        <w:tc>
          <w:tcPr>
            <w:tcW w:w="1644" w:type="dxa"/>
            <w:vMerge/>
            <w:shd w:val="clear" w:color="auto" w:fill="auto"/>
          </w:tcPr>
          <w:p w14:paraId="738BD7C0" w14:textId="77777777" w:rsidR="00FC0DB8" w:rsidRPr="00E075AE" w:rsidRDefault="00FC0DB8" w:rsidP="00E17B60">
            <w:pPr>
              <w:pStyle w:val="TableText"/>
              <w:spacing w:before="50" w:after="50"/>
              <w:rPr>
                <w:szCs w:val="18"/>
              </w:rPr>
            </w:pPr>
          </w:p>
        </w:tc>
        <w:tc>
          <w:tcPr>
            <w:tcW w:w="1584" w:type="dxa"/>
            <w:tcBorders>
              <w:top w:val="single" w:sz="4" w:space="0" w:color="A6A6A6" w:themeColor="background1" w:themeShade="A6"/>
              <w:bottom w:val="single" w:sz="4" w:space="0" w:color="A6A6A6" w:themeColor="background1" w:themeShade="A6"/>
            </w:tcBorders>
          </w:tcPr>
          <w:p w14:paraId="56E0C647" w14:textId="77777777" w:rsidR="00FC0DB8" w:rsidRPr="00D51317" w:rsidRDefault="00FC0DB8" w:rsidP="00E17B60">
            <w:pPr>
              <w:pStyle w:val="TableText"/>
              <w:spacing w:before="50" w:after="50"/>
              <w:ind w:right="142"/>
              <w:rPr>
                <w:szCs w:val="18"/>
              </w:rPr>
            </w:pPr>
            <w:r>
              <w:rPr>
                <w:szCs w:val="18"/>
              </w:rPr>
              <w:t>Mental health</w:t>
            </w:r>
          </w:p>
        </w:tc>
        <w:tc>
          <w:tcPr>
            <w:tcW w:w="3009" w:type="dxa"/>
            <w:tcBorders>
              <w:top w:val="single" w:sz="4" w:space="0" w:color="A6A6A6" w:themeColor="background1" w:themeShade="A6"/>
              <w:bottom w:val="single" w:sz="4" w:space="0" w:color="A6A6A6" w:themeColor="background1" w:themeShade="A6"/>
            </w:tcBorders>
          </w:tcPr>
          <w:p w14:paraId="0823706E" w14:textId="77777777" w:rsidR="00FC0DB8" w:rsidRPr="0089147F" w:rsidRDefault="00FC0DB8" w:rsidP="00E17B60">
            <w:pPr>
              <w:pStyle w:val="TableText"/>
              <w:spacing w:before="50" w:after="50"/>
              <w:ind w:right="142"/>
              <w:rPr>
                <w:i/>
                <w:szCs w:val="18"/>
              </w:rPr>
            </w:pPr>
            <w:r w:rsidRPr="0089147F">
              <w:rPr>
                <w:i/>
                <w:szCs w:val="18"/>
              </w:rPr>
              <w:t>Mood or anxiety disorder (diagnosed)</w:t>
            </w:r>
          </w:p>
          <w:p w14:paraId="529CEF3F" w14:textId="77777777" w:rsidR="00FC0DB8" w:rsidRPr="00D51317" w:rsidRDefault="00FC0DB8" w:rsidP="00E17B60">
            <w:pPr>
              <w:pStyle w:val="TableText"/>
              <w:spacing w:before="50" w:after="50"/>
              <w:ind w:right="142"/>
              <w:rPr>
                <w:i/>
                <w:szCs w:val="18"/>
              </w:rPr>
            </w:pPr>
            <w:r w:rsidRPr="00D51317">
              <w:rPr>
                <w:i/>
                <w:szCs w:val="18"/>
              </w:rPr>
              <w:t>Depression (diagnosed)</w:t>
            </w:r>
          </w:p>
          <w:p w14:paraId="69932212" w14:textId="77777777" w:rsidR="00FC0DB8" w:rsidRPr="00D51317" w:rsidRDefault="00FC0DB8" w:rsidP="00E17B60">
            <w:pPr>
              <w:pStyle w:val="TableText"/>
              <w:spacing w:before="50" w:after="50"/>
              <w:ind w:right="142"/>
              <w:rPr>
                <w:i/>
                <w:szCs w:val="18"/>
              </w:rPr>
            </w:pPr>
            <w:r w:rsidRPr="00D51317">
              <w:rPr>
                <w:i/>
                <w:szCs w:val="18"/>
              </w:rPr>
              <w:t xml:space="preserve">Bipolar </w:t>
            </w:r>
            <w:r>
              <w:rPr>
                <w:i/>
                <w:szCs w:val="18"/>
              </w:rPr>
              <w:t xml:space="preserve">disorder </w:t>
            </w:r>
            <w:r w:rsidRPr="00D51317">
              <w:rPr>
                <w:i/>
                <w:szCs w:val="18"/>
              </w:rPr>
              <w:t>(diagnosed)</w:t>
            </w:r>
          </w:p>
          <w:p w14:paraId="4C8EF2BE" w14:textId="77777777" w:rsidR="00FC0DB8" w:rsidRPr="00D51317" w:rsidRDefault="00FC0DB8" w:rsidP="00E17B60">
            <w:pPr>
              <w:pStyle w:val="TableText"/>
              <w:spacing w:before="50" w:after="50"/>
              <w:ind w:right="142"/>
              <w:rPr>
                <w:i/>
                <w:szCs w:val="18"/>
              </w:rPr>
            </w:pPr>
            <w:r w:rsidRPr="00D51317">
              <w:rPr>
                <w:i/>
                <w:szCs w:val="18"/>
              </w:rPr>
              <w:t xml:space="preserve">Anxiety </w:t>
            </w:r>
            <w:r>
              <w:rPr>
                <w:i/>
                <w:szCs w:val="18"/>
              </w:rPr>
              <w:t>disorder</w:t>
            </w:r>
            <w:r w:rsidRPr="00D51317">
              <w:rPr>
                <w:i/>
                <w:szCs w:val="18"/>
              </w:rPr>
              <w:t xml:space="preserve"> (diagnosed)</w:t>
            </w:r>
          </w:p>
          <w:p w14:paraId="23033393" w14:textId="77777777" w:rsidR="00FC0DB8" w:rsidRDefault="00FC0DB8" w:rsidP="00E17B60">
            <w:pPr>
              <w:pStyle w:val="TableText"/>
              <w:spacing w:before="50" w:after="50"/>
              <w:ind w:right="142"/>
              <w:rPr>
                <w:i/>
                <w:szCs w:val="18"/>
              </w:rPr>
            </w:pPr>
            <w:r w:rsidRPr="00D51317">
              <w:rPr>
                <w:i/>
                <w:szCs w:val="18"/>
              </w:rPr>
              <w:t>Mood disorder (diagnosed depression or bipolar)</w:t>
            </w:r>
          </w:p>
          <w:p w14:paraId="4CDE4BFE" w14:textId="77777777" w:rsidR="00FC0DB8" w:rsidRPr="00D51317" w:rsidRDefault="00FC0DB8" w:rsidP="00E17B60">
            <w:pPr>
              <w:pStyle w:val="TableText"/>
              <w:spacing w:before="50" w:after="50"/>
              <w:ind w:right="142"/>
              <w:rPr>
                <w:szCs w:val="18"/>
              </w:rPr>
            </w:pPr>
            <w:r w:rsidRPr="00D51317">
              <w:rPr>
                <w:szCs w:val="18"/>
              </w:rPr>
              <w:t>Psychological distress</w:t>
            </w:r>
          </w:p>
        </w:tc>
        <w:tc>
          <w:tcPr>
            <w:tcW w:w="3118" w:type="dxa"/>
            <w:tcBorders>
              <w:top w:val="single" w:sz="4" w:space="0" w:color="A6A6A6" w:themeColor="background1" w:themeShade="A6"/>
              <w:bottom w:val="single" w:sz="4" w:space="0" w:color="A6A6A6" w:themeColor="background1" w:themeShade="A6"/>
            </w:tcBorders>
            <w:shd w:val="clear" w:color="auto" w:fill="auto"/>
          </w:tcPr>
          <w:p w14:paraId="071634F4" w14:textId="77777777" w:rsidR="00FC0DB8" w:rsidRPr="00D51317" w:rsidRDefault="00FC0DB8" w:rsidP="00E17B60">
            <w:pPr>
              <w:pStyle w:val="TableText"/>
              <w:spacing w:before="50" w:after="50"/>
              <w:rPr>
                <w:szCs w:val="18"/>
              </w:rPr>
            </w:pPr>
            <w:r w:rsidRPr="00D51317">
              <w:rPr>
                <w:szCs w:val="18"/>
              </w:rPr>
              <w:t>Emotional and</w:t>
            </w:r>
            <w:r>
              <w:rPr>
                <w:szCs w:val="18"/>
              </w:rPr>
              <w:t>/or</w:t>
            </w:r>
            <w:r w:rsidRPr="00D51317">
              <w:rPr>
                <w:szCs w:val="18"/>
              </w:rPr>
              <w:t xml:space="preserve"> behavioural problems (diagnosed) (2–14 years)</w:t>
            </w:r>
          </w:p>
          <w:p w14:paraId="79FA3AC5" w14:textId="77777777" w:rsidR="00FC0DB8" w:rsidRPr="00D51317" w:rsidRDefault="00FC0DB8" w:rsidP="00E17B60">
            <w:pPr>
              <w:pStyle w:val="TableText"/>
              <w:spacing w:before="50" w:after="50"/>
              <w:rPr>
                <w:szCs w:val="18"/>
              </w:rPr>
            </w:pPr>
            <w:r w:rsidRPr="00D51317">
              <w:rPr>
                <w:i/>
                <w:szCs w:val="18"/>
              </w:rPr>
              <w:t>Depression (diagnosed) (2–14 years)</w:t>
            </w:r>
          </w:p>
          <w:p w14:paraId="0FAD985F" w14:textId="77777777" w:rsidR="00FC0DB8" w:rsidRPr="00D51317" w:rsidRDefault="00FC0DB8" w:rsidP="00E17B60">
            <w:pPr>
              <w:pStyle w:val="TableText"/>
              <w:spacing w:before="50" w:after="50"/>
              <w:rPr>
                <w:szCs w:val="18"/>
              </w:rPr>
            </w:pPr>
            <w:r w:rsidRPr="00D51317">
              <w:rPr>
                <w:i/>
                <w:szCs w:val="18"/>
              </w:rPr>
              <w:t xml:space="preserve">Anxiety </w:t>
            </w:r>
            <w:r>
              <w:rPr>
                <w:i/>
                <w:szCs w:val="18"/>
              </w:rPr>
              <w:t>disorder</w:t>
            </w:r>
            <w:r w:rsidRPr="00D51317">
              <w:rPr>
                <w:i/>
                <w:szCs w:val="18"/>
              </w:rPr>
              <w:t xml:space="preserve"> (diagnosed) (2–14 years)</w:t>
            </w:r>
          </w:p>
          <w:p w14:paraId="11BB3148" w14:textId="77777777" w:rsidR="00FC0DB8" w:rsidRPr="00D51317" w:rsidRDefault="00FC0DB8" w:rsidP="00E17B60">
            <w:pPr>
              <w:pStyle w:val="TableText"/>
              <w:spacing w:before="50" w:after="50"/>
              <w:rPr>
                <w:szCs w:val="18"/>
              </w:rPr>
            </w:pPr>
            <w:r w:rsidRPr="00D51317">
              <w:rPr>
                <w:i/>
                <w:szCs w:val="18"/>
              </w:rPr>
              <w:t xml:space="preserve">Attention </w:t>
            </w:r>
            <w:r>
              <w:rPr>
                <w:i/>
                <w:szCs w:val="18"/>
              </w:rPr>
              <w:t>d</w:t>
            </w:r>
            <w:r w:rsidRPr="00D51317">
              <w:rPr>
                <w:i/>
                <w:szCs w:val="18"/>
              </w:rPr>
              <w:t xml:space="preserve">eficit </w:t>
            </w:r>
            <w:r>
              <w:rPr>
                <w:i/>
                <w:szCs w:val="18"/>
              </w:rPr>
              <w:t>d</w:t>
            </w:r>
            <w:r w:rsidRPr="00D51317">
              <w:rPr>
                <w:i/>
                <w:szCs w:val="18"/>
              </w:rPr>
              <w:t xml:space="preserve">isorder or </w:t>
            </w:r>
            <w:r>
              <w:rPr>
                <w:i/>
                <w:szCs w:val="18"/>
              </w:rPr>
              <w:t>a</w:t>
            </w:r>
            <w:r w:rsidRPr="00D51317">
              <w:rPr>
                <w:i/>
                <w:szCs w:val="18"/>
              </w:rPr>
              <w:t xml:space="preserve">ttention </w:t>
            </w:r>
            <w:r>
              <w:rPr>
                <w:i/>
                <w:szCs w:val="18"/>
              </w:rPr>
              <w:t>d</w:t>
            </w:r>
            <w:r w:rsidRPr="00D51317">
              <w:rPr>
                <w:i/>
                <w:szCs w:val="18"/>
              </w:rPr>
              <w:t xml:space="preserve">eficit </w:t>
            </w:r>
            <w:r>
              <w:rPr>
                <w:i/>
                <w:szCs w:val="18"/>
              </w:rPr>
              <w:t>h</w:t>
            </w:r>
            <w:r w:rsidRPr="00D51317">
              <w:rPr>
                <w:i/>
                <w:szCs w:val="18"/>
              </w:rPr>
              <w:t xml:space="preserve">yperactivity </w:t>
            </w:r>
            <w:r>
              <w:rPr>
                <w:i/>
                <w:szCs w:val="18"/>
              </w:rPr>
              <w:t>d</w:t>
            </w:r>
            <w:r w:rsidRPr="00D51317">
              <w:rPr>
                <w:i/>
                <w:szCs w:val="18"/>
              </w:rPr>
              <w:t>isorder (diagnosed)</w:t>
            </w:r>
            <w:r>
              <w:rPr>
                <w:i/>
                <w:szCs w:val="18"/>
              </w:rPr>
              <w:t xml:space="preserve"> </w:t>
            </w:r>
            <w:r w:rsidRPr="00D51317">
              <w:rPr>
                <w:i/>
                <w:szCs w:val="18"/>
              </w:rPr>
              <w:t>(2–14 years)</w:t>
            </w:r>
          </w:p>
          <w:p w14:paraId="555E568B" w14:textId="77777777" w:rsidR="00FC0DB8" w:rsidRPr="00C83DE3" w:rsidRDefault="00FC0DB8" w:rsidP="00E17B60">
            <w:pPr>
              <w:pStyle w:val="TableText"/>
              <w:spacing w:before="50" w:after="50"/>
              <w:rPr>
                <w:i/>
                <w:szCs w:val="18"/>
              </w:rPr>
            </w:pPr>
            <w:r w:rsidRPr="00D51317">
              <w:rPr>
                <w:i/>
                <w:szCs w:val="18"/>
              </w:rPr>
              <w:t>Autism spectrum disorder (diagnosed)</w:t>
            </w:r>
            <w:r>
              <w:rPr>
                <w:i/>
                <w:szCs w:val="18"/>
              </w:rPr>
              <w:t xml:space="preserve"> </w:t>
            </w:r>
            <w:r w:rsidRPr="00D51317">
              <w:rPr>
                <w:i/>
                <w:szCs w:val="18"/>
              </w:rPr>
              <w:t>(2–14 years)</w:t>
            </w:r>
          </w:p>
        </w:tc>
      </w:tr>
      <w:tr w:rsidR="00FC0DB8" w:rsidRPr="008C5A1E" w14:paraId="123E8C70" w14:textId="77777777" w:rsidTr="00247BA3">
        <w:trPr>
          <w:cantSplit/>
        </w:trPr>
        <w:tc>
          <w:tcPr>
            <w:tcW w:w="1644" w:type="dxa"/>
            <w:vMerge/>
            <w:tcBorders>
              <w:bottom w:val="single" w:sz="4" w:space="0" w:color="auto"/>
            </w:tcBorders>
            <w:shd w:val="clear" w:color="auto" w:fill="auto"/>
          </w:tcPr>
          <w:p w14:paraId="509084AF" w14:textId="77777777" w:rsidR="00FC0DB8" w:rsidRPr="00E075AE" w:rsidRDefault="00FC0DB8" w:rsidP="00E17B60">
            <w:pPr>
              <w:pStyle w:val="TableText"/>
              <w:spacing w:before="50" w:after="50"/>
              <w:rPr>
                <w:szCs w:val="18"/>
              </w:rPr>
            </w:pPr>
          </w:p>
        </w:tc>
        <w:tc>
          <w:tcPr>
            <w:tcW w:w="1584" w:type="dxa"/>
            <w:tcBorders>
              <w:top w:val="single" w:sz="4" w:space="0" w:color="A6A6A6" w:themeColor="background1" w:themeShade="A6"/>
              <w:bottom w:val="single" w:sz="4" w:space="0" w:color="auto"/>
            </w:tcBorders>
          </w:tcPr>
          <w:p w14:paraId="533F1101" w14:textId="77777777" w:rsidR="00FC0DB8" w:rsidRPr="00D51317" w:rsidRDefault="00FC0DB8" w:rsidP="00E17B60">
            <w:pPr>
              <w:pStyle w:val="TableText"/>
              <w:spacing w:before="50" w:after="50"/>
              <w:ind w:right="142"/>
              <w:rPr>
                <w:szCs w:val="18"/>
              </w:rPr>
            </w:pPr>
            <w:r>
              <w:rPr>
                <w:szCs w:val="18"/>
              </w:rPr>
              <w:t>Other health conditions</w:t>
            </w:r>
          </w:p>
        </w:tc>
        <w:tc>
          <w:tcPr>
            <w:tcW w:w="3009" w:type="dxa"/>
            <w:tcBorders>
              <w:top w:val="single" w:sz="4" w:space="0" w:color="A6A6A6" w:themeColor="background1" w:themeShade="A6"/>
              <w:bottom w:val="single" w:sz="4" w:space="0" w:color="auto"/>
            </w:tcBorders>
          </w:tcPr>
          <w:p w14:paraId="357C2EA0" w14:textId="77777777" w:rsidR="00FC0DB8" w:rsidRPr="00D51317" w:rsidRDefault="00FC0DB8" w:rsidP="00E17B60">
            <w:pPr>
              <w:pStyle w:val="TableText"/>
              <w:spacing w:before="50" w:after="50"/>
              <w:ind w:right="142"/>
              <w:rPr>
                <w:i/>
                <w:szCs w:val="18"/>
              </w:rPr>
            </w:pPr>
            <w:r w:rsidRPr="00D51317">
              <w:rPr>
                <w:i/>
                <w:szCs w:val="18"/>
              </w:rPr>
              <w:t>Diabetes (diagnosed)</w:t>
            </w:r>
          </w:p>
          <w:p w14:paraId="7815931A" w14:textId="77777777" w:rsidR="00FC0DB8" w:rsidRPr="00D51317" w:rsidRDefault="00FC0DB8" w:rsidP="00E17B60">
            <w:pPr>
              <w:pStyle w:val="TableText"/>
              <w:spacing w:before="50" w:after="50"/>
              <w:ind w:right="142"/>
              <w:rPr>
                <w:i/>
                <w:szCs w:val="18"/>
              </w:rPr>
            </w:pPr>
            <w:r w:rsidRPr="00D51317">
              <w:rPr>
                <w:i/>
                <w:szCs w:val="18"/>
              </w:rPr>
              <w:t>Type 2 diabetes (proxy)</w:t>
            </w:r>
          </w:p>
          <w:p w14:paraId="6EB94A9F" w14:textId="77777777" w:rsidR="00FC0DB8" w:rsidRPr="00D51317" w:rsidRDefault="00FC0DB8" w:rsidP="00E17B60">
            <w:pPr>
              <w:pStyle w:val="TableText"/>
              <w:spacing w:before="50" w:after="50"/>
              <w:ind w:right="142"/>
              <w:rPr>
                <w:szCs w:val="18"/>
              </w:rPr>
            </w:pPr>
            <w:r w:rsidRPr="00D51317">
              <w:rPr>
                <w:szCs w:val="18"/>
              </w:rPr>
              <w:t>Asthma (medicated)</w:t>
            </w:r>
          </w:p>
          <w:p w14:paraId="5570B178" w14:textId="77777777" w:rsidR="00FC0DB8" w:rsidRPr="00D51317" w:rsidRDefault="00FC0DB8" w:rsidP="00E17B60">
            <w:pPr>
              <w:pStyle w:val="TableText"/>
              <w:spacing w:before="50" w:after="50"/>
              <w:ind w:right="142"/>
              <w:rPr>
                <w:szCs w:val="18"/>
              </w:rPr>
            </w:pPr>
            <w:r w:rsidRPr="00D51317">
              <w:rPr>
                <w:szCs w:val="18"/>
              </w:rPr>
              <w:t>Arthritis (diagnosed)</w:t>
            </w:r>
          </w:p>
          <w:p w14:paraId="5F551E3C" w14:textId="77777777" w:rsidR="00FC0DB8" w:rsidRPr="00D51317" w:rsidRDefault="00FC0DB8" w:rsidP="00E17B60">
            <w:pPr>
              <w:pStyle w:val="TableText"/>
              <w:spacing w:before="50" w:after="50"/>
              <w:ind w:right="142"/>
              <w:rPr>
                <w:i/>
                <w:szCs w:val="18"/>
              </w:rPr>
            </w:pPr>
            <w:r w:rsidRPr="00D51317">
              <w:rPr>
                <w:i/>
                <w:szCs w:val="18"/>
              </w:rPr>
              <w:t>Osteoarthritis (diagnosed)</w:t>
            </w:r>
          </w:p>
          <w:p w14:paraId="5F75D53D" w14:textId="77777777" w:rsidR="00FC0DB8" w:rsidRPr="00D51317" w:rsidRDefault="00FC0DB8" w:rsidP="00E17B60">
            <w:pPr>
              <w:pStyle w:val="TableText"/>
              <w:spacing w:before="50" w:after="50"/>
              <w:ind w:right="142"/>
              <w:rPr>
                <w:i/>
                <w:szCs w:val="18"/>
              </w:rPr>
            </w:pPr>
            <w:r w:rsidRPr="00D51317">
              <w:rPr>
                <w:i/>
                <w:szCs w:val="18"/>
              </w:rPr>
              <w:t>Rheumatoid arthritis (diagnosed)</w:t>
            </w:r>
          </w:p>
          <w:p w14:paraId="46825F26" w14:textId="77777777" w:rsidR="00FC0DB8" w:rsidRPr="00D51317" w:rsidRDefault="00FC0DB8" w:rsidP="00E17B60">
            <w:pPr>
              <w:pStyle w:val="TableText"/>
              <w:spacing w:before="50" w:after="50"/>
              <w:ind w:right="142"/>
              <w:rPr>
                <w:i/>
                <w:szCs w:val="18"/>
              </w:rPr>
            </w:pPr>
            <w:r w:rsidRPr="00D51317">
              <w:rPr>
                <w:i/>
                <w:szCs w:val="18"/>
              </w:rPr>
              <w:t>Gout (diagnosed)</w:t>
            </w:r>
          </w:p>
          <w:p w14:paraId="1289146B" w14:textId="77777777" w:rsidR="00FC0DB8" w:rsidRPr="00D51317" w:rsidRDefault="00FC0DB8" w:rsidP="00E17B60">
            <w:pPr>
              <w:pStyle w:val="TableText"/>
              <w:spacing w:before="50" w:after="50"/>
              <w:ind w:right="142"/>
              <w:rPr>
                <w:szCs w:val="18"/>
              </w:rPr>
            </w:pPr>
            <w:r>
              <w:rPr>
                <w:szCs w:val="18"/>
              </w:rPr>
              <w:t>Chronic pain</w:t>
            </w:r>
          </w:p>
        </w:tc>
        <w:tc>
          <w:tcPr>
            <w:tcW w:w="3118" w:type="dxa"/>
            <w:tcBorders>
              <w:top w:val="single" w:sz="4" w:space="0" w:color="A6A6A6" w:themeColor="background1" w:themeShade="A6"/>
              <w:bottom w:val="single" w:sz="4" w:space="0" w:color="auto"/>
            </w:tcBorders>
            <w:shd w:val="clear" w:color="auto" w:fill="auto"/>
          </w:tcPr>
          <w:p w14:paraId="2FE0F7A8" w14:textId="77777777" w:rsidR="00FC0DB8" w:rsidRPr="00D51317" w:rsidRDefault="00FC0DB8" w:rsidP="00E17B60">
            <w:pPr>
              <w:pStyle w:val="TableText"/>
              <w:spacing w:before="50" w:after="50"/>
              <w:rPr>
                <w:szCs w:val="18"/>
              </w:rPr>
            </w:pPr>
            <w:r w:rsidRPr="00D51317">
              <w:rPr>
                <w:szCs w:val="18"/>
              </w:rPr>
              <w:t>Asthma (medicated) (2–14 years)</w:t>
            </w:r>
          </w:p>
          <w:p w14:paraId="6489B701" w14:textId="77777777" w:rsidR="00FC0DB8" w:rsidRPr="00D51317" w:rsidRDefault="00FC0DB8" w:rsidP="00E17B60">
            <w:pPr>
              <w:pStyle w:val="TableText"/>
              <w:spacing w:before="50" w:after="50"/>
              <w:rPr>
                <w:szCs w:val="18"/>
              </w:rPr>
            </w:pPr>
            <w:r w:rsidRPr="00D51317">
              <w:rPr>
                <w:i/>
                <w:szCs w:val="18"/>
              </w:rPr>
              <w:t>Eczem</w:t>
            </w:r>
            <w:r>
              <w:rPr>
                <w:i/>
                <w:szCs w:val="18"/>
              </w:rPr>
              <w:t>a (medicated)</w:t>
            </w:r>
          </w:p>
        </w:tc>
      </w:tr>
      <w:tr w:rsidR="00FC0DB8" w:rsidRPr="008C5A1E" w14:paraId="3226A07C" w14:textId="77777777" w:rsidTr="00247BA3">
        <w:trPr>
          <w:cantSplit/>
        </w:trPr>
        <w:tc>
          <w:tcPr>
            <w:tcW w:w="1644" w:type="dxa"/>
            <w:tcBorders>
              <w:top w:val="single" w:sz="4" w:space="0" w:color="auto"/>
              <w:bottom w:val="nil"/>
            </w:tcBorders>
            <w:shd w:val="clear" w:color="auto" w:fill="auto"/>
          </w:tcPr>
          <w:p w14:paraId="049E6DD2" w14:textId="77777777" w:rsidR="00FC0DB8" w:rsidRPr="00E075AE" w:rsidRDefault="00FC0DB8" w:rsidP="00E17B60">
            <w:pPr>
              <w:pStyle w:val="TableText"/>
              <w:spacing w:before="50" w:after="50"/>
              <w:rPr>
                <w:szCs w:val="18"/>
              </w:rPr>
            </w:pPr>
            <w:r>
              <w:rPr>
                <w:szCs w:val="18"/>
              </w:rPr>
              <w:lastRenderedPageBreak/>
              <w:t>Access to health care</w:t>
            </w:r>
          </w:p>
        </w:tc>
        <w:tc>
          <w:tcPr>
            <w:tcW w:w="1584" w:type="dxa"/>
            <w:tcBorders>
              <w:top w:val="single" w:sz="4" w:space="0" w:color="auto"/>
              <w:bottom w:val="single" w:sz="4" w:space="0" w:color="A6A6A6" w:themeColor="background1" w:themeShade="A6"/>
            </w:tcBorders>
          </w:tcPr>
          <w:p w14:paraId="4CE7CF8E" w14:textId="77777777" w:rsidR="00FC0DB8" w:rsidRPr="00D51317" w:rsidRDefault="00FC0DB8" w:rsidP="00E17B60">
            <w:pPr>
              <w:pStyle w:val="TableText"/>
              <w:spacing w:before="50" w:after="50"/>
              <w:ind w:right="142"/>
              <w:rPr>
                <w:szCs w:val="18"/>
              </w:rPr>
            </w:pPr>
            <w:r>
              <w:rPr>
                <w:szCs w:val="18"/>
              </w:rPr>
              <w:t>Primary health care use</w:t>
            </w:r>
          </w:p>
        </w:tc>
        <w:tc>
          <w:tcPr>
            <w:tcW w:w="3009" w:type="dxa"/>
            <w:tcBorders>
              <w:top w:val="single" w:sz="4" w:space="0" w:color="auto"/>
              <w:bottom w:val="single" w:sz="4" w:space="0" w:color="A6A6A6" w:themeColor="background1" w:themeShade="A6"/>
            </w:tcBorders>
            <w:shd w:val="clear" w:color="auto" w:fill="auto"/>
          </w:tcPr>
          <w:p w14:paraId="74125240" w14:textId="77777777" w:rsidR="00FC0DB8" w:rsidRPr="00D51317" w:rsidRDefault="00FC0DB8" w:rsidP="00E17B60">
            <w:pPr>
              <w:pStyle w:val="TableText"/>
              <w:spacing w:before="50" w:after="50"/>
              <w:ind w:right="142"/>
              <w:rPr>
                <w:szCs w:val="18"/>
              </w:rPr>
            </w:pPr>
            <w:r w:rsidRPr="00D51317">
              <w:rPr>
                <w:szCs w:val="18"/>
              </w:rPr>
              <w:t>GP visit</w:t>
            </w:r>
            <w:r>
              <w:rPr>
                <w:szCs w:val="18"/>
              </w:rPr>
              <w:t xml:space="preserve"> in the past 12 months</w:t>
            </w:r>
          </w:p>
          <w:p w14:paraId="7DEA4F04" w14:textId="77777777" w:rsidR="00FC0DB8" w:rsidRDefault="00FC0DB8" w:rsidP="00E17B60">
            <w:pPr>
              <w:pStyle w:val="TableText"/>
              <w:spacing w:before="50" w:after="50"/>
              <w:ind w:right="142"/>
              <w:rPr>
                <w:i/>
                <w:szCs w:val="18"/>
              </w:rPr>
            </w:pPr>
            <w:r w:rsidRPr="00D51317">
              <w:rPr>
                <w:i/>
                <w:szCs w:val="18"/>
              </w:rPr>
              <w:t>Mean number of GP visits</w:t>
            </w:r>
          </w:p>
          <w:p w14:paraId="20E650B4" w14:textId="77777777" w:rsidR="00FC0DB8" w:rsidRPr="00D51317" w:rsidRDefault="00FC0DB8" w:rsidP="00E17B60">
            <w:pPr>
              <w:pStyle w:val="TableText"/>
              <w:spacing w:before="50" w:after="50"/>
              <w:ind w:right="142"/>
              <w:rPr>
                <w:szCs w:val="18"/>
              </w:rPr>
            </w:pPr>
            <w:r w:rsidRPr="00D51317">
              <w:rPr>
                <w:szCs w:val="18"/>
              </w:rPr>
              <w:t>Practice nurse</w:t>
            </w:r>
            <w:r>
              <w:rPr>
                <w:szCs w:val="18"/>
              </w:rPr>
              <w:t xml:space="preserve"> (only)</w:t>
            </w:r>
            <w:r w:rsidRPr="00D51317">
              <w:rPr>
                <w:szCs w:val="18"/>
              </w:rPr>
              <w:t xml:space="preserve"> visit</w:t>
            </w:r>
            <w:r>
              <w:rPr>
                <w:szCs w:val="18"/>
              </w:rPr>
              <w:t xml:space="preserve"> in the past 12 months</w:t>
            </w:r>
          </w:p>
          <w:p w14:paraId="3EB2D3CB" w14:textId="77777777" w:rsidR="00FC0DB8" w:rsidRDefault="00FC0DB8" w:rsidP="00E17B60">
            <w:pPr>
              <w:pStyle w:val="TableText"/>
              <w:spacing w:before="50" w:after="50"/>
              <w:ind w:right="142"/>
              <w:rPr>
                <w:i/>
                <w:szCs w:val="18"/>
              </w:rPr>
            </w:pPr>
            <w:r w:rsidRPr="00D51317">
              <w:rPr>
                <w:i/>
                <w:szCs w:val="18"/>
              </w:rPr>
              <w:t xml:space="preserve">Mean number of practice nurse </w:t>
            </w:r>
            <w:r>
              <w:rPr>
                <w:i/>
                <w:szCs w:val="18"/>
              </w:rPr>
              <w:t xml:space="preserve">(only) </w:t>
            </w:r>
            <w:r w:rsidRPr="00D51317">
              <w:rPr>
                <w:i/>
                <w:szCs w:val="18"/>
              </w:rPr>
              <w:t>visits</w:t>
            </w:r>
          </w:p>
          <w:p w14:paraId="6D73FABE" w14:textId="77777777" w:rsidR="00FC0DB8" w:rsidRPr="00D51317" w:rsidRDefault="00FC0DB8" w:rsidP="00E17B60">
            <w:pPr>
              <w:pStyle w:val="TableText"/>
              <w:spacing w:before="50" w:after="50"/>
              <w:ind w:right="142"/>
              <w:rPr>
                <w:szCs w:val="18"/>
              </w:rPr>
            </w:pPr>
            <w:r w:rsidRPr="00D51317">
              <w:rPr>
                <w:szCs w:val="18"/>
              </w:rPr>
              <w:t>After-hours medical centre visit</w:t>
            </w:r>
            <w:r>
              <w:rPr>
                <w:szCs w:val="18"/>
              </w:rPr>
              <w:t xml:space="preserve"> in the past 12 months</w:t>
            </w:r>
          </w:p>
          <w:p w14:paraId="15674FB9" w14:textId="77777777" w:rsidR="00FC0DB8" w:rsidRPr="00D51317" w:rsidRDefault="00FC0DB8" w:rsidP="00E17B60">
            <w:pPr>
              <w:pStyle w:val="TableText"/>
              <w:spacing w:before="50" w:after="50"/>
              <w:ind w:right="142"/>
              <w:rPr>
                <w:szCs w:val="18"/>
              </w:rPr>
            </w:pPr>
            <w:r w:rsidRPr="00D51317">
              <w:rPr>
                <w:i/>
                <w:szCs w:val="18"/>
              </w:rPr>
              <w:t>Mean number of after-hours medical centre</w:t>
            </w:r>
            <w:r w:rsidRPr="00D51317">
              <w:rPr>
                <w:szCs w:val="18"/>
              </w:rPr>
              <w:t xml:space="preserve"> </w:t>
            </w:r>
            <w:r w:rsidRPr="00D51317">
              <w:rPr>
                <w:i/>
                <w:szCs w:val="18"/>
              </w:rPr>
              <w:t>visits</w:t>
            </w:r>
          </w:p>
        </w:tc>
        <w:tc>
          <w:tcPr>
            <w:tcW w:w="3118" w:type="dxa"/>
            <w:tcBorders>
              <w:top w:val="single" w:sz="4" w:space="0" w:color="auto"/>
              <w:bottom w:val="single" w:sz="4" w:space="0" w:color="A6A6A6" w:themeColor="background1" w:themeShade="A6"/>
            </w:tcBorders>
            <w:shd w:val="clear" w:color="auto" w:fill="auto"/>
          </w:tcPr>
          <w:p w14:paraId="376A3A0F" w14:textId="77777777" w:rsidR="00FC0DB8" w:rsidRPr="00D51317" w:rsidRDefault="00FC0DB8" w:rsidP="00E17B60">
            <w:pPr>
              <w:pStyle w:val="TableText"/>
              <w:spacing w:before="50" w:after="50"/>
              <w:rPr>
                <w:szCs w:val="18"/>
              </w:rPr>
            </w:pPr>
            <w:r w:rsidRPr="00D51317">
              <w:rPr>
                <w:szCs w:val="18"/>
              </w:rPr>
              <w:t>GP visit</w:t>
            </w:r>
            <w:r>
              <w:rPr>
                <w:szCs w:val="18"/>
              </w:rPr>
              <w:t xml:space="preserve"> in the past 12 months</w:t>
            </w:r>
          </w:p>
          <w:p w14:paraId="014220BA" w14:textId="77777777" w:rsidR="00FC0DB8" w:rsidRDefault="00FC0DB8" w:rsidP="00E17B60">
            <w:pPr>
              <w:pStyle w:val="TableText"/>
              <w:spacing w:before="50" w:after="50"/>
              <w:rPr>
                <w:i/>
                <w:szCs w:val="18"/>
              </w:rPr>
            </w:pPr>
            <w:r w:rsidRPr="00D51317">
              <w:rPr>
                <w:i/>
                <w:szCs w:val="18"/>
              </w:rPr>
              <w:t>Mean number of GP visits</w:t>
            </w:r>
          </w:p>
          <w:p w14:paraId="60EE39CA" w14:textId="77777777" w:rsidR="00FC0DB8" w:rsidRPr="00D51317" w:rsidRDefault="00FC0DB8" w:rsidP="00E17B60">
            <w:pPr>
              <w:pStyle w:val="TableText"/>
              <w:spacing w:before="50" w:after="50"/>
              <w:rPr>
                <w:i/>
                <w:szCs w:val="18"/>
              </w:rPr>
            </w:pPr>
            <w:r w:rsidRPr="00D51317">
              <w:rPr>
                <w:i/>
                <w:szCs w:val="18"/>
              </w:rPr>
              <w:t>Last GP visit (GP clinic) was free</w:t>
            </w:r>
          </w:p>
          <w:p w14:paraId="2E2BD965" w14:textId="77777777" w:rsidR="00FC0DB8" w:rsidRPr="00D51317" w:rsidRDefault="00FC0DB8" w:rsidP="00E17B60">
            <w:pPr>
              <w:pStyle w:val="TableText"/>
              <w:spacing w:before="50" w:after="50"/>
              <w:rPr>
                <w:i/>
                <w:szCs w:val="18"/>
              </w:rPr>
            </w:pPr>
            <w:r w:rsidRPr="00D51317">
              <w:rPr>
                <w:i/>
                <w:szCs w:val="18"/>
              </w:rPr>
              <w:t>Last GP visit (any location) was free</w:t>
            </w:r>
          </w:p>
          <w:p w14:paraId="633FC2EB" w14:textId="77777777" w:rsidR="00FC0DB8" w:rsidRPr="00D51317" w:rsidRDefault="00FC0DB8" w:rsidP="00E17B60">
            <w:pPr>
              <w:pStyle w:val="TableText"/>
              <w:spacing w:before="50" w:after="50"/>
              <w:rPr>
                <w:szCs w:val="18"/>
              </w:rPr>
            </w:pPr>
            <w:r w:rsidRPr="00D51317">
              <w:rPr>
                <w:szCs w:val="18"/>
              </w:rPr>
              <w:t>Practice nurse</w:t>
            </w:r>
            <w:r>
              <w:rPr>
                <w:szCs w:val="18"/>
              </w:rPr>
              <w:t xml:space="preserve"> (only)</w:t>
            </w:r>
            <w:r w:rsidRPr="00D51317">
              <w:rPr>
                <w:szCs w:val="18"/>
              </w:rPr>
              <w:t xml:space="preserve"> visit</w:t>
            </w:r>
            <w:r>
              <w:rPr>
                <w:szCs w:val="18"/>
              </w:rPr>
              <w:t xml:space="preserve"> in the past 12 months</w:t>
            </w:r>
          </w:p>
          <w:p w14:paraId="2025994D" w14:textId="77777777" w:rsidR="00FC0DB8" w:rsidRDefault="00FC0DB8" w:rsidP="00E17B60">
            <w:pPr>
              <w:pStyle w:val="TableText"/>
              <w:spacing w:before="50" w:after="50"/>
              <w:rPr>
                <w:i/>
                <w:szCs w:val="18"/>
              </w:rPr>
            </w:pPr>
            <w:r w:rsidRPr="00D51317">
              <w:rPr>
                <w:i/>
                <w:szCs w:val="18"/>
              </w:rPr>
              <w:t>Mean number of practice nurse</w:t>
            </w:r>
            <w:r>
              <w:rPr>
                <w:i/>
                <w:szCs w:val="18"/>
              </w:rPr>
              <w:t xml:space="preserve"> (only)</w:t>
            </w:r>
            <w:r w:rsidRPr="00D51317">
              <w:rPr>
                <w:i/>
                <w:szCs w:val="18"/>
              </w:rPr>
              <w:t xml:space="preserve"> visits</w:t>
            </w:r>
          </w:p>
          <w:p w14:paraId="5D76CFF9" w14:textId="77777777" w:rsidR="00FC0DB8" w:rsidRPr="00D51317" w:rsidRDefault="00FC0DB8" w:rsidP="00E17B60">
            <w:pPr>
              <w:pStyle w:val="TableText"/>
              <w:spacing w:before="50" w:after="50"/>
              <w:rPr>
                <w:i/>
                <w:szCs w:val="18"/>
              </w:rPr>
            </w:pPr>
            <w:r w:rsidRPr="00D51317">
              <w:rPr>
                <w:i/>
                <w:szCs w:val="18"/>
              </w:rPr>
              <w:t>Last practice nurse (only) visit was free</w:t>
            </w:r>
          </w:p>
          <w:p w14:paraId="32157BB8" w14:textId="77777777" w:rsidR="00FC0DB8" w:rsidRPr="00D51317" w:rsidRDefault="00FC0DB8" w:rsidP="00E17B60">
            <w:pPr>
              <w:pStyle w:val="TableText"/>
              <w:spacing w:before="50" w:after="50"/>
              <w:rPr>
                <w:szCs w:val="18"/>
              </w:rPr>
            </w:pPr>
            <w:r w:rsidRPr="00D51317">
              <w:rPr>
                <w:szCs w:val="18"/>
              </w:rPr>
              <w:t>After-hours medical centre visit</w:t>
            </w:r>
            <w:r>
              <w:rPr>
                <w:szCs w:val="18"/>
              </w:rPr>
              <w:t xml:space="preserve"> in the past 12 months</w:t>
            </w:r>
          </w:p>
          <w:p w14:paraId="7D3809C6" w14:textId="77777777" w:rsidR="00FC0DB8" w:rsidRDefault="00FC0DB8" w:rsidP="00E17B60">
            <w:pPr>
              <w:pStyle w:val="TableText"/>
              <w:spacing w:before="50" w:after="50"/>
              <w:rPr>
                <w:i/>
                <w:szCs w:val="18"/>
              </w:rPr>
            </w:pPr>
            <w:r w:rsidRPr="00D51317">
              <w:rPr>
                <w:i/>
                <w:szCs w:val="18"/>
              </w:rPr>
              <w:t>Mean number of after-hours medical centre</w:t>
            </w:r>
            <w:r w:rsidRPr="00D51317">
              <w:rPr>
                <w:szCs w:val="18"/>
              </w:rPr>
              <w:t xml:space="preserve"> </w:t>
            </w:r>
            <w:r w:rsidRPr="00D51317">
              <w:rPr>
                <w:i/>
                <w:szCs w:val="18"/>
              </w:rPr>
              <w:t>visits</w:t>
            </w:r>
          </w:p>
          <w:p w14:paraId="69DBD927" w14:textId="77777777" w:rsidR="00FC0DB8" w:rsidRPr="00C83DE3" w:rsidRDefault="00FC0DB8" w:rsidP="00E17B60">
            <w:pPr>
              <w:pStyle w:val="TableText"/>
              <w:spacing w:before="50" w:after="50"/>
              <w:rPr>
                <w:i/>
                <w:szCs w:val="18"/>
              </w:rPr>
            </w:pPr>
            <w:r w:rsidRPr="00D51317">
              <w:rPr>
                <w:i/>
                <w:szCs w:val="18"/>
              </w:rPr>
              <w:t>Last after-hours medical centre visit was free</w:t>
            </w:r>
          </w:p>
        </w:tc>
      </w:tr>
      <w:tr w:rsidR="00FC0DB8" w:rsidRPr="008C5A1E" w14:paraId="568FF526" w14:textId="77777777" w:rsidTr="00247BA3">
        <w:trPr>
          <w:cantSplit/>
        </w:trPr>
        <w:tc>
          <w:tcPr>
            <w:tcW w:w="1644" w:type="dxa"/>
            <w:tcBorders>
              <w:top w:val="nil"/>
              <w:bottom w:val="nil"/>
            </w:tcBorders>
            <w:shd w:val="clear" w:color="auto" w:fill="auto"/>
          </w:tcPr>
          <w:p w14:paraId="0EE77D6E" w14:textId="77777777" w:rsidR="00FC0DB8" w:rsidRDefault="00FC0DB8" w:rsidP="00E17B60">
            <w:pPr>
              <w:pStyle w:val="TableText"/>
              <w:spacing w:before="50" w:after="50"/>
              <w:rPr>
                <w:szCs w:val="18"/>
              </w:rPr>
            </w:pPr>
          </w:p>
        </w:tc>
        <w:tc>
          <w:tcPr>
            <w:tcW w:w="1584" w:type="dxa"/>
            <w:tcBorders>
              <w:top w:val="single" w:sz="4" w:space="0" w:color="A6A6A6" w:themeColor="background1" w:themeShade="A6"/>
              <w:bottom w:val="single" w:sz="4" w:space="0" w:color="A6A6A6" w:themeColor="background1" w:themeShade="A6"/>
            </w:tcBorders>
          </w:tcPr>
          <w:p w14:paraId="61C3AA45" w14:textId="77777777" w:rsidR="00FC0DB8" w:rsidRPr="00D51317" w:rsidRDefault="00FC0DB8" w:rsidP="00E17B60">
            <w:pPr>
              <w:pStyle w:val="TableText"/>
              <w:spacing w:before="50" w:after="50"/>
              <w:ind w:right="142"/>
              <w:rPr>
                <w:szCs w:val="18"/>
              </w:rPr>
            </w:pPr>
            <w:r>
              <w:rPr>
                <w:szCs w:val="18"/>
              </w:rPr>
              <w:t>Barriers to accessing health care</w:t>
            </w:r>
          </w:p>
        </w:tc>
        <w:tc>
          <w:tcPr>
            <w:tcW w:w="3009" w:type="dxa"/>
            <w:tcBorders>
              <w:top w:val="single" w:sz="4" w:space="0" w:color="A6A6A6" w:themeColor="background1" w:themeShade="A6"/>
              <w:bottom w:val="single" w:sz="4" w:space="0" w:color="A6A6A6" w:themeColor="background1" w:themeShade="A6"/>
            </w:tcBorders>
            <w:shd w:val="clear" w:color="auto" w:fill="auto"/>
          </w:tcPr>
          <w:p w14:paraId="2A67F395" w14:textId="77777777" w:rsidR="00FC0DB8" w:rsidRPr="00D51317" w:rsidRDefault="00FC0DB8" w:rsidP="00E17B60">
            <w:pPr>
              <w:pStyle w:val="TableText"/>
              <w:spacing w:before="50" w:after="50"/>
              <w:ind w:right="142"/>
              <w:rPr>
                <w:szCs w:val="18"/>
              </w:rPr>
            </w:pPr>
            <w:r>
              <w:rPr>
                <w:szCs w:val="18"/>
              </w:rPr>
              <w:t>Experienced any u</w:t>
            </w:r>
            <w:r w:rsidRPr="00D51317">
              <w:rPr>
                <w:szCs w:val="18"/>
              </w:rPr>
              <w:t>nmet need for primary health care</w:t>
            </w:r>
            <w:r>
              <w:rPr>
                <w:szCs w:val="18"/>
              </w:rPr>
              <w:t xml:space="preserve"> in the past 12 months</w:t>
            </w:r>
          </w:p>
          <w:p w14:paraId="70F85EC9" w14:textId="77777777" w:rsidR="00FC0DB8" w:rsidRPr="00D51317" w:rsidRDefault="00FC0DB8" w:rsidP="00E17B60">
            <w:pPr>
              <w:pStyle w:val="TableText"/>
              <w:spacing w:before="50" w:after="50"/>
              <w:ind w:right="142"/>
              <w:rPr>
                <w:szCs w:val="18"/>
              </w:rPr>
            </w:pPr>
            <w:r w:rsidRPr="00D51317">
              <w:rPr>
                <w:szCs w:val="18"/>
              </w:rPr>
              <w:t>Unable to get an appointment at usual medical centre within 24 hours</w:t>
            </w:r>
          </w:p>
          <w:p w14:paraId="0359460D" w14:textId="77777777" w:rsidR="00FC0DB8" w:rsidRPr="00D51317" w:rsidRDefault="00FC0DB8" w:rsidP="00E17B60">
            <w:pPr>
              <w:pStyle w:val="TableText"/>
              <w:spacing w:before="50" w:after="50"/>
              <w:ind w:right="142"/>
              <w:rPr>
                <w:szCs w:val="18"/>
              </w:rPr>
            </w:pPr>
            <w:r w:rsidRPr="00D51317">
              <w:rPr>
                <w:szCs w:val="18"/>
              </w:rPr>
              <w:t>Unmet need for GP due to cost</w:t>
            </w:r>
          </w:p>
          <w:p w14:paraId="12E10C1C" w14:textId="77777777" w:rsidR="00FC0DB8" w:rsidRPr="00D51317" w:rsidRDefault="00FC0DB8" w:rsidP="00E17B60">
            <w:pPr>
              <w:pStyle w:val="TableText"/>
              <w:spacing w:before="50" w:after="50"/>
              <w:ind w:right="142"/>
              <w:rPr>
                <w:i/>
                <w:szCs w:val="18"/>
              </w:rPr>
            </w:pPr>
            <w:r w:rsidRPr="00D51317">
              <w:rPr>
                <w:i/>
                <w:szCs w:val="18"/>
              </w:rPr>
              <w:t>Unmet need for GP due to lack of transport</w:t>
            </w:r>
          </w:p>
          <w:p w14:paraId="5E9A482A" w14:textId="77777777" w:rsidR="00FC0DB8" w:rsidRPr="00D51317" w:rsidRDefault="00FC0DB8" w:rsidP="00E17B60">
            <w:pPr>
              <w:pStyle w:val="TableText"/>
              <w:spacing w:before="50" w:after="50"/>
              <w:ind w:right="142"/>
              <w:rPr>
                <w:szCs w:val="18"/>
              </w:rPr>
            </w:pPr>
            <w:r w:rsidRPr="00D51317">
              <w:rPr>
                <w:szCs w:val="18"/>
              </w:rPr>
              <w:t>Unmet need for after-hours due to cost</w:t>
            </w:r>
          </w:p>
          <w:p w14:paraId="5FCF63B9" w14:textId="77777777" w:rsidR="00FC0DB8" w:rsidRPr="00D51317" w:rsidRDefault="00FC0DB8" w:rsidP="00E17B60">
            <w:pPr>
              <w:pStyle w:val="TableText"/>
              <w:spacing w:before="50" w:after="50"/>
              <w:ind w:right="142"/>
              <w:rPr>
                <w:i/>
                <w:szCs w:val="18"/>
              </w:rPr>
            </w:pPr>
            <w:r w:rsidRPr="00D51317">
              <w:rPr>
                <w:i/>
                <w:szCs w:val="18"/>
              </w:rPr>
              <w:t>Unmet need for after-hours due to lack of transport</w:t>
            </w:r>
          </w:p>
          <w:p w14:paraId="3231A2B3" w14:textId="77777777" w:rsidR="00FC0DB8" w:rsidRPr="00D51317" w:rsidRDefault="00FC0DB8" w:rsidP="00E17B60">
            <w:pPr>
              <w:pStyle w:val="TableText"/>
              <w:spacing w:before="50" w:after="50"/>
              <w:ind w:right="142"/>
              <w:rPr>
                <w:szCs w:val="18"/>
              </w:rPr>
            </w:pPr>
            <w:r w:rsidRPr="00D51317">
              <w:rPr>
                <w:szCs w:val="18"/>
              </w:rPr>
              <w:t>Un</w:t>
            </w:r>
            <w:r>
              <w:rPr>
                <w:szCs w:val="18"/>
              </w:rPr>
              <w:t>filled prescription due to cost</w:t>
            </w:r>
          </w:p>
        </w:tc>
        <w:tc>
          <w:tcPr>
            <w:tcW w:w="3118" w:type="dxa"/>
            <w:tcBorders>
              <w:top w:val="single" w:sz="4" w:space="0" w:color="A6A6A6" w:themeColor="background1" w:themeShade="A6"/>
              <w:bottom w:val="single" w:sz="4" w:space="0" w:color="A6A6A6" w:themeColor="background1" w:themeShade="A6"/>
            </w:tcBorders>
            <w:shd w:val="clear" w:color="auto" w:fill="auto"/>
          </w:tcPr>
          <w:p w14:paraId="353B757C" w14:textId="77777777" w:rsidR="00FC0DB8" w:rsidRPr="00D51317" w:rsidRDefault="00FC0DB8" w:rsidP="00E17B60">
            <w:pPr>
              <w:pStyle w:val="TableText"/>
              <w:spacing w:before="50" w:after="50"/>
              <w:rPr>
                <w:szCs w:val="18"/>
              </w:rPr>
            </w:pPr>
            <w:r>
              <w:rPr>
                <w:szCs w:val="18"/>
              </w:rPr>
              <w:t>Experienced any u</w:t>
            </w:r>
            <w:r w:rsidRPr="00D51317">
              <w:rPr>
                <w:szCs w:val="18"/>
              </w:rPr>
              <w:t>nmet need for primary health care</w:t>
            </w:r>
            <w:r>
              <w:rPr>
                <w:szCs w:val="18"/>
              </w:rPr>
              <w:t xml:space="preserve"> in the past 12 months</w:t>
            </w:r>
          </w:p>
          <w:p w14:paraId="4516E253" w14:textId="77777777" w:rsidR="00FC0DB8" w:rsidRPr="00D51317" w:rsidRDefault="00FC0DB8" w:rsidP="00E17B60">
            <w:pPr>
              <w:pStyle w:val="TableText"/>
              <w:spacing w:before="50" w:after="50"/>
              <w:rPr>
                <w:szCs w:val="18"/>
              </w:rPr>
            </w:pPr>
            <w:r w:rsidRPr="00D51317">
              <w:rPr>
                <w:szCs w:val="18"/>
              </w:rPr>
              <w:t>Unable to get an appointment at usual medical centre within 24 hours</w:t>
            </w:r>
          </w:p>
          <w:p w14:paraId="19F5608C" w14:textId="77777777" w:rsidR="00FC0DB8" w:rsidRPr="00D51317" w:rsidRDefault="00FC0DB8" w:rsidP="00E17B60">
            <w:pPr>
              <w:pStyle w:val="TableText"/>
              <w:spacing w:before="50" w:after="50"/>
              <w:rPr>
                <w:szCs w:val="18"/>
              </w:rPr>
            </w:pPr>
            <w:r w:rsidRPr="00D51317">
              <w:rPr>
                <w:szCs w:val="18"/>
              </w:rPr>
              <w:t>Unmet need for GP due to cost</w:t>
            </w:r>
          </w:p>
          <w:p w14:paraId="75859EE4" w14:textId="77777777" w:rsidR="00FC0DB8" w:rsidRPr="00D51317" w:rsidRDefault="00FC0DB8" w:rsidP="00E17B60">
            <w:pPr>
              <w:pStyle w:val="TableText"/>
              <w:spacing w:before="50" w:after="50"/>
              <w:rPr>
                <w:i/>
                <w:szCs w:val="18"/>
              </w:rPr>
            </w:pPr>
            <w:r w:rsidRPr="00D51317">
              <w:rPr>
                <w:i/>
                <w:szCs w:val="18"/>
              </w:rPr>
              <w:t>Unmet need for GP due to lack of transport</w:t>
            </w:r>
          </w:p>
          <w:p w14:paraId="222D8E56" w14:textId="77777777" w:rsidR="00FC0DB8" w:rsidRPr="00D51317" w:rsidRDefault="00FC0DB8" w:rsidP="00E17B60">
            <w:pPr>
              <w:pStyle w:val="TableText"/>
              <w:spacing w:before="50" w:after="50"/>
              <w:rPr>
                <w:i/>
                <w:szCs w:val="18"/>
              </w:rPr>
            </w:pPr>
            <w:r w:rsidRPr="00D51317">
              <w:rPr>
                <w:i/>
                <w:szCs w:val="18"/>
              </w:rPr>
              <w:t>Unmet need for GP due to lack of childcare</w:t>
            </w:r>
          </w:p>
          <w:p w14:paraId="48BA364F" w14:textId="77777777" w:rsidR="00FC0DB8" w:rsidRPr="00D51317" w:rsidRDefault="00FC0DB8" w:rsidP="00E17B60">
            <w:pPr>
              <w:pStyle w:val="TableText"/>
              <w:spacing w:before="50" w:after="50"/>
              <w:rPr>
                <w:szCs w:val="18"/>
              </w:rPr>
            </w:pPr>
            <w:r w:rsidRPr="00D51317">
              <w:rPr>
                <w:szCs w:val="18"/>
              </w:rPr>
              <w:t>Unmet need for after-hours due to cost</w:t>
            </w:r>
          </w:p>
          <w:p w14:paraId="2AC24FF7" w14:textId="77777777" w:rsidR="00FC0DB8" w:rsidRPr="00D51317" w:rsidRDefault="00FC0DB8" w:rsidP="00E17B60">
            <w:pPr>
              <w:pStyle w:val="TableText"/>
              <w:spacing w:before="50" w:after="50"/>
              <w:rPr>
                <w:i/>
                <w:szCs w:val="18"/>
              </w:rPr>
            </w:pPr>
            <w:r w:rsidRPr="00D51317">
              <w:rPr>
                <w:i/>
                <w:szCs w:val="18"/>
              </w:rPr>
              <w:t>Unmet need for after-hours due to lack of transport</w:t>
            </w:r>
          </w:p>
          <w:p w14:paraId="7B827358" w14:textId="77777777" w:rsidR="00FC0DB8" w:rsidRPr="00D51317" w:rsidRDefault="00FC0DB8" w:rsidP="00E17B60">
            <w:pPr>
              <w:pStyle w:val="TableText"/>
              <w:spacing w:before="50" w:after="50"/>
              <w:rPr>
                <w:szCs w:val="18"/>
              </w:rPr>
            </w:pPr>
            <w:r w:rsidRPr="00D51317">
              <w:rPr>
                <w:szCs w:val="18"/>
              </w:rPr>
              <w:t>Un</w:t>
            </w:r>
            <w:r>
              <w:rPr>
                <w:szCs w:val="18"/>
              </w:rPr>
              <w:t>filled prescription due to cost</w:t>
            </w:r>
          </w:p>
        </w:tc>
      </w:tr>
      <w:tr w:rsidR="00FC0DB8" w:rsidRPr="008C5A1E" w14:paraId="1F0740C7" w14:textId="77777777" w:rsidTr="00247BA3">
        <w:trPr>
          <w:cantSplit/>
        </w:trPr>
        <w:tc>
          <w:tcPr>
            <w:tcW w:w="1644" w:type="dxa"/>
            <w:tcBorders>
              <w:top w:val="nil"/>
              <w:bottom w:val="single" w:sz="4" w:space="0" w:color="auto"/>
            </w:tcBorders>
            <w:shd w:val="clear" w:color="auto" w:fill="auto"/>
          </w:tcPr>
          <w:p w14:paraId="6BBC8825" w14:textId="77777777" w:rsidR="00FC0DB8" w:rsidRDefault="00FC0DB8" w:rsidP="00E17B60">
            <w:pPr>
              <w:pStyle w:val="TableText"/>
              <w:spacing w:before="50" w:after="50"/>
              <w:rPr>
                <w:szCs w:val="18"/>
              </w:rPr>
            </w:pPr>
          </w:p>
        </w:tc>
        <w:tc>
          <w:tcPr>
            <w:tcW w:w="1584" w:type="dxa"/>
            <w:tcBorders>
              <w:top w:val="single" w:sz="4" w:space="0" w:color="A6A6A6" w:themeColor="background1" w:themeShade="A6"/>
              <w:bottom w:val="single" w:sz="4" w:space="0" w:color="auto"/>
            </w:tcBorders>
          </w:tcPr>
          <w:p w14:paraId="3ABFEF60" w14:textId="77777777" w:rsidR="00FC0DB8" w:rsidRPr="00D51317" w:rsidRDefault="00FC0DB8" w:rsidP="00E17B60">
            <w:pPr>
              <w:pStyle w:val="TableText"/>
              <w:spacing w:before="50" w:after="50"/>
              <w:ind w:right="142"/>
              <w:rPr>
                <w:szCs w:val="18"/>
              </w:rPr>
            </w:pPr>
            <w:r>
              <w:rPr>
                <w:szCs w:val="18"/>
              </w:rPr>
              <w:t>Patient experience</w:t>
            </w:r>
          </w:p>
        </w:tc>
        <w:tc>
          <w:tcPr>
            <w:tcW w:w="3009" w:type="dxa"/>
            <w:tcBorders>
              <w:top w:val="single" w:sz="4" w:space="0" w:color="A6A6A6" w:themeColor="background1" w:themeShade="A6"/>
              <w:bottom w:val="single" w:sz="4" w:space="0" w:color="auto"/>
            </w:tcBorders>
            <w:shd w:val="clear" w:color="auto" w:fill="auto"/>
          </w:tcPr>
          <w:p w14:paraId="704EFA22" w14:textId="77777777" w:rsidR="00FC0DB8" w:rsidRPr="00D51317" w:rsidRDefault="00FC0DB8" w:rsidP="00E17B60">
            <w:pPr>
              <w:pStyle w:val="TableText"/>
              <w:spacing w:before="50" w:after="50"/>
              <w:ind w:right="142"/>
              <w:rPr>
                <w:szCs w:val="18"/>
              </w:rPr>
            </w:pPr>
            <w:r w:rsidRPr="00D51317">
              <w:rPr>
                <w:szCs w:val="18"/>
              </w:rPr>
              <w:t>Definite confidence and trust in GP</w:t>
            </w:r>
          </w:p>
          <w:p w14:paraId="20DED667" w14:textId="77777777" w:rsidR="00FC0DB8" w:rsidRPr="00D51317" w:rsidRDefault="00FC0DB8" w:rsidP="00E17B60">
            <w:pPr>
              <w:pStyle w:val="TableText"/>
              <w:spacing w:before="50" w:after="50"/>
              <w:ind w:right="142"/>
              <w:rPr>
                <w:i/>
                <w:szCs w:val="18"/>
              </w:rPr>
            </w:pPr>
            <w:r w:rsidRPr="00D51317">
              <w:rPr>
                <w:i/>
                <w:szCs w:val="18"/>
              </w:rPr>
              <w:t>GP was very good or good at explaining health conditions and treatments</w:t>
            </w:r>
          </w:p>
          <w:p w14:paraId="1FD3DE33" w14:textId="77777777" w:rsidR="00FC0DB8" w:rsidRPr="00D51317" w:rsidRDefault="00FC0DB8" w:rsidP="00E17B60">
            <w:pPr>
              <w:pStyle w:val="TableText"/>
              <w:spacing w:before="50" w:after="50"/>
              <w:ind w:right="142"/>
              <w:rPr>
                <w:szCs w:val="18"/>
              </w:rPr>
            </w:pPr>
            <w:r w:rsidRPr="00D51317">
              <w:rPr>
                <w:i/>
                <w:szCs w:val="18"/>
              </w:rPr>
              <w:t>GP was very good or good at involving patient in decisions</w:t>
            </w:r>
          </w:p>
        </w:tc>
        <w:tc>
          <w:tcPr>
            <w:tcW w:w="3118" w:type="dxa"/>
            <w:tcBorders>
              <w:top w:val="single" w:sz="4" w:space="0" w:color="A6A6A6" w:themeColor="background1" w:themeShade="A6"/>
              <w:bottom w:val="single" w:sz="4" w:space="0" w:color="auto"/>
            </w:tcBorders>
            <w:shd w:val="clear" w:color="auto" w:fill="auto"/>
          </w:tcPr>
          <w:p w14:paraId="1E000785" w14:textId="77777777" w:rsidR="00FC0DB8" w:rsidRPr="00D51317" w:rsidRDefault="00FC0DB8" w:rsidP="00E17B60">
            <w:pPr>
              <w:pStyle w:val="TableText"/>
              <w:spacing w:before="50" w:after="50"/>
              <w:rPr>
                <w:szCs w:val="18"/>
              </w:rPr>
            </w:pPr>
            <w:r w:rsidRPr="00D51317">
              <w:rPr>
                <w:szCs w:val="18"/>
              </w:rPr>
              <w:t>Definite confidence and trust in GP</w:t>
            </w:r>
          </w:p>
          <w:p w14:paraId="022D4D9D" w14:textId="77777777" w:rsidR="00FC0DB8" w:rsidRPr="00D51317" w:rsidRDefault="00FC0DB8" w:rsidP="00E17B60">
            <w:pPr>
              <w:pStyle w:val="TableText"/>
              <w:spacing w:before="50" w:after="50"/>
              <w:rPr>
                <w:szCs w:val="18"/>
              </w:rPr>
            </w:pPr>
            <w:r w:rsidRPr="00D51317">
              <w:rPr>
                <w:i/>
                <w:szCs w:val="18"/>
              </w:rPr>
              <w:t>GP was very good or good at explaining health conditions and treatments</w:t>
            </w:r>
          </w:p>
        </w:tc>
      </w:tr>
      <w:tr w:rsidR="00FC0DB8" w:rsidRPr="008C5A1E" w14:paraId="625A6330" w14:textId="77777777" w:rsidTr="00247BA3">
        <w:trPr>
          <w:cantSplit/>
        </w:trPr>
        <w:tc>
          <w:tcPr>
            <w:tcW w:w="1644" w:type="dxa"/>
            <w:tcBorders>
              <w:top w:val="single" w:sz="4" w:space="0" w:color="auto"/>
              <w:bottom w:val="single" w:sz="4" w:space="0" w:color="auto"/>
            </w:tcBorders>
            <w:shd w:val="clear" w:color="auto" w:fill="auto"/>
          </w:tcPr>
          <w:p w14:paraId="744CC35F" w14:textId="77777777" w:rsidR="00FC0DB8" w:rsidRPr="00E075AE" w:rsidRDefault="00FC0DB8" w:rsidP="00E17B60">
            <w:pPr>
              <w:pStyle w:val="TableText"/>
              <w:spacing w:before="50" w:after="50"/>
              <w:rPr>
                <w:szCs w:val="18"/>
              </w:rPr>
            </w:pPr>
            <w:r>
              <w:rPr>
                <w:szCs w:val="18"/>
              </w:rPr>
              <w:t>Oral health</w:t>
            </w:r>
          </w:p>
        </w:tc>
        <w:tc>
          <w:tcPr>
            <w:tcW w:w="1584" w:type="dxa"/>
            <w:tcBorders>
              <w:top w:val="single" w:sz="4" w:space="0" w:color="auto"/>
              <w:bottom w:val="single" w:sz="4" w:space="0" w:color="auto"/>
            </w:tcBorders>
          </w:tcPr>
          <w:p w14:paraId="3FF00361" w14:textId="77777777" w:rsidR="00FC0DB8" w:rsidRPr="00D51317" w:rsidRDefault="00FC0DB8" w:rsidP="00E17B60">
            <w:pPr>
              <w:pStyle w:val="TableText"/>
              <w:spacing w:before="50" w:after="50"/>
              <w:ind w:right="142"/>
              <w:rPr>
                <w:szCs w:val="18"/>
              </w:rPr>
            </w:pPr>
          </w:p>
        </w:tc>
        <w:tc>
          <w:tcPr>
            <w:tcW w:w="3009" w:type="dxa"/>
            <w:tcBorders>
              <w:top w:val="single" w:sz="4" w:space="0" w:color="auto"/>
              <w:bottom w:val="single" w:sz="4" w:space="0" w:color="auto"/>
            </w:tcBorders>
            <w:shd w:val="clear" w:color="auto" w:fill="auto"/>
          </w:tcPr>
          <w:p w14:paraId="75BE816B" w14:textId="77777777" w:rsidR="00FC0DB8" w:rsidRPr="00D51317" w:rsidRDefault="00FC0DB8" w:rsidP="00E17B60">
            <w:pPr>
              <w:pStyle w:val="TableText"/>
              <w:spacing w:before="50" w:after="50"/>
              <w:ind w:right="142"/>
              <w:rPr>
                <w:szCs w:val="18"/>
              </w:rPr>
            </w:pPr>
            <w:r w:rsidRPr="00D51317">
              <w:rPr>
                <w:szCs w:val="18"/>
              </w:rPr>
              <w:t>Dental health care worker visit</w:t>
            </w:r>
            <w:r>
              <w:rPr>
                <w:szCs w:val="18"/>
              </w:rPr>
              <w:t xml:space="preserve"> in the past 12 months</w:t>
            </w:r>
          </w:p>
          <w:p w14:paraId="2877D644" w14:textId="77777777" w:rsidR="00FC0DB8" w:rsidRPr="00D51317" w:rsidRDefault="00FC0DB8" w:rsidP="00E17B60">
            <w:pPr>
              <w:pStyle w:val="TableText"/>
              <w:spacing w:before="50" w:after="50"/>
              <w:ind w:right="142"/>
              <w:rPr>
                <w:szCs w:val="18"/>
              </w:rPr>
            </w:pPr>
            <w:r w:rsidRPr="00D51317">
              <w:rPr>
                <w:szCs w:val="18"/>
              </w:rPr>
              <w:t>Teeth removed due to decay</w:t>
            </w:r>
            <w:r>
              <w:rPr>
                <w:szCs w:val="18"/>
              </w:rPr>
              <w:t xml:space="preserve"> in p</w:t>
            </w:r>
            <w:r w:rsidRPr="00D51317">
              <w:rPr>
                <w:szCs w:val="18"/>
              </w:rPr>
              <w:t>ast 12 months</w:t>
            </w:r>
          </w:p>
          <w:p w14:paraId="1863B3DD" w14:textId="77777777" w:rsidR="00FC0DB8" w:rsidRDefault="00FC0DB8" w:rsidP="00E17B60">
            <w:pPr>
              <w:pStyle w:val="TableText"/>
              <w:spacing w:before="50" w:after="50"/>
              <w:ind w:right="142"/>
              <w:rPr>
                <w:i/>
                <w:szCs w:val="18"/>
              </w:rPr>
            </w:pPr>
            <w:r w:rsidRPr="00D51317">
              <w:rPr>
                <w:i/>
                <w:szCs w:val="18"/>
              </w:rPr>
              <w:t>Teeth removed due to decay in lifetime</w:t>
            </w:r>
          </w:p>
          <w:p w14:paraId="43F7F1DD" w14:textId="77777777" w:rsidR="00FC0DB8" w:rsidRPr="00D51317" w:rsidRDefault="00FC0DB8" w:rsidP="00E17B60">
            <w:pPr>
              <w:pStyle w:val="TableText"/>
              <w:spacing w:before="50" w:after="50"/>
              <w:ind w:right="142"/>
              <w:rPr>
                <w:i/>
                <w:szCs w:val="18"/>
              </w:rPr>
            </w:pPr>
            <w:r w:rsidRPr="00D51317">
              <w:rPr>
                <w:i/>
                <w:szCs w:val="18"/>
              </w:rPr>
              <w:t>All teeth removed due to decay</w:t>
            </w:r>
          </w:p>
          <w:p w14:paraId="1A067731" w14:textId="77777777" w:rsidR="00FC0DB8" w:rsidRPr="00D51317" w:rsidRDefault="00FC0DB8" w:rsidP="00E17B60">
            <w:pPr>
              <w:pStyle w:val="TableText"/>
              <w:spacing w:before="50" w:after="50"/>
              <w:ind w:right="142"/>
              <w:rPr>
                <w:szCs w:val="18"/>
              </w:rPr>
            </w:pPr>
            <w:r w:rsidRPr="00D51317">
              <w:rPr>
                <w:szCs w:val="18"/>
              </w:rPr>
              <w:t>Usually only visits dental health care worker for dental problems (or never visits)</w:t>
            </w:r>
          </w:p>
        </w:tc>
        <w:tc>
          <w:tcPr>
            <w:tcW w:w="3118" w:type="dxa"/>
            <w:tcBorders>
              <w:top w:val="single" w:sz="4" w:space="0" w:color="auto"/>
              <w:bottom w:val="single" w:sz="4" w:space="0" w:color="auto"/>
            </w:tcBorders>
            <w:shd w:val="clear" w:color="auto" w:fill="auto"/>
          </w:tcPr>
          <w:p w14:paraId="0517465B" w14:textId="77777777" w:rsidR="00FC0DB8" w:rsidRPr="00D51317" w:rsidRDefault="00FC0DB8" w:rsidP="00E17B60">
            <w:pPr>
              <w:pStyle w:val="TableText"/>
              <w:spacing w:before="50" w:after="50"/>
              <w:rPr>
                <w:szCs w:val="18"/>
              </w:rPr>
            </w:pPr>
            <w:r w:rsidRPr="00D51317">
              <w:rPr>
                <w:szCs w:val="18"/>
              </w:rPr>
              <w:t>Dental health care worker visit</w:t>
            </w:r>
            <w:r>
              <w:rPr>
                <w:szCs w:val="18"/>
              </w:rPr>
              <w:t xml:space="preserve"> in the past 12 months </w:t>
            </w:r>
            <w:r w:rsidRPr="00D51317">
              <w:rPr>
                <w:szCs w:val="18"/>
              </w:rPr>
              <w:t>(1–14 years)</w:t>
            </w:r>
          </w:p>
          <w:p w14:paraId="68F2C355" w14:textId="77777777" w:rsidR="00FC0DB8" w:rsidRPr="00D51317" w:rsidRDefault="00FC0DB8" w:rsidP="00E17B60">
            <w:pPr>
              <w:pStyle w:val="TableText"/>
              <w:spacing w:before="50" w:after="50"/>
              <w:rPr>
                <w:szCs w:val="18"/>
              </w:rPr>
            </w:pPr>
            <w:r w:rsidRPr="00D51317">
              <w:rPr>
                <w:szCs w:val="18"/>
              </w:rPr>
              <w:t xml:space="preserve">Teeth removed due to decay in </w:t>
            </w:r>
            <w:r>
              <w:rPr>
                <w:szCs w:val="18"/>
              </w:rPr>
              <w:t>p</w:t>
            </w:r>
            <w:r w:rsidRPr="00D51317">
              <w:rPr>
                <w:szCs w:val="18"/>
              </w:rPr>
              <w:t>ast 12</w:t>
            </w:r>
            <w:r>
              <w:rPr>
                <w:szCs w:val="18"/>
              </w:rPr>
              <w:t> </w:t>
            </w:r>
            <w:r w:rsidRPr="00D51317">
              <w:rPr>
                <w:szCs w:val="18"/>
              </w:rPr>
              <w:t>months (1–14 years)</w:t>
            </w:r>
          </w:p>
          <w:p w14:paraId="443C8F83" w14:textId="77777777" w:rsidR="00FC0DB8" w:rsidRPr="00D51317" w:rsidRDefault="00FC0DB8" w:rsidP="00E17B60">
            <w:pPr>
              <w:pStyle w:val="TableText"/>
              <w:spacing w:before="50" w:after="50"/>
              <w:rPr>
                <w:szCs w:val="18"/>
              </w:rPr>
            </w:pPr>
            <w:r w:rsidRPr="00D51317">
              <w:rPr>
                <w:i/>
                <w:szCs w:val="18"/>
              </w:rPr>
              <w:t>Teeth removed due to decay in lifetime</w:t>
            </w:r>
            <w:r>
              <w:rPr>
                <w:i/>
                <w:szCs w:val="18"/>
              </w:rPr>
              <w:t xml:space="preserve"> </w:t>
            </w:r>
            <w:r w:rsidRPr="00BE4912">
              <w:rPr>
                <w:i/>
                <w:szCs w:val="18"/>
              </w:rPr>
              <w:t>(1–14 years)</w:t>
            </w:r>
          </w:p>
        </w:tc>
      </w:tr>
    </w:tbl>
    <w:p w14:paraId="409C1708" w14:textId="77777777" w:rsidR="00FC0DB8" w:rsidRDefault="00FC0DB8" w:rsidP="00FC0DB8">
      <w:pPr>
        <w:pStyle w:val="Note"/>
      </w:pPr>
      <w:r>
        <w:t>Note: I</w:t>
      </w:r>
      <w:r w:rsidRPr="00690DAE">
        <w:t xml:space="preserve">ndicators in italics are included in </w:t>
      </w:r>
      <w:r>
        <w:t xml:space="preserve">online </w:t>
      </w:r>
      <w:r w:rsidRPr="00690DAE">
        <w:t>tables only</w:t>
      </w:r>
      <w:r>
        <w:t>.</w:t>
      </w:r>
    </w:p>
    <w:p w14:paraId="3F2C6BA4" w14:textId="77777777" w:rsidR="00FC0DB8" w:rsidRPr="00AF0021" w:rsidRDefault="00FC0DB8" w:rsidP="00FC0DB8"/>
    <w:p w14:paraId="262A5556" w14:textId="77777777" w:rsidR="00FC0DB8" w:rsidRDefault="00FC0DB8" w:rsidP="00FC0DB8">
      <w:pPr>
        <w:pStyle w:val="Heading3"/>
      </w:pPr>
      <w:r>
        <w:t>Definitions and statistical methods</w:t>
      </w:r>
    </w:p>
    <w:p w14:paraId="41188727" w14:textId="77777777" w:rsidR="00FC0DB8" w:rsidRDefault="00FC0DB8" w:rsidP="00FC0DB8">
      <w:r>
        <w:t>Appendix 1 provides i</w:t>
      </w:r>
      <w:r w:rsidRPr="00C93DD4">
        <w:t xml:space="preserve">nformation on </w:t>
      </w:r>
      <w:r>
        <w:t xml:space="preserve">the </w:t>
      </w:r>
      <w:r w:rsidRPr="00C93DD4">
        <w:t>statistic</w:t>
      </w:r>
      <w:r>
        <w:t>al methods used in this report.</w:t>
      </w:r>
    </w:p>
    <w:p w14:paraId="6505C4DF" w14:textId="77777777" w:rsidR="00FC0DB8" w:rsidRDefault="00FC0DB8" w:rsidP="00FC0DB8"/>
    <w:p w14:paraId="295E99D2" w14:textId="77777777" w:rsidR="00FC0DB8" w:rsidRDefault="00FC0DB8" w:rsidP="00FC0DB8">
      <w:pPr>
        <w:pStyle w:val="Heading3"/>
      </w:pPr>
      <w:r>
        <w:lastRenderedPageBreak/>
        <w:t>Corrections to previously published data</w:t>
      </w:r>
    </w:p>
    <w:p w14:paraId="2D3FDBF7" w14:textId="1B949B36" w:rsidR="00FC0DB8" w:rsidRPr="00A4503F" w:rsidRDefault="00FC0DB8" w:rsidP="00247BA3">
      <w:pPr>
        <w:keepLines/>
        <w:rPr>
          <w:rStyle w:val="Hyperlink"/>
        </w:rPr>
      </w:pPr>
      <w:r>
        <w:t xml:space="preserve">We have made minor corrections to previously published data. </w:t>
      </w:r>
      <w:r>
        <w:rPr>
          <w:rStyle w:val="Hyperlink"/>
        </w:rPr>
        <w:t xml:space="preserve">Please use this report and the accompanying data tables for estimates for 2011/12, 2012/13, 2013/14 and 2014/15. </w:t>
      </w:r>
      <w:r>
        <w:t xml:space="preserve">The errors that were corrected are described in the </w:t>
      </w:r>
      <w:hyperlink r:id="rId25" w:history="1">
        <w:r w:rsidRPr="00B24158">
          <w:rPr>
            <w:rStyle w:val="Hyperlink"/>
            <w:i/>
          </w:rPr>
          <w:t>Methodology Report 2015/16: New Zealand Health Survey</w:t>
        </w:r>
      </w:hyperlink>
      <w:r>
        <w:rPr>
          <w:rStyle w:val="Hyperlink"/>
          <w:i/>
        </w:rPr>
        <w:t xml:space="preserve"> </w:t>
      </w:r>
      <w:r>
        <w:rPr>
          <w:rStyle w:val="Hyperlink"/>
        </w:rPr>
        <w:t>(Ministry of Health 2016b)</w:t>
      </w:r>
      <w:r>
        <w:rPr>
          <w:rStyle w:val="Hyperlink"/>
          <w:i/>
        </w:rPr>
        <w:t>.</w:t>
      </w:r>
    </w:p>
    <w:p w14:paraId="05E661EF" w14:textId="77777777" w:rsidR="00FC0DB8" w:rsidRDefault="00FC0DB8" w:rsidP="00FC0DB8"/>
    <w:p w14:paraId="7247C113" w14:textId="77777777" w:rsidR="00FC0DB8" w:rsidRPr="00ED1311" w:rsidRDefault="00FC0DB8" w:rsidP="00FC0DB8">
      <w:pPr>
        <w:pStyle w:val="Heading3"/>
      </w:pPr>
      <w:r w:rsidRPr="00ED1311">
        <w:t>Additional information</w:t>
      </w:r>
    </w:p>
    <w:p w14:paraId="45C6D908" w14:textId="515FD949" w:rsidR="00FC0DB8" w:rsidRPr="00491611" w:rsidRDefault="00FC0DB8" w:rsidP="00FC0DB8">
      <w:r w:rsidRPr="00491611">
        <w:t xml:space="preserve">The following publications provide additional information about the </w:t>
      </w:r>
      <w:r>
        <w:t>2015/16 survey</w:t>
      </w:r>
      <w:r w:rsidR="00387497">
        <w:t>:</w:t>
      </w:r>
    </w:p>
    <w:p w14:paraId="7880EDBB" w14:textId="322F3E2E" w:rsidR="00FC0DB8" w:rsidRPr="00486FBA" w:rsidRDefault="00BF481C" w:rsidP="00FC0DB8">
      <w:pPr>
        <w:pStyle w:val="Bullet"/>
      </w:pPr>
      <w:hyperlink r:id="rId26" w:history="1">
        <w:r w:rsidR="00FC0DB8" w:rsidRPr="00B24158">
          <w:rPr>
            <w:rStyle w:val="Hyperlink"/>
            <w:i/>
          </w:rPr>
          <w:t>Sample Design from 2015/16: New Zealand Health Survey</w:t>
        </w:r>
      </w:hyperlink>
      <w:r w:rsidR="00FC0DB8" w:rsidRPr="008B5744">
        <w:t xml:space="preserve"> </w:t>
      </w:r>
      <w:r w:rsidR="00FC0DB8">
        <w:t>(Ministry of Health 2016a)</w:t>
      </w:r>
    </w:p>
    <w:p w14:paraId="052D195F" w14:textId="773B5018" w:rsidR="00FC0DB8" w:rsidRPr="00486FBA" w:rsidRDefault="00BF481C" w:rsidP="00FC0DB8">
      <w:pPr>
        <w:pStyle w:val="Bullet"/>
      </w:pPr>
      <w:hyperlink r:id="rId27" w:history="1">
        <w:r w:rsidR="00FC0DB8" w:rsidRPr="00B24158">
          <w:rPr>
            <w:rStyle w:val="Hyperlink"/>
            <w:i/>
          </w:rPr>
          <w:t>Methodology Report</w:t>
        </w:r>
        <w:r w:rsidR="00FC0DB8" w:rsidRPr="00B24158">
          <w:rPr>
            <w:rStyle w:val="Hyperlink"/>
          </w:rPr>
          <w:t xml:space="preserve"> </w:t>
        </w:r>
        <w:r w:rsidR="00FC0DB8" w:rsidRPr="00B24158">
          <w:rPr>
            <w:rStyle w:val="Hyperlink"/>
            <w:i/>
          </w:rPr>
          <w:t>2015/16: New Zealand Health Survey</w:t>
        </w:r>
      </w:hyperlink>
      <w:r w:rsidR="00FC0DB8">
        <w:rPr>
          <w:rStyle w:val="Hyperlink"/>
          <w:i/>
        </w:rPr>
        <w:t xml:space="preserve"> </w:t>
      </w:r>
      <w:r w:rsidR="00FC0DB8">
        <w:rPr>
          <w:rStyle w:val="Hyperlink"/>
        </w:rPr>
        <w:t>(Ministry of Health 2016b)</w:t>
      </w:r>
    </w:p>
    <w:p w14:paraId="2E32FD7F" w14:textId="3FF9A260" w:rsidR="00FC0DB8" w:rsidRPr="00486FBA" w:rsidRDefault="00BF481C" w:rsidP="00FC0DB8">
      <w:pPr>
        <w:pStyle w:val="Bullet"/>
      </w:pPr>
      <w:hyperlink r:id="rId28" w:history="1">
        <w:r w:rsidR="00FC0DB8" w:rsidRPr="00B24158">
          <w:rPr>
            <w:rStyle w:val="Hyperlink"/>
            <w:i/>
          </w:rPr>
          <w:t>Indicator Interpretation</w:t>
        </w:r>
        <w:r w:rsidR="00FC0DB8" w:rsidRPr="00B24158">
          <w:rPr>
            <w:rStyle w:val="Hyperlink"/>
          </w:rPr>
          <w:t xml:space="preserve"> </w:t>
        </w:r>
        <w:r w:rsidR="00FC0DB8" w:rsidRPr="00B24158">
          <w:rPr>
            <w:rStyle w:val="Hyperlink"/>
            <w:i/>
          </w:rPr>
          <w:t>Guide 2015/16:</w:t>
        </w:r>
        <w:r w:rsidR="00FC0DB8" w:rsidRPr="00B24158">
          <w:rPr>
            <w:rStyle w:val="Hyperlink"/>
          </w:rPr>
          <w:t xml:space="preserve"> </w:t>
        </w:r>
        <w:r w:rsidR="00FC0DB8" w:rsidRPr="00B24158">
          <w:rPr>
            <w:rStyle w:val="Hyperlink"/>
            <w:i/>
          </w:rPr>
          <w:t>New Zealand Health Survey</w:t>
        </w:r>
      </w:hyperlink>
      <w:r w:rsidR="00FC0DB8">
        <w:rPr>
          <w:rStyle w:val="Hyperlink"/>
          <w:i/>
        </w:rPr>
        <w:t xml:space="preserve"> </w:t>
      </w:r>
      <w:r w:rsidR="00FC0DB8">
        <w:rPr>
          <w:rStyle w:val="Hyperlink"/>
        </w:rPr>
        <w:t>(Ministry of Health 2016c)</w:t>
      </w:r>
    </w:p>
    <w:p w14:paraId="7533BC83" w14:textId="349953EE" w:rsidR="00FC0DB8" w:rsidRPr="008B5744" w:rsidRDefault="00BF481C" w:rsidP="00FC0DB8">
      <w:pPr>
        <w:pStyle w:val="Bullet"/>
      </w:pPr>
      <w:hyperlink r:id="rId29" w:history="1">
        <w:r w:rsidR="00FC0DB8" w:rsidRPr="00B24158">
          <w:rPr>
            <w:rStyle w:val="Hyperlink"/>
            <w:i/>
          </w:rPr>
          <w:t>Content Guide 2015/16: New Zealand Health Survey</w:t>
        </w:r>
      </w:hyperlink>
      <w:r w:rsidR="00FC0DB8">
        <w:rPr>
          <w:rStyle w:val="Hyperlink"/>
          <w:i/>
        </w:rPr>
        <w:t xml:space="preserve"> </w:t>
      </w:r>
      <w:r w:rsidR="00FC0DB8">
        <w:rPr>
          <w:rStyle w:val="Hyperlink"/>
        </w:rPr>
        <w:t>(Ministry of Health 2016d)</w:t>
      </w:r>
      <w:r w:rsidR="00FC0DB8">
        <w:rPr>
          <w:i/>
        </w:rPr>
        <w:t>.</w:t>
      </w:r>
    </w:p>
    <w:p w14:paraId="5CD3E373" w14:textId="77777777" w:rsidR="00FC0DB8" w:rsidRPr="008C5A1E" w:rsidRDefault="00FC0DB8" w:rsidP="00FC0DB8"/>
    <w:p w14:paraId="47C9A857" w14:textId="77777777" w:rsidR="00FC0DB8" w:rsidRDefault="00FC0DB8" w:rsidP="00FC0DB8">
      <w:pPr>
        <w:spacing w:line="240" w:lineRule="auto"/>
      </w:pPr>
      <w:r>
        <w:br w:type="page"/>
      </w:r>
    </w:p>
    <w:p w14:paraId="1E4BEB39" w14:textId="77777777" w:rsidR="00FC0DB8" w:rsidRDefault="00FC0DB8" w:rsidP="00FC0DB8">
      <w:pPr>
        <w:pStyle w:val="Heading2"/>
      </w:pPr>
      <w:bookmarkStart w:id="30" w:name="_Toc373153650"/>
      <w:bookmarkStart w:id="31" w:name="_Toc404618278"/>
      <w:bookmarkStart w:id="32" w:name="_Toc435784735"/>
      <w:bookmarkStart w:id="33" w:name="_Toc436730769"/>
      <w:bookmarkStart w:id="34" w:name="_Toc467831531"/>
      <w:r w:rsidRPr="00077246">
        <w:lastRenderedPageBreak/>
        <w:t>How are the results reported?</w:t>
      </w:r>
      <w:bookmarkEnd w:id="30"/>
      <w:bookmarkEnd w:id="31"/>
      <w:bookmarkEnd w:id="32"/>
      <w:bookmarkEnd w:id="33"/>
      <w:bookmarkEnd w:id="34"/>
    </w:p>
    <w:p w14:paraId="618BA679" w14:textId="77777777" w:rsidR="00FC0DB8" w:rsidRDefault="00FC0DB8" w:rsidP="00FC0DB8">
      <w:r w:rsidRPr="003B4591">
        <w:t xml:space="preserve">Results for each of the </w:t>
      </w:r>
      <w:r>
        <w:t>survey</w:t>
      </w:r>
      <w:r w:rsidRPr="003B4591">
        <w:t xml:space="preserve"> indicators are summarised in the format shown below</w:t>
      </w:r>
      <w:r>
        <w:t>.</w:t>
      </w:r>
    </w:p>
    <w:p w14:paraId="457E55B6" w14:textId="77777777" w:rsidR="00C20528" w:rsidRDefault="00C20528" w:rsidP="00FC0DB8"/>
    <w:p w14:paraId="1AAAF439" w14:textId="77777777" w:rsidR="00C20528" w:rsidRDefault="00C20528" w:rsidP="00FC0DB8">
      <w:r>
        <w:rPr>
          <w:noProof/>
          <w:lang w:eastAsia="en-NZ"/>
        </w:rPr>
        <w:drawing>
          <wp:inline distT="0" distB="0" distL="0" distR="0" wp14:anchorId="6A4F9C8E" wp14:editId="0B35D7C5">
            <wp:extent cx="5954468" cy="5594465"/>
            <wp:effectExtent l="0" t="0" r="8255" b="635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7564" cy="5597374"/>
                    </a:xfrm>
                    <a:prstGeom prst="rect">
                      <a:avLst/>
                    </a:prstGeom>
                    <a:noFill/>
                  </pic:spPr>
                </pic:pic>
              </a:graphicData>
            </a:graphic>
          </wp:inline>
        </w:drawing>
      </w:r>
    </w:p>
    <w:p w14:paraId="2B67DEAA" w14:textId="77777777" w:rsidR="00C20528" w:rsidRDefault="00C20528" w:rsidP="00C20528"/>
    <w:p w14:paraId="4AD5DCD3" w14:textId="77777777" w:rsidR="00FC0DB8" w:rsidRDefault="00FC0DB8" w:rsidP="00FC0DB8">
      <w:bookmarkStart w:id="35" w:name="_Toc373153651"/>
      <w:r w:rsidRPr="001E503C">
        <w:t>In this report, we often compare the prevalence estimates for two groups. Following usual practice, we have said that a difference between groups is statistically significant if the</w:t>
      </w:r>
      <w:r w:rsidRPr="00BE4912">
        <w:rPr>
          <w:i/>
        </w:rPr>
        <w:t xml:space="preserve"> p</w:t>
      </w:r>
      <w:r>
        <w:rPr>
          <w:i/>
        </w:rPr>
        <w:noBreakHyphen/>
      </w:r>
      <w:r w:rsidRPr="001E503C">
        <w:t>value is less than 0.05.</w:t>
      </w:r>
    </w:p>
    <w:p w14:paraId="098565EB" w14:textId="77777777" w:rsidR="00FC0DB8" w:rsidRPr="001E503C" w:rsidRDefault="00FC0DB8" w:rsidP="00FC0DB8"/>
    <w:p w14:paraId="5DA3A4FD" w14:textId="77777777" w:rsidR="00FC0DB8" w:rsidRDefault="00FC0DB8" w:rsidP="00FC0DB8">
      <w:r w:rsidRPr="001E503C">
        <w:t xml:space="preserve">A statistically significant difference is likely to represent a real difference in the underlying populations rather than </w:t>
      </w:r>
      <w:r>
        <w:t>a</w:t>
      </w:r>
      <w:r w:rsidRPr="001E503C">
        <w:t xml:space="preserve"> random variation due to the sampling process.</w:t>
      </w:r>
    </w:p>
    <w:p w14:paraId="69FD55B9" w14:textId="77777777" w:rsidR="00FC0DB8" w:rsidRPr="001E503C" w:rsidRDefault="00FC0DB8" w:rsidP="00FC0DB8"/>
    <w:p w14:paraId="36CE95EA" w14:textId="77777777" w:rsidR="00FC0DB8" w:rsidRDefault="00FC0DB8" w:rsidP="00FC0DB8">
      <w:r>
        <w:t xml:space="preserve">To calculate </w:t>
      </w:r>
      <w:r>
        <w:rPr>
          <w:i/>
        </w:rPr>
        <w:t>p</w:t>
      </w:r>
      <w:r w:rsidRPr="001E503C">
        <w:t xml:space="preserve">-values </w:t>
      </w:r>
      <w:r>
        <w:t>for</w:t>
      </w:r>
      <w:r w:rsidRPr="001E503C">
        <w:t xml:space="preserve"> the significance of differences between years</w:t>
      </w:r>
      <w:r>
        <w:t>,</w:t>
      </w:r>
      <w:r w:rsidRPr="001E503C">
        <w:t xml:space="preserve"> age-standardised prevalences</w:t>
      </w:r>
      <w:r>
        <w:t xml:space="preserve"> have been used. These prevalences</w:t>
      </w:r>
      <w:r w:rsidRPr="001E503C">
        <w:t xml:space="preserve"> take into account changing age structures in the underlying populations over time.</w:t>
      </w:r>
    </w:p>
    <w:p w14:paraId="2E5A0794" w14:textId="77777777" w:rsidR="00FC0DB8" w:rsidRDefault="00FC0DB8" w:rsidP="00FC0DB8"/>
    <w:p w14:paraId="4EE17CE0" w14:textId="77777777" w:rsidR="00FC0DB8" w:rsidRDefault="00FC0DB8" w:rsidP="00FC0DB8">
      <w:r>
        <w:br w:type="page"/>
      </w:r>
    </w:p>
    <w:p w14:paraId="3B807B7C" w14:textId="77777777" w:rsidR="00FC0DB8" w:rsidRPr="00D63E1B" w:rsidRDefault="00FC0DB8" w:rsidP="00FC0DB8">
      <w:pPr>
        <w:pStyle w:val="Heading1"/>
      </w:pPr>
      <w:bookmarkStart w:id="36" w:name="_Toc404618279"/>
      <w:bookmarkStart w:id="37" w:name="_Toc435784736"/>
      <w:bookmarkStart w:id="38" w:name="_Toc436730770"/>
      <w:bookmarkStart w:id="39" w:name="_Toc467831532"/>
      <w:r w:rsidRPr="00D63E1B">
        <w:lastRenderedPageBreak/>
        <w:t>The health of New Zealand adults</w:t>
      </w:r>
      <w:bookmarkEnd w:id="35"/>
      <w:bookmarkEnd w:id="36"/>
      <w:bookmarkEnd w:id="37"/>
      <w:bookmarkEnd w:id="38"/>
      <w:bookmarkEnd w:id="39"/>
    </w:p>
    <w:p w14:paraId="4B0E2348" w14:textId="77777777" w:rsidR="00FC0DB8" w:rsidRPr="004D5FAA" w:rsidRDefault="00FC0DB8" w:rsidP="00FC0DB8">
      <w:r w:rsidRPr="004D5FAA">
        <w:t>This section includes information on:</w:t>
      </w:r>
    </w:p>
    <w:p w14:paraId="786C55D2" w14:textId="77777777" w:rsidR="00FC0DB8" w:rsidRPr="004B25C1" w:rsidRDefault="00BF481C" w:rsidP="00FC0DB8">
      <w:pPr>
        <w:pStyle w:val="Bullet"/>
      </w:pPr>
      <w:hyperlink w:anchor="_Key_Survey_Results" w:history="1">
        <w:r w:rsidR="00FC0DB8" w:rsidRPr="004B25C1">
          <w:rPr>
            <w:rStyle w:val="Hyperlink"/>
          </w:rPr>
          <w:t>key survey results for adults</w:t>
        </w:r>
      </w:hyperlink>
      <w:r w:rsidR="00FC0DB8">
        <w:rPr>
          <w:rStyle w:val="Hyperlink"/>
        </w:rPr>
        <w:t xml:space="preserve"> (Table 3)</w:t>
      </w:r>
    </w:p>
    <w:p w14:paraId="6F25633B" w14:textId="77777777" w:rsidR="00FC0DB8" w:rsidRPr="004B25C1" w:rsidRDefault="00BF481C" w:rsidP="00FC0DB8">
      <w:pPr>
        <w:pStyle w:val="Bullet"/>
      </w:pPr>
      <w:hyperlink w:anchor="_Key_Survey_Results" w:history="1">
        <w:r w:rsidR="00FC0DB8" w:rsidRPr="004B25C1">
          <w:rPr>
            <w:rStyle w:val="Hyperlink"/>
          </w:rPr>
          <w:t>key survey results for Māori adults</w:t>
        </w:r>
      </w:hyperlink>
      <w:r w:rsidR="00FC0DB8">
        <w:rPr>
          <w:rStyle w:val="Hyperlink"/>
        </w:rPr>
        <w:t xml:space="preserve"> (Table 4)</w:t>
      </w:r>
    </w:p>
    <w:p w14:paraId="085CB7B6" w14:textId="77777777" w:rsidR="00FC0DB8" w:rsidRDefault="00BF481C" w:rsidP="00FC0DB8">
      <w:pPr>
        <w:pStyle w:val="Bullet"/>
      </w:pPr>
      <w:hyperlink w:anchor="_Key_Survey_Results_1" w:history="1">
        <w:r w:rsidR="00FC0DB8" w:rsidRPr="004B25C1">
          <w:rPr>
            <w:rStyle w:val="Hyperlink"/>
          </w:rPr>
          <w:t>key survey results for Pacific adults</w:t>
        </w:r>
      </w:hyperlink>
      <w:r w:rsidR="00FC0DB8">
        <w:rPr>
          <w:rStyle w:val="Hyperlink"/>
        </w:rPr>
        <w:t xml:space="preserve"> (Table 5)</w:t>
      </w:r>
    </w:p>
    <w:p w14:paraId="68007C89" w14:textId="77777777" w:rsidR="00FC0DB8" w:rsidRPr="004B25C1" w:rsidRDefault="00BF481C" w:rsidP="00FC0DB8">
      <w:pPr>
        <w:pStyle w:val="Bullet"/>
      </w:pPr>
      <w:hyperlink w:anchor="_Health_Status,_Health" w:history="1">
        <w:r w:rsidR="00FC0DB8" w:rsidRPr="004B25C1">
          <w:rPr>
            <w:rStyle w:val="Hyperlink"/>
          </w:rPr>
          <w:t>health status, health behaviours and risk factors</w:t>
        </w:r>
      </w:hyperlink>
      <w:r w:rsidR="00FC0DB8">
        <w:rPr>
          <w:rStyle w:val="Hyperlink"/>
        </w:rPr>
        <w:t xml:space="preserve"> of adults</w:t>
      </w:r>
    </w:p>
    <w:p w14:paraId="75B66F2E" w14:textId="77777777" w:rsidR="00FC0DB8" w:rsidRPr="004B25C1" w:rsidRDefault="00BF481C" w:rsidP="00FC0DB8">
      <w:pPr>
        <w:pStyle w:val="Bullet"/>
      </w:pPr>
      <w:hyperlink w:anchor="_Health_Conditions" w:history="1">
        <w:r w:rsidR="00FC0DB8" w:rsidRPr="004B25C1">
          <w:rPr>
            <w:rStyle w:val="Hyperlink"/>
          </w:rPr>
          <w:t>health conditions</w:t>
        </w:r>
      </w:hyperlink>
      <w:r w:rsidR="00FC0DB8">
        <w:rPr>
          <w:rStyle w:val="Hyperlink"/>
        </w:rPr>
        <w:t xml:space="preserve"> of adults</w:t>
      </w:r>
    </w:p>
    <w:p w14:paraId="72D428A0" w14:textId="77777777" w:rsidR="00FC0DB8" w:rsidRPr="004B25C1" w:rsidRDefault="00FC0DB8" w:rsidP="00FC0DB8">
      <w:pPr>
        <w:pStyle w:val="Bullet"/>
      </w:pPr>
      <w:r>
        <w:t>adults</w:t>
      </w:r>
      <w:r w:rsidR="00FD6712">
        <w:t>’</w:t>
      </w:r>
      <w:r>
        <w:t xml:space="preserve"> </w:t>
      </w:r>
      <w:hyperlink w:anchor="_Access_to_Health" w:history="1">
        <w:r w:rsidRPr="004B25C1">
          <w:rPr>
            <w:rStyle w:val="Hyperlink"/>
          </w:rPr>
          <w:t>access to health care</w:t>
        </w:r>
      </w:hyperlink>
    </w:p>
    <w:p w14:paraId="50277823" w14:textId="77777777" w:rsidR="00FC0DB8" w:rsidRPr="004B25C1" w:rsidRDefault="00BF481C" w:rsidP="00FC0DB8">
      <w:pPr>
        <w:pStyle w:val="Bullet"/>
      </w:pPr>
      <w:hyperlink w:anchor="_Oral_Health" w:history="1">
        <w:r w:rsidR="00FC0DB8" w:rsidRPr="004B25C1">
          <w:rPr>
            <w:rStyle w:val="Hyperlink"/>
          </w:rPr>
          <w:t>oral health</w:t>
        </w:r>
      </w:hyperlink>
      <w:r w:rsidR="00FC0DB8">
        <w:rPr>
          <w:rStyle w:val="Hyperlink"/>
        </w:rPr>
        <w:t xml:space="preserve"> of adults.</w:t>
      </w:r>
    </w:p>
    <w:p w14:paraId="1538B3DB" w14:textId="77777777" w:rsidR="00FC0DB8" w:rsidRPr="00BF7FAB" w:rsidRDefault="00FC0DB8" w:rsidP="00FC0DB8"/>
    <w:p w14:paraId="3B588391" w14:textId="77777777" w:rsidR="00FC0DB8" w:rsidRDefault="00FC0DB8" w:rsidP="00FC0DB8">
      <w:pPr>
        <w:spacing w:line="240" w:lineRule="auto"/>
        <w:rPr>
          <w:b/>
          <w:sz w:val="20"/>
          <w:lang w:eastAsia="en-NZ"/>
        </w:rPr>
      </w:pPr>
      <w:bookmarkStart w:id="40" w:name="_Health_Status,_Health"/>
      <w:bookmarkStart w:id="41" w:name="_Toc373153652"/>
      <w:bookmarkEnd w:id="40"/>
      <w:r>
        <w:rPr>
          <w:lang w:eastAsia="en-NZ"/>
        </w:rPr>
        <w:br w:type="page"/>
      </w:r>
    </w:p>
    <w:p w14:paraId="4DBC358E" w14:textId="77777777" w:rsidR="00FC0DB8" w:rsidRDefault="00FC0DB8" w:rsidP="00C20528">
      <w:pPr>
        <w:pStyle w:val="Table"/>
        <w:rPr>
          <w:lang w:eastAsia="en-NZ"/>
        </w:rPr>
      </w:pPr>
      <w:bookmarkStart w:id="42" w:name="_Toc404618203"/>
      <w:bookmarkStart w:id="43" w:name="_Toc435784749"/>
      <w:bookmarkStart w:id="44" w:name="_Toc466618812"/>
      <w:bookmarkStart w:id="45" w:name="_Toc467831557"/>
      <w:r w:rsidRPr="004B25C1">
        <w:rPr>
          <w:lang w:eastAsia="en-NZ"/>
        </w:rPr>
        <w:lastRenderedPageBreak/>
        <w:t xml:space="preserve">Table </w:t>
      </w:r>
      <w:r>
        <w:rPr>
          <w:lang w:eastAsia="en-NZ"/>
        </w:rPr>
        <w:t>3</w:t>
      </w:r>
      <w:bookmarkEnd w:id="41"/>
      <w:r w:rsidRPr="004B25C1">
        <w:rPr>
          <w:lang w:eastAsia="en-NZ"/>
        </w:rPr>
        <w:t>:</w:t>
      </w:r>
      <w:r w:rsidR="00C20528">
        <w:rPr>
          <w:lang w:eastAsia="en-NZ"/>
        </w:rPr>
        <w:t xml:space="preserve"> </w:t>
      </w:r>
      <w:r w:rsidRPr="00761706">
        <w:rPr>
          <w:lang w:eastAsia="en-NZ"/>
        </w:rPr>
        <w:t>Key survey results for adults (15 years and over)</w:t>
      </w:r>
      <w:bookmarkEnd w:id="42"/>
      <w:bookmarkEnd w:id="43"/>
      <w:bookmarkEnd w:id="44"/>
      <w:bookmarkEnd w:id="45"/>
    </w:p>
    <w:tbl>
      <w:tblPr>
        <w:tblW w:w="9356" w:type="dxa"/>
        <w:tblInd w:w="57" w:type="dxa"/>
        <w:tblLayout w:type="fixed"/>
        <w:tblCellMar>
          <w:left w:w="57" w:type="dxa"/>
          <w:right w:w="57" w:type="dxa"/>
        </w:tblCellMar>
        <w:tblLook w:val="04A0" w:firstRow="1" w:lastRow="0" w:firstColumn="1" w:lastColumn="0" w:noHBand="0" w:noVBand="1"/>
      </w:tblPr>
      <w:tblGrid>
        <w:gridCol w:w="4020"/>
        <w:gridCol w:w="900"/>
        <w:gridCol w:w="940"/>
        <w:gridCol w:w="940"/>
        <w:gridCol w:w="1278"/>
        <w:gridCol w:w="1278"/>
      </w:tblGrid>
      <w:tr w:rsidR="00FC0DB8" w:rsidRPr="000C1A9F" w14:paraId="7C01FEEE" w14:textId="77777777" w:rsidTr="00F07FFD">
        <w:trPr>
          <w:cantSplit/>
        </w:trPr>
        <w:tc>
          <w:tcPr>
            <w:tcW w:w="4020" w:type="dxa"/>
            <w:tcBorders>
              <w:top w:val="single" w:sz="4" w:space="0" w:color="auto"/>
              <w:left w:val="nil"/>
              <w:bottom w:val="single" w:sz="4" w:space="0" w:color="auto"/>
              <w:right w:val="nil"/>
            </w:tcBorders>
            <w:shd w:val="clear" w:color="000000" w:fill="FFFFFF"/>
            <w:hideMark/>
          </w:tcPr>
          <w:p w14:paraId="485F674C" w14:textId="77777777" w:rsidR="00FC0DB8" w:rsidRPr="000C1A9F" w:rsidRDefault="00FC0DB8" w:rsidP="00C20528">
            <w:pPr>
              <w:spacing w:before="40" w:after="40" w:line="240" w:lineRule="auto"/>
              <w:rPr>
                <w:rFonts w:ascii="Arial" w:hAnsi="Arial" w:cs="Arial"/>
                <w:b/>
                <w:bCs/>
                <w:color w:val="000000"/>
                <w:sz w:val="18"/>
                <w:szCs w:val="18"/>
                <w:lang w:eastAsia="en-NZ"/>
              </w:rPr>
            </w:pPr>
            <w:bookmarkStart w:id="46" w:name="_Toc435784750"/>
            <w:bookmarkStart w:id="47" w:name="_Toc373153653"/>
            <w:bookmarkStart w:id="48" w:name="_Toc404618280"/>
            <w:r w:rsidRPr="000C1A9F">
              <w:rPr>
                <w:rFonts w:ascii="Arial" w:hAnsi="Arial" w:cs="Arial"/>
                <w:b/>
                <w:bCs/>
                <w:color w:val="000000"/>
                <w:sz w:val="18"/>
                <w:szCs w:val="18"/>
                <w:lang w:eastAsia="en-NZ"/>
              </w:rPr>
              <w:t>Indicator</w:t>
            </w:r>
          </w:p>
        </w:tc>
        <w:tc>
          <w:tcPr>
            <w:tcW w:w="900" w:type="dxa"/>
            <w:tcBorders>
              <w:top w:val="single" w:sz="4" w:space="0" w:color="auto"/>
              <w:left w:val="nil"/>
              <w:bottom w:val="single" w:sz="4" w:space="0" w:color="auto"/>
              <w:right w:val="nil"/>
            </w:tcBorders>
            <w:shd w:val="clear" w:color="000000" w:fill="FFFFFF"/>
            <w:hideMark/>
          </w:tcPr>
          <w:p w14:paraId="0F0A98DE" w14:textId="77777777" w:rsidR="00FC0DB8" w:rsidRPr="000C1A9F" w:rsidRDefault="00FC0DB8" w:rsidP="00C20528">
            <w:pPr>
              <w:spacing w:before="40" w:after="40" w:line="240" w:lineRule="auto"/>
              <w:jc w:val="center"/>
              <w:rPr>
                <w:rFonts w:ascii="Arial" w:hAnsi="Arial" w:cs="Arial"/>
                <w:b/>
                <w:bCs/>
                <w:color w:val="000000"/>
                <w:sz w:val="18"/>
                <w:szCs w:val="18"/>
                <w:lang w:eastAsia="en-NZ"/>
              </w:rPr>
            </w:pPr>
            <w:r w:rsidRPr="000C1A9F">
              <w:rPr>
                <w:rFonts w:ascii="Arial" w:hAnsi="Arial" w:cs="Arial"/>
                <w:b/>
                <w:bCs/>
                <w:color w:val="000000"/>
                <w:sz w:val="18"/>
                <w:szCs w:val="18"/>
                <w:lang w:eastAsia="en-NZ"/>
              </w:rPr>
              <w:t>Percent 2015/16</w:t>
            </w:r>
          </w:p>
        </w:tc>
        <w:tc>
          <w:tcPr>
            <w:tcW w:w="940" w:type="dxa"/>
            <w:tcBorders>
              <w:top w:val="single" w:sz="4" w:space="0" w:color="auto"/>
              <w:left w:val="nil"/>
              <w:bottom w:val="single" w:sz="4" w:space="0" w:color="auto"/>
              <w:right w:val="nil"/>
            </w:tcBorders>
            <w:shd w:val="clear" w:color="000000" w:fill="FFFFFF"/>
            <w:hideMark/>
          </w:tcPr>
          <w:p w14:paraId="2497305A" w14:textId="77777777" w:rsidR="00FC0DB8" w:rsidRPr="000C1A9F" w:rsidRDefault="00FC0DB8" w:rsidP="00C20528">
            <w:pPr>
              <w:spacing w:before="40" w:after="40" w:line="240" w:lineRule="auto"/>
              <w:jc w:val="center"/>
              <w:rPr>
                <w:rFonts w:ascii="Arial" w:hAnsi="Arial" w:cs="Arial"/>
                <w:b/>
                <w:bCs/>
                <w:color w:val="808080"/>
                <w:sz w:val="18"/>
                <w:szCs w:val="18"/>
                <w:lang w:eastAsia="en-NZ"/>
              </w:rPr>
            </w:pPr>
            <w:r w:rsidRPr="000C1A9F">
              <w:rPr>
                <w:rFonts w:ascii="Arial" w:hAnsi="Arial" w:cs="Arial"/>
                <w:b/>
                <w:bCs/>
                <w:color w:val="808080"/>
                <w:sz w:val="18"/>
                <w:szCs w:val="18"/>
                <w:lang w:eastAsia="en-NZ"/>
              </w:rPr>
              <w:t>Percent 2011/12</w:t>
            </w:r>
          </w:p>
        </w:tc>
        <w:tc>
          <w:tcPr>
            <w:tcW w:w="940" w:type="dxa"/>
            <w:tcBorders>
              <w:top w:val="single" w:sz="4" w:space="0" w:color="auto"/>
              <w:left w:val="nil"/>
              <w:bottom w:val="single" w:sz="4" w:space="0" w:color="auto"/>
              <w:right w:val="nil"/>
            </w:tcBorders>
            <w:shd w:val="clear" w:color="000000" w:fill="FFFFFF"/>
            <w:hideMark/>
          </w:tcPr>
          <w:p w14:paraId="5726ACE8" w14:textId="77777777" w:rsidR="00FC0DB8" w:rsidRPr="000C1A9F" w:rsidRDefault="00FC0DB8" w:rsidP="00C20528">
            <w:pPr>
              <w:spacing w:before="40" w:after="40" w:line="240" w:lineRule="auto"/>
              <w:jc w:val="center"/>
              <w:rPr>
                <w:rFonts w:ascii="Arial" w:hAnsi="Arial" w:cs="Arial"/>
                <w:b/>
                <w:bCs/>
                <w:color w:val="808080"/>
                <w:sz w:val="18"/>
                <w:szCs w:val="18"/>
                <w:lang w:eastAsia="en-NZ"/>
              </w:rPr>
            </w:pPr>
            <w:r w:rsidRPr="000C1A9F">
              <w:rPr>
                <w:rFonts w:ascii="Arial" w:hAnsi="Arial" w:cs="Arial"/>
                <w:b/>
                <w:bCs/>
                <w:color w:val="808080"/>
                <w:sz w:val="18"/>
                <w:szCs w:val="18"/>
                <w:lang w:eastAsia="en-NZ"/>
              </w:rPr>
              <w:t>Percent 2006/07</w:t>
            </w:r>
          </w:p>
        </w:tc>
        <w:tc>
          <w:tcPr>
            <w:tcW w:w="1278" w:type="dxa"/>
            <w:tcBorders>
              <w:top w:val="single" w:sz="4" w:space="0" w:color="auto"/>
              <w:left w:val="nil"/>
              <w:bottom w:val="single" w:sz="4" w:space="0" w:color="auto"/>
              <w:right w:val="nil"/>
            </w:tcBorders>
            <w:shd w:val="clear" w:color="000000" w:fill="FFFFFF"/>
            <w:hideMark/>
          </w:tcPr>
          <w:p w14:paraId="01C433AD" w14:textId="77777777" w:rsidR="00FC0DB8" w:rsidRPr="000C1A9F" w:rsidRDefault="00FC0DB8" w:rsidP="00C20528">
            <w:pPr>
              <w:spacing w:before="40" w:after="40" w:line="240" w:lineRule="auto"/>
              <w:jc w:val="center"/>
              <w:rPr>
                <w:rFonts w:ascii="Arial" w:hAnsi="Arial" w:cs="Arial"/>
                <w:b/>
                <w:bCs/>
                <w:color w:val="000000"/>
                <w:sz w:val="18"/>
                <w:szCs w:val="18"/>
                <w:lang w:eastAsia="en-NZ"/>
              </w:rPr>
            </w:pPr>
            <w:r w:rsidRPr="000C1A9F">
              <w:rPr>
                <w:rFonts w:ascii="Arial" w:hAnsi="Arial" w:cs="Arial"/>
                <w:b/>
                <w:bCs/>
                <w:color w:val="000000"/>
                <w:sz w:val="18"/>
                <w:szCs w:val="18"/>
                <w:lang w:eastAsia="en-NZ"/>
              </w:rPr>
              <w:t>Change</w:t>
            </w:r>
            <w:r w:rsidR="00FD6712">
              <w:rPr>
                <w:rFonts w:ascii="Arial" w:hAnsi="Arial" w:cs="Arial"/>
                <w:b/>
                <w:bCs/>
                <w:color w:val="000000"/>
                <w:sz w:val="18"/>
                <w:szCs w:val="18"/>
                <w:lang w:eastAsia="en-NZ"/>
              </w:rPr>
              <w:t xml:space="preserve"> </w:t>
            </w:r>
            <w:r w:rsidRPr="000C1A9F">
              <w:rPr>
                <w:rFonts w:ascii="Arial" w:hAnsi="Arial" w:cs="Arial"/>
                <w:b/>
                <w:bCs/>
                <w:color w:val="000000"/>
                <w:sz w:val="18"/>
                <w:szCs w:val="18"/>
                <w:lang w:eastAsia="en-NZ"/>
              </w:rPr>
              <w:t>since 2011/12</w:t>
            </w:r>
          </w:p>
        </w:tc>
        <w:tc>
          <w:tcPr>
            <w:tcW w:w="1278" w:type="dxa"/>
            <w:tcBorders>
              <w:top w:val="single" w:sz="4" w:space="0" w:color="auto"/>
              <w:left w:val="nil"/>
              <w:bottom w:val="single" w:sz="4" w:space="0" w:color="auto"/>
              <w:right w:val="nil"/>
            </w:tcBorders>
            <w:shd w:val="clear" w:color="000000" w:fill="FFFFFF"/>
            <w:hideMark/>
          </w:tcPr>
          <w:p w14:paraId="5EFF1CD5" w14:textId="77777777" w:rsidR="00FC0DB8" w:rsidRPr="000C1A9F" w:rsidRDefault="00FC0DB8" w:rsidP="00C20528">
            <w:pPr>
              <w:spacing w:before="40" w:after="40" w:line="240" w:lineRule="auto"/>
              <w:jc w:val="center"/>
              <w:rPr>
                <w:rFonts w:ascii="Arial" w:hAnsi="Arial" w:cs="Arial"/>
                <w:b/>
                <w:bCs/>
                <w:color w:val="000000"/>
                <w:sz w:val="18"/>
                <w:szCs w:val="18"/>
                <w:lang w:eastAsia="en-NZ"/>
              </w:rPr>
            </w:pPr>
            <w:r w:rsidRPr="000C1A9F">
              <w:rPr>
                <w:rFonts w:ascii="Arial" w:hAnsi="Arial" w:cs="Arial"/>
                <w:b/>
                <w:bCs/>
                <w:color w:val="000000"/>
                <w:sz w:val="18"/>
                <w:szCs w:val="18"/>
                <w:lang w:eastAsia="en-NZ"/>
              </w:rPr>
              <w:t>Change</w:t>
            </w:r>
            <w:r w:rsidR="00FD6712">
              <w:rPr>
                <w:rFonts w:ascii="Arial" w:hAnsi="Arial" w:cs="Arial"/>
                <w:b/>
                <w:bCs/>
                <w:color w:val="000000"/>
                <w:sz w:val="18"/>
                <w:szCs w:val="18"/>
                <w:lang w:eastAsia="en-NZ"/>
              </w:rPr>
              <w:t xml:space="preserve"> </w:t>
            </w:r>
            <w:r w:rsidRPr="000C1A9F">
              <w:rPr>
                <w:rFonts w:ascii="Arial" w:hAnsi="Arial" w:cs="Arial"/>
                <w:b/>
                <w:bCs/>
                <w:color w:val="000000"/>
                <w:sz w:val="18"/>
                <w:szCs w:val="18"/>
                <w:lang w:eastAsia="en-NZ"/>
              </w:rPr>
              <w:t>since 2006/07</w:t>
            </w:r>
          </w:p>
        </w:tc>
      </w:tr>
      <w:tr w:rsidR="00FC0DB8" w:rsidRPr="000C1A9F" w14:paraId="7C4122B6" w14:textId="77777777" w:rsidTr="00F07FFD">
        <w:trPr>
          <w:cantSplit/>
        </w:trPr>
        <w:tc>
          <w:tcPr>
            <w:tcW w:w="4020" w:type="dxa"/>
            <w:tcBorders>
              <w:top w:val="nil"/>
              <w:left w:val="nil"/>
              <w:bottom w:val="nil"/>
              <w:right w:val="nil"/>
            </w:tcBorders>
            <w:shd w:val="clear" w:color="000000" w:fill="FFFFFF"/>
            <w:hideMark/>
          </w:tcPr>
          <w:p w14:paraId="739DE259" w14:textId="77777777" w:rsidR="00FC0DB8" w:rsidRPr="000C1A9F" w:rsidRDefault="00FC0DB8" w:rsidP="00C20528">
            <w:pPr>
              <w:spacing w:before="40" w:after="40" w:line="240" w:lineRule="auto"/>
              <w:rPr>
                <w:rFonts w:ascii="Arial" w:hAnsi="Arial" w:cs="Arial"/>
                <w:b/>
                <w:bCs/>
                <w:sz w:val="18"/>
                <w:szCs w:val="18"/>
                <w:lang w:eastAsia="en-NZ"/>
              </w:rPr>
            </w:pPr>
            <w:r w:rsidRPr="000C1A9F">
              <w:rPr>
                <w:rFonts w:ascii="Arial" w:hAnsi="Arial" w:cs="Arial"/>
                <w:b/>
                <w:bCs/>
                <w:sz w:val="18"/>
                <w:szCs w:val="18"/>
                <w:lang w:eastAsia="en-NZ"/>
              </w:rPr>
              <w:t>Health status, health behaviours and risk factors</w:t>
            </w:r>
          </w:p>
        </w:tc>
        <w:tc>
          <w:tcPr>
            <w:tcW w:w="900" w:type="dxa"/>
            <w:tcBorders>
              <w:top w:val="nil"/>
              <w:left w:val="nil"/>
              <w:bottom w:val="nil"/>
              <w:right w:val="nil"/>
            </w:tcBorders>
            <w:shd w:val="clear" w:color="000000" w:fill="FFFFFF"/>
          </w:tcPr>
          <w:p w14:paraId="0B017422" w14:textId="77777777" w:rsidR="00FC0DB8" w:rsidRPr="000C1A9F" w:rsidRDefault="00FC0DB8" w:rsidP="00C20528">
            <w:pPr>
              <w:spacing w:before="40" w:after="40" w:line="240" w:lineRule="auto"/>
              <w:jc w:val="center"/>
              <w:rPr>
                <w:rFonts w:ascii="Arial" w:hAnsi="Arial" w:cs="Arial"/>
                <w:color w:val="000000"/>
                <w:sz w:val="18"/>
                <w:szCs w:val="18"/>
                <w:lang w:eastAsia="en-NZ"/>
              </w:rPr>
            </w:pPr>
          </w:p>
        </w:tc>
        <w:tc>
          <w:tcPr>
            <w:tcW w:w="940" w:type="dxa"/>
            <w:tcBorders>
              <w:top w:val="nil"/>
              <w:left w:val="nil"/>
              <w:bottom w:val="nil"/>
              <w:right w:val="nil"/>
            </w:tcBorders>
            <w:shd w:val="clear" w:color="000000" w:fill="FFFFFF"/>
          </w:tcPr>
          <w:p w14:paraId="51D1034F" w14:textId="77777777" w:rsidR="00FC0DB8" w:rsidRPr="000C1A9F" w:rsidRDefault="00FC0DB8" w:rsidP="00C20528">
            <w:pPr>
              <w:spacing w:before="40" w:after="40" w:line="240" w:lineRule="auto"/>
              <w:jc w:val="center"/>
              <w:rPr>
                <w:rFonts w:ascii="Arial" w:hAnsi="Arial" w:cs="Arial"/>
                <w:color w:val="808080"/>
                <w:sz w:val="18"/>
                <w:szCs w:val="18"/>
                <w:lang w:eastAsia="en-NZ"/>
              </w:rPr>
            </w:pPr>
          </w:p>
        </w:tc>
        <w:tc>
          <w:tcPr>
            <w:tcW w:w="940" w:type="dxa"/>
            <w:tcBorders>
              <w:top w:val="nil"/>
              <w:left w:val="nil"/>
              <w:bottom w:val="nil"/>
              <w:right w:val="nil"/>
            </w:tcBorders>
            <w:shd w:val="clear" w:color="000000" w:fill="FFFFFF"/>
          </w:tcPr>
          <w:p w14:paraId="5A78C810" w14:textId="77777777" w:rsidR="00FC0DB8" w:rsidRPr="000C1A9F" w:rsidRDefault="00FC0DB8" w:rsidP="00C20528">
            <w:pPr>
              <w:spacing w:before="40" w:after="40" w:line="240" w:lineRule="auto"/>
              <w:jc w:val="center"/>
              <w:rPr>
                <w:rFonts w:ascii="Arial" w:hAnsi="Arial" w:cs="Arial"/>
                <w:color w:val="808080"/>
                <w:sz w:val="18"/>
                <w:szCs w:val="18"/>
                <w:lang w:eastAsia="en-NZ"/>
              </w:rPr>
            </w:pPr>
          </w:p>
        </w:tc>
        <w:tc>
          <w:tcPr>
            <w:tcW w:w="1278" w:type="dxa"/>
            <w:tcBorders>
              <w:top w:val="nil"/>
              <w:left w:val="nil"/>
              <w:bottom w:val="nil"/>
              <w:right w:val="nil"/>
            </w:tcBorders>
            <w:shd w:val="clear" w:color="000000" w:fill="FFFFFF"/>
          </w:tcPr>
          <w:p w14:paraId="669FE9E6" w14:textId="77777777" w:rsidR="00FC0DB8" w:rsidRPr="000C1A9F" w:rsidRDefault="00FC0DB8" w:rsidP="00C20528">
            <w:pPr>
              <w:spacing w:before="40" w:after="40" w:line="240" w:lineRule="auto"/>
              <w:jc w:val="center"/>
              <w:rPr>
                <w:rFonts w:ascii="Arial" w:hAnsi="Arial" w:cs="Arial"/>
                <w:color w:val="000000"/>
                <w:sz w:val="18"/>
                <w:szCs w:val="18"/>
                <w:lang w:eastAsia="en-NZ"/>
              </w:rPr>
            </w:pPr>
          </w:p>
        </w:tc>
        <w:tc>
          <w:tcPr>
            <w:tcW w:w="1278" w:type="dxa"/>
            <w:tcBorders>
              <w:top w:val="nil"/>
              <w:left w:val="nil"/>
              <w:bottom w:val="nil"/>
              <w:right w:val="nil"/>
            </w:tcBorders>
            <w:shd w:val="clear" w:color="000000" w:fill="FFFFFF"/>
          </w:tcPr>
          <w:p w14:paraId="1FDCFF76" w14:textId="77777777" w:rsidR="00FC0DB8" w:rsidRPr="000C1A9F" w:rsidRDefault="00FC0DB8" w:rsidP="00C20528">
            <w:pPr>
              <w:spacing w:before="40" w:after="40" w:line="240" w:lineRule="auto"/>
              <w:jc w:val="center"/>
              <w:rPr>
                <w:rFonts w:ascii="Arial" w:hAnsi="Arial" w:cs="Arial"/>
                <w:b/>
                <w:bCs/>
                <w:color w:val="E36C0A"/>
                <w:sz w:val="18"/>
                <w:szCs w:val="18"/>
                <w:lang w:eastAsia="en-NZ"/>
              </w:rPr>
            </w:pPr>
          </w:p>
        </w:tc>
      </w:tr>
      <w:tr w:rsidR="00FC0DB8" w:rsidRPr="000C1A9F" w14:paraId="6751B5B3" w14:textId="77777777" w:rsidTr="00F07FFD">
        <w:trPr>
          <w:cantSplit/>
        </w:trPr>
        <w:tc>
          <w:tcPr>
            <w:tcW w:w="4020" w:type="dxa"/>
            <w:tcBorders>
              <w:top w:val="nil"/>
              <w:left w:val="nil"/>
              <w:bottom w:val="single" w:sz="4" w:space="0" w:color="808080"/>
              <w:right w:val="nil"/>
            </w:tcBorders>
            <w:shd w:val="clear" w:color="000000" w:fill="FFFFFF"/>
            <w:hideMark/>
          </w:tcPr>
          <w:p w14:paraId="69DD9FF1"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Good or better self-rated health</w:t>
            </w:r>
          </w:p>
        </w:tc>
        <w:tc>
          <w:tcPr>
            <w:tcW w:w="900" w:type="dxa"/>
            <w:tcBorders>
              <w:top w:val="nil"/>
              <w:left w:val="nil"/>
              <w:bottom w:val="single" w:sz="4" w:space="0" w:color="808080"/>
              <w:right w:val="nil"/>
            </w:tcBorders>
            <w:shd w:val="clear" w:color="000000" w:fill="FFFFFF"/>
            <w:hideMark/>
          </w:tcPr>
          <w:p w14:paraId="764DDC41"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87.8</w:t>
            </w:r>
          </w:p>
        </w:tc>
        <w:tc>
          <w:tcPr>
            <w:tcW w:w="940" w:type="dxa"/>
            <w:tcBorders>
              <w:top w:val="nil"/>
              <w:left w:val="nil"/>
              <w:bottom w:val="single" w:sz="4" w:space="0" w:color="808080"/>
              <w:right w:val="nil"/>
            </w:tcBorders>
            <w:shd w:val="clear" w:color="000000" w:fill="FFFFFF"/>
            <w:hideMark/>
          </w:tcPr>
          <w:p w14:paraId="2407A58C"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89.3</w:t>
            </w:r>
          </w:p>
        </w:tc>
        <w:tc>
          <w:tcPr>
            <w:tcW w:w="940" w:type="dxa"/>
            <w:tcBorders>
              <w:top w:val="nil"/>
              <w:left w:val="nil"/>
              <w:bottom w:val="single" w:sz="4" w:space="0" w:color="808080"/>
              <w:right w:val="nil"/>
            </w:tcBorders>
            <w:shd w:val="clear" w:color="000000" w:fill="FFFFFF"/>
            <w:hideMark/>
          </w:tcPr>
          <w:p w14:paraId="5466B01E"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89.6</w:t>
            </w:r>
          </w:p>
        </w:tc>
        <w:tc>
          <w:tcPr>
            <w:tcW w:w="1278" w:type="dxa"/>
            <w:tcBorders>
              <w:top w:val="nil"/>
              <w:left w:val="nil"/>
              <w:bottom w:val="single" w:sz="4" w:space="0" w:color="808080"/>
              <w:right w:val="nil"/>
            </w:tcBorders>
            <w:shd w:val="clear" w:color="000000" w:fill="FFFFFF"/>
            <w:hideMark/>
          </w:tcPr>
          <w:p w14:paraId="027F5AF3"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single" w:sz="4" w:space="0" w:color="808080"/>
              <w:right w:val="nil"/>
            </w:tcBorders>
            <w:shd w:val="clear" w:color="000000" w:fill="FFFFFF"/>
            <w:hideMark/>
          </w:tcPr>
          <w:p w14:paraId="6AD0CCE7"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5AEE580F" w14:textId="77777777" w:rsidTr="00F07FFD">
        <w:trPr>
          <w:cantSplit/>
        </w:trPr>
        <w:tc>
          <w:tcPr>
            <w:tcW w:w="4020" w:type="dxa"/>
            <w:tcBorders>
              <w:top w:val="nil"/>
              <w:left w:val="nil"/>
              <w:bottom w:val="nil"/>
              <w:right w:val="nil"/>
            </w:tcBorders>
            <w:shd w:val="clear" w:color="000000" w:fill="FFFFFF"/>
            <w:hideMark/>
          </w:tcPr>
          <w:p w14:paraId="44B487A4"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Current smokers</w:t>
            </w:r>
          </w:p>
        </w:tc>
        <w:tc>
          <w:tcPr>
            <w:tcW w:w="900" w:type="dxa"/>
            <w:tcBorders>
              <w:top w:val="nil"/>
              <w:left w:val="nil"/>
              <w:bottom w:val="nil"/>
              <w:right w:val="nil"/>
            </w:tcBorders>
            <w:shd w:val="clear" w:color="000000" w:fill="FFFFFF"/>
            <w:hideMark/>
          </w:tcPr>
          <w:p w14:paraId="5CC482D5"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16.3</w:t>
            </w:r>
          </w:p>
        </w:tc>
        <w:tc>
          <w:tcPr>
            <w:tcW w:w="940" w:type="dxa"/>
            <w:tcBorders>
              <w:top w:val="nil"/>
              <w:left w:val="nil"/>
              <w:bottom w:val="nil"/>
              <w:right w:val="nil"/>
            </w:tcBorders>
            <w:shd w:val="clear" w:color="000000" w:fill="FFFFFF"/>
            <w:hideMark/>
          </w:tcPr>
          <w:p w14:paraId="79DC0090"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18.2</w:t>
            </w:r>
          </w:p>
        </w:tc>
        <w:tc>
          <w:tcPr>
            <w:tcW w:w="940" w:type="dxa"/>
            <w:tcBorders>
              <w:top w:val="nil"/>
              <w:left w:val="nil"/>
              <w:bottom w:val="nil"/>
              <w:right w:val="nil"/>
            </w:tcBorders>
            <w:shd w:val="clear" w:color="000000" w:fill="FFFFFF"/>
            <w:hideMark/>
          </w:tcPr>
          <w:p w14:paraId="080E96B1"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20.1</w:t>
            </w:r>
          </w:p>
        </w:tc>
        <w:tc>
          <w:tcPr>
            <w:tcW w:w="1278" w:type="dxa"/>
            <w:tcBorders>
              <w:top w:val="nil"/>
              <w:left w:val="nil"/>
              <w:bottom w:val="nil"/>
              <w:right w:val="nil"/>
            </w:tcBorders>
            <w:shd w:val="clear" w:color="000000" w:fill="FFFFFF"/>
            <w:hideMark/>
          </w:tcPr>
          <w:p w14:paraId="32B7B9E0"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4D629B58"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7CC89627" w14:textId="77777777" w:rsidTr="00F07FFD">
        <w:trPr>
          <w:cantSplit/>
        </w:trPr>
        <w:tc>
          <w:tcPr>
            <w:tcW w:w="4020" w:type="dxa"/>
            <w:tcBorders>
              <w:top w:val="nil"/>
              <w:left w:val="nil"/>
              <w:bottom w:val="single" w:sz="4" w:space="0" w:color="808080"/>
              <w:right w:val="nil"/>
            </w:tcBorders>
            <w:shd w:val="clear" w:color="000000" w:fill="FFFFFF"/>
            <w:hideMark/>
          </w:tcPr>
          <w:p w14:paraId="04B5102B"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Daily smokers</w:t>
            </w:r>
          </w:p>
        </w:tc>
        <w:tc>
          <w:tcPr>
            <w:tcW w:w="900" w:type="dxa"/>
            <w:tcBorders>
              <w:top w:val="nil"/>
              <w:left w:val="nil"/>
              <w:bottom w:val="single" w:sz="4" w:space="0" w:color="808080"/>
              <w:right w:val="nil"/>
            </w:tcBorders>
            <w:shd w:val="clear" w:color="000000" w:fill="FFFFFF"/>
            <w:hideMark/>
          </w:tcPr>
          <w:p w14:paraId="3139F77F"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14.2</w:t>
            </w:r>
          </w:p>
        </w:tc>
        <w:tc>
          <w:tcPr>
            <w:tcW w:w="940" w:type="dxa"/>
            <w:tcBorders>
              <w:top w:val="nil"/>
              <w:left w:val="nil"/>
              <w:bottom w:val="single" w:sz="4" w:space="0" w:color="808080"/>
              <w:right w:val="nil"/>
            </w:tcBorders>
            <w:shd w:val="clear" w:color="000000" w:fill="FFFFFF"/>
            <w:hideMark/>
          </w:tcPr>
          <w:p w14:paraId="17D88D9E"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16.3</w:t>
            </w:r>
          </w:p>
        </w:tc>
        <w:tc>
          <w:tcPr>
            <w:tcW w:w="940" w:type="dxa"/>
            <w:tcBorders>
              <w:top w:val="nil"/>
              <w:left w:val="nil"/>
              <w:bottom w:val="single" w:sz="4" w:space="0" w:color="808080"/>
              <w:right w:val="nil"/>
            </w:tcBorders>
            <w:shd w:val="clear" w:color="000000" w:fill="FFFFFF"/>
            <w:hideMark/>
          </w:tcPr>
          <w:p w14:paraId="69BDAF00"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18.3</w:t>
            </w:r>
          </w:p>
        </w:tc>
        <w:tc>
          <w:tcPr>
            <w:tcW w:w="1278" w:type="dxa"/>
            <w:tcBorders>
              <w:top w:val="nil"/>
              <w:left w:val="nil"/>
              <w:bottom w:val="single" w:sz="4" w:space="0" w:color="808080"/>
              <w:right w:val="nil"/>
            </w:tcBorders>
            <w:shd w:val="clear" w:color="000000" w:fill="FFFFFF"/>
            <w:hideMark/>
          </w:tcPr>
          <w:p w14:paraId="2CEF9394"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single" w:sz="4" w:space="0" w:color="808080"/>
              <w:right w:val="nil"/>
            </w:tcBorders>
            <w:shd w:val="clear" w:color="000000" w:fill="FFFFFF"/>
            <w:hideMark/>
          </w:tcPr>
          <w:p w14:paraId="7DFD62EA"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0CE02080" w14:textId="77777777" w:rsidTr="00F07FFD">
        <w:trPr>
          <w:cantSplit/>
        </w:trPr>
        <w:tc>
          <w:tcPr>
            <w:tcW w:w="4020" w:type="dxa"/>
            <w:tcBorders>
              <w:top w:val="nil"/>
              <w:left w:val="nil"/>
              <w:bottom w:val="nil"/>
              <w:right w:val="nil"/>
            </w:tcBorders>
            <w:shd w:val="clear" w:color="000000" w:fill="FFFFFF"/>
            <w:hideMark/>
          </w:tcPr>
          <w:p w14:paraId="36354CC8"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Past-year drinkers</w:t>
            </w:r>
          </w:p>
        </w:tc>
        <w:tc>
          <w:tcPr>
            <w:tcW w:w="900" w:type="dxa"/>
            <w:tcBorders>
              <w:top w:val="nil"/>
              <w:left w:val="nil"/>
              <w:bottom w:val="nil"/>
              <w:right w:val="nil"/>
            </w:tcBorders>
            <w:shd w:val="clear" w:color="000000" w:fill="FFFFFF"/>
            <w:hideMark/>
          </w:tcPr>
          <w:p w14:paraId="35CF5CD0"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80.0</w:t>
            </w:r>
          </w:p>
        </w:tc>
        <w:tc>
          <w:tcPr>
            <w:tcW w:w="940" w:type="dxa"/>
            <w:tcBorders>
              <w:top w:val="nil"/>
              <w:left w:val="nil"/>
              <w:bottom w:val="nil"/>
              <w:right w:val="nil"/>
            </w:tcBorders>
            <w:shd w:val="clear" w:color="000000" w:fill="FFFFFF"/>
            <w:hideMark/>
          </w:tcPr>
          <w:p w14:paraId="6F286E54"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79.5</w:t>
            </w:r>
          </w:p>
        </w:tc>
        <w:tc>
          <w:tcPr>
            <w:tcW w:w="940" w:type="dxa"/>
            <w:tcBorders>
              <w:top w:val="nil"/>
              <w:left w:val="nil"/>
              <w:bottom w:val="nil"/>
              <w:right w:val="nil"/>
            </w:tcBorders>
            <w:shd w:val="clear" w:color="000000" w:fill="FFFFFF"/>
            <w:hideMark/>
          </w:tcPr>
          <w:p w14:paraId="7D1D7364"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83.6</w:t>
            </w:r>
          </w:p>
        </w:tc>
        <w:tc>
          <w:tcPr>
            <w:tcW w:w="1278" w:type="dxa"/>
            <w:tcBorders>
              <w:top w:val="nil"/>
              <w:left w:val="nil"/>
              <w:bottom w:val="nil"/>
              <w:right w:val="nil"/>
            </w:tcBorders>
            <w:shd w:val="clear" w:color="000000" w:fill="FFFFFF"/>
            <w:hideMark/>
          </w:tcPr>
          <w:p w14:paraId="6DE0AC4D"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5F3EF23E"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0357EF52" w14:textId="77777777" w:rsidTr="00F07FFD">
        <w:trPr>
          <w:cantSplit/>
        </w:trPr>
        <w:tc>
          <w:tcPr>
            <w:tcW w:w="4020" w:type="dxa"/>
            <w:tcBorders>
              <w:top w:val="nil"/>
              <w:left w:val="nil"/>
              <w:bottom w:val="single" w:sz="4" w:space="0" w:color="808080"/>
              <w:right w:val="nil"/>
            </w:tcBorders>
            <w:shd w:val="clear" w:color="000000" w:fill="FFFFFF"/>
            <w:hideMark/>
          </w:tcPr>
          <w:p w14:paraId="0D4B782A"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Hazardous drinkers (total population)</w:t>
            </w:r>
          </w:p>
        </w:tc>
        <w:tc>
          <w:tcPr>
            <w:tcW w:w="900" w:type="dxa"/>
            <w:tcBorders>
              <w:top w:val="nil"/>
              <w:left w:val="nil"/>
              <w:bottom w:val="single" w:sz="4" w:space="0" w:color="808080"/>
              <w:right w:val="nil"/>
            </w:tcBorders>
            <w:shd w:val="clear" w:color="000000" w:fill="FFFFFF"/>
            <w:hideMark/>
          </w:tcPr>
          <w:p w14:paraId="234D9670"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Pr>
                <w:rFonts w:ascii="Arial" w:hAnsi="Arial" w:cs="Arial"/>
                <w:color w:val="000000"/>
                <w:sz w:val="18"/>
                <w:szCs w:val="18"/>
                <w:lang w:eastAsia="en-NZ"/>
              </w:rPr>
              <w:t>20.8</w:t>
            </w:r>
          </w:p>
        </w:tc>
        <w:tc>
          <w:tcPr>
            <w:tcW w:w="940" w:type="dxa"/>
            <w:tcBorders>
              <w:top w:val="nil"/>
              <w:left w:val="nil"/>
              <w:bottom w:val="single" w:sz="4" w:space="0" w:color="808080"/>
              <w:right w:val="nil"/>
            </w:tcBorders>
            <w:shd w:val="clear" w:color="000000" w:fill="FFFFFF"/>
            <w:hideMark/>
          </w:tcPr>
          <w:p w14:paraId="7290FC7C"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w:t>
            </w:r>
          </w:p>
        </w:tc>
        <w:tc>
          <w:tcPr>
            <w:tcW w:w="940" w:type="dxa"/>
            <w:tcBorders>
              <w:top w:val="nil"/>
              <w:left w:val="nil"/>
              <w:bottom w:val="single" w:sz="4" w:space="0" w:color="808080"/>
              <w:right w:val="nil"/>
            </w:tcBorders>
            <w:shd w:val="clear" w:color="000000" w:fill="FFFFFF"/>
            <w:hideMark/>
          </w:tcPr>
          <w:p w14:paraId="3F330AEC"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w:t>
            </w:r>
          </w:p>
        </w:tc>
        <w:tc>
          <w:tcPr>
            <w:tcW w:w="1278" w:type="dxa"/>
            <w:tcBorders>
              <w:top w:val="nil"/>
              <w:left w:val="nil"/>
              <w:bottom w:val="single" w:sz="4" w:space="0" w:color="808080"/>
              <w:right w:val="nil"/>
            </w:tcBorders>
            <w:shd w:val="clear" w:color="000000" w:fill="FFFFFF"/>
            <w:hideMark/>
          </w:tcPr>
          <w:p w14:paraId="2436CC8A"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Pr>
                <w:rFonts w:ascii="Arial" w:hAnsi="Arial" w:cs="Arial"/>
                <w:color w:val="4F81BD"/>
                <w:sz w:val="18"/>
                <w:szCs w:val="18"/>
                <w:lang w:eastAsia="en-NZ"/>
              </w:rPr>
              <w:t>.</w:t>
            </w:r>
          </w:p>
        </w:tc>
        <w:tc>
          <w:tcPr>
            <w:tcW w:w="1278" w:type="dxa"/>
            <w:tcBorders>
              <w:top w:val="nil"/>
              <w:left w:val="nil"/>
              <w:bottom w:val="single" w:sz="4" w:space="0" w:color="808080"/>
              <w:right w:val="nil"/>
            </w:tcBorders>
            <w:shd w:val="clear" w:color="000000" w:fill="FFFFFF"/>
            <w:hideMark/>
          </w:tcPr>
          <w:p w14:paraId="65518493"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Pr>
                <w:rFonts w:ascii="Arial" w:hAnsi="Arial" w:cs="Arial"/>
                <w:color w:val="4F81BD"/>
                <w:sz w:val="18"/>
                <w:szCs w:val="18"/>
                <w:lang w:eastAsia="en-NZ"/>
              </w:rPr>
              <w:t>.</w:t>
            </w:r>
          </w:p>
        </w:tc>
      </w:tr>
      <w:tr w:rsidR="00FC0DB8" w:rsidRPr="000C1A9F" w14:paraId="5141DEBB" w14:textId="77777777" w:rsidTr="00F07FFD">
        <w:trPr>
          <w:cantSplit/>
        </w:trPr>
        <w:tc>
          <w:tcPr>
            <w:tcW w:w="4020" w:type="dxa"/>
            <w:tcBorders>
              <w:top w:val="nil"/>
              <w:left w:val="nil"/>
              <w:bottom w:val="nil"/>
              <w:right w:val="nil"/>
            </w:tcBorders>
            <w:shd w:val="clear" w:color="000000" w:fill="FFFFFF"/>
            <w:hideMark/>
          </w:tcPr>
          <w:p w14:paraId="5F84D030"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Vegetable intake (3+ servings per day)</w:t>
            </w:r>
          </w:p>
        </w:tc>
        <w:tc>
          <w:tcPr>
            <w:tcW w:w="900" w:type="dxa"/>
            <w:tcBorders>
              <w:top w:val="nil"/>
              <w:left w:val="nil"/>
              <w:bottom w:val="nil"/>
              <w:right w:val="nil"/>
            </w:tcBorders>
            <w:shd w:val="clear" w:color="000000" w:fill="FFFFFF"/>
            <w:hideMark/>
          </w:tcPr>
          <w:p w14:paraId="0533B282"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62.5</w:t>
            </w:r>
          </w:p>
        </w:tc>
        <w:tc>
          <w:tcPr>
            <w:tcW w:w="940" w:type="dxa"/>
            <w:tcBorders>
              <w:top w:val="nil"/>
              <w:left w:val="nil"/>
              <w:bottom w:val="nil"/>
              <w:right w:val="nil"/>
            </w:tcBorders>
            <w:shd w:val="clear" w:color="000000" w:fill="FFFFFF"/>
            <w:hideMark/>
          </w:tcPr>
          <w:p w14:paraId="2B53DC60"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68.6</w:t>
            </w:r>
          </w:p>
        </w:tc>
        <w:tc>
          <w:tcPr>
            <w:tcW w:w="940" w:type="dxa"/>
            <w:tcBorders>
              <w:top w:val="nil"/>
              <w:left w:val="nil"/>
              <w:bottom w:val="nil"/>
              <w:right w:val="nil"/>
            </w:tcBorders>
            <w:shd w:val="clear" w:color="000000" w:fill="FFFFFF"/>
            <w:hideMark/>
          </w:tcPr>
          <w:p w14:paraId="4B3A1CBA"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63.9</w:t>
            </w:r>
          </w:p>
        </w:tc>
        <w:tc>
          <w:tcPr>
            <w:tcW w:w="1278" w:type="dxa"/>
            <w:tcBorders>
              <w:top w:val="nil"/>
              <w:left w:val="nil"/>
              <w:bottom w:val="nil"/>
              <w:right w:val="nil"/>
            </w:tcBorders>
            <w:shd w:val="clear" w:color="000000" w:fill="FFFFFF"/>
            <w:hideMark/>
          </w:tcPr>
          <w:p w14:paraId="0F6CDAD9"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5E14710D"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69B411E9" w14:textId="77777777" w:rsidTr="00F07FFD">
        <w:trPr>
          <w:cantSplit/>
        </w:trPr>
        <w:tc>
          <w:tcPr>
            <w:tcW w:w="4020" w:type="dxa"/>
            <w:tcBorders>
              <w:top w:val="nil"/>
              <w:left w:val="nil"/>
              <w:bottom w:val="nil"/>
              <w:right w:val="nil"/>
            </w:tcBorders>
            <w:shd w:val="clear" w:color="000000" w:fill="FFFFFF"/>
            <w:hideMark/>
          </w:tcPr>
          <w:p w14:paraId="670A920F"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Fruit intake (2+ servings per day)</w:t>
            </w:r>
          </w:p>
        </w:tc>
        <w:tc>
          <w:tcPr>
            <w:tcW w:w="900" w:type="dxa"/>
            <w:tcBorders>
              <w:top w:val="nil"/>
              <w:left w:val="nil"/>
              <w:bottom w:val="nil"/>
              <w:right w:val="nil"/>
            </w:tcBorders>
            <w:shd w:val="clear" w:color="000000" w:fill="FFFFFF"/>
            <w:hideMark/>
          </w:tcPr>
          <w:p w14:paraId="1B923965"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55.8</w:t>
            </w:r>
          </w:p>
        </w:tc>
        <w:tc>
          <w:tcPr>
            <w:tcW w:w="940" w:type="dxa"/>
            <w:tcBorders>
              <w:top w:val="nil"/>
              <w:left w:val="nil"/>
              <w:bottom w:val="nil"/>
              <w:right w:val="nil"/>
            </w:tcBorders>
            <w:shd w:val="clear" w:color="000000" w:fill="FFFFFF"/>
            <w:hideMark/>
          </w:tcPr>
          <w:p w14:paraId="53B09967"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58.6</w:t>
            </w:r>
          </w:p>
        </w:tc>
        <w:tc>
          <w:tcPr>
            <w:tcW w:w="940" w:type="dxa"/>
            <w:tcBorders>
              <w:top w:val="nil"/>
              <w:left w:val="nil"/>
              <w:bottom w:val="nil"/>
              <w:right w:val="nil"/>
            </w:tcBorders>
            <w:shd w:val="clear" w:color="000000" w:fill="FFFFFF"/>
            <w:hideMark/>
          </w:tcPr>
          <w:p w14:paraId="38F9E9B9"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59.9</w:t>
            </w:r>
          </w:p>
        </w:tc>
        <w:tc>
          <w:tcPr>
            <w:tcW w:w="1278" w:type="dxa"/>
            <w:tcBorders>
              <w:top w:val="nil"/>
              <w:left w:val="nil"/>
              <w:bottom w:val="nil"/>
              <w:right w:val="nil"/>
            </w:tcBorders>
            <w:shd w:val="clear" w:color="000000" w:fill="FFFFFF"/>
            <w:hideMark/>
          </w:tcPr>
          <w:p w14:paraId="668827DC"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106E11F8"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7BF84BD8" w14:textId="77777777" w:rsidTr="00F07FFD">
        <w:trPr>
          <w:cantSplit/>
        </w:trPr>
        <w:tc>
          <w:tcPr>
            <w:tcW w:w="4020" w:type="dxa"/>
            <w:tcBorders>
              <w:top w:val="nil"/>
              <w:left w:val="nil"/>
              <w:bottom w:val="nil"/>
              <w:right w:val="nil"/>
            </w:tcBorders>
            <w:shd w:val="clear" w:color="000000" w:fill="FFFFFF"/>
            <w:hideMark/>
          </w:tcPr>
          <w:p w14:paraId="3C20080A"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Physical</w:t>
            </w:r>
            <w:r>
              <w:rPr>
                <w:rFonts w:ascii="Arial" w:hAnsi="Arial" w:cs="Arial"/>
                <w:color w:val="000000"/>
                <w:sz w:val="18"/>
                <w:szCs w:val="18"/>
                <w:lang w:eastAsia="en-NZ"/>
              </w:rPr>
              <w:t>ly</w:t>
            </w:r>
            <w:r w:rsidRPr="000C1A9F">
              <w:rPr>
                <w:rFonts w:ascii="Arial" w:hAnsi="Arial" w:cs="Arial"/>
                <w:color w:val="000000"/>
                <w:sz w:val="18"/>
                <w:szCs w:val="18"/>
                <w:lang w:eastAsia="en-NZ"/>
              </w:rPr>
              <w:t xml:space="preserve"> activ</w:t>
            </w:r>
            <w:r>
              <w:rPr>
                <w:rFonts w:ascii="Arial" w:hAnsi="Arial" w:cs="Arial"/>
                <w:color w:val="000000"/>
                <w:sz w:val="18"/>
                <w:szCs w:val="18"/>
                <w:lang w:eastAsia="en-NZ"/>
              </w:rPr>
              <w:t>e</w:t>
            </w:r>
          </w:p>
        </w:tc>
        <w:tc>
          <w:tcPr>
            <w:tcW w:w="900" w:type="dxa"/>
            <w:tcBorders>
              <w:top w:val="nil"/>
              <w:left w:val="nil"/>
              <w:bottom w:val="nil"/>
              <w:right w:val="nil"/>
            </w:tcBorders>
            <w:shd w:val="clear" w:color="000000" w:fill="FFFFFF"/>
            <w:hideMark/>
          </w:tcPr>
          <w:p w14:paraId="33E12CCB"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47.7</w:t>
            </w:r>
          </w:p>
        </w:tc>
        <w:tc>
          <w:tcPr>
            <w:tcW w:w="940" w:type="dxa"/>
            <w:tcBorders>
              <w:top w:val="nil"/>
              <w:left w:val="nil"/>
              <w:bottom w:val="nil"/>
              <w:right w:val="nil"/>
            </w:tcBorders>
            <w:shd w:val="clear" w:color="000000" w:fill="FFFFFF"/>
            <w:hideMark/>
          </w:tcPr>
          <w:p w14:paraId="60803452"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54.4</w:t>
            </w:r>
          </w:p>
        </w:tc>
        <w:tc>
          <w:tcPr>
            <w:tcW w:w="940" w:type="dxa"/>
            <w:tcBorders>
              <w:top w:val="nil"/>
              <w:left w:val="nil"/>
              <w:bottom w:val="nil"/>
              <w:right w:val="nil"/>
            </w:tcBorders>
            <w:shd w:val="clear" w:color="000000" w:fill="FFFFFF"/>
            <w:hideMark/>
          </w:tcPr>
          <w:p w14:paraId="3164200E"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52.0</w:t>
            </w:r>
          </w:p>
        </w:tc>
        <w:tc>
          <w:tcPr>
            <w:tcW w:w="1278" w:type="dxa"/>
            <w:tcBorders>
              <w:top w:val="nil"/>
              <w:left w:val="nil"/>
              <w:bottom w:val="nil"/>
              <w:right w:val="nil"/>
            </w:tcBorders>
            <w:shd w:val="clear" w:color="000000" w:fill="FFFFFF"/>
            <w:hideMark/>
          </w:tcPr>
          <w:p w14:paraId="692E92FF"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3ACA3FA4"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6AEAB126" w14:textId="77777777" w:rsidTr="00F07FFD">
        <w:trPr>
          <w:cantSplit/>
        </w:trPr>
        <w:tc>
          <w:tcPr>
            <w:tcW w:w="4020" w:type="dxa"/>
            <w:tcBorders>
              <w:top w:val="nil"/>
              <w:left w:val="nil"/>
              <w:bottom w:val="single" w:sz="4" w:space="0" w:color="808080"/>
              <w:right w:val="nil"/>
            </w:tcBorders>
            <w:shd w:val="clear" w:color="000000" w:fill="FFFFFF"/>
            <w:hideMark/>
          </w:tcPr>
          <w:p w14:paraId="7F82926E"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Little or no physical activity</w:t>
            </w:r>
          </w:p>
        </w:tc>
        <w:tc>
          <w:tcPr>
            <w:tcW w:w="900" w:type="dxa"/>
            <w:tcBorders>
              <w:top w:val="nil"/>
              <w:left w:val="nil"/>
              <w:bottom w:val="single" w:sz="4" w:space="0" w:color="808080"/>
              <w:right w:val="nil"/>
            </w:tcBorders>
            <w:shd w:val="clear" w:color="000000" w:fill="FFFFFF"/>
            <w:hideMark/>
          </w:tcPr>
          <w:p w14:paraId="4F3874A1"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15.4</w:t>
            </w:r>
          </w:p>
        </w:tc>
        <w:tc>
          <w:tcPr>
            <w:tcW w:w="940" w:type="dxa"/>
            <w:tcBorders>
              <w:top w:val="nil"/>
              <w:left w:val="nil"/>
              <w:bottom w:val="single" w:sz="4" w:space="0" w:color="808080"/>
              <w:right w:val="nil"/>
            </w:tcBorders>
            <w:shd w:val="clear" w:color="000000" w:fill="FFFFFF"/>
            <w:hideMark/>
          </w:tcPr>
          <w:p w14:paraId="43DF2944"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12.5</w:t>
            </w:r>
          </w:p>
        </w:tc>
        <w:tc>
          <w:tcPr>
            <w:tcW w:w="940" w:type="dxa"/>
            <w:tcBorders>
              <w:top w:val="nil"/>
              <w:left w:val="nil"/>
              <w:bottom w:val="single" w:sz="4" w:space="0" w:color="808080"/>
              <w:right w:val="nil"/>
            </w:tcBorders>
            <w:shd w:val="clear" w:color="000000" w:fill="FFFFFF"/>
            <w:hideMark/>
          </w:tcPr>
          <w:p w14:paraId="633EFB4E"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10.0</w:t>
            </w:r>
          </w:p>
        </w:tc>
        <w:tc>
          <w:tcPr>
            <w:tcW w:w="1278" w:type="dxa"/>
            <w:tcBorders>
              <w:top w:val="nil"/>
              <w:left w:val="nil"/>
              <w:bottom w:val="single" w:sz="4" w:space="0" w:color="808080"/>
              <w:right w:val="nil"/>
            </w:tcBorders>
            <w:shd w:val="clear" w:color="000000" w:fill="FFFFFF"/>
            <w:hideMark/>
          </w:tcPr>
          <w:p w14:paraId="023BC4DE"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single" w:sz="4" w:space="0" w:color="808080"/>
              <w:right w:val="nil"/>
            </w:tcBorders>
            <w:shd w:val="clear" w:color="000000" w:fill="FFFFFF"/>
            <w:hideMark/>
          </w:tcPr>
          <w:p w14:paraId="49FC30D8"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4801CE95" w14:textId="77777777" w:rsidTr="00F07FFD">
        <w:trPr>
          <w:cantSplit/>
        </w:trPr>
        <w:tc>
          <w:tcPr>
            <w:tcW w:w="4020" w:type="dxa"/>
            <w:tcBorders>
              <w:top w:val="nil"/>
              <w:left w:val="nil"/>
              <w:bottom w:val="single" w:sz="4" w:space="0" w:color="808080"/>
              <w:right w:val="nil"/>
            </w:tcBorders>
            <w:shd w:val="clear" w:color="000000" w:fill="FFFFFF"/>
            <w:hideMark/>
          </w:tcPr>
          <w:p w14:paraId="489AF81D"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Obesity</w:t>
            </w:r>
          </w:p>
        </w:tc>
        <w:tc>
          <w:tcPr>
            <w:tcW w:w="900" w:type="dxa"/>
            <w:tcBorders>
              <w:top w:val="nil"/>
              <w:left w:val="nil"/>
              <w:bottom w:val="single" w:sz="4" w:space="0" w:color="808080"/>
              <w:right w:val="nil"/>
            </w:tcBorders>
            <w:shd w:val="clear" w:color="000000" w:fill="FFFFFF"/>
            <w:hideMark/>
          </w:tcPr>
          <w:p w14:paraId="7C2D4D5E"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31.6</w:t>
            </w:r>
          </w:p>
        </w:tc>
        <w:tc>
          <w:tcPr>
            <w:tcW w:w="940" w:type="dxa"/>
            <w:tcBorders>
              <w:top w:val="nil"/>
              <w:left w:val="nil"/>
              <w:bottom w:val="single" w:sz="4" w:space="0" w:color="808080"/>
              <w:right w:val="nil"/>
            </w:tcBorders>
            <w:shd w:val="clear" w:color="000000" w:fill="FFFFFF"/>
            <w:hideMark/>
          </w:tcPr>
          <w:p w14:paraId="70FE115F"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28.6</w:t>
            </w:r>
          </w:p>
        </w:tc>
        <w:tc>
          <w:tcPr>
            <w:tcW w:w="940" w:type="dxa"/>
            <w:tcBorders>
              <w:top w:val="nil"/>
              <w:left w:val="nil"/>
              <w:bottom w:val="single" w:sz="4" w:space="0" w:color="808080"/>
              <w:right w:val="nil"/>
            </w:tcBorders>
            <w:shd w:val="clear" w:color="000000" w:fill="FFFFFF"/>
            <w:hideMark/>
          </w:tcPr>
          <w:p w14:paraId="5DED5E06"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26.5</w:t>
            </w:r>
          </w:p>
        </w:tc>
        <w:tc>
          <w:tcPr>
            <w:tcW w:w="1278" w:type="dxa"/>
            <w:tcBorders>
              <w:top w:val="nil"/>
              <w:left w:val="nil"/>
              <w:bottom w:val="single" w:sz="4" w:space="0" w:color="808080"/>
              <w:right w:val="nil"/>
            </w:tcBorders>
            <w:shd w:val="clear" w:color="000000" w:fill="FFFFFF"/>
            <w:hideMark/>
          </w:tcPr>
          <w:p w14:paraId="763CF766"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single" w:sz="4" w:space="0" w:color="808080"/>
              <w:right w:val="nil"/>
            </w:tcBorders>
            <w:shd w:val="clear" w:color="000000" w:fill="FFFFFF"/>
            <w:hideMark/>
          </w:tcPr>
          <w:p w14:paraId="1BEC017D"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2AB54543" w14:textId="77777777" w:rsidTr="00F07FFD">
        <w:trPr>
          <w:cantSplit/>
        </w:trPr>
        <w:tc>
          <w:tcPr>
            <w:tcW w:w="4020" w:type="dxa"/>
            <w:tcBorders>
              <w:top w:val="nil"/>
              <w:left w:val="nil"/>
              <w:bottom w:val="nil"/>
              <w:right w:val="nil"/>
            </w:tcBorders>
            <w:shd w:val="clear" w:color="000000" w:fill="FFFFFF"/>
            <w:hideMark/>
          </w:tcPr>
          <w:p w14:paraId="085F107C" w14:textId="77777777" w:rsidR="00FC0DB8" w:rsidRPr="000C1A9F" w:rsidRDefault="00FC0DB8" w:rsidP="00C20528">
            <w:pPr>
              <w:spacing w:before="40" w:after="40" w:line="240" w:lineRule="auto"/>
              <w:rPr>
                <w:rFonts w:ascii="Arial" w:hAnsi="Arial" w:cs="Arial"/>
                <w:b/>
                <w:bCs/>
                <w:sz w:val="18"/>
                <w:szCs w:val="18"/>
                <w:lang w:eastAsia="en-NZ"/>
              </w:rPr>
            </w:pPr>
            <w:r w:rsidRPr="000C1A9F">
              <w:rPr>
                <w:rFonts w:ascii="Arial" w:hAnsi="Arial" w:cs="Arial"/>
                <w:b/>
                <w:bCs/>
                <w:sz w:val="18"/>
                <w:szCs w:val="18"/>
                <w:lang w:eastAsia="en-NZ"/>
              </w:rPr>
              <w:t>Health conditions</w:t>
            </w:r>
          </w:p>
        </w:tc>
        <w:tc>
          <w:tcPr>
            <w:tcW w:w="900" w:type="dxa"/>
            <w:tcBorders>
              <w:top w:val="nil"/>
              <w:left w:val="nil"/>
              <w:bottom w:val="nil"/>
              <w:right w:val="nil"/>
            </w:tcBorders>
            <w:shd w:val="clear" w:color="000000" w:fill="FFFFFF"/>
            <w:hideMark/>
          </w:tcPr>
          <w:p w14:paraId="42081D2B" w14:textId="77777777" w:rsidR="00FC0DB8" w:rsidRPr="000C1A9F" w:rsidRDefault="00FC0DB8" w:rsidP="00C20528">
            <w:pPr>
              <w:spacing w:before="40" w:after="40" w:line="240" w:lineRule="auto"/>
              <w:jc w:val="center"/>
              <w:rPr>
                <w:rFonts w:ascii="Arial" w:hAnsi="Arial" w:cs="Arial"/>
                <w:color w:val="000000"/>
                <w:sz w:val="18"/>
                <w:szCs w:val="18"/>
                <w:lang w:eastAsia="en-NZ"/>
              </w:rPr>
            </w:pPr>
          </w:p>
        </w:tc>
        <w:tc>
          <w:tcPr>
            <w:tcW w:w="940" w:type="dxa"/>
            <w:tcBorders>
              <w:top w:val="nil"/>
              <w:left w:val="nil"/>
              <w:bottom w:val="nil"/>
              <w:right w:val="nil"/>
            </w:tcBorders>
            <w:shd w:val="clear" w:color="000000" w:fill="FFFFFF"/>
            <w:hideMark/>
          </w:tcPr>
          <w:p w14:paraId="4C53D655" w14:textId="77777777" w:rsidR="00FC0DB8" w:rsidRPr="000C1A9F" w:rsidRDefault="00FC0DB8" w:rsidP="00C20528">
            <w:pPr>
              <w:spacing w:before="40" w:after="40" w:line="240" w:lineRule="auto"/>
              <w:jc w:val="center"/>
              <w:rPr>
                <w:rFonts w:ascii="Arial" w:hAnsi="Arial" w:cs="Arial"/>
                <w:color w:val="808080"/>
                <w:sz w:val="18"/>
                <w:szCs w:val="18"/>
                <w:lang w:eastAsia="en-NZ"/>
              </w:rPr>
            </w:pPr>
          </w:p>
        </w:tc>
        <w:tc>
          <w:tcPr>
            <w:tcW w:w="940" w:type="dxa"/>
            <w:tcBorders>
              <w:top w:val="nil"/>
              <w:left w:val="nil"/>
              <w:bottom w:val="nil"/>
              <w:right w:val="nil"/>
            </w:tcBorders>
            <w:shd w:val="clear" w:color="000000" w:fill="FFFFFF"/>
            <w:hideMark/>
          </w:tcPr>
          <w:p w14:paraId="4752614E" w14:textId="77777777" w:rsidR="00FC0DB8" w:rsidRPr="000C1A9F" w:rsidRDefault="00FC0DB8" w:rsidP="00C20528">
            <w:pPr>
              <w:spacing w:before="40" w:after="40" w:line="240" w:lineRule="auto"/>
              <w:jc w:val="center"/>
              <w:rPr>
                <w:rFonts w:ascii="Arial" w:hAnsi="Arial" w:cs="Arial"/>
                <w:color w:val="808080"/>
                <w:sz w:val="18"/>
                <w:szCs w:val="18"/>
                <w:lang w:eastAsia="en-NZ"/>
              </w:rPr>
            </w:pPr>
          </w:p>
        </w:tc>
        <w:tc>
          <w:tcPr>
            <w:tcW w:w="1278" w:type="dxa"/>
            <w:tcBorders>
              <w:top w:val="nil"/>
              <w:left w:val="nil"/>
              <w:bottom w:val="nil"/>
              <w:right w:val="nil"/>
            </w:tcBorders>
            <w:shd w:val="clear" w:color="000000" w:fill="FFFFFF"/>
            <w:hideMark/>
          </w:tcPr>
          <w:p w14:paraId="3E6BD2CA" w14:textId="77777777" w:rsidR="00FC0DB8" w:rsidRPr="000C1A9F" w:rsidRDefault="00FC0DB8" w:rsidP="00C20528">
            <w:pPr>
              <w:spacing w:before="40" w:after="40" w:line="240" w:lineRule="auto"/>
              <w:jc w:val="center"/>
              <w:rPr>
                <w:rFonts w:ascii="Arial" w:hAnsi="Arial" w:cs="Arial"/>
                <w:color w:val="4F81BD"/>
                <w:sz w:val="18"/>
                <w:szCs w:val="18"/>
                <w:lang w:eastAsia="en-NZ"/>
              </w:rPr>
            </w:pPr>
          </w:p>
        </w:tc>
        <w:tc>
          <w:tcPr>
            <w:tcW w:w="1278" w:type="dxa"/>
            <w:tcBorders>
              <w:top w:val="nil"/>
              <w:left w:val="nil"/>
              <w:bottom w:val="nil"/>
              <w:right w:val="nil"/>
            </w:tcBorders>
            <w:shd w:val="clear" w:color="000000" w:fill="FFFFFF"/>
            <w:hideMark/>
          </w:tcPr>
          <w:p w14:paraId="498266F9" w14:textId="77777777" w:rsidR="00FC0DB8" w:rsidRPr="000C1A9F" w:rsidRDefault="00FC0DB8" w:rsidP="00C20528">
            <w:pPr>
              <w:spacing w:before="40" w:after="40" w:line="240" w:lineRule="auto"/>
              <w:jc w:val="center"/>
              <w:rPr>
                <w:rFonts w:ascii="Arial" w:hAnsi="Arial" w:cs="Arial"/>
                <w:color w:val="4F81BD"/>
                <w:sz w:val="18"/>
                <w:szCs w:val="18"/>
                <w:lang w:eastAsia="en-NZ"/>
              </w:rPr>
            </w:pPr>
          </w:p>
        </w:tc>
      </w:tr>
      <w:tr w:rsidR="00FC0DB8" w:rsidRPr="000C1A9F" w14:paraId="52C51B7C" w14:textId="77777777" w:rsidTr="00F07FFD">
        <w:trPr>
          <w:cantSplit/>
        </w:trPr>
        <w:tc>
          <w:tcPr>
            <w:tcW w:w="4020" w:type="dxa"/>
            <w:tcBorders>
              <w:top w:val="nil"/>
              <w:left w:val="nil"/>
              <w:bottom w:val="nil"/>
              <w:right w:val="nil"/>
            </w:tcBorders>
            <w:shd w:val="clear" w:color="000000" w:fill="FFFFFF"/>
            <w:hideMark/>
          </w:tcPr>
          <w:p w14:paraId="072ED6E9"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High blood pressure (medicated)</w:t>
            </w:r>
          </w:p>
        </w:tc>
        <w:tc>
          <w:tcPr>
            <w:tcW w:w="900" w:type="dxa"/>
            <w:tcBorders>
              <w:top w:val="nil"/>
              <w:left w:val="nil"/>
              <w:bottom w:val="nil"/>
              <w:right w:val="nil"/>
            </w:tcBorders>
            <w:shd w:val="clear" w:color="000000" w:fill="FFFFFF"/>
            <w:hideMark/>
          </w:tcPr>
          <w:p w14:paraId="2AF76BA2"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16.6</w:t>
            </w:r>
          </w:p>
        </w:tc>
        <w:tc>
          <w:tcPr>
            <w:tcW w:w="940" w:type="dxa"/>
            <w:tcBorders>
              <w:top w:val="nil"/>
              <w:left w:val="nil"/>
              <w:bottom w:val="nil"/>
              <w:right w:val="nil"/>
            </w:tcBorders>
            <w:shd w:val="clear" w:color="000000" w:fill="FFFFFF"/>
            <w:hideMark/>
          </w:tcPr>
          <w:p w14:paraId="70E8E829"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16.0</w:t>
            </w:r>
          </w:p>
        </w:tc>
        <w:tc>
          <w:tcPr>
            <w:tcW w:w="940" w:type="dxa"/>
            <w:tcBorders>
              <w:top w:val="nil"/>
              <w:left w:val="nil"/>
              <w:bottom w:val="nil"/>
              <w:right w:val="nil"/>
            </w:tcBorders>
            <w:shd w:val="clear" w:color="000000" w:fill="FFFFFF"/>
            <w:hideMark/>
          </w:tcPr>
          <w:p w14:paraId="321F6395"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13.8</w:t>
            </w:r>
          </w:p>
        </w:tc>
        <w:tc>
          <w:tcPr>
            <w:tcW w:w="1278" w:type="dxa"/>
            <w:tcBorders>
              <w:top w:val="nil"/>
              <w:left w:val="nil"/>
              <w:bottom w:val="nil"/>
              <w:right w:val="nil"/>
            </w:tcBorders>
            <w:shd w:val="clear" w:color="000000" w:fill="FFFFFF"/>
            <w:hideMark/>
          </w:tcPr>
          <w:p w14:paraId="793C1A2D"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11C52264"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1034CE87" w14:textId="77777777" w:rsidTr="00F07FFD">
        <w:trPr>
          <w:cantSplit/>
        </w:trPr>
        <w:tc>
          <w:tcPr>
            <w:tcW w:w="4020" w:type="dxa"/>
            <w:tcBorders>
              <w:top w:val="nil"/>
              <w:left w:val="nil"/>
              <w:bottom w:val="nil"/>
              <w:right w:val="nil"/>
            </w:tcBorders>
            <w:shd w:val="clear" w:color="000000" w:fill="FFFFFF"/>
            <w:hideMark/>
          </w:tcPr>
          <w:p w14:paraId="6EBC56FC"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High cholesterol (medicated)</w:t>
            </w:r>
          </w:p>
        </w:tc>
        <w:tc>
          <w:tcPr>
            <w:tcW w:w="900" w:type="dxa"/>
            <w:tcBorders>
              <w:top w:val="nil"/>
              <w:left w:val="nil"/>
              <w:bottom w:val="nil"/>
              <w:right w:val="nil"/>
            </w:tcBorders>
            <w:shd w:val="clear" w:color="000000" w:fill="FFFFFF"/>
            <w:hideMark/>
          </w:tcPr>
          <w:p w14:paraId="4A61F3D0"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11.5</w:t>
            </w:r>
          </w:p>
        </w:tc>
        <w:tc>
          <w:tcPr>
            <w:tcW w:w="940" w:type="dxa"/>
            <w:tcBorders>
              <w:top w:val="nil"/>
              <w:left w:val="nil"/>
              <w:bottom w:val="nil"/>
              <w:right w:val="nil"/>
            </w:tcBorders>
            <w:shd w:val="clear" w:color="000000" w:fill="FFFFFF"/>
            <w:hideMark/>
          </w:tcPr>
          <w:p w14:paraId="2AD34C8E"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10.5</w:t>
            </w:r>
          </w:p>
        </w:tc>
        <w:tc>
          <w:tcPr>
            <w:tcW w:w="940" w:type="dxa"/>
            <w:tcBorders>
              <w:top w:val="nil"/>
              <w:left w:val="nil"/>
              <w:bottom w:val="nil"/>
              <w:right w:val="nil"/>
            </w:tcBorders>
            <w:shd w:val="clear" w:color="000000" w:fill="FFFFFF"/>
            <w:hideMark/>
          </w:tcPr>
          <w:p w14:paraId="072C9CD6"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8.4</w:t>
            </w:r>
          </w:p>
        </w:tc>
        <w:tc>
          <w:tcPr>
            <w:tcW w:w="1278" w:type="dxa"/>
            <w:tcBorders>
              <w:top w:val="nil"/>
              <w:left w:val="nil"/>
              <w:bottom w:val="nil"/>
              <w:right w:val="nil"/>
            </w:tcBorders>
            <w:shd w:val="clear" w:color="000000" w:fill="FFFFFF"/>
            <w:hideMark/>
          </w:tcPr>
          <w:p w14:paraId="55896886"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137BD205"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0D4335E0" w14:textId="77777777" w:rsidTr="00F07FFD">
        <w:trPr>
          <w:cantSplit/>
        </w:trPr>
        <w:tc>
          <w:tcPr>
            <w:tcW w:w="4020" w:type="dxa"/>
            <w:tcBorders>
              <w:top w:val="nil"/>
              <w:left w:val="nil"/>
              <w:bottom w:val="nil"/>
              <w:right w:val="nil"/>
            </w:tcBorders>
            <w:shd w:val="clear" w:color="000000" w:fill="FFFFFF"/>
            <w:hideMark/>
          </w:tcPr>
          <w:p w14:paraId="54E3DA2C"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Ischaemic heart disease (diagnosed)</w:t>
            </w:r>
          </w:p>
        </w:tc>
        <w:tc>
          <w:tcPr>
            <w:tcW w:w="900" w:type="dxa"/>
            <w:tcBorders>
              <w:top w:val="nil"/>
              <w:left w:val="nil"/>
              <w:bottom w:val="nil"/>
              <w:right w:val="nil"/>
            </w:tcBorders>
            <w:shd w:val="clear" w:color="000000" w:fill="FFFFFF"/>
            <w:hideMark/>
          </w:tcPr>
          <w:p w14:paraId="4435AE9D"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4.6</w:t>
            </w:r>
          </w:p>
        </w:tc>
        <w:tc>
          <w:tcPr>
            <w:tcW w:w="940" w:type="dxa"/>
            <w:tcBorders>
              <w:top w:val="nil"/>
              <w:left w:val="nil"/>
              <w:bottom w:val="nil"/>
              <w:right w:val="nil"/>
            </w:tcBorders>
            <w:shd w:val="clear" w:color="000000" w:fill="FFFFFF"/>
            <w:hideMark/>
          </w:tcPr>
          <w:p w14:paraId="5A7894B3"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5.5</w:t>
            </w:r>
          </w:p>
        </w:tc>
        <w:tc>
          <w:tcPr>
            <w:tcW w:w="940" w:type="dxa"/>
            <w:tcBorders>
              <w:top w:val="nil"/>
              <w:left w:val="nil"/>
              <w:bottom w:val="nil"/>
              <w:right w:val="nil"/>
            </w:tcBorders>
            <w:shd w:val="clear" w:color="000000" w:fill="FFFFFF"/>
            <w:hideMark/>
          </w:tcPr>
          <w:p w14:paraId="5EED84CC"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5.3</w:t>
            </w:r>
          </w:p>
        </w:tc>
        <w:tc>
          <w:tcPr>
            <w:tcW w:w="1278" w:type="dxa"/>
            <w:tcBorders>
              <w:top w:val="nil"/>
              <w:left w:val="nil"/>
              <w:bottom w:val="nil"/>
              <w:right w:val="nil"/>
            </w:tcBorders>
            <w:shd w:val="clear" w:color="000000" w:fill="FFFFFF"/>
            <w:hideMark/>
          </w:tcPr>
          <w:p w14:paraId="590C63EB"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4B621818"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22A01BBB" w14:textId="77777777" w:rsidTr="00F07FFD">
        <w:trPr>
          <w:cantSplit/>
        </w:trPr>
        <w:tc>
          <w:tcPr>
            <w:tcW w:w="4020" w:type="dxa"/>
            <w:tcBorders>
              <w:top w:val="nil"/>
              <w:left w:val="nil"/>
              <w:bottom w:val="single" w:sz="4" w:space="0" w:color="808080"/>
              <w:right w:val="nil"/>
            </w:tcBorders>
            <w:shd w:val="clear" w:color="000000" w:fill="FFFFFF"/>
            <w:hideMark/>
          </w:tcPr>
          <w:p w14:paraId="66768E17"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Stroke (diagnosed)</w:t>
            </w:r>
          </w:p>
        </w:tc>
        <w:tc>
          <w:tcPr>
            <w:tcW w:w="900" w:type="dxa"/>
            <w:tcBorders>
              <w:top w:val="nil"/>
              <w:left w:val="nil"/>
              <w:bottom w:val="single" w:sz="4" w:space="0" w:color="808080"/>
              <w:right w:val="nil"/>
            </w:tcBorders>
            <w:shd w:val="clear" w:color="000000" w:fill="FFFFFF"/>
            <w:hideMark/>
          </w:tcPr>
          <w:p w14:paraId="6D35FFA4"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1.5</w:t>
            </w:r>
          </w:p>
        </w:tc>
        <w:tc>
          <w:tcPr>
            <w:tcW w:w="940" w:type="dxa"/>
            <w:tcBorders>
              <w:top w:val="nil"/>
              <w:left w:val="nil"/>
              <w:bottom w:val="single" w:sz="4" w:space="0" w:color="808080"/>
              <w:right w:val="nil"/>
            </w:tcBorders>
            <w:shd w:val="clear" w:color="000000" w:fill="FFFFFF"/>
            <w:hideMark/>
          </w:tcPr>
          <w:p w14:paraId="4B9D1703"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1.8</w:t>
            </w:r>
          </w:p>
        </w:tc>
        <w:tc>
          <w:tcPr>
            <w:tcW w:w="940" w:type="dxa"/>
            <w:tcBorders>
              <w:top w:val="nil"/>
              <w:left w:val="nil"/>
              <w:bottom w:val="single" w:sz="4" w:space="0" w:color="808080"/>
              <w:right w:val="nil"/>
            </w:tcBorders>
            <w:shd w:val="clear" w:color="000000" w:fill="FFFFFF"/>
            <w:hideMark/>
          </w:tcPr>
          <w:p w14:paraId="64889F3C"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1.9</w:t>
            </w:r>
          </w:p>
        </w:tc>
        <w:tc>
          <w:tcPr>
            <w:tcW w:w="1278" w:type="dxa"/>
            <w:tcBorders>
              <w:top w:val="nil"/>
              <w:left w:val="nil"/>
              <w:bottom w:val="single" w:sz="4" w:space="0" w:color="808080"/>
              <w:right w:val="nil"/>
            </w:tcBorders>
            <w:shd w:val="clear" w:color="000000" w:fill="FFFFFF"/>
            <w:hideMark/>
          </w:tcPr>
          <w:p w14:paraId="6851B622"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single" w:sz="4" w:space="0" w:color="808080"/>
              <w:right w:val="nil"/>
            </w:tcBorders>
            <w:shd w:val="clear" w:color="000000" w:fill="FFFFFF"/>
            <w:hideMark/>
          </w:tcPr>
          <w:p w14:paraId="21C5216D"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71646F7A" w14:textId="77777777" w:rsidTr="00F07FFD">
        <w:trPr>
          <w:cantSplit/>
        </w:trPr>
        <w:tc>
          <w:tcPr>
            <w:tcW w:w="4020" w:type="dxa"/>
            <w:tcBorders>
              <w:top w:val="nil"/>
              <w:left w:val="nil"/>
              <w:bottom w:val="single" w:sz="4" w:space="0" w:color="808080"/>
              <w:right w:val="nil"/>
            </w:tcBorders>
            <w:shd w:val="clear" w:color="000000" w:fill="FFFFFF"/>
            <w:hideMark/>
          </w:tcPr>
          <w:p w14:paraId="73549332" w14:textId="77777777" w:rsidR="00FC0DB8" w:rsidRPr="000C1A9F" w:rsidRDefault="00FC0DB8" w:rsidP="00C20528">
            <w:pPr>
              <w:spacing w:before="40" w:after="40" w:line="240" w:lineRule="auto"/>
              <w:rPr>
                <w:rFonts w:ascii="Arial" w:hAnsi="Arial" w:cs="Arial"/>
                <w:color w:val="000000"/>
                <w:sz w:val="18"/>
                <w:szCs w:val="18"/>
                <w:lang w:eastAsia="en-NZ"/>
              </w:rPr>
            </w:pPr>
            <w:r>
              <w:rPr>
                <w:rFonts w:ascii="Arial" w:hAnsi="Arial" w:cs="Arial"/>
                <w:color w:val="000000"/>
                <w:sz w:val="18"/>
                <w:szCs w:val="18"/>
                <w:lang w:eastAsia="en-NZ"/>
              </w:rPr>
              <w:t>Psychological</w:t>
            </w:r>
            <w:r w:rsidRPr="000C1A9F">
              <w:rPr>
                <w:rFonts w:ascii="Arial" w:hAnsi="Arial" w:cs="Arial"/>
                <w:color w:val="000000"/>
                <w:sz w:val="18"/>
                <w:szCs w:val="18"/>
                <w:lang w:eastAsia="en-NZ"/>
              </w:rPr>
              <w:t xml:space="preserve"> distress</w:t>
            </w:r>
          </w:p>
        </w:tc>
        <w:tc>
          <w:tcPr>
            <w:tcW w:w="900" w:type="dxa"/>
            <w:tcBorders>
              <w:top w:val="nil"/>
              <w:left w:val="nil"/>
              <w:bottom w:val="single" w:sz="4" w:space="0" w:color="808080"/>
              <w:right w:val="nil"/>
            </w:tcBorders>
            <w:shd w:val="clear" w:color="000000" w:fill="FFFFFF"/>
            <w:hideMark/>
          </w:tcPr>
          <w:p w14:paraId="0E9FE332"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6.8</w:t>
            </w:r>
          </w:p>
        </w:tc>
        <w:tc>
          <w:tcPr>
            <w:tcW w:w="940" w:type="dxa"/>
            <w:tcBorders>
              <w:top w:val="nil"/>
              <w:left w:val="nil"/>
              <w:bottom w:val="single" w:sz="4" w:space="0" w:color="808080"/>
              <w:right w:val="nil"/>
            </w:tcBorders>
            <w:shd w:val="clear" w:color="000000" w:fill="FFFFFF"/>
            <w:hideMark/>
          </w:tcPr>
          <w:p w14:paraId="26DBBCB9"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4.5</w:t>
            </w:r>
          </w:p>
        </w:tc>
        <w:tc>
          <w:tcPr>
            <w:tcW w:w="940" w:type="dxa"/>
            <w:tcBorders>
              <w:top w:val="nil"/>
              <w:left w:val="nil"/>
              <w:bottom w:val="single" w:sz="4" w:space="0" w:color="808080"/>
              <w:right w:val="nil"/>
            </w:tcBorders>
            <w:shd w:val="clear" w:color="000000" w:fill="FFFFFF"/>
            <w:hideMark/>
          </w:tcPr>
          <w:p w14:paraId="56E3CA97"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6.6</w:t>
            </w:r>
          </w:p>
        </w:tc>
        <w:tc>
          <w:tcPr>
            <w:tcW w:w="1278" w:type="dxa"/>
            <w:tcBorders>
              <w:top w:val="nil"/>
              <w:left w:val="nil"/>
              <w:bottom w:val="single" w:sz="4" w:space="0" w:color="808080"/>
              <w:right w:val="nil"/>
            </w:tcBorders>
            <w:shd w:val="clear" w:color="000000" w:fill="FFFFFF"/>
            <w:hideMark/>
          </w:tcPr>
          <w:p w14:paraId="7BDFE455"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single" w:sz="4" w:space="0" w:color="808080"/>
              <w:right w:val="nil"/>
            </w:tcBorders>
            <w:shd w:val="clear" w:color="000000" w:fill="FFFFFF"/>
            <w:hideMark/>
          </w:tcPr>
          <w:p w14:paraId="57479D25"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01432FCA" w14:textId="77777777" w:rsidTr="00F07FFD">
        <w:trPr>
          <w:cantSplit/>
        </w:trPr>
        <w:tc>
          <w:tcPr>
            <w:tcW w:w="4020" w:type="dxa"/>
            <w:tcBorders>
              <w:top w:val="nil"/>
              <w:left w:val="nil"/>
              <w:bottom w:val="nil"/>
              <w:right w:val="nil"/>
            </w:tcBorders>
            <w:shd w:val="clear" w:color="000000" w:fill="FFFFFF"/>
            <w:hideMark/>
          </w:tcPr>
          <w:p w14:paraId="35158FC3"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Asthma (medicated)</w:t>
            </w:r>
          </w:p>
        </w:tc>
        <w:tc>
          <w:tcPr>
            <w:tcW w:w="900" w:type="dxa"/>
            <w:tcBorders>
              <w:top w:val="nil"/>
              <w:left w:val="nil"/>
              <w:bottom w:val="nil"/>
              <w:right w:val="nil"/>
            </w:tcBorders>
            <w:shd w:val="clear" w:color="000000" w:fill="FFFFFF"/>
            <w:hideMark/>
          </w:tcPr>
          <w:p w14:paraId="1738E9CF"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10.8</w:t>
            </w:r>
          </w:p>
        </w:tc>
        <w:tc>
          <w:tcPr>
            <w:tcW w:w="940" w:type="dxa"/>
            <w:tcBorders>
              <w:top w:val="nil"/>
              <w:left w:val="nil"/>
              <w:bottom w:val="nil"/>
              <w:right w:val="nil"/>
            </w:tcBorders>
            <w:shd w:val="clear" w:color="000000" w:fill="FFFFFF"/>
            <w:hideMark/>
          </w:tcPr>
          <w:p w14:paraId="7D6E65FD"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11.0</w:t>
            </w:r>
          </w:p>
        </w:tc>
        <w:tc>
          <w:tcPr>
            <w:tcW w:w="940" w:type="dxa"/>
            <w:tcBorders>
              <w:top w:val="nil"/>
              <w:left w:val="nil"/>
              <w:bottom w:val="nil"/>
              <w:right w:val="nil"/>
            </w:tcBorders>
            <w:shd w:val="clear" w:color="000000" w:fill="FFFFFF"/>
            <w:hideMark/>
          </w:tcPr>
          <w:p w14:paraId="0F4B992B"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11.3</w:t>
            </w:r>
          </w:p>
        </w:tc>
        <w:tc>
          <w:tcPr>
            <w:tcW w:w="1278" w:type="dxa"/>
            <w:tcBorders>
              <w:top w:val="nil"/>
              <w:left w:val="nil"/>
              <w:bottom w:val="nil"/>
              <w:right w:val="nil"/>
            </w:tcBorders>
            <w:shd w:val="clear" w:color="000000" w:fill="FFFFFF"/>
            <w:hideMark/>
          </w:tcPr>
          <w:p w14:paraId="623FBCA5"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4234DE5B"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1BA15E20" w14:textId="77777777" w:rsidTr="00F07FFD">
        <w:trPr>
          <w:cantSplit/>
        </w:trPr>
        <w:tc>
          <w:tcPr>
            <w:tcW w:w="4020" w:type="dxa"/>
            <w:tcBorders>
              <w:top w:val="nil"/>
              <w:left w:val="nil"/>
              <w:bottom w:val="nil"/>
              <w:right w:val="nil"/>
            </w:tcBorders>
            <w:shd w:val="clear" w:color="000000" w:fill="FFFFFF"/>
            <w:hideMark/>
          </w:tcPr>
          <w:p w14:paraId="098D0CFC"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Arthritis (diagnosed)</w:t>
            </w:r>
          </w:p>
        </w:tc>
        <w:tc>
          <w:tcPr>
            <w:tcW w:w="900" w:type="dxa"/>
            <w:tcBorders>
              <w:top w:val="nil"/>
              <w:left w:val="nil"/>
              <w:bottom w:val="nil"/>
              <w:right w:val="nil"/>
            </w:tcBorders>
            <w:shd w:val="clear" w:color="000000" w:fill="FFFFFF"/>
            <w:hideMark/>
          </w:tcPr>
          <w:p w14:paraId="0337E6A9"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16.7</w:t>
            </w:r>
          </w:p>
        </w:tc>
        <w:tc>
          <w:tcPr>
            <w:tcW w:w="940" w:type="dxa"/>
            <w:tcBorders>
              <w:top w:val="nil"/>
              <w:left w:val="nil"/>
              <w:bottom w:val="nil"/>
              <w:right w:val="nil"/>
            </w:tcBorders>
            <w:shd w:val="clear" w:color="000000" w:fill="FFFFFF"/>
            <w:hideMark/>
          </w:tcPr>
          <w:p w14:paraId="12988879"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15.1</w:t>
            </w:r>
          </w:p>
        </w:tc>
        <w:tc>
          <w:tcPr>
            <w:tcW w:w="940" w:type="dxa"/>
            <w:tcBorders>
              <w:top w:val="nil"/>
              <w:left w:val="nil"/>
              <w:bottom w:val="nil"/>
              <w:right w:val="nil"/>
            </w:tcBorders>
            <w:shd w:val="clear" w:color="000000" w:fill="FFFFFF"/>
            <w:hideMark/>
          </w:tcPr>
          <w:p w14:paraId="00B84618"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14.9</w:t>
            </w:r>
          </w:p>
        </w:tc>
        <w:tc>
          <w:tcPr>
            <w:tcW w:w="1278" w:type="dxa"/>
            <w:tcBorders>
              <w:top w:val="nil"/>
              <w:left w:val="nil"/>
              <w:bottom w:val="nil"/>
              <w:right w:val="nil"/>
            </w:tcBorders>
            <w:shd w:val="clear" w:color="000000" w:fill="FFFFFF"/>
            <w:hideMark/>
          </w:tcPr>
          <w:p w14:paraId="3865B510"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30DFFAB2"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0E04E4A8" w14:textId="77777777" w:rsidTr="00F07FFD">
        <w:trPr>
          <w:cantSplit/>
        </w:trPr>
        <w:tc>
          <w:tcPr>
            <w:tcW w:w="4020" w:type="dxa"/>
            <w:tcBorders>
              <w:top w:val="nil"/>
              <w:left w:val="nil"/>
              <w:bottom w:val="single" w:sz="4" w:space="0" w:color="808080"/>
              <w:right w:val="nil"/>
            </w:tcBorders>
            <w:shd w:val="clear" w:color="000000" w:fill="FFFFFF"/>
            <w:hideMark/>
          </w:tcPr>
          <w:p w14:paraId="18A4B4D7"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Chronic pain</w:t>
            </w:r>
          </w:p>
        </w:tc>
        <w:tc>
          <w:tcPr>
            <w:tcW w:w="900" w:type="dxa"/>
            <w:tcBorders>
              <w:top w:val="nil"/>
              <w:left w:val="nil"/>
              <w:bottom w:val="single" w:sz="4" w:space="0" w:color="808080"/>
              <w:right w:val="nil"/>
            </w:tcBorders>
            <w:shd w:val="clear" w:color="000000" w:fill="FFFFFF"/>
            <w:hideMark/>
          </w:tcPr>
          <w:p w14:paraId="01BA4CF6"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20.8</w:t>
            </w:r>
          </w:p>
        </w:tc>
        <w:tc>
          <w:tcPr>
            <w:tcW w:w="940" w:type="dxa"/>
            <w:tcBorders>
              <w:top w:val="nil"/>
              <w:left w:val="nil"/>
              <w:bottom w:val="single" w:sz="4" w:space="0" w:color="808080"/>
              <w:right w:val="nil"/>
            </w:tcBorders>
            <w:shd w:val="clear" w:color="000000" w:fill="FFFFFF"/>
            <w:hideMark/>
          </w:tcPr>
          <w:p w14:paraId="63273D53"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16.2</w:t>
            </w:r>
          </w:p>
        </w:tc>
        <w:tc>
          <w:tcPr>
            <w:tcW w:w="940" w:type="dxa"/>
            <w:tcBorders>
              <w:top w:val="nil"/>
              <w:left w:val="nil"/>
              <w:bottom w:val="single" w:sz="4" w:space="0" w:color="808080"/>
              <w:right w:val="nil"/>
            </w:tcBorders>
            <w:shd w:val="clear" w:color="000000" w:fill="FFFFFF"/>
            <w:hideMark/>
          </w:tcPr>
          <w:p w14:paraId="73688FB0"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17.0</w:t>
            </w:r>
          </w:p>
        </w:tc>
        <w:tc>
          <w:tcPr>
            <w:tcW w:w="1278" w:type="dxa"/>
            <w:tcBorders>
              <w:top w:val="nil"/>
              <w:left w:val="nil"/>
              <w:bottom w:val="single" w:sz="4" w:space="0" w:color="808080"/>
              <w:right w:val="nil"/>
            </w:tcBorders>
            <w:shd w:val="clear" w:color="000000" w:fill="FFFFFF"/>
            <w:hideMark/>
          </w:tcPr>
          <w:p w14:paraId="0D5D516B"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single" w:sz="4" w:space="0" w:color="808080"/>
              <w:right w:val="nil"/>
            </w:tcBorders>
            <w:shd w:val="clear" w:color="000000" w:fill="FFFFFF"/>
            <w:hideMark/>
          </w:tcPr>
          <w:p w14:paraId="500940B9"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3366C21A" w14:textId="77777777" w:rsidTr="00F07FFD">
        <w:trPr>
          <w:cantSplit/>
        </w:trPr>
        <w:tc>
          <w:tcPr>
            <w:tcW w:w="4020" w:type="dxa"/>
            <w:tcBorders>
              <w:top w:val="nil"/>
              <w:left w:val="nil"/>
              <w:bottom w:val="nil"/>
              <w:right w:val="nil"/>
            </w:tcBorders>
            <w:shd w:val="clear" w:color="000000" w:fill="FFFFFF"/>
            <w:hideMark/>
          </w:tcPr>
          <w:p w14:paraId="6CC4C6A3" w14:textId="77777777" w:rsidR="00FC0DB8" w:rsidRPr="000C1A9F" w:rsidRDefault="00FC0DB8" w:rsidP="00C20528">
            <w:pPr>
              <w:spacing w:before="40" w:after="40" w:line="240" w:lineRule="auto"/>
              <w:rPr>
                <w:rFonts w:ascii="Arial" w:hAnsi="Arial" w:cs="Arial"/>
                <w:b/>
                <w:bCs/>
                <w:sz w:val="18"/>
                <w:szCs w:val="18"/>
                <w:lang w:eastAsia="en-NZ"/>
              </w:rPr>
            </w:pPr>
            <w:r w:rsidRPr="000C1A9F">
              <w:rPr>
                <w:rFonts w:ascii="Arial" w:hAnsi="Arial" w:cs="Arial"/>
                <w:b/>
                <w:bCs/>
                <w:sz w:val="18"/>
                <w:szCs w:val="18"/>
                <w:lang w:eastAsia="en-NZ"/>
              </w:rPr>
              <w:t xml:space="preserve">Access to health care </w:t>
            </w:r>
          </w:p>
        </w:tc>
        <w:tc>
          <w:tcPr>
            <w:tcW w:w="900" w:type="dxa"/>
            <w:tcBorders>
              <w:top w:val="nil"/>
              <w:left w:val="nil"/>
              <w:bottom w:val="nil"/>
              <w:right w:val="nil"/>
            </w:tcBorders>
            <w:shd w:val="clear" w:color="000000" w:fill="FFFFFF"/>
            <w:hideMark/>
          </w:tcPr>
          <w:p w14:paraId="5405519A" w14:textId="77777777" w:rsidR="00FC0DB8" w:rsidRPr="000C1A9F" w:rsidRDefault="00FC0DB8" w:rsidP="00C20528">
            <w:pPr>
              <w:spacing w:before="40" w:after="40" w:line="240" w:lineRule="auto"/>
              <w:jc w:val="center"/>
              <w:rPr>
                <w:rFonts w:ascii="Arial" w:hAnsi="Arial" w:cs="Arial"/>
                <w:color w:val="000000"/>
                <w:sz w:val="18"/>
                <w:szCs w:val="18"/>
                <w:lang w:eastAsia="en-NZ"/>
              </w:rPr>
            </w:pPr>
          </w:p>
        </w:tc>
        <w:tc>
          <w:tcPr>
            <w:tcW w:w="940" w:type="dxa"/>
            <w:tcBorders>
              <w:top w:val="nil"/>
              <w:left w:val="nil"/>
              <w:bottom w:val="nil"/>
              <w:right w:val="nil"/>
            </w:tcBorders>
            <w:shd w:val="clear" w:color="000000" w:fill="FFFFFF"/>
            <w:hideMark/>
          </w:tcPr>
          <w:p w14:paraId="6B185A7B" w14:textId="77777777" w:rsidR="00FC0DB8" w:rsidRPr="000C1A9F" w:rsidRDefault="00FC0DB8" w:rsidP="00C20528">
            <w:pPr>
              <w:spacing w:before="40" w:after="40" w:line="240" w:lineRule="auto"/>
              <w:jc w:val="center"/>
              <w:rPr>
                <w:rFonts w:ascii="Arial" w:hAnsi="Arial" w:cs="Arial"/>
                <w:color w:val="808080"/>
                <w:sz w:val="18"/>
                <w:szCs w:val="18"/>
                <w:lang w:eastAsia="en-NZ"/>
              </w:rPr>
            </w:pPr>
          </w:p>
        </w:tc>
        <w:tc>
          <w:tcPr>
            <w:tcW w:w="940" w:type="dxa"/>
            <w:tcBorders>
              <w:top w:val="nil"/>
              <w:left w:val="nil"/>
              <w:bottom w:val="nil"/>
              <w:right w:val="nil"/>
            </w:tcBorders>
            <w:shd w:val="clear" w:color="000000" w:fill="FFFFFF"/>
            <w:hideMark/>
          </w:tcPr>
          <w:p w14:paraId="20542336" w14:textId="77777777" w:rsidR="00FC0DB8" w:rsidRPr="000C1A9F" w:rsidRDefault="00FC0DB8" w:rsidP="00C20528">
            <w:pPr>
              <w:spacing w:before="40" w:after="40" w:line="240" w:lineRule="auto"/>
              <w:jc w:val="center"/>
              <w:rPr>
                <w:rFonts w:ascii="Arial" w:hAnsi="Arial" w:cs="Arial"/>
                <w:color w:val="808080"/>
                <w:sz w:val="18"/>
                <w:szCs w:val="18"/>
                <w:lang w:eastAsia="en-NZ"/>
              </w:rPr>
            </w:pPr>
          </w:p>
        </w:tc>
        <w:tc>
          <w:tcPr>
            <w:tcW w:w="1278" w:type="dxa"/>
            <w:tcBorders>
              <w:top w:val="nil"/>
              <w:left w:val="nil"/>
              <w:bottom w:val="nil"/>
              <w:right w:val="nil"/>
            </w:tcBorders>
            <w:shd w:val="clear" w:color="000000" w:fill="FFFFFF"/>
            <w:hideMark/>
          </w:tcPr>
          <w:p w14:paraId="56D79247" w14:textId="77777777" w:rsidR="00FC0DB8" w:rsidRPr="000C1A9F" w:rsidRDefault="00FC0DB8" w:rsidP="00C20528">
            <w:pPr>
              <w:spacing w:before="40" w:after="40" w:line="240" w:lineRule="auto"/>
              <w:jc w:val="center"/>
              <w:rPr>
                <w:rFonts w:ascii="Arial" w:hAnsi="Arial" w:cs="Arial"/>
                <w:color w:val="4F81BD"/>
                <w:sz w:val="18"/>
                <w:szCs w:val="18"/>
                <w:lang w:eastAsia="en-NZ"/>
              </w:rPr>
            </w:pPr>
          </w:p>
        </w:tc>
        <w:tc>
          <w:tcPr>
            <w:tcW w:w="1278" w:type="dxa"/>
            <w:tcBorders>
              <w:top w:val="nil"/>
              <w:left w:val="nil"/>
              <w:bottom w:val="nil"/>
              <w:right w:val="nil"/>
            </w:tcBorders>
            <w:shd w:val="clear" w:color="000000" w:fill="FFFFFF"/>
            <w:hideMark/>
          </w:tcPr>
          <w:p w14:paraId="27138875" w14:textId="77777777" w:rsidR="00FC0DB8" w:rsidRPr="000C1A9F" w:rsidRDefault="00FC0DB8" w:rsidP="00C20528">
            <w:pPr>
              <w:spacing w:before="40" w:after="40" w:line="240" w:lineRule="auto"/>
              <w:jc w:val="center"/>
              <w:rPr>
                <w:rFonts w:ascii="Arial" w:hAnsi="Arial" w:cs="Arial"/>
                <w:color w:val="4F81BD"/>
                <w:sz w:val="18"/>
                <w:szCs w:val="18"/>
                <w:lang w:eastAsia="en-NZ"/>
              </w:rPr>
            </w:pPr>
          </w:p>
        </w:tc>
      </w:tr>
      <w:tr w:rsidR="00FC0DB8" w:rsidRPr="000C1A9F" w14:paraId="4D13A115" w14:textId="77777777" w:rsidTr="00F07FFD">
        <w:trPr>
          <w:cantSplit/>
        </w:trPr>
        <w:tc>
          <w:tcPr>
            <w:tcW w:w="4020" w:type="dxa"/>
            <w:tcBorders>
              <w:top w:val="nil"/>
              <w:left w:val="nil"/>
              <w:bottom w:val="nil"/>
              <w:right w:val="nil"/>
            </w:tcBorders>
            <w:shd w:val="clear" w:color="000000" w:fill="FFFFFF"/>
            <w:hideMark/>
          </w:tcPr>
          <w:p w14:paraId="083131DF"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GP visit in the past 12 months</w:t>
            </w:r>
          </w:p>
        </w:tc>
        <w:tc>
          <w:tcPr>
            <w:tcW w:w="900" w:type="dxa"/>
            <w:tcBorders>
              <w:top w:val="nil"/>
              <w:left w:val="nil"/>
              <w:bottom w:val="nil"/>
              <w:right w:val="nil"/>
            </w:tcBorders>
            <w:shd w:val="clear" w:color="000000" w:fill="FFFFFF"/>
            <w:hideMark/>
          </w:tcPr>
          <w:p w14:paraId="6252E3FE"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79.3</w:t>
            </w:r>
          </w:p>
        </w:tc>
        <w:tc>
          <w:tcPr>
            <w:tcW w:w="940" w:type="dxa"/>
            <w:tcBorders>
              <w:top w:val="nil"/>
              <w:left w:val="nil"/>
              <w:bottom w:val="nil"/>
              <w:right w:val="nil"/>
            </w:tcBorders>
            <w:shd w:val="clear" w:color="000000" w:fill="FFFFFF"/>
            <w:hideMark/>
          </w:tcPr>
          <w:p w14:paraId="21017904"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78.3</w:t>
            </w:r>
          </w:p>
        </w:tc>
        <w:tc>
          <w:tcPr>
            <w:tcW w:w="940" w:type="dxa"/>
            <w:tcBorders>
              <w:top w:val="nil"/>
              <w:left w:val="nil"/>
              <w:bottom w:val="nil"/>
              <w:right w:val="nil"/>
            </w:tcBorders>
            <w:shd w:val="clear" w:color="000000" w:fill="FFFFFF"/>
            <w:hideMark/>
          </w:tcPr>
          <w:p w14:paraId="508C5DF4"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81.3</w:t>
            </w:r>
          </w:p>
        </w:tc>
        <w:tc>
          <w:tcPr>
            <w:tcW w:w="1278" w:type="dxa"/>
            <w:tcBorders>
              <w:top w:val="nil"/>
              <w:left w:val="nil"/>
              <w:bottom w:val="nil"/>
              <w:right w:val="nil"/>
            </w:tcBorders>
            <w:shd w:val="clear" w:color="000000" w:fill="FFFFFF"/>
            <w:hideMark/>
          </w:tcPr>
          <w:p w14:paraId="33FD28C4"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1211B9DA"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186557B3" w14:textId="77777777" w:rsidTr="00F07FFD">
        <w:trPr>
          <w:cantSplit/>
        </w:trPr>
        <w:tc>
          <w:tcPr>
            <w:tcW w:w="4020" w:type="dxa"/>
            <w:tcBorders>
              <w:top w:val="nil"/>
              <w:left w:val="nil"/>
              <w:bottom w:val="nil"/>
              <w:right w:val="nil"/>
            </w:tcBorders>
            <w:shd w:val="clear" w:color="000000" w:fill="FFFFFF"/>
            <w:hideMark/>
          </w:tcPr>
          <w:p w14:paraId="05178803"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Practice nurse</w:t>
            </w:r>
            <w:r>
              <w:rPr>
                <w:rFonts w:ascii="Arial" w:hAnsi="Arial" w:cs="Arial"/>
                <w:color w:val="000000"/>
                <w:sz w:val="18"/>
                <w:szCs w:val="18"/>
                <w:lang w:eastAsia="en-NZ"/>
              </w:rPr>
              <w:t xml:space="preserve"> (only) </w:t>
            </w:r>
            <w:r w:rsidRPr="000C1A9F">
              <w:rPr>
                <w:rFonts w:ascii="Arial" w:hAnsi="Arial" w:cs="Arial"/>
                <w:color w:val="000000"/>
                <w:sz w:val="18"/>
                <w:szCs w:val="18"/>
                <w:lang w:eastAsia="en-NZ"/>
              </w:rPr>
              <w:t>visit in the past 12 months</w:t>
            </w:r>
          </w:p>
        </w:tc>
        <w:tc>
          <w:tcPr>
            <w:tcW w:w="900" w:type="dxa"/>
            <w:tcBorders>
              <w:top w:val="nil"/>
              <w:left w:val="nil"/>
              <w:bottom w:val="nil"/>
              <w:right w:val="nil"/>
            </w:tcBorders>
            <w:shd w:val="clear" w:color="000000" w:fill="FFFFFF"/>
            <w:hideMark/>
          </w:tcPr>
          <w:p w14:paraId="72C98559"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32.5</w:t>
            </w:r>
          </w:p>
        </w:tc>
        <w:tc>
          <w:tcPr>
            <w:tcW w:w="940" w:type="dxa"/>
            <w:tcBorders>
              <w:top w:val="nil"/>
              <w:left w:val="nil"/>
              <w:bottom w:val="nil"/>
              <w:right w:val="nil"/>
            </w:tcBorders>
            <w:shd w:val="clear" w:color="000000" w:fill="FFFFFF"/>
            <w:hideMark/>
          </w:tcPr>
          <w:p w14:paraId="380D9241"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30.5</w:t>
            </w:r>
          </w:p>
        </w:tc>
        <w:tc>
          <w:tcPr>
            <w:tcW w:w="940" w:type="dxa"/>
            <w:tcBorders>
              <w:top w:val="nil"/>
              <w:left w:val="nil"/>
              <w:bottom w:val="nil"/>
              <w:right w:val="nil"/>
            </w:tcBorders>
            <w:shd w:val="clear" w:color="000000" w:fill="FFFFFF"/>
            <w:hideMark/>
          </w:tcPr>
          <w:p w14:paraId="7BB0A93E"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28.7</w:t>
            </w:r>
          </w:p>
        </w:tc>
        <w:tc>
          <w:tcPr>
            <w:tcW w:w="1278" w:type="dxa"/>
            <w:tcBorders>
              <w:top w:val="nil"/>
              <w:left w:val="nil"/>
              <w:bottom w:val="nil"/>
              <w:right w:val="nil"/>
            </w:tcBorders>
            <w:shd w:val="clear" w:color="000000" w:fill="FFFFFF"/>
            <w:hideMark/>
          </w:tcPr>
          <w:p w14:paraId="4359A35D"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60DCF9BB"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1C50C1E7" w14:textId="77777777" w:rsidTr="00F07FFD">
        <w:trPr>
          <w:cantSplit/>
        </w:trPr>
        <w:tc>
          <w:tcPr>
            <w:tcW w:w="4020" w:type="dxa"/>
            <w:tcBorders>
              <w:top w:val="nil"/>
              <w:left w:val="nil"/>
              <w:bottom w:val="single" w:sz="4" w:space="0" w:color="808080"/>
              <w:right w:val="nil"/>
            </w:tcBorders>
            <w:shd w:val="clear" w:color="000000" w:fill="FFFFFF"/>
            <w:hideMark/>
          </w:tcPr>
          <w:p w14:paraId="02E21C90"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 xml:space="preserve">After-hours </w:t>
            </w:r>
            <w:r>
              <w:rPr>
                <w:rFonts w:ascii="Arial" w:hAnsi="Arial" w:cs="Arial"/>
                <w:color w:val="000000"/>
                <w:sz w:val="18"/>
                <w:szCs w:val="18"/>
                <w:lang w:eastAsia="en-NZ"/>
              </w:rPr>
              <w:t xml:space="preserve">medical centre </w:t>
            </w:r>
            <w:r w:rsidRPr="000C1A9F">
              <w:rPr>
                <w:rFonts w:ascii="Arial" w:hAnsi="Arial" w:cs="Arial"/>
                <w:color w:val="000000"/>
                <w:sz w:val="18"/>
                <w:szCs w:val="18"/>
                <w:lang w:eastAsia="en-NZ"/>
              </w:rPr>
              <w:t>visit in the past 12</w:t>
            </w:r>
            <w:r w:rsidR="00C20528">
              <w:rPr>
                <w:rFonts w:ascii="Arial" w:hAnsi="Arial" w:cs="Arial"/>
                <w:color w:val="000000"/>
                <w:sz w:val="18"/>
                <w:szCs w:val="18"/>
                <w:lang w:eastAsia="en-NZ"/>
              </w:rPr>
              <w:t> </w:t>
            </w:r>
            <w:r w:rsidRPr="000C1A9F">
              <w:rPr>
                <w:rFonts w:ascii="Arial" w:hAnsi="Arial" w:cs="Arial"/>
                <w:color w:val="000000"/>
                <w:sz w:val="18"/>
                <w:szCs w:val="18"/>
                <w:lang w:eastAsia="en-NZ"/>
              </w:rPr>
              <w:t>months</w:t>
            </w:r>
          </w:p>
        </w:tc>
        <w:tc>
          <w:tcPr>
            <w:tcW w:w="900" w:type="dxa"/>
            <w:tcBorders>
              <w:top w:val="nil"/>
              <w:left w:val="nil"/>
              <w:bottom w:val="single" w:sz="4" w:space="0" w:color="808080"/>
              <w:right w:val="nil"/>
            </w:tcBorders>
            <w:shd w:val="clear" w:color="000000" w:fill="FFFFFF"/>
            <w:hideMark/>
          </w:tcPr>
          <w:p w14:paraId="376E6C12"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11.0</w:t>
            </w:r>
          </w:p>
        </w:tc>
        <w:tc>
          <w:tcPr>
            <w:tcW w:w="940" w:type="dxa"/>
            <w:tcBorders>
              <w:top w:val="nil"/>
              <w:left w:val="nil"/>
              <w:bottom w:val="single" w:sz="4" w:space="0" w:color="808080"/>
              <w:right w:val="nil"/>
            </w:tcBorders>
            <w:shd w:val="clear" w:color="000000" w:fill="FFFFFF"/>
            <w:hideMark/>
          </w:tcPr>
          <w:p w14:paraId="2234CB61"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12.6</w:t>
            </w:r>
          </w:p>
        </w:tc>
        <w:tc>
          <w:tcPr>
            <w:tcW w:w="940" w:type="dxa"/>
            <w:tcBorders>
              <w:top w:val="nil"/>
              <w:left w:val="nil"/>
              <w:bottom w:val="single" w:sz="4" w:space="0" w:color="808080"/>
              <w:right w:val="nil"/>
            </w:tcBorders>
            <w:shd w:val="clear" w:color="000000" w:fill="FFFFFF"/>
            <w:hideMark/>
          </w:tcPr>
          <w:p w14:paraId="5E6B14BD"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0.0</w:t>
            </w:r>
          </w:p>
        </w:tc>
        <w:tc>
          <w:tcPr>
            <w:tcW w:w="1278" w:type="dxa"/>
            <w:tcBorders>
              <w:top w:val="nil"/>
              <w:left w:val="nil"/>
              <w:bottom w:val="single" w:sz="4" w:space="0" w:color="808080"/>
              <w:right w:val="nil"/>
            </w:tcBorders>
            <w:shd w:val="clear" w:color="000000" w:fill="FFFFFF"/>
            <w:hideMark/>
          </w:tcPr>
          <w:p w14:paraId="4D0781F5"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single" w:sz="4" w:space="0" w:color="808080"/>
              <w:right w:val="nil"/>
            </w:tcBorders>
            <w:shd w:val="clear" w:color="000000" w:fill="FFFFFF"/>
            <w:hideMark/>
          </w:tcPr>
          <w:p w14:paraId="3411720A"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6AA631BA" w14:textId="77777777" w:rsidTr="00F07FFD">
        <w:trPr>
          <w:cantSplit/>
        </w:trPr>
        <w:tc>
          <w:tcPr>
            <w:tcW w:w="4020" w:type="dxa"/>
            <w:tcBorders>
              <w:top w:val="nil"/>
              <w:left w:val="nil"/>
              <w:bottom w:val="nil"/>
              <w:right w:val="nil"/>
            </w:tcBorders>
            <w:shd w:val="clear" w:color="000000" w:fill="FFFFFF"/>
            <w:hideMark/>
          </w:tcPr>
          <w:p w14:paraId="612B6D58"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Experienced any unmet need for primary he</w:t>
            </w:r>
            <w:r w:rsidR="00F07FFD">
              <w:rPr>
                <w:rFonts w:ascii="Arial" w:hAnsi="Arial" w:cs="Arial"/>
                <w:color w:val="000000"/>
                <w:sz w:val="18"/>
                <w:szCs w:val="18"/>
                <w:lang w:eastAsia="en-NZ"/>
              </w:rPr>
              <w:t>alth care in the past 12 months</w:t>
            </w:r>
          </w:p>
        </w:tc>
        <w:tc>
          <w:tcPr>
            <w:tcW w:w="900" w:type="dxa"/>
            <w:tcBorders>
              <w:top w:val="nil"/>
              <w:left w:val="nil"/>
              <w:bottom w:val="nil"/>
              <w:right w:val="nil"/>
            </w:tcBorders>
            <w:shd w:val="clear" w:color="000000" w:fill="FFFFFF"/>
            <w:hideMark/>
          </w:tcPr>
          <w:p w14:paraId="5A0EAC2C"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28.8</w:t>
            </w:r>
          </w:p>
        </w:tc>
        <w:tc>
          <w:tcPr>
            <w:tcW w:w="940" w:type="dxa"/>
            <w:tcBorders>
              <w:top w:val="nil"/>
              <w:left w:val="nil"/>
              <w:bottom w:val="nil"/>
              <w:right w:val="nil"/>
            </w:tcBorders>
            <w:shd w:val="clear" w:color="000000" w:fill="FFFFFF"/>
            <w:hideMark/>
          </w:tcPr>
          <w:p w14:paraId="7FF000B4"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26.6</w:t>
            </w:r>
          </w:p>
        </w:tc>
        <w:tc>
          <w:tcPr>
            <w:tcW w:w="940" w:type="dxa"/>
            <w:tcBorders>
              <w:top w:val="nil"/>
              <w:left w:val="nil"/>
              <w:bottom w:val="nil"/>
              <w:right w:val="nil"/>
            </w:tcBorders>
            <w:shd w:val="clear" w:color="000000" w:fill="FFFFFF"/>
            <w:hideMark/>
          </w:tcPr>
          <w:p w14:paraId="3557E8BC"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Pr>
                <w:rFonts w:ascii="Arial" w:hAnsi="Arial" w:cs="Arial"/>
                <w:color w:val="808080"/>
                <w:sz w:val="18"/>
                <w:szCs w:val="18"/>
                <w:lang w:eastAsia="en-NZ"/>
              </w:rPr>
              <w:t>.</w:t>
            </w:r>
          </w:p>
        </w:tc>
        <w:tc>
          <w:tcPr>
            <w:tcW w:w="1278" w:type="dxa"/>
            <w:tcBorders>
              <w:top w:val="nil"/>
              <w:left w:val="nil"/>
              <w:bottom w:val="nil"/>
              <w:right w:val="nil"/>
            </w:tcBorders>
            <w:shd w:val="clear" w:color="000000" w:fill="FFFFFF"/>
            <w:hideMark/>
          </w:tcPr>
          <w:p w14:paraId="08884B24"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6FB76B8F"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451BE4AF" w14:textId="77777777" w:rsidTr="00F07FFD">
        <w:trPr>
          <w:cantSplit/>
        </w:trPr>
        <w:tc>
          <w:tcPr>
            <w:tcW w:w="4020" w:type="dxa"/>
            <w:tcBorders>
              <w:top w:val="nil"/>
              <w:left w:val="nil"/>
              <w:bottom w:val="nil"/>
              <w:right w:val="nil"/>
            </w:tcBorders>
            <w:shd w:val="clear" w:color="000000" w:fill="FFFFFF"/>
            <w:hideMark/>
          </w:tcPr>
          <w:p w14:paraId="04CE9240"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Unable to get an appointment at usual medical centre within 24 hours</w:t>
            </w:r>
          </w:p>
        </w:tc>
        <w:tc>
          <w:tcPr>
            <w:tcW w:w="900" w:type="dxa"/>
            <w:tcBorders>
              <w:top w:val="nil"/>
              <w:left w:val="nil"/>
              <w:bottom w:val="nil"/>
              <w:right w:val="nil"/>
            </w:tcBorders>
            <w:shd w:val="clear" w:color="000000" w:fill="FFFFFF"/>
            <w:hideMark/>
          </w:tcPr>
          <w:p w14:paraId="03CD6763"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17.8</w:t>
            </w:r>
          </w:p>
        </w:tc>
        <w:tc>
          <w:tcPr>
            <w:tcW w:w="940" w:type="dxa"/>
            <w:tcBorders>
              <w:top w:val="nil"/>
              <w:left w:val="nil"/>
              <w:bottom w:val="nil"/>
              <w:right w:val="nil"/>
            </w:tcBorders>
            <w:shd w:val="clear" w:color="000000" w:fill="FFFFFF"/>
            <w:hideMark/>
          </w:tcPr>
          <w:p w14:paraId="7A03F509"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15.5</w:t>
            </w:r>
          </w:p>
        </w:tc>
        <w:tc>
          <w:tcPr>
            <w:tcW w:w="940" w:type="dxa"/>
            <w:tcBorders>
              <w:top w:val="nil"/>
              <w:left w:val="nil"/>
              <w:bottom w:val="nil"/>
              <w:right w:val="nil"/>
            </w:tcBorders>
            <w:shd w:val="clear" w:color="000000" w:fill="FFFFFF"/>
            <w:hideMark/>
          </w:tcPr>
          <w:p w14:paraId="04DC63B1"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17.6</w:t>
            </w:r>
          </w:p>
        </w:tc>
        <w:tc>
          <w:tcPr>
            <w:tcW w:w="1278" w:type="dxa"/>
            <w:tcBorders>
              <w:top w:val="nil"/>
              <w:left w:val="nil"/>
              <w:bottom w:val="nil"/>
              <w:right w:val="nil"/>
            </w:tcBorders>
            <w:shd w:val="clear" w:color="000000" w:fill="FFFFFF"/>
            <w:hideMark/>
          </w:tcPr>
          <w:p w14:paraId="15E935E0"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2EC48B2C"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59209E2C" w14:textId="77777777" w:rsidTr="00F07FFD">
        <w:trPr>
          <w:cantSplit/>
        </w:trPr>
        <w:tc>
          <w:tcPr>
            <w:tcW w:w="4020" w:type="dxa"/>
            <w:tcBorders>
              <w:top w:val="nil"/>
              <w:left w:val="nil"/>
              <w:bottom w:val="nil"/>
              <w:right w:val="nil"/>
            </w:tcBorders>
            <w:shd w:val="clear" w:color="000000" w:fill="FFFFFF"/>
            <w:hideMark/>
          </w:tcPr>
          <w:p w14:paraId="5A20F546"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Unmet need for GP due to cost</w:t>
            </w:r>
          </w:p>
        </w:tc>
        <w:tc>
          <w:tcPr>
            <w:tcW w:w="900" w:type="dxa"/>
            <w:tcBorders>
              <w:top w:val="nil"/>
              <w:left w:val="nil"/>
              <w:bottom w:val="nil"/>
              <w:right w:val="nil"/>
            </w:tcBorders>
            <w:shd w:val="clear" w:color="000000" w:fill="FFFFFF"/>
            <w:hideMark/>
          </w:tcPr>
          <w:p w14:paraId="3D6E6741"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14.3</w:t>
            </w:r>
          </w:p>
        </w:tc>
        <w:tc>
          <w:tcPr>
            <w:tcW w:w="940" w:type="dxa"/>
            <w:tcBorders>
              <w:top w:val="nil"/>
              <w:left w:val="nil"/>
              <w:bottom w:val="nil"/>
              <w:right w:val="nil"/>
            </w:tcBorders>
            <w:shd w:val="clear" w:color="000000" w:fill="FFFFFF"/>
            <w:hideMark/>
          </w:tcPr>
          <w:p w14:paraId="4F7C06DF"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13.6</w:t>
            </w:r>
          </w:p>
        </w:tc>
        <w:tc>
          <w:tcPr>
            <w:tcW w:w="940" w:type="dxa"/>
            <w:tcBorders>
              <w:top w:val="nil"/>
              <w:left w:val="nil"/>
              <w:bottom w:val="nil"/>
              <w:right w:val="nil"/>
            </w:tcBorders>
            <w:shd w:val="clear" w:color="000000" w:fill="FFFFFF"/>
            <w:hideMark/>
          </w:tcPr>
          <w:p w14:paraId="6420862E"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w:t>
            </w:r>
          </w:p>
        </w:tc>
        <w:tc>
          <w:tcPr>
            <w:tcW w:w="1278" w:type="dxa"/>
            <w:tcBorders>
              <w:top w:val="nil"/>
              <w:left w:val="nil"/>
              <w:bottom w:val="nil"/>
              <w:right w:val="nil"/>
            </w:tcBorders>
            <w:shd w:val="clear" w:color="000000" w:fill="FFFFFF"/>
            <w:hideMark/>
          </w:tcPr>
          <w:p w14:paraId="4EC88580"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7DB663D3"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3A508825" w14:textId="77777777" w:rsidTr="00F07FFD">
        <w:trPr>
          <w:cantSplit/>
        </w:trPr>
        <w:tc>
          <w:tcPr>
            <w:tcW w:w="4020" w:type="dxa"/>
            <w:tcBorders>
              <w:top w:val="nil"/>
              <w:left w:val="nil"/>
              <w:bottom w:val="single" w:sz="4" w:space="0" w:color="808080"/>
              <w:right w:val="nil"/>
            </w:tcBorders>
            <w:shd w:val="clear" w:color="000000" w:fill="FFFFFF"/>
            <w:hideMark/>
          </w:tcPr>
          <w:p w14:paraId="5360D606"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Unmet need for after-hours due to cost</w:t>
            </w:r>
          </w:p>
        </w:tc>
        <w:tc>
          <w:tcPr>
            <w:tcW w:w="900" w:type="dxa"/>
            <w:tcBorders>
              <w:top w:val="nil"/>
              <w:left w:val="nil"/>
              <w:bottom w:val="single" w:sz="4" w:space="0" w:color="808080"/>
              <w:right w:val="nil"/>
            </w:tcBorders>
            <w:shd w:val="clear" w:color="000000" w:fill="FFFFFF"/>
            <w:hideMark/>
          </w:tcPr>
          <w:p w14:paraId="44FF8E6E"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6.9</w:t>
            </w:r>
          </w:p>
        </w:tc>
        <w:tc>
          <w:tcPr>
            <w:tcW w:w="940" w:type="dxa"/>
            <w:tcBorders>
              <w:top w:val="nil"/>
              <w:left w:val="nil"/>
              <w:bottom w:val="single" w:sz="4" w:space="0" w:color="808080"/>
              <w:right w:val="nil"/>
            </w:tcBorders>
            <w:shd w:val="clear" w:color="000000" w:fill="FFFFFF"/>
            <w:hideMark/>
          </w:tcPr>
          <w:p w14:paraId="1B07DB2B"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6.7</w:t>
            </w:r>
          </w:p>
        </w:tc>
        <w:tc>
          <w:tcPr>
            <w:tcW w:w="940" w:type="dxa"/>
            <w:tcBorders>
              <w:top w:val="nil"/>
              <w:left w:val="nil"/>
              <w:bottom w:val="single" w:sz="4" w:space="0" w:color="808080"/>
              <w:right w:val="nil"/>
            </w:tcBorders>
            <w:shd w:val="clear" w:color="000000" w:fill="FFFFFF"/>
            <w:hideMark/>
          </w:tcPr>
          <w:p w14:paraId="176FC5DC"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Pr>
                <w:rFonts w:ascii="Arial" w:hAnsi="Arial" w:cs="Arial"/>
                <w:color w:val="808080"/>
                <w:sz w:val="18"/>
                <w:szCs w:val="18"/>
                <w:lang w:eastAsia="en-NZ"/>
              </w:rPr>
              <w:t>.</w:t>
            </w:r>
          </w:p>
        </w:tc>
        <w:tc>
          <w:tcPr>
            <w:tcW w:w="1278" w:type="dxa"/>
            <w:tcBorders>
              <w:top w:val="nil"/>
              <w:left w:val="nil"/>
              <w:bottom w:val="single" w:sz="4" w:space="0" w:color="808080"/>
              <w:right w:val="nil"/>
            </w:tcBorders>
            <w:shd w:val="clear" w:color="000000" w:fill="FFFFFF"/>
            <w:hideMark/>
          </w:tcPr>
          <w:p w14:paraId="3606361B"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single" w:sz="4" w:space="0" w:color="808080"/>
              <w:right w:val="nil"/>
            </w:tcBorders>
            <w:shd w:val="clear" w:color="000000" w:fill="FFFFFF"/>
            <w:hideMark/>
          </w:tcPr>
          <w:p w14:paraId="27567197"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19C94A8C" w14:textId="77777777" w:rsidTr="00F07FFD">
        <w:trPr>
          <w:cantSplit/>
        </w:trPr>
        <w:tc>
          <w:tcPr>
            <w:tcW w:w="4020" w:type="dxa"/>
            <w:tcBorders>
              <w:top w:val="nil"/>
              <w:left w:val="nil"/>
              <w:bottom w:val="single" w:sz="4" w:space="0" w:color="808080"/>
              <w:right w:val="nil"/>
            </w:tcBorders>
            <w:shd w:val="clear" w:color="000000" w:fill="FFFFFF"/>
            <w:hideMark/>
          </w:tcPr>
          <w:p w14:paraId="3E83C88F"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Unfilled prescription due to cost</w:t>
            </w:r>
          </w:p>
        </w:tc>
        <w:tc>
          <w:tcPr>
            <w:tcW w:w="900" w:type="dxa"/>
            <w:tcBorders>
              <w:top w:val="nil"/>
              <w:left w:val="nil"/>
              <w:bottom w:val="single" w:sz="4" w:space="0" w:color="808080"/>
              <w:right w:val="nil"/>
            </w:tcBorders>
            <w:shd w:val="clear" w:color="000000" w:fill="FFFFFF"/>
            <w:hideMark/>
          </w:tcPr>
          <w:p w14:paraId="60B1FCF9"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6.3</w:t>
            </w:r>
          </w:p>
        </w:tc>
        <w:tc>
          <w:tcPr>
            <w:tcW w:w="940" w:type="dxa"/>
            <w:tcBorders>
              <w:top w:val="nil"/>
              <w:left w:val="nil"/>
              <w:bottom w:val="single" w:sz="4" w:space="0" w:color="808080"/>
              <w:right w:val="nil"/>
            </w:tcBorders>
            <w:shd w:val="clear" w:color="000000" w:fill="FFFFFF"/>
            <w:hideMark/>
          </w:tcPr>
          <w:p w14:paraId="2742D34C"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7.2</w:t>
            </w:r>
          </w:p>
        </w:tc>
        <w:tc>
          <w:tcPr>
            <w:tcW w:w="940" w:type="dxa"/>
            <w:tcBorders>
              <w:top w:val="nil"/>
              <w:left w:val="nil"/>
              <w:bottom w:val="single" w:sz="4" w:space="0" w:color="808080"/>
              <w:right w:val="nil"/>
            </w:tcBorders>
            <w:shd w:val="clear" w:color="000000" w:fill="FFFFFF"/>
            <w:hideMark/>
          </w:tcPr>
          <w:p w14:paraId="49B0C13B"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Pr>
                <w:rFonts w:ascii="Arial" w:hAnsi="Arial" w:cs="Arial"/>
                <w:color w:val="808080"/>
                <w:sz w:val="18"/>
                <w:szCs w:val="18"/>
                <w:lang w:eastAsia="en-NZ"/>
              </w:rPr>
              <w:t>.</w:t>
            </w:r>
          </w:p>
        </w:tc>
        <w:tc>
          <w:tcPr>
            <w:tcW w:w="1278" w:type="dxa"/>
            <w:tcBorders>
              <w:top w:val="nil"/>
              <w:left w:val="nil"/>
              <w:bottom w:val="single" w:sz="4" w:space="0" w:color="808080"/>
              <w:right w:val="nil"/>
            </w:tcBorders>
            <w:shd w:val="clear" w:color="000000" w:fill="FFFFFF"/>
            <w:hideMark/>
          </w:tcPr>
          <w:p w14:paraId="1CF1DE3C"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single" w:sz="4" w:space="0" w:color="808080"/>
              <w:right w:val="nil"/>
            </w:tcBorders>
            <w:shd w:val="clear" w:color="000000" w:fill="FFFFFF"/>
            <w:hideMark/>
          </w:tcPr>
          <w:p w14:paraId="05E7698F"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3C9991E6" w14:textId="77777777" w:rsidTr="00F07FFD">
        <w:trPr>
          <w:cantSplit/>
        </w:trPr>
        <w:tc>
          <w:tcPr>
            <w:tcW w:w="4020" w:type="dxa"/>
            <w:tcBorders>
              <w:top w:val="nil"/>
              <w:left w:val="nil"/>
              <w:bottom w:val="single" w:sz="4" w:space="0" w:color="808080"/>
              <w:right w:val="nil"/>
            </w:tcBorders>
            <w:shd w:val="clear" w:color="000000" w:fill="FFFFFF"/>
            <w:hideMark/>
          </w:tcPr>
          <w:p w14:paraId="5A3DAE28" w14:textId="77777777" w:rsidR="00FC0DB8" w:rsidRPr="000C1A9F" w:rsidRDefault="00FC0DB8"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Defi</w:t>
            </w:r>
            <w:r w:rsidR="00C20528">
              <w:rPr>
                <w:rFonts w:ascii="Arial" w:hAnsi="Arial" w:cs="Arial"/>
                <w:color w:val="000000"/>
                <w:sz w:val="18"/>
                <w:szCs w:val="18"/>
                <w:lang w:eastAsia="en-NZ"/>
              </w:rPr>
              <w:t>nite confidence and trust in GP</w:t>
            </w:r>
          </w:p>
        </w:tc>
        <w:tc>
          <w:tcPr>
            <w:tcW w:w="900" w:type="dxa"/>
            <w:tcBorders>
              <w:top w:val="nil"/>
              <w:left w:val="nil"/>
              <w:bottom w:val="single" w:sz="4" w:space="0" w:color="808080"/>
              <w:right w:val="nil"/>
            </w:tcBorders>
            <w:shd w:val="clear" w:color="000000" w:fill="FFFFFF"/>
            <w:hideMark/>
          </w:tcPr>
          <w:p w14:paraId="0B4F1172"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79.2</w:t>
            </w:r>
          </w:p>
        </w:tc>
        <w:tc>
          <w:tcPr>
            <w:tcW w:w="940" w:type="dxa"/>
            <w:tcBorders>
              <w:top w:val="nil"/>
              <w:left w:val="nil"/>
              <w:bottom w:val="single" w:sz="4" w:space="0" w:color="808080"/>
              <w:right w:val="nil"/>
            </w:tcBorders>
            <w:shd w:val="clear" w:color="000000" w:fill="FFFFFF"/>
            <w:hideMark/>
          </w:tcPr>
          <w:p w14:paraId="735CFEE1"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84.2</w:t>
            </w:r>
          </w:p>
        </w:tc>
        <w:tc>
          <w:tcPr>
            <w:tcW w:w="940" w:type="dxa"/>
            <w:tcBorders>
              <w:top w:val="nil"/>
              <w:left w:val="nil"/>
              <w:bottom w:val="single" w:sz="4" w:space="0" w:color="808080"/>
              <w:right w:val="nil"/>
            </w:tcBorders>
            <w:shd w:val="clear" w:color="000000" w:fill="FFFFFF"/>
            <w:hideMark/>
          </w:tcPr>
          <w:p w14:paraId="51AAEDFB"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Pr>
                <w:rFonts w:ascii="Arial" w:hAnsi="Arial" w:cs="Arial"/>
                <w:color w:val="808080"/>
                <w:sz w:val="18"/>
                <w:szCs w:val="18"/>
                <w:lang w:eastAsia="en-NZ"/>
              </w:rPr>
              <w:t>.</w:t>
            </w:r>
          </w:p>
        </w:tc>
        <w:tc>
          <w:tcPr>
            <w:tcW w:w="1278" w:type="dxa"/>
            <w:tcBorders>
              <w:top w:val="nil"/>
              <w:left w:val="nil"/>
              <w:bottom w:val="single" w:sz="4" w:space="0" w:color="808080"/>
              <w:right w:val="nil"/>
            </w:tcBorders>
            <w:shd w:val="clear" w:color="000000" w:fill="FFFFFF"/>
            <w:hideMark/>
          </w:tcPr>
          <w:p w14:paraId="257893EC"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single" w:sz="4" w:space="0" w:color="808080"/>
              <w:right w:val="nil"/>
            </w:tcBorders>
            <w:shd w:val="clear" w:color="000000" w:fill="FFFFFF"/>
            <w:hideMark/>
          </w:tcPr>
          <w:p w14:paraId="1DCF8121"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62E7C053" w14:textId="77777777" w:rsidTr="00F07FFD">
        <w:trPr>
          <w:cantSplit/>
        </w:trPr>
        <w:tc>
          <w:tcPr>
            <w:tcW w:w="4020" w:type="dxa"/>
            <w:tcBorders>
              <w:top w:val="nil"/>
              <w:left w:val="nil"/>
              <w:bottom w:val="nil"/>
              <w:right w:val="nil"/>
            </w:tcBorders>
            <w:shd w:val="clear" w:color="000000" w:fill="FFFFFF"/>
            <w:hideMark/>
          </w:tcPr>
          <w:p w14:paraId="6A7F0642" w14:textId="77777777" w:rsidR="00FC0DB8" w:rsidRPr="000C1A9F" w:rsidRDefault="00FC0DB8" w:rsidP="00C20528">
            <w:pPr>
              <w:spacing w:before="40" w:after="40" w:line="240" w:lineRule="auto"/>
              <w:rPr>
                <w:rFonts w:ascii="Arial" w:hAnsi="Arial" w:cs="Arial"/>
                <w:b/>
                <w:bCs/>
                <w:sz w:val="18"/>
                <w:szCs w:val="18"/>
                <w:lang w:eastAsia="en-NZ"/>
              </w:rPr>
            </w:pPr>
            <w:r w:rsidRPr="000C1A9F">
              <w:rPr>
                <w:rFonts w:ascii="Arial" w:hAnsi="Arial" w:cs="Arial"/>
                <w:b/>
                <w:bCs/>
                <w:sz w:val="18"/>
                <w:szCs w:val="18"/>
                <w:lang w:eastAsia="en-NZ"/>
              </w:rPr>
              <w:t>Oral health</w:t>
            </w:r>
          </w:p>
        </w:tc>
        <w:tc>
          <w:tcPr>
            <w:tcW w:w="900" w:type="dxa"/>
            <w:tcBorders>
              <w:top w:val="nil"/>
              <w:left w:val="nil"/>
              <w:bottom w:val="nil"/>
              <w:right w:val="nil"/>
            </w:tcBorders>
            <w:shd w:val="clear" w:color="000000" w:fill="FFFFFF"/>
            <w:hideMark/>
          </w:tcPr>
          <w:p w14:paraId="26200CC9" w14:textId="77777777" w:rsidR="00FC0DB8" w:rsidRPr="000C1A9F" w:rsidRDefault="00FC0DB8" w:rsidP="00C20528">
            <w:pPr>
              <w:spacing w:before="40" w:after="40" w:line="240" w:lineRule="auto"/>
              <w:jc w:val="center"/>
              <w:rPr>
                <w:rFonts w:ascii="Arial" w:hAnsi="Arial" w:cs="Arial"/>
                <w:color w:val="000000"/>
                <w:sz w:val="18"/>
                <w:szCs w:val="18"/>
                <w:lang w:eastAsia="en-NZ"/>
              </w:rPr>
            </w:pPr>
          </w:p>
        </w:tc>
        <w:tc>
          <w:tcPr>
            <w:tcW w:w="940" w:type="dxa"/>
            <w:tcBorders>
              <w:top w:val="nil"/>
              <w:left w:val="nil"/>
              <w:bottom w:val="nil"/>
              <w:right w:val="nil"/>
            </w:tcBorders>
            <w:shd w:val="clear" w:color="000000" w:fill="FFFFFF"/>
            <w:hideMark/>
          </w:tcPr>
          <w:p w14:paraId="369749B2" w14:textId="77777777" w:rsidR="00FC0DB8" w:rsidRPr="000C1A9F" w:rsidRDefault="00FC0DB8" w:rsidP="00C20528">
            <w:pPr>
              <w:spacing w:before="40" w:after="40" w:line="240" w:lineRule="auto"/>
              <w:jc w:val="center"/>
              <w:rPr>
                <w:rFonts w:ascii="Arial" w:hAnsi="Arial" w:cs="Arial"/>
                <w:color w:val="808080"/>
                <w:sz w:val="18"/>
                <w:szCs w:val="18"/>
                <w:lang w:eastAsia="en-NZ"/>
              </w:rPr>
            </w:pPr>
          </w:p>
        </w:tc>
        <w:tc>
          <w:tcPr>
            <w:tcW w:w="940" w:type="dxa"/>
            <w:tcBorders>
              <w:top w:val="nil"/>
              <w:left w:val="nil"/>
              <w:bottom w:val="nil"/>
              <w:right w:val="nil"/>
            </w:tcBorders>
            <w:shd w:val="clear" w:color="000000" w:fill="FFFFFF"/>
            <w:hideMark/>
          </w:tcPr>
          <w:p w14:paraId="64F300DD" w14:textId="77777777" w:rsidR="00FC0DB8" w:rsidRPr="000C1A9F" w:rsidRDefault="00FC0DB8" w:rsidP="00C20528">
            <w:pPr>
              <w:spacing w:before="40" w:after="40" w:line="240" w:lineRule="auto"/>
              <w:jc w:val="center"/>
              <w:rPr>
                <w:rFonts w:ascii="Arial" w:hAnsi="Arial" w:cs="Arial"/>
                <w:color w:val="808080"/>
                <w:sz w:val="18"/>
                <w:szCs w:val="18"/>
                <w:lang w:eastAsia="en-NZ"/>
              </w:rPr>
            </w:pPr>
          </w:p>
        </w:tc>
        <w:tc>
          <w:tcPr>
            <w:tcW w:w="1278" w:type="dxa"/>
            <w:tcBorders>
              <w:top w:val="nil"/>
              <w:left w:val="nil"/>
              <w:bottom w:val="nil"/>
              <w:right w:val="nil"/>
            </w:tcBorders>
            <w:shd w:val="clear" w:color="000000" w:fill="FFFFFF"/>
            <w:hideMark/>
          </w:tcPr>
          <w:p w14:paraId="5974F7E6" w14:textId="77777777" w:rsidR="00FC0DB8" w:rsidRPr="000C1A9F" w:rsidRDefault="00FC0DB8" w:rsidP="00C20528">
            <w:pPr>
              <w:spacing w:before="40" w:after="40" w:line="240" w:lineRule="auto"/>
              <w:jc w:val="center"/>
              <w:rPr>
                <w:rFonts w:ascii="Arial" w:hAnsi="Arial" w:cs="Arial"/>
                <w:color w:val="4F81BD"/>
                <w:sz w:val="18"/>
                <w:szCs w:val="18"/>
                <w:lang w:eastAsia="en-NZ"/>
              </w:rPr>
            </w:pPr>
          </w:p>
        </w:tc>
        <w:tc>
          <w:tcPr>
            <w:tcW w:w="1278" w:type="dxa"/>
            <w:tcBorders>
              <w:top w:val="nil"/>
              <w:left w:val="nil"/>
              <w:bottom w:val="nil"/>
              <w:right w:val="nil"/>
            </w:tcBorders>
            <w:shd w:val="clear" w:color="000000" w:fill="FFFFFF"/>
            <w:hideMark/>
          </w:tcPr>
          <w:p w14:paraId="775715AF" w14:textId="77777777" w:rsidR="00FC0DB8" w:rsidRPr="000C1A9F" w:rsidRDefault="00FC0DB8" w:rsidP="00C20528">
            <w:pPr>
              <w:spacing w:before="40" w:after="40" w:line="240" w:lineRule="auto"/>
              <w:jc w:val="center"/>
              <w:rPr>
                <w:rFonts w:ascii="Arial" w:hAnsi="Arial" w:cs="Arial"/>
                <w:color w:val="4F81BD"/>
                <w:sz w:val="18"/>
                <w:szCs w:val="18"/>
                <w:lang w:eastAsia="en-NZ"/>
              </w:rPr>
            </w:pPr>
          </w:p>
        </w:tc>
      </w:tr>
      <w:tr w:rsidR="00FC0DB8" w:rsidRPr="000C1A9F" w14:paraId="48C925CB" w14:textId="77777777" w:rsidTr="00F07FFD">
        <w:trPr>
          <w:cantSplit/>
        </w:trPr>
        <w:tc>
          <w:tcPr>
            <w:tcW w:w="4020" w:type="dxa"/>
            <w:tcBorders>
              <w:top w:val="nil"/>
              <w:left w:val="nil"/>
              <w:bottom w:val="nil"/>
              <w:right w:val="nil"/>
            </w:tcBorders>
            <w:shd w:val="clear" w:color="000000" w:fill="FFFFFF"/>
            <w:hideMark/>
          </w:tcPr>
          <w:p w14:paraId="6FCA23C4" w14:textId="77777777" w:rsidR="00FC0DB8" w:rsidRPr="000C1A9F" w:rsidRDefault="00FC0DB8" w:rsidP="00C20528">
            <w:pPr>
              <w:spacing w:before="40" w:after="40" w:line="240" w:lineRule="auto"/>
              <w:rPr>
                <w:rFonts w:ascii="Arial" w:hAnsi="Arial" w:cs="Arial"/>
                <w:sz w:val="18"/>
                <w:szCs w:val="18"/>
                <w:lang w:eastAsia="en-NZ"/>
              </w:rPr>
            </w:pPr>
            <w:r w:rsidRPr="000C1A9F">
              <w:rPr>
                <w:rFonts w:ascii="Arial" w:hAnsi="Arial" w:cs="Arial"/>
                <w:sz w:val="18"/>
                <w:szCs w:val="18"/>
                <w:lang w:eastAsia="en-NZ"/>
              </w:rPr>
              <w:t>Dental health care worker visit in the past 12</w:t>
            </w:r>
            <w:r w:rsidR="00C20528">
              <w:rPr>
                <w:rFonts w:ascii="Arial" w:hAnsi="Arial" w:cs="Arial"/>
                <w:sz w:val="18"/>
                <w:szCs w:val="18"/>
                <w:lang w:eastAsia="en-NZ"/>
              </w:rPr>
              <w:t> </w:t>
            </w:r>
            <w:r w:rsidRPr="000C1A9F">
              <w:rPr>
                <w:rFonts w:ascii="Arial" w:hAnsi="Arial" w:cs="Arial"/>
                <w:sz w:val="18"/>
                <w:szCs w:val="18"/>
                <w:lang w:eastAsia="en-NZ"/>
              </w:rPr>
              <w:t>months</w:t>
            </w:r>
            <w:r w:rsidRPr="000C1A9F">
              <w:rPr>
                <w:rFonts w:ascii="Arial" w:hAnsi="Arial" w:cs="Arial"/>
                <w:sz w:val="18"/>
                <w:szCs w:val="18"/>
                <w:vertAlign w:val="superscript"/>
                <w:lang w:eastAsia="en-NZ"/>
              </w:rPr>
              <w:t>1</w:t>
            </w:r>
          </w:p>
        </w:tc>
        <w:tc>
          <w:tcPr>
            <w:tcW w:w="900" w:type="dxa"/>
            <w:tcBorders>
              <w:top w:val="nil"/>
              <w:left w:val="nil"/>
              <w:bottom w:val="nil"/>
              <w:right w:val="nil"/>
            </w:tcBorders>
            <w:shd w:val="clear" w:color="000000" w:fill="FFFFFF"/>
            <w:hideMark/>
          </w:tcPr>
          <w:p w14:paraId="38CAFA75"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47.5</w:t>
            </w:r>
          </w:p>
        </w:tc>
        <w:tc>
          <w:tcPr>
            <w:tcW w:w="940" w:type="dxa"/>
            <w:tcBorders>
              <w:top w:val="nil"/>
              <w:left w:val="nil"/>
              <w:bottom w:val="nil"/>
              <w:right w:val="nil"/>
            </w:tcBorders>
            <w:shd w:val="clear" w:color="000000" w:fill="FFFFFF"/>
            <w:hideMark/>
          </w:tcPr>
          <w:p w14:paraId="5DF735D7"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48.9</w:t>
            </w:r>
          </w:p>
        </w:tc>
        <w:tc>
          <w:tcPr>
            <w:tcW w:w="940" w:type="dxa"/>
            <w:tcBorders>
              <w:top w:val="nil"/>
              <w:left w:val="nil"/>
              <w:bottom w:val="nil"/>
              <w:right w:val="nil"/>
            </w:tcBorders>
            <w:shd w:val="clear" w:color="000000" w:fill="FFFFFF"/>
            <w:hideMark/>
          </w:tcPr>
          <w:p w14:paraId="6FD9630D"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51.5</w:t>
            </w:r>
          </w:p>
        </w:tc>
        <w:tc>
          <w:tcPr>
            <w:tcW w:w="1278" w:type="dxa"/>
            <w:tcBorders>
              <w:top w:val="nil"/>
              <w:left w:val="nil"/>
              <w:bottom w:val="nil"/>
              <w:right w:val="nil"/>
            </w:tcBorders>
            <w:shd w:val="clear" w:color="000000" w:fill="FFFFFF"/>
            <w:hideMark/>
          </w:tcPr>
          <w:p w14:paraId="01B9E3C9"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53644573"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62911BA1" w14:textId="77777777" w:rsidTr="00F07FFD">
        <w:trPr>
          <w:cantSplit/>
        </w:trPr>
        <w:tc>
          <w:tcPr>
            <w:tcW w:w="4020" w:type="dxa"/>
            <w:tcBorders>
              <w:top w:val="nil"/>
              <w:left w:val="nil"/>
              <w:bottom w:val="nil"/>
              <w:right w:val="nil"/>
            </w:tcBorders>
            <w:shd w:val="clear" w:color="000000" w:fill="FFFFFF"/>
            <w:hideMark/>
          </w:tcPr>
          <w:p w14:paraId="67BBC57E" w14:textId="77777777" w:rsidR="00FC0DB8" w:rsidRPr="000C1A9F" w:rsidRDefault="00FC0DB8" w:rsidP="00C20528">
            <w:pPr>
              <w:spacing w:before="40" w:after="40" w:line="240" w:lineRule="auto"/>
              <w:rPr>
                <w:rFonts w:ascii="Arial" w:hAnsi="Arial" w:cs="Arial"/>
                <w:sz w:val="18"/>
                <w:szCs w:val="18"/>
                <w:lang w:eastAsia="en-NZ"/>
              </w:rPr>
            </w:pPr>
            <w:r w:rsidRPr="000C1A9F">
              <w:rPr>
                <w:rFonts w:ascii="Arial" w:hAnsi="Arial" w:cs="Arial"/>
                <w:sz w:val="18"/>
                <w:szCs w:val="18"/>
                <w:lang w:eastAsia="en-NZ"/>
              </w:rPr>
              <w:t>Teeth removed due to decay in the past 12</w:t>
            </w:r>
            <w:r w:rsidR="00C20528">
              <w:rPr>
                <w:rFonts w:ascii="Arial" w:hAnsi="Arial" w:cs="Arial"/>
                <w:sz w:val="18"/>
                <w:szCs w:val="18"/>
                <w:lang w:eastAsia="en-NZ"/>
              </w:rPr>
              <w:t> </w:t>
            </w:r>
            <w:r w:rsidR="00F07FFD">
              <w:rPr>
                <w:rFonts w:ascii="Arial" w:hAnsi="Arial" w:cs="Arial"/>
                <w:sz w:val="18"/>
                <w:szCs w:val="18"/>
                <w:lang w:eastAsia="en-NZ"/>
              </w:rPr>
              <w:t>months</w:t>
            </w:r>
          </w:p>
        </w:tc>
        <w:tc>
          <w:tcPr>
            <w:tcW w:w="900" w:type="dxa"/>
            <w:tcBorders>
              <w:top w:val="nil"/>
              <w:left w:val="nil"/>
              <w:bottom w:val="nil"/>
              <w:right w:val="nil"/>
            </w:tcBorders>
            <w:shd w:val="clear" w:color="000000" w:fill="FFFFFF"/>
            <w:hideMark/>
          </w:tcPr>
          <w:p w14:paraId="2994706E"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7.0</w:t>
            </w:r>
          </w:p>
        </w:tc>
        <w:tc>
          <w:tcPr>
            <w:tcW w:w="940" w:type="dxa"/>
            <w:tcBorders>
              <w:top w:val="nil"/>
              <w:left w:val="nil"/>
              <w:bottom w:val="nil"/>
              <w:right w:val="nil"/>
            </w:tcBorders>
            <w:shd w:val="clear" w:color="000000" w:fill="FFFFFF"/>
            <w:hideMark/>
          </w:tcPr>
          <w:p w14:paraId="3EA9F6E4"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7.5</w:t>
            </w:r>
          </w:p>
        </w:tc>
        <w:tc>
          <w:tcPr>
            <w:tcW w:w="940" w:type="dxa"/>
            <w:tcBorders>
              <w:top w:val="nil"/>
              <w:left w:val="nil"/>
              <w:bottom w:val="nil"/>
              <w:right w:val="nil"/>
            </w:tcBorders>
            <w:shd w:val="clear" w:color="000000" w:fill="FFFFFF"/>
            <w:hideMark/>
          </w:tcPr>
          <w:p w14:paraId="197154E2"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w:t>
            </w:r>
          </w:p>
        </w:tc>
        <w:tc>
          <w:tcPr>
            <w:tcW w:w="1278" w:type="dxa"/>
            <w:tcBorders>
              <w:top w:val="nil"/>
              <w:left w:val="nil"/>
              <w:bottom w:val="nil"/>
              <w:right w:val="nil"/>
            </w:tcBorders>
            <w:shd w:val="clear" w:color="000000" w:fill="FFFFFF"/>
            <w:hideMark/>
          </w:tcPr>
          <w:p w14:paraId="2BD22397"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nil"/>
              <w:right w:val="nil"/>
            </w:tcBorders>
            <w:shd w:val="clear" w:color="000000" w:fill="FFFFFF"/>
            <w:hideMark/>
          </w:tcPr>
          <w:p w14:paraId="37AC2841"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1FAEC995" w14:textId="77777777" w:rsidTr="00F07FFD">
        <w:trPr>
          <w:cantSplit/>
        </w:trPr>
        <w:tc>
          <w:tcPr>
            <w:tcW w:w="4020" w:type="dxa"/>
            <w:tcBorders>
              <w:top w:val="nil"/>
              <w:left w:val="nil"/>
              <w:bottom w:val="nil"/>
              <w:right w:val="nil"/>
            </w:tcBorders>
            <w:shd w:val="clear" w:color="000000" w:fill="FFFFFF"/>
            <w:hideMark/>
          </w:tcPr>
          <w:p w14:paraId="73DDDD68" w14:textId="77777777" w:rsidR="00FC0DB8" w:rsidRPr="000C1A9F" w:rsidRDefault="00FC0DB8" w:rsidP="00C20528">
            <w:pPr>
              <w:spacing w:before="40" w:after="40" w:line="240" w:lineRule="auto"/>
              <w:rPr>
                <w:rFonts w:ascii="Arial" w:hAnsi="Arial" w:cs="Arial"/>
                <w:sz w:val="18"/>
                <w:szCs w:val="18"/>
                <w:lang w:eastAsia="en-NZ"/>
              </w:rPr>
            </w:pPr>
            <w:r w:rsidRPr="000C1A9F">
              <w:rPr>
                <w:rFonts w:ascii="Arial" w:hAnsi="Arial" w:cs="Arial"/>
                <w:sz w:val="18"/>
                <w:szCs w:val="18"/>
                <w:lang w:eastAsia="en-NZ"/>
              </w:rPr>
              <w:t>Usually only visits a dental health care worker for dental problems (or never visits)</w:t>
            </w:r>
            <w:r w:rsidRPr="000C1A9F">
              <w:rPr>
                <w:rFonts w:ascii="Arial" w:hAnsi="Arial" w:cs="Arial"/>
                <w:sz w:val="18"/>
                <w:szCs w:val="18"/>
                <w:vertAlign w:val="superscript"/>
                <w:lang w:eastAsia="en-NZ"/>
              </w:rPr>
              <w:t>1</w:t>
            </w:r>
          </w:p>
        </w:tc>
        <w:tc>
          <w:tcPr>
            <w:tcW w:w="900" w:type="dxa"/>
            <w:tcBorders>
              <w:top w:val="nil"/>
              <w:left w:val="nil"/>
              <w:bottom w:val="single" w:sz="4" w:space="0" w:color="808080"/>
              <w:right w:val="nil"/>
            </w:tcBorders>
            <w:shd w:val="clear" w:color="000000" w:fill="FFFFFF"/>
            <w:hideMark/>
          </w:tcPr>
          <w:p w14:paraId="2183CA88" w14:textId="77777777" w:rsidR="00FC0DB8" w:rsidRPr="000C1A9F" w:rsidRDefault="00FC0DB8" w:rsidP="00C20528">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54.5</w:t>
            </w:r>
          </w:p>
        </w:tc>
        <w:tc>
          <w:tcPr>
            <w:tcW w:w="940" w:type="dxa"/>
            <w:tcBorders>
              <w:top w:val="nil"/>
              <w:left w:val="nil"/>
              <w:bottom w:val="single" w:sz="4" w:space="0" w:color="808080"/>
              <w:right w:val="nil"/>
            </w:tcBorders>
            <w:shd w:val="clear" w:color="000000" w:fill="FFFFFF"/>
            <w:hideMark/>
          </w:tcPr>
          <w:p w14:paraId="57FD7EAC"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54.4</w:t>
            </w:r>
          </w:p>
        </w:tc>
        <w:tc>
          <w:tcPr>
            <w:tcW w:w="940" w:type="dxa"/>
            <w:tcBorders>
              <w:top w:val="nil"/>
              <w:left w:val="nil"/>
              <w:bottom w:val="single" w:sz="4" w:space="0" w:color="808080"/>
              <w:right w:val="nil"/>
            </w:tcBorders>
            <w:shd w:val="clear" w:color="000000" w:fill="FFFFFF"/>
            <w:hideMark/>
          </w:tcPr>
          <w:p w14:paraId="32F18053" w14:textId="77777777" w:rsidR="00FC0DB8" w:rsidRPr="000C1A9F" w:rsidRDefault="00FC0DB8" w:rsidP="00C20528">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49.1</w:t>
            </w:r>
          </w:p>
        </w:tc>
        <w:tc>
          <w:tcPr>
            <w:tcW w:w="1278" w:type="dxa"/>
            <w:tcBorders>
              <w:top w:val="nil"/>
              <w:left w:val="nil"/>
              <w:bottom w:val="single" w:sz="4" w:space="0" w:color="808080"/>
              <w:right w:val="nil"/>
            </w:tcBorders>
            <w:shd w:val="clear" w:color="000000" w:fill="FFFFFF"/>
            <w:hideMark/>
          </w:tcPr>
          <w:p w14:paraId="75D4C2F2"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278" w:type="dxa"/>
            <w:tcBorders>
              <w:top w:val="nil"/>
              <w:left w:val="nil"/>
              <w:bottom w:val="single" w:sz="4" w:space="0" w:color="808080"/>
              <w:right w:val="nil"/>
            </w:tcBorders>
            <w:shd w:val="clear" w:color="000000" w:fill="FFFFFF"/>
            <w:hideMark/>
          </w:tcPr>
          <w:p w14:paraId="7E47B319" w14:textId="77777777" w:rsidR="00FC0DB8" w:rsidRPr="000C1A9F" w:rsidRDefault="00FC0DB8" w:rsidP="00C20528">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07FFD" w:rsidRPr="000C1A9F" w14:paraId="590F55D6" w14:textId="77777777" w:rsidTr="00E11C2C">
        <w:trPr>
          <w:cantSplit/>
        </w:trPr>
        <w:tc>
          <w:tcPr>
            <w:tcW w:w="4920" w:type="dxa"/>
            <w:gridSpan w:val="2"/>
            <w:tcBorders>
              <w:top w:val="single" w:sz="4" w:space="0" w:color="auto"/>
              <w:left w:val="nil"/>
              <w:bottom w:val="nil"/>
              <w:right w:val="nil"/>
            </w:tcBorders>
            <w:shd w:val="clear" w:color="000000" w:fill="FFFFFF"/>
            <w:noWrap/>
            <w:hideMark/>
          </w:tcPr>
          <w:p w14:paraId="0F782A94" w14:textId="77777777" w:rsidR="00F07FFD" w:rsidRPr="000C1A9F" w:rsidRDefault="00F07FFD" w:rsidP="00C20528">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Key:</w:t>
            </w:r>
            <w:r>
              <w:rPr>
                <w:rFonts w:ascii="Arial" w:hAnsi="Arial" w:cs="Arial"/>
                <w:color w:val="000000"/>
                <w:sz w:val="18"/>
                <w:szCs w:val="18"/>
                <w:lang w:eastAsia="en-NZ"/>
              </w:rPr>
              <w:tab/>
            </w:r>
            <w:r w:rsidRPr="000C1A9F">
              <w:rPr>
                <w:rFonts w:ascii="Arial" w:hAnsi="Arial" w:cs="Arial"/>
                <w:color w:val="4F81BD"/>
                <w:sz w:val="18"/>
                <w:szCs w:val="18"/>
                <w:lang w:eastAsia="en-NZ"/>
              </w:rPr>
              <w:t>▲</w:t>
            </w:r>
            <w:r w:rsidRPr="000C1A9F">
              <w:rPr>
                <w:rFonts w:ascii="Arial" w:hAnsi="Arial" w:cs="Arial"/>
                <w:color w:val="000000"/>
                <w:sz w:val="18"/>
                <w:szCs w:val="18"/>
                <w:lang w:eastAsia="en-NZ"/>
              </w:rPr>
              <w:t xml:space="preserve"> Statistically significant increase</w:t>
            </w:r>
            <w:r w:rsidRPr="000C1A9F">
              <w:rPr>
                <w:rFonts w:ascii="Arial" w:hAnsi="Arial" w:cs="Arial"/>
                <w:color w:val="000000"/>
                <w:sz w:val="18"/>
                <w:szCs w:val="18"/>
                <w:vertAlign w:val="superscript"/>
                <w:lang w:eastAsia="en-NZ"/>
              </w:rPr>
              <w:t>2</w:t>
            </w:r>
          </w:p>
        </w:tc>
        <w:tc>
          <w:tcPr>
            <w:tcW w:w="4436" w:type="dxa"/>
            <w:gridSpan w:val="4"/>
            <w:tcBorders>
              <w:top w:val="single" w:sz="4" w:space="0" w:color="auto"/>
              <w:left w:val="nil"/>
              <w:bottom w:val="nil"/>
              <w:right w:val="nil"/>
            </w:tcBorders>
            <w:shd w:val="clear" w:color="000000" w:fill="FFFFFF"/>
            <w:noWrap/>
            <w:hideMark/>
          </w:tcPr>
          <w:p w14:paraId="10063441" w14:textId="77777777" w:rsidR="00F07FFD" w:rsidRPr="000C1A9F" w:rsidRDefault="00F07FFD" w:rsidP="00C20528">
            <w:pPr>
              <w:spacing w:before="40" w:after="40" w:line="240" w:lineRule="auto"/>
              <w:rPr>
                <w:rFonts w:ascii="Arial" w:hAnsi="Arial" w:cs="Arial"/>
                <w:color w:val="000000"/>
                <w:sz w:val="18"/>
                <w:szCs w:val="18"/>
                <w:lang w:eastAsia="en-NZ"/>
              </w:rPr>
            </w:pPr>
            <w:r w:rsidRPr="000C1A9F">
              <w:rPr>
                <w:rFonts w:ascii="Arial" w:hAnsi="Arial" w:cs="Arial"/>
                <w:color w:val="4F81BD"/>
                <w:sz w:val="18"/>
                <w:szCs w:val="18"/>
                <w:lang w:eastAsia="en-NZ"/>
              </w:rPr>
              <w:t>=</w:t>
            </w:r>
            <w:r w:rsidRPr="000C1A9F">
              <w:rPr>
                <w:rFonts w:ascii="Arial" w:hAnsi="Arial" w:cs="Arial"/>
                <w:color w:val="000000"/>
                <w:sz w:val="18"/>
                <w:szCs w:val="18"/>
                <w:lang w:eastAsia="en-NZ"/>
              </w:rPr>
              <w:t xml:space="preserve"> No statistically significant change</w:t>
            </w:r>
          </w:p>
        </w:tc>
      </w:tr>
      <w:tr w:rsidR="00C20528" w:rsidRPr="000C1A9F" w14:paraId="64E3FF13" w14:textId="77777777" w:rsidTr="00F07FFD">
        <w:trPr>
          <w:cantSplit/>
        </w:trPr>
        <w:tc>
          <w:tcPr>
            <w:tcW w:w="4920" w:type="dxa"/>
            <w:gridSpan w:val="2"/>
            <w:tcBorders>
              <w:top w:val="nil"/>
              <w:left w:val="nil"/>
              <w:bottom w:val="nil"/>
              <w:right w:val="nil"/>
            </w:tcBorders>
            <w:shd w:val="clear" w:color="000000" w:fill="FFFFFF"/>
            <w:noWrap/>
            <w:hideMark/>
          </w:tcPr>
          <w:p w14:paraId="3C5CE3BC" w14:textId="77777777" w:rsidR="00C20528" w:rsidRPr="000C1A9F" w:rsidRDefault="00C20528" w:rsidP="00C20528">
            <w:pPr>
              <w:spacing w:before="40" w:after="40" w:line="240" w:lineRule="auto"/>
              <w:ind w:left="567"/>
              <w:rPr>
                <w:rFonts w:ascii="Arial" w:hAnsi="Arial" w:cs="Arial"/>
                <w:color w:val="000000"/>
                <w:sz w:val="18"/>
                <w:szCs w:val="18"/>
                <w:lang w:eastAsia="en-NZ"/>
              </w:rPr>
            </w:pPr>
            <w:r w:rsidRPr="000C1A9F">
              <w:rPr>
                <w:rFonts w:ascii="Arial" w:hAnsi="Arial" w:cs="Arial"/>
                <w:color w:val="4F81BD"/>
                <w:sz w:val="18"/>
                <w:szCs w:val="18"/>
                <w:lang w:eastAsia="en-NZ"/>
              </w:rPr>
              <w:t>▼</w:t>
            </w:r>
            <w:r w:rsidRPr="000C1A9F">
              <w:rPr>
                <w:rFonts w:ascii="Arial" w:hAnsi="Arial" w:cs="Arial"/>
                <w:color w:val="000000"/>
                <w:sz w:val="18"/>
                <w:szCs w:val="18"/>
                <w:lang w:eastAsia="en-NZ"/>
              </w:rPr>
              <w:t xml:space="preserve"> Statistically significant decrease</w:t>
            </w:r>
            <w:r w:rsidRPr="000C1A9F">
              <w:rPr>
                <w:rFonts w:ascii="Arial" w:hAnsi="Arial" w:cs="Arial"/>
                <w:color w:val="000000"/>
                <w:sz w:val="18"/>
                <w:szCs w:val="18"/>
                <w:vertAlign w:val="superscript"/>
                <w:lang w:eastAsia="en-NZ"/>
              </w:rPr>
              <w:t>2</w:t>
            </w:r>
          </w:p>
        </w:tc>
        <w:tc>
          <w:tcPr>
            <w:tcW w:w="4436" w:type="dxa"/>
            <w:gridSpan w:val="4"/>
            <w:tcBorders>
              <w:top w:val="nil"/>
              <w:left w:val="nil"/>
              <w:bottom w:val="nil"/>
              <w:right w:val="nil"/>
            </w:tcBorders>
            <w:shd w:val="clear" w:color="000000" w:fill="FFFFFF"/>
            <w:noWrap/>
            <w:hideMark/>
          </w:tcPr>
          <w:p w14:paraId="529979D7" w14:textId="77777777" w:rsidR="00C20528" w:rsidRPr="000C1A9F" w:rsidRDefault="00C20528" w:rsidP="00C20528">
            <w:pPr>
              <w:spacing w:before="40" w:after="40" w:line="240" w:lineRule="auto"/>
              <w:rPr>
                <w:rFonts w:ascii="Arial" w:hAnsi="Arial" w:cs="Arial"/>
                <w:color w:val="000000"/>
                <w:sz w:val="18"/>
                <w:szCs w:val="18"/>
                <w:lang w:eastAsia="en-NZ"/>
              </w:rPr>
            </w:pPr>
            <w:r w:rsidRPr="000C1A9F">
              <w:rPr>
                <w:rFonts w:ascii="Arial" w:hAnsi="Arial" w:cs="Arial"/>
                <w:color w:val="4F81BD"/>
                <w:sz w:val="18"/>
                <w:szCs w:val="18"/>
                <w:lang w:eastAsia="en-NZ"/>
              </w:rPr>
              <w:t xml:space="preserve">. </w:t>
            </w:r>
            <w:r w:rsidRPr="000C1A9F">
              <w:rPr>
                <w:rFonts w:ascii="Arial" w:hAnsi="Arial" w:cs="Arial"/>
                <w:color w:val="000000"/>
                <w:sz w:val="18"/>
                <w:szCs w:val="18"/>
                <w:lang w:eastAsia="en-NZ"/>
              </w:rPr>
              <w:t>Data not available</w:t>
            </w:r>
          </w:p>
        </w:tc>
      </w:tr>
      <w:tr w:rsidR="00F07FFD" w:rsidRPr="000C1A9F" w14:paraId="13AB3C5D" w14:textId="77777777" w:rsidTr="00F07FFD">
        <w:trPr>
          <w:cantSplit/>
        </w:trPr>
        <w:tc>
          <w:tcPr>
            <w:tcW w:w="9356" w:type="dxa"/>
            <w:gridSpan w:val="6"/>
            <w:tcBorders>
              <w:top w:val="nil"/>
              <w:left w:val="nil"/>
              <w:bottom w:val="nil"/>
              <w:right w:val="nil"/>
            </w:tcBorders>
            <w:shd w:val="clear" w:color="000000" w:fill="FFFFFF"/>
            <w:hideMark/>
          </w:tcPr>
          <w:p w14:paraId="19BD712B" w14:textId="77777777" w:rsidR="00F07FFD" w:rsidRPr="000C1A9F" w:rsidRDefault="00F07FFD" w:rsidP="00F07FFD">
            <w:pPr>
              <w:spacing w:before="40" w:after="40" w:line="240" w:lineRule="auto"/>
              <w:ind w:left="284" w:hanging="284"/>
              <w:rPr>
                <w:rFonts w:ascii="Arial" w:hAnsi="Arial" w:cs="Arial"/>
                <w:color w:val="000000"/>
                <w:sz w:val="18"/>
                <w:szCs w:val="18"/>
                <w:lang w:eastAsia="en-NZ"/>
              </w:rPr>
            </w:pPr>
            <w:r w:rsidRPr="000C1A9F">
              <w:rPr>
                <w:rFonts w:ascii="Arial" w:hAnsi="Arial" w:cs="Arial"/>
                <w:color w:val="000000"/>
                <w:sz w:val="18"/>
                <w:szCs w:val="18"/>
                <w:lang w:eastAsia="en-NZ"/>
              </w:rPr>
              <w:t>1</w:t>
            </w:r>
            <w:r>
              <w:rPr>
                <w:rFonts w:ascii="Arial" w:hAnsi="Arial" w:cs="Arial"/>
                <w:color w:val="000000"/>
                <w:sz w:val="18"/>
                <w:szCs w:val="18"/>
                <w:lang w:eastAsia="en-NZ"/>
              </w:rPr>
              <w:tab/>
            </w:r>
            <w:r w:rsidRPr="000C1A9F">
              <w:rPr>
                <w:rFonts w:ascii="Arial" w:hAnsi="Arial" w:cs="Arial"/>
                <w:color w:val="000000"/>
                <w:sz w:val="18"/>
                <w:szCs w:val="18"/>
                <w:lang w:eastAsia="en-NZ"/>
              </w:rPr>
              <w:t>Among adults with natural teeth</w:t>
            </w:r>
            <w:r>
              <w:rPr>
                <w:rFonts w:ascii="Arial" w:hAnsi="Arial" w:cs="Arial"/>
                <w:color w:val="000000"/>
                <w:sz w:val="18"/>
                <w:szCs w:val="18"/>
                <w:lang w:eastAsia="en-NZ"/>
              </w:rPr>
              <w:t>.</w:t>
            </w:r>
          </w:p>
        </w:tc>
      </w:tr>
      <w:tr w:rsidR="00F07FFD" w:rsidRPr="000C1A9F" w14:paraId="0C910287" w14:textId="77777777" w:rsidTr="00F07FFD">
        <w:trPr>
          <w:cantSplit/>
        </w:trPr>
        <w:tc>
          <w:tcPr>
            <w:tcW w:w="9356" w:type="dxa"/>
            <w:gridSpan w:val="6"/>
            <w:tcBorders>
              <w:top w:val="nil"/>
              <w:left w:val="nil"/>
              <w:bottom w:val="single" w:sz="4" w:space="0" w:color="auto"/>
              <w:right w:val="nil"/>
            </w:tcBorders>
            <w:shd w:val="clear" w:color="000000" w:fill="FFFFFF"/>
            <w:noWrap/>
            <w:hideMark/>
          </w:tcPr>
          <w:p w14:paraId="2B37890A" w14:textId="77777777" w:rsidR="00F07FFD" w:rsidRPr="000C1A9F" w:rsidRDefault="00F07FFD" w:rsidP="00F07FFD">
            <w:pPr>
              <w:spacing w:before="40" w:after="40" w:line="240" w:lineRule="auto"/>
              <w:ind w:left="284" w:hanging="284"/>
              <w:rPr>
                <w:rFonts w:ascii="Arial" w:hAnsi="Arial" w:cs="Arial"/>
                <w:color w:val="000000"/>
                <w:sz w:val="18"/>
                <w:szCs w:val="18"/>
                <w:lang w:eastAsia="en-NZ"/>
              </w:rPr>
            </w:pPr>
            <w:r w:rsidRPr="000C1A9F">
              <w:rPr>
                <w:rFonts w:ascii="Arial" w:hAnsi="Arial" w:cs="Arial"/>
                <w:color w:val="000000"/>
                <w:sz w:val="18"/>
                <w:szCs w:val="18"/>
                <w:lang w:eastAsia="en-NZ"/>
              </w:rPr>
              <w:t>2</w:t>
            </w:r>
            <w:r>
              <w:rPr>
                <w:rFonts w:ascii="Arial" w:hAnsi="Arial" w:cs="Arial"/>
                <w:color w:val="000000"/>
                <w:sz w:val="18"/>
                <w:szCs w:val="18"/>
                <w:lang w:eastAsia="en-NZ"/>
              </w:rPr>
              <w:tab/>
            </w:r>
            <w:r w:rsidRPr="000C1A9F">
              <w:rPr>
                <w:rFonts w:ascii="Arial" w:hAnsi="Arial" w:cs="Arial"/>
                <w:color w:val="000000"/>
                <w:sz w:val="18"/>
                <w:szCs w:val="18"/>
                <w:lang w:eastAsia="en-NZ"/>
              </w:rPr>
              <w:t>The significance (</w:t>
            </w:r>
            <w:r w:rsidRPr="00786F6C">
              <w:rPr>
                <w:rFonts w:ascii="Arial" w:hAnsi="Arial" w:cs="Arial"/>
                <w:i/>
                <w:color w:val="000000"/>
                <w:sz w:val="18"/>
                <w:szCs w:val="18"/>
                <w:lang w:eastAsia="en-NZ"/>
              </w:rPr>
              <w:t>p</w:t>
            </w:r>
            <w:r w:rsidRPr="000C1A9F">
              <w:rPr>
                <w:rFonts w:ascii="Arial" w:hAnsi="Arial" w:cs="Arial"/>
                <w:color w:val="000000"/>
                <w:sz w:val="18"/>
                <w:szCs w:val="18"/>
                <w:lang w:eastAsia="en-NZ"/>
              </w:rPr>
              <w:t>-values) of differences between years is based on age-standardised rates</w:t>
            </w:r>
            <w:r>
              <w:rPr>
                <w:rFonts w:ascii="Arial" w:hAnsi="Arial" w:cs="Arial"/>
                <w:color w:val="000000"/>
                <w:sz w:val="18"/>
                <w:szCs w:val="18"/>
                <w:lang w:eastAsia="en-NZ"/>
              </w:rPr>
              <w:t>.</w:t>
            </w:r>
          </w:p>
        </w:tc>
      </w:tr>
    </w:tbl>
    <w:p w14:paraId="321AA9DE" w14:textId="77777777" w:rsidR="00FC0DB8" w:rsidRDefault="00FC0DB8" w:rsidP="00F07FFD"/>
    <w:p w14:paraId="43F385A9" w14:textId="77777777" w:rsidR="00FC0DB8" w:rsidRDefault="00FC0DB8" w:rsidP="00F07FFD">
      <w:pPr>
        <w:pStyle w:val="Table"/>
      </w:pPr>
      <w:bookmarkStart w:id="49" w:name="_Toc466618813"/>
      <w:bookmarkStart w:id="50" w:name="_Toc467831558"/>
      <w:r w:rsidRPr="00255D19">
        <w:lastRenderedPageBreak/>
        <w:t xml:space="preserve">Table </w:t>
      </w:r>
      <w:r>
        <w:t>4</w:t>
      </w:r>
      <w:r w:rsidRPr="00255D19">
        <w:t>:</w:t>
      </w:r>
      <w:r w:rsidR="00F07FFD">
        <w:t xml:space="preserve"> </w:t>
      </w:r>
      <w:r w:rsidRPr="00255D19">
        <w:t xml:space="preserve">Key </w:t>
      </w:r>
      <w:r w:rsidRPr="00491611">
        <w:t>s</w:t>
      </w:r>
      <w:r w:rsidRPr="00C03EA3">
        <w:t>urvey results for Māori adults</w:t>
      </w:r>
      <w:bookmarkEnd w:id="46"/>
      <w:bookmarkEnd w:id="49"/>
      <w:bookmarkEnd w:id="50"/>
    </w:p>
    <w:tbl>
      <w:tblPr>
        <w:tblW w:w="9464" w:type="dxa"/>
        <w:tblInd w:w="57" w:type="dxa"/>
        <w:tblLayout w:type="fixed"/>
        <w:tblCellMar>
          <w:left w:w="57" w:type="dxa"/>
          <w:right w:w="57" w:type="dxa"/>
        </w:tblCellMar>
        <w:tblLook w:val="04A0" w:firstRow="1" w:lastRow="0" w:firstColumn="1" w:lastColumn="0" w:noHBand="0" w:noVBand="1"/>
      </w:tblPr>
      <w:tblGrid>
        <w:gridCol w:w="4020"/>
        <w:gridCol w:w="900"/>
        <w:gridCol w:w="940"/>
        <w:gridCol w:w="940"/>
        <w:gridCol w:w="1332"/>
        <w:gridCol w:w="1332"/>
      </w:tblGrid>
      <w:tr w:rsidR="00FC0DB8" w:rsidRPr="000C1A9F" w14:paraId="7C5ACCB9" w14:textId="77777777" w:rsidTr="00F07FFD">
        <w:trPr>
          <w:cantSplit/>
        </w:trPr>
        <w:tc>
          <w:tcPr>
            <w:tcW w:w="4020" w:type="dxa"/>
            <w:tcBorders>
              <w:top w:val="single" w:sz="4" w:space="0" w:color="auto"/>
              <w:left w:val="nil"/>
              <w:bottom w:val="single" w:sz="4" w:space="0" w:color="auto"/>
              <w:right w:val="nil"/>
            </w:tcBorders>
            <w:shd w:val="clear" w:color="000000" w:fill="FFFFFF"/>
            <w:hideMark/>
          </w:tcPr>
          <w:p w14:paraId="705B8054" w14:textId="77777777" w:rsidR="00FC0DB8" w:rsidRPr="000C1A9F" w:rsidRDefault="00FC0DB8" w:rsidP="00F07FFD">
            <w:pPr>
              <w:keepNext/>
              <w:spacing w:before="40" w:after="40" w:line="240" w:lineRule="auto"/>
              <w:rPr>
                <w:rFonts w:ascii="Arial" w:hAnsi="Arial" w:cs="Arial"/>
                <w:b/>
                <w:bCs/>
                <w:color w:val="000000"/>
                <w:sz w:val="18"/>
                <w:szCs w:val="18"/>
                <w:lang w:eastAsia="en-NZ"/>
              </w:rPr>
            </w:pPr>
            <w:bookmarkStart w:id="51" w:name="_Toc435784751"/>
            <w:r w:rsidRPr="000C1A9F">
              <w:rPr>
                <w:rFonts w:ascii="Arial" w:hAnsi="Arial" w:cs="Arial"/>
                <w:b/>
                <w:bCs/>
                <w:color w:val="000000"/>
                <w:sz w:val="18"/>
                <w:szCs w:val="18"/>
                <w:lang w:eastAsia="en-NZ"/>
              </w:rPr>
              <w:t>Indicator</w:t>
            </w:r>
          </w:p>
        </w:tc>
        <w:tc>
          <w:tcPr>
            <w:tcW w:w="900" w:type="dxa"/>
            <w:tcBorders>
              <w:top w:val="single" w:sz="4" w:space="0" w:color="auto"/>
              <w:left w:val="nil"/>
              <w:bottom w:val="single" w:sz="4" w:space="0" w:color="auto"/>
              <w:right w:val="nil"/>
            </w:tcBorders>
            <w:shd w:val="clear" w:color="000000" w:fill="FFFFFF"/>
            <w:hideMark/>
          </w:tcPr>
          <w:p w14:paraId="015711DA" w14:textId="77777777" w:rsidR="00FC0DB8" w:rsidRPr="000C1A9F" w:rsidRDefault="00FC0DB8" w:rsidP="00F07FFD">
            <w:pPr>
              <w:keepNext/>
              <w:spacing w:before="40" w:after="40" w:line="240" w:lineRule="auto"/>
              <w:jc w:val="center"/>
              <w:rPr>
                <w:rFonts w:ascii="Arial" w:hAnsi="Arial" w:cs="Arial"/>
                <w:b/>
                <w:bCs/>
                <w:color w:val="000000"/>
                <w:sz w:val="18"/>
                <w:szCs w:val="18"/>
                <w:lang w:eastAsia="en-NZ"/>
              </w:rPr>
            </w:pPr>
            <w:r w:rsidRPr="000C1A9F">
              <w:rPr>
                <w:rFonts w:ascii="Arial" w:hAnsi="Arial" w:cs="Arial"/>
                <w:b/>
                <w:bCs/>
                <w:color w:val="000000"/>
                <w:sz w:val="18"/>
                <w:szCs w:val="18"/>
                <w:lang w:eastAsia="en-NZ"/>
              </w:rPr>
              <w:t>Percent 2015/16</w:t>
            </w:r>
          </w:p>
        </w:tc>
        <w:tc>
          <w:tcPr>
            <w:tcW w:w="940" w:type="dxa"/>
            <w:tcBorders>
              <w:top w:val="single" w:sz="4" w:space="0" w:color="auto"/>
              <w:left w:val="nil"/>
              <w:bottom w:val="single" w:sz="4" w:space="0" w:color="auto"/>
              <w:right w:val="nil"/>
            </w:tcBorders>
            <w:shd w:val="clear" w:color="000000" w:fill="FFFFFF"/>
            <w:hideMark/>
          </w:tcPr>
          <w:p w14:paraId="04548B13" w14:textId="77777777" w:rsidR="00FC0DB8" w:rsidRPr="000C1A9F" w:rsidRDefault="00FC0DB8" w:rsidP="00F07FFD">
            <w:pPr>
              <w:keepNext/>
              <w:spacing w:before="40" w:after="40" w:line="240" w:lineRule="auto"/>
              <w:jc w:val="center"/>
              <w:rPr>
                <w:rFonts w:ascii="Arial" w:hAnsi="Arial" w:cs="Arial"/>
                <w:b/>
                <w:bCs/>
                <w:color w:val="808080"/>
                <w:sz w:val="18"/>
                <w:szCs w:val="18"/>
                <w:lang w:eastAsia="en-NZ"/>
              </w:rPr>
            </w:pPr>
            <w:r w:rsidRPr="000C1A9F">
              <w:rPr>
                <w:rFonts w:ascii="Arial" w:hAnsi="Arial" w:cs="Arial"/>
                <w:b/>
                <w:bCs/>
                <w:color w:val="808080"/>
                <w:sz w:val="18"/>
                <w:szCs w:val="18"/>
                <w:lang w:eastAsia="en-NZ"/>
              </w:rPr>
              <w:t>Percent 2011/12</w:t>
            </w:r>
          </w:p>
        </w:tc>
        <w:tc>
          <w:tcPr>
            <w:tcW w:w="940" w:type="dxa"/>
            <w:tcBorders>
              <w:top w:val="single" w:sz="4" w:space="0" w:color="auto"/>
              <w:left w:val="nil"/>
              <w:bottom w:val="single" w:sz="4" w:space="0" w:color="auto"/>
              <w:right w:val="nil"/>
            </w:tcBorders>
            <w:shd w:val="clear" w:color="000000" w:fill="FFFFFF"/>
            <w:hideMark/>
          </w:tcPr>
          <w:p w14:paraId="3A681831" w14:textId="77777777" w:rsidR="00FC0DB8" w:rsidRPr="000C1A9F" w:rsidRDefault="00FC0DB8" w:rsidP="00F07FFD">
            <w:pPr>
              <w:keepNext/>
              <w:spacing w:before="40" w:after="40" w:line="240" w:lineRule="auto"/>
              <w:jc w:val="center"/>
              <w:rPr>
                <w:rFonts w:ascii="Arial" w:hAnsi="Arial" w:cs="Arial"/>
                <w:b/>
                <w:bCs/>
                <w:color w:val="808080"/>
                <w:sz w:val="18"/>
                <w:szCs w:val="18"/>
                <w:lang w:eastAsia="en-NZ"/>
              </w:rPr>
            </w:pPr>
            <w:r w:rsidRPr="000C1A9F">
              <w:rPr>
                <w:rFonts w:ascii="Arial" w:hAnsi="Arial" w:cs="Arial"/>
                <w:b/>
                <w:bCs/>
                <w:color w:val="808080"/>
                <w:sz w:val="18"/>
                <w:szCs w:val="18"/>
                <w:lang w:eastAsia="en-NZ"/>
              </w:rPr>
              <w:t>Percent 2006/07</w:t>
            </w:r>
          </w:p>
        </w:tc>
        <w:tc>
          <w:tcPr>
            <w:tcW w:w="1332" w:type="dxa"/>
            <w:tcBorders>
              <w:top w:val="single" w:sz="4" w:space="0" w:color="auto"/>
              <w:left w:val="nil"/>
              <w:bottom w:val="single" w:sz="4" w:space="0" w:color="auto"/>
              <w:right w:val="nil"/>
            </w:tcBorders>
            <w:shd w:val="clear" w:color="000000" w:fill="FFFFFF"/>
            <w:hideMark/>
          </w:tcPr>
          <w:p w14:paraId="4674EF4B" w14:textId="77777777" w:rsidR="00FC0DB8" w:rsidRPr="000C1A9F" w:rsidRDefault="00FC0DB8" w:rsidP="00F07FFD">
            <w:pPr>
              <w:keepNext/>
              <w:spacing w:before="40" w:after="40" w:line="240" w:lineRule="auto"/>
              <w:jc w:val="center"/>
              <w:rPr>
                <w:rFonts w:ascii="Arial" w:hAnsi="Arial" w:cs="Arial"/>
                <w:b/>
                <w:bCs/>
                <w:color w:val="000000"/>
                <w:sz w:val="18"/>
                <w:szCs w:val="18"/>
                <w:lang w:eastAsia="en-NZ"/>
              </w:rPr>
            </w:pPr>
            <w:r w:rsidRPr="000C1A9F">
              <w:rPr>
                <w:rFonts w:ascii="Arial" w:hAnsi="Arial" w:cs="Arial"/>
                <w:b/>
                <w:bCs/>
                <w:color w:val="000000"/>
                <w:sz w:val="18"/>
                <w:szCs w:val="18"/>
                <w:lang w:eastAsia="en-NZ"/>
              </w:rPr>
              <w:t>Change</w:t>
            </w:r>
            <w:r w:rsidR="00FD6712">
              <w:rPr>
                <w:rFonts w:ascii="Arial" w:hAnsi="Arial" w:cs="Arial"/>
                <w:b/>
                <w:bCs/>
                <w:color w:val="000000"/>
                <w:sz w:val="18"/>
                <w:szCs w:val="18"/>
                <w:lang w:eastAsia="en-NZ"/>
              </w:rPr>
              <w:t xml:space="preserve"> </w:t>
            </w:r>
            <w:r w:rsidRPr="000C1A9F">
              <w:rPr>
                <w:rFonts w:ascii="Arial" w:hAnsi="Arial" w:cs="Arial"/>
                <w:b/>
                <w:bCs/>
                <w:color w:val="000000"/>
                <w:sz w:val="18"/>
                <w:szCs w:val="18"/>
                <w:lang w:eastAsia="en-NZ"/>
              </w:rPr>
              <w:t>since 2011/12</w:t>
            </w:r>
          </w:p>
        </w:tc>
        <w:tc>
          <w:tcPr>
            <w:tcW w:w="1332" w:type="dxa"/>
            <w:tcBorders>
              <w:top w:val="single" w:sz="4" w:space="0" w:color="auto"/>
              <w:left w:val="nil"/>
              <w:bottom w:val="single" w:sz="4" w:space="0" w:color="auto"/>
              <w:right w:val="nil"/>
            </w:tcBorders>
            <w:shd w:val="clear" w:color="000000" w:fill="FFFFFF"/>
            <w:hideMark/>
          </w:tcPr>
          <w:p w14:paraId="0F0CE285" w14:textId="77777777" w:rsidR="00FC0DB8" w:rsidRPr="000C1A9F" w:rsidRDefault="00FC0DB8" w:rsidP="00F07FFD">
            <w:pPr>
              <w:keepNext/>
              <w:spacing w:before="40" w:after="40" w:line="240" w:lineRule="auto"/>
              <w:jc w:val="center"/>
              <w:rPr>
                <w:rFonts w:ascii="Arial" w:hAnsi="Arial" w:cs="Arial"/>
                <w:b/>
                <w:bCs/>
                <w:color w:val="000000"/>
                <w:sz w:val="18"/>
                <w:szCs w:val="18"/>
                <w:lang w:eastAsia="en-NZ"/>
              </w:rPr>
            </w:pPr>
            <w:r w:rsidRPr="000C1A9F">
              <w:rPr>
                <w:rFonts w:ascii="Arial" w:hAnsi="Arial" w:cs="Arial"/>
                <w:b/>
                <w:bCs/>
                <w:color w:val="000000"/>
                <w:sz w:val="18"/>
                <w:szCs w:val="18"/>
                <w:lang w:eastAsia="en-NZ"/>
              </w:rPr>
              <w:t>Change</w:t>
            </w:r>
            <w:r w:rsidR="00FD6712">
              <w:rPr>
                <w:rFonts w:ascii="Arial" w:hAnsi="Arial" w:cs="Arial"/>
                <w:b/>
                <w:bCs/>
                <w:color w:val="000000"/>
                <w:sz w:val="18"/>
                <w:szCs w:val="18"/>
                <w:lang w:eastAsia="en-NZ"/>
              </w:rPr>
              <w:t xml:space="preserve"> </w:t>
            </w:r>
            <w:r w:rsidRPr="000C1A9F">
              <w:rPr>
                <w:rFonts w:ascii="Arial" w:hAnsi="Arial" w:cs="Arial"/>
                <w:b/>
                <w:bCs/>
                <w:color w:val="000000"/>
                <w:sz w:val="18"/>
                <w:szCs w:val="18"/>
                <w:lang w:eastAsia="en-NZ"/>
              </w:rPr>
              <w:t>since 2006/07</w:t>
            </w:r>
          </w:p>
        </w:tc>
      </w:tr>
      <w:tr w:rsidR="00FC0DB8" w:rsidRPr="000C1A9F" w14:paraId="39ABE2AE" w14:textId="77777777" w:rsidTr="00F07FFD">
        <w:trPr>
          <w:cantSplit/>
        </w:trPr>
        <w:tc>
          <w:tcPr>
            <w:tcW w:w="4020" w:type="dxa"/>
            <w:tcBorders>
              <w:top w:val="nil"/>
              <w:left w:val="nil"/>
              <w:bottom w:val="nil"/>
              <w:right w:val="nil"/>
            </w:tcBorders>
            <w:shd w:val="clear" w:color="000000" w:fill="FFFFFF"/>
            <w:vAlign w:val="bottom"/>
            <w:hideMark/>
          </w:tcPr>
          <w:p w14:paraId="426CCF31" w14:textId="77777777" w:rsidR="00FC0DB8" w:rsidRPr="000C1A9F" w:rsidRDefault="00FC0DB8" w:rsidP="00F07FFD">
            <w:pPr>
              <w:spacing w:before="40" w:after="40" w:line="240" w:lineRule="auto"/>
              <w:rPr>
                <w:rFonts w:ascii="Arial" w:hAnsi="Arial" w:cs="Arial"/>
                <w:b/>
                <w:bCs/>
                <w:sz w:val="18"/>
                <w:szCs w:val="18"/>
                <w:lang w:eastAsia="en-NZ"/>
              </w:rPr>
            </w:pPr>
            <w:r w:rsidRPr="000C1A9F">
              <w:rPr>
                <w:rFonts w:ascii="Arial" w:hAnsi="Arial" w:cs="Arial"/>
                <w:b/>
                <w:bCs/>
                <w:sz w:val="18"/>
                <w:szCs w:val="18"/>
                <w:lang w:eastAsia="en-NZ"/>
              </w:rPr>
              <w:t>Health status, health behaviours and risk factors</w:t>
            </w:r>
          </w:p>
        </w:tc>
        <w:tc>
          <w:tcPr>
            <w:tcW w:w="900" w:type="dxa"/>
            <w:tcBorders>
              <w:top w:val="nil"/>
              <w:left w:val="nil"/>
              <w:bottom w:val="nil"/>
              <w:right w:val="nil"/>
            </w:tcBorders>
            <w:shd w:val="clear" w:color="000000" w:fill="FFFFFF"/>
          </w:tcPr>
          <w:p w14:paraId="6355598C" w14:textId="77777777" w:rsidR="00FC0DB8" w:rsidRPr="000C1A9F" w:rsidRDefault="00FC0DB8" w:rsidP="00F07FFD">
            <w:pPr>
              <w:pStyle w:val="TableText"/>
              <w:spacing w:before="40" w:after="40"/>
              <w:jc w:val="center"/>
              <w:rPr>
                <w:lang w:eastAsia="en-NZ"/>
              </w:rPr>
            </w:pPr>
          </w:p>
        </w:tc>
        <w:tc>
          <w:tcPr>
            <w:tcW w:w="940" w:type="dxa"/>
            <w:tcBorders>
              <w:top w:val="nil"/>
              <w:left w:val="nil"/>
              <w:bottom w:val="nil"/>
              <w:right w:val="nil"/>
            </w:tcBorders>
            <w:shd w:val="clear" w:color="000000" w:fill="FFFFFF"/>
          </w:tcPr>
          <w:p w14:paraId="5C594C64" w14:textId="77777777" w:rsidR="00FC0DB8" w:rsidRPr="000C1A9F" w:rsidRDefault="00FC0DB8" w:rsidP="00F07FFD">
            <w:pPr>
              <w:pStyle w:val="TableText"/>
              <w:spacing w:before="40" w:after="40"/>
              <w:jc w:val="center"/>
              <w:rPr>
                <w:color w:val="808080"/>
                <w:lang w:eastAsia="en-NZ"/>
              </w:rPr>
            </w:pPr>
          </w:p>
        </w:tc>
        <w:tc>
          <w:tcPr>
            <w:tcW w:w="940" w:type="dxa"/>
            <w:tcBorders>
              <w:top w:val="nil"/>
              <w:left w:val="nil"/>
              <w:bottom w:val="nil"/>
              <w:right w:val="nil"/>
            </w:tcBorders>
            <w:shd w:val="clear" w:color="000000" w:fill="FFFFFF"/>
          </w:tcPr>
          <w:p w14:paraId="68D46DD2" w14:textId="77777777" w:rsidR="00FC0DB8" w:rsidRPr="000C1A9F" w:rsidRDefault="00FC0DB8" w:rsidP="00F07FFD">
            <w:pPr>
              <w:pStyle w:val="TableText"/>
              <w:spacing w:before="40" w:after="40"/>
              <w:jc w:val="center"/>
              <w:rPr>
                <w:color w:val="808080"/>
                <w:lang w:eastAsia="en-NZ"/>
              </w:rPr>
            </w:pPr>
          </w:p>
        </w:tc>
        <w:tc>
          <w:tcPr>
            <w:tcW w:w="1332" w:type="dxa"/>
            <w:tcBorders>
              <w:top w:val="nil"/>
              <w:left w:val="nil"/>
              <w:bottom w:val="nil"/>
              <w:right w:val="nil"/>
            </w:tcBorders>
            <w:shd w:val="clear" w:color="000000" w:fill="FFFFFF"/>
          </w:tcPr>
          <w:p w14:paraId="3885F4CB" w14:textId="77777777" w:rsidR="00FC0DB8" w:rsidRPr="000C1A9F" w:rsidRDefault="00FC0DB8" w:rsidP="00F07FFD">
            <w:pPr>
              <w:pStyle w:val="TableText"/>
              <w:spacing w:before="40" w:after="40"/>
              <w:jc w:val="center"/>
              <w:rPr>
                <w:lang w:eastAsia="en-NZ"/>
              </w:rPr>
            </w:pPr>
          </w:p>
        </w:tc>
        <w:tc>
          <w:tcPr>
            <w:tcW w:w="1332" w:type="dxa"/>
            <w:tcBorders>
              <w:top w:val="nil"/>
              <w:left w:val="nil"/>
              <w:bottom w:val="nil"/>
              <w:right w:val="nil"/>
            </w:tcBorders>
            <w:shd w:val="clear" w:color="000000" w:fill="FFFFFF"/>
          </w:tcPr>
          <w:p w14:paraId="060CF1FB" w14:textId="77777777" w:rsidR="00FC0DB8" w:rsidRPr="000C1A9F" w:rsidRDefault="00FC0DB8" w:rsidP="00F07FFD">
            <w:pPr>
              <w:pStyle w:val="TableText"/>
              <w:spacing w:before="40" w:after="40"/>
              <w:jc w:val="center"/>
              <w:rPr>
                <w:b/>
                <w:bCs/>
                <w:color w:val="E36C0A"/>
                <w:lang w:eastAsia="en-NZ"/>
              </w:rPr>
            </w:pPr>
          </w:p>
        </w:tc>
      </w:tr>
      <w:tr w:rsidR="00FC0DB8" w:rsidRPr="000C1A9F" w14:paraId="290DA510" w14:textId="77777777" w:rsidTr="00F07FFD">
        <w:trPr>
          <w:cantSplit/>
        </w:trPr>
        <w:tc>
          <w:tcPr>
            <w:tcW w:w="4020" w:type="dxa"/>
            <w:tcBorders>
              <w:top w:val="nil"/>
              <w:left w:val="nil"/>
              <w:bottom w:val="single" w:sz="4" w:space="0" w:color="808080"/>
              <w:right w:val="nil"/>
            </w:tcBorders>
            <w:shd w:val="clear" w:color="000000" w:fill="FFFFFF"/>
            <w:vAlign w:val="bottom"/>
            <w:hideMark/>
          </w:tcPr>
          <w:p w14:paraId="12240568"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Good or better self-rated health</w:t>
            </w:r>
          </w:p>
        </w:tc>
        <w:tc>
          <w:tcPr>
            <w:tcW w:w="900" w:type="dxa"/>
            <w:tcBorders>
              <w:top w:val="nil"/>
              <w:left w:val="nil"/>
              <w:bottom w:val="single" w:sz="4" w:space="0" w:color="808080"/>
              <w:right w:val="nil"/>
            </w:tcBorders>
            <w:shd w:val="clear" w:color="000000" w:fill="FFFFFF"/>
            <w:vAlign w:val="bottom"/>
            <w:hideMark/>
          </w:tcPr>
          <w:p w14:paraId="0AF0123E"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81.0</w:t>
            </w:r>
          </w:p>
        </w:tc>
        <w:tc>
          <w:tcPr>
            <w:tcW w:w="940" w:type="dxa"/>
            <w:tcBorders>
              <w:top w:val="nil"/>
              <w:left w:val="nil"/>
              <w:bottom w:val="single" w:sz="4" w:space="0" w:color="808080"/>
              <w:right w:val="nil"/>
            </w:tcBorders>
            <w:shd w:val="clear" w:color="000000" w:fill="FFFFFF"/>
            <w:vAlign w:val="bottom"/>
            <w:hideMark/>
          </w:tcPr>
          <w:p w14:paraId="36F8957D"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83.6</w:t>
            </w:r>
          </w:p>
        </w:tc>
        <w:tc>
          <w:tcPr>
            <w:tcW w:w="940" w:type="dxa"/>
            <w:tcBorders>
              <w:top w:val="nil"/>
              <w:left w:val="nil"/>
              <w:bottom w:val="single" w:sz="4" w:space="0" w:color="808080"/>
              <w:right w:val="nil"/>
            </w:tcBorders>
            <w:shd w:val="clear" w:color="000000" w:fill="FFFFFF"/>
            <w:vAlign w:val="bottom"/>
            <w:hideMark/>
          </w:tcPr>
          <w:p w14:paraId="798BA264"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86.5</w:t>
            </w:r>
          </w:p>
        </w:tc>
        <w:tc>
          <w:tcPr>
            <w:tcW w:w="1332" w:type="dxa"/>
            <w:tcBorders>
              <w:top w:val="nil"/>
              <w:left w:val="nil"/>
              <w:bottom w:val="single" w:sz="4" w:space="0" w:color="808080"/>
              <w:right w:val="nil"/>
            </w:tcBorders>
            <w:shd w:val="clear" w:color="000000" w:fill="FFFFFF"/>
            <w:vAlign w:val="bottom"/>
            <w:hideMark/>
          </w:tcPr>
          <w:p w14:paraId="7CE1C931"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7CF0482B"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154CDB48" w14:textId="77777777" w:rsidTr="00F07FFD">
        <w:trPr>
          <w:cantSplit/>
        </w:trPr>
        <w:tc>
          <w:tcPr>
            <w:tcW w:w="4020" w:type="dxa"/>
            <w:tcBorders>
              <w:top w:val="nil"/>
              <w:left w:val="nil"/>
              <w:bottom w:val="nil"/>
              <w:right w:val="nil"/>
            </w:tcBorders>
            <w:shd w:val="clear" w:color="000000" w:fill="FFFFFF"/>
            <w:vAlign w:val="bottom"/>
            <w:hideMark/>
          </w:tcPr>
          <w:p w14:paraId="0B823201"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Current smokers</w:t>
            </w:r>
          </w:p>
        </w:tc>
        <w:tc>
          <w:tcPr>
            <w:tcW w:w="900" w:type="dxa"/>
            <w:tcBorders>
              <w:top w:val="nil"/>
              <w:left w:val="nil"/>
              <w:bottom w:val="nil"/>
              <w:right w:val="nil"/>
            </w:tcBorders>
            <w:shd w:val="clear" w:color="000000" w:fill="FFFFFF"/>
            <w:vAlign w:val="bottom"/>
            <w:hideMark/>
          </w:tcPr>
          <w:p w14:paraId="1CC50604"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38.6</w:t>
            </w:r>
          </w:p>
        </w:tc>
        <w:tc>
          <w:tcPr>
            <w:tcW w:w="940" w:type="dxa"/>
            <w:tcBorders>
              <w:top w:val="nil"/>
              <w:left w:val="nil"/>
              <w:bottom w:val="nil"/>
              <w:right w:val="nil"/>
            </w:tcBorders>
            <w:shd w:val="clear" w:color="000000" w:fill="FFFFFF"/>
            <w:vAlign w:val="bottom"/>
            <w:hideMark/>
          </w:tcPr>
          <w:p w14:paraId="4D847D07"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40.2</w:t>
            </w:r>
          </w:p>
        </w:tc>
        <w:tc>
          <w:tcPr>
            <w:tcW w:w="940" w:type="dxa"/>
            <w:tcBorders>
              <w:top w:val="nil"/>
              <w:left w:val="nil"/>
              <w:bottom w:val="nil"/>
              <w:right w:val="nil"/>
            </w:tcBorders>
            <w:shd w:val="clear" w:color="000000" w:fill="FFFFFF"/>
            <w:vAlign w:val="bottom"/>
            <w:hideMark/>
          </w:tcPr>
          <w:p w14:paraId="6EBD4A82"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42.1</w:t>
            </w:r>
          </w:p>
        </w:tc>
        <w:tc>
          <w:tcPr>
            <w:tcW w:w="1332" w:type="dxa"/>
            <w:tcBorders>
              <w:top w:val="nil"/>
              <w:left w:val="nil"/>
              <w:bottom w:val="nil"/>
              <w:right w:val="nil"/>
            </w:tcBorders>
            <w:shd w:val="clear" w:color="000000" w:fill="FFFFFF"/>
            <w:vAlign w:val="bottom"/>
            <w:hideMark/>
          </w:tcPr>
          <w:p w14:paraId="6EE05CAD"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30505801"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087F231E" w14:textId="77777777" w:rsidTr="00F07FFD">
        <w:trPr>
          <w:cantSplit/>
        </w:trPr>
        <w:tc>
          <w:tcPr>
            <w:tcW w:w="4020" w:type="dxa"/>
            <w:tcBorders>
              <w:top w:val="nil"/>
              <w:left w:val="nil"/>
              <w:bottom w:val="single" w:sz="4" w:space="0" w:color="808080"/>
              <w:right w:val="nil"/>
            </w:tcBorders>
            <w:shd w:val="clear" w:color="000000" w:fill="FFFFFF"/>
            <w:vAlign w:val="bottom"/>
            <w:hideMark/>
          </w:tcPr>
          <w:p w14:paraId="4085267C"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Daily smokers</w:t>
            </w:r>
          </w:p>
        </w:tc>
        <w:tc>
          <w:tcPr>
            <w:tcW w:w="900" w:type="dxa"/>
            <w:tcBorders>
              <w:top w:val="nil"/>
              <w:left w:val="nil"/>
              <w:bottom w:val="single" w:sz="4" w:space="0" w:color="808080"/>
              <w:right w:val="nil"/>
            </w:tcBorders>
            <w:shd w:val="clear" w:color="000000" w:fill="FFFFFF"/>
            <w:vAlign w:val="bottom"/>
            <w:hideMark/>
          </w:tcPr>
          <w:p w14:paraId="4F2227E8"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35.5</w:t>
            </w:r>
          </w:p>
        </w:tc>
        <w:tc>
          <w:tcPr>
            <w:tcW w:w="940" w:type="dxa"/>
            <w:tcBorders>
              <w:top w:val="nil"/>
              <w:left w:val="nil"/>
              <w:bottom w:val="single" w:sz="4" w:space="0" w:color="808080"/>
              <w:right w:val="nil"/>
            </w:tcBorders>
            <w:shd w:val="clear" w:color="000000" w:fill="FFFFFF"/>
            <w:vAlign w:val="bottom"/>
            <w:hideMark/>
          </w:tcPr>
          <w:p w14:paraId="6C61C658"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37.7</w:t>
            </w:r>
          </w:p>
        </w:tc>
        <w:tc>
          <w:tcPr>
            <w:tcW w:w="940" w:type="dxa"/>
            <w:tcBorders>
              <w:top w:val="nil"/>
              <w:left w:val="nil"/>
              <w:bottom w:val="single" w:sz="4" w:space="0" w:color="808080"/>
              <w:right w:val="nil"/>
            </w:tcBorders>
            <w:shd w:val="clear" w:color="000000" w:fill="FFFFFF"/>
            <w:vAlign w:val="bottom"/>
            <w:hideMark/>
          </w:tcPr>
          <w:p w14:paraId="7E0320B7"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39.2</w:t>
            </w:r>
          </w:p>
        </w:tc>
        <w:tc>
          <w:tcPr>
            <w:tcW w:w="1332" w:type="dxa"/>
            <w:tcBorders>
              <w:top w:val="nil"/>
              <w:left w:val="nil"/>
              <w:bottom w:val="single" w:sz="4" w:space="0" w:color="808080"/>
              <w:right w:val="nil"/>
            </w:tcBorders>
            <w:shd w:val="clear" w:color="000000" w:fill="FFFFFF"/>
            <w:vAlign w:val="bottom"/>
            <w:hideMark/>
          </w:tcPr>
          <w:p w14:paraId="590B0B55"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17BEA9A7"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50B8F35D" w14:textId="77777777" w:rsidTr="00F07FFD">
        <w:trPr>
          <w:cantSplit/>
        </w:trPr>
        <w:tc>
          <w:tcPr>
            <w:tcW w:w="4020" w:type="dxa"/>
            <w:tcBorders>
              <w:top w:val="nil"/>
              <w:left w:val="nil"/>
              <w:bottom w:val="nil"/>
              <w:right w:val="nil"/>
            </w:tcBorders>
            <w:shd w:val="clear" w:color="000000" w:fill="FFFFFF"/>
            <w:vAlign w:val="bottom"/>
            <w:hideMark/>
          </w:tcPr>
          <w:p w14:paraId="1072F943"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Past-year drinkers</w:t>
            </w:r>
          </w:p>
        </w:tc>
        <w:tc>
          <w:tcPr>
            <w:tcW w:w="900" w:type="dxa"/>
            <w:tcBorders>
              <w:top w:val="nil"/>
              <w:left w:val="nil"/>
              <w:bottom w:val="nil"/>
              <w:right w:val="nil"/>
            </w:tcBorders>
            <w:shd w:val="clear" w:color="000000" w:fill="FFFFFF"/>
            <w:vAlign w:val="bottom"/>
            <w:hideMark/>
          </w:tcPr>
          <w:p w14:paraId="25D13E22"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80.3</w:t>
            </w:r>
          </w:p>
        </w:tc>
        <w:tc>
          <w:tcPr>
            <w:tcW w:w="940" w:type="dxa"/>
            <w:tcBorders>
              <w:top w:val="nil"/>
              <w:left w:val="nil"/>
              <w:bottom w:val="nil"/>
              <w:right w:val="nil"/>
            </w:tcBorders>
            <w:shd w:val="clear" w:color="000000" w:fill="FFFFFF"/>
            <w:vAlign w:val="bottom"/>
            <w:hideMark/>
          </w:tcPr>
          <w:p w14:paraId="67495A11"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78.9</w:t>
            </w:r>
          </w:p>
        </w:tc>
        <w:tc>
          <w:tcPr>
            <w:tcW w:w="940" w:type="dxa"/>
            <w:tcBorders>
              <w:top w:val="nil"/>
              <w:left w:val="nil"/>
              <w:bottom w:val="nil"/>
              <w:right w:val="nil"/>
            </w:tcBorders>
            <w:shd w:val="clear" w:color="000000" w:fill="FFFFFF"/>
            <w:vAlign w:val="bottom"/>
            <w:hideMark/>
          </w:tcPr>
          <w:p w14:paraId="04113577"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84.3</w:t>
            </w:r>
          </w:p>
        </w:tc>
        <w:tc>
          <w:tcPr>
            <w:tcW w:w="1332" w:type="dxa"/>
            <w:tcBorders>
              <w:top w:val="nil"/>
              <w:left w:val="nil"/>
              <w:bottom w:val="nil"/>
              <w:right w:val="nil"/>
            </w:tcBorders>
            <w:shd w:val="clear" w:color="000000" w:fill="FFFFFF"/>
            <w:vAlign w:val="bottom"/>
            <w:hideMark/>
          </w:tcPr>
          <w:p w14:paraId="233CD04D"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6F0FEB0B"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0AE23B38" w14:textId="77777777" w:rsidTr="00F07FFD">
        <w:trPr>
          <w:cantSplit/>
        </w:trPr>
        <w:tc>
          <w:tcPr>
            <w:tcW w:w="4020" w:type="dxa"/>
            <w:tcBorders>
              <w:top w:val="nil"/>
              <w:left w:val="nil"/>
              <w:bottom w:val="single" w:sz="4" w:space="0" w:color="808080"/>
              <w:right w:val="nil"/>
            </w:tcBorders>
            <w:shd w:val="clear" w:color="000000" w:fill="FFFFFF"/>
            <w:vAlign w:val="bottom"/>
            <w:hideMark/>
          </w:tcPr>
          <w:p w14:paraId="625D260D"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Hazardous drinkers (total population)</w:t>
            </w:r>
          </w:p>
        </w:tc>
        <w:tc>
          <w:tcPr>
            <w:tcW w:w="900" w:type="dxa"/>
            <w:tcBorders>
              <w:top w:val="nil"/>
              <w:left w:val="nil"/>
              <w:bottom w:val="single" w:sz="4" w:space="0" w:color="808080"/>
              <w:right w:val="nil"/>
            </w:tcBorders>
            <w:shd w:val="clear" w:color="000000" w:fill="FFFFFF"/>
            <w:vAlign w:val="bottom"/>
            <w:hideMark/>
          </w:tcPr>
          <w:p w14:paraId="2A89B6D0"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Pr>
                <w:rFonts w:ascii="Arial" w:hAnsi="Arial" w:cs="Arial"/>
                <w:color w:val="000000"/>
                <w:sz w:val="18"/>
                <w:szCs w:val="18"/>
                <w:lang w:eastAsia="en-NZ"/>
              </w:rPr>
              <w:t>31.1</w:t>
            </w:r>
          </w:p>
        </w:tc>
        <w:tc>
          <w:tcPr>
            <w:tcW w:w="940" w:type="dxa"/>
            <w:tcBorders>
              <w:top w:val="nil"/>
              <w:left w:val="nil"/>
              <w:bottom w:val="single" w:sz="4" w:space="0" w:color="808080"/>
              <w:right w:val="nil"/>
            </w:tcBorders>
            <w:shd w:val="clear" w:color="000000" w:fill="FFFFFF"/>
            <w:vAlign w:val="bottom"/>
            <w:hideMark/>
          </w:tcPr>
          <w:p w14:paraId="0037073C"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Pr>
                <w:rFonts w:ascii="Arial" w:hAnsi="Arial" w:cs="Arial"/>
                <w:color w:val="808080"/>
                <w:sz w:val="18"/>
                <w:szCs w:val="18"/>
                <w:lang w:eastAsia="en-NZ"/>
              </w:rPr>
              <w:t>.</w:t>
            </w:r>
          </w:p>
        </w:tc>
        <w:tc>
          <w:tcPr>
            <w:tcW w:w="940" w:type="dxa"/>
            <w:tcBorders>
              <w:top w:val="nil"/>
              <w:left w:val="nil"/>
              <w:bottom w:val="single" w:sz="4" w:space="0" w:color="808080"/>
              <w:right w:val="nil"/>
            </w:tcBorders>
            <w:shd w:val="clear" w:color="000000" w:fill="FFFFFF"/>
            <w:vAlign w:val="bottom"/>
            <w:hideMark/>
          </w:tcPr>
          <w:p w14:paraId="5A1D28B7"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Pr>
                <w:rFonts w:ascii="Arial" w:hAnsi="Arial" w:cs="Arial"/>
                <w:color w:val="808080"/>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2BAFDCDC"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Pr>
                <w:rFonts w:ascii="Arial" w:hAnsi="Arial" w:cs="Arial"/>
                <w:color w:val="4F81BD"/>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14B8A6C3"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Pr>
                <w:rFonts w:ascii="Arial" w:hAnsi="Arial" w:cs="Arial"/>
                <w:color w:val="4F81BD"/>
                <w:sz w:val="18"/>
                <w:szCs w:val="18"/>
                <w:lang w:eastAsia="en-NZ"/>
              </w:rPr>
              <w:t>.</w:t>
            </w:r>
          </w:p>
        </w:tc>
      </w:tr>
      <w:tr w:rsidR="00FC0DB8" w:rsidRPr="000C1A9F" w14:paraId="34BA1021" w14:textId="77777777" w:rsidTr="00F07FFD">
        <w:trPr>
          <w:cantSplit/>
        </w:trPr>
        <w:tc>
          <w:tcPr>
            <w:tcW w:w="4020" w:type="dxa"/>
            <w:tcBorders>
              <w:top w:val="nil"/>
              <w:left w:val="nil"/>
              <w:bottom w:val="nil"/>
              <w:right w:val="nil"/>
            </w:tcBorders>
            <w:shd w:val="clear" w:color="000000" w:fill="FFFFFF"/>
            <w:vAlign w:val="bottom"/>
            <w:hideMark/>
          </w:tcPr>
          <w:p w14:paraId="2406858C"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Vegetable intake (3+ servings per day)</w:t>
            </w:r>
          </w:p>
        </w:tc>
        <w:tc>
          <w:tcPr>
            <w:tcW w:w="900" w:type="dxa"/>
            <w:tcBorders>
              <w:top w:val="nil"/>
              <w:left w:val="nil"/>
              <w:bottom w:val="nil"/>
              <w:right w:val="nil"/>
            </w:tcBorders>
            <w:shd w:val="clear" w:color="000000" w:fill="FFFFFF"/>
            <w:vAlign w:val="bottom"/>
            <w:hideMark/>
          </w:tcPr>
          <w:p w14:paraId="293E1A29"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58.1</w:t>
            </w:r>
          </w:p>
        </w:tc>
        <w:tc>
          <w:tcPr>
            <w:tcW w:w="940" w:type="dxa"/>
            <w:tcBorders>
              <w:top w:val="nil"/>
              <w:left w:val="nil"/>
              <w:bottom w:val="nil"/>
              <w:right w:val="nil"/>
            </w:tcBorders>
            <w:shd w:val="clear" w:color="000000" w:fill="FFFFFF"/>
            <w:vAlign w:val="bottom"/>
            <w:hideMark/>
          </w:tcPr>
          <w:p w14:paraId="4E7E699D"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64.7</w:t>
            </w:r>
          </w:p>
        </w:tc>
        <w:tc>
          <w:tcPr>
            <w:tcW w:w="940" w:type="dxa"/>
            <w:tcBorders>
              <w:top w:val="nil"/>
              <w:left w:val="nil"/>
              <w:bottom w:val="nil"/>
              <w:right w:val="nil"/>
            </w:tcBorders>
            <w:shd w:val="clear" w:color="000000" w:fill="FFFFFF"/>
            <w:vAlign w:val="bottom"/>
            <w:hideMark/>
          </w:tcPr>
          <w:p w14:paraId="62A69A41"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59.9</w:t>
            </w:r>
          </w:p>
        </w:tc>
        <w:tc>
          <w:tcPr>
            <w:tcW w:w="1332" w:type="dxa"/>
            <w:tcBorders>
              <w:top w:val="nil"/>
              <w:left w:val="nil"/>
              <w:bottom w:val="nil"/>
              <w:right w:val="nil"/>
            </w:tcBorders>
            <w:shd w:val="clear" w:color="000000" w:fill="FFFFFF"/>
            <w:vAlign w:val="bottom"/>
            <w:hideMark/>
          </w:tcPr>
          <w:p w14:paraId="2C7890DF"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285A8C03"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27926562" w14:textId="77777777" w:rsidTr="00F07FFD">
        <w:trPr>
          <w:cantSplit/>
        </w:trPr>
        <w:tc>
          <w:tcPr>
            <w:tcW w:w="4020" w:type="dxa"/>
            <w:tcBorders>
              <w:top w:val="nil"/>
              <w:left w:val="nil"/>
              <w:bottom w:val="nil"/>
              <w:right w:val="nil"/>
            </w:tcBorders>
            <w:shd w:val="clear" w:color="000000" w:fill="FFFFFF"/>
            <w:vAlign w:val="bottom"/>
            <w:hideMark/>
          </w:tcPr>
          <w:p w14:paraId="61098EF0"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Fruit intake (2+ servings per day)</w:t>
            </w:r>
          </w:p>
        </w:tc>
        <w:tc>
          <w:tcPr>
            <w:tcW w:w="900" w:type="dxa"/>
            <w:tcBorders>
              <w:top w:val="nil"/>
              <w:left w:val="nil"/>
              <w:bottom w:val="nil"/>
              <w:right w:val="nil"/>
            </w:tcBorders>
            <w:shd w:val="clear" w:color="000000" w:fill="FFFFFF"/>
            <w:vAlign w:val="bottom"/>
            <w:hideMark/>
          </w:tcPr>
          <w:p w14:paraId="46BD7BEE"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46.4</w:t>
            </w:r>
          </w:p>
        </w:tc>
        <w:tc>
          <w:tcPr>
            <w:tcW w:w="940" w:type="dxa"/>
            <w:tcBorders>
              <w:top w:val="nil"/>
              <w:left w:val="nil"/>
              <w:bottom w:val="nil"/>
              <w:right w:val="nil"/>
            </w:tcBorders>
            <w:shd w:val="clear" w:color="000000" w:fill="FFFFFF"/>
            <w:vAlign w:val="bottom"/>
            <w:hideMark/>
          </w:tcPr>
          <w:p w14:paraId="6E484521"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49.1</w:t>
            </w:r>
          </w:p>
        </w:tc>
        <w:tc>
          <w:tcPr>
            <w:tcW w:w="940" w:type="dxa"/>
            <w:tcBorders>
              <w:top w:val="nil"/>
              <w:left w:val="nil"/>
              <w:bottom w:val="nil"/>
              <w:right w:val="nil"/>
            </w:tcBorders>
            <w:shd w:val="clear" w:color="000000" w:fill="FFFFFF"/>
            <w:vAlign w:val="bottom"/>
            <w:hideMark/>
          </w:tcPr>
          <w:p w14:paraId="659103DD"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55.2</w:t>
            </w:r>
          </w:p>
        </w:tc>
        <w:tc>
          <w:tcPr>
            <w:tcW w:w="1332" w:type="dxa"/>
            <w:tcBorders>
              <w:top w:val="nil"/>
              <w:left w:val="nil"/>
              <w:bottom w:val="nil"/>
              <w:right w:val="nil"/>
            </w:tcBorders>
            <w:shd w:val="clear" w:color="000000" w:fill="FFFFFF"/>
            <w:vAlign w:val="bottom"/>
            <w:hideMark/>
          </w:tcPr>
          <w:p w14:paraId="074E1F50"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5B13F45C"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6651A7E1" w14:textId="77777777" w:rsidTr="00F07FFD">
        <w:trPr>
          <w:cantSplit/>
        </w:trPr>
        <w:tc>
          <w:tcPr>
            <w:tcW w:w="4020" w:type="dxa"/>
            <w:tcBorders>
              <w:top w:val="nil"/>
              <w:left w:val="nil"/>
              <w:bottom w:val="nil"/>
              <w:right w:val="nil"/>
            </w:tcBorders>
            <w:shd w:val="clear" w:color="000000" w:fill="FFFFFF"/>
            <w:vAlign w:val="bottom"/>
            <w:hideMark/>
          </w:tcPr>
          <w:p w14:paraId="36483306"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Physica</w:t>
            </w:r>
            <w:r>
              <w:rPr>
                <w:rFonts w:ascii="Arial" w:hAnsi="Arial" w:cs="Arial"/>
                <w:color w:val="000000"/>
                <w:sz w:val="18"/>
                <w:szCs w:val="18"/>
                <w:lang w:eastAsia="en-NZ"/>
              </w:rPr>
              <w:t>l</w:t>
            </w:r>
            <w:r w:rsidRPr="000C1A9F">
              <w:rPr>
                <w:rFonts w:ascii="Arial" w:hAnsi="Arial" w:cs="Arial"/>
                <w:color w:val="000000"/>
                <w:sz w:val="18"/>
                <w:szCs w:val="18"/>
                <w:lang w:eastAsia="en-NZ"/>
              </w:rPr>
              <w:t>l</w:t>
            </w:r>
            <w:r>
              <w:rPr>
                <w:rFonts w:ascii="Arial" w:hAnsi="Arial" w:cs="Arial"/>
                <w:color w:val="000000"/>
                <w:sz w:val="18"/>
                <w:szCs w:val="18"/>
                <w:lang w:eastAsia="en-NZ"/>
              </w:rPr>
              <w:t>y</w:t>
            </w:r>
            <w:r w:rsidRPr="000C1A9F">
              <w:rPr>
                <w:rFonts w:ascii="Arial" w:hAnsi="Arial" w:cs="Arial"/>
                <w:color w:val="000000"/>
                <w:sz w:val="18"/>
                <w:szCs w:val="18"/>
                <w:lang w:eastAsia="en-NZ"/>
              </w:rPr>
              <w:t xml:space="preserve"> activ</w:t>
            </w:r>
            <w:r>
              <w:rPr>
                <w:rFonts w:ascii="Arial" w:hAnsi="Arial" w:cs="Arial"/>
                <w:color w:val="000000"/>
                <w:sz w:val="18"/>
                <w:szCs w:val="18"/>
                <w:lang w:eastAsia="en-NZ"/>
              </w:rPr>
              <w:t>e</w:t>
            </w:r>
          </w:p>
        </w:tc>
        <w:tc>
          <w:tcPr>
            <w:tcW w:w="900" w:type="dxa"/>
            <w:tcBorders>
              <w:top w:val="nil"/>
              <w:left w:val="nil"/>
              <w:bottom w:val="nil"/>
              <w:right w:val="nil"/>
            </w:tcBorders>
            <w:shd w:val="clear" w:color="000000" w:fill="FFFFFF"/>
            <w:vAlign w:val="bottom"/>
            <w:hideMark/>
          </w:tcPr>
          <w:p w14:paraId="0ADA3F88"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49.6</w:t>
            </w:r>
          </w:p>
        </w:tc>
        <w:tc>
          <w:tcPr>
            <w:tcW w:w="940" w:type="dxa"/>
            <w:tcBorders>
              <w:top w:val="nil"/>
              <w:left w:val="nil"/>
              <w:bottom w:val="nil"/>
              <w:right w:val="nil"/>
            </w:tcBorders>
            <w:shd w:val="clear" w:color="000000" w:fill="FFFFFF"/>
            <w:vAlign w:val="bottom"/>
            <w:hideMark/>
          </w:tcPr>
          <w:p w14:paraId="71C3E96B"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57.5</w:t>
            </w:r>
          </w:p>
        </w:tc>
        <w:tc>
          <w:tcPr>
            <w:tcW w:w="940" w:type="dxa"/>
            <w:tcBorders>
              <w:top w:val="nil"/>
              <w:left w:val="nil"/>
              <w:bottom w:val="nil"/>
              <w:right w:val="nil"/>
            </w:tcBorders>
            <w:shd w:val="clear" w:color="000000" w:fill="FFFFFF"/>
            <w:vAlign w:val="bottom"/>
            <w:hideMark/>
          </w:tcPr>
          <w:p w14:paraId="03DEA3BD"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56.3</w:t>
            </w:r>
          </w:p>
        </w:tc>
        <w:tc>
          <w:tcPr>
            <w:tcW w:w="1332" w:type="dxa"/>
            <w:tcBorders>
              <w:top w:val="nil"/>
              <w:left w:val="nil"/>
              <w:bottom w:val="nil"/>
              <w:right w:val="nil"/>
            </w:tcBorders>
            <w:shd w:val="clear" w:color="000000" w:fill="FFFFFF"/>
            <w:vAlign w:val="bottom"/>
            <w:hideMark/>
          </w:tcPr>
          <w:p w14:paraId="0F3C3280"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136A0BC1"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32F3D505" w14:textId="77777777" w:rsidTr="00F07FFD">
        <w:trPr>
          <w:cantSplit/>
        </w:trPr>
        <w:tc>
          <w:tcPr>
            <w:tcW w:w="4020" w:type="dxa"/>
            <w:tcBorders>
              <w:top w:val="nil"/>
              <w:left w:val="nil"/>
              <w:bottom w:val="single" w:sz="4" w:space="0" w:color="808080"/>
              <w:right w:val="nil"/>
            </w:tcBorders>
            <w:shd w:val="clear" w:color="000000" w:fill="FFFFFF"/>
            <w:vAlign w:val="bottom"/>
            <w:hideMark/>
          </w:tcPr>
          <w:p w14:paraId="65A2487D"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Little or no physical activity</w:t>
            </w:r>
          </w:p>
        </w:tc>
        <w:tc>
          <w:tcPr>
            <w:tcW w:w="900" w:type="dxa"/>
            <w:tcBorders>
              <w:top w:val="nil"/>
              <w:left w:val="nil"/>
              <w:bottom w:val="single" w:sz="4" w:space="0" w:color="808080"/>
              <w:right w:val="nil"/>
            </w:tcBorders>
            <w:shd w:val="clear" w:color="000000" w:fill="FFFFFF"/>
            <w:vAlign w:val="bottom"/>
            <w:hideMark/>
          </w:tcPr>
          <w:p w14:paraId="1DC3D6E1"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17.6</w:t>
            </w:r>
          </w:p>
        </w:tc>
        <w:tc>
          <w:tcPr>
            <w:tcW w:w="940" w:type="dxa"/>
            <w:tcBorders>
              <w:top w:val="nil"/>
              <w:left w:val="nil"/>
              <w:bottom w:val="single" w:sz="4" w:space="0" w:color="808080"/>
              <w:right w:val="nil"/>
            </w:tcBorders>
            <w:shd w:val="clear" w:color="000000" w:fill="FFFFFF"/>
            <w:vAlign w:val="bottom"/>
            <w:hideMark/>
          </w:tcPr>
          <w:p w14:paraId="7D1725B0"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13.4</w:t>
            </w:r>
          </w:p>
        </w:tc>
        <w:tc>
          <w:tcPr>
            <w:tcW w:w="940" w:type="dxa"/>
            <w:tcBorders>
              <w:top w:val="nil"/>
              <w:left w:val="nil"/>
              <w:bottom w:val="single" w:sz="4" w:space="0" w:color="808080"/>
              <w:right w:val="nil"/>
            </w:tcBorders>
            <w:shd w:val="clear" w:color="000000" w:fill="FFFFFF"/>
            <w:vAlign w:val="bottom"/>
            <w:hideMark/>
          </w:tcPr>
          <w:p w14:paraId="7C0DDABA"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8.7</w:t>
            </w:r>
          </w:p>
        </w:tc>
        <w:tc>
          <w:tcPr>
            <w:tcW w:w="1332" w:type="dxa"/>
            <w:tcBorders>
              <w:top w:val="nil"/>
              <w:left w:val="nil"/>
              <w:bottom w:val="single" w:sz="4" w:space="0" w:color="808080"/>
              <w:right w:val="nil"/>
            </w:tcBorders>
            <w:shd w:val="clear" w:color="000000" w:fill="FFFFFF"/>
            <w:vAlign w:val="bottom"/>
            <w:hideMark/>
          </w:tcPr>
          <w:p w14:paraId="3A8D1346"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51292817"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1B1B5189" w14:textId="77777777" w:rsidTr="00F07FFD">
        <w:trPr>
          <w:cantSplit/>
        </w:trPr>
        <w:tc>
          <w:tcPr>
            <w:tcW w:w="4020" w:type="dxa"/>
            <w:tcBorders>
              <w:top w:val="nil"/>
              <w:left w:val="nil"/>
              <w:bottom w:val="single" w:sz="4" w:space="0" w:color="808080"/>
              <w:right w:val="nil"/>
            </w:tcBorders>
            <w:shd w:val="clear" w:color="000000" w:fill="FFFFFF"/>
            <w:vAlign w:val="bottom"/>
            <w:hideMark/>
          </w:tcPr>
          <w:p w14:paraId="4F3FF26A"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Obesity</w:t>
            </w:r>
          </w:p>
        </w:tc>
        <w:tc>
          <w:tcPr>
            <w:tcW w:w="900" w:type="dxa"/>
            <w:tcBorders>
              <w:top w:val="nil"/>
              <w:left w:val="nil"/>
              <w:bottom w:val="single" w:sz="4" w:space="0" w:color="808080"/>
              <w:right w:val="nil"/>
            </w:tcBorders>
            <w:shd w:val="clear" w:color="000000" w:fill="FFFFFF"/>
            <w:vAlign w:val="bottom"/>
            <w:hideMark/>
          </w:tcPr>
          <w:p w14:paraId="63439EED"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47.1</w:t>
            </w:r>
          </w:p>
        </w:tc>
        <w:tc>
          <w:tcPr>
            <w:tcW w:w="940" w:type="dxa"/>
            <w:tcBorders>
              <w:top w:val="nil"/>
              <w:left w:val="nil"/>
              <w:bottom w:val="single" w:sz="4" w:space="0" w:color="808080"/>
              <w:right w:val="nil"/>
            </w:tcBorders>
            <w:shd w:val="clear" w:color="000000" w:fill="FFFFFF"/>
            <w:vAlign w:val="bottom"/>
            <w:hideMark/>
          </w:tcPr>
          <w:p w14:paraId="3434E2CF"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44.1</w:t>
            </w:r>
          </w:p>
        </w:tc>
        <w:tc>
          <w:tcPr>
            <w:tcW w:w="940" w:type="dxa"/>
            <w:tcBorders>
              <w:top w:val="nil"/>
              <w:left w:val="nil"/>
              <w:bottom w:val="single" w:sz="4" w:space="0" w:color="808080"/>
              <w:right w:val="nil"/>
            </w:tcBorders>
            <w:shd w:val="clear" w:color="000000" w:fill="FFFFFF"/>
            <w:vAlign w:val="bottom"/>
            <w:hideMark/>
          </w:tcPr>
          <w:p w14:paraId="6BEDEA93"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41.6</w:t>
            </w:r>
          </w:p>
        </w:tc>
        <w:tc>
          <w:tcPr>
            <w:tcW w:w="1332" w:type="dxa"/>
            <w:tcBorders>
              <w:top w:val="nil"/>
              <w:left w:val="nil"/>
              <w:bottom w:val="single" w:sz="4" w:space="0" w:color="808080"/>
              <w:right w:val="nil"/>
            </w:tcBorders>
            <w:shd w:val="clear" w:color="000000" w:fill="FFFFFF"/>
            <w:vAlign w:val="bottom"/>
            <w:hideMark/>
          </w:tcPr>
          <w:p w14:paraId="214CFF44"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21E9A2E8"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07C3A78C" w14:textId="77777777" w:rsidTr="00F07FFD">
        <w:trPr>
          <w:cantSplit/>
        </w:trPr>
        <w:tc>
          <w:tcPr>
            <w:tcW w:w="4020" w:type="dxa"/>
            <w:tcBorders>
              <w:top w:val="nil"/>
              <w:left w:val="nil"/>
              <w:bottom w:val="nil"/>
              <w:right w:val="nil"/>
            </w:tcBorders>
            <w:shd w:val="clear" w:color="000000" w:fill="FFFFFF"/>
            <w:vAlign w:val="bottom"/>
            <w:hideMark/>
          </w:tcPr>
          <w:p w14:paraId="0213B18A" w14:textId="77777777" w:rsidR="00FC0DB8" w:rsidRPr="000C1A9F" w:rsidRDefault="00FC0DB8" w:rsidP="00F07FFD">
            <w:pPr>
              <w:spacing w:before="40" w:after="40" w:line="240" w:lineRule="auto"/>
              <w:rPr>
                <w:rFonts w:ascii="Arial" w:hAnsi="Arial" w:cs="Arial"/>
                <w:b/>
                <w:bCs/>
                <w:sz w:val="18"/>
                <w:szCs w:val="18"/>
                <w:lang w:eastAsia="en-NZ"/>
              </w:rPr>
            </w:pPr>
            <w:r w:rsidRPr="000C1A9F">
              <w:rPr>
                <w:rFonts w:ascii="Arial" w:hAnsi="Arial" w:cs="Arial"/>
                <w:b/>
                <w:bCs/>
                <w:sz w:val="18"/>
                <w:szCs w:val="18"/>
                <w:lang w:eastAsia="en-NZ"/>
              </w:rPr>
              <w:t>Health conditions</w:t>
            </w:r>
          </w:p>
        </w:tc>
        <w:tc>
          <w:tcPr>
            <w:tcW w:w="900" w:type="dxa"/>
            <w:tcBorders>
              <w:top w:val="nil"/>
              <w:left w:val="nil"/>
              <w:bottom w:val="nil"/>
              <w:right w:val="nil"/>
            </w:tcBorders>
            <w:shd w:val="clear" w:color="000000" w:fill="FFFFFF"/>
            <w:vAlign w:val="bottom"/>
            <w:hideMark/>
          </w:tcPr>
          <w:p w14:paraId="488EBA86" w14:textId="77777777" w:rsidR="00FC0DB8" w:rsidRPr="000C1A9F" w:rsidRDefault="00FC0DB8" w:rsidP="00F07FFD">
            <w:pPr>
              <w:spacing w:before="40" w:after="40" w:line="240" w:lineRule="auto"/>
              <w:jc w:val="center"/>
              <w:rPr>
                <w:rFonts w:ascii="Arial" w:hAnsi="Arial" w:cs="Arial"/>
                <w:color w:val="000000"/>
                <w:sz w:val="18"/>
                <w:szCs w:val="18"/>
                <w:lang w:eastAsia="en-NZ"/>
              </w:rPr>
            </w:pPr>
          </w:p>
        </w:tc>
        <w:tc>
          <w:tcPr>
            <w:tcW w:w="940" w:type="dxa"/>
            <w:tcBorders>
              <w:top w:val="nil"/>
              <w:left w:val="nil"/>
              <w:bottom w:val="nil"/>
              <w:right w:val="nil"/>
            </w:tcBorders>
            <w:shd w:val="clear" w:color="000000" w:fill="FFFFFF"/>
            <w:vAlign w:val="bottom"/>
            <w:hideMark/>
          </w:tcPr>
          <w:p w14:paraId="269673C9" w14:textId="77777777" w:rsidR="00FC0DB8" w:rsidRPr="000C1A9F" w:rsidRDefault="00FC0DB8" w:rsidP="00F07FFD">
            <w:pPr>
              <w:spacing w:before="40" w:after="40" w:line="240" w:lineRule="auto"/>
              <w:jc w:val="center"/>
              <w:rPr>
                <w:rFonts w:ascii="Arial" w:hAnsi="Arial" w:cs="Arial"/>
                <w:color w:val="808080"/>
                <w:sz w:val="18"/>
                <w:szCs w:val="18"/>
                <w:lang w:eastAsia="en-NZ"/>
              </w:rPr>
            </w:pPr>
          </w:p>
        </w:tc>
        <w:tc>
          <w:tcPr>
            <w:tcW w:w="940" w:type="dxa"/>
            <w:tcBorders>
              <w:top w:val="nil"/>
              <w:left w:val="nil"/>
              <w:bottom w:val="nil"/>
              <w:right w:val="nil"/>
            </w:tcBorders>
            <w:shd w:val="clear" w:color="000000" w:fill="FFFFFF"/>
            <w:vAlign w:val="bottom"/>
            <w:hideMark/>
          </w:tcPr>
          <w:p w14:paraId="74E4ACF9" w14:textId="77777777" w:rsidR="00FC0DB8" w:rsidRPr="000C1A9F" w:rsidRDefault="00FC0DB8" w:rsidP="00F07FFD">
            <w:pPr>
              <w:spacing w:before="40" w:after="40" w:line="240" w:lineRule="auto"/>
              <w:jc w:val="center"/>
              <w:rPr>
                <w:rFonts w:ascii="Arial" w:hAnsi="Arial" w:cs="Arial"/>
                <w:color w:val="808080"/>
                <w:sz w:val="18"/>
                <w:szCs w:val="18"/>
                <w:lang w:eastAsia="en-NZ"/>
              </w:rPr>
            </w:pPr>
          </w:p>
        </w:tc>
        <w:tc>
          <w:tcPr>
            <w:tcW w:w="1332" w:type="dxa"/>
            <w:tcBorders>
              <w:top w:val="nil"/>
              <w:left w:val="nil"/>
              <w:bottom w:val="nil"/>
              <w:right w:val="nil"/>
            </w:tcBorders>
            <w:shd w:val="clear" w:color="000000" w:fill="FFFFFF"/>
            <w:vAlign w:val="center"/>
            <w:hideMark/>
          </w:tcPr>
          <w:p w14:paraId="03CCCD30" w14:textId="77777777" w:rsidR="00FC0DB8" w:rsidRPr="000C1A9F" w:rsidRDefault="00FC0DB8" w:rsidP="00F07FFD">
            <w:pPr>
              <w:spacing w:before="40" w:after="40" w:line="240" w:lineRule="auto"/>
              <w:jc w:val="center"/>
              <w:rPr>
                <w:rFonts w:ascii="Arial" w:hAnsi="Arial" w:cs="Arial"/>
                <w:color w:val="4F81BD"/>
                <w:sz w:val="18"/>
                <w:szCs w:val="18"/>
                <w:lang w:eastAsia="en-NZ"/>
              </w:rPr>
            </w:pPr>
          </w:p>
        </w:tc>
        <w:tc>
          <w:tcPr>
            <w:tcW w:w="1332" w:type="dxa"/>
            <w:tcBorders>
              <w:top w:val="nil"/>
              <w:left w:val="nil"/>
              <w:bottom w:val="nil"/>
              <w:right w:val="nil"/>
            </w:tcBorders>
            <w:shd w:val="clear" w:color="000000" w:fill="FFFFFF"/>
            <w:vAlign w:val="center"/>
            <w:hideMark/>
          </w:tcPr>
          <w:p w14:paraId="62E8604F" w14:textId="77777777" w:rsidR="00FC0DB8" w:rsidRPr="000C1A9F" w:rsidRDefault="00FC0DB8" w:rsidP="00F07FFD">
            <w:pPr>
              <w:spacing w:before="40" w:after="40" w:line="240" w:lineRule="auto"/>
              <w:jc w:val="center"/>
              <w:rPr>
                <w:rFonts w:ascii="Arial" w:hAnsi="Arial" w:cs="Arial"/>
                <w:color w:val="4F81BD"/>
                <w:sz w:val="18"/>
                <w:szCs w:val="18"/>
                <w:lang w:eastAsia="en-NZ"/>
              </w:rPr>
            </w:pPr>
          </w:p>
        </w:tc>
      </w:tr>
      <w:tr w:rsidR="00FC0DB8" w:rsidRPr="000C1A9F" w14:paraId="3961FE1F" w14:textId="77777777" w:rsidTr="00F07FFD">
        <w:trPr>
          <w:cantSplit/>
        </w:trPr>
        <w:tc>
          <w:tcPr>
            <w:tcW w:w="4020" w:type="dxa"/>
            <w:tcBorders>
              <w:top w:val="nil"/>
              <w:left w:val="nil"/>
              <w:bottom w:val="nil"/>
              <w:right w:val="nil"/>
            </w:tcBorders>
            <w:shd w:val="clear" w:color="000000" w:fill="FFFFFF"/>
            <w:vAlign w:val="bottom"/>
            <w:hideMark/>
          </w:tcPr>
          <w:p w14:paraId="77FF4819"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High blood pressure (medicated)</w:t>
            </w:r>
          </w:p>
        </w:tc>
        <w:tc>
          <w:tcPr>
            <w:tcW w:w="900" w:type="dxa"/>
            <w:tcBorders>
              <w:top w:val="nil"/>
              <w:left w:val="nil"/>
              <w:bottom w:val="nil"/>
              <w:right w:val="nil"/>
            </w:tcBorders>
            <w:shd w:val="clear" w:color="000000" w:fill="FFFFFF"/>
            <w:vAlign w:val="bottom"/>
            <w:hideMark/>
          </w:tcPr>
          <w:p w14:paraId="177DE7A9"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13.9</w:t>
            </w:r>
          </w:p>
        </w:tc>
        <w:tc>
          <w:tcPr>
            <w:tcW w:w="940" w:type="dxa"/>
            <w:tcBorders>
              <w:top w:val="nil"/>
              <w:left w:val="nil"/>
              <w:bottom w:val="nil"/>
              <w:right w:val="nil"/>
            </w:tcBorders>
            <w:shd w:val="clear" w:color="000000" w:fill="FFFFFF"/>
            <w:vAlign w:val="bottom"/>
            <w:hideMark/>
          </w:tcPr>
          <w:p w14:paraId="542D0C8B"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13.8</w:t>
            </w:r>
          </w:p>
        </w:tc>
        <w:tc>
          <w:tcPr>
            <w:tcW w:w="940" w:type="dxa"/>
            <w:tcBorders>
              <w:top w:val="nil"/>
              <w:left w:val="nil"/>
              <w:bottom w:val="nil"/>
              <w:right w:val="nil"/>
            </w:tcBorders>
            <w:shd w:val="clear" w:color="000000" w:fill="FFFFFF"/>
            <w:vAlign w:val="bottom"/>
            <w:hideMark/>
          </w:tcPr>
          <w:p w14:paraId="5F471BA4"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10.3</w:t>
            </w:r>
          </w:p>
        </w:tc>
        <w:tc>
          <w:tcPr>
            <w:tcW w:w="1332" w:type="dxa"/>
            <w:tcBorders>
              <w:top w:val="nil"/>
              <w:left w:val="nil"/>
              <w:bottom w:val="nil"/>
              <w:right w:val="nil"/>
            </w:tcBorders>
            <w:shd w:val="clear" w:color="000000" w:fill="FFFFFF"/>
            <w:vAlign w:val="bottom"/>
            <w:hideMark/>
          </w:tcPr>
          <w:p w14:paraId="45FC590A"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7CF0B523"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679E399F" w14:textId="77777777" w:rsidTr="00F07FFD">
        <w:trPr>
          <w:cantSplit/>
        </w:trPr>
        <w:tc>
          <w:tcPr>
            <w:tcW w:w="4020" w:type="dxa"/>
            <w:tcBorders>
              <w:top w:val="nil"/>
              <w:left w:val="nil"/>
              <w:bottom w:val="nil"/>
              <w:right w:val="nil"/>
            </w:tcBorders>
            <w:shd w:val="clear" w:color="000000" w:fill="FFFFFF"/>
            <w:vAlign w:val="bottom"/>
            <w:hideMark/>
          </w:tcPr>
          <w:p w14:paraId="7F5EAF38"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High cholesterol (medicated)</w:t>
            </w:r>
          </w:p>
        </w:tc>
        <w:tc>
          <w:tcPr>
            <w:tcW w:w="900" w:type="dxa"/>
            <w:tcBorders>
              <w:top w:val="nil"/>
              <w:left w:val="nil"/>
              <w:bottom w:val="nil"/>
              <w:right w:val="nil"/>
            </w:tcBorders>
            <w:shd w:val="clear" w:color="000000" w:fill="FFFFFF"/>
            <w:vAlign w:val="bottom"/>
            <w:hideMark/>
          </w:tcPr>
          <w:p w14:paraId="6E74EDE1"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9.5</w:t>
            </w:r>
          </w:p>
        </w:tc>
        <w:tc>
          <w:tcPr>
            <w:tcW w:w="940" w:type="dxa"/>
            <w:tcBorders>
              <w:top w:val="nil"/>
              <w:left w:val="nil"/>
              <w:bottom w:val="nil"/>
              <w:right w:val="nil"/>
            </w:tcBorders>
            <w:shd w:val="clear" w:color="000000" w:fill="FFFFFF"/>
            <w:vAlign w:val="bottom"/>
            <w:hideMark/>
          </w:tcPr>
          <w:p w14:paraId="16D6B85E"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8.0</w:t>
            </w:r>
          </w:p>
        </w:tc>
        <w:tc>
          <w:tcPr>
            <w:tcW w:w="940" w:type="dxa"/>
            <w:tcBorders>
              <w:top w:val="nil"/>
              <w:left w:val="nil"/>
              <w:bottom w:val="nil"/>
              <w:right w:val="nil"/>
            </w:tcBorders>
            <w:shd w:val="clear" w:color="000000" w:fill="FFFFFF"/>
            <w:vAlign w:val="bottom"/>
            <w:hideMark/>
          </w:tcPr>
          <w:p w14:paraId="466BA9B7"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5.5</w:t>
            </w:r>
          </w:p>
        </w:tc>
        <w:tc>
          <w:tcPr>
            <w:tcW w:w="1332" w:type="dxa"/>
            <w:tcBorders>
              <w:top w:val="nil"/>
              <w:left w:val="nil"/>
              <w:bottom w:val="nil"/>
              <w:right w:val="nil"/>
            </w:tcBorders>
            <w:shd w:val="clear" w:color="000000" w:fill="FFFFFF"/>
            <w:vAlign w:val="bottom"/>
            <w:hideMark/>
          </w:tcPr>
          <w:p w14:paraId="2B5ABAD5"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52BE3FB1"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49DFE1FF" w14:textId="77777777" w:rsidTr="00F07FFD">
        <w:trPr>
          <w:cantSplit/>
        </w:trPr>
        <w:tc>
          <w:tcPr>
            <w:tcW w:w="4020" w:type="dxa"/>
            <w:tcBorders>
              <w:top w:val="nil"/>
              <w:left w:val="nil"/>
              <w:bottom w:val="nil"/>
              <w:right w:val="nil"/>
            </w:tcBorders>
            <w:shd w:val="clear" w:color="000000" w:fill="FFFFFF"/>
            <w:vAlign w:val="bottom"/>
            <w:hideMark/>
          </w:tcPr>
          <w:p w14:paraId="3C157E2D"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Ischaemic heart disease (diagnosed)</w:t>
            </w:r>
          </w:p>
        </w:tc>
        <w:tc>
          <w:tcPr>
            <w:tcW w:w="900" w:type="dxa"/>
            <w:tcBorders>
              <w:top w:val="nil"/>
              <w:left w:val="nil"/>
              <w:bottom w:val="nil"/>
              <w:right w:val="nil"/>
            </w:tcBorders>
            <w:shd w:val="clear" w:color="000000" w:fill="FFFFFF"/>
            <w:vAlign w:val="bottom"/>
            <w:hideMark/>
          </w:tcPr>
          <w:p w14:paraId="1F965007"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4.8</w:t>
            </w:r>
          </w:p>
        </w:tc>
        <w:tc>
          <w:tcPr>
            <w:tcW w:w="940" w:type="dxa"/>
            <w:tcBorders>
              <w:top w:val="nil"/>
              <w:left w:val="nil"/>
              <w:bottom w:val="nil"/>
              <w:right w:val="nil"/>
            </w:tcBorders>
            <w:shd w:val="clear" w:color="000000" w:fill="FFFFFF"/>
            <w:vAlign w:val="bottom"/>
            <w:hideMark/>
          </w:tcPr>
          <w:p w14:paraId="6488E18D"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5.2</w:t>
            </w:r>
          </w:p>
        </w:tc>
        <w:tc>
          <w:tcPr>
            <w:tcW w:w="940" w:type="dxa"/>
            <w:tcBorders>
              <w:top w:val="nil"/>
              <w:left w:val="nil"/>
              <w:bottom w:val="nil"/>
              <w:right w:val="nil"/>
            </w:tcBorders>
            <w:shd w:val="clear" w:color="000000" w:fill="FFFFFF"/>
            <w:vAlign w:val="bottom"/>
            <w:hideMark/>
          </w:tcPr>
          <w:p w14:paraId="7241C339"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4.7</w:t>
            </w:r>
          </w:p>
        </w:tc>
        <w:tc>
          <w:tcPr>
            <w:tcW w:w="1332" w:type="dxa"/>
            <w:tcBorders>
              <w:top w:val="nil"/>
              <w:left w:val="nil"/>
              <w:bottom w:val="nil"/>
              <w:right w:val="nil"/>
            </w:tcBorders>
            <w:shd w:val="clear" w:color="000000" w:fill="FFFFFF"/>
            <w:vAlign w:val="bottom"/>
            <w:hideMark/>
          </w:tcPr>
          <w:p w14:paraId="5FEB5C37"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633D8338"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3E0EAD1D" w14:textId="77777777" w:rsidTr="00F07FFD">
        <w:trPr>
          <w:cantSplit/>
        </w:trPr>
        <w:tc>
          <w:tcPr>
            <w:tcW w:w="4020" w:type="dxa"/>
            <w:tcBorders>
              <w:top w:val="nil"/>
              <w:left w:val="nil"/>
              <w:bottom w:val="single" w:sz="4" w:space="0" w:color="808080"/>
              <w:right w:val="nil"/>
            </w:tcBorders>
            <w:shd w:val="clear" w:color="000000" w:fill="FFFFFF"/>
            <w:vAlign w:val="bottom"/>
            <w:hideMark/>
          </w:tcPr>
          <w:p w14:paraId="2CEDC7A2"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Stroke (diagnosed)</w:t>
            </w:r>
          </w:p>
        </w:tc>
        <w:tc>
          <w:tcPr>
            <w:tcW w:w="900" w:type="dxa"/>
            <w:tcBorders>
              <w:top w:val="nil"/>
              <w:left w:val="nil"/>
              <w:bottom w:val="single" w:sz="4" w:space="0" w:color="808080"/>
              <w:right w:val="nil"/>
            </w:tcBorders>
            <w:shd w:val="clear" w:color="000000" w:fill="FFFFFF"/>
            <w:vAlign w:val="bottom"/>
            <w:hideMark/>
          </w:tcPr>
          <w:p w14:paraId="39105D15"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1.8</w:t>
            </w:r>
          </w:p>
        </w:tc>
        <w:tc>
          <w:tcPr>
            <w:tcW w:w="940" w:type="dxa"/>
            <w:tcBorders>
              <w:top w:val="nil"/>
              <w:left w:val="nil"/>
              <w:bottom w:val="single" w:sz="4" w:space="0" w:color="808080"/>
              <w:right w:val="nil"/>
            </w:tcBorders>
            <w:shd w:val="clear" w:color="000000" w:fill="FFFFFF"/>
            <w:vAlign w:val="bottom"/>
            <w:hideMark/>
          </w:tcPr>
          <w:p w14:paraId="43CFB031"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2.2</w:t>
            </w:r>
          </w:p>
        </w:tc>
        <w:tc>
          <w:tcPr>
            <w:tcW w:w="940" w:type="dxa"/>
            <w:tcBorders>
              <w:top w:val="nil"/>
              <w:left w:val="nil"/>
              <w:bottom w:val="single" w:sz="4" w:space="0" w:color="808080"/>
              <w:right w:val="nil"/>
            </w:tcBorders>
            <w:shd w:val="clear" w:color="000000" w:fill="FFFFFF"/>
            <w:vAlign w:val="bottom"/>
            <w:hideMark/>
          </w:tcPr>
          <w:p w14:paraId="11A71F2C"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1.8</w:t>
            </w:r>
          </w:p>
        </w:tc>
        <w:tc>
          <w:tcPr>
            <w:tcW w:w="1332" w:type="dxa"/>
            <w:tcBorders>
              <w:top w:val="nil"/>
              <w:left w:val="nil"/>
              <w:bottom w:val="single" w:sz="4" w:space="0" w:color="808080"/>
              <w:right w:val="nil"/>
            </w:tcBorders>
            <w:shd w:val="clear" w:color="000000" w:fill="FFFFFF"/>
            <w:vAlign w:val="bottom"/>
            <w:hideMark/>
          </w:tcPr>
          <w:p w14:paraId="53638684"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2C2C6440"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5526B3F0" w14:textId="77777777" w:rsidTr="00F07FFD">
        <w:trPr>
          <w:cantSplit/>
        </w:trPr>
        <w:tc>
          <w:tcPr>
            <w:tcW w:w="4020" w:type="dxa"/>
            <w:tcBorders>
              <w:top w:val="nil"/>
              <w:left w:val="nil"/>
              <w:bottom w:val="single" w:sz="4" w:space="0" w:color="808080"/>
              <w:right w:val="nil"/>
            </w:tcBorders>
            <w:shd w:val="clear" w:color="000000" w:fill="FFFFFF"/>
            <w:vAlign w:val="bottom"/>
            <w:hideMark/>
          </w:tcPr>
          <w:p w14:paraId="5413FE69"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Psychological distress</w:t>
            </w:r>
          </w:p>
        </w:tc>
        <w:tc>
          <w:tcPr>
            <w:tcW w:w="900" w:type="dxa"/>
            <w:tcBorders>
              <w:top w:val="nil"/>
              <w:left w:val="nil"/>
              <w:bottom w:val="single" w:sz="4" w:space="0" w:color="808080"/>
              <w:right w:val="nil"/>
            </w:tcBorders>
            <w:shd w:val="clear" w:color="000000" w:fill="FFFFFF"/>
            <w:vAlign w:val="bottom"/>
            <w:hideMark/>
          </w:tcPr>
          <w:p w14:paraId="1E13E9EC"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10.5</w:t>
            </w:r>
          </w:p>
        </w:tc>
        <w:tc>
          <w:tcPr>
            <w:tcW w:w="940" w:type="dxa"/>
            <w:tcBorders>
              <w:top w:val="nil"/>
              <w:left w:val="nil"/>
              <w:bottom w:val="single" w:sz="4" w:space="0" w:color="808080"/>
              <w:right w:val="nil"/>
            </w:tcBorders>
            <w:shd w:val="clear" w:color="000000" w:fill="FFFFFF"/>
            <w:vAlign w:val="bottom"/>
            <w:hideMark/>
          </w:tcPr>
          <w:p w14:paraId="7D01CC29"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7.4</w:t>
            </w:r>
          </w:p>
        </w:tc>
        <w:tc>
          <w:tcPr>
            <w:tcW w:w="940" w:type="dxa"/>
            <w:tcBorders>
              <w:top w:val="nil"/>
              <w:left w:val="nil"/>
              <w:bottom w:val="single" w:sz="4" w:space="0" w:color="808080"/>
              <w:right w:val="nil"/>
            </w:tcBorders>
            <w:shd w:val="clear" w:color="000000" w:fill="FFFFFF"/>
            <w:vAlign w:val="bottom"/>
            <w:hideMark/>
          </w:tcPr>
          <w:p w14:paraId="49024165"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10.9</w:t>
            </w:r>
          </w:p>
        </w:tc>
        <w:tc>
          <w:tcPr>
            <w:tcW w:w="1332" w:type="dxa"/>
            <w:tcBorders>
              <w:top w:val="nil"/>
              <w:left w:val="nil"/>
              <w:bottom w:val="single" w:sz="4" w:space="0" w:color="808080"/>
              <w:right w:val="nil"/>
            </w:tcBorders>
            <w:shd w:val="clear" w:color="000000" w:fill="FFFFFF"/>
            <w:vAlign w:val="bottom"/>
            <w:hideMark/>
          </w:tcPr>
          <w:p w14:paraId="7693AD4F"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1A6CA5F0"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4EFB4370" w14:textId="77777777" w:rsidTr="00F07FFD">
        <w:trPr>
          <w:cantSplit/>
        </w:trPr>
        <w:tc>
          <w:tcPr>
            <w:tcW w:w="4020" w:type="dxa"/>
            <w:tcBorders>
              <w:top w:val="nil"/>
              <w:left w:val="nil"/>
              <w:bottom w:val="nil"/>
              <w:right w:val="nil"/>
            </w:tcBorders>
            <w:shd w:val="clear" w:color="000000" w:fill="FFFFFF"/>
            <w:vAlign w:val="bottom"/>
            <w:hideMark/>
          </w:tcPr>
          <w:p w14:paraId="48D1F087"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Asthma (medicated)</w:t>
            </w:r>
          </w:p>
        </w:tc>
        <w:tc>
          <w:tcPr>
            <w:tcW w:w="900" w:type="dxa"/>
            <w:tcBorders>
              <w:top w:val="nil"/>
              <w:left w:val="nil"/>
              <w:bottom w:val="nil"/>
              <w:right w:val="nil"/>
            </w:tcBorders>
            <w:shd w:val="clear" w:color="000000" w:fill="FFFFFF"/>
            <w:vAlign w:val="bottom"/>
            <w:hideMark/>
          </w:tcPr>
          <w:p w14:paraId="39054BED"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17.7</w:t>
            </w:r>
          </w:p>
        </w:tc>
        <w:tc>
          <w:tcPr>
            <w:tcW w:w="940" w:type="dxa"/>
            <w:tcBorders>
              <w:top w:val="nil"/>
              <w:left w:val="nil"/>
              <w:bottom w:val="nil"/>
              <w:right w:val="nil"/>
            </w:tcBorders>
            <w:shd w:val="clear" w:color="000000" w:fill="FFFFFF"/>
            <w:vAlign w:val="bottom"/>
            <w:hideMark/>
          </w:tcPr>
          <w:p w14:paraId="1B3E979F"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17.0</w:t>
            </w:r>
          </w:p>
        </w:tc>
        <w:tc>
          <w:tcPr>
            <w:tcW w:w="940" w:type="dxa"/>
            <w:tcBorders>
              <w:top w:val="nil"/>
              <w:left w:val="nil"/>
              <w:bottom w:val="nil"/>
              <w:right w:val="nil"/>
            </w:tcBorders>
            <w:shd w:val="clear" w:color="000000" w:fill="FFFFFF"/>
            <w:vAlign w:val="bottom"/>
            <w:hideMark/>
          </w:tcPr>
          <w:p w14:paraId="4B4B5E0B"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15.4</w:t>
            </w:r>
          </w:p>
        </w:tc>
        <w:tc>
          <w:tcPr>
            <w:tcW w:w="1332" w:type="dxa"/>
            <w:tcBorders>
              <w:top w:val="nil"/>
              <w:left w:val="nil"/>
              <w:bottom w:val="nil"/>
              <w:right w:val="nil"/>
            </w:tcBorders>
            <w:shd w:val="clear" w:color="000000" w:fill="FFFFFF"/>
            <w:vAlign w:val="bottom"/>
            <w:hideMark/>
          </w:tcPr>
          <w:p w14:paraId="25639714"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78A78DE3"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28CB0484" w14:textId="77777777" w:rsidTr="00F07FFD">
        <w:trPr>
          <w:cantSplit/>
        </w:trPr>
        <w:tc>
          <w:tcPr>
            <w:tcW w:w="4020" w:type="dxa"/>
            <w:tcBorders>
              <w:top w:val="nil"/>
              <w:left w:val="nil"/>
              <w:bottom w:val="nil"/>
              <w:right w:val="nil"/>
            </w:tcBorders>
            <w:shd w:val="clear" w:color="000000" w:fill="FFFFFF"/>
            <w:vAlign w:val="bottom"/>
            <w:hideMark/>
          </w:tcPr>
          <w:p w14:paraId="1856F0D6"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Arthritis (diagnosed)</w:t>
            </w:r>
          </w:p>
        </w:tc>
        <w:tc>
          <w:tcPr>
            <w:tcW w:w="900" w:type="dxa"/>
            <w:tcBorders>
              <w:top w:val="nil"/>
              <w:left w:val="nil"/>
              <w:bottom w:val="nil"/>
              <w:right w:val="nil"/>
            </w:tcBorders>
            <w:shd w:val="clear" w:color="000000" w:fill="FFFFFF"/>
            <w:vAlign w:val="bottom"/>
            <w:hideMark/>
          </w:tcPr>
          <w:p w14:paraId="5A6210B7"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14.3</w:t>
            </w:r>
          </w:p>
        </w:tc>
        <w:tc>
          <w:tcPr>
            <w:tcW w:w="940" w:type="dxa"/>
            <w:tcBorders>
              <w:top w:val="nil"/>
              <w:left w:val="nil"/>
              <w:bottom w:val="nil"/>
              <w:right w:val="nil"/>
            </w:tcBorders>
            <w:shd w:val="clear" w:color="000000" w:fill="FFFFFF"/>
            <w:vAlign w:val="bottom"/>
            <w:hideMark/>
          </w:tcPr>
          <w:p w14:paraId="7F28278D"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11.9</w:t>
            </w:r>
          </w:p>
        </w:tc>
        <w:tc>
          <w:tcPr>
            <w:tcW w:w="940" w:type="dxa"/>
            <w:tcBorders>
              <w:top w:val="nil"/>
              <w:left w:val="nil"/>
              <w:bottom w:val="nil"/>
              <w:right w:val="nil"/>
            </w:tcBorders>
            <w:shd w:val="clear" w:color="000000" w:fill="FFFFFF"/>
            <w:vAlign w:val="bottom"/>
            <w:hideMark/>
          </w:tcPr>
          <w:p w14:paraId="42823BB7"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11.1</w:t>
            </w:r>
          </w:p>
        </w:tc>
        <w:tc>
          <w:tcPr>
            <w:tcW w:w="1332" w:type="dxa"/>
            <w:tcBorders>
              <w:top w:val="nil"/>
              <w:left w:val="nil"/>
              <w:bottom w:val="nil"/>
              <w:right w:val="nil"/>
            </w:tcBorders>
            <w:shd w:val="clear" w:color="000000" w:fill="FFFFFF"/>
            <w:vAlign w:val="bottom"/>
            <w:hideMark/>
          </w:tcPr>
          <w:p w14:paraId="1939C01D"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578BC9D6"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789D922C" w14:textId="77777777" w:rsidTr="00F07FFD">
        <w:trPr>
          <w:cantSplit/>
        </w:trPr>
        <w:tc>
          <w:tcPr>
            <w:tcW w:w="4020" w:type="dxa"/>
            <w:tcBorders>
              <w:top w:val="nil"/>
              <w:left w:val="nil"/>
              <w:bottom w:val="single" w:sz="4" w:space="0" w:color="808080"/>
              <w:right w:val="nil"/>
            </w:tcBorders>
            <w:shd w:val="clear" w:color="000000" w:fill="FFFFFF"/>
            <w:vAlign w:val="bottom"/>
            <w:hideMark/>
          </w:tcPr>
          <w:p w14:paraId="0F78F367"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Chronic pain</w:t>
            </w:r>
          </w:p>
        </w:tc>
        <w:tc>
          <w:tcPr>
            <w:tcW w:w="900" w:type="dxa"/>
            <w:tcBorders>
              <w:top w:val="nil"/>
              <w:left w:val="nil"/>
              <w:bottom w:val="single" w:sz="4" w:space="0" w:color="808080"/>
              <w:right w:val="nil"/>
            </w:tcBorders>
            <w:shd w:val="clear" w:color="000000" w:fill="FFFFFF"/>
            <w:vAlign w:val="bottom"/>
            <w:hideMark/>
          </w:tcPr>
          <w:p w14:paraId="2E1E79C8"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21.6</w:t>
            </w:r>
          </w:p>
        </w:tc>
        <w:tc>
          <w:tcPr>
            <w:tcW w:w="940" w:type="dxa"/>
            <w:tcBorders>
              <w:top w:val="nil"/>
              <w:left w:val="nil"/>
              <w:bottom w:val="single" w:sz="4" w:space="0" w:color="808080"/>
              <w:right w:val="nil"/>
            </w:tcBorders>
            <w:shd w:val="clear" w:color="000000" w:fill="FFFFFF"/>
            <w:vAlign w:val="bottom"/>
            <w:hideMark/>
          </w:tcPr>
          <w:p w14:paraId="6232AC72"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17.8</w:t>
            </w:r>
          </w:p>
        </w:tc>
        <w:tc>
          <w:tcPr>
            <w:tcW w:w="940" w:type="dxa"/>
            <w:tcBorders>
              <w:top w:val="nil"/>
              <w:left w:val="nil"/>
              <w:bottom w:val="single" w:sz="4" w:space="0" w:color="808080"/>
              <w:right w:val="nil"/>
            </w:tcBorders>
            <w:shd w:val="clear" w:color="000000" w:fill="FFFFFF"/>
            <w:vAlign w:val="bottom"/>
            <w:hideMark/>
          </w:tcPr>
          <w:p w14:paraId="4D0E737F"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17.2</w:t>
            </w:r>
          </w:p>
        </w:tc>
        <w:tc>
          <w:tcPr>
            <w:tcW w:w="1332" w:type="dxa"/>
            <w:tcBorders>
              <w:top w:val="nil"/>
              <w:left w:val="nil"/>
              <w:bottom w:val="single" w:sz="4" w:space="0" w:color="808080"/>
              <w:right w:val="nil"/>
            </w:tcBorders>
            <w:shd w:val="clear" w:color="000000" w:fill="FFFFFF"/>
            <w:vAlign w:val="bottom"/>
            <w:hideMark/>
          </w:tcPr>
          <w:p w14:paraId="3E71A00F"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28163FE2"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6D6A7D14" w14:textId="77777777" w:rsidTr="00F07FFD">
        <w:trPr>
          <w:cantSplit/>
        </w:trPr>
        <w:tc>
          <w:tcPr>
            <w:tcW w:w="4020" w:type="dxa"/>
            <w:tcBorders>
              <w:top w:val="nil"/>
              <w:left w:val="nil"/>
              <w:bottom w:val="nil"/>
              <w:right w:val="nil"/>
            </w:tcBorders>
            <w:shd w:val="clear" w:color="000000" w:fill="FFFFFF"/>
            <w:vAlign w:val="bottom"/>
            <w:hideMark/>
          </w:tcPr>
          <w:p w14:paraId="4FFD905A" w14:textId="77777777" w:rsidR="00FC0DB8" w:rsidRPr="000C1A9F" w:rsidRDefault="00FC0DB8" w:rsidP="00F07FFD">
            <w:pPr>
              <w:spacing w:before="40" w:after="40" w:line="240" w:lineRule="auto"/>
              <w:rPr>
                <w:rFonts w:ascii="Arial" w:hAnsi="Arial" w:cs="Arial"/>
                <w:b/>
                <w:bCs/>
                <w:sz w:val="18"/>
                <w:szCs w:val="18"/>
                <w:lang w:eastAsia="en-NZ"/>
              </w:rPr>
            </w:pPr>
            <w:r w:rsidRPr="000C1A9F">
              <w:rPr>
                <w:rFonts w:ascii="Arial" w:hAnsi="Arial" w:cs="Arial"/>
                <w:b/>
                <w:bCs/>
                <w:sz w:val="18"/>
                <w:szCs w:val="18"/>
                <w:lang w:eastAsia="en-NZ"/>
              </w:rPr>
              <w:t xml:space="preserve">Access to health care </w:t>
            </w:r>
          </w:p>
        </w:tc>
        <w:tc>
          <w:tcPr>
            <w:tcW w:w="900" w:type="dxa"/>
            <w:tcBorders>
              <w:top w:val="nil"/>
              <w:left w:val="nil"/>
              <w:bottom w:val="nil"/>
              <w:right w:val="nil"/>
            </w:tcBorders>
            <w:shd w:val="clear" w:color="000000" w:fill="FFFFFF"/>
            <w:vAlign w:val="bottom"/>
            <w:hideMark/>
          </w:tcPr>
          <w:p w14:paraId="4D97BBF7" w14:textId="77777777" w:rsidR="00FC0DB8" w:rsidRPr="000C1A9F" w:rsidRDefault="00FC0DB8" w:rsidP="00F07FFD">
            <w:pPr>
              <w:spacing w:before="40" w:after="40" w:line="240" w:lineRule="auto"/>
              <w:jc w:val="center"/>
              <w:rPr>
                <w:rFonts w:ascii="Arial" w:hAnsi="Arial" w:cs="Arial"/>
                <w:color w:val="000000"/>
                <w:sz w:val="18"/>
                <w:szCs w:val="18"/>
                <w:lang w:eastAsia="en-NZ"/>
              </w:rPr>
            </w:pPr>
          </w:p>
        </w:tc>
        <w:tc>
          <w:tcPr>
            <w:tcW w:w="940" w:type="dxa"/>
            <w:tcBorders>
              <w:top w:val="nil"/>
              <w:left w:val="nil"/>
              <w:bottom w:val="nil"/>
              <w:right w:val="nil"/>
            </w:tcBorders>
            <w:shd w:val="clear" w:color="000000" w:fill="FFFFFF"/>
            <w:vAlign w:val="bottom"/>
            <w:hideMark/>
          </w:tcPr>
          <w:p w14:paraId="5112C274" w14:textId="77777777" w:rsidR="00FC0DB8" w:rsidRPr="000C1A9F" w:rsidRDefault="00FC0DB8" w:rsidP="00F07FFD">
            <w:pPr>
              <w:spacing w:before="40" w:after="40" w:line="240" w:lineRule="auto"/>
              <w:jc w:val="center"/>
              <w:rPr>
                <w:rFonts w:ascii="Arial" w:hAnsi="Arial" w:cs="Arial"/>
                <w:color w:val="808080"/>
                <w:sz w:val="18"/>
                <w:szCs w:val="18"/>
                <w:lang w:eastAsia="en-NZ"/>
              </w:rPr>
            </w:pPr>
          </w:p>
        </w:tc>
        <w:tc>
          <w:tcPr>
            <w:tcW w:w="940" w:type="dxa"/>
            <w:tcBorders>
              <w:top w:val="nil"/>
              <w:left w:val="nil"/>
              <w:bottom w:val="nil"/>
              <w:right w:val="nil"/>
            </w:tcBorders>
            <w:shd w:val="clear" w:color="000000" w:fill="FFFFFF"/>
            <w:vAlign w:val="bottom"/>
            <w:hideMark/>
          </w:tcPr>
          <w:p w14:paraId="57BAC02B" w14:textId="77777777" w:rsidR="00FC0DB8" w:rsidRPr="000C1A9F" w:rsidRDefault="00FC0DB8" w:rsidP="00F07FFD">
            <w:pPr>
              <w:spacing w:before="40" w:after="40" w:line="240" w:lineRule="auto"/>
              <w:jc w:val="center"/>
              <w:rPr>
                <w:rFonts w:ascii="Arial" w:hAnsi="Arial" w:cs="Arial"/>
                <w:color w:val="808080"/>
                <w:sz w:val="18"/>
                <w:szCs w:val="18"/>
                <w:lang w:eastAsia="en-NZ"/>
              </w:rPr>
            </w:pPr>
          </w:p>
        </w:tc>
        <w:tc>
          <w:tcPr>
            <w:tcW w:w="1332" w:type="dxa"/>
            <w:tcBorders>
              <w:top w:val="nil"/>
              <w:left w:val="nil"/>
              <w:bottom w:val="nil"/>
              <w:right w:val="nil"/>
            </w:tcBorders>
            <w:shd w:val="clear" w:color="000000" w:fill="FFFFFF"/>
            <w:vAlign w:val="center"/>
            <w:hideMark/>
          </w:tcPr>
          <w:p w14:paraId="326B1E45" w14:textId="77777777" w:rsidR="00FC0DB8" w:rsidRPr="000C1A9F" w:rsidRDefault="00FC0DB8" w:rsidP="00F07FFD">
            <w:pPr>
              <w:spacing w:before="40" w:after="40" w:line="240" w:lineRule="auto"/>
              <w:jc w:val="center"/>
              <w:rPr>
                <w:rFonts w:ascii="Arial" w:hAnsi="Arial" w:cs="Arial"/>
                <w:color w:val="4F81BD"/>
                <w:sz w:val="18"/>
                <w:szCs w:val="18"/>
                <w:lang w:eastAsia="en-NZ"/>
              </w:rPr>
            </w:pPr>
          </w:p>
        </w:tc>
        <w:tc>
          <w:tcPr>
            <w:tcW w:w="1332" w:type="dxa"/>
            <w:tcBorders>
              <w:top w:val="nil"/>
              <w:left w:val="nil"/>
              <w:bottom w:val="nil"/>
              <w:right w:val="nil"/>
            </w:tcBorders>
            <w:shd w:val="clear" w:color="000000" w:fill="FFFFFF"/>
            <w:vAlign w:val="center"/>
            <w:hideMark/>
          </w:tcPr>
          <w:p w14:paraId="5274FF14" w14:textId="77777777" w:rsidR="00FC0DB8" w:rsidRPr="000C1A9F" w:rsidRDefault="00FC0DB8" w:rsidP="00F07FFD">
            <w:pPr>
              <w:spacing w:before="40" w:after="40" w:line="240" w:lineRule="auto"/>
              <w:jc w:val="center"/>
              <w:rPr>
                <w:rFonts w:ascii="Arial" w:hAnsi="Arial" w:cs="Arial"/>
                <w:color w:val="4F81BD"/>
                <w:sz w:val="18"/>
                <w:szCs w:val="18"/>
                <w:lang w:eastAsia="en-NZ"/>
              </w:rPr>
            </w:pPr>
          </w:p>
        </w:tc>
      </w:tr>
      <w:tr w:rsidR="00FC0DB8" w:rsidRPr="000C1A9F" w14:paraId="28AABB87" w14:textId="77777777" w:rsidTr="00F07FFD">
        <w:trPr>
          <w:cantSplit/>
        </w:trPr>
        <w:tc>
          <w:tcPr>
            <w:tcW w:w="4020" w:type="dxa"/>
            <w:tcBorders>
              <w:top w:val="nil"/>
              <w:left w:val="nil"/>
              <w:bottom w:val="nil"/>
              <w:right w:val="nil"/>
            </w:tcBorders>
            <w:shd w:val="clear" w:color="000000" w:fill="FFFFFF"/>
            <w:vAlign w:val="bottom"/>
            <w:hideMark/>
          </w:tcPr>
          <w:p w14:paraId="294D47CD"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GP visit in the past 12 months</w:t>
            </w:r>
          </w:p>
        </w:tc>
        <w:tc>
          <w:tcPr>
            <w:tcW w:w="900" w:type="dxa"/>
            <w:tcBorders>
              <w:top w:val="nil"/>
              <w:left w:val="nil"/>
              <w:bottom w:val="nil"/>
              <w:right w:val="nil"/>
            </w:tcBorders>
            <w:shd w:val="clear" w:color="000000" w:fill="FFFFFF"/>
            <w:vAlign w:val="bottom"/>
            <w:hideMark/>
          </w:tcPr>
          <w:p w14:paraId="14C84DBB"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75.0</w:t>
            </w:r>
          </w:p>
        </w:tc>
        <w:tc>
          <w:tcPr>
            <w:tcW w:w="940" w:type="dxa"/>
            <w:tcBorders>
              <w:top w:val="nil"/>
              <w:left w:val="nil"/>
              <w:bottom w:val="nil"/>
              <w:right w:val="nil"/>
            </w:tcBorders>
            <w:shd w:val="clear" w:color="000000" w:fill="FFFFFF"/>
            <w:vAlign w:val="bottom"/>
            <w:hideMark/>
          </w:tcPr>
          <w:p w14:paraId="635AB2A2"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75.0</w:t>
            </w:r>
          </w:p>
        </w:tc>
        <w:tc>
          <w:tcPr>
            <w:tcW w:w="940" w:type="dxa"/>
            <w:tcBorders>
              <w:top w:val="nil"/>
              <w:left w:val="nil"/>
              <w:bottom w:val="nil"/>
              <w:right w:val="nil"/>
            </w:tcBorders>
            <w:shd w:val="clear" w:color="000000" w:fill="FFFFFF"/>
            <w:vAlign w:val="bottom"/>
            <w:hideMark/>
          </w:tcPr>
          <w:p w14:paraId="2983D76E"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78.8</w:t>
            </w:r>
          </w:p>
        </w:tc>
        <w:tc>
          <w:tcPr>
            <w:tcW w:w="1332" w:type="dxa"/>
            <w:tcBorders>
              <w:top w:val="nil"/>
              <w:left w:val="nil"/>
              <w:bottom w:val="nil"/>
              <w:right w:val="nil"/>
            </w:tcBorders>
            <w:shd w:val="clear" w:color="000000" w:fill="FFFFFF"/>
            <w:vAlign w:val="bottom"/>
            <w:hideMark/>
          </w:tcPr>
          <w:p w14:paraId="41EC63FD"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24C4B043"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654B6B59" w14:textId="77777777" w:rsidTr="00F07FFD">
        <w:trPr>
          <w:cantSplit/>
        </w:trPr>
        <w:tc>
          <w:tcPr>
            <w:tcW w:w="4020" w:type="dxa"/>
            <w:tcBorders>
              <w:top w:val="nil"/>
              <w:left w:val="nil"/>
              <w:bottom w:val="nil"/>
              <w:right w:val="nil"/>
            </w:tcBorders>
            <w:shd w:val="clear" w:color="000000" w:fill="FFFFFF"/>
            <w:vAlign w:val="bottom"/>
            <w:hideMark/>
          </w:tcPr>
          <w:p w14:paraId="38E904EF"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 xml:space="preserve">Practice nurse </w:t>
            </w:r>
            <w:r>
              <w:rPr>
                <w:rFonts w:ascii="Arial" w:hAnsi="Arial" w:cs="Arial"/>
                <w:color w:val="000000"/>
                <w:sz w:val="18"/>
                <w:szCs w:val="18"/>
                <w:lang w:eastAsia="en-NZ"/>
              </w:rPr>
              <w:t xml:space="preserve">(only) </w:t>
            </w:r>
            <w:r w:rsidRPr="000C1A9F">
              <w:rPr>
                <w:rFonts w:ascii="Arial" w:hAnsi="Arial" w:cs="Arial"/>
                <w:color w:val="000000"/>
                <w:sz w:val="18"/>
                <w:szCs w:val="18"/>
                <w:lang w:eastAsia="en-NZ"/>
              </w:rPr>
              <w:t>visit in the past 12 months</w:t>
            </w:r>
          </w:p>
        </w:tc>
        <w:tc>
          <w:tcPr>
            <w:tcW w:w="900" w:type="dxa"/>
            <w:tcBorders>
              <w:top w:val="nil"/>
              <w:left w:val="nil"/>
              <w:bottom w:val="nil"/>
              <w:right w:val="nil"/>
            </w:tcBorders>
            <w:shd w:val="clear" w:color="000000" w:fill="FFFFFF"/>
            <w:vAlign w:val="bottom"/>
            <w:hideMark/>
          </w:tcPr>
          <w:p w14:paraId="5E6F04F6"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30.7</w:t>
            </w:r>
          </w:p>
        </w:tc>
        <w:tc>
          <w:tcPr>
            <w:tcW w:w="940" w:type="dxa"/>
            <w:tcBorders>
              <w:top w:val="nil"/>
              <w:left w:val="nil"/>
              <w:bottom w:val="nil"/>
              <w:right w:val="nil"/>
            </w:tcBorders>
            <w:shd w:val="clear" w:color="000000" w:fill="FFFFFF"/>
            <w:vAlign w:val="bottom"/>
            <w:hideMark/>
          </w:tcPr>
          <w:p w14:paraId="641E3DC9"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30.2</w:t>
            </w:r>
          </w:p>
        </w:tc>
        <w:tc>
          <w:tcPr>
            <w:tcW w:w="940" w:type="dxa"/>
            <w:tcBorders>
              <w:top w:val="nil"/>
              <w:left w:val="nil"/>
              <w:bottom w:val="nil"/>
              <w:right w:val="nil"/>
            </w:tcBorders>
            <w:shd w:val="clear" w:color="000000" w:fill="FFFFFF"/>
            <w:vAlign w:val="bottom"/>
            <w:hideMark/>
          </w:tcPr>
          <w:p w14:paraId="773541DA"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27.7</w:t>
            </w:r>
          </w:p>
        </w:tc>
        <w:tc>
          <w:tcPr>
            <w:tcW w:w="1332" w:type="dxa"/>
            <w:tcBorders>
              <w:top w:val="nil"/>
              <w:left w:val="nil"/>
              <w:bottom w:val="nil"/>
              <w:right w:val="nil"/>
            </w:tcBorders>
            <w:shd w:val="clear" w:color="000000" w:fill="FFFFFF"/>
            <w:vAlign w:val="bottom"/>
            <w:hideMark/>
          </w:tcPr>
          <w:p w14:paraId="512C2F5F"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27222E00"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0A345D7F" w14:textId="77777777" w:rsidTr="00F07FFD">
        <w:trPr>
          <w:cantSplit/>
        </w:trPr>
        <w:tc>
          <w:tcPr>
            <w:tcW w:w="4020" w:type="dxa"/>
            <w:tcBorders>
              <w:top w:val="nil"/>
              <w:left w:val="nil"/>
              <w:bottom w:val="single" w:sz="4" w:space="0" w:color="808080"/>
              <w:right w:val="nil"/>
            </w:tcBorders>
            <w:shd w:val="clear" w:color="000000" w:fill="FFFFFF"/>
            <w:vAlign w:val="bottom"/>
            <w:hideMark/>
          </w:tcPr>
          <w:p w14:paraId="19621BC3"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 xml:space="preserve">After-hours </w:t>
            </w:r>
            <w:r>
              <w:rPr>
                <w:rFonts w:ascii="Arial" w:hAnsi="Arial" w:cs="Arial"/>
                <w:color w:val="000000"/>
                <w:sz w:val="18"/>
                <w:szCs w:val="18"/>
                <w:lang w:eastAsia="en-NZ"/>
              </w:rPr>
              <w:t xml:space="preserve">medical centre </w:t>
            </w:r>
            <w:r w:rsidRPr="000C1A9F">
              <w:rPr>
                <w:rFonts w:ascii="Arial" w:hAnsi="Arial" w:cs="Arial"/>
                <w:color w:val="000000"/>
                <w:sz w:val="18"/>
                <w:szCs w:val="18"/>
                <w:lang w:eastAsia="en-NZ"/>
              </w:rPr>
              <w:t>visit in the past 12</w:t>
            </w:r>
            <w:r w:rsidR="00F07FFD">
              <w:rPr>
                <w:rFonts w:ascii="Arial" w:hAnsi="Arial" w:cs="Arial"/>
                <w:color w:val="000000"/>
                <w:sz w:val="18"/>
                <w:szCs w:val="18"/>
                <w:lang w:eastAsia="en-NZ"/>
              </w:rPr>
              <w:t> </w:t>
            </w:r>
            <w:r w:rsidRPr="000C1A9F">
              <w:rPr>
                <w:rFonts w:ascii="Arial" w:hAnsi="Arial" w:cs="Arial"/>
                <w:color w:val="000000"/>
                <w:sz w:val="18"/>
                <w:szCs w:val="18"/>
                <w:lang w:eastAsia="en-NZ"/>
              </w:rPr>
              <w:t>months</w:t>
            </w:r>
          </w:p>
        </w:tc>
        <w:tc>
          <w:tcPr>
            <w:tcW w:w="900" w:type="dxa"/>
            <w:tcBorders>
              <w:top w:val="nil"/>
              <w:left w:val="nil"/>
              <w:bottom w:val="single" w:sz="4" w:space="0" w:color="808080"/>
              <w:right w:val="nil"/>
            </w:tcBorders>
            <w:shd w:val="clear" w:color="000000" w:fill="FFFFFF"/>
            <w:vAlign w:val="bottom"/>
            <w:hideMark/>
          </w:tcPr>
          <w:p w14:paraId="63CFC6ED"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10.5</w:t>
            </w:r>
          </w:p>
        </w:tc>
        <w:tc>
          <w:tcPr>
            <w:tcW w:w="940" w:type="dxa"/>
            <w:tcBorders>
              <w:top w:val="nil"/>
              <w:left w:val="nil"/>
              <w:bottom w:val="single" w:sz="4" w:space="0" w:color="808080"/>
              <w:right w:val="nil"/>
            </w:tcBorders>
            <w:shd w:val="clear" w:color="000000" w:fill="FFFFFF"/>
            <w:vAlign w:val="bottom"/>
            <w:hideMark/>
          </w:tcPr>
          <w:p w14:paraId="350F700E"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13.1</w:t>
            </w:r>
          </w:p>
        </w:tc>
        <w:tc>
          <w:tcPr>
            <w:tcW w:w="940" w:type="dxa"/>
            <w:tcBorders>
              <w:top w:val="nil"/>
              <w:left w:val="nil"/>
              <w:bottom w:val="single" w:sz="4" w:space="0" w:color="808080"/>
              <w:right w:val="nil"/>
            </w:tcBorders>
            <w:shd w:val="clear" w:color="000000" w:fill="FFFFFF"/>
            <w:vAlign w:val="bottom"/>
            <w:hideMark/>
          </w:tcPr>
          <w:p w14:paraId="2C4A8987"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428ABB9C"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5F4C3905"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1EA037F7" w14:textId="77777777" w:rsidTr="00F07FFD">
        <w:trPr>
          <w:cantSplit/>
        </w:trPr>
        <w:tc>
          <w:tcPr>
            <w:tcW w:w="4020" w:type="dxa"/>
            <w:tcBorders>
              <w:top w:val="nil"/>
              <w:left w:val="nil"/>
              <w:bottom w:val="nil"/>
              <w:right w:val="nil"/>
            </w:tcBorders>
            <w:shd w:val="clear" w:color="000000" w:fill="FFFFFF"/>
            <w:vAlign w:val="bottom"/>
            <w:hideMark/>
          </w:tcPr>
          <w:p w14:paraId="15F37B19"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Experienced any unmet need for primary he</w:t>
            </w:r>
            <w:r w:rsidR="00F07FFD">
              <w:rPr>
                <w:rFonts w:ascii="Arial" w:hAnsi="Arial" w:cs="Arial"/>
                <w:color w:val="000000"/>
                <w:sz w:val="18"/>
                <w:szCs w:val="18"/>
                <w:lang w:eastAsia="en-NZ"/>
              </w:rPr>
              <w:t>alth care in the past 12 months</w:t>
            </w:r>
          </w:p>
        </w:tc>
        <w:tc>
          <w:tcPr>
            <w:tcW w:w="900" w:type="dxa"/>
            <w:tcBorders>
              <w:top w:val="nil"/>
              <w:left w:val="nil"/>
              <w:bottom w:val="nil"/>
              <w:right w:val="nil"/>
            </w:tcBorders>
            <w:shd w:val="clear" w:color="000000" w:fill="FFFFFF"/>
            <w:vAlign w:val="bottom"/>
            <w:hideMark/>
          </w:tcPr>
          <w:p w14:paraId="38C63D22"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39.3</w:t>
            </w:r>
          </w:p>
        </w:tc>
        <w:tc>
          <w:tcPr>
            <w:tcW w:w="940" w:type="dxa"/>
            <w:tcBorders>
              <w:top w:val="nil"/>
              <w:left w:val="nil"/>
              <w:bottom w:val="nil"/>
              <w:right w:val="nil"/>
            </w:tcBorders>
            <w:shd w:val="clear" w:color="000000" w:fill="FFFFFF"/>
            <w:vAlign w:val="bottom"/>
            <w:hideMark/>
          </w:tcPr>
          <w:p w14:paraId="28240D08"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38.8</w:t>
            </w:r>
          </w:p>
        </w:tc>
        <w:tc>
          <w:tcPr>
            <w:tcW w:w="940" w:type="dxa"/>
            <w:tcBorders>
              <w:top w:val="nil"/>
              <w:left w:val="nil"/>
              <w:bottom w:val="nil"/>
              <w:right w:val="nil"/>
            </w:tcBorders>
            <w:shd w:val="clear" w:color="000000" w:fill="FFFFFF"/>
            <w:vAlign w:val="bottom"/>
            <w:hideMark/>
          </w:tcPr>
          <w:p w14:paraId="0A14B0EB"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w:t>
            </w:r>
          </w:p>
        </w:tc>
        <w:tc>
          <w:tcPr>
            <w:tcW w:w="1332" w:type="dxa"/>
            <w:tcBorders>
              <w:top w:val="nil"/>
              <w:left w:val="nil"/>
              <w:bottom w:val="nil"/>
              <w:right w:val="nil"/>
            </w:tcBorders>
            <w:shd w:val="clear" w:color="000000" w:fill="FFFFFF"/>
            <w:vAlign w:val="bottom"/>
            <w:hideMark/>
          </w:tcPr>
          <w:p w14:paraId="56D3E603"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1A2BD53D"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17820B79" w14:textId="77777777" w:rsidTr="00F07FFD">
        <w:trPr>
          <w:cantSplit/>
        </w:trPr>
        <w:tc>
          <w:tcPr>
            <w:tcW w:w="4020" w:type="dxa"/>
            <w:tcBorders>
              <w:top w:val="nil"/>
              <w:left w:val="nil"/>
              <w:bottom w:val="nil"/>
              <w:right w:val="nil"/>
            </w:tcBorders>
            <w:shd w:val="clear" w:color="000000" w:fill="FFFFFF"/>
            <w:vAlign w:val="bottom"/>
            <w:hideMark/>
          </w:tcPr>
          <w:p w14:paraId="038FB80E"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Unable to get an appointment at usual medical centre within 24 hours</w:t>
            </w:r>
          </w:p>
        </w:tc>
        <w:tc>
          <w:tcPr>
            <w:tcW w:w="900" w:type="dxa"/>
            <w:tcBorders>
              <w:top w:val="nil"/>
              <w:left w:val="nil"/>
              <w:bottom w:val="nil"/>
              <w:right w:val="nil"/>
            </w:tcBorders>
            <w:shd w:val="clear" w:color="000000" w:fill="FFFFFF"/>
            <w:vAlign w:val="bottom"/>
            <w:hideMark/>
          </w:tcPr>
          <w:p w14:paraId="3B94A2D7"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20.7</w:t>
            </w:r>
          </w:p>
        </w:tc>
        <w:tc>
          <w:tcPr>
            <w:tcW w:w="940" w:type="dxa"/>
            <w:tcBorders>
              <w:top w:val="nil"/>
              <w:left w:val="nil"/>
              <w:bottom w:val="nil"/>
              <w:right w:val="nil"/>
            </w:tcBorders>
            <w:shd w:val="clear" w:color="000000" w:fill="FFFFFF"/>
            <w:vAlign w:val="bottom"/>
            <w:hideMark/>
          </w:tcPr>
          <w:p w14:paraId="5037DCF5"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20.0</w:t>
            </w:r>
          </w:p>
        </w:tc>
        <w:tc>
          <w:tcPr>
            <w:tcW w:w="940" w:type="dxa"/>
            <w:tcBorders>
              <w:top w:val="nil"/>
              <w:left w:val="nil"/>
              <w:bottom w:val="nil"/>
              <w:right w:val="nil"/>
            </w:tcBorders>
            <w:shd w:val="clear" w:color="000000" w:fill="FFFFFF"/>
            <w:vAlign w:val="bottom"/>
            <w:hideMark/>
          </w:tcPr>
          <w:p w14:paraId="0A248E74"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22.4</w:t>
            </w:r>
          </w:p>
        </w:tc>
        <w:tc>
          <w:tcPr>
            <w:tcW w:w="1332" w:type="dxa"/>
            <w:tcBorders>
              <w:top w:val="nil"/>
              <w:left w:val="nil"/>
              <w:bottom w:val="nil"/>
              <w:right w:val="nil"/>
            </w:tcBorders>
            <w:shd w:val="clear" w:color="000000" w:fill="FFFFFF"/>
            <w:vAlign w:val="bottom"/>
            <w:hideMark/>
          </w:tcPr>
          <w:p w14:paraId="3779BDC0"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54713EC6"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331F1365" w14:textId="77777777" w:rsidTr="00F07FFD">
        <w:trPr>
          <w:cantSplit/>
        </w:trPr>
        <w:tc>
          <w:tcPr>
            <w:tcW w:w="4020" w:type="dxa"/>
            <w:tcBorders>
              <w:top w:val="nil"/>
              <w:left w:val="nil"/>
              <w:bottom w:val="nil"/>
              <w:right w:val="nil"/>
            </w:tcBorders>
            <w:shd w:val="clear" w:color="000000" w:fill="FFFFFF"/>
            <w:vAlign w:val="bottom"/>
            <w:hideMark/>
          </w:tcPr>
          <w:p w14:paraId="72FED6C1"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Unmet need for GP due to cost</w:t>
            </w:r>
          </w:p>
        </w:tc>
        <w:tc>
          <w:tcPr>
            <w:tcW w:w="900" w:type="dxa"/>
            <w:tcBorders>
              <w:top w:val="nil"/>
              <w:left w:val="nil"/>
              <w:bottom w:val="nil"/>
              <w:right w:val="nil"/>
            </w:tcBorders>
            <w:shd w:val="clear" w:color="000000" w:fill="FFFFFF"/>
            <w:vAlign w:val="bottom"/>
            <w:hideMark/>
          </w:tcPr>
          <w:p w14:paraId="358193FD"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22.7</w:t>
            </w:r>
          </w:p>
        </w:tc>
        <w:tc>
          <w:tcPr>
            <w:tcW w:w="940" w:type="dxa"/>
            <w:tcBorders>
              <w:top w:val="nil"/>
              <w:left w:val="nil"/>
              <w:bottom w:val="nil"/>
              <w:right w:val="nil"/>
            </w:tcBorders>
            <w:shd w:val="clear" w:color="000000" w:fill="FFFFFF"/>
            <w:vAlign w:val="bottom"/>
            <w:hideMark/>
          </w:tcPr>
          <w:p w14:paraId="47171DB6"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22.5</w:t>
            </w:r>
          </w:p>
        </w:tc>
        <w:tc>
          <w:tcPr>
            <w:tcW w:w="940" w:type="dxa"/>
            <w:tcBorders>
              <w:top w:val="nil"/>
              <w:left w:val="nil"/>
              <w:bottom w:val="nil"/>
              <w:right w:val="nil"/>
            </w:tcBorders>
            <w:shd w:val="clear" w:color="000000" w:fill="FFFFFF"/>
            <w:vAlign w:val="bottom"/>
            <w:hideMark/>
          </w:tcPr>
          <w:p w14:paraId="5CDBAFEC"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Pr>
                <w:rFonts w:ascii="Arial" w:hAnsi="Arial" w:cs="Arial"/>
                <w:color w:val="808080"/>
                <w:sz w:val="18"/>
                <w:szCs w:val="18"/>
                <w:lang w:eastAsia="en-NZ"/>
              </w:rPr>
              <w:t>.</w:t>
            </w:r>
          </w:p>
        </w:tc>
        <w:tc>
          <w:tcPr>
            <w:tcW w:w="1332" w:type="dxa"/>
            <w:tcBorders>
              <w:top w:val="nil"/>
              <w:left w:val="nil"/>
              <w:bottom w:val="nil"/>
              <w:right w:val="nil"/>
            </w:tcBorders>
            <w:shd w:val="clear" w:color="000000" w:fill="FFFFFF"/>
            <w:vAlign w:val="bottom"/>
            <w:hideMark/>
          </w:tcPr>
          <w:p w14:paraId="72F8E4A5"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51688E11"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2AA13FC9" w14:textId="77777777" w:rsidTr="00F07FFD">
        <w:trPr>
          <w:cantSplit/>
        </w:trPr>
        <w:tc>
          <w:tcPr>
            <w:tcW w:w="4020" w:type="dxa"/>
            <w:tcBorders>
              <w:top w:val="nil"/>
              <w:left w:val="nil"/>
              <w:bottom w:val="single" w:sz="4" w:space="0" w:color="808080"/>
              <w:right w:val="nil"/>
            </w:tcBorders>
            <w:shd w:val="clear" w:color="000000" w:fill="FFFFFF"/>
            <w:vAlign w:val="bottom"/>
            <w:hideMark/>
          </w:tcPr>
          <w:p w14:paraId="4A37CEC6"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Unmet need for after-hours due to cost</w:t>
            </w:r>
          </w:p>
        </w:tc>
        <w:tc>
          <w:tcPr>
            <w:tcW w:w="900" w:type="dxa"/>
            <w:tcBorders>
              <w:top w:val="nil"/>
              <w:left w:val="nil"/>
              <w:bottom w:val="single" w:sz="4" w:space="0" w:color="808080"/>
              <w:right w:val="nil"/>
            </w:tcBorders>
            <w:shd w:val="clear" w:color="000000" w:fill="FFFFFF"/>
            <w:vAlign w:val="bottom"/>
            <w:hideMark/>
          </w:tcPr>
          <w:p w14:paraId="5A046DE6"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12.8</w:t>
            </w:r>
          </w:p>
        </w:tc>
        <w:tc>
          <w:tcPr>
            <w:tcW w:w="940" w:type="dxa"/>
            <w:tcBorders>
              <w:top w:val="nil"/>
              <w:left w:val="nil"/>
              <w:bottom w:val="single" w:sz="4" w:space="0" w:color="808080"/>
              <w:right w:val="nil"/>
            </w:tcBorders>
            <w:shd w:val="clear" w:color="000000" w:fill="FFFFFF"/>
            <w:vAlign w:val="bottom"/>
            <w:hideMark/>
          </w:tcPr>
          <w:p w14:paraId="76F906F0"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13.6</w:t>
            </w:r>
          </w:p>
        </w:tc>
        <w:tc>
          <w:tcPr>
            <w:tcW w:w="940" w:type="dxa"/>
            <w:tcBorders>
              <w:top w:val="nil"/>
              <w:left w:val="nil"/>
              <w:bottom w:val="single" w:sz="4" w:space="0" w:color="808080"/>
              <w:right w:val="nil"/>
            </w:tcBorders>
            <w:shd w:val="clear" w:color="000000" w:fill="FFFFFF"/>
            <w:vAlign w:val="bottom"/>
            <w:hideMark/>
          </w:tcPr>
          <w:p w14:paraId="4A8C2517"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Pr>
                <w:rFonts w:ascii="Arial" w:hAnsi="Arial" w:cs="Arial"/>
                <w:color w:val="808080"/>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7D77BF97"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75FDF4B2"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3F3F0F4E" w14:textId="77777777" w:rsidTr="00F07FFD">
        <w:trPr>
          <w:cantSplit/>
        </w:trPr>
        <w:tc>
          <w:tcPr>
            <w:tcW w:w="4020" w:type="dxa"/>
            <w:tcBorders>
              <w:top w:val="nil"/>
              <w:left w:val="nil"/>
              <w:bottom w:val="single" w:sz="4" w:space="0" w:color="808080"/>
              <w:right w:val="nil"/>
            </w:tcBorders>
            <w:shd w:val="clear" w:color="000000" w:fill="FFFFFF"/>
            <w:vAlign w:val="bottom"/>
            <w:hideMark/>
          </w:tcPr>
          <w:p w14:paraId="0718C3E3"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Unfilled prescription due to cost</w:t>
            </w:r>
          </w:p>
        </w:tc>
        <w:tc>
          <w:tcPr>
            <w:tcW w:w="900" w:type="dxa"/>
            <w:tcBorders>
              <w:top w:val="nil"/>
              <w:left w:val="nil"/>
              <w:bottom w:val="single" w:sz="4" w:space="0" w:color="808080"/>
              <w:right w:val="nil"/>
            </w:tcBorders>
            <w:shd w:val="clear" w:color="000000" w:fill="FFFFFF"/>
            <w:vAlign w:val="bottom"/>
            <w:hideMark/>
          </w:tcPr>
          <w:p w14:paraId="5C1F81FA"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14.9</w:t>
            </w:r>
          </w:p>
        </w:tc>
        <w:tc>
          <w:tcPr>
            <w:tcW w:w="940" w:type="dxa"/>
            <w:tcBorders>
              <w:top w:val="nil"/>
              <w:left w:val="nil"/>
              <w:bottom w:val="single" w:sz="4" w:space="0" w:color="808080"/>
              <w:right w:val="nil"/>
            </w:tcBorders>
            <w:shd w:val="clear" w:color="000000" w:fill="FFFFFF"/>
            <w:vAlign w:val="bottom"/>
            <w:hideMark/>
          </w:tcPr>
          <w:p w14:paraId="3FCA3B99"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17.8</w:t>
            </w:r>
          </w:p>
        </w:tc>
        <w:tc>
          <w:tcPr>
            <w:tcW w:w="940" w:type="dxa"/>
            <w:tcBorders>
              <w:top w:val="nil"/>
              <w:left w:val="nil"/>
              <w:bottom w:val="single" w:sz="4" w:space="0" w:color="808080"/>
              <w:right w:val="nil"/>
            </w:tcBorders>
            <w:shd w:val="clear" w:color="000000" w:fill="FFFFFF"/>
            <w:vAlign w:val="bottom"/>
            <w:hideMark/>
          </w:tcPr>
          <w:p w14:paraId="4C5D2603"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Pr>
                <w:rFonts w:ascii="Arial" w:hAnsi="Arial" w:cs="Arial"/>
                <w:color w:val="808080"/>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2C881B3B"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7C896D9D"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231B0D26" w14:textId="77777777" w:rsidTr="00F07FFD">
        <w:trPr>
          <w:cantSplit/>
        </w:trPr>
        <w:tc>
          <w:tcPr>
            <w:tcW w:w="4020" w:type="dxa"/>
            <w:tcBorders>
              <w:top w:val="nil"/>
              <w:left w:val="nil"/>
              <w:bottom w:val="single" w:sz="4" w:space="0" w:color="808080"/>
              <w:right w:val="nil"/>
            </w:tcBorders>
            <w:shd w:val="clear" w:color="000000" w:fill="FFFFFF"/>
            <w:vAlign w:val="bottom"/>
            <w:hideMark/>
          </w:tcPr>
          <w:p w14:paraId="713AF322" w14:textId="77777777" w:rsidR="00FC0DB8" w:rsidRPr="000C1A9F" w:rsidRDefault="00FC0DB8"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Defi</w:t>
            </w:r>
            <w:r w:rsidR="00F07FFD">
              <w:rPr>
                <w:rFonts w:ascii="Arial" w:hAnsi="Arial" w:cs="Arial"/>
                <w:color w:val="000000"/>
                <w:sz w:val="18"/>
                <w:szCs w:val="18"/>
                <w:lang w:eastAsia="en-NZ"/>
              </w:rPr>
              <w:t>nite confidence and trust in GP</w:t>
            </w:r>
          </w:p>
        </w:tc>
        <w:tc>
          <w:tcPr>
            <w:tcW w:w="900" w:type="dxa"/>
            <w:tcBorders>
              <w:top w:val="nil"/>
              <w:left w:val="nil"/>
              <w:bottom w:val="single" w:sz="4" w:space="0" w:color="808080"/>
              <w:right w:val="nil"/>
            </w:tcBorders>
            <w:shd w:val="clear" w:color="000000" w:fill="FFFFFF"/>
            <w:vAlign w:val="bottom"/>
            <w:hideMark/>
          </w:tcPr>
          <w:p w14:paraId="7D8E4A59"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74.5</w:t>
            </w:r>
          </w:p>
        </w:tc>
        <w:tc>
          <w:tcPr>
            <w:tcW w:w="940" w:type="dxa"/>
            <w:tcBorders>
              <w:top w:val="nil"/>
              <w:left w:val="nil"/>
              <w:bottom w:val="single" w:sz="4" w:space="0" w:color="808080"/>
              <w:right w:val="nil"/>
            </w:tcBorders>
            <w:shd w:val="clear" w:color="000000" w:fill="FFFFFF"/>
            <w:vAlign w:val="bottom"/>
            <w:hideMark/>
          </w:tcPr>
          <w:p w14:paraId="56C720DB"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80.7</w:t>
            </w:r>
          </w:p>
        </w:tc>
        <w:tc>
          <w:tcPr>
            <w:tcW w:w="940" w:type="dxa"/>
            <w:tcBorders>
              <w:top w:val="nil"/>
              <w:left w:val="nil"/>
              <w:bottom w:val="single" w:sz="4" w:space="0" w:color="808080"/>
              <w:right w:val="nil"/>
            </w:tcBorders>
            <w:shd w:val="clear" w:color="000000" w:fill="FFFFFF"/>
            <w:vAlign w:val="bottom"/>
            <w:hideMark/>
          </w:tcPr>
          <w:p w14:paraId="30445A62"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494C3FDC"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0D3AC819"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4AE592E7" w14:textId="77777777" w:rsidTr="00F07FFD">
        <w:trPr>
          <w:cantSplit/>
        </w:trPr>
        <w:tc>
          <w:tcPr>
            <w:tcW w:w="4020" w:type="dxa"/>
            <w:tcBorders>
              <w:top w:val="nil"/>
              <w:left w:val="nil"/>
              <w:bottom w:val="nil"/>
              <w:right w:val="nil"/>
            </w:tcBorders>
            <w:shd w:val="clear" w:color="000000" w:fill="FFFFFF"/>
            <w:vAlign w:val="bottom"/>
            <w:hideMark/>
          </w:tcPr>
          <w:p w14:paraId="5FD428C5" w14:textId="77777777" w:rsidR="00FC0DB8" w:rsidRPr="000C1A9F" w:rsidRDefault="00FC0DB8" w:rsidP="00F07FFD">
            <w:pPr>
              <w:spacing w:before="40" w:after="40" w:line="240" w:lineRule="auto"/>
              <w:rPr>
                <w:rFonts w:ascii="Arial" w:hAnsi="Arial" w:cs="Arial"/>
                <w:b/>
                <w:bCs/>
                <w:sz w:val="18"/>
                <w:szCs w:val="18"/>
                <w:lang w:eastAsia="en-NZ"/>
              </w:rPr>
            </w:pPr>
            <w:r w:rsidRPr="000C1A9F">
              <w:rPr>
                <w:rFonts w:ascii="Arial" w:hAnsi="Arial" w:cs="Arial"/>
                <w:b/>
                <w:bCs/>
                <w:sz w:val="18"/>
                <w:szCs w:val="18"/>
                <w:lang w:eastAsia="en-NZ"/>
              </w:rPr>
              <w:t>Oral health</w:t>
            </w:r>
          </w:p>
        </w:tc>
        <w:tc>
          <w:tcPr>
            <w:tcW w:w="900" w:type="dxa"/>
            <w:tcBorders>
              <w:top w:val="nil"/>
              <w:left w:val="nil"/>
              <w:bottom w:val="nil"/>
              <w:right w:val="nil"/>
            </w:tcBorders>
            <w:shd w:val="clear" w:color="000000" w:fill="FFFFFF"/>
            <w:vAlign w:val="bottom"/>
            <w:hideMark/>
          </w:tcPr>
          <w:p w14:paraId="692CEFB8" w14:textId="77777777" w:rsidR="00FC0DB8" w:rsidRPr="000C1A9F" w:rsidRDefault="00FC0DB8" w:rsidP="00F07FFD">
            <w:pPr>
              <w:spacing w:before="40" w:after="40" w:line="240" w:lineRule="auto"/>
              <w:jc w:val="center"/>
              <w:rPr>
                <w:rFonts w:ascii="Arial" w:hAnsi="Arial" w:cs="Arial"/>
                <w:color w:val="000000"/>
                <w:sz w:val="18"/>
                <w:szCs w:val="18"/>
                <w:lang w:eastAsia="en-NZ"/>
              </w:rPr>
            </w:pPr>
          </w:p>
        </w:tc>
        <w:tc>
          <w:tcPr>
            <w:tcW w:w="940" w:type="dxa"/>
            <w:tcBorders>
              <w:top w:val="nil"/>
              <w:left w:val="nil"/>
              <w:bottom w:val="nil"/>
              <w:right w:val="nil"/>
            </w:tcBorders>
            <w:shd w:val="clear" w:color="000000" w:fill="FFFFFF"/>
            <w:vAlign w:val="bottom"/>
            <w:hideMark/>
          </w:tcPr>
          <w:p w14:paraId="7BF56418" w14:textId="77777777" w:rsidR="00FC0DB8" w:rsidRPr="000C1A9F" w:rsidRDefault="00FC0DB8" w:rsidP="00F07FFD">
            <w:pPr>
              <w:spacing w:before="40" w:after="40" w:line="240" w:lineRule="auto"/>
              <w:jc w:val="center"/>
              <w:rPr>
                <w:rFonts w:ascii="Arial" w:hAnsi="Arial" w:cs="Arial"/>
                <w:color w:val="808080"/>
                <w:sz w:val="18"/>
                <w:szCs w:val="18"/>
                <w:lang w:eastAsia="en-NZ"/>
              </w:rPr>
            </w:pPr>
          </w:p>
        </w:tc>
        <w:tc>
          <w:tcPr>
            <w:tcW w:w="940" w:type="dxa"/>
            <w:tcBorders>
              <w:top w:val="nil"/>
              <w:left w:val="nil"/>
              <w:bottom w:val="nil"/>
              <w:right w:val="nil"/>
            </w:tcBorders>
            <w:shd w:val="clear" w:color="000000" w:fill="FFFFFF"/>
            <w:vAlign w:val="bottom"/>
            <w:hideMark/>
          </w:tcPr>
          <w:p w14:paraId="100DEF66" w14:textId="77777777" w:rsidR="00FC0DB8" w:rsidRPr="000C1A9F" w:rsidRDefault="00FC0DB8" w:rsidP="00F07FFD">
            <w:pPr>
              <w:spacing w:before="40" w:after="40" w:line="240" w:lineRule="auto"/>
              <w:jc w:val="center"/>
              <w:rPr>
                <w:rFonts w:ascii="Arial" w:hAnsi="Arial" w:cs="Arial"/>
                <w:color w:val="808080"/>
                <w:sz w:val="18"/>
                <w:szCs w:val="18"/>
                <w:lang w:eastAsia="en-NZ"/>
              </w:rPr>
            </w:pPr>
          </w:p>
        </w:tc>
        <w:tc>
          <w:tcPr>
            <w:tcW w:w="1332" w:type="dxa"/>
            <w:tcBorders>
              <w:top w:val="nil"/>
              <w:left w:val="nil"/>
              <w:bottom w:val="nil"/>
              <w:right w:val="nil"/>
            </w:tcBorders>
            <w:shd w:val="clear" w:color="000000" w:fill="FFFFFF"/>
            <w:vAlign w:val="center"/>
            <w:hideMark/>
          </w:tcPr>
          <w:p w14:paraId="01A5C725" w14:textId="77777777" w:rsidR="00FC0DB8" w:rsidRPr="000C1A9F" w:rsidRDefault="00FC0DB8" w:rsidP="00F07FFD">
            <w:pPr>
              <w:spacing w:before="40" w:after="40" w:line="240" w:lineRule="auto"/>
              <w:jc w:val="center"/>
              <w:rPr>
                <w:rFonts w:ascii="Arial" w:hAnsi="Arial" w:cs="Arial"/>
                <w:color w:val="4F81BD"/>
                <w:sz w:val="18"/>
                <w:szCs w:val="18"/>
                <w:lang w:eastAsia="en-NZ"/>
              </w:rPr>
            </w:pPr>
          </w:p>
        </w:tc>
        <w:tc>
          <w:tcPr>
            <w:tcW w:w="1332" w:type="dxa"/>
            <w:tcBorders>
              <w:top w:val="nil"/>
              <w:left w:val="nil"/>
              <w:bottom w:val="nil"/>
              <w:right w:val="nil"/>
            </w:tcBorders>
            <w:shd w:val="clear" w:color="000000" w:fill="FFFFFF"/>
            <w:vAlign w:val="center"/>
            <w:hideMark/>
          </w:tcPr>
          <w:p w14:paraId="4FD57490" w14:textId="77777777" w:rsidR="00FC0DB8" w:rsidRPr="000C1A9F" w:rsidRDefault="00FC0DB8" w:rsidP="00F07FFD">
            <w:pPr>
              <w:spacing w:before="40" w:after="40" w:line="240" w:lineRule="auto"/>
              <w:jc w:val="center"/>
              <w:rPr>
                <w:rFonts w:ascii="Arial" w:hAnsi="Arial" w:cs="Arial"/>
                <w:color w:val="4F81BD"/>
                <w:sz w:val="18"/>
                <w:szCs w:val="18"/>
                <w:lang w:eastAsia="en-NZ"/>
              </w:rPr>
            </w:pPr>
          </w:p>
        </w:tc>
      </w:tr>
      <w:tr w:rsidR="00FC0DB8" w:rsidRPr="000C1A9F" w14:paraId="03EFA041" w14:textId="77777777" w:rsidTr="00F07FFD">
        <w:trPr>
          <w:cantSplit/>
        </w:trPr>
        <w:tc>
          <w:tcPr>
            <w:tcW w:w="4020" w:type="dxa"/>
            <w:tcBorders>
              <w:top w:val="nil"/>
              <w:left w:val="nil"/>
              <w:bottom w:val="nil"/>
              <w:right w:val="nil"/>
            </w:tcBorders>
            <w:shd w:val="clear" w:color="000000" w:fill="FFFFFF"/>
            <w:vAlign w:val="bottom"/>
            <w:hideMark/>
          </w:tcPr>
          <w:p w14:paraId="64417E02" w14:textId="77777777" w:rsidR="00FC0DB8" w:rsidRPr="000C1A9F" w:rsidRDefault="00FC0DB8" w:rsidP="00F07FFD">
            <w:pPr>
              <w:spacing w:before="40" w:after="40" w:line="240" w:lineRule="auto"/>
              <w:rPr>
                <w:rFonts w:ascii="Arial" w:hAnsi="Arial" w:cs="Arial"/>
                <w:sz w:val="18"/>
                <w:szCs w:val="18"/>
                <w:lang w:eastAsia="en-NZ"/>
              </w:rPr>
            </w:pPr>
            <w:r w:rsidRPr="000C1A9F">
              <w:rPr>
                <w:rFonts w:ascii="Arial" w:hAnsi="Arial" w:cs="Arial"/>
                <w:sz w:val="18"/>
                <w:szCs w:val="18"/>
                <w:lang w:eastAsia="en-NZ"/>
              </w:rPr>
              <w:t>Dental health care worker visit in the past 12</w:t>
            </w:r>
            <w:r w:rsidR="00F07FFD">
              <w:rPr>
                <w:rFonts w:ascii="Arial" w:hAnsi="Arial" w:cs="Arial"/>
                <w:sz w:val="18"/>
                <w:szCs w:val="18"/>
                <w:lang w:eastAsia="en-NZ"/>
              </w:rPr>
              <w:t> </w:t>
            </w:r>
            <w:r w:rsidRPr="000C1A9F">
              <w:rPr>
                <w:rFonts w:ascii="Arial" w:hAnsi="Arial" w:cs="Arial"/>
                <w:sz w:val="18"/>
                <w:szCs w:val="18"/>
                <w:lang w:eastAsia="en-NZ"/>
              </w:rPr>
              <w:t>months</w:t>
            </w:r>
            <w:r w:rsidRPr="000C1A9F">
              <w:rPr>
                <w:rFonts w:ascii="Arial" w:hAnsi="Arial" w:cs="Arial"/>
                <w:sz w:val="18"/>
                <w:szCs w:val="18"/>
                <w:vertAlign w:val="superscript"/>
                <w:lang w:eastAsia="en-NZ"/>
              </w:rPr>
              <w:t>1</w:t>
            </w:r>
          </w:p>
        </w:tc>
        <w:tc>
          <w:tcPr>
            <w:tcW w:w="900" w:type="dxa"/>
            <w:tcBorders>
              <w:top w:val="nil"/>
              <w:left w:val="nil"/>
              <w:bottom w:val="nil"/>
              <w:right w:val="nil"/>
            </w:tcBorders>
            <w:shd w:val="clear" w:color="000000" w:fill="FFFFFF"/>
            <w:vAlign w:val="bottom"/>
            <w:hideMark/>
          </w:tcPr>
          <w:p w14:paraId="3F8C079D"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35.9</w:t>
            </w:r>
          </w:p>
        </w:tc>
        <w:tc>
          <w:tcPr>
            <w:tcW w:w="940" w:type="dxa"/>
            <w:tcBorders>
              <w:top w:val="nil"/>
              <w:left w:val="nil"/>
              <w:bottom w:val="nil"/>
              <w:right w:val="nil"/>
            </w:tcBorders>
            <w:shd w:val="clear" w:color="000000" w:fill="FFFFFF"/>
            <w:vAlign w:val="bottom"/>
            <w:hideMark/>
          </w:tcPr>
          <w:p w14:paraId="7A0CF9A8"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38.1</w:t>
            </w:r>
          </w:p>
        </w:tc>
        <w:tc>
          <w:tcPr>
            <w:tcW w:w="940" w:type="dxa"/>
            <w:tcBorders>
              <w:top w:val="nil"/>
              <w:left w:val="nil"/>
              <w:bottom w:val="nil"/>
              <w:right w:val="nil"/>
            </w:tcBorders>
            <w:shd w:val="clear" w:color="000000" w:fill="FFFFFF"/>
            <w:vAlign w:val="bottom"/>
            <w:hideMark/>
          </w:tcPr>
          <w:p w14:paraId="5ED2AA40"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38.6</w:t>
            </w:r>
          </w:p>
        </w:tc>
        <w:tc>
          <w:tcPr>
            <w:tcW w:w="1332" w:type="dxa"/>
            <w:tcBorders>
              <w:top w:val="nil"/>
              <w:left w:val="nil"/>
              <w:bottom w:val="nil"/>
              <w:right w:val="nil"/>
            </w:tcBorders>
            <w:shd w:val="clear" w:color="000000" w:fill="FFFFFF"/>
            <w:vAlign w:val="bottom"/>
            <w:hideMark/>
          </w:tcPr>
          <w:p w14:paraId="52DA3BC8"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19343C07"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12D4960F" w14:textId="77777777" w:rsidTr="00F07FFD">
        <w:trPr>
          <w:cantSplit/>
        </w:trPr>
        <w:tc>
          <w:tcPr>
            <w:tcW w:w="4020" w:type="dxa"/>
            <w:tcBorders>
              <w:top w:val="nil"/>
              <w:left w:val="nil"/>
              <w:bottom w:val="nil"/>
              <w:right w:val="nil"/>
            </w:tcBorders>
            <w:shd w:val="clear" w:color="000000" w:fill="FFFFFF"/>
            <w:vAlign w:val="bottom"/>
            <w:hideMark/>
          </w:tcPr>
          <w:p w14:paraId="1AE38A93" w14:textId="77777777" w:rsidR="00FC0DB8" w:rsidRPr="000C1A9F" w:rsidRDefault="00FC0DB8" w:rsidP="00F07FFD">
            <w:pPr>
              <w:spacing w:before="40" w:after="40" w:line="240" w:lineRule="auto"/>
              <w:rPr>
                <w:rFonts w:ascii="Arial" w:hAnsi="Arial" w:cs="Arial"/>
                <w:sz w:val="18"/>
                <w:szCs w:val="18"/>
                <w:lang w:eastAsia="en-NZ"/>
              </w:rPr>
            </w:pPr>
            <w:r w:rsidRPr="000C1A9F">
              <w:rPr>
                <w:rFonts w:ascii="Arial" w:hAnsi="Arial" w:cs="Arial"/>
                <w:sz w:val="18"/>
                <w:szCs w:val="18"/>
                <w:lang w:eastAsia="en-NZ"/>
              </w:rPr>
              <w:t>Teeth removed due to decay in the past 12</w:t>
            </w:r>
            <w:r w:rsidR="00F07FFD">
              <w:rPr>
                <w:rFonts w:ascii="Arial" w:hAnsi="Arial" w:cs="Arial"/>
                <w:sz w:val="18"/>
                <w:szCs w:val="18"/>
                <w:lang w:eastAsia="en-NZ"/>
              </w:rPr>
              <w:t> </w:t>
            </w:r>
            <w:r w:rsidRPr="000C1A9F">
              <w:rPr>
                <w:rFonts w:ascii="Arial" w:hAnsi="Arial" w:cs="Arial"/>
                <w:sz w:val="18"/>
                <w:szCs w:val="18"/>
                <w:lang w:eastAsia="en-NZ"/>
              </w:rPr>
              <w:t xml:space="preserve">months </w:t>
            </w:r>
          </w:p>
        </w:tc>
        <w:tc>
          <w:tcPr>
            <w:tcW w:w="900" w:type="dxa"/>
            <w:tcBorders>
              <w:top w:val="nil"/>
              <w:left w:val="nil"/>
              <w:bottom w:val="nil"/>
              <w:right w:val="nil"/>
            </w:tcBorders>
            <w:shd w:val="clear" w:color="000000" w:fill="FFFFFF"/>
            <w:vAlign w:val="bottom"/>
            <w:hideMark/>
          </w:tcPr>
          <w:p w14:paraId="2647DC48"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9.2</w:t>
            </w:r>
          </w:p>
        </w:tc>
        <w:tc>
          <w:tcPr>
            <w:tcW w:w="940" w:type="dxa"/>
            <w:tcBorders>
              <w:top w:val="nil"/>
              <w:left w:val="nil"/>
              <w:bottom w:val="nil"/>
              <w:right w:val="nil"/>
            </w:tcBorders>
            <w:shd w:val="clear" w:color="000000" w:fill="FFFFFF"/>
            <w:vAlign w:val="bottom"/>
            <w:hideMark/>
          </w:tcPr>
          <w:p w14:paraId="2DDA7672"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11.4</w:t>
            </w:r>
          </w:p>
        </w:tc>
        <w:tc>
          <w:tcPr>
            <w:tcW w:w="940" w:type="dxa"/>
            <w:tcBorders>
              <w:top w:val="nil"/>
              <w:left w:val="nil"/>
              <w:bottom w:val="nil"/>
              <w:right w:val="nil"/>
            </w:tcBorders>
            <w:shd w:val="clear" w:color="000000" w:fill="FFFFFF"/>
            <w:vAlign w:val="bottom"/>
            <w:hideMark/>
          </w:tcPr>
          <w:p w14:paraId="30FEC769"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w:t>
            </w:r>
          </w:p>
        </w:tc>
        <w:tc>
          <w:tcPr>
            <w:tcW w:w="1332" w:type="dxa"/>
            <w:tcBorders>
              <w:top w:val="nil"/>
              <w:left w:val="nil"/>
              <w:bottom w:val="nil"/>
              <w:right w:val="nil"/>
            </w:tcBorders>
            <w:shd w:val="clear" w:color="000000" w:fill="FFFFFF"/>
            <w:vAlign w:val="bottom"/>
            <w:hideMark/>
          </w:tcPr>
          <w:p w14:paraId="3934D260"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nil"/>
              <w:right w:val="nil"/>
            </w:tcBorders>
            <w:shd w:val="clear" w:color="000000" w:fill="FFFFFF"/>
            <w:vAlign w:val="bottom"/>
            <w:hideMark/>
          </w:tcPr>
          <w:p w14:paraId="3A776E70"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C0DB8" w:rsidRPr="000C1A9F" w14:paraId="2E88FE0B" w14:textId="77777777" w:rsidTr="00F07FFD">
        <w:trPr>
          <w:cantSplit/>
        </w:trPr>
        <w:tc>
          <w:tcPr>
            <w:tcW w:w="4020" w:type="dxa"/>
            <w:tcBorders>
              <w:top w:val="nil"/>
              <w:left w:val="nil"/>
              <w:bottom w:val="nil"/>
              <w:right w:val="nil"/>
            </w:tcBorders>
            <w:shd w:val="clear" w:color="000000" w:fill="FFFFFF"/>
            <w:vAlign w:val="bottom"/>
            <w:hideMark/>
          </w:tcPr>
          <w:p w14:paraId="008D68FD" w14:textId="77777777" w:rsidR="00FC0DB8" w:rsidRPr="000C1A9F" w:rsidRDefault="00FC0DB8" w:rsidP="00F07FFD">
            <w:pPr>
              <w:spacing w:before="40" w:after="40" w:line="240" w:lineRule="auto"/>
              <w:rPr>
                <w:rFonts w:ascii="Arial" w:hAnsi="Arial" w:cs="Arial"/>
                <w:sz w:val="18"/>
                <w:szCs w:val="18"/>
                <w:lang w:eastAsia="en-NZ"/>
              </w:rPr>
            </w:pPr>
            <w:r w:rsidRPr="000C1A9F">
              <w:rPr>
                <w:rFonts w:ascii="Arial" w:hAnsi="Arial" w:cs="Arial"/>
                <w:sz w:val="18"/>
                <w:szCs w:val="18"/>
                <w:lang w:eastAsia="en-NZ"/>
              </w:rPr>
              <w:t>Usually only visits a dental health care worker for dental problems (or never visits)</w:t>
            </w:r>
            <w:r w:rsidRPr="000C1A9F">
              <w:rPr>
                <w:rFonts w:ascii="Arial" w:hAnsi="Arial" w:cs="Arial"/>
                <w:sz w:val="18"/>
                <w:szCs w:val="18"/>
                <w:vertAlign w:val="superscript"/>
                <w:lang w:eastAsia="en-NZ"/>
              </w:rPr>
              <w:t>1</w:t>
            </w:r>
          </w:p>
        </w:tc>
        <w:tc>
          <w:tcPr>
            <w:tcW w:w="900" w:type="dxa"/>
            <w:tcBorders>
              <w:top w:val="nil"/>
              <w:left w:val="nil"/>
              <w:bottom w:val="single" w:sz="4" w:space="0" w:color="808080"/>
              <w:right w:val="nil"/>
            </w:tcBorders>
            <w:shd w:val="clear" w:color="000000" w:fill="FFFFFF"/>
            <w:vAlign w:val="bottom"/>
            <w:hideMark/>
          </w:tcPr>
          <w:p w14:paraId="4C01537A" w14:textId="77777777" w:rsidR="00FC0DB8" w:rsidRPr="000C1A9F" w:rsidRDefault="00FC0DB8" w:rsidP="00F07FFD">
            <w:pPr>
              <w:spacing w:before="40" w:after="40" w:line="240" w:lineRule="auto"/>
              <w:jc w:val="center"/>
              <w:rPr>
                <w:rFonts w:ascii="Arial" w:hAnsi="Arial" w:cs="Arial"/>
                <w:color w:val="000000"/>
                <w:sz w:val="18"/>
                <w:szCs w:val="18"/>
                <w:lang w:eastAsia="en-NZ"/>
              </w:rPr>
            </w:pPr>
            <w:r w:rsidRPr="000C1A9F">
              <w:rPr>
                <w:rFonts w:ascii="Arial" w:hAnsi="Arial" w:cs="Arial"/>
                <w:color w:val="000000"/>
                <w:sz w:val="18"/>
                <w:szCs w:val="18"/>
                <w:lang w:eastAsia="en-NZ"/>
              </w:rPr>
              <w:t>74.1</w:t>
            </w:r>
          </w:p>
        </w:tc>
        <w:tc>
          <w:tcPr>
            <w:tcW w:w="940" w:type="dxa"/>
            <w:tcBorders>
              <w:top w:val="nil"/>
              <w:left w:val="nil"/>
              <w:bottom w:val="single" w:sz="4" w:space="0" w:color="808080"/>
              <w:right w:val="nil"/>
            </w:tcBorders>
            <w:shd w:val="clear" w:color="000000" w:fill="FFFFFF"/>
            <w:vAlign w:val="bottom"/>
            <w:hideMark/>
          </w:tcPr>
          <w:p w14:paraId="69EC578B"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72.9</w:t>
            </w:r>
          </w:p>
        </w:tc>
        <w:tc>
          <w:tcPr>
            <w:tcW w:w="940" w:type="dxa"/>
            <w:tcBorders>
              <w:top w:val="nil"/>
              <w:left w:val="nil"/>
              <w:bottom w:val="single" w:sz="4" w:space="0" w:color="808080"/>
              <w:right w:val="nil"/>
            </w:tcBorders>
            <w:shd w:val="clear" w:color="000000" w:fill="FFFFFF"/>
            <w:vAlign w:val="bottom"/>
            <w:hideMark/>
          </w:tcPr>
          <w:p w14:paraId="2AE76E34" w14:textId="77777777" w:rsidR="00FC0DB8" w:rsidRPr="000C1A9F" w:rsidRDefault="00FC0DB8" w:rsidP="00F07FFD">
            <w:pPr>
              <w:spacing w:before="40" w:after="40" w:line="240" w:lineRule="auto"/>
              <w:jc w:val="center"/>
              <w:rPr>
                <w:rFonts w:ascii="Arial" w:hAnsi="Arial" w:cs="Arial"/>
                <w:color w:val="808080"/>
                <w:sz w:val="18"/>
                <w:szCs w:val="18"/>
                <w:lang w:eastAsia="en-NZ"/>
              </w:rPr>
            </w:pPr>
            <w:r w:rsidRPr="000C1A9F">
              <w:rPr>
                <w:rFonts w:ascii="Arial" w:hAnsi="Arial" w:cs="Arial"/>
                <w:color w:val="808080"/>
                <w:sz w:val="18"/>
                <w:szCs w:val="18"/>
                <w:lang w:eastAsia="en-NZ"/>
              </w:rPr>
              <w:t>69.7</w:t>
            </w:r>
          </w:p>
        </w:tc>
        <w:tc>
          <w:tcPr>
            <w:tcW w:w="1332" w:type="dxa"/>
            <w:tcBorders>
              <w:top w:val="nil"/>
              <w:left w:val="nil"/>
              <w:bottom w:val="single" w:sz="4" w:space="0" w:color="808080"/>
              <w:right w:val="nil"/>
            </w:tcBorders>
            <w:shd w:val="clear" w:color="000000" w:fill="FFFFFF"/>
            <w:vAlign w:val="bottom"/>
            <w:hideMark/>
          </w:tcPr>
          <w:p w14:paraId="0B7B7A4A"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c>
          <w:tcPr>
            <w:tcW w:w="1332" w:type="dxa"/>
            <w:tcBorders>
              <w:top w:val="nil"/>
              <w:left w:val="nil"/>
              <w:bottom w:val="single" w:sz="4" w:space="0" w:color="808080"/>
              <w:right w:val="nil"/>
            </w:tcBorders>
            <w:shd w:val="clear" w:color="000000" w:fill="FFFFFF"/>
            <w:vAlign w:val="bottom"/>
            <w:hideMark/>
          </w:tcPr>
          <w:p w14:paraId="1B0F219B" w14:textId="77777777" w:rsidR="00FC0DB8" w:rsidRPr="000C1A9F" w:rsidRDefault="00FC0DB8" w:rsidP="00F07FFD">
            <w:pPr>
              <w:spacing w:before="40" w:after="40" w:line="240" w:lineRule="auto"/>
              <w:jc w:val="center"/>
              <w:rPr>
                <w:rFonts w:ascii="Arial" w:hAnsi="Arial" w:cs="Arial"/>
                <w:color w:val="4F81BD"/>
                <w:sz w:val="18"/>
                <w:szCs w:val="18"/>
                <w:lang w:eastAsia="en-NZ"/>
              </w:rPr>
            </w:pPr>
            <w:r w:rsidRPr="000C1A9F">
              <w:rPr>
                <w:rFonts w:ascii="Arial" w:hAnsi="Arial" w:cs="Arial"/>
                <w:color w:val="4F81BD"/>
                <w:sz w:val="18"/>
                <w:szCs w:val="18"/>
                <w:lang w:eastAsia="en-NZ"/>
              </w:rPr>
              <w:t>▲</w:t>
            </w:r>
          </w:p>
        </w:tc>
      </w:tr>
      <w:tr w:rsidR="00F07FFD" w:rsidRPr="000C1A9F" w14:paraId="758E5DA2" w14:textId="77777777" w:rsidTr="00E11C2C">
        <w:trPr>
          <w:cantSplit/>
        </w:trPr>
        <w:tc>
          <w:tcPr>
            <w:tcW w:w="4920" w:type="dxa"/>
            <w:gridSpan w:val="2"/>
            <w:tcBorders>
              <w:top w:val="single" w:sz="4" w:space="0" w:color="auto"/>
              <w:left w:val="nil"/>
              <w:bottom w:val="nil"/>
              <w:right w:val="nil"/>
            </w:tcBorders>
            <w:shd w:val="clear" w:color="000000" w:fill="FFFFFF"/>
            <w:noWrap/>
            <w:vAlign w:val="bottom"/>
            <w:hideMark/>
          </w:tcPr>
          <w:p w14:paraId="5886B174" w14:textId="77777777" w:rsidR="00F07FFD" w:rsidRPr="000C1A9F" w:rsidRDefault="00F07FFD" w:rsidP="00F07FFD">
            <w:pPr>
              <w:spacing w:before="40" w:after="40" w:line="240" w:lineRule="auto"/>
              <w:rPr>
                <w:rFonts w:ascii="Arial" w:hAnsi="Arial" w:cs="Arial"/>
                <w:color w:val="000000"/>
                <w:sz w:val="18"/>
                <w:szCs w:val="18"/>
                <w:lang w:eastAsia="en-NZ"/>
              </w:rPr>
            </w:pPr>
            <w:r w:rsidRPr="000C1A9F">
              <w:rPr>
                <w:rFonts w:ascii="Arial" w:hAnsi="Arial" w:cs="Arial"/>
                <w:color w:val="000000"/>
                <w:sz w:val="18"/>
                <w:szCs w:val="18"/>
                <w:lang w:eastAsia="en-NZ"/>
              </w:rPr>
              <w:t>Key:</w:t>
            </w:r>
            <w:r>
              <w:rPr>
                <w:rFonts w:ascii="Arial" w:hAnsi="Arial" w:cs="Arial"/>
                <w:color w:val="000000"/>
                <w:sz w:val="18"/>
                <w:szCs w:val="18"/>
                <w:lang w:eastAsia="en-NZ"/>
              </w:rPr>
              <w:tab/>
            </w:r>
            <w:r w:rsidRPr="000C1A9F">
              <w:rPr>
                <w:rFonts w:ascii="Arial" w:hAnsi="Arial" w:cs="Arial"/>
                <w:color w:val="4F81BD"/>
                <w:sz w:val="18"/>
                <w:szCs w:val="18"/>
                <w:lang w:eastAsia="en-NZ"/>
              </w:rPr>
              <w:t>▲</w:t>
            </w:r>
            <w:r w:rsidRPr="000C1A9F">
              <w:rPr>
                <w:rFonts w:ascii="Arial" w:hAnsi="Arial" w:cs="Arial"/>
                <w:color w:val="000000"/>
                <w:sz w:val="18"/>
                <w:szCs w:val="18"/>
                <w:lang w:eastAsia="en-NZ"/>
              </w:rPr>
              <w:t xml:space="preserve"> Statistically significant increase</w:t>
            </w:r>
            <w:r w:rsidRPr="000C1A9F">
              <w:rPr>
                <w:rFonts w:ascii="Arial" w:hAnsi="Arial" w:cs="Arial"/>
                <w:color w:val="000000"/>
                <w:sz w:val="18"/>
                <w:szCs w:val="18"/>
                <w:vertAlign w:val="superscript"/>
                <w:lang w:eastAsia="en-NZ"/>
              </w:rPr>
              <w:t>2</w:t>
            </w:r>
          </w:p>
        </w:tc>
        <w:tc>
          <w:tcPr>
            <w:tcW w:w="4544" w:type="dxa"/>
            <w:gridSpan w:val="4"/>
            <w:tcBorders>
              <w:top w:val="single" w:sz="4" w:space="0" w:color="auto"/>
              <w:left w:val="nil"/>
              <w:bottom w:val="nil"/>
              <w:right w:val="nil"/>
            </w:tcBorders>
            <w:shd w:val="clear" w:color="000000" w:fill="FFFFFF"/>
            <w:noWrap/>
            <w:vAlign w:val="bottom"/>
            <w:hideMark/>
          </w:tcPr>
          <w:p w14:paraId="42529797" w14:textId="77777777" w:rsidR="00F07FFD" w:rsidRPr="000C1A9F" w:rsidRDefault="00F07FFD" w:rsidP="00F07FFD">
            <w:pPr>
              <w:spacing w:before="40" w:after="40" w:line="240" w:lineRule="auto"/>
              <w:rPr>
                <w:rFonts w:ascii="Arial" w:hAnsi="Arial" w:cs="Arial"/>
                <w:color w:val="000000"/>
                <w:sz w:val="18"/>
                <w:szCs w:val="18"/>
                <w:lang w:eastAsia="en-NZ"/>
              </w:rPr>
            </w:pPr>
            <w:r w:rsidRPr="000C1A9F">
              <w:rPr>
                <w:rFonts w:ascii="Arial" w:hAnsi="Arial" w:cs="Arial"/>
                <w:color w:val="4F81BD"/>
                <w:sz w:val="18"/>
                <w:szCs w:val="18"/>
                <w:lang w:eastAsia="en-NZ"/>
              </w:rPr>
              <w:t>=</w:t>
            </w:r>
            <w:r w:rsidRPr="000C1A9F">
              <w:rPr>
                <w:rFonts w:ascii="Arial" w:hAnsi="Arial" w:cs="Arial"/>
                <w:color w:val="000000"/>
                <w:sz w:val="18"/>
                <w:szCs w:val="18"/>
                <w:lang w:eastAsia="en-NZ"/>
              </w:rPr>
              <w:t xml:space="preserve"> No statistically significant change</w:t>
            </w:r>
          </w:p>
        </w:tc>
      </w:tr>
      <w:tr w:rsidR="00F07FFD" w:rsidRPr="000C1A9F" w14:paraId="2C372DA5" w14:textId="77777777" w:rsidTr="00E11C2C">
        <w:trPr>
          <w:cantSplit/>
        </w:trPr>
        <w:tc>
          <w:tcPr>
            <w:tcW w:w="4920" w:type="dxa"/>
            <w:gridSpan w:val="2"/>
            <w:tcBorders>
              <w:top w:val="nil"/>
              <w:left w:val="nil"/>
              <w:bottom w:val="nil"/>
              <w:right w:val="nil"/>
            </w:tcBorders>
            <w:shd w:val="clear" w:color="000000" w:fill="FFFFFF"/>
            <w:noWrap/>
            <w:vAlign w:val="bottom"/>
            <w:hideMark/>
          </w:tcPr>
          <w:p w14:paraId="71AB11A0" w14:textId="77777777" w:rsidR="00F07FFD" w:rsidRPr="000C1A9F" w:rsidRDefault="00F07FFD" w:rsidP="00F07FFD">
            <w:pPr>
              <w:spacing w:before="40" w:after="40" w:line="240" w:lineRule="auto"/>
              <w:ind w:left="567"/>
              <w:rPr>
                <w:rFonts w:ascii="Arial" w:hAnsi="Arial" w:cs="Arial"/>
                <w:color w:val="000000"/>
                <w:sz w:val="18"/>
                <w:szCs w:val="18"/>
                <w:lang w:eastAsia="en-NZ"/>
              </w:rPr>
            </w:pPr>
            <w:r w:rsidRPr="000C1A9F">
              <w:rPr>
                <w:rFonts w:ascii="Arial" w:hAnsi="Arial" w:cs="Arial"/>
                <w:color w:val="4F81BD"/>
                <w:sz w:val="18"/>
                <w:szCs w:val="18"/>
                <w:lang w:eastAsia="en-NZ"/>
              </w:rPr>
              <w:t>▼</w:t>
            </w:r>
            <w:r w:rsidRPr="000C1A9F">
              <w:rPr>
                <w:rFonts w:ascii="Arial" w:hAnsi="Arial" w:cs="Arial"/>
                <w:color w:val="000000"/>
                <w:sz w:val="18"/>
                <w:szCs w:val="18"/>
                <w:lang w:eastAsia="en-NZ"/>
              </w:rPr>
              <w:t xml:space="preserve"> Statistically significant decrease</w:t>
            </w:r>
            <w:r w:rsidRPr="000C1A9F">
              <w:rPr>
                <w:rFonts w:ascii="Arial" w:hAnsi="Arial" w:cs="Arial"/>
                <w:color w:val="000000"/>
                <w:sz w:val="18"/>
                <w:szCs w:val="18"/>
                <w:vertAlign w:val="superscript"/>
                <w:lang w:eastAsia="en-NZ"/>
              </w:rPr>
              <w:t>2</w:t>
            </w:r>
          </w:p>
        </w:tc>
        <w:tc>
          <w:tcPr>
            <w:tcW w:w="4544" w:type="dxa"/>
            <w:gridSpan w:val="4"/>
            <w:tcBorders>
              <w:top w:val="nil"/>
              <w:left w:val="nil"/>
              <w:bottom w:val="nil"/>
              <w:right w:val="nil"/>
            </w:tcBorders>
            <w:shd w:val="clear" w:color="000000" w:fill="FFFFFF"/>
            <w:noWrap/>
            <w:vAlign w:val="bottom"/>
            <w:hideMark/>
          </w:tcPr>
          <w:p w14:paraId="4AD0180B" w14:textId="77777777" w:rsidR="00F07FFD" w:rsidRPr="000C1A9F" w:rsidRDefault="00F07FFD" w:rsidP="00F07FFD">
            <w:pPr>
              <w:spacing w:before="40" w:after="40" w:line="240" w:lineRule="auto"/>
              <w:rPr>
                <w:rFonts w:ascii="Arial" w:hAnsi="Arial" w:cs="Arial"/>
                <w:color w:val="000000"/>
                <w:sz w:val="18"/>
                <w:szCs w:val="18"/>
                <w:lang w:eastAsia="en-NZ"/>
              </w:rPr>
            </w:pPr>
            <w:r w:rsidRPr="000C1A9F">
              <w:rPr>
                <w:rFonts w:ascii="Arial" w:hAnsi="Arial" w:cs="Arial"/>
                <w:color w:val="4F81BD"/>
                <w:sz w:val="18"/>
                <w:szCs w:val="18"/>
                <w:lang w:eastAsia="en-NZ"/>
              </w:rPr>
              <w:t xml:space="preserve">. </w:t>
            </w:r>
            <w:r w:rsidRPr="000C1A9F">
              <w:rPr>
                <w:rFonts w:ascii="Arial" w:hAnsi="Arial" w:cs="Arial"/>
                <w:color w:val="000000"/>
                <w:sz w:val="18"/>
                <w:szCs w:val="18"/>
                <w:lang w:eastAsia="en-NZ"/>
              </w:rPr>
              <w:t>Data not available</w:t>
            </w:r>
          </w:p>
        </w:tc>
      </w:tr>
      <w:tr w:rsidR="00F07FFD" w:rsidRPr="000C1A9F" w14:paraId="12AA20C5" w14:textId="77777777" w:rsidTr="00F07FFD">
        <w:trPr>
          <w:cantSplit/>
        </w:trPr>
        <w:tc>
          <w:tcPr>
            <w:tcW w:w="9464" w:type="dxa"/>
            <w:gridSpan w:val="6"/>
            <w:tcBorders>
              <w:top w:val="nil"/>
              <w:left w:val="nil"/>
              <w:bottom w:val="nil"/>
              <w:right w:val="nil"/>
            </w:tcBorders>
            <w:shd w:val="clear" w:color="000000" w:fill="FFFFFF"/>
            <w:vAlign w:val="bottom"/>
            <w:hideMark/>
          </w:tcPr>
          <w:p w14:paraId="5BDEF000" w14:textId="77777777" w:rsidR="00F07FFD" w:rsidRPr="000C1A9F" w:rsidRDefault="00F07FFD" w:rsidP="00F07FFD">
            <w:pPr>
              <w:spacing w:before="40" w:after="40" w:line="240" w:lineRule="auto"/>
              <w:ind w:left="284" w:hanging="284"/>
              <w:rPr>
                <w:rFonts w:ascii="Arial" w:hAnsi="Arial" w:cs="Arial"/>
                <w:color w:val="000000"/>
                <w:sz w:val="18"/>
                <w:szCs w:val="18"/>
                <w:lang w:eastAsia="en-NZ"/>
              </w:rPr>
            </w:pPr>
            <w:r w:rsidRPr="000C1A9F">
              <w:rPr>
                <w:rFonts w:ascii="Arial" w:hAnsi="Arial" w:cs="Arial"/>
                <w:color w:val="000000"/>
                <w:sz w:val="18"/>
                <w:szCs w:val="18"/>
                <w:lang w:eastAsia="en-NZ"/>
              </w:rPr>
              <w:t>1</w:t>
            </w:r>
            <w:r>
              <w:rPr>
                <w:rFonts w:ascii="Arial" w:hAnsi="Arial" w:cs="Arial"/>
                <w:color w:val="000000"/>
                <w:sz w:val="18"/>
                <w:szCs w:val="18"/>
                <w:lang w:eastAsia="en-NZ"/>
              </w:rPr>
              <w:tab/>
            </w:r>
            <w:r w:rsidRPr="000C1A9F">
              <w:rPr>
                <w:rFonts w:ascii="Arial" w:hAnsi="Arial" w:cs="Arial"/>
                <w:color w:val="000000"/>
                <w:sz w:val="18"/>
                <w:szCs w:val="18"/>
                <w:lang w:eastAsia="en-NZ"/>
              </w:rPr>
              <w:t>Among adults with natural teeth</w:t>
            </w:r>
            <w:r>
              <w:rPr>
                <w:rFonts w:ascii="Arial" w:hAnsi="Arial" w:cs="Arial"/>
                <w:color w:val="000000"/>
                <w:sz w:val="18"/>
                <w:szCs w:val="18"/>
                <w:lang w:eastAsia="en-NZ"/>
              </w:rPr>
              <w:t>.</w:t>
            </w:r>
          </w:p>
        </w:tc>
      </w:tr>
      <w:tr w:rsidR="00F07FFD" w:rsidRPr="000C1A9F" w14:paraId="612D9439" w14:textId="77777777" w:rsidTr="00F07FFD">
        <w:trPr>
          <w:cantSplit/>
        </w:trPr>
        <w:tc>
          <w:tcPr>
            <w:tcW w:w="9464" w:type="dxa"/>
            <w:gridSpan w:val="6"/>
            <w:tcBorders>
              <w:top w:val="nil"/>
              <w:left w:val="nil"/>
              <w:bottom w:val="single" w:sz="4" w:space="0" w:color="auto"/>
              <w:right w:val="nil"/>
            </w:tcBorders>
            <w:shd w:val="clear" w:color="000000" w:fill="FFFFFF"/>
            <w:noWrap/>
            <w:hideMark/>
          </w:tcPr>
          <w:p w14:paraId="23B7E735" w14:textId="77777777" w:rsidR="00F07FFD" w:rsidRPr="000C1A9F" w:rsidRDefault="00F07FFD" w:rsidP="00F07FFD">
            <w:pPr>
              <w:spacing w:before="40" w:after="40" w:line="240" w:lineRule="auto"/>
              <w:ind w:left="284" w:hanging="284"/>
              <w:rPr>
                <w:rFonts w:ascii="Arial" w:hAnsi="Arial" w:cs="Arial"/>
                <w:color w:val="000000"/>
                <w:sz w:val="18"/>
                <w:szCs w:val="18"/>
                <w:lang w:eastAsia="en-NZ"/>
              </w:rPr>
            </w:pPr>
            <w:r w:rsidRPr="000C1A9F">
              <w:rPr>
                <w:rFonts w:ascii="Arial" w:hAnsi="Arial" w:cs="Arial"/>
                <w:color w:val="000000"/>
                <w:sz w:val="18"/>
                <w:szCs w:val="18"/>
                <w:lang w:eastAsia="en-NZ"/>
              </w:rPr>
              <w:t>2</w:t>
            </w:r>
            <w:r>
              <w:rPr>
                <w:rFonts w:ascii="Arial" w:hAnsi="Arial" w:cs="Arial"/>
                <w:color w:val="000000"/>
                <w:sz w:val="18"/>
                <w:szCs w:val="18"/>
                <w:lang w:eastAsia="en-NZ"/>
              </w:rPr>
              <w:tab/>
            </w:r>
            <w:r w:rsidRPr="000C1A9F">
              <w:rPr>
                <w:rFonts w:ascii="Arial" w:hAnsi="Arial" w:cs="Arial"/>
                <w:color w:val="000000"/>
                <w:sz w:val="18"/>
                <w:szCs w:val="18"/>
                <w:lang w:eastAsia="en-NZ"/>
              </w:rPr>
              <w:t>The significance (</w:t>
            </w:r>
            <w:r w:rsidRPr="00786F6C">
              <w:rPr>
                <w:rFonts w:ascii="Arial" w:hAnsi="Arial" w:cs="Arial"/>
                <w:i/>
                <w:color w:val="000000"/>
                <w:sz w:val="18"/>
                <w:szCs w:val="18"/>
                <w:lang w:eastAsia="en-NZ"/>
              </w:rPr>
              <w:t>p</w:t>
            </w:r>
            <w:r w:rsidRPr="000C1A9F">
              <w:rPr>
                <w:rFonts w:ascii="Arial" w:hAnsi="Arial" w:cs="Arial"/>
                <w:color w:val="000000"/>
                <w:sz w:val="18"/>
                <w:szCs w:val="18"/>
                <w:lang w:eastAsia="en-NZ"/>
              </w:rPr>
              <w:t>-values) of differences between years is based on age-standardised rates</w:t>
            </w:r>
            <w:r>
              <w:rPr>
                <w:rFonts w:ascii="Arial" w:hAnsi="Arial" w:cs="Arial"/>
                <w:color w:val="000000"/>
                <w:sz w:val="18"/>
                <w:szCs w:val="18"/>
                <w:lang w:eastAsia="en-NZ"/>
              </w:rPr>
              <w:t>.</w:t>
            </w:r>
          </w:p>
        </w:tc>
      </w:tr>
    </w:tbl>
    <w:p w14:paraId="2C9C42D9" w14:textId="77777777" w:rsidR="00F07FFD" w:rsidRDefault="00F07FFD" w:rsidP="00F07FFD"/>
    <w:p w14:paraId="01BD4724" w14:textId="77777777" w:rsidR="00FC0DB8" w:rsidRDefault="00FC0DB8" w:rsidP="00B040CC">
      <w:pPr>
        <w:pStyle w:val="Table"/>
      </w:pPr>
      <w:bookmarkStart w:id="52" w:name="_Toc466618814"/>
      <w:bookmarkStart w:id="53" w:name="_Toc467831559"/>
      <w:r w:rsidRPr="00255D19">
        <w:lastRenderedPageBreak/>
        <w:t xml:space="preserve">Table </w:t>
      </w:r>
      <w:r>
        <w:t>5</w:t>
      </w:r>
      <w:r w:rsidRPr="00255D19">
        <w:t>:</w:t>
      </w:r>
      <w:r w:rsidR="00B040CC">
        <w:t xml:space="preserve"> </w:t>
      </w:r>
      <w:r w:rsidRPr="008E6702">
        <w:t>Key survey results for Pacific adults</w:t>
      </w:r>
      <w:bookmarkEnd w:id="51"/>
      <w:bookmarkEnd w:id="52"/>
      <w:bookmarkEnd w:id="53"/>
    </w:p>
    <w:tbl>
      <w:tblPr>
        <w:tblW w:w="9356" w:type="dxa"/>
        <w:tblInd w:w="57" w:type="dxa"/>
        <w:tblLayout w:type="fixed"/>
        <w:tblCellMar>
          <w:left w:w="57" w:type="dxa"/>
          <w:right w:w="57" w:type="dxa"/>
        </w:tblCellMar>
        <w:tblLook w:val="04A0" w:firstRow="1" w:lastRow="0" w:firstColumn="1" w:lastColumn="0" w:noHBand="0" w:noVBand="1"/>
      </w:tblPr>
      <w:tblGrid>
        <w:gridCol w:w="4020"/>
        <w:gridCol w:w="900"/>
        <w:gridCol w:w="940"/>
        <w:gridCol w:w="940"/>
        <w:gridCol w:w="1278"/>
        <w:gridCol w:w="1278"/>
      </w:tblGrid>
      <w:tr w:rsidR="00FC0DB8" w:rsidRPr="00B040CC" w14:paraId="2563BDCB" w14:textId="77777777" w:rsidTr="00E94939">
        <w:trPr>
          <w:cantSplit/>
        </w:trPr>
        <w:tc>
          <w:tcPr>
            <w:tcW w:w="4020" w:type="dxa"/>
            <w:tcBorders>
              <w:top w:val="single" w:sz="4" w:space="0" w:color="auto"/>
              <w:left w:val="nil"/>
              <w:bottom w:val="single" w:sz="4" w:space="0" w:color="auto"/>
              <w:right w:val="nil"/>
            </w:tcBorders>
            <w:shd w:val="clear" w:color="000000" w:fill="FFFFFF"/>
            <w:hideMark/>
          </w:tcPr>
          <w:p w14:paraId="555EEE6B" w14:textId="77777777" w:rsidR="00FC0DB8" w:rsidRPr="00B040CC" w:rsidRDefault="00FC0DB8" w:rsidP="00E94939">
            <w:pPr>
              <w:pStyle w:val="TableText"/>
              <w:keepNext/>
              <w:spacing w:before="40" w:after="40"/>
              <w:rPr>
                <w:b/>
                <w:lang w:eastAsia="en-NZ"/>
              </w:rPr>
            </w:pPr>
            <w:r w:rsidRPr="00B040CC">
              <w:rPr>
                <w:b/>
                <w:lang w:eastAsia="en-NZ"/>
              </w:rPr>
              <w:t>Indicator</w:t>
            </w:r>
          </w:p>
        </w:tc>
        <w:tc>
          <w:tcPr>
            <w:tcW w:w="900" w:type="dxa"/>
            <w:tcBorders>
              <w:top w:val="single" w:sz="4" w:space="0" w:color="auto"/>
              <w:left w:val="nil"/>
              <w:bottom w:val="single" w:sz="4" w:space="0" w:color="auto"/>
              <w:right w:val="nil"/>
            </w:tcBorders>
            <w:shd w:val="clear" w:color="000000" w:fill="FFFFFF"/>
            <w:hideMark/>
          </w:tcPr>
          <w:p w14:paraId="35ED5D82" w14:textId="77777777" w:rsidR="00FC0DB8" w:rsidRPr="00B040CC" w:rsidRDefault="00FC0DB8" w:rsidP="00E94939">
            <w:pPr>
              <w:pStyle w:val="TableText"/>
              <w:keepNext/>
              <w:spacing w:before="40" w:after="40"/>
              <w:jc w:val="center"/>
              <w:rPr>
                <w:b/>
                <w:lang w:eastAsia="en-NZ"/>
              </w:rPr>
            </w:pPr>
            <w:r w:rsidRPr="00B040CC">
              <w:rPr>
                <w:b/>
                <w:lang w:eastAsia="en-NZ"/>
              </w:rPr>
              <w:t>Percent 2015/16</w:t>
            </w:r>
          </w:p>
        </w:tc>
        <w:tc>
          <w:tcPr>
            <w:tcW w:w="940" w:type="dxa"/>
            <w:tcBorders>
              <w:top w:val="single" w:sz="4" w:space="0" w:color="auto"/>
              <w:left w:val="nil"/>
              <w:bottom w:val="single" w:sz="4" w:space="0" w:color="auto"/>
              <w:right w:val="nil"/>
            </w:tcBorders>
            <w:shd w:val="clear" w:color="000000" w:fill="FFFFFF"/>
            <w:hideMark/>
          </w:tcPr>
          <w:p w14:paraId="6E291E83" w14:textId="77777777" w:rsidR="00FC0DB8" w:rsidRPr="00B040CC" w:rsidRDefault="00FC0DB8" w:rsidP="00E94939">
            <w:pPr>
              <w:pStyle w:val="TableText"/>
              <w:keepNext/>
              <w:spacing w:before="40" w:after="40"/>
              <w:jc w:val="center"/>
              <w:rPr>
                <w:b/>
                <w:color w:val="808080"/>
                <w:lang w:eastAsia="en-NZ"/>
              </w:rPr>
            </w:pPr>
            <w:r w:rsidRPr="00B040CC">
              <w:rPr>
                <w:b/>
                <w:color w:val="808080"/>
                <w:lang w:eastAsia="en-NZ"/>
              </w:rPr>
              <w:t>Percent 2011/12</w:t>
            </w:r>
          </w:p>
        </w:tc>
        <w:tc>
          <w:tcPr>
            <w:tcW w:w="940" w:type="dxa"/>
            <w:tcBorders>
              <w:top w:val="single" w:sz="4" w:space="0" w:color="auto"/>
              <w:left w:val="nil"/>
              <w:bottom w:val="single" w:sz="4" w:space="0" w:color="auto"/>
              <w:right w:val="nil"/>
            </w:tcBorders>
            <w:shd w:val="clear" w:color="000000" w:fill="FFFFFF"/>
            <w:hideMark/>
          </w:tcPr>
          <w:p w14:paraId="3A848313" w14:textId="77777777" w:rsidR="00FC0DB8" w:rsidRPr="00B040CC" w:rsidRDefault="00FC0DB8" w:rsidP="00E94939">
            <w:pPr>
              <w:pStyle w:val="TableText"/>
              <w:keepNext/>
              <w:spacing w:before="40" w:after="40"/>
              <w:jc w:val="center"/>
              <w:rPr>
                <w:b/>
                <w:color w:val="808080"/>
                <w:lang w:eastAsia="en-NZ"/>
              </w:rPr>
            </w:pPr>
            <w:r w:rsidRPr="00B040CC">
              <w:rPr>
                <w:b/>
                <w:color w:val="808080"/>
                <w:lang w:eastAsia="en-NZ"/>
              </w:rPr>
              <w:t>Percent 2006/07</w:t>
            </w:r>
          </w:p>
        </w:tc>
        <w:tc>
          <w:tcPr>
            <w:tcW w:w="1278" w:type="dxa"/>
            <w:tcBorders>
              <w:top w:val="single" w:sz="4" w:space="0" w:color="auto"/>
              <w:left w:val="nil"/>
              <w:bottom w:val="single" w:sz="4" w:space="0" w:color="auto"/>
              <w:right w:val="nil"/>
            </w:tcBorders>
            <w:shd w:val="clear" w:color="000000" w:fill="FFFFFF"/>
            <w:hideMark/>
          </w:tcPr>
          <w:p w14:paraId="08A53092" w14:textId="77777777" w:rsidR="00FC0DB8" w:rsidRPr="00B040CC" w:rsidRDefault="00FC0DB8" w:rsidP="00E94939">
            <w:pPr>
              <w:pStyle w:val="TableText"/>
              <w:keepNext/>
              <w:spacing w:before="40" w:after="40"/>
              <w:jc w:val="center"/>
              <w:rPr>
                <w:b/>
                <w:lang w:eastAsia="en-NZ"/>
              </w:rPr>
            </w:pPr>
            <w:r w:rsidRPr="00B040CC">
              <w:rPr>
                <w:b/>
                <w:lang w:eastAsia="en-NZ"/>
              </w:rPr>
              <w:t>Change</w:t>
            </w:r>
            <w:r w:rsidR="00FD6712" w:rsidRPr="00B040CC">
              <w:rPr>
                <w:b/>
                <w:lang w:eastAsia="en-NZ"/>
              </w:rPr>
              <w:t xml:space="preserve"> </w:t>
            </w:r>
            <w:r w:rsidRPr="00B040CC">
              <w:rPr>
                <w:b/>
                <w:lang w:eastAsia="en-NZ"/>
              </w:rPr>
              <w:t>since 2011/12</w:t>
            </w:r>
          </w:p>
        </w:tc>
        <w:tc>
          <w:tcPr>
            <w:tcW w:w="1278" w:type="dxa"/>
            <w:tcBorders>
              <w:top w:val="single" w:sz="4" w:space="0" w:color="auto"/>
              <w:left w:val="nil"/>
              <w:bottom w:val="single" w:sz="4" w:space="0" w:color="auto"/>
              <w:right w:val="nil"/>
            </w:tcBorders>
            <w:shd w:val="clear" w:color="000000" w:fill="FFFFFF"/>
            <w:hideMark/>
          </w:tcPr>
          <w:p w14:paraId="4444FB26" w14:textId="77777777" w:rsidR="00FC0DB8" w:rsidRPr="00B040CC" w:rsidRDefault="00FC0DB8" w:rsidP="00E94939">
            <w:pPr>
              <w:pStyle w:val="TableText"/>
              <w:keepNext/>
              <w:spacing w:before="40" w:after="40"/>
              <w:jc w:val="center"/>
              <w:rPr>
                <w:b/>
                <w:lang w:eastAsia="en-NZ"/>
              </w:rPr>
            </w:pPr>
            <w:r w:rsidRPr="00B040CC">
              <w:rPr>
                <w:b/>
                <w:lang w:eastAsia="en-NZ"/>
              </w:rPr>
              <w:t>Change</w:t>
            </w:r>
            <w:r w:rsidR="00FD6712" w:rsidRPr="00B040CC">
              <w:rPr>
                <w:b/>
                <w:lang w:eastAsia="en-NZ"/>
              </w:rPr>
              <w:t xml:space="preserve"> </w:t>
            </w:r>
            <w:r w:rsidRPr="00B040CC">
              <w:rPr>
                <w:b/>
                <w:lang w:eastAsia="en-NZ"/>
              </w:rPr>
              <w:t>since 2006/07</w:t>
            </w:r>
          </w:p>
        </w:tc>
      </w:tr>
      <w:tr w:rsidR="00FC0DB8" w:rsidRPr="00E951E4" w14:paraId="486D7DF3" w14:textId="77777777" w:rsidTr="00E94939">
        <w:trPr>
          <w:cantSplit/>
        </w:trPr>
        <w:tc>
          <w:tcPr>
            <w:tcW w:w="4020" w:type="dxa"/>
            <w:tcBorders>
              <w:top w:val="nil"/>
              <w:left w:val="nil"/>
              <w:bottom w:val="nil"/>
              <w:right w:val="nil"/>
            </w:tcBorders>
            <w:shd w:val="clear" w:color="000000" w:fill="FFFFFF"/>
            <w:hideMark/>
          </w:tcPr>
          <w:p w14:paraId="7E74D82E" w14:textId="77777777" w:rsidR="00FC0DB8" w:rsidRPr="00B040CC" w:rsidRDefault="00FC0DB8" w:rsidP="00E94939">
            <w:pPr>
              <w:pStyle w:val="TableText"/>
              <w:spacing w:before="40" w:after="40"/>
              <w:rPr>
                <w:b/>
                <w:lang w:eastAsia="en-NZ"/>
              </w:rPr>
            </w:pPr>
            <w:r w:rsidRPr="00B040CC">
              <w:rPr>
                <w:b/>
                <w:lang w:eastAsia="en-NZ"/>
              </w:rPr>
              <w:t>Health status, health behaviours and risk factors</w:t>
            </w:r>
          </w:p>
        </w:tc>
        <w:tc>
          <w:tcPr>
            <w:tcW w:w="900" w:type="dxa"/>
            <w:tcBorders>
              <w:top w:val="nil"/>
              <w:left w:val="nil"/>
              <w:bottom w:val="nil"/>
              <w:right w:val="nil"/>
            </w:tcBorders>
            <w:shd w:val="clear" w:color="000000" w:fill="FFFFFF"/>
          </w:tcPr>
          <w:p w14:paraId="639648D5" w14:textId="77777777" w:rsidR="00FC0DB8" w:rsidRPr="00E951E4" w:rsidRDefault="00FC0DB8" w:rsidP="00E94939">
            <w:pPr>
              <w:pStyle w:val="TableText"/>
              <w:spacing w:before="40" w:after="40"/>
              <w:jc w:val="center"/>
              <w:rPr>
                <w:lang w:eastAsia="en-NZ"/>
              </w:rPr>
            </w:pPr>
          </w:p>
        </w:tc>
        <w:tc>
          <w:tcPr>
            <w:tcW w:w="940" w:type="dxa"/>
            <w:tcBorders>
              <w:top w:val="nil"/>
              <w:left w:val="nil"/>
              <w:bottom w:val="nil"/>
              <w:right w:val="nil"/>
            </w:tcBorders>
            <w:shd w:val="clear" w:color="000000" w:fill="FFFFFF"/>
          </w:tcPr>
          <w:p w14:paraId="1774F16B" w14:textId="77777777" w:rsidR="00FC0DB8" w:rsidRPr="00E951E4" w:rsidRDefault="00FC0DB8" w:rsidP="00E94939">
            <w:pPr>
              <w:pStyle w:val="TableText"/>
              <w:spacing w:before="40" w:after="40"/>
              <w:jc w:val="center"/>
              <w:rPr>
                <w:color w:val="808080"/>
                <w:lang w:eastAsia="en-NZ"/>
              </w:rPr>
            </w:pPr>
          </w:p>
        </w:tc>
        <w:tc>
          <w:tcPr>
            <w:tcW w:w="940" w:type="dxa"/>
            <w:tcBorders>
              <w:top w:val="nil"/>
              <w:left w:val="nil"/>
              <w:bottom w:val="nil"/>
              <w:right w:val="nil"/>
            </w:tcBorders>
            <w:shd w:val="clear" w:color="000000" w:fill="FFFFFF"/>
          </w:tcPr>
          <w:p w14:paraId="7C5E47C5" w14:textId="77777777" w:rsidR="00FC0DB8" w:rsidRPr="00E951E4" w:rsidRDefault="00FC0DB8" w:rsidP="00E94939">
            <w:pPr>
              <w:pStyle w:val="TableText"/>
              <w:spacing w:before="40" w:after="40"/>
              <w:jc w:val="center"/>
              <w:rPr>
                <w:color w:val="808080"/>
                <w:lang w:eastAsia="en-NZ"/>
              </w:rPr>
            </w:pPr>
          </w:p>
        </w:tc>
        <w:tc>
          <w:tcPr>
            <w:tcW w:w="1278" w:type="dxa"/>
            <w:tcBorders>
              <w:top w:val="nil"/>
              <w:left w:val="nil"/>
              <w:bottom w:val="nil"/>
              <w:right w:val="nil"/>
            </w:tcBorders>
            <w:shd w:val="clear" w:color="000000" w:fill="FFFFFF"/>
          </w:tcPr>
          <w:p w14:paraId="47F44FB8" w14:textId="77777777" w:rsidR="00FC0DB8" w:rsidRPr="00E951E4" w:rsidRDefault="00FC0DB8" w:rsidP="00E94939">
            <w:pPr>
              <w:pStyle w:val="TableText"/>
              <w:spacing w:before="40" w:after="40"/>
              <w:jc w:val="center"/>
              <w:rPr>
                <w:lang w:eastAsia="en-NZ"/>
              </w:rPr>
            </w:pPr>
          </w:p>
        </w:tc>
        <w:tc>
          <w:tcPr>
            <w:tcW w:w="1278" w:type="dxa"/>
            <w:tcBorders>
              <w:top w:val="nil"/>
              <w:left w:val="nil"/>
              <w:bottom w:val="nil"/>
              <w:right w:val="nil"/>
            </w:tcBorders>
            <w:shd w:val="clear" w:color="000000" w:fill="FFFFFF"/>
          </w:tcPr>
          <w:p w14:paraId="02A32921" w14:textId="77777777" w:rsidR="00FC0DB8" w:rsidRPr="00E951E4" w:rsidRDefault="00FC0DB8" w:rsidP="00E94939">
            <w:pPr>
              <w:pStyle w:val="TableText"/>
              <w:spacing w:before="40" w:after="40"/>
              <w:jc w:val="center"/>
              <w:rPr>
                <w:color w:val="E36C0A"/>
                <w:lang w:eastAsia="en-NZ"/>
              </w:rPr>
            </w:pPr>
          </w:p>
        </w:tc>
      </w:tr>
      <w:tr w:rsidR="00FC0DB8" w:rsidRPr="00E951E4" w14:paraId="3E957007" w14:textId="77777777" w:rsidTr="00E94939">
        <w:trPr>
          <w:cantSplit/>
        </w:trPr>
        <w:tc>
          <w:tcPr>
            <w:tcW w:w="4020" w:type="dxa"/>
            <w:tcBorders>
              <w:top w:val="nil"/>
              <w:left w:val="nil"/>
              <w:bottom w:val="single" w:sz="4" w:space="0" w:color="808080"/>
              <w:right w:val="nil"/>
            </w:tcBorders>
            <w:shd w:val="clear" w:color="000000" w:fill="FFFFFF"/>
            <w:hideMark/>
          </w:tcPr>
          <w:p w14:paraId="2B85BE81" w14:textId="77777777" w:rsidR="00FC0DB8" w:rsidRPr="00E951E4" w:rsidRDefault="00FC0DB8" w:rsidP="00E94939">
            <w:pPr>
              <w:pStyle w:val="TableText"/>
              <w:spacing w:before="40" w:after="40"/>
              <w:rPr>
                <w:lang w:eastAsia="en-NZ"/>
              </w:rPr>
            </w:pPr>
            <w:r w:rsidRPr="00E951E4">
              <w:rPr>
                <w:lang w:eastAsia="en-NZ"/>
              </w:rPr>
              <w:t>Good or better self-rated health</w:t>
            </w:r>
          </w:p>
        </w:tc>
        <w:tc>
          <w:tcPr>
            <w:tcW w:w="900" w:type="dxa"/>
            <w:tcBorders>
              <w:top w:val="nil"/>
              <w:left w:val="nil"/>
              <w:bottom w:val="single" w:sz="4" w:space="0" w:color="808080"/>
              <w:right w:val="nil"/>
            </w:tcBorders>
            <w:shd w:val="clear" w:color="000000" w:fill="FFFFFF"/>
            <w:hideMark/>
          </w:tcPr>
          <w:p w14:paraId="44EA2292" w14:textId="77777777" w:rsidR="00FC0DB8" w:rsidRPr="00E951E4" w:rsidRDefault="00FC0DB8" w:rsidP="00E94939">
            <w:pPr>
              <w:pStyle w:val="TableText"/>
              <w:spacing w:before="40" w:after="40"/>
              <w:jc w:val="center"/>
              <w:rPr>
                <w:lang w:eastAsia="en-NZ"/>
              </w:rPr>
            </w:pPr>
            <w:r w:rsidRPr="00E951E4">
              <w:rPr>
                <w:lang w:eastAsia="en-NZ"/>
              </w:rPr>
              <w:t>80.7</w:t>
            </w:r>
          </w:p>
        </w:tc>
        <w:tc>
          <w:tcPr>
            <w:tcW w:w="940" w:type="dxa"/>
            <w:tcBorders>
              <w:top w:val="nil"/>
              <w:left w:val="nil"/>
              <w:bottom w:val="single" w:sz="4" w:space="0" w:color="808080"/>
              <w:right w:val="nil"/>
            </w:tcBorders>
            <w:shd w:val="clear" w:color="000000" w:fill="FFFFFF"/>
            <w:hideMark/>
          </w:tcPr>
          <w:p w14:paraId="653D0E5B"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87.2</w:t>
            </w:r>
          </w:p>
        </w:tc>
        <w:tc>
          <w:tcPr>
            <w:tcW w:w="940" w:type="dxa"/>
            <w:tcBorders>
              <w:top w:val="nil"/>
              <w:left w:val="nil"/>
              <w:bottom w:val="single" w:sz="4" w:space="0" w:color="808080"/>
              <w:right w:val="nil"/>
            </w:tcBorders>
            <w:shd w:val="clear" w:color="000000" w:fill="FFFFFF"/>
            <w:hideMark/>
          </w:tcPr>
          <w:p w14:paraId="725CB8A9"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85.5</w:t>
            </w:r>
          </w:p>
        </w:tc>
        <w:tc>
          <w:tcPr>
            <w:tcW w:w="1278" w:type="dxa"/>
            <w:tcBorders>
              <w:top w:val="nil"/>
              <w:left w:val="nil"/>
              <w:bottom w:val="single" w:sz="4" w:space="0" w:color="808080"/>
              <w:right w:val="nil"/>
            </w:tcBorders>
            <w:shd w:val="clear" w:color="000000" w:fill="FFFFFF"/>
            <w:hideMark/>
          </w:tcPr>
          <w:p w14:paraId="6A25120B"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single" w:sz="4" w:space="0" w:color="808080"/>
              <w:right w:val="nil"/>
            </w:tcBorders>
            <w:shd w:val="clear" w:color="000000" w:fill="FFFFFF"/>
            <w:hideMark/>
          </w:tcPr>
          <w:p w14:paraId="2B322A81"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246FC3BC" w14:textId="77777777" w:rsidTr="00E94939">
        <w:trPr>
          <w:cantSplit/>
        </w:trPr>
        <w:tc>
          <w:tcPr>
            <w:tcW w:w="4020" w:type="dxa"/>
            <w:tcBorders>
              <w:top w:val="nil"/>
              <w:left w:val="nil"/>
              <w:bottom w:val="nil"/>
              <w:right w:val="nil"/>
            </w:tcBorders>
            <w:shd w:val="clear" w:color="000000" w:fill="FFFFFF"/>
            <w:hideMark/>
          </w:tcPr>
          <w:p w14:paraId="05F79C3B" w14:textId="77777777" w:rsidR="00FC0DB8" w:rsidRPr="00E951E4" w:rsidRDefault="00FC0DB8" w:rsidP="00E94939">
            <w:pPr>
              <w:pStyle w:val="TableText"/>
              <w:spacing w:before="40" w:after="40"/>
              <w:rPr>
                <w:lang w:eastAsia="en-NZ"/>
              </w:rPr>
            </w:pPr>
            <w:r w:rsidRPr="00E951E4">
              <w:rPr>
                <w:lang w:eastAsia="en-NZ"/>
              </w:rPr>
              <w:t>Current smokers</w:t>
            </w:r>
          </w:p>
        </w:tc>
        <w:tc>
          <w:tcPr>
            <w:tcW w:w="900" w:type="dxa"/>
            <w:tcBorders>
              <w:top w:val="nil"/>
              <w:left w:val="nil"/>
              <w:bottom w:val="nil"/>
              <w:right w:val="nil"/>
            </w:tcBorders>
            <w:shd w:val="clear" w:color="000000" w:fill="FFFFFF"/>
            <w:hideMark/>
          </w:tcPr>
          <w:p w14:paraId="07313531" w14:textId="77777777" w:rsidR="00FC0DB8" w:rsidRPr="00E951E4" w:rsidRDefault="00FC0DB8" w:rsidP="00E94939">
            <w:pPr>
              <w:pStyle w:val="TableText"/>
              <w:spacing w:before="40" w:after="40"/>
              <w:jc w:val="center"/>
              <w:rPr>
                <w:lang w:eastAsia="en-NZ"/>
              </w:rPr>
            </w:pPr>
            <w:r w:rsidRPr="00E951E4">
              <w:rPr>
                <w:lang w:eastAsia="en-NZ"/>
              </w:rPr>
              <w:t>25.5</w:t>
            </w:r>
          </w:p>
        </w:tc>
        <w:tc>
          <w:tcPr>
            <w:tcW w:w="940" w:type="dxa"/>
            <w:tcBorders>
              <w:top w:val="nil"/>
              <w:left w:val="nil"/>
              <w:bottom w:val="nil"/>
              <w:right w:val="nil"/>
            </w:tcBorders>
            <w:shd w:val="clear" w:color="000000" w:fill="FFFFFF"/>
            <w:hideMark/>
          </w:tcPr>
          <w:p w14:paraId="05D23D4B"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25.9</w:t>
            </w:r>
          </w:p>
        </w:tc>
        <w:tc>
          <w:tcPr>
            <w:tcW w:w="940" w:type="dxa"/>
            <w:tcBorders>
              <w:top w:val="nil"/>
              <w:left w:val="nil"/>
              <w:bottom w:val="nil"/>
              <w:right w:val="nil"/>
            </w:tcBorders>
            <w:shd w:val="clear" w:color="000000" w:fill="FFFFFF"/>
            <w:hideMark/>
          </w:tcPr>
          <w:p w14:paraId="6D862B54"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27.1</w:t>
            </w:r>
          </w:p>
        </w:tc>
        <w:tc>
          <w:tcPr>
            <w:tcW w:w="1278" w:type="dxa"/>
            <w:tcBorders>
              <w:top w:val="nil"/>
              <w:left w:val="nil"/>
              <w:bottom w:val="nil"/>
              <w:right w:val="nil"/>
            </w:tcBorders>
            <w:shd w:val="clear" w:color="000000" w:fill="FFFFFF"/>
            <w:hideMark/>
          </w:tcPr>
          <w:p w14:paraId="4F39217D"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5DC68882"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39A7BBB3" w14:textId="77777777" w:rsidTr="00E94939">
        <w:trPr>
          <w:cantSplit/>
        </w:trPr>
        <w:tc>
          <w:tcPr>
            <w:tcW w:w="4020" w:type="dxa"/>
            <w:tcBorders>
              <w:top w:val="nil"/>
              <w:left w:val="nil"/>
              <w:bottom w:val="single" w:sz="4" w:space="0" w:color="808080"/>
              <w:right w:val="nil"/>
            </w:tcBorders>
            <w:shd w:val="clear" w:color="000000" w:fill="FFFFFF"/>
            <w:hideMark/>
          </w:tcPr>
          <w:p w14:paraId="6EB4DB56" w14:textId="77777777" w:rsidR="00FC0DB8" w:rsidRPr="00E951E4" w:rsidRDefault="00FC0DB8" w:rsidP="00E94939">
            <w:pPr>
              <w:pStyle w:val="TableText"/>
              <w:spacing w:before="40" w:after="40"/>
              <w:rPr>
                <w:lang w:eastAsia="en-NZ"/>
              </w:rPr>
            </w:pPr>
            <w:r w:rsidRPr="00E951E4">
              <w:rPr>
                <w:lang w:eastAsia="en-NZ"/>
              </w:rPr>
              <w:t>Daily smokers</w:t>
            </w:r>
          </w:p>
        </w:tc>
        <w:tc>
          <w:tcPr>
            <w:tcW w:w="900" w:type="dxa"/>
            <w:tcBorders>
              <w:top w:val="nil"/>
              <w:left w:val="nil"/>
              <w:bottom w:val="single" w:sz="4" w:space="0" w:color="808080"/>
              <w:right w:val="nil"/>
            </w:tcBorders>
            <w:shd w:val="clear" w:color="000000" w:fill="FFFFFF"/>
            <w:hideMark/>
          </w:tcPr>
          <w:p w14:paraId="2B4F5C7E" w14:textId="77777777" w:rsidR="00FC0DB8" w:rsidRPr="00E951E4" w:rsidRDefault="00FC0DB8" w:rsidP="00E94939">
            <w:pPr>
              <w:pStyle w:val="TableText"/>
              <w:spacing w:before="40" w:after="40"/>
              <w:jc w:val="center"/>
              <w:rPr>
                <w:lang w:eastAsia="en-NZ"/>
              </w:rPr>
            </w:pPr>
            <w:r w:rsidRPr="00E951E4">
              <w:rPr>
                <w:lang w:eastAsia="en-NZ"/>
              </w:rPr>
              <w:t>22.8</w:t>
            </w:r>
          </w:p>
        </w:tc>
        <w:tc>
          <w:tcPr>
            <w:tcW w:w="940" w:type="dxa"/>
            <w:tcBorders>
              <w:top w:val="nil"/>
              <w:left w:val="nil"/>
              <w:bottom w:val="single" w:sz="4" w:space="0" w:color="808080"/>
              <w:right w:val="nil"/>
            </w:tcBorders>
            <w:shd w:val="clear" w:color="000000" w:fill="FFFFFF"/>
            <w:hideMark/>
          </w:tcPr>
          <w:p w14:paraId="1E9C1721"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22.6</w:t>
            </w:r>
          </w:p>
        </w:tc>
        <w:tc>
          <w:tcPr>
            <w:tcW w:w="940" w:type="dxa"/>
            <w:tcBorders>
              <w:top w:val="nil"/>
              <w:left w:val="nil"/>
              <w:bottom w:val="single" w:sz="4" w:space="0" w:color="808080"/>
              <w:right w:val="nil"/>
            </w:tcBorders>
            <w:shd w:val="clear" w:color="000000" w:fill="FFFFFF"/>
            <w:hideMark/>
          </w:tcPr>
          <w:p w14:paraId="65302028"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24.8</w:t>
            </w:r>
          </w:p>
        </w:tc>
        <w:tc>
          <w:tcPr>
            <w:tcW w:w="1278" w:type="dxa"/>
            <w:tcBorders>
              <w:top w:val="nil"/>
              <w:left w:val="nil"/>
              <w:bottom w:val="single" w:sz="4" w:space="0" w:color="808080"/>
              <w:right w:val="nil"/>
            </w:tcBorders>
            <w:shd w:val="clear" w:color="000000" w:fill="FFFFFF"/>
            <w:hideMark/>
          </w:tcPr>
          <w:p w14:paraId="024E9034"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single" w:sz="4" w:space="0" w:color="808080"/>
              <w:right w:val="nil"/>
            </w:tcBorders>
            <w:shd w:val="clear" w:color="000000" w:fill="FFFFFF"/>
            <w:hideMark/>
          </w:tcPr>
          <w:p w14:paraId="1AFEBD0F"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287341DE" w14:textId="77777777" w:rsidTr="00E94939">
        <w:trPr>
          <w:cantSplit/>
        </w:trPr>
        <w:tc>
          <w:tcPr>
            <w:tcW w:w="4020" w:type="dxa"/>
            <w:tcBorders>
              <w:top w:val="nil"/>
              <w:left w:val="nil"/>
              <w:bottom w:val="nil"/>
              <w:right w:val="nil"/>
            </w:tcBorders>
            <w:shd w:val="clear" w:color="000000" w:fill="FFFFFF"/>
            <w:hideMark/>
          </w:tcPr>
          <w:p w14:paraId="72D884EF" w14:textId="77777777" w:rsidR="00FC0DB8" w:rsidRPr="00E951E4" w:rsidRDefault="00FC0DB8" w:rsidP="00E94939">
            <w:pPr>
              <w:pStyle w:val="TableText"/>
              <w:spacing w:before="40" w:after="40"/>
              <w:rPr>
                <w:lang w:eastAsia="en-NZ"/>
              </w:rPr>
            </w:pPr>
            <w:r w:rsidRPr="00E951E4">
              <w:rPr>
                <w:lang w:eastAsia="en-NZ"/>
              </w:rPr>
              <w:t>Past-year drinkers</w:t>
            </w:r>
          </w:p>
        </w:tc>
        <w:tc>
          <w:tcPr>
            <w:tcW w:w="900" w:type="dxa"/>
            <w:tcBorders>
              <w:top w:val="nil"/>
              <w:left w:val="nil"/>
              <w:bottom w:val="nil"/>
              <w:right w:val="nil"/>
            </w:tcBorders>
            <w:shd w:val="clear" w:color="000000" w:fill="FFFFFF"/>
            <w:hideMark/>
          </w:tcPr>
          <w:p w14:paraId="7770CCE4" w14:textId="77777777" w:rsidR="00FC0DB8" w:rsidRPr="00E951E4" w:rsidRDefault="00FC0DB8" w:rsidP="00E94939">
            <w:pPr>
              <w:pStyle w:val="TableText"/>
              <w:spacing w:before="40" w:after="40"/>
              <w:jc w:val="center"/>
              <w:rPr>
                <w:lang w:eastAsia="en-NZ"/>
              </w:rPr>
            </w:pPr>
            <w:r w:rsidRPr="00E951E4">
              <w:rPr>
                <w:lang w:eastAsia="en-NZ"/>
              </w:rPr>
              <w:t>58.2</w:t>
            </w:r>
          </w:p>
        </w:tc>
        <w:tc>
          <w:tcPr>
            <w:tcW w:w="940" w:type="dxa"/>
            <w:tcBorders>
              <w:top w:val="nil"/>
              <w:left w:val="nil"/>
              <w:bottom w:val="nil"/>
              <w:right w:val="nil"/>
            </w:tcBorders>
            <w:shd w:val="clear" w:color="000000" w:fill="FFFFFF"/>
            <w:hideMark/>
          </w:tcPr>
          <w:p w14:paraId="3D7141A3"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58.1</w:t>
            </w:r>
          </w:p>
        </w:tc>
        <w:tc>
          <w:tcPr>
            <w:tcW w:w="940" w:type="dxa"/>
            <w:tcBorders>
              <w:top w:val="nil"/>
              <w:left w:val="nil"/>
              <w:bottom w:val="nil"/>
              <w:right w:val="nil"/>
            </w:tcBorders>
            <w:shd w:val="clear" w:color="000000" w:fill="FFFFFF"/>
            <w:hideMark/>
          </w:tcPr>
          <w:p w14:paraId="3CEFD8F7"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59.5</w:t>
            </w:r>
          </w:p>
        </w:tc>
        <w:tc>
          <w:tcPr>
            <w:tcW w:w="1278" w:type="dxa"/>
            <w:tcBorders>
              <w:top w:val="nil"/>
              <w:left w:val="nil"/>
              <w:bottom w:val="nil"/>
              <w:right w:val="nil"/>
            </w:tcBorders>
            <w:shd w:val="clear" w:color="000000" w:fill="FFFFFF"/>
            <w:hideMark/>
          </w:tcPr>
          <w:p w14:paraId="586351E6"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7549BA0C"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5121A9AB" w14:textId="77777777" w:rsidTr="00E94939">
        <w:trPr>
          <w:cantSplit/>
        </w:trPr>
        <w:tc>
          <w:tcPr>
            <w:tcW w:w="4020" w:type="dxa"/>
            <w:tcBorders>
              <w:top w:val="nil"/>
              <w:left w:val="nil"/>
              <w:bottom w:val="single" w:sz="4" w:space="0" w:color="808080"/>
              <w:right w:val="nil"/>
            </w:tcBorders>
            <w:shd w:val="clear" w:color="000000" w:fill="FFFFFF"/>
            <w:hideMark/>
          </w:tcPr>
          <w:p w14:paraId="68B29D84" w14:textId="77777777" w:rsidR="00FC0DB8" w:rsidRPr="00E951E4" w:rsidRDefault="00FC0DB8" w:rsidP="00E94939">
            <w:pPr>
              <w:pStyle w:val="TableText"/>
              <w:spacing w:before="40" w:after="40"/>
              <w:rPr>
                <w:lang w:eastAsia="en-NZ"/>
              </w:rPr>
            </w:pPr>
            <w:r w:rsidRPr="00E951E4">
              <w:rPr>
                <w:lang w:eastAsia="en-NZ"/>
              </w:rPr>
              <w:t>Hazardous drinkers (total population)</w:t>
            </w:r>
          </w:p>
        </w:tc>
        <w:tc>
          <w:tcPr>
            <w:tcW w:w="900" w:type="dxa"/>
            <w:tcBorders>
              <w:top w:val="nil"/>
              <w:left w:val="nil"/>
              <w:bottom w:val="single" w:sz="4" w:space="0" w:color="808080"/>
              <w:right w:val="nil"/>
            </w:tcBorders>
            <w:shd w:val="clear" w:color="000000" w:fill="FFFFFF"/>
            <w:hideMark/>
          </w:tcPr>
          <w:p w14:paraId="2751AFD0" w14:textId="77777777" w:rsidR="00FC0DB8" w:rsidRPr="00E951E4" w:rsidRDefault="00FC0DB8" w:rsidP="00E94939">
            <w:pPr>
              <w:pStyle w:val="TableText"/>
              <w:spacing w:before="40" w:after="40"/>
              <w:jc w:val="center"/>
              <w:rPr>
                <w:lang w:eastAsia="en-NZ"/>
              </w:rPr>
            </w:pPr>
            <w:r>
              <w:rPr>
                <w:lang w:eastAsia="en-NZ"/>
              </w:rPr>
              <w:t>23.6</w:t>
            </w:r>
          </w:p>
        </w:tc>
        <w:tc>
          <w:tcPr>
            <w:tcW w:w="940" w:type="dxa"/>
            <w:tcBorders>
              <w:top w:val="nil"/>
              <w:left w:val="nil"/>
              <w:bottom w:val="single" w:sz="4" w:space="0" w:color="808080"/>
              <w:right w:val="nil"/>
            </w:tcBorders>
            <w:shd w:val="clear" w:color="000000" w:fill="FFFFFF"/>
            <w:hideMark/>
          </w:tcPr>
          <w:p w14:paraId="03D296C2" w14:textId="77777777" w:rsidR="00FC0DB8" w:rsidRPr="00E951E4" w:rsidRDefault="00FC0DB8" w:rsidP="00E94939">
            <w:pPr>
              <w:pStyle w:val="TableText"/>
              <w:spacing w:before="40" w:after="40"/>
              <w:jc w:val="center"/>
              <w:rPr>
                <w:color w:val="808080"/>
                <w:lang w:eastAsia="en-NZ"/>
              </w:rPr>
            </w:pPr>
            <w:r>
              <w:rPr>
                <w:color w:val="808080"/>
                <w:lang w:eastAsia="en-NZ"/>
              </w:rPr>
              <w:t>.</w:t>
            </w:r>
          </w:p>
        </w:tc>
        <w:tc>
          <w:tcPr>
            <w:tcW w:w="940" w:type="dxa"/>
            <w:tcBorders>
              <w:top w:val="nil"/>
              <w:left w:val="nil"/>
              <w:bottom w:val="single" w:sz="4" w:space="0" w:color="808080"/>
              <w:right w:val="nil"/>
            </w:tcBorders>
            <w:shd w:val="clear" w:color="000000" w:fill="FFFFFF"/>
            <w:hideMark/>
          </w:tcPr>
          <w:p w14:paraId="40EE3BEF" w14:textId="77777777" w:rsidR="00FC0DB8" w:rsidRPr="00E951E4" w:rsidRDefault="00FC0DB8" w:rsidP="00E94939">
            <w:pPr>
              <w:pStyle w:val="TableText"/>
              <w:spacing w:before="40" w:after="40"/>
              <w:jc w:val="center"/>
              <w:rPr>
                <w:color w:val="808080"/>
                <w:lang w:eastAsia="en-NZ"/>
              </w:rPr>
            </w:pPr>
            <w:r>
              <w:rPr>
                <w:color w:val="808080"/>
                <w:lang w:eastAsia="en-NZ"/>
              </w:rPr>
              <w:t>.</w:t>
            </w:r>
          </w:p>
        </w:tc>
        <w:tc>
          <w:tcPr>
            <w:tcW w:w="1278" w:type="dxa"/>
            <w:tcBorders>
              <w:top w:val="nil"/>
              <w:left w:val="nil"/>
              <w:bottom w:val="single" w:sz="4" w:space="0" w:color="808080"/>
              <w:right w:val="nil"/>
            </w:tcBorders>
            <w:shd w:val="clear" w:color="000000" w:fill="FFFFFF"/>
            <w:hideMark/>
          </w:tcPr>
          <w:p w14:paraId="0E7E2727" w14:textId="77777777" w:rsidR="00FC0DB8" w:rsidRPr="00E951E4" w:rsidRDefault="00FC0DB8" w:rsidP="00E94939">
            <w:pPr>
              <w:pStyle w:val="TableText"/>
              <w:spacing w:before="40" w:after="40"/>
              <w:jc w:val="center"/>
              <w:rPr>
                <w:color w:val="4F81BD"/>
                <w:lang w:eastAsia="en-NZ"/>
              </w:rPr>
            </w:pPr>
            <w:r>
              <w:rPr>
                <w:color w:val="4F81BD"/>
                <w:lang w:eastAsia="en-NZ"/>
              </w:rPr>
              <w:t>.</w:t>
            </w:r>
          </w:p>
        </w:tc>
        <w:tc>
          <w:tcPr>
            <w:tcW w:w="1278" w:type="dxa"/>
            <w:tcBorders>
              <w:top w:val="nil"/>
              <w:left w:val="nil"/>
              <w:bottom w:val="single" w:sz="4" w:space="0" w:color="808080"/>
              <w:right w:val="nil"/>
            </w:tcBorders>
            <w:shd w:val="clear" w:color="000000" w:fill="FFFFFF"/>
            <w:hideMark/>
          </w:tcPr>
          <w:p w14:paraId="18B0C927" w14:textId="77777777" w:rsidR="00FC0DB8" w:rsidRPr="00E951E4" w:rsidRDefault="00FC0DB8" w:rsidP="00E94939">
            <w:pPr>
              <w:pStyle w:val="TableText"/>
              <w:spacing w:before="40" w:after="40"/>
              <w:jc w:val="center"/>
              <w:rPr>
                <w:color w:val="4F81BD"/>
                <w:lang w:eastAsia="en-NZ"/>
              </w:rPr>
            </w:pPr>
            <w:r>
              <w:rPr>
                <w:color w:val="4F81BD"/>
                <w:lang w:eastAsia="en-NZ"/>
              </w:rPr>
              <w:t>.</w:t>
            </w:r>
          </w:p>
        </w:tc>
      </w:tr>
      <w:tr w:rsidR="00FC0DB8" w:rsidRPr="00E951E4" w14:paraId="0B479243" w14:textId="77777777" w:rsidTr="00E94939">
        <w:trPr>
          <w:cantSplit/>
        </w:trPr>
        <w:tc>
          <w:tcPr>
            <w:tcW w:w="4020" w:type="dxa"/>
            <w:tcBorders>
              <w:top w:val="nil"/>
              <w:left w:val="nil"/>
              <w:bottom w:val="nil"/>
              <w:right w:val="nil"/>
            </w:tcBorders>
            <w:shd w:val="clear" w:color="000000" w:fill="FFFFFF"/>
            <w:hideMark/>
          </w:tcPr>
          <w:p w14:paraId="1376F06C" w14:textId="77777777" w:rsidR="00FC0DB8" w:rsidRPr="00E951E4" w:rsidRDefault="00FC0DB8" w:rsidP="00E94939">
            <w:pPr>
              <w:pStyle w:val="TableText"/>
              <w:spacing w:before="40" w:after="40"/>
              <w:rPr>
                <w:lang w:eastAsia="en-NZ"/>
              </w:rPr>
            </w:pPr>
            <w:r w:rsidRPr="00E951E4">
              <w:rPr>
                <w:lang w:eastAsia="en-NZ"/>
              </w:rPr>
              <w:t>Vegetable intake (3+ servings per day)</w:t>
            </w:r>
          </w:p>
        </w:tc>
        <w:tc>
          <w:tcPr>
            <w:tcW w:w="900" w:type="dxa"/>
            <w:tcBorders>
              <w:top w:val="nil"/>
              <w:left w:val="nil"/>
              <w:bottom w:val="nil"/>
              <w:right w:val="nil"/>
            </w:tcBorders>
            <w:shd w:val="clear" w:color="000000" w:fill="FFFFFF"/>
            <w:hideMark/>
          </w:tcPr>
          <w:p w14:paraId="54F216E8" w14:textId="77777777" w:rsidR="00FC0DB8" w:rsidRPr="00E951E4" w:rsidRDefault="00FC0DB8" w:rsidP="00E94939">
            <w:pPr>
              <w:pStyle w:val="TableText"/>
              <w:spacing w:before="40" w:after="40"/>
              <w:jc w:val="center"/>
              <w:rPr>
                <w:lang w:eastAsia="en-NZ"/>
              </w:rPr>
            </w:pPr>
            <w:r w:rsidRPr="00E951E4">
              <w:rPr>
                <w:lang w:eastAsia="en-NZ"/>
              </w:rPr>
              <w:t>49.5</w:t>
            </w:r>
          </w:p>
        </w:tc>
        <w:tc>
          <w:tcPr>
            <w:tcW w:w="940" w:type="dxa"/>
            <w:tcBorders>
              <w:top w:val="nil"/>
              <w:left w:val="nil"/>
              <w:bottom w:val="nil"/>
              <w:right w:val="nil"/>
            </w:tcBorders>
            <w:shd w:val="clear" w:color="000000" w:fill="FFFFFF"/>
            <w:hideMark/>
          </w:tcPr>
          <w:p w14:paraId="66659A8B"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45.5</w:t>
            </w:r>
          </w:p>
        </w:tc>
        <w:tc>
          <w:tcPr>
            <w:tcW w:w="940" w:type="dxa"/>
            <w:tcBorders>
              <w:top w:val="nil"/>
              <w:left w:val="nil"/>
              <w:bottom w:val="nil"/>
              <w:right w:val="nil"/>
            </w:tcBorders>
            <w:shd w:val="clear" w:color="000000" w:fill="FFFFFF"/>
            <w:hideMark/>
          </w:tcPr>
          <w:p w14:paraId="62E6C5A6"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44.9</w:t>
            </w:r>
          </w:p>
        </w:tc>
        <w:tc>
          <w:tcPr>
            <w:tcW w:w="1278" w:type="dxa"/>
            <w:tcBorders>
              <w:top w:val="nil"/>
              <w:left w:val="nil"/>
              <w:bottom w:val="nil"/>
              <w:right w:val="nil"/>
            </w:tcBorders>
            <w:shd w:val="clear" w:color="000000" w:fill="FFFFFF"/>
            <w:hideMark/>
          </w:tcPr>
          <w:p w14:paraId="4A395482"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146BEBF3"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37F28F43" w14:textId="77777777" w:rsidTr="00E94939">
        <w:trPr>
          <w:cantSplit/>
        </w:trPr>
        <w:tc>
          <w:tcPr>
            <w:tcW w:w="4020" w:type="dxa"/>
            <w:tcBorders>
              <w:top w:val="nil"/>
              <w:left w:val="nil"/>
              <w:bottom w:val="nil"/>
              <w:right w:val="nil"/>
            </w:tcBorders>
            <w:shd w:val="clear" w:color="000000" w:fill="FFFFFF"/>
            <w:hideMark/>
          </w:tcPr>
          <w:p w14:paraId="53C2C4AB" w14:textId="77777777" w:rsidR="00FC0DB8" w:rsidRPr="00E951E4" w:rsidRDefault="00FC0DB8" w:rsidP="00E94939">
            <w:pPr>
              <w:pStyle w:val="TableText"/>
              <w:spacing w:before="40" w:after="40"/>
              <w:rPr>
                <w:lang w:eastAsia="en-NZ"/>
              </w:rPr>
            </w:pPr>
            <w:r w:rsidRPr="00E951E4">
              <w:rPr>
                <w:lang w:eastAsia="en-NZ"/>
              </w:rPr>
              <w:t>Fruit intake (2+ servings per day)</w:t>
            </w:r>
          </w:p>
        </w:tc>
        <w:tc>
          <w:tcPr>
            <w:tcW w:w="900" w:type="dxa"/>
            <w:tcBorders>
              <w:top w:val="nil"/>
              <w:left w:val="nil"/>
              <w:bottom w:val="nil"/>
              <w:right w:val="nil"/>
            </w:tcBorders>
            <w:shd w:val="clear" w:color="000000" w:fill="FFFFFF"/>
            <w:hideMark/>
          </w:tcPr>
          <w:p w14:paraId="71FFB407" w14:textId="77777777" w:rsidR="00FC0DB8" w:rsidRPr="00E951E4" w:rsidRDefault="00FC0DB8" w:rsidP="00E94939">
            <w:pPr>
              <w:pStyle w:val="TableText"/>
              <w:spacing w:before="40" w:after="40"/>
              <w:jc w:val="center"/>
              <w:rPr>
                <w:lang w:eastAsia="en-NZ"/>
              </w:rPr>
            </w:pPr>
            <w:r w:rsidRPr="00E951E4">
              <w:rPr>
                <w:lang w:eastAsia="en-NZ"/>
              </w:rPr>
              <w:t>49.0</w:t>
            </w:r>
          </w:p>
        </w:tc>
        <w:tc>
          <w:tcPr>
            <w:tcW w:w="940" w:type="dxa"/>
            <w:tcBorders>
              <w:top w:val="nil"/>
              <w:left w:val="nil"/>
              <w:bottom w:val="nil"/>
              <w:right w:val="nil"/>
            </w:tcBorders>
            <w:shd w:val="clear" w:color="000000" w:fill="FFFFFF"/>
            <w:hideMark/>
          </w:tcPr>
          <w:p w14:paraId="79AA5D8F"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53.8</w:t>
            </w:r>
          </w:p>
        </w:tc>
        <w:tc>
          <w:tcPr>
            <w:tcW w:w="940" w:type="dxa"/>
            <w:tcBorders>
              <w:top w:val="nil"/>
              <w:left w:val="nil"/>
              <w:bottom w:val="nil"/>
              <w:right w:val="nil"/>
            </w:tcBorders>
            <w:shd w:val="clear" w:color="000000" w:fill="FFFFFF"/>
            <w:hideMark/>
          </w:tcPr>
          <w:p w14:paraId="17D4423E"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58.8</w:t>
            </w:r>
          </w:p>
        </w:tc>
        <w:tc>
          <w:tcPr>
            <w:tcW w:w="1278" w:type="dxa"/>
            <w:tcBorders>
              <w:top w:val="nil"/>
              <w:left w:val="nil"/>
              <w:bottom w:val="nil"/>
              <w:right w:val="nil"/>
            </w:tcBorders>
            <w:shd w:val="clear" w:color="000000" w:fill="FFFFFF"/>
            <w:hideMark/>
          </w:tcPr>
          <w:p w14:paraId="44FE11C6"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61FCBD2F"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075EE776" w14:textId="77777777" w:rsidTr="00E94939">
        <w:trPr>
          <w:cantSplit/>
        </w:trPr>
        <w:tc>
          <w:tcPr>
            <w:tcW w:w="4020" w:type="dxa"/>
            <w:tcBorders>
              <w:top w:val="nil"/>
              <w:left w:val="nil"/>
              <w:bottom w:val="nil"/>
              <w:right w:val="nil"/>
            </w:tcBorders>
            <w:shd w:val="clear" w:color="000000" w:fill="FFFFFF"/>
            <w:hideMark/>
          </w:tcPr>
          <w:p w14:paraId="6F6ED959" w14:textId="77777777" w:rsidR="00FC0DB8" w:rsidRPr="00E951E4" w:rsidRDefault="00FC0DB8" w:rsidP="00E94939">
            <w:pPr>
              <w:pStyle w:val="TableText"/>
              <w:spacing w:before="40" w:after="40"/>
              <w:rPr>
                <w:lang w:eastAsia="en-NZ"/>
              </w:rPr>
            </w:pPr>
            <w:r w:rsidRPr="00E951E4">
              <w:rPr>
                <w:lang w:eastAsia="en-NZ"/>
              </w:rPr>
              <w:t>Physical</w:t>
            </w:r>
            <w:r>
              <w:rPr>
                <w:lang w:eastAsia="en-NZ"/>
              </w:rPr>
              <w:t>ly active</w:t>
            </w:r>
          </w:p>
        </w:tc>
        <w:tc>
          <w:tcPr>
            <w:tcW w:w="900" w:type="dxa"/>
            <w:tcBorders>
              <w:top w:val="nil"/>
              <w:left w:val="nil"/>
              <w:bottom w:val="nil"/>
              <w:right w:val="nil"/>
            </w:tcBorders>
            <w:shd w:val="clear" w:color="000000" w:fill="FFFFFF"/>
            <w:hideMark/>
          </w:tcPr>
          <w:p w14:paraId="0A952DA3" w14:textId="77777777" w:rsidR="00FC0DB8" w:rsidRPr="00E951E4" w:rsidRDefault="00FC0DB8" w:rsidP="00E94939">
            <w:pPr>
              <w:pStyle w:val="TableText"/>
              <w:spacing w:before="40" w:after="40"/>
              <w:jc w:val="center"/>
              <w:rPr>
                <w:lang w:eastAsia="en-NZ"/>
              </w:rPr>
            </w:pPr>
            <w:r w:rsidRPr="00E951E4">
              <w:rPr>
                <w:lang w:eastAsia="en-NZ"/>
              </w:rPr>
              <w:t>43.8</w:t>
            </w:r>
          </w:p>
        </w:tc>
        <w:tc>
          <w:tcPr>
            <w:tcW w:w="940" w:type="dxa"/>
            <w:tcBorders>
              <w:top w:val="nil"/>
              <w:left w:val="nil"/>
              <w:bottom w:val="nil"/>
              <w:right w:val="nil"/>
            </w:tcBorders>
            <w:shd w:val="clear" w:color="000000" w:fill="FFFFFF"/>
            <w:hideMark/>
          </w:tcPr>
          <w:p w14:paraId="180474E6"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47.4</w:t>
            </w:r>
          </w:p>
        </w:tc>
        <w:tc>
          <w:tcPr>
            <w:tcW w:w="940" w:type="dxa"/>
            <w:tcBorders>
              <w:top w:val="nil"/>
              <w:left w:val="nil"/>
              <w:bottom w:val="nil"/>
              <w:right w:val="nil"/>
            </w:tcBorders>
            <w:shd w:val="clear" w:color="000000" w:fill="FFFFFF"/>
            <w:hideMark/>
          </w:tcPr>
          <w:p w14:paraId="7E05553F"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48.9</w:t>
            </w:r>
          </w:p>
        </w:tc>
        <w:tc>
          <w:tcPr>
            <w:tcW w:w="1278" w:type="dxa"/>
            <w:tcBorders>
              <w:top w:val="nil"/>
              <w:left w:val="nil"/>
              <w:bottom w:val="nil"/>
              <w:right w:val="nil"/>
            </w:tcBorders>
            <w:shd w:val="clear" w:color="000000" w:fill="FFFFFF"/>
            <w:hideMark/>
          </w:tcPr>
          <w:p w14:paraId="2DA44CD8"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1324D728"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09980E94" w14:textId="77777777" w:rsidTr="00E94939">
        <w:trPr>
          <w:cantSplit/>
        </w:trPr>
        <w:tc>
          <w:tcPr>
            <w:tcW w:w="4020" w:type="dxa"/>
            <w:tcBorders>
              <w:top w:val="nil"/>
              <w:left w:val="nil"/>
              <w:bottom w:val="single" w:sz="4" w:space="0" w:color="808080"/>
              <w:right w:val="nil"/>
            </w:tcBorders>
            <w:shd w:val="clear" w:color="000000" w:fill="FFFFFF"/>
            <w:hideMark/>
          </w:tcPr>
          <w:p w14:paraId="5EE249BF" w14:textId="77777777" w:rsidR="00FC0DB8" w:rsidRPr="00E951E4" w:rsidRDefault="00FC0DB8" w:rsidP="00E94939">
            <w:pPr>
              <w:pStyle w:val="TableText"/>
              <w:spacing w:before="40" w:after="40"/>
              <w:rPr>
                <w:lang w:eastAsia="en-NZ"/>
              </w:rPr>
            </w:pPr>
            <w:r w:rsidRPr="00E951E4">
              <w:rPr>
                <w:lang w:eastAsia="en-NZ"/>
              </w:rPr>
              <w:t>Little or no physical activity</w:t>
            </w:r>
          </w:p>
        </w:tc>
        <w:tc>
          <w:tcPr>
            <w:tcW w:w="900" w:type="dxa"/>
            <w:tcBorders>
              <w:top w:val="nil"/>
              <w:left w:val="nil"/>
              <w:bottom w:val="single" w:sz="4" w:space="0" w:color="808080"/>
              <w:right w:val="nil"/>
            </w:tcBorders>
            <w:shd w:val="clear" w:color="000000" w:fill="FFFFFF"/>
            <w:hideMark/>
          </w:tcPr>
          <w:p w14:paraId="2A3400DA" w14:textId="77777777" w:rsidR="00FC0DB8" w:rsidRPr="00E951E4" w:rsidRDefault="00FC0DB8" w:rsidP="00E94939">
            <w:pPr>
              <w:pStyle w:val="TableText"/>
              <w:spacing w:before="40" w:after="40"/>
              <w:jc w:val="center"/>
              <w:rPr>
                <w:lang w:eastAsia="en-NZ"/>
              </w:rPr>
            </w:pPr>
            <w:r w:rsidRPr="00E951E4">
              <w:rPr>
                <w:lang w:eastAsia="en-NZ"/>
              </w:rPr>
              <w:t>20.3</w:t>
            </w:r>
          </w:p>
        </w:tc>
        <w:tc>
          <w:tcPr>
            <w:tcW w:w="940" w:type="dxa"/>
            <w:tcBorders>
              <w:top w:val="nil"/>
              <w:left w:val="nil"/>
              <w:bottom w:val="single" w:sz="4" w:space="0" w:color="808080"/>
              <w:right w:val="nil"/>
            </w:tcBorders>
            <w:shd w:val="clear" w:color="000000" w:fill="FFFFFF"/>
            <w:hideMark/>
          </w:tcPr>
          <w:p w14:paraId="28116438"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14.0</w:t>
            </w:r>
          </w:p>
        </w:tc>
        <w:tc>
          <w:tcPr>
            <w:tcW w:w="940" w:type="dxa"/>
            <w:tcBorders>
              <w:top w:val="nil"/>
              <w:left w:val="nil"/>
              <w:bottom w:val="single" w:sz="4" w:space="0" w:color="808080"/>
              <w:right w:val="nil"/>
            </w:tcBorders>
            <w:shd w:val="clear" w:color="000000" w:fill="FFFFFF"/>
            <w:hideMark/>
          </w:tcPr>
          <w:p w14:paraId="3E3E7496"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13.9</w:t>
            </w:r>
          </w:p>
        </w:tc>
        <w:tc>
          <w:tcPr>
            <w:tcW w:w="1278" w:type="dxa"/>
            <w:tcBorders>
              <w:top w:val="nil"/>
              <w:left w:val="nil"/>
              <w:bottom w:val="single" w:sz="4" w:space="0" w:color="808080"/>
              <w:right w:val="nil"/>
            </w:tcBorders>
            <w:shd w:val="clear" w:color="000000" w:fill="FFFFFF"/>
            <w:hideMark/>
          </w:tcPr>
          <w:p w14:paraId="7D0B79D4"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single" w:sz="4" w:space="0" w:color="808080"/>
              <w:right w:val="nil"/>
            </w:tcBorders>
            <w:shd w:val="clear" w:color="000000" w:fill="FFFFFF"/>
            <w:hideMark/>
          </w:tcPr>
          <w:p w14:paraId="3C4DA3F7"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47DCE189" w14:textId="77777777" w:rsidTr="00E94939">
        <w:trPr>
          <w:cantSplit/>
        </w:trPr>
        <w:tc>
          <w:tcPr>
            <w:tcW w:w="4020" w:type="dxa"/>
            <w:tcBorders>
              <w:top w:val="nil"/>
              <w:left w:val="nil"/>
              <w:bottom w:val="single" w:sz="4" w:space="0" w:color="808080"/>
              <w:right w:val="nil"/>
            </w:tcBorders>
            <w:shd w:val="clear" w:color="000000" w:fill="FFFFFF"/>
            <w:hideMark/>
          </w:tcPr>
          <w:p w14:paraId="2974010F" w14:textId="77777777" w:rsidR="00FC0DB8" w:rsidRPr="00E951E4" w:rsidRDefault="00FC0DB8" w:rsidP="00E94939">
            <w:pPr>
              <w:pStyle w:val="TableText"/>
              <w:spacing w:before="40" w:after="40"/>
              <w:rPr>
                <w:lang w:eastAsia="en-NZ"/>
              </w:rPr>
            </w:pPr>
            <w:r w:rsidRPr="00E951E4">
              <w:rPr>
                <w:lang w:eastAsia="en-NZ"/>
              </w:rPr>
              <w:t>Obesity</w:t>
            </w:r>
          </w:p>
        </w:tc>
        <w:tc>
          <w:tcPr>
            <w:tcW w:w="900" w:type="dxa"/>
            <w:tcBorders>
              <w:top w:val="nil"/>
              <w:left w:val="nil"/>
              <w:bottom w:val="single" w:sz="4" w:space="0" w:color="808080"/>
              <w:right w:val="nil"/>
            </w:tcBorders>
            <w:shd w:val="clear" w:color="000000" w:fill="FFFFFF"/>
            <w:hideMark/>
          </w:tcPr>
          <w:p w14:paraId="62596640" w14:textId="77777777" w:rsidR="00FC0DB8" w:rsidRPr="00E951E4" w:rsidRDefault="00FC0DB8" w:rsidP="00E94939">
            <w:pPr>
              <w:pStyle w:val="TableText"/>
              <w:spacing w:before="40" w:after="40"/>
              <w:jc w:val="center"/>
              <w:rPr>
                <w:lang w:eastAsia="en-NZ"/>
              </w:rPr>
            </w:pPr>
            <w:r w:rsidRPr="00E951E4">
              <w:rPr>
                <w:lang w:eastAsia="en-NZ"/>
              </w:rPr>
              <w:t>66.9</w:t>
            </w:r>
          </w:p>
        </w:tc>
        <w:tc>
          <w:tcPr>
            <w:tcW w:w="940" w:type="dxa"/>
            <w:tcBorders>
              <w:top w:val="nil"/>
              <w:left w:val="nil"/>
              <w:bottom w:val="single" w:sz="4" w:space="0" w:color="808080"/>
              <w:right w:val="nil"/>
            </w:tcBorders>
            <w:shd w:val="clear" w:color="000000" w:fill="FFFFFF"/>
            <w:hideMark/>
          </w:tcPr>
          <w:p w14:paraId="1AB4A23C"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61.4</w:t>
            </w:r>
          </w:p>
        </w:tc>
        <w:tc>
          <w:tcPr>
            <w:tcW w:w="940" w:type="dxa"/>
            <w:tcBorders>
              <w:top w:val="nil"/>
              <w:left w:val="nil"/>
              <w:bottom w:val="single" w:sz="4" w:space="0" w:color="808080"/>
              <w:right w:val="nil"/>
            </w:tcBorders>
            <w:shd w:val="clear" w:color="000000" w:fill="FFFFFF"/>
            <w:hideMark/>
          </w:tcPr>
          <w:p w14:paraId="1EC08A60"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63.4</w:t>
            </w:r>
          </w:p>
        </w:tc>
        <w:tc>
          <w:tcPr>
            <w:tcW w:w="1278" w:type="dxa"/>
            <w:tcBorders>
              <w:top w:val="nil"/>
              <w:left w:val="nil"/>
              <w:bottom w:val="single" w:sz="4" w:space="0" w:color="808080"/>
              <w:right w:val="nil"/>
            </w:tcBorders>
            <w:shd w:val="clear" w:color="000000" w:fill="FFFFFF"/>
            <w:hideMark/>
          </w:tcPr>
          <w:p w14:paraId="5B894FA7"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single" w:sz="4" w:space="0" w:color="808080"/>
              <w:right w:val="nil"/>
            </w:tcBorders>
            <w:shd w:val="clear" w:color="000000" w:fill="FFFFFF"/>
            <w:hideMark/>
          </w:tcPr>
          <w:p w14:paraId="3DC19E26"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0CC632FF" w14:textId="77777777" w:rsidTr="00E94939">
        <w:trPr>
          <w:cantSplit/>
        </w:trPr>
        <w:tc>
          <w:tcPr>
            <w:tcW w:w="4020" w:type="dxa"/>
            <w:tcBorders>
              <w:top w:val="nil"/>
              <w:left w:val="nil"/>
              <w:bottom w:val="nil"/>
              <w:right w:val="nil"/>
            </w:tcBorders>
            <w:shd w:val="clear" w:color="000000" w:fill="FFFFFF"/>
            <w:hideMark/>
          </w:tcPr>
          <w:p w14:paraId="7FC5146A" w14:textId="77777777" w:rsidR="00FC0DB8" w:rsidRPr="00B040CC" w:rsidRDefault="00FC0DB8" w:rsidP="00E94939">
            <w:pPr>
              <w:pStyle w:val="TableText"/>
              <w:spacing w:before="40" w:after="40"/>
              <w:rPr>
                <w:b/>
                <w:lang w:eastAsia="en-NZ"/>
              </w:rPr>
            </w:pPr>
            <w:r w:rsidRPr="00B040CC">
              <w:rPr>
                <w:b/>
                <w:lang w:eastAsia="en-NZ"/>
              </w:rPr>
              <w:t>Health conditions</w:t>
            </w:r>
          </w:p>
        </w:tc>
        <w:tc>
          <w:tcPr>
            <w:tcW w:w="900" w:type="dxa"/>
            <w:tcBorders>
              <w:top w:val="nil"/>
              <w:left w:val="nil"/>
              <w:bottom w:val="nil"/>
              <w:right w:val="nil"/>
            </w:tcBorders>
            <w:shd w:val="clear" w:color="000000" w:fill="FFFFFF"/>
            <w:hideMark/>
          </w:tcPr>
          <w:p w14:paraId="46AD29EF" w14:textId="77777777" w:rsidR="00FC0DB8" w:rsidRPr="00E951E4" w:rsidRDefault="00FC0DB8" w:rsidP="00E94939">
            <w:pPr>
              <w:pStyle w:val="TableText"/>
              <w:spacing w:before="40" w:after="40"/>
              <w:jc w:val="center"/>
              <w:rPr>
                <w:lang w:eastAsia="en-NZ"/>
              </w:rPr>
            </w:pPr>
          </w:p>
        </w:tc>
        <w:tc>
          <w:tcPr>
            <w:tcW w:w="940" w:type="dxa"/>
            <w:tcBorders>
              <w:top w:val="nil"/>
              <w:left w:val="nil"/>
              <w:bottom w:val="nil"/>
              <w:right w:val="nil"/>
            </w:tcBorders>
            <w:shd w:val="clear" w:color="000000" w:fill="FFFFFF"/>
            <w:hideMark/>
          </w:tcPr>
          <w:p w14:paraId="7C2E8060" w14:textId="77777777" w:rsidR="00FC0DB8" w:rsidRPr="00E951E4" w:rsidRDefault="00FC0DB8" w:rsidP="00E94939">
            <w:pPr>
              <w:pStyle w:val="TableText"/>
              <w:spacing w:before="40" w:after="40"/>
              <w:jc w:val="center"/>
              <w:rPr>
                <w:color w:val="808080"/>
                <w:lang w:eastAsia="en-NZ"/>
              </w:rPr>
            </w:pPr>
          </w:p>
        </w:tc>
        <w:tc>
          <w:tcPr>
            <w:tcW w:w="940" w:type="dxa"/>
            <w:tcBorders>
              <w:top w:val="nil"/>
              <w:left w:val="nil"/>
              <w:bottom w:val="nil"/>
              <w:right w:val="nil"/>
            </w:tcBorders>
            <w:shd w:val="clear" w:color="000000" w:fill="FFFFFF"/>
            <w:hideMark/>
          </w:tcPr>
          <w:p w14:paraId="1EFFD8D1" w14:textId="77777777" w:rsidR="00FC0DB8" w:rsidRPr="00E951E4" w:rsidRDefault="00FC0DB8" w:rsidP="00E94939">
            <w:pPr>
              <w:pStyle w:val="TableText"/>
              <w:spacing w:before="40" w:after="40"/>
              <w:jc w:val="center"/>
              <w:rPr>
                <w:color w:val="808080"/>
                <w:lang w:eastAsia="en-NZ"/>
              </w:rPr>
            </w:pPr>
          </w:p>
        </w:tc>
        <w:tc>
          <w:tcPr>
            <w:tcW w:w="1278" w:type="dxa"/>
            <w:tcBorders>
              <w:top w:val="nil"/>
              <w:left w:val="nil"/>
              <w:bottom w:val="nil"/>
              <w:right w:val="nil"/>
            </w:tcBorders>
            <w:shd w:val="clear" w:color="000000" w:fill="FFFFFF"/>
            <w:hideMark/>
          </w:tcPr>
          <w:p w14:paraId="582D79CE" w14:textId="77777777" w:rsidR="00FC0DB8" w:rsidRPr="00E951E4" w:rsidRDefault="00FC0DB8" w:rsidP="00E94939">
            <w:pPr>
              <w:pStyle w:val="TableText"/>
              <w:spacing w:before="40" w:after="40"/>
              <w:jc w:val="center"/>
              <w:rPr>
                <w:color w:val="4F81BD"/>
                <w:lang w:eastAsia="en-NZ"/>
              </w:rPr>
            </w:pPr>
          </w:p>
        </w:tc>
        <w:tc>
          <w:tcPr>
            <w:tcW w:w="1278" w:type="dxa"/>
            <w:tcBorders>
              <w:top w:val="nil"/>
              <w:left w:val="nil"/>
              <w:bottom w:val="nil"/>
              <w:right w:val="nil"/>
            </w:tcBorders>
            <w:shd w:val="clear" w:color="000000" w:fill="FFFFFF"/>
            <w:hideMark/>
          </w:tcPr>
          <w:p w14:paraId="63A6B04C" w14:textId="77777777" w:rsidR="00FC0DB8" w:rsidRPr="00E951E4" w:rsidRDefault="00FC0DB8" w:rsidP="00E94939">
            <w:pPr>
              <w:pStyle w:val="TableText"/>
              <w:spacing w:before="40" w:after="40"/>
              <w:jc w:val="center"/>
              <w:rPr>
                <w:color w:val="4F81BD"/>
                <w:lang w:eastAsia="en-NZ"/>
              </w:rPr>
            </w:pPr>
          </w:p>
        </w:tc>
      </w:tr>
      <w:tr w:rsidR="00FC0DB8" w:rsidRPr="00E951E4" w14:paraId="65406126" w14:textId="77777777" w:rsidTr="00E94939">
        <w:trPr>
          <w:cantSplit/>
        </w:trPr>
        <w:tc>
          <w:tcPr>
            <w:tcW w:w="4020" w:type="dxa"/>
            <w:tcBorders>
              <w:top w:val="nil"/>
              <w:left w:val="nil"/>
              <w:bottom w:val="nil"/>
              <w:right w:val="nil"/>
            </w:tcBorders>
            <w:shd w:val="clear" w:color="000000" w:fill="FFFFFF"/>
            <w:hideMark/>
          </w:tcPr>
          <w:p w14:paraId="2A9F1CE1" w14:textId="77777777" w:rsidR="00FC0DB8" w:rsidRPr="00E951E4" w:rsidRDefault="00FC0DB8" w:rsidP="00E94939">
            <w:pPr>
              <w:pStyle w:val="TableText"/>
              <w:spacing w:before="40" w:after="40"/>
              <w:rPr>
                <w:lang w:eastAsia="en-NZ"/>
              </w:rPr>
            </w:pPr>
            <w:r w:rsidRPr="00E951E4">
              <w:rPr>
                <w:lang w:eastAsia="en-NZ"/>
              </w:rPr>
              <w:t>High blood pressure (medicated)</w:t>
            </w:r>
          </w:p>
        </w:tc>
        <w:tc>
          <w:tcPr>
            <w:tcW w:w="900" w:type="dxa"/>
            <w:tcBorders>
              <w:top w:val="nil"/>
              <w:left w:val="nil"/>
              <w:bottom w:val="nil"/>
              <w:right w:val="nil"/>
            </w:tcBorders>
            <w:shd w:val="clear" w:color="000000" w:fill="FFFFFF"/>
            <w:hideMark/>
          </w:tcPr>
          <w:p w14:paraId="3523BF14" w14:textId="77777777" w:rsidR="00FC0DB8" w:rsidRPr="00E951E4" w:rsidRDefault="00FC0DB8" w:rsidP="00E94939">
            <w:pPr>
              <w:pStyle w:val="TableText"/>
              <w:spacing w:before="40" w:after="40"/>
              <w:jc w:val="center"/>
              <w:rPr>
                <w:lang w:eastAsia="en-NZ"/>
              </w:rPr>
            </w:pPr>
            <w:r w:rsidRPr="00E951E4">
              <w:rPr>
                <w:lang w:eastAsia="en-NZ"/>
              </w:rPr>
              <w:t>14.3</w:t>
            </w:r>
          </w:p>
        </w:tc>
        <w:tc>
          <w:tcPr>
            <w:tcW w:w="940" w:type="dxa"/>
            <w:tcBorders>
              <w:top w:val="nil"/>
              <w:left w:val="nil"/>
              <w:bottom w:val="nil"/>
              <w:right w:val="nil"/>
            </w:tcBorders>
            <w:shd w:val="clear" w:color="000000" w:fill="FFFFFF"/>
            <w:hideMark/>
          </w:tcPr>
          <w:p w14:paraId="376625DA"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11.4</w:t>
            </w:r>
          </w:p>
        </w:tc>
        <w:tc>
          <w:tcPr>
            <w:tcW w:w="940" w:type="dxa"/>
            <w:tcBorders>
              <w:top w:val="nil"/>
              <w:left w:val="nil"/>
              <w:bottom w:val="nil"/>
              <w:right w:val="nil"/>
            </w:tcBorders>
            <w:shd w:val="clear" w:color="000000" w:fill="FFFFFF"/>
            <w:hideMark/>
          </w:tcPr>
          <w:p w14:paraId="64C6EFE3"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10.6</w:t>
            </w:r>
          </w:p>
        </w:tc>
        <w:tc>
          <w:tcPr>
            <w:tcW w:w="1278" w:type="dxa"/>
            <w:tcBorders>
              <w:top w:val="nil"/>
              <w:left w:val="nil"/>
              <w:bottom w:val="nil"/>
              <w:right w:val="nil"/>
            </w:tcBorders>
            <w:shd w:val="clear" w:color="000000" w:fill="FFFFFF"/>
            <w:hideMark/>
          </w:tcPr>
          <w:p w14:paraId="3EEDD38C"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44D973E8"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03B11CE6" w14:textId="77777777" w:rsidTr="00E94939">
        <w:trPr>
          <w:cantSplit/>
        </w:trPr>
        <w:tc>
          <w:tcPr>
            <w:tcW w:w="4020" w:type="dxa"/>
            <w:tcBorders>
              <w:top w:val="nil"/>
              <w:left w:val="nil"/>
              <w:bottom w:val="nil"/>
              <w:right w:val="nil"/>
            </w:tcBorders>
            <w:shd w:val="clear" w:color="000000" w:fill="FFFFFF"/>
            <w:hideMark/>
          </w:tcPr>
          <w:p w14:paraId="71DBCEC9" w14:textId="77777777" w:rsidR="00FC0DB8" w:rsidRPr="00E951E4" w:rsidRDefault="00FC0DB8" w:rsidP="00E94939">
            <w:pPr>
              <w:pStyle w:val="TableText"/>
              <w:spacing w:before="40" w:after="40"/>
              <w:rPr>
                <w:lang w:eastAsia="en-NZ"/>
              </w:rPr>
            </w:pPr>
            <w:r w:rsidRPr="00E951E4">
              <w:rPr>
                <w:lang w:eastAsia="en-NZ"/>
              </w:rPr>
              <w:t>High cholesterol (medicated)</w:t>
            </w:r>
          </w:p>
        </w:tc>
        <w:tc>
          <w:tcPr>
            <w:tcW w:w="900" w:type="dxa"/>
            <w:tcBorders>
              <w:top w:val="nil"/>
              <w:left w:val="nil"/>
              <w:bottom w:val="nil"/>
              <w:right w:val="nil"/>
            </w:tcBorders>
            <w:shd w:val="clear" w:color="000000" w:fill="FFFFFF"/>
            <w:hideMark/>
          </w:tcPr>
          <w:p w14:paraId="1898E903" w14:textId="77777777" w:rsidR="00FC0DB8" w:rsidRPr="00E951E4" w:rsidRDefault="00FC0DB8" w:rsidP="00E94939">
            <w:pPr>
              <w:pStyle w:val="TableText"/>
              <w:spacing w:before="40" w:after="40"/>
              <w:jc w:val="center"/>
              <w:rPr>
                <w:lang w:eastAsia="en-NZ"/>
              </w:rPr>
            </w:pPr>
            <w:r w:rsidRPr="00E951E4">
              <w:rPr>
                <w:lang w:eastAsia="en-NZ"/>
              </w:rPr>
              <w:t>11.0</w:t>
            </w:r>
          </w:p>
        </w:tc>
        <w:tc>
          <w:tcPr>
            <w:tcW w:w="940" w:type="dxa"/>
            <w:tcBorders>
              <w:top w:val="nil"/>
              <w:left w:val="nil"/>
              <w:bottom w:val="nil"/>
              <w:right w:val="nil"/>
            </w:tcBorders>
            <w:shd w:val="clear" w:color="000000" w:fill="FFFFFF"/>
            <w:hideMark/>
          </w:tcPr>
          <w:p w14:paraId="3D2FD276"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7.3</w:t>
            </w:r>
          </w:p>
        </w:tc>
        <w:tc>
          <w:tcPr>
            <w:tcW w:w="940" w:type="dxa"/>
            <w:tcBorders>
              <w:top w:val="nil"/>
              <w:left w:val="nil"/>
              <w:bottom w:val="nil"/>
              <w:right w:val="nil"/>
            </w:tcBorders>
            <w:shd w:val="clear" w:color="000000" w:fill="FFFFFF"/>
            <w:hideMark/>
          </w:tcPr>
          <w:p w14:paraId="6EA9BF72"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6.7</w:t>
            </w:r>
          </w:p>
        </w:tc>
        <w:tc>
          <w:tcPr>
            <w:tcW w:w="1278" w:type="dxa"/>
            <w:tcBorders>
              <w:top w:val="nil"/>
              <w:left w:val="nil"/>
              <w:bottom w:val="nil"/>
              <w:right w:val="nil"/>
            </w:tcBorders>
            <w:shd w:val="clear" w:color="000000" w:fill="FFFFFF"/>
            <w:hideMark/>
          </w:tcPr>
          <w:p w14:paraId="01227CAB"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2315502A"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7935DD51" w14:textId="77777777" w:rsidTr="00E94939">
        <w:trPr>
          <w:cantSplit/>
        </w:trPr>
        <w:tc>
          <w:tcPr>
            <w:tcW w:w="4020" w:type="dxa"/>
            <w:tcBorders>
              <w:top w:val="nil"/>
              <w:left w:val="nil"/>
              <w:bottom w:val="nil"/>
              <w:right w:val="nil"/>
            </w:tcBorders>
            <w:shd w:val="clear" w:color="000000" w:fill="FFFFFF"/>
            <w:hideMark/>
          </w:tcPr>
          <w:p w14:paraId="3CAE6707" w14:textId="77777777" w:rsidR="00FC0DB8" w:rsidRPr="00E951E4" w:rsidRDefault="00FC0DB8" w:rsidP="00E94939">
            <w:pPr>
              <w:pStyle w:val="TableText"/>
              <w:spacing w:before="40" w:after="40"/>
              <w:rPr>
                <w:lang w:eastAsia="en-NZ"/>
              </w:rPr>
            </w:pPr>
            <w:r w:rsidRPr="00E951E4">
              <w:rPr>
                <w:lang w:eastAsia="en-NZ"/>
              </w:rPr>
              <w:t>Ischaemic heart disease (diagnosed)</w:t>
            </w:r>
          </w:p>
        </w:tc>
        <w:tc>
          <w:tcPr>
            <w:tcW w:w="900" w:type="dxa"/>
            <w:tcBorders>
              <w:top w:val="nil"/>
              <w:left w:val="nil"/>
              <w:bottom w:val="nil"/>
              <w:right w:val="nil"/>
            </w:tcBorders>
            <w:shd w:val="clear" w:color="000000" w:fill="FFFFFF"/>
            <w:hideMark/>
          </w:tcPr>
          <w:p w14:paraId="09B353F8" w14:textId="77777777" w:rsidR="00FC0DB8" w:rsidRPr="00E951E4" w:rsidRDefault="00FC0DB8" w:rsidP="00E94939">
            <w:pPr>
              <w:pStyle w:val="TableText"/>
              <w:spacing w:before="40" w:after="40"/>
              <w:jc w:val="center"/>
              <w:rPr>
                <w:lang w:eastAsia="en-NZ"/>
              </w:rPr>
            </w:pPr>
            <w:r w:rsidRPr="00E951E4">
              <w:rPr>
                <w:lang w:eastAsia="en-NZ"/>
              </w:rPr>
              <w:t>2.8</w:t>
            </w:r>
          </w:p>
        </w:tc>
        <w:tc>
          <w:tcPr>
            <w:tcW w:w="940" w:type="dxa"/>
            <w:tcBorders>
              <w:top w:val="nil"/>
              <w:left w:val="nil"/>
              <w:bottom w:val="nil"/>
              <w:right w:val="nil"/>
            </w:tcBorders>
            <w:shd w:val="clear" w:color="000000" w:fill="FFFFFF"/>
            <w:hideMark/>
          </w:tcPr>
          <w:p w14:paraId="3FA919C6"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1.7</w:t>
            </w:r>
          </w:p>
        </w:tc>
        <w:tc>
          <w:tcPr>
            <w:tcW w:w="940" w:type="dxa"/>
            <w:tcBorders>
              <w:top w:val="nil"/>
              <w:left w:val="nil"/>
              <w:bottom w:val="nil"/>
              <w:right w:val="nil"/>
            </w:tcBorders>
            <w:shd w:val="clear" w:color="000000" w:fill="FFFFFF"/>
            <w:hideMark/>
          </w:tcPr>
          <w:p w14:paraId="554EA21C"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2.9</w:t>
            </w:r>
          </w:p>
        </w:tc>
        <w:tc>
          <w:tcPr>
            <w:tcW w:w="1278" w:type="dxa"/>
            <w:tcBorders>
              <w:top w:val="nil"/>
              <w:left w:val="nil"/>
              <w:bottom w:val="nil"/>
              <w:right w:val="nil"/>
            </w:tcBorders>
            <w:shd w:val="clear" w:color="000000" w:fill="FFFFFF"/>
            <w:hideMark/>
          </w:tcPr>
          <w:p w14:paraId="44ADFC90"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61BF0BD5"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78D01A24" w14:textId="77777777" w:rsidTr="00E94939">
        <w:trPr>
          <w:cantSplit/>
        </w:trPr>
        <w:tc>
          <w:tcPr>
            <w:tcW w:w="4020" w:type="dxa"/>
            <w:tcBorders>
              <w:top w:val="nil"/>
              <w:left w:val="nil"/>
              <w:bottom w:val="single" w:sz="4" w:space="0" w:color="808080"/>
              <w:right w:val="nil"/>
            </w:tcBorders>
            <w:shd w:val="clear" w:color="000000" w:fill="FFFFFF"/>
            <w:hideMark/>
          </w:tcPr>
          <w:p w14:paraId="22785EB2" w14:textId="77777777" w:rsidR="00FC0DB8" w:rsidRPr="00E951E4" w:rsidRDefault="00FC0DB8" w:rsidP="00E94939">
            <w:pPr>
              <w:pStyle w:val="TableText"/>
              <w:spacing w:before="40" w:after="40"/>
              <w:rPr>
                <w:lang w:eastAsia="en-NZ"/>
              </w:rPr>
            </w:pPr>
            <w:r w:rsidRPr="00E951E4">
              <w:rPr>
                <w:lang w:eastAsia="en-NZ"/>
              </w:rPr>
              <w:t>Stroke (diagnosed)</w:t>
            </w:r>
          </w:p>
        </w:tc>
        <w:tc>
          <w:tcPr>
            <w:tcW w:w="900" w:type="dxa"/>
            <w:tcBorders>
              <w:top w:val="nil"/>
              <w:left w:val="nil"/>
              <w:bottom w:val="single" w:sz="4" w:space="0" w:color="808080"/>
              <w:right w:val="nil"/>
            </w:tcBorders>
            <w:shd w:val="clear" w:color="000000" w:fill="FFFFFF"/>
            <w:hideMark/>
          </w:tcPr>
          <w:p w14:paraId="7ED58649" w14:textId="77777777" w:rsidR="00FC0DB8" w:rsidRPr="00E951E4" w:rsidRDefault="00FC0DB8" w:rsidP="00E94939">
            <w:pPr>
              <w:pStyle w:val="TableText"/>
              <w:spacing w:before="40" w:after="40"/>
              <w:jc w:val="center"/>
              <w:rPr>
                <w:lang w:eastAsia="en-NZ"/>
              </w:rPr>
            </w:pPr>
            <w:r w:rsidRPr="00E951E4">
              <w:rPr>
                <w:lang w:eastAsia="en-NZ"/>
              </w:rPr>
              <w:t>2.1</w:t>
            </w:r>
          </w:p>
        </w:tc>
        <w:tc>
          <w:tcPr>
            <w:tcW w:w="940" w:type="dxa"/>
            <w:tcBorders>
              <w:top w:val="nil"/>
              <w:left w:val="nil"/>
              <w:bottom w:val="single" w:sz="4" w:space="0" w:color="808080"/>
              <w:right w:val="nil"/>
            </w:tcBorders>
            <w:shd w:val="clear" w:color="000000" w:fill="FFFFFF"/>
            <w:hideMark/>
          </w:tcPr>
          <w:p w14:paraId="608DA47D"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0.6</w:t>
            </w:r>
          </w:p>
        </w:tc>
        <w:tc>
          <w:tcPr>
            <w:tcW w:w="940" w:type="dxa"/>
            <w:tcBorders>
              <w:top w:val="nil"/>
              <w:left w:val="nil"/>
              <w:bottom w:val="single" w:sz="4" w:space="0" w:color="808080"/>
              <w:right w:val="nil"/>
            </w:tcBorders>
            <w:shd w:val="clear" w:color="000000" w:fill="FFFFFF"/>
            <w:hideMark/>
          </w:tcPr>
          <w:p w14:paraId="34EC46EC"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2.1</w:t>
            </w:r>
          </w:p>
        </w:tc>
        <w:tc>
          <w:tcPr>
            <w:tcW w:w="1278" w:type="dxa"/>
            <w:tcBorders>
              <w:top w:val="nil"/>
              <w:left w:val="nil"/>
              <w:bottom w:val="single" w:sz="4" w:space="0" w:color="808080"/>
              <w:right w:val="nil"/>
            </w:tcBorders>
            <w:shd w:val="clear" w:color="000000" w:fill="FFFFFF"/>
            <w:hideMark/>
          </w:tcPr>
          <w:p w14:paraId="67699AB5"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single" w:sz="4" w:space="0" w:color="808080"/>
              <w:right w:val="nil"/>
            </w:tcBorders>
            <w:shd w:val="clear" w:color="000000" w:fill="FFFFFF"/>
            <w:hideMark/>
          </w:tcPr>
          <w:p w14:paraId="5960FCD3"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667BE76C" w14:textId="77777777" w:rsidTr="00E94939">
        <w:trPr>
          <w:cantSplit/>
        </w:trPr>
        <w:tc>
          <w:tcPr>
            <w:tcW w:w="4020" w:type="dxa"/>
            <w:tcBorders>
              <w:top w:val="nil"/>
              <w:left w:val="nil"/>
              <w:bottom w:val="single" w:sz="4" w:space="0" w:color="808080"/>
              <w:right w:val="nil"/>
            </w:tcBorders>
            <w:shd w:val="clear" w:color="000000" w:fill="FFFFFF"/>
            <w:hideMark/>
          </w:tcPr>
          <w:p w14:paraId="6287E211" w14:textId="77777777" w:rsidR="00FC0DB8" w:rsidRPr="00E951E4" w:rsidRDefault="00FC0DB8" w:rsidP="00E94939">
            <w:pPr>
              <w:pStyle w:val="TableText"/>
              <w:spacing w:before="40" w:after="40"/>
              <w:rPr>
                <w:lang w:eastAsia="en-NZ"/>
              </w:rPr>
            </w:pPr>
            <w:r>
              <w:rPr>
                <w:lang w:eastAsia="en-NZ"/>
              </w:rPr>
              <w:t xml:space="preserve">Psychological </w:t>
            </w:r>
            <w:r w:rsidRPr="00E951E4">
              <w:rPr>
                <w:lang w:eastAsia="en-NZ"/>
              </w:rPr>
              <w:t>distress</w:t>
            </w:r>
          </w:p>
        </w:tc>
        <w:tc>
          <w:tcPr>
            <w:tcW w:w="900" w:type="dxa"/>
            <w:tcBorders>
              <w:top w:val="nil"/>
              <w:left w:val="nil"/>
              <w:bottom w:val="single" w:sz="4" w:space="0" w:color="808080"/>
              <w:right w:val="nil"/>
            </w:tcBorders>
            <w:shd w:val="clear" w:color="000000" w:fill="FFFFFF"/>
            <w:hideMark/>
          </w:tcPr>
          <w:p w14:paraId="11F8A449" w14:textId="77777777" w:rsidR="00FC0DB8" w:rsidRPr="00E951E4" w:rsidRDefault="00FC0DB8" w:rsidP="00E94939">
            <w:pPr>
              <w:pStyle w:val="TableText"/>
              <w:spacing w:before="40" w:after="40"/>
              <w:jc w:val="center"/>
              <w:rPr>
                <w:lang w:eastAsia="en-NZ"/>
              </w:rPr>
            </w:pPr>
            <w:r w:rsidRPr="00E951E4">
              <w:rPr>
                <w:lang w:eastAsia="en-NZ"/>
              </w:rPr>
              <w:t>11.3</w:t>
            </w:r>
          </w:p>
        </w:tc>
        <w:tc>
          <w:tcPr>
            <w:tcW w:w="940" w:type="dxa"/>
            <w:tcBorders>
              <w:top w:val="nil"/>
              <w:left w:val="nil"/>
              <w:bottom w:val="single" w:sz="4" w:space="0" w:color="808080"/>
              <w:right w:val="nil"/>
            </w:tcBorders>
            <w:shd w:val="clear" w:color="000000" w:fill="FFFFFF"/>
            <w:hideMark/>
          </w:tcPr>
          <w:p w14:paraId="0AC32C89"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8.5</w:t>
            </w:r>
          </w:p>
        </w:tc>
        <w:tc>
          <w:tcPr>
            <w:tcW w:w="940" w:type="dxa"/>
            <w:tcBorders>
              <w:top w:val="nil"/>
              <w:left w:val="nil"/>
              <w:bottom w:val="single" w:sz="4" w:space="0" w:color="808080"/>
              <w:right w:val="nil"/>
            </w:tcBorders>
            <w:shd w:val="clear" w:color="000000" w:fill="FFFFFF"/>
            <w:hideMark/>
          </w:tcPr>
          <w:p w14:paraId="7C903718"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13.2</w:t>
            </w:r>
          </w:p>
        </w:tc>
        <w:tc>
          <w:tcPr>
            <w:tcW w:w="1278" w:type="dxa"/>
            <w:tcBorders>
              <w:top w:val="nil"/>
              <w:left w:val="nil"/>
              <w:bottom w:val="single" w:sz="4" w:space="0" w:color="808080"/>
              <w:right w:val="nil"/>
            </w:tcBorders>
            <w:shd w:val="clear" w:color="000000" w:fill="FFFFFF"/>
            <w:hideMark/>
          </w:tcPr>
          <w:p w14:paraId="439E7DD1"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single" w:sz="4" w:space="0" w:color="808080"/>
              <w:right w:val="nil"/>
            </w:tcBorders>
            <w:shd w:val="clear" w:color="000000" w:fill="FFFFFF"/>
            <w:hideMark/>
          </w:tcPr>
          <w:p w14:paraId="324D9C8F"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3CC8E272" w14:textId="77777777" w:rsidTr="00E94939">
        <w:trPr>
          <w:cantSplit/>
        </w:trPr>
        <w:tc>
          <w:tcPr>
            <w:tcW w:w="4020" w:type="dxa"/>
            <w:tcBorders>
              <w:top w:val="nil"/>
              <w:left w:val="nil"/>
              <w:bottom w:val="nil"/>
              <w:right w:val="nil"/>
            </w:tcBorders>
            <w:shd w:val="clear" w:color="000000" w:fill="FFFFFF"/>
            <w:hideMark/>
          </w:tcPr>
          <w:p w14:paraId="3A6A1365" w14:textId="77777777" w:rsidR="00FC0DB8" w:rsidRPr="00E951E4" w:rsidRDefault="00FC0DB8" w:rsidP="00E94939">
            <w:pPr>
              <w:pStyle w:val="TableText"/>
              <w:spacing w:before="40" w:after="40"/>
              <w:rPr>
                <w:lang w:eastAsia="en-NZ"/>
              </w:rPr>
            </w:pPr>
            <w:r w:rsidRPr="00E951E4">
              <w:rPr>
                <w:lang w:eastAsia="en-NZ"/>
              </w:rPr>
              <w:t>Asthma (medicated)</w:t>
            </w:r>
          </w:p>
        </w:tc>
        <w:tc>
          <w:tcPr>
            <w:tcW w:w="900" w:type="dxa"/>
            <w:tcBorders>
              <w:top w:val="nil"/>
              <w:left w:val="nil"/>
              <w:bottom w:val="nil"/>
              <w:right w:val="nil"/>
            </w:tcBorders>
            <w:shd w:val="clear" w:color="000000" w:fill="FFFFFF"/>
            <w:hideMark/>
          </w:tcPr>
          <w:p w14:paraId="1276D885" w14:textId="77777777" w:rsidR="00FC0DB8" w:rsidRPr="00E951E4" w:rsidRDefault="00FC0DB8" w:rsidP="00E94939">
            <w:pPr>
              <w:pStyle w:val="TableText"/>
              <w:spacing w:before="40" w:after="40"/>
              <w:jc w:val="center"/>
              <w:rPr>
                <w:lang w:eastAsia="en-NZ"/>
              </w:rPr>
            </w:pPr>
            <w:r w:rsidRPr="00E951E4">
              <w:rPr>
                <w:lang w:eastAsia="en-NZ"/>
              </w:rPr>
              <w:t>12.1</w:t>
            </w:r>
          </w:p>
        </w:tc>
        <w:tc>
          <w:tcPr>
            <w:tcW w:w="940" w:type="dxa"/>
            <w:tcBorders>
              <w:top w:val="nil"/>
              <w:left w:val="nil"/>
              <w:bottom w:val="nil"/>
              <w:right w:val="nil"/>
            </w:tcBorders>
            <w:shd w:val="clear" w:color="000000" w:fill="FFFFFF"/>
            <w:hideMark/>
          </w:tcPr>
          <w:p w14:paraId="745D1D16"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9.6</w:t>
            </w:r>
          </w:p>
        </w:tc>
        <w:tc>
          <w:tcPr>
            <w:tcW w:w="940" w:type="dxa"/>
            <w:tcBorders>
              <w:top w:val="nil"/>
              <w:left w:val="nil"/>
              <w:bottom w:val="nil"/>
              <w:right w:val="nil"/>
            </w:tcBorders>
            <w:shd w:val="clear" w:color="000000" w:fill="FFFFFF"/>
            <w:hideMark/>
          </w:tcPr>
          <w:p w14:paraId="3331CCBB"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9.0</w:t>
            </w:r>
          </w:p>
        </w:tc>
        <w:tc>
          <w:tcPr>
            <w:tcW w:w="1278" w:type="dxa"/>
            <w:tcBorders>
              <w:top w:val="nil"/>
              <w:left w:val="nil"/>
              <w:bottom w:val="nil"/>
              <w:right w:val="nil"/>
            </w:tcBorders>
            <w:shd w:val="clear" w:color="000000" w:fill="FFFFFF"/>
            <w:hideMark/>
          </w:tcPr>
          <w:p w14:paraId="1887DF9A"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2F99DD3B"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332AD4E0" w14:textId="77777777" w:rsidTr="00E94939">
        <w:trPr>
          <w:cantSplit/>
        </w:trPr>
        <w:tc>
          <w:tcPr>
            <w:tcW w:w="4020" w:type="dxa"/>
            <w:tcBorders>
              <w:top w:val="nil"/>
              <w:left w:val="nil"/>
              <w:bottom w:val="nil"/>
              <w:right w:val="nil"/>
            </w:tcBorders>
            <w:shd w:val="clear" w:color="000000" w:fill="FFFFFF"/>
            <w:hideMark/>
          </w:tcPr>
          <w:p w14:paraId="01A40A3B" w14:textId="77777777" w:rsidR="00FC0DB8" w:rsidRPr="00E951E4" w:rsidRDefault="00FC0DB8" w:rsidP="00E94939">
            <w:pPr>
              <w:pStyle w:val="TableText"/>
              <w:spacing w:before="40" w:after="40"/>
              <w:rPr>
                <w:lang w:eastAsia="en-NZ"/>
              </w:rPr>
            </w:pPr>
            <w:r w:rsidRPr="00E951E4">
              <w:rPr>
                <w:lang w:eastAsia="en-NZ"/>
              </w:rPr>
              <w:t>Arthritis (diagnosed)</w:t>
            </w:r>
          </w:p>
        </w:tc>
        <w:tc>
          <w:tcPr>
            <w:tcW w:w="900" w:type="dxa"/>
            <w:tcBorders>
              <w:top w:val="nil"/>
              <w:left w:val="nil"/>
              <w:bottom w:val="nil"/>
              <w:right w:val="nil"/>
            </w:tcBorders>
            <w:shd w:val="clear" w:color="000000" w:fill="FFFFFF"/>
            <w:hideMark/>
          </w:tcPr>
          <w:p w14:paraId="0D29329B" w14:textId="77777777" w:rsidR="00FC0DB8" w:rsidRPr="00E951E4" w:rsidRDefault="00FC0DB8" w:rsidP="00E94939">
            <w:pPr>
              <w:pStyle w:val="TableText"/>
              <w:spacing w:before="40" w:after="40"/>
              <w:jc w:val="center"/>
              <w:rPr>
                <w:lang w:eastAsia="en-NZ"/>
              </w:rPr>
            </w:pPr>
            <w:r w:rsidRPr="00E951E4">
              <w:rPr>
                <w:lang w:eastAsia="en-NZ"/>
              </w:rPr>
              <w:t>10.5</w:t>
            </w:r>
          </w:p>
        </w:tc>
        <w:tc>
          <w:tcPr>
            <w:tcW w:w="940" w:type="dxa"/>
            <w:tcBorders>
              <w:top w:val="nil"/>
              <w:left w:val="nil"/>
              <w:bottom w:val="nil"/>
              <w:right w:val="nil"/>
            </w:tcBorders>
            <w:shd w:val="clear" w:color="000000" w:fill="FFFFFF"/>
            <w:hideMark/>
          </w:tcPr>
          <w:p w14:paraId="00872E7E"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6.7</w:t>
            </w:r>
          </w:p>
        </w:tc>
        <w:tc>
          <w:tcPr>
            <w:tcW w:w="940" w:type="dxa"/>
            <w:tcBorders>
              <w:top w:val="nil"/>
              <w:left w:val="nil"/>
              <w:bottom w:val="nil"/>
              <w:right w:val="nil"/>
            </w:tcBorders>
            <w:shd w:val="clear" w:color="000000" w:fill="FFFFFF"/>
            <w:hideMark/>
          </w:tcPr>
          <w:p w14:paraId="5D0F5001"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7.9</w:t>
            </w:r>
          </w:p>
        </w:tc>
        <w:tc>
          <w:tcPr>
            <w:tcW w:w="1278" w:type="dxa"/>
            <w:tcBorders>
              <w:top w:val="nil"/>
              <w:left w:val="nil"/>
              <w:bottom w:val="nil"/>
              <w:right w:val="nil"/>
            </w:tcBorders>
            <w:shd w:val="clear" w:color="000000" w:fill="FFFFFF"/>
            <w:hideMark/>
          </w:tcPr>
          <w:p w14:paraId="2F7D2FB6"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709C31AE"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4A5C0619" w14:textId="77777777" w:rsidTr="00E94939">
        <w:trPr>
          <w:cantSplit/>
        </w:trPr>
        <w:tc>
          <w:tcPr>
            <w:tcW w:w="4020" w:type="dxa"/>
            <w:tcBorders>
              <w:top w:val="nil"/>
              <w:left w:val="nil"/>
              <w:bottom w:val="single" w:sz="4" w:space="0" w:color="808080"/>
              <w:right w:val="nil"/>
            </w:tcBorders>
            <w:shd w:val="clear" w:color="000000" w:fill="FFFFFF"/>
            <w:hideMark/>
          </w:tcPr>
          <w:p w14:paraId="0D35682D" w14:textId="77777777" w:rsidR="00FC0DB8" w:rsidRPr="00E951E4" w:rsidRDefault="00FC0DB8" w:rsidP="00E94939">
            <w:pPr>
              <w:pStyle w:val="TableText"/>
              <w:spacing w:before="40" w:after="40"/>
              <w:rPr>
                <w:lang w:eastAsia="en-NZ"/>
              </w:rPr>
            </w:pPr>
            <w:r w:rsidRPr="00E951E4">
              <w:rPr>
                <w:lang w:eastAsia="en-NZ"/>
              </w:rPr>
              <w:t>Chronic pain</w:t>
            </w:r>
          </w:p>
        </w:tc>
        <w:tc>
          <w:tcPr>
            <w:tcW w:w="900" w:type="dxa"/>
            <w:tcBorders>
              <w:top w:val="nil"/>
              <w:left w:val="nil"/>
              <w:bottom w:val="single" w:sz="4" w:space="0" w:color="808080"/>
              <w:right w:val="nil"/>
            </w:tcBorders>
            <w:shd w:val="clear" w:color="000000" w:fill="FFFFFF"/>
            <w:hideMark/>
          </w:tcPr>
          <w:p w14:paraId="54EA2ECF" w14:textId="77777777" w:rsidR="00FC0DB8" w:rsidRPr="00E951E4" w:rsidRDefault="00FC0DB8" w:rsidP="00E94939">
            <w:pPr>
              <w:pStyle w:val="TableText"/>
              <w:spacing w:before="40" w:after="40"/>
              <w:jc w:val="center"/>
              <w:rPr>
                <w:lang w:eastAsia="en-NZ"/>
              </w:rPr>
            </w:pPr>
            <w:r w:rsidRPr="00E951E4">
              <w:rPr>
                <w:lang w:eastAsia="en-NZ"/>
              </w:rPr>
              <w:t>14.9</w:t>
            </w:r>
          </w:p>
        </w:tc>
        <w:tc>
          <w:tcPr>
            <w:tcW w:w="940" w:type="dxa"/>
            <w:tcBorders>
              <w:top w:val="nil"/>
              <w:left w:val="nil"/>
              <w:bottom w:val="single" w:sz="4" w:space="0" w:color="808080"/>
              <w:right w:val="nil"/>
            </w:tcBorders>
            <w:shd w:val="clear" w:color="000000" w:fill="FFFFFF"/>
            <w:hideMark/>
          </w:tcPr>
          <w:p w14:paraId="37129856"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13.7</w:t>
            </w:r>
          </w:p>
        </w:tc>
        <w:tc>
          <w:tcPr>
            <w:tcW w:w="940" w:type="dxa"/>
            <w:tcBorders>
              <w:top w:val="nil"/>
              <w:left w:val="nil"/>
              <w:bottom w:val="single" w:sz="4" w:space="0" w:color="808080"/>
              <w:right w:val="nil"/>
            </w:tcBorders>
            <w:shd w:val="clear" w:color="000000" w:fill="FFFFFF"/>
            <w:hideMark/>
          </w:tcPr>
          <w:p w14:paraId="5F6AEC9D"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12.0</w:t>
            </w:r>
          </w:p>
        </w:tc>
        <w:tc>
          <w:tcPr>
            <w:tcW w:w="1278" w:type="dxa"/>
            <w:tcBorders>
              <w:top w:val="nil"/>
              <w:left w:val="nil"/>
              <w:bottom w:val="single" w:sz="4" w:space="0" w:color="808080"/>
              <w:right w:val="nil"/>
            </w:tcBorders>
            <w:shd w:val="clear" w:color="000000" w:fill="FFFFFF"/>
            <w:hideMark/>
          </w:tcPr>
          <w:p w14:paraId="240426EB"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single" w:sz="4" w:space="0" w:color="808080"/>
              <w:right w:val="nil"/>
            </w:tcBorders>
            <w:shd w:val="clear" w:color="000000" w:fill="FFFFFF"/>
            <w:hideMark/>
          </w:tcPr>
          <w:p w14:paraId="4E55BDB7"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3FF8357F" w14:textId="77777777" w:rsidTr="00E94939">
        <w:trPr>
          <w:cantSplit/>
        </w:trPr>
        <w:tc>
          <w:tcPr>
            <w:tcW w:w="4020" w:type="dxa"/>
            <w:tcBorders>
              <w:top w:val="nil"/>
              <w:left w:val="nil"/>
              <w:bottom w:val="nil"/>
              <w:right w:val="nil"/>
            </w:tcBorders>
            <w:shd w:val="clear" w:color="000000" w:fill="FFFFFF"/>
            <w:hideMark/>
          </w:tcPr>
          <w:p w14:paraId="4762C725" w14:textId="77777777" w:rsidR="00FC0DB8" w:rsidRPr="00B040CC" w:rsidRDefault="00FC0DB8" w:rsidP="00E94939">
            <w:pPr>
              <w:pStyle w:val="TableText"/>
              <w:spacing w:before="40" w:after="40"/>
              <w:rPr>
                <w:b/>
                <w:lang w:eastAsia="en-NZ"/>
              </w:rPr>
            </w:pPr>
            <w:r w:rsidRPr="00B040CC">
              <w:rPr>
                <w:b/>
                <w:lang w:eastAsia="en-NZ"/>
              </w:rPr>
              <w:t>Ac</w:t>
            </w:r>
            <w:r w:rsidR="00B040CC">
              <w:rPr>
                <w:b/>
                <w:lang w:eastAsia="en-NZ"/>
              </w:rPr>
              <w:t>cess to health care</w:t>
            </w:r>
          </w:p>
        </w:tc>
        <w:tc>
          <w:tcPr>
            <w:tcW w:w="900" w:type="dxa"/>
            <w:tcBorders>
              <w:top w:val="nil"/>
              <w:left w:val="nil"/>
              <w:bottom w:val="nil"/>
              <w:right w:val="nil"/>
            </w:tcBorders>
            <w:shd w:val="clear" w:color="000000" w:fill="FFFFFF"/>
          </w:tcPr>
          <w:p w14:paraId="337EBD05" w14:textId="77777777" w:rsidR="00FC0DB8" w:rsidRPr="00E951E4" w:rsidRDefault="00FC0DB8" w:rsidP="00E94939">
            <w:pPr>
              <w:pStyle w:val="TableText"/>
              <w:spacing w:before="40" w:after="40"/>
              <w:jc w:val="center"/>
              <w:rPr>
                <w:lang w:eastAsia="en-NZ"/>
              </w:rPr>
            </w:pPr>
          </w:p>
        </w:tc>
        <w:tc>
          <w:tcPr>
            <w:tcW w:w="940" w:type="dxa"/>
            <w:tcBorders>
              <w:top w:val="nil"/>
              <w:left w:val="nil"/>
              <w:bottom w:val="nil"/>
              <w:right w:val="nil"/>
            </w:tcBorders>
            <w:shd w:val="clear" w:color="000000" w:fill="FFFFFF"/>
          </w:tcPr>
          <w:p w14:paraId="202635D8" w14:textId="77777777" w:rsidR="00FC0DB8" w:rsidRPr="00E951E4" w:rsidRDefault="00FC0DB8" w:rsidP="00E94939">
            <w:pPr>
              <w:pStyle w:val="TableText"/>
              <w:spacing w:before="40" w:after="40"/>
              <w:jc w:val="center"/>
              <w:rPr>
                <w:color w:val="808080"/>
                <w:lang w:eastAsia="en-NZ"/>
              </w:rPr>
            </w:pPr>
          </w:p>
        </w:tc>
        <w:tc>
          <w:tcPr>
            <w:tcW w:w="940" w:type="dxa"/>
            <w:tcBorders>
              <w:top w:val="nil"/>
              <w:left w:val="nil"/>
              <w:bottom w:val="nil"/>
              <w:right w:val="nil"/>
            </w:tcBorders>
            <w:shd w:val="clear" w:color="000000" w:fill="FFFFFF"/>
          </w:tcPr>
          <w:p w14:paraId="74EC6ED1" w14:textId="77777777" w:rsidR="00FC0DB8" w:rsidRPr="00E951E4" w:rsidRDefault="00FC0DB8" w:rsidP="00E94939">
            <w:pPr>
              <w:pStyle w:val="TableText"/>
              <w:spacing w:before="40" w:after="40"/>
              <w:jc w:val="center"/>
              <w:rPr>
                <w:color w:val="808080"/>
                <w:lang w:eastAsia="en-NZ"/>
              </w:rPr>
            </w:pPr>
          </w:p>
        </w:tc>
        <w:tc>
          <w:tcPr>
            <w:tcW w:w="1278" w:type="dxa"/>
            <w:tcBorders>
              <w:top w:val="nil"/>
              <w:left w:val="nil"/>
              <w:bottom w:val="nil"/>
              <w:right w:val="nil"/>
            </w:tcBorders>
            <w:shd w:val="clear" w:color="000000" w:fill="FFFFFF"/>
          </w:tcPr>
          <w:p w14:paraId="2D642F7A" w14:textId="77777777" w:rsidR="00FC0DB8" w:rsidRPr="00E951E4" w:rsidRDefault="00FC0DB8" w:rsidP="00E94939">
            <w:pPr>
              <w:pStyle w:val="TableText"/>
              <w:spacing w:before="40" w:after="40"/>
              <w:jc w:val="center"/>
              <w:rPr>
                <w:color w:val="4F81BD"/>
                <w:lang w:eastAsia="en-NZ"/>
              </w:rPr>
            </w:pPr>
          </w:p>
        </w:tc>
        <w:tc>
          <w:tcPr>
            <w:tcW w:w="1278" w:type="dxa"/>
            <w:tcBorders>
              <w:top w:val="nil"/>
              <w:left w:val="nil"/>
              <w:bottom w:val="nil"/>
              <w:right w:val="nil"/>
            </w:tcBorders>
            <w:shd w:val="clear" w:color="000000" w:fill="FFFFFF"/>
          </w:tcPr>
          <w:p w14:paraId="777E365B" w14:textId="77777777" w:rsidR="00FC0DB8" w:rsidRPr="00E951E4" w:rsidRDefault="00FC0DB8" w:rsidP="00E94939">
            <w:pPr>
              <w:pStyle w:val="TableText"/>
              <w:spacing w:before="40" w:after="40"/>
              <w:jc w:val="center"/>
              <w:rPr>
                <w:color w:val="4F81BD"/>
                <w:lang w:eastAsia="en-NZ"/>
              </w:rPr>
            </w:pPr>
          </w:p>
        </w:tc>
      </w:tr>
      <w:tr w:rsidR="00FC0DB8" w:rsidRPr="00E951E4" w14:paraId="7F7DA86E" w14:textId="77777777" w:rsidTr="00E94939">
        <w:trPr>
          <w:cantSplit/>
        </w:trPr>
        <w:tc>
          <w:tcPr>
            <w:tcW w:w="4020" w:type="dxa"/>
            <w:tcBorders>
              <w:top w:val="nil"/>
              <w:left w:val="nil"/>
              <w:bottom w:val="nil"/>
              <w:right w:val="nil"/>
            </w:tcBorders>
            <w:shd w:val="clear" w:color="000000" w:fill="FFFFFF"/>
            <w:hideMark/>
          </w:tcPr>
          <w:p w14:paraId="30292D78" w14:textId="77777777" w:rsidR="00FC0DB8" w:rsidRPr="00E951E4" w:rsidRDefault="00FC0DB8" w:rsidP="00E94939">
            <w:pPr>
              <w:pStyle w:val="TableText"/>
              <w:spacing w:before="40" w:after="40"/>
              <w:rPr>
                <w:lang w:eastAsia="en-NZ"/>
              </w:rPr>
            </w:pPr>
            <w:r w:rsidRPr="00E951E4">
              <w:rPr>
                <w:lang w:eastAsia="en-NZ"/>
              </w:rPr>
              <w:t>GP visit in the past 12 months</w:t>
            </w:r>
          </w:p>
        </w:tc>
        <w:tc>
          <w:tcPr>
            <w:tcW w:w="900" w:type="dxa"/>
            <w:tcBorders>
              <w:top w:val="nil"/>
              <w:left w:val="nil"/>
              <w:bottom w:val="nil"/>
              <w:right w:val="nil"/>
            </w:tcBorders>
            <w:shd w:val="clear" w:color="000000" w:fill="FFFFFF"/>
            <w:hideMark/>
          </w:tcPr>
          <w:p w14:paraId="36C21063" w14:textId="77777777" w:rsidR="00FC0DB8" w:rsidRPr="00E951E4" w:rsidRDefault="00FC0DB8" w:rsidP="00E94939">
            <w:pPr>
              <w:pStyle w:val="TableText"/>
              <w:spacing w:before="40" w:after="40"/>
              <w:jc w:val="center"/>
              <w:rPr>
                <w:lang w:eastAsia="en-NZ"/>
              </w:rPr>
            </w:pPr>
            <w:r w:rsidRPr="00E951E4">
              <w:rPr>
                <w:lang w:eastAsia="en-NZ"/>
              </w:rPr>
              <w:t>76.5</w:t>
            </w:r>
          </w:p>
        </w:tc>
        <w:tc>
          <w:tcPr>
            <w:tcW w:w="940" w:type="dxa"/>
            <w:tcBorders>
              <w:top w:val="nil"/>
              <w:left w:val="nil"/>
              <w:bottom w:val="nil"/>
              <w:right w:val="nil"/>
            </w:tcBorders>
            <w:shd w:val="clear" w:color="000000" w:fill="FFFFFF"/>
            <w:hideMark/>
          </w:tcPr>
          <w:p w14:paraId="4DFB7DDB"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75.6</w:t>
            </w:r>
          </w:p>
        </w:tc>
        <w:tc>
          <w:tcPr>
            <w:tcW w:w="940" w:type="dxa"/>
            <w:tcBorders>
              <w:top w:val="nil"/>
              <w:left w:val="nil"/>
              <w:bottom w:val="nil"/>
              <w:right w:val="nil"/>
            </w:tcBorders>
            <w:shd w:val="clear" w:color="000000" w:fill="FFFFFF"/>
            <w:hideMark/>
          </w:tcPr>
          <w:p w14:paraId="441816DF"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78.1</w:t>
            </w:r>
          </w:p>
        </w:tc>
        <w:tc>
          <w:tcPr>
            <w:tcW w:w="1278" w:type="dxa"/>
            <w:tcBorders>
              <w:top w:val="nil"/>
              <w:left w:val="nil"/>
              <w:bottom w:val="nil"/>
              <w:right w:val="nil"/>
            </w:tcBorders>
            <w:shd w:val="clear" w:color="000000" w:fill="FFFFFF"/>
            <w:hideMark/>
          </w:tcPr>
          <w:p w14:paraId="6B323A75"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00F9855B"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5DB28D50" w14:textId="77777777" w:rsidTr="00E94939">
        <w:trPr>
          <w:cantSplit/>
        </w:trPr>
        <w:tc>
          <w:tcPr>
            <w:tcW w:w="4020" w:type="dxa"/>
            <w:tcBorders>
              <w:top w:val="nil"/>
              <w:left w:val="nil"/>
              <w:bottom w:val="nil"/>
              <w:right w:val="nil"/>
            </w:tcBorders>
            <w:shd w:val="clear" w:color="000000" w:fill="FFFFFF"/>
            <w:hideMark/>
          </w:tcPr>
          <w:p w14:paraId="12B382E5" w14:textId="77777777" w:rsidR="00FC0DB8" w:rsidRPr="00E951E4" w:rsidRDefault="00FC0DB8" w:rsidP="00E94939">
            <w:pPr>
              <w:pStyle w:val="TableText"/>
              <w:spacing w:before="40" w:after="40"/>
              <w:rPr>
                <w:lang w:eastAsia="en-NZ"/>
              </w:rPr>
            </w:pPr>
            <w:r w:rsidRPr="00E951E4">
              <w:rPr>
                <w:lang w:eastAsia="en-NZ"/>
              </w:rPr>
              <w:t>Practice nurse</w:t>
            </w:r>
            <w:r>
              <w:rPr>
                <w:lang w:eastAsia="en-NZ"/>
              </w:rPr>
              <w:t xml:space="preserve"> (only)</w:t>
            </w:r>
            <w:r w:rsidRPr="00E951E4">
              <w:rPr>
                <w:lang w:eastAsia="en-NZ"/>
              </w:rPr>
              <w:t xml:space="preserve"> visit in the past 12 months</w:t>
            </w:r>
          </w:p>
        </w:tc>
        <w:tc>
          <w:tcPr>
            <w:tcW w:w="900" w:type="dxa"/>
            <w:tcBorders>
              <w:top w:val="nil"/>
              <w:left w:val="nil"/>
              <w:bottom w:val="nil"/>
              <w:right w:val="nil"/>
            </w:tcBorders>
            <w:shd w:val="clear" w:color="000000" w:fill="FFFFFF"/>
            <w:hideMark/>
          </w:tcPr>
          <w:p w14:paraId="0BB13EAC" w14:textId="77777777" w:rsidR="00FC0DB8" w:rsidRPr="00E951E4" w:rsidRDefault="00FC0DB8" w:rsidP="00E94939">
            <w:pPr>
              <w:pStyle w:val="TableText"/>
              <w:spacing w:before="40" w:after="40"/>
              <w:jc w:val="center"/>
              <w:rPr>
                <w:lang w:eastAsia="en-NZ"/>
              </w:rPr>
            </w:pPr>
            <w:r w:rsidRPr="00E951E4">
              <w:rPr>
                <w:lang w:eastAsia="en-NZ"/>
              </w:rPr>
              <w:t>23.2</w:t>
            </w:r>
          </w:p>
        </w:tc>
        <w:tc>
          <w:tcPr>
            <w:tcW w:w="940" w:type="dxa"/>
            <w:tcBorders>
              <w:top w:val="nil"/>
              <w:left w:val="nil"/>
              <w:bottom w:val="nil"/>
              <w:right w:val="nil"/>
            </w:tcBorders>
            <w:shd w:val="clear" w:color="000000" w:fill="FFFFFF"/>
            <w:hideMark/>
          </w:tcPr>
          <w:p w14:paraId="29BDF7CB"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20.3</w:t>
            </w:r>
          </w:p>
        </w:tc>
        <w:tc>
          <w:tcPr>
            <w:tcW w:w="940" w:type="dxa"/>
            <w:tcBorders>
              <w:top w:val="nil"/>
              <w:left w:val="nil"/>
              <w:bottom w:val="nil"/>
              <w:right w:val="nil"/>
            </w:tcBorders>
            <w:shd w:val="clear" w:color="000000" w:fill="FFFFFF"/>
            <w:hideMark/>
          </w:tcPr>
          <w:p w14:paraId="77D80022"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17.9</w:t>
            </w:r>
          </w:p>
        </w:tc>
        <w:tc>
          <w:tcPr>
            <w:tcW w:w="1278" w:type="dxa"/>
            <w:tcBorders>
              <w:top w:val="nil"/>
              <w:left w:val="nil"/>
              <w:bottom w:val="nil"/>
              <w:right w:val="nil"/>
            </w:tcBorders>
            <w:shd w:val="clear" w:color="000000" w:fill="FFFFFF"/>
            <w:hideMark/>
          </w:tcPr>
          <w:p w14:paraId="348A0CF1"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2F1F454E"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34A5D453" w14:textId="77777777" w:rsidTr="00E94939">
        <w:trPr>
          <w:cantSplit/>
        </w:trPr>
        <w:tc>
          <w:tcPr>
            <w:tcW w:w="4020" w:type="dxa"/>
            <w:tcBorders>
              <w:top w:val="nil"/>
              <w:left w:val="nil"/>
              <w:bottom w:val="single" w:sz="4" w:space="0" w:color="808080"/>
              <w:right w:val="nil"/>
            </w:tcBorders>
            <w:shd w:val="clear" w:color="000000" w:fill="FFFFFF"/>
            <w:hideMark/>
          </w:tcPr>
          <w:p w14:paraId="25E416F2" w14:textId="77777777" w:rsidR="00FC0DB8" w:rsidRPr="00E951E4" w:rsidRDefault="00FC0DB8" w:rsidP="00E94939">
            <w:pPr>
              <w:pStyle w:val="TableText"/>
              <w:spacing w:before="40" w:after="40"/>
              <w:rPr>
                <w:lang w:eastAsia="en-NZ"/>
              </w:rPr>
            </w:pPr>
            <w:r w:rsidRPr="00E951E4">
              <w:rPr>
                <w:lang w:eastAsia="en-NZ"/>
              </w:rPr>
              <w:t xml:space="preserve">After-hours </w:t>
            </w:r>
            <w:r>
              <w:rPr>
                <w:lang w:eastAsia="en-NZ"/>
              </w:rPr>
              <w:t xml:space="preserve">medical centre </w:t>
            </w:r>
            <w:r w:rsidRPr="00E951E4">
              <w:rPr>
                <w:lang w:eastAsia="en-NZ"/>
              </w:rPr>
              <w:t>visit in the past 12</w:t>
            </w:r>
            <w:r w:rsidR="00B040CC">
              <w:rPr>
                <w:lang w:eastAsia="en-NZ"/>
              </w:rPr>
              <w:t> </w:t>
            </w:r>
            <w:r w:rsidRPr="00E951E4">
              <w:rPr>
                <w:lang w:eastAsia="en-NZ"/>
              </w:rPr>
              <w:t>months</w:t>
            </w:r>
          </w:p>
        </w:tc>
        <w:tc>
          <w:tcPr>
            <w:tcW w:w="900" w:type="dxa"/>
            <w:tcBorders>
              <w:top w:val="nil"/>
              <w:left w:val="nil"/>
              <w:bottom w:val="single" w:sz="4" w:space="0" w:color="808080"/>
              <w:right w:val="nil"/>
            </w:tcBorders>
            <w:shd w:val="clear" w:color="000000" w:fill="FFFFFF"/>
            <w:hideMark/>
          </w:tcPr>
          <w:p w14:paraId="3A51166F" w14:textId="77777777" w:rsidR="00FC0DB8" w:rsidRPr="00E951E4" w:rsidRDefault="00FC0DB8" w:rsidP="00E94939">
            <w:pPr>
              <w:pStyle w:val="TableText"/>
              <w:spacing w:before="40" w:after="40"/>
              <w:jc w:val="center"/>
              <w:rPr>
                <w:lang w:eastAsia="en-NZ"/>
              </w:rPr>
            </w:pPr>
            <w:r w:rsidRPr="00E951E4">
              <w:rPr>
                <w:lang w:eastAsia="en-NZ"/>
              </w:rPr>
              <w:t>13.9</w:t>
            </w:r>
          </w:p>
        </w:tc>
        <w:tc>
          <w:tcPr>
            <w:tcW w:w="940" w:type="dxa"/>
            <w:tcBorders>
              <w:top w:val="nil"/>
              <w:left w:val="nil"/>
              <w:bottom w:val="single" w:sz="4" w:space="0" w:color="808080"/>
              <w:right w:val="nil"/>
            </w:tcBorders>
            <w:shd w:val="clear" w:color="000000" w:fill="FFFFFF"/>
            <w:hideMark/>
          </w:tcPr>
          <w:p w14:paraId="53D675F7"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12.9</w:t>
            </w:r>
          </w:p>
        </w:tc>
        <w:tc>
          <w:tcPr>
            <w:tcW w:w="940" w:type="dxa"/>
            <w:tcBorders>
              <w:top w:val="nil"/>
              <w:left w:val="nil"/>
              <w:bottom w:val="single" w:sz="4" w:space="0" w:color="808080"/>
              <w:right w:val="nil"/>
            </w:tcBorders>
            <w:shd w:val="clear" w:color="000000" w:fill="FFFFFF"/>
            <w:hideMark/>
          </w:tcPr>
          <w:p w14:paraId="6578762C" w14:textId="77777777" w:rsidR="00FC0DB8" w:rsidRPr="00E951E4" w:rsidRDefault="00FC0DB8" w:rsidP="00E94939">
            <w:pPr>
              <w:pStyle w:val="TableText"/>
              <w:spacing w:before="40" w:after="40"/>
              <w:jc w:val="center"/>
              <w:rPr>
                <w:color w:val="808080"/>
                <w:lang w:eastAsia="en-NZ"/>
              </w:rPr>
            </w:pPr>
            <w:r>
              <w:rPr>
                <w:color w:val="808080"/>
                <w:lang w:eastAsia="en-NZ"/>
              </w:rPr>
              <w:t>.</w:t>
            </w:r>
          </w:p>
        </w:tc>
        <w:tc>
          <w:tcPr>
            <w:tcW w:w="1278" w:type="dxa"/>
            <w:tcBorders>
              <w:top w:val="nil"/>
              <w:left w:val="nil"/>
              <w:bottom w:val="single" w:sz="4" w:space="0" w:color="808080"/>
              <w:right w:val="nil"/>
            </w:tcBorders>
            <w:shd w:val="clear" w:color="000000" w:fill="FFFFFF"/>
            <w:hideMark/>
          </w:tcPr>
          <w:p w14:paraId="595A4FF9"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single" w:sz="4" w:space="0" w:color="808080"/>
              <w:right w:val="nil"/>
            </w:tcBorders>
            <w:shd w:val="clear" w:color="000000" w:fill="FFFFFF"/>
            <w:hideMark/>
          </w:tcPr>
          <w:p w14:paraId="78BAE310"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78B9EFCE" w14:textId="77777777" w:rsidTr="00E94939">
        <w:trPr>
          <w:cantSplit/>
        </w:trPr>
        <w:tc>
          <w:tcPr>
            <w:tcW w:w="4020" w:type="dxa"/>
            <w:tcBorders>
              <w:top w:val="nil"/>
              <w:left w:val="nil"/>
              <w:bottom w:val="nil"/>
              <w:right w:val="nil"/>
            </w:tcBorders>
            <w:shd w:val="clear" w:color="000000" w:fill="FFFFFF"/>
            <w:hideMark/>
          </w:tcPr>
          <w:p w14:paraId="58CF4333" w14:textId="77777777" w:rsidR="00FC0DB8" w:rsidRPr="00E951E4" w:rsidRDefault="00FC0DB8" w:rsidP="00E94939">
            <w:pPr>
              <w:pStyle w:val="TableText"/>
              <w:spacing w:before="40" w:after="40"/>
              <w:rPr>
                <w:lang w:eastAsia="en-NZ"/>
              </w:rPr>
            </w:pPr>
            <w:r w:rsidRPr="00E951E4">
              <w:rPr>
                <w:lang w:eastAsia="en-NZ"/>
              </w:rPr>
              <w:t>Experienced any unmet need for primary he</w:t>
            </w:r>
            <w:r w:rsidR="00B040CC">
              <w:rPr>
                <w:lang w:eastAsia="en-NZ"/>
              </w:rPr>
              <w:t>alth care in the past 12 months</w:t>
            </w:r>
          </w:p>
        </w:tc>
        <w:tc>
          <w:tcPr>
            <w:tcW w:w="900" w:type="dxa"/>
            <w:tcBorders>
              <w:top w:val="nil"/>
              <w:left w:val="nil"/>
              <w:bottom w:val="nil"/>
              <w:right w:val="nil"/>
            </w:tcBorders>
            <w:shd w:val="clear" w:color="000000" w:fill="FFFFFF"/>
            <w:hideMark/>
          </w:tcPr>
          <w:p w14:paraId="2251ED92" w14:textId="77777777" w:rsidR="00FC0DB8" w:rsidRPr="00E951E4" w:rsidRDefault="00FC0DB8" w:rsidP="00E94939">
            <w:pPr>
              <w:pStyle w:val="TableText"/>
              <w:spacing w:before="40" w:after="40"/>
              <w:jc w:val="center"/>
              <w:rPr>
                <w:lang w:eastAsia="en-NZ"/>
              </w:rPr>
            </w:pPr>
            <w:r w:rsidRPr="00E951E4">
              <w:rPr>
                <w:lang w:eastAsia="en-NZ"/>
              </w:rPr>
              <w:t>34.2</w:t>
            </w:r>
          </w:p>
        </w:tc>
        <w:tc>
          <w:tcPr>
            <w:tcW w:w="940" w:type="dxa"/>
            <w:tcBorders>
              <w:top w:val="nil"/>
              <w:left w:val="nil"/>
              <w:bottom w:val="nil"/>
              <w:right w:val="nil"/>
            </w:tcBorders>
            <w:shd w:val="clear" w:color="000000" w:fill="FFFFFF"/>
            <w:hideMark/>
          </w:tcPr>
          <w:p w14:paraId="3C13BF0C"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29.1</w:t>
            </w:r>
          </w:p>
        </w:tc>
        <w:tc>
          <w:tcPr>
            <w:tcW w:w="940" w:type="dxa"/>
            <w:tcBorders>
              <w:top w:val="nil"/>
              <w:left w:val="nil"/>
              <w:bottom w:val="nil"/>
              <w:right w:val="nil"/>
            </w:tcBorders>
            <w:shd w:val="clear" w:color="000000" w:fill="FFFFFF"/>
            <w:hideMark/>
          </w:tcPr>
          <w:p w14:paraId="5C95145C" w14:textId="77777777" w:rsidR="00FC0DB8" w:rsidRPr="00E951E4" w:rsidRDefault="00FC0DB8" w:rsidP="00E94939">
            <w:pPr>
              <w:pStyle w:val="TableText"/>
              <w:spacing w:before="40" w:after="40"/>
              <w:jc w:val="center"/>
              <w:rPr>
                <w:color w:val="808080"/>
                <w:lang w:eastAsia="en-NZ"/>
              </w:rPr>
            </w:pPr>
            <w:r>
              <w:rPr>
                <w:color w:val="808080"/>
                <w:lang w:eastAsia="en-NZ"/>
              </w:rPr>
              <w:t>.</w:t>
            </w:r>
          </w:p>
        </w:tc>
        <w:tc>
          <w:tcPr>
            <w:tcW w:w="1278" w:type="dxa"/>
            <w:tcBorders>
              <w:top w:val="nil"/>
              <w:left w:val="nil"/>
              <w:bottom w:val="nil"/>
              <w:right w:val="nil"/>
            </w:tcBorders>
            <w:shd w:val="clear" w:color="000000" w:fill="FFFFFF"/>
            <w:hideMark/>
          </w:tcPr>
          <w:p w14:paraId="5E3B07EE"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19AC0EA1"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09AA47C0" w14:textId="77777777" w:rsidTr="00E94939">
        <w:trPr>
          <w:cantSplit/>
        </w:trPr>
        <w:tc>
          <w:tcPr>
            <w:tcW w:w="4020" w:type="dxa"/>
            <w:tcBorders>
              <w:top w:val="nil"/>
              <w:left w:val="nil"/>
              <w:bottom w:val="nil"/>
              <w:right w:val="nil"/>
            </w:tcBorders>
            <w:shd w:val="clear" w:color="000000" w:fill="FFFFFF"/>
            <w:hideMark/>
          </w:tcPr>
          <w:p w14:paraId="1031B051" w14:textId="77777777" w:rsidR="00FC0DB8" w:rsidRPr="00E951E4" w:rsidRDefault="00FC0DB8" w:rsidP="00E94939">
            <w:pPr>
              <w:pStyle w:val="TableText"/>
              <w:spacing w:before="40" w:after="40"/>
              <w:rPr>
                <w:lang w:eastAsia="en-NZ"/>
              </w:rPr>
            </w:pPr>
            <w:r w:rsidRPr="00E951E4">
              <w:rPr>
                <w:lang w:eastAsia="en-NZ"/>
              </w:rPr>
              <w:t>Unable to get an appointment at usual medical centre within 24 hours</w:t>
            </w:r>
          </w:p>
        </w:tc>
        <w:tc>
          <w:tcPr>
            <w:tcW w:w="900" w:type="dxa"/>
            <w:tcBorders>
              <w:top w:val="nil"/>
              <w:left w:val="nil"/>
              <w:bottom w:val="nil"/>
              <w:right w:val="nil"/>
            </w:tcBorders>
            <w:shd w:val="clear" w:color="000000" w:fill="FFFFFF"/>
            <w:hideMark/>
          </w:tcPr>
          <w:p w14:paraId="5D45DE47" w14:textId="77777777" w:rsidR="00FC0DB8" w:rsidRPr="00E951E4" w:rsidRDefault="00FC0DB8" w:rsidP="00E94939">
            <w:pPr>
              <w:pStyle w:val="TableText"/>
              <w:spacing w:before="40" w:after="40"/>
              <w:jc w:val="center"/>
              <w:rPr>
                <w:lang w:eastAsia="en-NZ"/>
              </w:rPr>
            </w:pPr>
            <w:r w:rsidRPr="00E951E4">
              <w:rPr>
                <w:lang w:eastAsia="en-NZ"/>
              </w:rPr>
              <w:t>16.4</w:t>
            </w:r>
          </w:p>
        </w:tc>
        <w:tc>
          <w:tcPr>
            <w:tcW w:w="940" w:type="dxa"/>
            <w:tcBorders>
              <w:top w:val="nil"/>
              <w:left w:val="nil"/>
              <w:bottom w:val="nil"/>
              <w:right w:val="nil"/>
            </w:tcBorders>
            <w:shd w:val="clear" w:color="000000" w:fill="FFFFFF"/>
            <w:hideMark/>
          </w:tcPr>
          <w:p w14:paraId="5C6D353D"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14.5</w:t>
            </w:r>
          </w:p>
        </w:tc>
        <w:tc>
          <w:tcPr>
            <w:tcW w:w="940" w:type="dxa"/>
            <w:tcBorders>
              <w:top w:val="nil"/>
              <w:left w:val="nil"/>
              <w:bottom w:val="nil"/>
              <w:right w:val="nil"/>
            </w:tcBorders>
            <w:shd w:val="clear" w:color="000000" w:fill="FFFFFF"/>
            <w:hideMark/>
          </w:tcPr>
          <w:p w14:paraId="64A05121"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20.7</w:t>
            </w:r>
          </w:p>
        </w:tc>
        <w:tc>
          <w:tcPr>
            <w:tcW w:w="1278" w:type="dxa"/>
            <w:tcBorders>
              <w:top w:val="nil"/>
              <w:left w:val="nil"/>
              <w:bottom w:val="nil"/>
              <w:right w:val="nil"/>
            </w:tcBorders>
            <w:shd w:val="clear" w:color="000000" w:fill="FFFFFF"/>
            <w:hideMark/>
          </w:tcPr>
          <w:p w14:paraId="7555555F"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65B91D6A"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7FC3F23E" w14:textId="77777777" w:rsidTr="00E94939">
        <w:trPr>
          <w:cantSplit/>
        </w:trPr>
        <w:tc>
          <w:tcPr>
            <w:tcW w:w="4020" w:type="dxa"/>
            <w:tcBorders>
              <w:top w:val="nil"/>
              <w:left w:val="nil"/>
              <w:bottom w:val="nil"/>
              <w:right w:val="nil"/>
            </w:tcBorders>
            <w:shd w:val="clear" w:color="000000" w:fill="FFFFFF"/>
            <w:hideMark/>
          </w:tcPr>
          <w:p w14:paraId="648F34DD" w14:textId="77777777" w:rsidR="00FC0DB8" w:rsidRPr="00E951E4" w:rsidRDefault="00FC0DB8" w:rsidP="00E94939">
            <w:pPr>
              <w:pStyle w:val="TableText"/>
              <w:spacing w:before="40" w:after="40"/>
              <w:rPr>
                <w:lang w:eastAsia="en-NZ"/>
              </w:rPr>
            </w:pPr>
            <w:r w:rsidRPr="00E951E4">
              <w:rPr>
                <w:lang w:eastAsia="en-NZ"/>
              </w:rPr>
              <w:t>Unmet need for GP due to cost</w:t>
            </w:r>
          </w:p>
        </w:tc>
        <w:tc>
          <w:tcPr>
            <w:tcW w:w="900" w:type="dxa"/>
            <w:tcBorders>
              <w:top w:val="nil"/>
              <w:left w:val="nil"/>
              <w:bottom w:val="nil"/>
              <w:right w:val="nil"/>
            </w:tcBorders>
            <w:shd w:val="clear" w:color="000000" w:fill="FFFFFF"/>
            <w:hideMark/>
          </w:tcPr>
          <w:p w14:paraId="64EBF141" w14:textId="77777777" w:rsidR="00FC0DB8" w:rsidRPr="00E951E4" w:rsidRDefault="00FC0DB8" w:rsidP="00E94939">
            <w:pPr>
              <w:pStyle w:val="TableText"/>
              <w:spacing w:before="40" w:after="40"/>
              <w:jc w:val="center"/>
              <w:rPr>
                <w:lang w:eastAsia="en-NZ"/>
              </w:rPr>
            </w:pPr>
            <w:r w:rsidRPr="00E951E4">
              <w:rPr>
                <w:lang w:eastAsia="en-NZ"/>
              </w:rPr>
              <w:t>21.5</w:t>
            </w:r>
          </w:p>
        </w:tc>
        <w:tc>
          <w:tcPr>
            <w:tcW w:w="940" w:type="dxa"/>
            <w:tcBorders>
              <w:top w:val="nil"/>
              <w:left w:val="nil"/>
              <w:bottom w:val="nil"/>
              <w:right w:val="nil"/>
            </w:tcBorders>
            <w:shd w:val="clear" w:color="000000" w:fill="FFFFFF"/>
            <w:hideMark/>
          </w:tcPr>
          <w:p w14:paraId="4A9324D4"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16.3</w:t>
            </w:r>
          </w:p>
        </w:tc>
        <w:tc>
          <w:tcPr>
            <w:tcW w:w="940" w:type="dxa"/>
            <w:tcBorders>
              <w:top w:val="nil"/>
              <w:left w:val="nil"/>
              <w:bottom w:val="nil"/>
              <w:right w:val="nil"/>
            </w:tcBorders>
            <w:shd w:val="clear" w:color="000000" w:fill="FFFFFF"/>
            <w:hideMark/>
          </w:tcPr>
          <w:p w14:paraId="09F8A72B" w14:textId="77777777" w:rsidR="00FC0DB8" w:rsidRPr="00E951E4" w:rsidRDefault="00FC0DB8" w:rsidP="00E94939">
            <w:pPr>
              <w:pStyle w:val="TableText"/>
              <w:spacing w:before="40" w:after="40"/>
              <w:jc w:val="center"/>
              <w:rPr>
                <w:color w:val="808080"/>
                <w:lang w:eastAsia="en-NZ"/>
              </w:rPr>
            </w:pPr>
            <w:r>
              <w:rPr>
                <w:color w:val="808080"/>
                <w:lang w:eastAsia="en-NZ"/>
              </w:rPr>
              <w:t>.</w:t>
            </w:r>
          </w:p>
        </w:tc>
        <w:tc>
          <w:tcPr>
            <w:tcW w:w="1278" w:type="dxa"/>
            <w:tcBorders>
              <w:top w:val="nil"/>
              <w:left w:val="nil"/>
              <w:bottom w:val="nil"/>
              <w:right w:val="nil"/>
            </w:tcBorders>
            <w:shd w:val="clear" w:color="000000" w:fill="FFFFFF"/>
            <w:hideMark/>
          </w:tcPr>
          <w:p w14:paraId="2331E168"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4BA122E1"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298E8D9C" w14:textId="77777777" w:rsidTr="00E94939">
        <w:trPr>
          <w:cantSplit/>
        </w:trPr>
        <w:tc>
          <w:tcPr>
            <w:tcW w:w="4020" w:type="dxa"/>
            <w:tcBorders>
              <w:top w:val="nil"/>
              <w:left w:val="nil"/>
              <w:bottom w:val="single" w:sz="4" w:space="0" w:color="808080"/>
              <w:right w:val="nil"/>
            </w:tcBorders>
            <w:shd w:val="clear" w:color="000000" w:fill="FFFFFF"/>
            <w:hideMark/>
          </w:tcPr>
          <w:p w14:paraId="1B3132EE" w14:textId="77777777" w:rsidR="00FC0DB8" w:rsidRPr="00E951E4" w:rsidRDefault="00FC0DB8" w:rsidP="00E94939">
            <w:pPr>
              <w:pStyle w:val="TableText"/>
              <w:spacing w:before="40" w:after="40"/>
              <w:rPr>
                <w:lang w:eastAsia="en-NZ"/>
              </w:rPr>
            </w:pPr>
            <w:r w:rsidRPr="00E951E4">
              <w:rPr>
                <w:lang w:eastAsia="en-NZ"/>
              </w:rPr>
              <w:t>Unmet need for after-hours due to cost</w:t>
            </w:r>
          </w:p>
        </w:tc>
        <w:tc>
          <w:tcPr>
            <w:tcW w:w="900" w:type="dxa"/>
            <w:tcBorders>
              <w:top w:val="nil"/>
              <w:left w:val="nil"/>
              <w:bottom w:val="single" w:sz="4" w:space="0" w:color="808080"/>
              <w:right w:val="nil"/>
            </w:tcBorders>
            <w:shd w:val="clear" w:color="000000" w:fill="FFFFFF"/>
            <w:hideMark/>
          </w:tcPr>
          <w:p w14:paraId="497B986C" w14:textId="77777777" w:rsidR="00FC0DB8" w:rsidRPr="00E951E4" w:rsidRDefault="00FC0DB8" w:rsidP="00E94939">
            <w:pPr>
              <w:pStyle w:val="TableText"/>
              <w:spacing w:before="40" w:after="40"/>
              <w:jc w:val="center"/>
              <w:rPr>
                <w:lang w:eastAsia="en-NZ"/>
              </w:rPr>
            </w:pPr>
            <w:r w:rsidRPr="00E951E4">
              <w:rPr>
                <w:lang w:eastAsia="en-NZ"/>
              </w:rPr>
              <w:t>12.7</w:t>
            </w:r>
          </w:p>
        </w:tc>
        <w:tc>
          <w:tcPr>
            <w:tcW w:w="940" w:type="dxa"/>
            <w:tcBorders>
              <w:top w:val="nil"/>
              <w:left w:val="nil"/>
              <w:bottom w:val="single" w:sz="4" w:space="0" w:color="808080"/>
              <w:right w:val="nil"/>
            </w:tcBorders>
            <w:shd w:val="clear" w:color="000000" w:fill="FFFFFF"/>
            <w:hideMark/>
          </w:tcPr>
          <w:p w14:paraId="25933769"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9.6</w:t>
            </w:r>
          </w:p>
        </w:tc>
        <w:tc>
          <w:tcPr>
            <w:tcW w:w="940" w:type="dxa"/>
            <w:tcBorders>
              <w:top w:val="nil"/>
              <w:left w:val="nil"/>
              <w:bottom w:val="single" w:sz="4" w:space="0" w:color="808080"/>
              <w:right w:val="nil"/>
            </w:tcBorders>
            <w:shd w:val="clear" w:color="000000" w:fill="FFFFFF"/>
            <w:hideMark/>
          </w:tcPr>
          <w:p w14:paraId="1BC17842" w14:textId="77777777" w:rsidR="00FC0DB8" w:rsidRPr="00E951E4" w:rsidRDefault="00FC0DB8" w:rsidP="00E94939">
            <w:pPr>
              <w:pStyle w:val="TableText"/>
              <w:spacing w:before="40" w:after="40"/>
              <w:jc w:val="center"/>
              <w:rPr>
                <w:color w:val="808080"/>
                <w:lang w:eastAsia="en-NZ"/>
              </w:rPr>
            </w:pPr>
            <w:r>
              <w:rPr>
                <w:color w:val="808080"/>
                <w:lang w:eastAsia="en-NZ"/>
              </w:rPr>
              <w:t>.</w:t>
            </w:r>
          </w:p>
        </w:tc>
        <w:tc>
          <w:tcPr>
            <w:tcW w:w="1278" w:type="dxa"/>
            <w:tcBorders>
              <w:top w:val="nil"/>
              <w:left w:val="nil"/>
              <w:bottom w:val="single" w:sz="4" w:space="0" w:color="808080"/>
              <w:right w:val="nil"/>
            </w:tcBorders>
            <w:shd w:val="clear" w:color="000000" w:fill="FFFFFF"/>
            <w:hideMark/>
          </w:tcPr>
          <w:p w14:paraId="682F4FE5"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single" w:sz="4" w:space="0" w:color="808080"/>
              <w:right w:val="nil"/>
            </w:tcBorders>
            <w:shd w:val="clear" w:color="000000" w:fill="FFFFFF"/>
            <w:hideMark/>
          </w:tcPr>
          <w:p w14:paraId="7A18EED0"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23429A5A" w14:textId="77777777" w:rsidTr="00E94939">
        <w:trPr>
          <w:cantSplit/>
        </w:trPr>
        <w:tc>
          <w:tcPr>
            <w:tcW w:w="4020" w:type="dxa"/>
            <w:tcBorders>
              <w:top w:val="nil"/>
              <w:left w:val="nil"/>
              <w:bottom w:val="single" w:sz="4" w:space="0" w:color="808080"/>
              <w:right w:val="nil"/>
            </w:tcBorders>
            <w:shd w:val="clear" w:color="000000" w:fill="FFFFFF"/>
            <w:hideMark/>
          </w:tcPr>
          <w:p w14:paraId="5CDB70D0" w14:textId="77777777" w:rsidR="00FC0DB8" w:rsidRPr="00E951E4" w:rsidRDefault="00FC0DB8" w:rsidP="00E94939">
            <w:pPr>
              <w:pStyle w:val="TableText"/>
              <w:spacing w:before="40" w:after="40"/>
              <w:rPr>
                <w:lang w:eastAsia="en-NZ"/>
              </w:rPr>
            </w:pPr>
            <w:r w:rsidRPr="00E951E4">
              <w:rPr>
                <w:lang w:eastAsia="en-NZ"/>
              </w:rPr>
              <w:t>Unfilled prescription due to cost</w:t>
            </w:r>
          </w:p>
        </w:tc>
        <w:tc>
          <w:tcPr>
            <w:tcW w:w="900" w:type="dxa"/>
            <w:tcBorders>
              <w:top w:val="nil"/>
              <w:left w:val="nil"/>
              <w:bottom w:val="single" w:sz="4" w:space="0" w:color="808080"/>
              <w:right w:val="nil"/>
            </w:tcBorders>
            <w:shd w:val="clear" w:color="000000" w:fill="FFFFFF"/>
            <w:hideMark/>
          </w:tcPr>
          <w:p w14:paraId="6983BEEA" w14:textId="77777777" w:rsidR="00FC0DB8" w:rsidRPr="00E951E4" w:rsidRDefault="00FC0DB8" w:rsidP="00E94939">
            <w:pPr>
              <w:pStyle w:val="TableText"/>
              <w:spacing w:before="40" w:after="40"/>
              <w:jc w:val="center"/>
              <w:rPr>
                <w:lang w:eastAsia="en-NZ"/>
              </w:rPr>
            </w:pPr>
            <w:r w:rsidRPr="00E951E4">
              <w:rPr>
                <w:lang w:eastAsia="en-NZ"/>
              </w:rPr>
              <w:t>19.3</w:t>
            </w:r>
          </w:p>
        </w:tc>
        <w:tc>
          <w:tcPr>
            <w:tcW w:w="940" w:type="dxa"/>
            <w:tcBorders>
              <w:top w:val="nil"/>
              <w:left w:val="nil"/>
              <w:bottom w:val="single" w:sz="4" w:space="0" w:color="808080"/>
              <w:right w:val="nil"/>
            </w:tcBorders>
            <w:shd w:val="clear" w:color="000000" w:fill="FFFFFF"/>
            <w:hideMark/>
          </w:tcPr>
          <w:p w14:paraId="7E4011A9"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13.0</w:t>
            </w:r>
          </w:p>
        </w:tc>
        <w:tc>
          <w:tcPr>
            <w:tcW w:w="940" w:type="dxa"/>
            <w:tcBorders>
              <w:top w:val="nil"/>
              <w:left w:val="nil"/>
              <w:bottom w:val="single" w:sz="4" w:space="0" w:color="808080"/>
              <w:right w:val="nil"/>
            </w:tcBorders>
            <w:shd w:val="clear" w:color="000000" w:fill="FFFFFF"/>
            <w:hideMark/>
          </w:tcPr>
          <w:p w14:paraId="7AF28DDB" w14:textId="77777777" w:rsidR="00FC0DB8" w:rsidRPr="00E951E4" w:rsidRDefault="00FC0DB8" w:rsidP="00E94939">
            <w:pPr>
              <w:pStyle w:val="TableText"/>
              <w:spacing w:before="40" w:after="40"/>
              <w:jc w:val="center"/>
              <w:rPr>
                <w:color w:val="808080"/>
                <w:lang w:eastAsia="en-NZ"/>
              </w:rPr>
            </w:pPr>
            <w:r>
              <w:rPr>
                <w:color w:val="808080"/>
                <w:lang w:eastAsia="en-NZ"/>
              </w:rPr>
              <w:t>.</w:t>
            </w:r>
          </w:p>
        </w:tc>
        <w:tc>
          <w:tcPr>
            <w:tcW w:w="1278" w:type="dxa"/>
            <w:tcBorders>
              <w:top w:val="nil"/>
              <w:left w:val="nil"/>
              <w:bottom w:val="single" w:sz="4" w:space="0" w:color="808080"/>
              <w:right w:val="nil"/>
            </w:tcBorders>
            <w:shd w:val="clear" w:color="000000" w:fill="FFFFFF"/>
            <w:hideMark/>
          </w:tcPr>
          <w:p w14:paraId="4639085D"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single" w:sz="4" w:space="0" w:color="808080"/>
              <w:right w:val="nil"/>
            </w:tcBorders>
            <w:shd w:val="clear" w:color="000000" w:fill="FFFFFF"/>
            <w:hideMark/>
          </w:tcPr>
          <w:p w14:paraId="1502B0BA"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66E0B479" w14:textId="77777777" w:rsidTr="00E94939">
        <w:trPr>
          <w:cantSplit/>
        </w:trPr>
        <w:tc>
          <w:tcPr>
            <w:tcW w:w="4020" w:type="dxa"/>
            <w:tcBorders>
              <w:top w:val="nil"/>
              <w:left w:val="nil"/>
              <w:bottom w:val="single" w:sz="4" w:space="0" w:color="808080"/>
              <w:right w:val="nil"/>
            </w:tcBorders>
            <w:shd w:val="clear" w:color="000000" w:fill="FFFFFF"/>
            <w:hideMark/>
          </w:tcPr>
          <w:p w14:paraId="4D282CCF" w14:textId="77777777" w:rsidR="00FC0DB8" w:rsidRPr="00E951E4" w:rsidRDefault="00FC0DB8" w:rsidP="00E94939">
            <w:pPr>
              <w:pStyle w:val="TableText"/>
              <w:spacing w:before="40" w:after="40"/>
              <w:rPr>
                <w:lang w:eastAsia="en-NZ"/>
              </w:rPr>
            </w:pPr>
            <w:r w:rsidRPr="00E951E4">
              <w:rPr>
                <w:lang w:eastAsia="en-NZ"/>
              </w:rPr>
              <w:t xml:space="preserve">Definite </w:t>
            </w:r>
            <w:r w:rsidR="00E94939">
              <w:rPr>
                <w:lang w:eastAsia="en-NZ"/>
              </w:rPr>
              <w:t>confidence and trust in GP</w:t>
            </w:r>
          </w:p>
        </w:tc>
        <w:tc>
          <w:tcPr>
            <w:tcW w:w="900" w:type="dxa"/>
            <w:tcBorders>
              <w:top w:val="nil"/>
              <w:left w:val="nil"/>
              <w:bottom w:val="single" w:sz="4" w:space="0" w:color="808080"/>
              <w:right w:val="nil"/>
            </w:tcBorders>
            <w:shd w:val="clear" w:color="000000" w:fill="FFFFFF"/>
            <w:hideMark/>
          </w:tcPr>
          <w:p w14:paraId="194BF14B" w14:textId="77777777" w:rsidR="00FC0DB8" w:rsidRPr="00E951E4" w:rsidRDefault="00FC0DB8" w:rsidP="00E94939">
            <w:pPr>
              <w:pStyle w:val="TableText"/>
              <w:spacing w:before="40" w:after="40"/>
              <w:jc w:val="center"/>
              <w:rPr>
                <w:lang w:eastAsia="en-NZ"/>
              </w:rPr>
            </w:pPr>
            <w:r w:rsidRPr="00E951E4">
              <w:rPr>
                <w:lang w:eastAsia="en-NZ"/>
              </w:rPr>
              <w:t>74.8</w:t>
            </w:r>
          </w:p>
        </w:tc>
        <w:tc>
          <w:tcPr>
            <w:tcW w:w="940" w:type="dxa"/>
            <w:tcBorders>
              <w:top w:val="nil"/>
              <w:left w:val="nil"/>
              <w:bottom w:val="single" w:sz="4" w:space="0" w:color="808080"/>
              <w:right w:val="nil"/>
            </w:tcBorders>
            <w:shd w:val="clear" w:color="000000" w:fill="FFFFFF"/>
            <w:hideMark/>
          </w:tcPr>
          <w:p w14:paraId="117499E6"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78.9</w:t>
            </w:r>
          </w:p>
        </w:tc>
        <w:tc>
          <w:tcPr>
            <w:tcW w:w="940" w:type="dxa"/>
            <w:tcBorders>
              <w:top w:val="nil"/>
              <w:left w:val="nil"/>
              <w:bottom w:val="single" w:sz="4" w:space="0" w:color="808080"/>
              <w:right w:val="nil"/>
            </w:tcBorders>
            <w:shd w:val="clear" w:color="000000" w:fill="FFFFFF"/>
            <w:hideMark/>
          </w:tcPr>
          <w:p w14:paraId="4140C341" w14:textId="77777777" w:rsidR="00FC0DB8" w:rsidRPr="00E951E4" w:rsidRDefault="00FC0DB8" w:rsidP="00E94939">
            <w:pPr>
              <w:pStyle w:val="TableText"/>
              <w:spacing w:before="40" w:after="40"/>
              <w:jc w:val="center"/>
              <w:rPr>
                <w:color w:val="808080"/>
                <w:lang w:eastAsia="en-NZ"/>
              </w:rPr>
            </w:pPr>
            <w:r>
              <w:rPr>
                <w:color w:val="808080"/>
                <w:lang w:eastAsia="en-NZ"/>
              </w:rPr>
              <w:t>.</w:t>
            </w:r>
          </w:p>
        </w:tc>
        <w:tc>
          <w:tcPr>
            <w:tcW w:w="1278" w:type="dxa"/>
            <w:tcBorders>
              <w:top w:val="nil"/>
              <w:left w:val="nil"/>
              <w:bottom w:val="single" w:sz="4" w:space="0" w:color="808080"/>
              <w:right w:val="nil"/>
            </w:tcBorders>
            <w:shd w:val="clear" w:color="000000" w:fill="FFFFFF"/>
            <w:hideMark/>
          </w:tcPr>
          <w:p w14:paraId="6C8F5F04"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single" w:sz="4" w:space="0" w:color="808080"/>
              <w:right w:val="nil"/>
            </w:tcBorders>
            <w:shd w:val="clear" w:color="000000" w:fill="FFFFFF"/>
            <w:hideMark/>
          </w:tcPr>
          <w:p w14:paraId="533D0474"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5720036C" w14:textId="77777777" w:rsidTr="00E94939">
        <w:trPr>
          <w:cantSplit/>
        </w:trPr>
        <w:tc>
          <w:tcPr>
            <w:tcW w:w="4020" w:type="dxa"/>
            <w:tcBorders>
              <w:top w:val="nil"/>
              <w:left w:val="nil"/>
              <w:bottom w:val="nil"/>
              <w:right w:val="nil"/>
            </w:tcBorders>
            <w:shd w:val="clear" w:color="000000" w:fill="FFFFFF"/>
            <w:hideMark/>
          </w:tcPr>
          <w:p w14:paraId="55787A18" w14:textId="77777777" w:rsidR="00FC0DB8" w:rsidRPr="00B040CC" w:rsidRDefault="00FC0DB8" w:rsidP="00E94939">
            <w:pPr>
              <w:pStyle w:val="TableText"/>
              <w:spacing w:before="40" w:after="40"/>
              <w:rPr>
                <w:b/>
                <w:lang w:eastAsia="en-NZ"/>
              </w:rPr>
            </w:pPr>
            <w:r w:rsidRPr="00B040CC">
              <w:rPr>
                <w:b/>
                <w:lang w:eastAsia="en-NZ"/>
              </w:rPr>
              <w:t>Oral health</w:t>
            </w:r>
          </w:p>
        </w:tc>
        <w:tc>
          <w:tcPr>
            <w:tcW w:w="900" w:type="dxa"/>
            <w:tcBorders>
              <w:top w:val="nil"/>
              <w:left w:val="nil"/>
              <w:bottom w:val="nil"/>
              <w:right w:val="nil"/>
            </w:tcBorders>
            <w:shd w:val="clear" w:color="000000" w:fill="FFFFFF"/>
          </w:tcPr>
          <w:p w14:paraId="09F0D964" w14:textId="77777777" w:rsidR="00FC0DB8" w:rsidRPr="00E951E4" w:rsidRDefault="00FC0DB8" w:rsidP="00E94939">
            <w:pPr>
              <w:pStyle w:val="TableText"/>
              <w:spacing w:before="40" w:after="40"/>
              <w:jc w:val="center"/>
              <w:rPr>
                <w:lang w:eastAsia="en-NZ"/>
              </w:rPr>
            </w:pPr>
          </w:p>
        </w:tc>
        <w:tc>
          <w:tcPr>
            <w:tcW w:w="940" w:type="dxa"/>
            <w:tcBorders>
              <w:top w:val="nil"/>
              <w:left w:val="nil"/>
              <w:bottom w:val="nil"/>
              <w:right w:val="nil"/>
            </w:tcBorders>
            <w:shd w:val="clear" w:color="000000" w:fill="FFFFFF"/>
          </w:tcPr>
          <w:p w14:paraId="77D08FAA" w14:textId="77777777" w:rsidR="00FC0DB8" w:rsidRPr="00E951E4" w:rsidRDefault="00FC0DB8" w:rsidP="00E94939">
            <w:pPr>
              <w:pStyle w:val="TableText"/>
              <w:spacing w:before="40" w:after="40"/>
              <w:jc w:val="center"/>
              <w:rPr>
                <w:color w:val="808080"/>
                <w:lang w:eastAsia="en-NZ"/>
              </w:rPr>
            </w:pPr>
          </w:p>
        </w:tc>
        <w:tc>
          <w:tcPr>
            <w:tcW w:w="940" w:type="dxa"/>
            <w:tcBorders>
              <w:top w:val="nil"/>
              <w:left w:val="nil"/>
              <w:bottom w:val="nil"/>
              <w:right w:val="nil"/>
            </w:tcBorders>
            <w:shd w:val="clear" w:color="000000" w:fill="FFFFFF"/>
          </w:tcPr>
          <w:p w14:paraId="172471C2" w14:textId="77777777" w:rsidR="00FC0DB8" w:rsidRPr="00E951E4" w:rsidRDefault="00FC0DB8" w:rsidP="00E94939">
            <w:pPr>
              <w:pStyle w:val="TableText"/>
              <w:spacing w:before="40" w:after="40"/>
              <w:jc w:val="center"/>
              <w:rPr>
                <w:color w:val="808080"/>
                <w:lang w:eastAsia="en-NZ"/>
              </w:rPr>
            </w:pPr>
          </w:p>
        </w:tc>
        <w:tc>
          <w:tcPr>
            <w:tcW w:w="1278" w:type="dxa"/>
            <w:tcBorders>
              <w:top w:val="nil"/>
              <w:left w:val="nil"/>
              <w:bottom w:val="nil"/>
              <w:right w:val="nil"/>
            </w:tcBorders>
            <w:shd w:val="clear" w:color="000000" w:fill="FFFFFF"/>
          </w:tcPr>
          <w:p w14:paraId="6C2CE2D6" w14:textId="77777777" w:rsidR="00FC0DB8" w:rsidRPr="00E951E4" w:rsidRDefault="00FC0DB8" w:rsidP="00E94939">
            <w:pPr>
              <w:pStyle w:val="TableText"/>
              <w:spacing w:before="40" w:after="40"/>
              <w:jc w:val="center"/>
              <w:rPr>
                <w:color w:val="4F81BD"/>
                <w:lang w:eastAsia="en-NZ"/>
              </w:rPr>
            </w:pPr>
          </w:p>
        </w:tc>
        <w:tc>
          <w:tcPr>
            <w:tcW w:w="1278" w:type="dxa"/>
            <w:tcBorders>
              <w:top w:val="nil"/>
              <w:left w:val="nil"/>
              <w:bottom w:val="nil"/>
              <w:right w:val="nil"/>
            </w:tcBorders>
            <w:shd w:val="clear" w:color="000000" w:fill="FFFFFF"/>
          </w:tcPr>
          <w:p w14:paraId="110710E6" w14:textId="77777777" w:rsidR="00FC0DB8" w:rsidRPr="00E951E4" w:rsidRDefault="00FC0DB8" w:rsidP="00E94939">
            <w:pPr>
              <w:pStyle w:val="TableText"/>
              <w:spacing w:before="40" w:after="40"/>
              <w:jc w:val="center"/>
              <w:rPr>
                <w:color w:val="4F81BD"/>
                <w:lang w:eastAsia="en-NZ"/>
              </w:rPr>
            </w:pPr>
          </w:p>
        </w:tc>
      </w:tr>
      <w:tr w:rsidR="00FC0DB8" w:rsidRPr="00E951E4" w14:paraId="7BA320F6" w14:textId="77777777" w:rsidTr="00E94939">
        <w:trPr>
          <w:cantSplit/>
        </w:trPr>
        <w:tc>
          <w:tcPr>
            <w:tcW w:w="4020" w:type="dxa"/>
            <w:tcBorders>
              <w:top w:val="nil"/>
              <w:left w:val="nil"/>
              <w:bottom w:val="nil"/>
              <w:right w:val="nil"/>
            </w:tcBorders>
            <w:shd w:val="clear" w:color="000000" w:fill="FFFFFF"/>
            <w:hideMark/>
          </w:tcPr>
          <w:p w14:paraId="02302519" w14:textId="77777777" w:rsidR="00FC0DB8" w:rsidRPr="00E951E4" w:rsidRDefault="00FC0DB8" w:rsidP="00E94939">
            <w:pPr>
              <w:pStyle w:val="TableText"/>
              <w:spacing w:before="40" w:after="40"/>
              <w:rPr>
                <w:lang w:eastAsia="en-NZ"/>
              </w:rPr>
            </w:pPr>
            <w:r w:rsidRPr="00E951E4">
              <w:rPr>
                <w:lang w:eastAsia="en-NZ"/>
              </w:rPr>
              <w:t>Dental health care worker visit in the past 12</w:t>
            </w:r>
            <w:r w:rsidR="00B040CC">
              <w:rPr>
                <w:lang w:eastAsia="en-NZ"/>
              </w:rPr>
              <w:t> </w:t>
            </w:r>
            <w:r w:rsidRPr="00E951E4">
              <w:rPr>
                <w:lang w:eastAsia="en-NZ"/>
              </w:rPr>
              <w:t>months</w:t>
            </w:r>
            <w:r w:rsidRPr="00E951E4">
              <w:rPr>
                <w:vertAlign w:val="superscript"/>
                <w:lang w:eastAsia="en-NZ"/>
              </w:rPr>
              <w:t>1</w:t>
            </w:r>
          </w:p>
        </w:tc>
        <w:tc>
          <w:tcPr>
            <w:tcW w:w="900" w:type="dxa"/>
            <w:tcBorders>
              <w:top w:val="nil"/>
              <w:left w:val="nil"/>
              <w:bottom w:val="nil"/>
              <w:right w:val="nil"/>
            </w:tcBorders>
            <w:shd w:val="clear" w:color="000000" w:fill="FFFFFF"/>
            <w:hideMark/>
          </w:tcPr>
          <w:p w14:paraId="0C0BE1EA" w14:textId="77777777" w:rsidR="00FC0DB8" w:rsidRPr="00E951E4" w:rsidRDefault="00FC0DB8" w:rsidP="00E94939">
            <w:pPr>
              <w:pStyle w:val="TableText"/>
              <w:spacing w:before="40" w:after="40"/>
              <w:jc w:val="center"/>
              <w:rPr>
                <w:lang w:eastAsia="en-NZ"/>
              </w:rPr>
            </w:pPr>
            <w:r w:rsidRPr="00E951E4">
              <w:rPr>
                <w:lang w:eastAsia="en-NZ"/>
              </w:rPr>
              <w:t>32.4</w:t>
            </w:r>
          </w:p>
        </w:tc>
        <w:tc>
          <w:tcPr>
            <w:tcW w:w="940" w:type="dxa"/>
            <w:tcBorders>
              <w:top w:val="nil"/>
              <w:left w:val="nil"/>
              <w:bottom w:val="nil"/>
              <w:right w:val="nil"/>
            </w:tcBorders>
            <w:shd w:val="clear" w:color="000000" w:fill="FFFFFF"/>
            <w:hideMark/>
          </w:tcPr>
          <w:p w14:paraId="3EE67978"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33.0</w:t>
            </w:r>
          </w:p>
        </w:tc>
        <w:tc>
          <w:tcPr>
            <w:tcW w:w="940" w:type="dxa"/>
            <w:tcBorders>
              <w:top w:val="nil"/>
              <w:left w:val="nil"/>
              <w:bottom w:val="nil"/>
              <w:right w:val="nil"/>
            </w:tcBorders>
            <w:shd w:val="clear" w:color="000000" w:fill="FFFFFF"/>
            <w:hideMark/>
          </w:tcPr>
          <w:p w14:paraId="2ACEC88D"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34.8</w:t>
            </w:r>
          </w:p>
        </w:tc>
        <w:tc>
          <w:tcPr>
            <w:tcW w:w="1278" w:type="dxa"/>
            <w:tcBorders>
              <w:top w:val="nil"/>
              <w:left w:val="nil"/>
              <w:bottom w:val="nil"/>
              <w:right w:val="nil"/>
            </w:tcBorders>
            <w:shd w:val="clear" w:color="000000" w:fill="FFFFFF"/>
            <w:hideMark/>
          </w:tcPr>
          <w:p w14:paraId="59F09D37"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7ECC3891"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2DA22978" w14:textId="77777777" w:rsidTr="00E94939">
        <w:trPr>
          <w:cantSplit/>
        </w:trPr>
        <w:tc>
          <w:tcPr>
            <w:tcW w:w="4020" w:type="dxa"/>
            <w:tcBorders>
              <w:top w:val="nil"/>
              <w:left w:val="nil"/>
              <w:bottom w:val="nil"/>
              <w:right w:val="nil"/>
            </w:tcBorders>
            <w:shd w:val="clear" w:color="000000" w:fill="FFFFFF"/>
            <w:hideMark/>
          </w:tcPr>
          <w:p w14:paraId="3C347B2C" w14:textId="77777777" w:rsidR="00FC0DB8" w:rsidRPr="00E951E4" w:rsidRDefault="00FC0DB8" w:rsidP="00E94939">
            <w:pPr>
              <w:pStyle w:val="TableText"/>
              <w:spacing w:before="40" w:after="40"/>
              <w:rPr>
                <w:lang w:eastAsia="en-NZ"/>
              </w:rPr>
            </w:pPr>
            <w:r w:rsidRPr="00E951E4">
              <w:rPr>
                <w:lang w:eastAsia="en-NZ"/>
              </w:rPr>
              <w:t>Teeth removed due to decay in the past 12</w:t>
            </w:r>
            <w:r w:rsidR="00B040CC">
              <w:rPr>
                <w:lang w:eastAsia="en-NZ"/>
              </w:rPr>
              <w:t> </w:t>
            </w:r>
            <w:r w:rsidRPr="00E951E4">
              <w:rPr>
                <w:lang w:eastAsia="en-NZ"/>
              </w:rPr>
              <w:t xml:space="preserve">months </w:t>
            </w:r>
          </w:p>
        </w:tc>
        <w:tc>
          <w:tcPr>
            <w:tcW w:w="900" w:type="dxa"/>
            <w:tcBorders>
              <w:top w:val="nil"/>
              <w:left w:val="nil"/>
              <w:bottom w:val="nil"/>
              <w:right w:val="nil"/>
            </w:tcBorders>
            <w:shd w:val="clear" w:color="000000" w:fill="FFFFFF"/>
            <w:hideMark/>
          </w:tcPr>
          <w:p w14:paraId="44661FED" w14:textId="77777777" w:rsidR="00FC0DB8" w:rsidRPr="00E951E4" w:rsidRDefault="00FC0DB8" w:rsidP="00E94939">
            <w:pPr>
              <w:pStyle w:val="TableText"/>
              <w:spacing w:before="40" w:after="40"/>
              <w:jc w:val="center"/>
              <w:rPr>
                <w:lang w:eastAsia="en-NZ"/>
              </w:rPr>
            </w:pPr>
            <w:r w:rsidRPr="00E951E4">
              <w:rPr>
                <w:lang w:eastAsia="en-NZ"/>
              </w:rPr>
              <w:t>12.0</w:t>
            </w:r>
          </w:p>
        </w:tc>
        <w:tc>
          <w:tcPr>
            <w:tcW w:w="940" w:type="dxa"/>
            <w:tcBorders>
              <w:top w:val="nil"/>
              <w:left w:val="nil"/>
              <w:bottom w:val="nil"/>
              <w:right w:val="nil"/>
            </w:tcBorders>
            <w:shd w:val="clear" w:color="000000" w:fill="FFFFFF"/>
            <w:hideMark/>
          </w:tcPr>
          <w:p w14:paraId="1CE391E1"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10.8</w:t>
            </w:r>
          </w:p>
        </w:tc>
        <w:tc>
          <w:tcPr>
            <w:tcW w:w="940" w:type="dxa"/>
            <w:tcBorders>
              <w:top w:val="nil"/>
              <w:left w:val="nil"/>
              <w:bottom w:val="nil"/>
              <w:right w:val="nil"/>
            </w:tcBorders>
            <w:shd w:val="clear" w:color="000000" w:fill="FFFFFF"/>
            <w:hideMark/>
          </w:tcPr>
          <w:p w14:paraId="616022DA" w14:textId="77777777" w:rsidR="00FC0DB8" w:rsidRPr="00E951E4" w:rsidRDefault="00FC0DB8" w:rsidP="00E94939">
            <w:pPr>
              <w:pStyle w:val="TableText"/>
              <w:spacing w:before="40" w:after="40"/>
              <w:jc w:val="center"/>
              <w:rPr>
                <w:color w:val="808080"/>
                <w:lang w:eastAsia="en-NZ"/>
              </w:rPr>
            </w:pPr>
            <w:r>
              <w:rPr>
                <w:color w:val="808080"/>
                <w:lang w:eastAsia="en-NZ"/>
              </w:rPr>
              <w:t>.</w:t>
            </w:r>
          </w:p>
        </w:tc>
        <w:tc>
          <w:tcPr>
            <w:tcW w:w="1278" w:type="dxa"/>
            <w:tcBorders>
              <w:top w:val="nil"/>
              <w:left w:val="nil"/>
              <w:bottom w:val="nil"/>
              <w:right w:val="nil"/>
            </w:tcBorders>
            <w:shd w:val="clear" w:color="000000" w:fill="FFFFFF"/>
            <w:hideMark/>
          </w:tcPr>
          <w:p w14:paraId="4025F54A"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nil"/>
              <w:right w:val="nil"/>
            </w:tcBorders>
            <w:shd w:val="clear" w:color="000000" w:fill="FFFFFF"/>
            <w:hideMark/>
          </w:tcPr>
          <w:p w14:paraId="0B3FE789"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FC0DB8" w:rsidRPr="00E951E4" w14:paraId="50B9A10C" w14:textId="77777777" w:rsidTr="00E94939">
        <w:trPr>
          <w:cantSplit/>
        </w:trPr>
        <w:tc>
          <w:tcPr>
            <w:tcW w:w="4020" w:type="dxa"/>
            <w:tcBorders>
              <w:top w:val="nil"/>
              <w:left w:val="nil"/>
              <w:bottom w:val="nil"/>
              <w:right w:val="nil"/>
            </w:tcBorders>
            <w:shd w:val="clear" w:color="000000" w:fill="FFFFFF"/>
            <w:hideMark/>
          </w:tcPr>
          <w:p w14:paraId="411DAAFF" w14:textId="77777777" w:rsidR="00FC0DB8" w:rsidRPr="00E951E4" w:rsidRDefault="00FC0DB8" w:rsidP="00E94939">
            <w:pPr>
              <w:pStyle w:val="TableText"/>
              <w:spacing w:before="40" w:after="40"/>
              <w:rPr>
                <w:lang w:eastAsia="en-NZ"/>
              </w:rPr>
            </w:pPr>
            <w:r w:rsidRPr="00E951E4">
              <w:rPr>
                <w:lang w:eastAsia="en-NZ"/>
              </w:rPr>
              <w:t>Usually only visits a dental health care worker for dental problems (or never visits)</w:t>
            </w:r>
            <w:r w:rsidRPr="00E951E4">
              <w:rPr>
                <w:vertAlign w:val="superscript"/>
                <w:lang w:eastAsia="en-NZ"/>
              </w:rPr>
              <w:t>1</w:t>
            </w:r>
          </w:p>
        </w:tc>
        <w:tc>
          <w:tcPr>
            <w:tcW w:w="900" w:type="dxa"/>
            <w:tcBorders>
              <w:top w:val="nil"/>
              <w:left w:val="nil"/>
              <w:bottom w:val="single" w:sz="4" w:space="0" w:color="808080"/>
              <w:right w:val="nil"/>
            </w:tcBorders>
            <w:shd w:val="clear" w:color="000000" w:fill="FFFFFF"/>
            <w:hideMark/>
          </w:tcPr>
          <w:p w14:paraId="2A35E0A4" w14:textId="77777777" w:rsidR="00FC0DB8" w:rsidRPr="00E951E4" w:rsidRDefault="00FC0DB8" w:rsidP="00E94939">
            <w:pPr>
              <w:pStyle w:val="TableText"/>
              <w:spacing w:before="40" w:after="40"/>
              <w:jc w:val="center"/>
              <w:rPr>
                <w:lang w:eastAsia="en-NZ"/>
              </w:rPr>
            </w:pPr>
            <w:r w:rsidRPr="00E951E4">
              <w:rPr>
                <w:lang w:eastAsia="en-NZ"/>
              </w:rPr>
              <w:t>81.1</w:t>
            </w:r>
          </w:p>
        </w:tc>
        <w:tc>
          <w:tcPr>
            <w:tcW w:w="940" w:type="dxa"/>
            <w:tcBorders>
              <w:top w:val="nil"/>
              <w:left w:val="nil"/>
              <w:bottom w:val="single" w:sz="4" w:space="0" w:color="808080"/>
              <w:right w:val="nil"/>
            </w:tcBorders>
            <w:shd w:val="clear" w:color="000000" w:fill="FFFFFF"/>
            <w:hideMark/>
          </w:tcPr>
          <w:p w14:paraId="6FF7AB8C"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78.0</w:t>
            </w:r>
          </w:p>
        </w:tc>
        <w:tc>
          <w:tcPr>
            <w:tcW w:w="940" w:type="dxa"/>
            <w:tcBorders>
              <w:top w:val="nil"/>
              <w:left w:val="nil"/>
              <w:bottom w:val="single" w:sz="4" w:space="0" w:color="808080"/>
              <w:right w:val="nil"/>
            </w:tcBorders>
            <w:shd w:val="clear" w:color="000000" w:fill="FFFFFF"/>
            <w:hideMark/>
          </w:tcPr>
          <w:p w14:paraId="0B7D0E00" w14:textId="77777777" w:rsidR="00FC0DB8" w:rsidRPr="00E951E4" w:rsidRDefault="00FC0DB8" w:rsidP="00E94939">
            <w:pPr>
              <w:pStyle w:val="TableText"/>
              <w:spacing w:before="40" w:after="40"/>
              <w:jc w:val="center"/>
              <w:rPr>
                <w:color w:val="808080"/>
                <w:lang w:eastAsia="en-NZ"/>
              </w:rPr>
            </w:pPr>
            <w:r w:rsidRPr="00E951E4">
              <w:rPr>
                <w:color w:val="808080"/>
                <w:lang w:eastAsia="en-NZ"/>
              </w:rPr>
              <w:t>76.8</w:t>
            </w:r>
          </w:p>
        </w:tc>
        <w:tc>
          <w:tcPr>
            <w:tcW w:w="1278" w:type="dxa"/>
            <w:tcBorders>
              <w:top w:val="nil"/>
              <w:left w:val="nil"/>
              <w:bottom w:val="single" w:sz="4" w:space="0" w:color="808080"/>
              <w:right w:val="nil"/>
            </w:tcBorders>
            <w:shd w:val="clear" w:color="000000" w:fill="FFFFFF"/>
            <w:hideMark/>
          </w:tcPr>
          <w:p w14:paraId="578EDE74"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c>
          <w:tcPr>
            <w:tcW w:w="1278" w:type="dxa"/>
            <w:tcBorders>
              <w:top w:val="nil"/>
              <w:left w:val="nil"/>
              <w:bottom w:val="single" w:sz="4" w:space="0" w:color="808080"/>
              <w:right w:val="nil"/>
            </w:tcBorders>
            <w:shd w:val="clear" w:color="000000" w:fill="FFFFFF"/>
            <w:hideMark/>
          </w:tcPr>
          <w:p w14:paraId="1EF8FAC9" w14:textId="77777777" w:rsidR="00FC0DB8" w:rsidRPr="00E951E4" w:rsidRDefault="00FC0DB8" w:rsidP="00E94939">
            <w:pPr>
              <w:pStyle w:val="TableText"/>
              <w:spacing w:before="40" w:after="40"/>
              <w:jc w:val="center"/>
              <w:rPr>
                <w:color w:val="4F81BD"/>
                <w:lang w:eastAsia="en-NZ"/>
              </w:rPr>
            </w:pPr>
            <w:r w:rsidRPr="00E951E4">
              <w:rPr>
                <w:color w:val="4F81BD"/>
                <w:lang w:eastAsia="en-NZ"/>
              </w:rPr>
              <w:t>▲</w:t>
            </w:r>
          </w:p>
        </w:tc>
      </w:tr>
      <w:tr w:rsidR="00B040CC" w:rsidRPr="00E951E4" w14:paraId="634740D4" w14:textId="77777777" w:rsidTr="00B040CC">
        <w:trPr>
          <w:cantSplit/>
        </w:trPr>
        <w:tc>
          <w:tcPr>
            <w:tcW w:w="4920" w:type="dxa"/>
            <w:gridSpan w:val="2"/>
            <w:tcBorders>
              <w:top w:val="single" w:sz="4" w:space="0" w:color="auto"/>
              <w:left w:val="nil"/>
              <w:bottom w:val="nil"/>
              <w:right w:val="nil"/>
            </w:tcBorders>
            <w:shd w:val="clear" w:color="000000" w:fill="FFFFFF"/>
            <w:noWrap/>
            <w:hideMark/>
          </w:tcPr>
          <w:p w14:paraId="7C6433C1" w14:textId="77777777" w:rsidR="00B040CC" w:rsidRPr="00E951E4" w:rsidRDefault="00B040CC" w:rsidP="00E94939">
            <w:pPr>
              <w:pStyle w:val="TableText"/>
              <w:spacing w:before="40" w:after="40"/>
              <w:rPr>
                <w:lang w:eastAsia="en-NZ"/>
              </w:rPr>
            </w:pPr>
            <w:r w:rsidRPr="00E951E4">
              <w:rPr>
                <w:lang w:eastAsia="en-NZ"/>
              </w:rPr>
              <w:t>Key:</w:t>
            </w:r>
            <w:r>
              <w:rPr>
                <w:lang w:eastAsia="en-NZ"/>
              </w:rPr>
              <w:tab/>
            </w:r>
            <w:r w:rsidRPr="00E951E4">
              <w:rPr>
                <w:color w:val="4F81BD"/>
                <w:lang w:eastAsia="en-NZ"/>
              </w:rPr>
              <w:t>▲</w:t>
            </w:r>
            <w:r w:rsidRPr="00E951E4">
              <w:rPr>
                <w:lang w:eastAsia="en-NZ"/>
              </w:rPr>
              <w:t xml:space="preserve"> Statistically significant increase</w:t>
            </w:r>
            <w:r w:rsidRPr="00E951E4">
              <w:rPr>
                <w:vertAlign w:val="superscript"/>
                <w:lang w:eastAsia="en-NZ"/>
              </w:rPr>
              <w:t>2</w:t>
            </w:r>
          </w:p>
        </w:tc>
        <w:tc>
          <w:tcPr>
            <w:tcW w:w="4436" w:type="dxa"/>
            <w:gridSpan w:val="4"/>
            <w:tcBorders>
              <w:top w:val="single" w:sz="4" w:space="0" w:color="auto"/>
              <w:left w:val="nil"/>
              <w:bottom w:val="nil"/>
              <w:right w:val="nil"/>
            </w:tcBorders>
            <w:shd w:val="clear" w:color="000000" w:fill="FFFFFF"/>
            <w:noWrap/>
            <w:hideMark/>
          </w:tcPr>
          <w:p w14:paraId="2B22709F" w14:textId="77777777" w:rsidR="00B040CC" w:rsidRPr="00E951E4" w:rsidRDefault="00B040CC" w:rsidP="00E94939">
            <w:pPr>
              <w:pStyle w:val="TableText"/>
              <w:spacing w:before="40" w:after="40"/>
              <w:rPr>
                <w:lang w:eastAsia="en-NZ"/>
              </w:rPr>
            </w:pPr>
            <w:r w:rsidRPr="00E951E4">
              <w:rPr>
                <w:color w:val="4F81BD"/>
                <w:lang w:eastAsia="en-NZ"/>
              </w:rPr>
              <w:t>=</w:t>
            </w:r>
            <w:r w:rsidRPr="00E951E4">
              <w:rPr>
                <w:lang w:eastAsia="en-NZ"/>
              </w:rPr>
              <w:t xml:space="preserve"> No statistically significant change</w:t>
            </w:r>
          </w:p>
        </w:tc>
      </w:tr>
      <w:tr w:rsidR="00B040CC" w:rsidRPr="00E951E4" w14:paraId="732811BE" w14:textId="77777777" w:rsidTr="00B040CC">
        <w:trPr>
          <w:cantSplit/>
        </w:trPr>
        <w:tc>
          <w:tcPr>
            <w:tcW w:w="4920" w:type="dxa"/>
            <w:gridSpan w:val="2"/>
            <w:tcBorders>
              <w:top w:val="nil"/>
              <w:left w:val="nil"/>
              <w:bottom w:val="nil"/>
              <w:right w:val="nil"/>
            </w:tcBorders>
            <w:shd w:val="clear" w:color="000000" w:fill="FFFFFF"/>
            <w:noWrap/>
            <w:hideMark/>
          </w:tcPr>
          <w:p w14:paraId="3F8EE047" w14:textId="77777777" w:rsidR="00B040CC" w:rsidRPr="00E951E4" w:rsidRDefault="00B040CC" w:rsidP="00E94939">
            <w:pPr>
              <w:pStyle w:val="TableText"/>
              <w:spacing w:before="40" w:after="40"/>
              <w:ind w:left="567"/>
              <w:rPr>
                <w:lang w:eastAsia="en-NZ"/>
              </w:rPr>
            </w:pPr>
            <w:r w:rsidRPr="00E951E4">
              <w:rPr>
                <w:color w:val="4F81BD"/>
                <w:lang w:eastAsia="en-NZ"/>
              </w:rPr>
              <w:t>▼</w:t>
            </w:r>
            <w:r w:rsidRPr="00E951E4">
              <w:rPr>
                <w:lang w:eastAsia="en-NZ"/>
              </w:rPr>
              <w:t xml:space="preserve"> Statistically significant decrease</w:t>
            </w:r>
            <w:r w:rsidRPr="00E951E4">
              <w:rPr>
                <w:vertAlign w:val="superscript"/>
                <w:lang w:eastAsia="en-NZ"/>
              </w:rPr>
              <w:t>2</w:t>
            </w:r>
          </w:p>
        </w:tc>
        <w:tc>
          <w:tcPr>
            <w:tcW w:w="4436" w:type="dxa"/>
            <w:gridSpan w:val="4"/>
            <w:tcBorders>
              <w:top w:val="nil"/>
              <w:left w:val="nil"/>
              <w:bottom w:val="nil"/>
              <w:right w:val="nil"/>
            </w:tcBorders>
            <w:shd w:val="clear" w:color="000000" w:fill="FFFFFF"/>
            <w:noWrap/>
            <w:hideMark/>
          </w:tcPr>
          <w:p w14:paraId="673EE6C5" w14:textId="77777777" w:rsidR="00B040CC" w:rsidRPr="00E951E4" w:rsidRDefault="00B040CC" w:rsidP="00E94939">
            <w:pPr>
              <w:pStyle w:val="TableText"/>
              <w:spacing w:before="40" w:after="40"/>
              <w:rPr>
                <w:lang w:eastAsia="en-NZ"/>
              </w:rPr>
            </w:pPr>
            <w:r w:rsidRPr="00E951E4">
              <w:rPr>
                <w:color w:val="4F81BD"/>
                <w:lang w:eastAsia="en-NZ"/>
              </w:rPr>
              <w:t xml:space="preserve">. </w:t>
            </w:r>
            <w:r w:rsidRPr="00E951E4">
              <w:rPr>
                <w:lang w:eastAsia="en-NZ"/>
              </w:rPr>
              <w:t>Data not available</w:t>
            </w:r>
          </w:p>
        </w:tc>
      </w:tr>
      <w:tr w:rsidR="00B040CC" w:rsidRPr="00E951E4" w14:paraId="4E725893" w14:textId="77777777" w:rsidTr="00B040CC">
        <w:trPr>
          <w:cantSplit/>
        </w:trPr>
        <w:tc>
          <w:tcPr>
            <w:tcW w:w="9356" w:type="dxa"/>
            <w:gridSpan w:val="6"/>
            <w:tcBorders>
              <w:top w:val="nil"/>
              <w:left w:val="nil"/>
              <w:bottom w:val="nil"/>
              <w:right w:val="nil"/>
            </w:tcBorders>
            <w:shd w:val="clear" w:color="000000" w:fill="FFFFFF"/>
            <w:hideMark/>
          </w:tcPr>
          <w:p w14:paraId="633DA1BA" w14:textId="77777777" w:rsidR="00B040CC" w:rsidRPr="00E951E4" w:rsidRDefault="00B040CC" w:rsidP="00E94939">
            <w:pPr>
              <w:pStyle w:val="TableText"/>
              <w:spacing w:before="40" w:after="40"/>
              <w:ind w:left="284" w:hanging="284"/>
              <w:rPr>
                <w:lang w:eastAsia="en-NZ"/>
              </w:rPr>
            </w:pPr>
            <w:r w:rsidRPr="00E951E4">
              <w:rPr>
                <w:lang w:eastAsia="en-NZ"/>
              </w:rPr>
              <w:t>1</w:t>
            </w:r>
            <w:r>
              <w:rPr>
                <w:lang w:eastAsia="en-NZ"/>
              </w:rPr>
              <w:tab/>
            </w:r>
            <w:r w:rsidRPr="00E951E4">
              <w:rPr>
                <w:lang w:eastAsia="en-NZ"/>
              </w:rPr>
              <w:t>Among adults with natural teeth</w:t>
            </w:r>
            <w:r>
              <w:rPr>
                <w:lang w:eastAsia="en-NZ"/>
              </w:rPr>
              <w:t>.</w:t>
            </w:r>
          </w:p>
        </w:tc>
      </w:tr>
      <w:tr w:rsidR="00B040CC" w:rsidRPr="00E951E4" w14:paraId="52706875" w14:textId="77777777" w:rsidTr="00B040CC">
        <w:trPr>
          <w:cantSplit/>
        </w:trPr>
        <w:tc>
          <w:tcPr>
            <w:tcW w:w="9356" w:type="dxa"/>
            <w:gridSpan w:val="6"/>
            <w:tcBorders>
              <w:top w:val="nil"/>
              <w:left w:val="nil"/>
              <w:bottom w:val="single" w:sz="4" w:space="0" w:color="auto"/>
              <w:right w:val="nil"/>
            </w:tcBorders>
            <w:shd w:val="clear" w:color="000000" w:fill="FFFFFF"/>
            <w:noWrap/>
            <w:hideMark/>
          </w:tcPr>
          <w:p w14:paraId="13BCF0D9" w14:textId="77777777" w:rsidR="00B040CC" w:rsidRPr="00E951E4" w:rsidRDefault="00B040CC" w:rsidP="00E94939">
            <w:pPr>
              <w:pStyle w:val="TableText"/>
              <w:spacing w:before="40" w:after="40"/>
              <w:ind w:left="284" w:hanging="284"/>
              <w:rPr>
                <w:lang w:eastAsia="en-NZ"/>
              </w:rPr>
            </w:pPr>
            <w:r w:rsidRPr="00E951E4">
              <w:rPr>
                <w:lang w:eastAsia="en-NZ"/>
              </w:rPr>
              <w:t>2</w:t>
            </w:r>
            <w:r>
              <w:rPr>
                <w:lang w:eastAsia="en-NZ"/>
              </w:rPr>
              <w:tab/>
            </w:r>
            <w:r w:rsidRPr="00E951E4">
              <w:rPr>
                <w:lang w:eastAsia="en-NZ"/>
              </w:rPr>
              <w:t>The significance (</w:t>
            </w:r>
            <w:r w:rsidRPr="00786F6C">
              <w:rPr>
                <w:i/>
                <w:lang w:eastAsia="en-NZ"/>
              </w:rPr>
              <w:t>p</w:t>
            </w:r>
            <w:r w:rsidRPr="00E951E4">
              <w:rPr>
                <w:lang w:eastAsia="en-NZ"/>
              </w:rPr>
              <w:t>-values) of differences between years is based on age-standardised rates</w:t>
            </w:r>
            <w:r>
              <w:rPr>
                <w:lang w:eastAsia="en-NZ"/>
              </w:rPr>
              <w:t>.</w:t>
            </w:r>
          </w:p>
        </w:tc>
      </w:tr>
    </w:tbl>
    <w:p w14:paraId="3D64301D" w14:textId="77777777" w:rsidR="00E94939" w:rsidRDefault="00E94939" w:rsidP="00E94939"/>
    <w:p w14:paraId="479699AF" w14:textId="77777777" w:rsidR="00FC0DB8" w:rsidRPr="00B3151F" w:rsidRDefault="00FC0DB8" w:rsidP="00FC0DB8">
      <w:pPr>
        <w:pStyle w:val="Heading2"/>
        <w:spacing w:before="360"/>
      </w:pPr>
      <w:bookmarkStart w:id="54" w:name="_Toc435784737"/>
      <w:bookmarkStart w:id="55" w:name="_Toc436730771"/>
      <w:bookmarkStart w:id="56" w:name="_Toc467831533"/>
      <w:r w:rsidRPr="00081DCC">
        <w:lastRenderedPageBreak/>
        <w:t xml:space="preserve">Health </w:t>
      </w:r>
      <w:r>
        <w:t>s</w:t>
      </w:r>
      <w:r w:rsidRPr="00081DCC">
        <w:t>tatus, health behaviours and risk factors</w:t>
      </w:r>
      <w:bookmarkEnd w:id="47"/>
      <w:bookmarkEnd w:id="48"/>
      <w:bookmarkEnd w:id="54"/>
      <w:bookmarkEnd w:id="55"/>
      <w:r>
        <w:t xml:space="preserve"> of adults</w:t>
      </w:r>
      <w:bookmarkEnd w:id="56"/>
    </w:p>
    <w:p w14:paraId="77929D8C" w14:textId="77777777" w:rsidR="00FC0DB8" w:rsidRDefault="00FC0DB8" w:rsidP="00FC0DB8">
      <w:pPr>
        <w:pStyle w:val="Heading3"/>
      </w:pPr>
      <w:r>
        <w:t>Most adults</w:t>
      </w:r>
      <w:r w:rsidRPr="00067A41">
        <w:t xml:space="preserve"> report</w:t>
      </w:r>
      <w:r>
        <w:t>ed</w:t>
      </w:r>
      <w:r w:rsidRPr="00067A41">
        <w:t xml:space="preserve"> that they </w:t>
      </w:r>
      <w:r>
        <w:t>we</w:t>
      </w:r>
      <w:r w:rsidRPr="00067A41">
        <w:t>re in good health</w:t>
      </w:r>
    </w:p>
    <w:p w14:paraId="4EB2EEEE" w14:textId="77777777" w:rsidR="00FC0DB8" w:rsidRDefault="00FC0DB8" w:rsidP="00E11BD8">
      <w:pPr>
        <w:pStyle w:val="Box"/>
        <w:jc w:val="center"/>
      </w:pPr>
      <w:r w:rsidRPr="00B72F63">
        <w:rPr>
          <w:noProof/>
          <w:lang w:eastAsia="en-NZ"/>
        </w:rPr>
        <w:drawing>
          <wp:inline distT="0" distB="0" distL="0" distR="0" wp14:anchorId="2BA34E6D" wp14:editId="3304655E">
            <wp:extent cx="5600700" cy="3143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41851008" w14:textId="77777777" w:rsidR="00FC0DB8" w:rsidRDefault="00FC0DB8" w:rsidP="00FC0DB8"/>
    <w:p w14:paraId="28C4C824" w14:textId="77777777" w:rsidR="00FD6712" w:rsidRDefault="00FC0DB8" w:rsidP="00FC0DB8">
      <w:r>
        <w:t>Self-rated health is a widely used indicator of health.</w:t>
      </w:r>
      <w:r w:rsidRPr="00DA039D">
        <w:t xml:space="preserve"> </w:t>
      </w:r>
      <w:r>
        <w:t>Interviewers</w:t>
      </w:r>
      <w:r w:rsidRPr="0007586A">
        <w:t xml:space="preserve"> asked </w:t>
      </w:r>
      <w:r>
        <w:t xml:space="preserve">adults taking part in the survey whether they considered their </w:t>
      </w:r>
      <w:r w:rsidRPr="0007586A">
        <w:t xml:space="preserve">health to be </w:t>
      </w:r>
      <w:r w:rsidR="00FD6712">
        <w:t>‘</w:t>
      </w:r>
      <w:r w:rsidRPr="0007586A">
        <w:t>excellent, very good, good, fair or poor</w:t>
      </w:r>
      <w:r w:rsidR="00FD6712">
        <w:t>’</w:t>
      </w:r>
      <w:r w:rsidRPr="0007586A">
        <w:t xml:space="preserve">. In </w:t>
      </w:r>
      <w:r w:rsidRPr="00D113E0">
        <w:rPr>
          <w:spacing w:val="-2"/>
        </w:rPr>
        <w:t xml:space="preserve">this report, </w:t>
      </w:r>
      <w:r w:rsidR="00FD6712" w:rsidRPr="00D113E0">
        <w:rPr>
          <w:spacing w:val="-2"/>
        </w:rPr>
        <w:t>‘</w:t>
      </w:r>
      <w:r w:rsidRPr="00D113E0">
        <w:rPr>
          <w:spacing w:val="-2"/>
        </w:rPr>
        <w:t>good health</w:t>
      </w:r>
      <w:r w:rsidR="00FD6712" w:rsidRPr="00D113E0">
        <w:rPr>
          <w:spacing w:val="-2"/>
        </w:rPr>
        <w:t>’</w:t>
      </w:r>
      <w:r w:rsidRPr="00D113E0">
        <w:rPr>
          <w:spacing w:val="-2"/>
        </w:rPr>
        <w:t xml:space="preserve"> means good, very good or excellent health. Ratings of </w:t>
      </w:r>
      <w:r w:rsidR="00FD6712" w:rsidRPr="00D113E0">
        <w:rPr>
          <w:spacing w:val="-2"/>
        </w:rPr>
        <w:t>‘</w:t>
      </w:r>
      <w:r w:rsidRPr="00D113E0">
        <w:rPr>
          <w:spacing w:val="-2"/>
        </w:rPr>
        <w:t>fair or poor</w:t>
      </w:r>
      <w:r w:rsidR="00FD6712" w:rsidRPr="00D113E0">
        <w:rPr>
          <w:spacing w:val="-2"/>
        </w:rPr>
        <w:t>’</w:t>
      </w:r>
      <w:r w:rsidRPr="00D113E0">
        <w:rPr>
          <w:spacing w:val="-2"/>
        </w:rPr>
        <w:t xml:space="preserve"> health</w:t>
      </w:r>
      <w:r>
        <w:t xml:space="preserve"> are also discussed as they are predictive of mortality and morbidity (Idler and Benyamini 1997).</w:t>
      </w:r>
    </w:p>
    <w:p w14:paraId="203EE0A0" w14:textId="77777777" w:rsidR="00FC0DB8" w:rsidRDefault="00FC0DB8" w:rsidP="00FC0DB8"/>
    <w:p w14:paraId="273C21E8" w14:textId="77777777" w:rsidR="00FC0DB8" w:rsidRDefault="00FC0DB8" w:rsidP="00FC0DB8">
      <w:r>
        <w:t>Most adults (88%) were in good health, down from 90% in 2006/07. Conversely, 12% of adults were in fair or poor health in 2015/16 (a total of 458,000 adults). There was no difference in the percentage of men and women who reported that they were in good health.</w:t>
      </w:r>
    </w:p>
    <w:p w14:paraId="48ED9B92" w14:textId="77777777" w:rsidR="00FC0DB8" w:rsidRDefault="00FC0DB8" w:rsidP="00FC0DB8"/>
    <w:p w14:paraId="5E760528" w14:textId="77777777" w:rsidR="00FC0DB8" w:rsidRDefault="00FC0DB8" w:rsidP="00FC0DB8">
      <w:r>
        <w:t>T</w:t>
      </w:r>
      <w:r w:rsidRPr="00985E3D">
        <w:t xml:space="preserve">he percentage of </w:t>
      </w:r>
      <w:r>
        <w:t>adults</w:t>
      </w:r>
      <w:r w:rsidRPr="00985E3D">
        <w:t xml:space="preserve"> </w:t>
      </w:r>
      <w:r>
        <w:t xml:space="preserve">who </w:t>
      </w:r>
      <w:r w:rsidRPr="00985E3D">
        <w:t>report</w:t>
      </w:r>
      <w:r>
        <w:t>ed being in good health was high for all age groups. However, it did decline with increasing age: the percentage of young people aged 15–2</w:t>
      </w:r>
      <w:r w:rsidRPr="002079E2">
        <w:t xml:space="preserve">4 </w:t>
      </w:r>
      <w:r>
        <w:t>years who reported being in good health (90%) was higher than the percentage of older people aged 75</w:t>
      </w:r>
      <w:r w:rsidR="00D113E0">
        <w:t> </w:t>
      </w:r>
      <w:r>
        <w:t>years and over who reported being in good health (84%).</w:t>
      </w:r>
    </w:p>
    <w:p w14:paraId="70B0B68E" w14:textId="77777777" w:rsidR="00FC0DB8" w:rsidRDefault="00FC0DB8" w:rsidP="00FC0DB8"/>
    <w:p w14:paraId="46585C6C" w14:textId="77777777" w:rsidR="00FC0DB8" w:rsidRDefault="00FC0DB8" w:rsidP="00FC0DB8">
      <w:r>
        <w:t xml:space="preserve">Eighty-one percent of both Māori and </w:t>
      </w:r>
      <w:r w:rsidRPr="00D871B3">
        <w:t xml:space="preserve">Pacific </w:t>
      </w:r>
      <w:r>
        <w:t xml:space="preserve">adults </w:t>
      </w:r>
      <w:r w:rsidRPr="00D871B3">
        <w:t>report</w:t>
      </w:r>
      <w:r>
        <w:t>ed</w:t>
      </w:r>
      <w:r w:rsidRPr="00D871B3">
        <w:t xml:space="preserve"> </w:t>
      </w:r>
      <w:r>
        <w:t>that they were</w:t>
      </w:r>
      <w:r w:rsidRPr="00D871B3">
        <w:t xml:space="preserve"> in good </w:t>
      </w:r>
      <w:r>
        <w:t>health, down from 86% for both in 2006/07.</w:t>
      </w:r>
      <w:r w:rsidR="00D113E0">
        <w:rPr>
          <w:rStyle w:val="FootnoteReference"/>
        </w:rPr>
        <w:footnoteReference w:id="2"/>
      </w:r>
      <w:r w:rsidRPr="00DB3A48">
        <w:t xml:space="preserve"> </w:t>
      </w:r>
      <w:r>
        <w:t xml:space="preserve">Māori and </w:t>
      </w:r>
      <w:r w:rsidRPr="00D871B3">
        <w:t xml:space="preserve">Pacific </w:t>
      </w:r>
      <w:r>
        <w:t>adults were less likely to report being in good health than non-Māori and non-</w:t>
      </w:r>
      <w:r w:rsidRPr="00D871B3">
        <w:t xml:space="preserve">Pacific </w:t>
      </w:r>
      <w:r>
        <w:t>adults respectively, after adjusting for age and sex differences.</w:t>
      </w:r>
    </w:p>
    <w:p w14:paraId="46DE785F" w14:textId="77777777" w:rsidR="00FC0DB8" w:rsidRDefault="00FC0DB8" w:rsidP="00FC0DB8"/>
    <w:p w14:paraId="5FBCA5E2" w14:textId="77777777" w:rsidR="00FC0DB8" w:rsidRPr="00D113E0" w:rsidRDefault="00FC0DB8" w:rsidP="00E11BD8">
      <w:r>
        <w:t>Adults living in the most socioeconomically deprived areas were 2.5 times as likely to rate themselves as being in fair or poor health compared with adults living in the least deprived areas, after adjusting for age, sex and ethnicity. In the most socioeconomically deprived areas, 82% of adults reported being in good health and 18% reported being in fair or poor health. In the least deprived areas, the rates were 93% and 7% respectively.</w:t>
      </w:r>
      <w:r w:rsidR="00D113E0">
        <w:rPr>
          <w:rStyle w:val="FootnoteReference"/>
        </w:rPr>
        <w:footnoteReference w:id="3"/>
      </w:r>
    </w:p>
    <w:p w14:paraId="6334B2FB" w14:textId="77777777" w:rsidR="00FC0DB8" w:rsidRDefault="00FC0DB8" w:rsidP="00E11C2C">
      <w:pPr>
        <w:pStyle w:val="Heading3"/>
        <w:spacing w:before="360"/>
      </w:pPr>
      <w:r>
        <w:lastRenderedPageBreak/>
        <w:t>The current smoking rate decreased</w:t>
      </w:r>
    </w:p>
    <w:p w14:paraId="77C325E4" w14:textId="77777777" w:rsidR="00FC0DB8" w:rsidRPr="004772DF" w:rsidRDefault="00FC0DB8" w:rsidP="00E11BD8">
      <w:pPr>
        <w:pStyle w:val="Box"/>
        <w:jc w:val="center"/>
      </w:pPr>
      <w:r w:rsidRPr="00B72F63">
        <w:rPr>
          <w:noProof/>
          <w:lang w:eastAsia="en-NZ"/>
        </w:rPr>
        <w:drawing>
          <wp:inline distT="0" distB="0" distL="0" distR="0" wp14:anchorId="4AB1A2B6" wp14:editId="1BBBF89C">
            <wp:extent cx="5600700" cy="3143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14918C73" w14:textId="77777777" w:rsidR="00E11C2C" w:rsidRDefault="00E11C2C" w:rsidP="00E11C2C">
      <w:pPr>
        <w:rPr>
          <w:noProof/>
          <w:lang w:eastAsia="en-NZ"/>
        </w:rPr>
      </w:pPr>
    </w:p>
    <w:p w14:paraId="2EC5CB8E" w14:textId="77777777" w:rsidR="00FC0DB8" w:rsidRDefault="00FC0DB8" w:rsidP="00E11C2C">
      <w:pPr>
        <w:rPr>
          <w:noProof/>
          <w:lang w:eastAsia="en-NZ"/>
        </w:rPr>
      </w:pPr>
      <w:r>
        <w:rPr>
          <w:noProof/>
          <w:lang w:eastAsia="en-NZ"/>
        </w:rPr>
        <w:t>Smoking wa</w:t>
      </w:r>
      <w:r w:rsidRPr="000D5C74">
        <w:rPr>
          <w:noProof/>
          <w:lang w:eastAsia="en-NZ"/>
        </w:rPr>
        <w:t>s one of the two leading modifiable risks to health in 2013 (</w:t>
      </w:r>
      <w:r>
        <w:rPr>
          <w:noProof/>
          <w:lang w:eastAsia="en-NZ"/>
        </w:rPr>
        <w:t xml:space="preserve">it has probably since been overtaken by </w:t>
      </w:r>
      <w:r w:rsidRPr="000D5C74">
        <w:rPr>
          <w:noProof/>
          <w:lang w:eastAsia="en-NZ"/>
        </w:rPr>
        <w:t>high body mass index</w:t>
      </w:r>
      <w:r>
        <w:rPr>
          <w:noProof/>
          <w:lang w:eastAsia="en-NZ"/>
        </w:rPr>
        <w:t>, BMI, as a cause of health loss</w:t>
      </w:r>
      <w:r w:rsidRPr="000D5C74">
        <w:rPr>
          <w:noProof/>
          <w:lang w:eastAsia="en-NZ"/>
        </w:rPr>
        <w:t xml:space="preserve">), accounting for about 9% of all illness, disability and premature mortality </w:t>
      </w:r>
      <w:r w:rsidRPr="000D5C74">
        <w:t>(</w:t>
      </w:r>
      <w:r>
        <w:t>Ministry of Health 2016e</w:t>
      </w:r>
      <w:r w:rsidRPr="000D5C74">
        <w:t>).</w:t>
      </w:r>
      <w:r>
        <w:t xml:space="preserve"> </w:t>
      </w:r>
      <w:r w:rsidRPr="00BD5F51">
        <w:rPr>
          <w:noProof/>
          <w:lang w:eastAsia="en-NZ"/>
        </w:rPr>
        <w:t>Smoking harms nearly every organ and system in the body. It is the main cause of lung cancer and chronic obstructive pulmonary disease</w:t>
      </w:r>
      <w:r>
        <w:rPr>
          <w:noProof/>
          <w:lang w:eastAsia="en-NZ"/>
        </w:rPr>
        <w:t xml:space="preserve"> (COPD)</w:t>
      </w:r>
      <w:r w:rsidRPr="00BD5F51">
        <w:rPr>
          <w:noProof/>
          <w:lang w:eastAsia="en-NZ"/>
        </w:rPr>
        <w:t>. It is also a major cause of</w:t>
      </w:r>
      <w:r>
        <w:rPr>
          <w:noProof/>
          <w:lang w:eastAsia="en-NZ"/>
        </w:rPr>
        <w:t xml:space="preserve"> heart disease, stroke and many</w:t>
      </w:r>
      <w:r w:rsidRPr="00BD5F51">
        <w:rPr>
          <w:noProof/>
          <w:lang w:eastAsia="en-NZ"/>
        </w:rPr>
        <w:t xml:space="preserve"> cancers.</w:t>
      </w:r>
    </w:p>
    <w:p w14:paraId="751ECDC4" w14:textId="77777777" w:rsidR="00E11C2C" w:rsidRDefault="00E11C2C" w:rsidP="00E11C2C"/>
    <w:p w14:paraId="39C8C779" w14:textId="77777777" w:rsidR="00FC0DB8" w:rsidRDefault="00FC0DB8" w:rsidP="00E11C2C">
      <w:r>
        <w:t>Sixteen percent</w:t>
      </w:r>
      <w:r w:rsidRPr="00BD5F51">
        <w:t xml:space="preserve"> of adults were current smokers (smoke</w:t>
      </w:r>
      <w:r>
        <w:t xml:space="preserve"> at least monthly) and 14</w:t>
      </w:r>
      <w:r w:rsidRPr="00BD5F51">
        <w:t xml:space="preserve">% </w:t>
      </w:r>
      <w:r>
        <w:t>of adults were</w:t>
      </w:r>
      <w:r w:rsidRPr="00BD5F51">
        <w:t xml:space="preserve"> daily</w:t>
      </w:r>
      <w:r>
        <w:t xml:space="preserve"> smokers</w:t>
      </w:r>
      <w:r w:rsidRPr="00BD5F51">
        <w:t>.</w:t>
      </w:r>
      <w:r>
        <w:t xml:space="preserve"> </w:t>
      </w:r>
      <w:r w:rsidRPr="00BD5F51">
        <w:t xml:space="preserve">Both current and daily cigarette smoking </w:t>
      </w:r>
      <w:r>
        <w:t xml:space="preserve">rates have </w:t>
      </w:r>
      <w:r w:rsidRPr="00BD5F51">
        <w:t>declined</w:t>
      </w:r>
      <w:r>
        <w:t xml:space="preserve"> from</w:t>
      </w:r>
      <w:r w:rsidRPr="00BD5F51">
        <w:t xml:space="preserve"> 20</w:t>
      </w:r>
      <w:r>
        <w:t>06</w:t>
      </w:r>
      <w:r w:rsidRPr="00BD5F51">
        <w:t>/</w:t>
      </w:r>
      <w:r>
        <w:t>07</w:t>
      </w:r>
      <w:r w:rsidRPr="00BD5F51">
        <w:t xml:space="preserve">, when </w:t>
      </w:r>
      <w:r>
        <w:t xml:space="preserve">20% of adults </w:t>
      </w:r>
      <w:r w:rsidRPr="00BD5F51">
        <w:t>were current smokers</w:t>
      </w:r>
      <w:r>
        <w:t xml:space="preserve"> and</w:t>
      </w:r>
      <w:r w:rsidRPr="00BD5F51">
        <w:t xml:space="preserve"> 1</w:t>
      </w:r>
      <w:r>
        <w:t>8</w:t>
      </w:r>
      <w:r w:rsidRPr="00BD5F51">
        <w:t xml:space="preserve">% </w:t>
      </w:r>
      <w:r>
        <w:t xml:space="preserve">of adults </w:t>
      </w:r>
      <w:r w:rsidRPr="00BD5F51">
        <w:t>were daily smokers.</w:t>
      </w:r>
      <w:r w:rsidR="00E11C2C">
        <w:rPr>
          <w:rStyle w:val="FootnoteReference"/>
        </w:rPr>
        <w:footnoteReference w:id="4"/>
      </w:r>
    </w:p>
    <w:p w14:paraId="66993CC1" w14:textId="77777777" w:rsidR="00E11C2C" w:rsidRDefault="00E11C2C" w:rsidP="00E11C2C">
      <w:pPr>
        <w:rPr>
          <w:noProof/>
          <w:lang w:eastAsia="en-NZ"/>
        </w:rPr>
      </w:pPr>
    </w:p>
    <w:p w14:paraId="1FBCA31D" w14:textId="77777777" w:rsidR="00FC0DB8" w:rsidRDefault="00FC0DB8" w:rsidP="00E11C2C">
      <w:pPr>
        <w:rPr>
          <w:noProof/>
          <w:lang w:eastAsia="en-NZ"/>
        </w:rPr>
      </w:pPr>
      <w:r>
        <w:rPr>
          <w:noProof/>
          <w:lang w:eastAsia="en-NZ"/>
        </w:rPr>
        <w:t>The Government</w:t>
      </w:r>
      <w:r w:rsidR="00FD6712">
        <w:rPr>
          <w:noProof/>
          <w:lang w:eastAsia="en-NZ"/>
        </w:rPr>
        <w:t>’</w:t>
      </w:r>
      <w:r>
        <w:rPr>
          <w:noProof/>
          <w:lang w:eastAsia="en-NZ"/>
        </w:rPr>
        <w:t xml:space="preserve">s goal is </w:t>
      </w:r>
      <w:r w:rsidRPr="00B32B61">
        <w:rPr>
          <w:noProof/>
          <w:lang w:eastAsia="en-NZ"/>
        </w:rPr>
        <w:t xml:space="preserve">to make New Zealand essentially smokefree </w:t>
      </w:r>
      <w:r>
        <w:rPr>
          <w:noProof/>
          <w:lang w:eastAsia="en-NZ"/>
        </w:rPr>
        <w:t>by 2025. This is supported by goals in the Ministry</w:t>
      </w:r>
      <w:r w:rsidR="00FD6712">
        <w:rPr>
          <w:noProof/>
          <w:lang w:eastAsia="en-NZ"/>
        </w:rPr>
        <w:t>’</w:t>
      </w:r>
      <w:r>
        <w:rPr>
          <w:noProof/>
          <w:lang w:eastAsia="en-NZ"/>
        </w:rPr>
        <w:t xml:space="preserve">s </w:t>
      </w:r>
      <w:r w:rsidRPr="00702A57">
        <w:rPr>
          <w:i/>
          <w:noProof/>
          <w:lang w:eastAsia="en-NZ"/>
        </w:rPr>
        <w:t>Statement of Intent 2015 to 2019</w:t>
      </w:r>
      <w:r>
        <w:rPr>
          <w:i/>
          <w:noProof/>
          <w:lang w:eastAsia="en-NZ"/>
        </w:rPr>
        <w:t xml:space="preserve"> </w:t>
      </w:r>
      <w:r w:rsidRPr="009F630A">
        <w:rPr>
          <w:noProof/>
          <w:lang w:eastAsia="en-NZ"/>
        </w:rPr>
        <w:t>(2015</w:t>
      </w:r>
      <w:r>
        <w:rPr>
          <w:noProof/>
          <w:lang w:eastAsia="en-NZ"/>
        </w:rPr>
        <w:t>b</w:t>
      </w:r>
      <w:r w:rsidRPr="009F630A">
        <w:rPr>
          <w:noProof/>
          <w:lang w:eastAsia="en-NZ"/>
        </w:rPr>
        <w:t>).</w:t>
      </w:r>
      <w:r>
        <w:rPr>
          <w:noProof/>
          <w:lang w:eastAsia="en-NZ"/>
        </w:rPr>
        <w:t xml:space="preserve"> By 2018, we are aiming for daily smoking to have fallen to 10% and Māori and Pacific adults</w:t>
      </w:r>
      <w:r w:rsidR="00FD6712">
        <w:rPr>
          <w:noProof/>
          <w:lang w:eastAsia="en-NZ"/>
        </w:rPr>
        <w:t>’</w:t>
      </w:r>
      <w:r>
        <w:rPr>
          <w:noProof/>
          <w:lang w:eastAsia="en-NZ"/>
        </w:rPr>
        <w:t xml:space="preserve"> daily smoking rates to have fallen to 19% and 11% respectively. This means that we are aiming for an estimated 58,000 adults to have quit daily smoking by 2018, of which 27,000 will be Māori adults and 8000 will be Pacific adults.</w:t>
      </w:r>
      <w:r w:rsidR="00E11C2C">
        <w:rPr>
          <w:rStyle w:val="FootnoteReference"/>
          <w:noProof/>
          <w:lang w:eastAsia="en-NZ"/>
        </w:rPr>
        <w:footnoteReference w:id="5"/>
      </w:r>
    </w:p>
    <w:p w14:paraId="22CA51B3" w14:textId="77777777" w:rsidR="00E11C2C" w:rsidRDefault="00E11C2C" w:rsidP="00E11C2C"/>
    <w:p w14:paraId="46AD026A" w14:textId="6F2B1FD1" w:rsidR="00FC0DB8" w:rsidRPr="00A10D32" w:rsidRDefault="00743CE3" w:rsidP="00E11C2C">
      <w:r>
        <w:t>Fif</w:t>
      </w:r>
      <w:r w:rsidR="00FC0DB8">
        <w:t xml:space="preserve">teen percent of </w:t>
      </w:r>
      <w:r w:rsidR="00FC0DB8" w:rsidRPr="000D17DE">
        <w:t xml:space="preserve">European/Other adults </w:t>
      </w:r>
      <w:r w:rsidR="00FC0DB8">
        <w:t xml:space="preserve">are current smokers, down from 19% in </w:t>
      </w:r>
      <w:r w:rsidR="00FC0DB8" w:rsidRPr="000D17DE">
        <w:t xml:space="preserve">2006/07. </w:t>
      </w:r>
      <w:r w:rsidR="00FC0DB8">
        <w:t>A</w:t>
      </w:r>
      <w:r w:rsidR="00FC0DB8" w:rsidRPr="000D17DE">
        <w:t xml:space="preserve">lthough not statistically significant, </w:t>
      </w:r>
      <w:r w:rsidR="00FC0DB8">
        <w:t xml:space="preserve">current smoking for </w:t>
      </w:r>
      <w:r w:rsidR="00FC0DB8" w:rsidRPr="000D17DE">
        <w:t>Māori women</w:t>
      </w:r>
      <w:r w:rsidR="00FC0DB8">
        <w:t xml:space="preserve"> declined from 45% to 40%</w:t>
      </w:r>
      <w:r w:rsidR="00FC0DB8" w:rsidRPr="000D17DE">
        <w:t>.</w:t>
      </w:r>
      <w:r w:rsidR="00FC0DB8">
        <w:t xml:space="preserve"> Māori women were 3.5 times as likely to be current smokers as non-Māori, after adjusting for age.</w:t>
      </w:r>
    </w:p>
    <w:p w14:paraId="764273CC" w14:textId="77777777" w:rsidR="00E11C2C" w:rsidRDefault="00E11C2C" w:rsidP="00E11C2C"/>
    <w:p w14:paraId="6E614A66" w14:textId="77777777" w:rsidR="00FC0DB8" w:rsidRPr="0063608B" w:rsidRDefault="00FC0DB8" w:rsidP="00E11BD8">
      <w:r w:rsidRPr="00A10D32">
        <w:t>The</w:t>
      </w:r>
      <w:r w:rsidRPr="0063608B">
        <w:t xml:space="preserve"> most substantial reduction in current smoking since 2006/07 was for </w:t>
      </w:r>
      <w:r>
        <w:t>1</w:t>
      </w:r>
      <w:r w:rsidRPr="003E5D9A">
        <w:t>5</w:t>
      </w:r>
      <w:r>
        <w:t>- to 17-year-olds</w:t>
      </w:r>
      <w:r w:rsidRPr="0063608B">
        <w:t>, 6% of whom smoked in 2015/16, compared with 16% in 2006/07. Adults aged 18–34 years had the highest rates of current smoking, at 23%. Current s</w:t>
      </w:r>
      <w:r>
        <w:t>moking rates for adults aged under 55</w:t>
      </w:r>
      <w:r w:rsidR="00E11C2C">
        <w:t> </w:t>
      </w:r>
      <w:r>
        <w:t>years declined from 2006/07</w:t>
      </w:r>
      <w:r w:rsidRPr="0063608B">
        <w:t>.</w:t>
      </w:r>
      <w:r w:rsidR="00E11BD8">
        <w:rPr>
          <w:vertAlign w:val="superscript"/>
        </w:rPr>
        <w:t>4</w:t>
      </w:r>
      <w:r w:rsidRPr="0063608B">
        <w:t xml:space="preserve"> However, smoking rates in </w:t>
      </w:r>
      <w:r>
        <w:t xml:space="preserve">older </w:t>
      </w:r>
      <w:r w:rsidRPr="0063608B">
        <w:t>adults</w:t>
      </w:r>
      <w:r>
        <w:t xml:space="preserve"> </w:t>
      </w:r>
      <w:r w:rsidRPr="0063608B">
        <w:t>have not changed since 2006/07.</w:t>
      </w:r>
    </w:p>
    <w:p w14:paraId="25701D79" w14:textId="77777777" w:rsidR="00FC0DB8" w:rsidRDefault="00FC0DB8" w:rsidP="00E11BD8">
      <w:pPr>
        <w:spacing w:before="240"/>
      </w:pPr>
      <w:r>
        <w:lastRenderedPageBreak/>
        <w:t>Adults living in the most socioeconomically deprived areas were 3.1 times as likely to be current smokers and 3.7 times as likely to be daily smokers compared with adults living in the least deprived areas</w:t>
      </w:r>
      <w:r w:rsidRPr="00F34578">
        <w:t>, after adjusting for age, sex and ethnic differences.</w:t>
      </w:r>
      <w:r>
        <w:t xml:space="preserve"> Also, daily smokers living in the most deprived areas smoked more cigarettes per day (10.5) than those in the least deprived areas (8.6). In 2006/07, this disparity between daily smokers living in the most and least deprived areas existed (12.0 and 10.7 respectively) but it was smaller and not significant.</w:t>
      </w:r>
    </w:p>
    <w:p w14:paraId="59276C85" w14:textId="77777777" w:rsidR="00E11C2C" w:rsidRDefault="00E11C2C" w:rsidP="00E11C2C"/>
    <w:p w14:paraId="587B01AE" w14:textId="77777777" w:rsidR="00FC0DB8" w:rsidRDefault="00FC0DB8" w:rsidP="00E11C2C">
      <w:pPr>
        <w:pStyle w:val="Heading3"/>
      </w:pPr>
      <w:r>
        <w:t>More information on smoking</w:t>
      </w:r>
    </w:p>
    <w:p w14:paraId="01FC687A" w14:textId="77777777" w:rsidR="00FC0DB8" w:rsidRDefault="00FC0DB8" w:rsidP="00E11C2C">
      <w:r w:rsidRPr="00FD6712">
        <w:t xml:space="preserve">Tobacco use in New Zealand has long been characterised by marked disparities between ethnic and socioeconomic groups: </w:t>
      </w:r>
      <w:r w:rsidR="00FD6712" w:rsidRPr="00FD6712">
        <w:t>‘</w:t>
      </w:r>
      <w:r w:rsidRPr="00FD6712">
        <w:t>tobacco is not an equal opportunity killer</w:t>
      </w:r>
      <w:r w:rsidR="00FD6712" w:rsidRPr="00FD6712">
        <w:t>’</w:t>
      </w:r>
      <w:r w:rsidRPr="00FD6712">
        <w:t xml:space="preserve"> (Tobias and Cheung 2001). In particular, high tobacco use among Māori has long been an issue of public health concern. Various explanations have been offered for the high smoking prevalence among Māori, including material deprivation, systemic racism and interpersonal racism (embedded in the historical context of colonization) (Harris et al 2011).</w:t>
      </w:r>
    </w:p>
    <w:p w14:paraId="4B40B1E3" w14:textId="77777777" w:rsidR="00E11C2C" w:rsidRPr="00E11C2C" w:rsidRDefault="00E11C2C" w:rsidP="00E11C2C"/>
    <w:p w14:paraId="0BF539B2" w14:textId="77777777" w:rsidR="00FD6712" w:rsidRPr="00FD6712" w:rsidRDefault="00FC0DB8" w:rsidP="00E11C2C">
      <w:r w:rsidRPr="00FD6712">
        <w:t>In New Zealand, tobacco use has been declining overall for more than half a century (Tobias et</w:t>
      </w:r>
      <w:r w:rsidR="00E11C2C">
        <w:t> </w:t>
      </w:r>
      <w:r w:rsidRPr="00FD6712">
        <w:t>al 2010, Ball et al 2016).</w:t>
      </w:r>
      <w:r w:rsidR="00FD6712" w:rsidRPr="00FD6712">
        <w:rPr>
          <w:vertAlign w:val="superscript"/>
        </w:rPr>
        <w:t xml:space="preserve"> </w:t>
      </w:r>
      <w:r w:rsidRPr="00FD6712">
        <w:t>Is smoking now declining faster among Māori than non-Māori? If not, the current wide gap in smoking prevalence between the Treaty partners will never close, and indeed will widen further on a relative scale.</w:t>
      </w:r>
    </w:p>
    <w:p w14:paraId="59B31F2E" w14:textId="77777777" w:rsidR="00FC0DB8" w:rsidRPr="00FD6712" w:rsidRDefault="00FC0DB8" w:rsidP="00E11C2C"/>
    <w:p w14:paraId="47C0066C" w14:textId="77777777" w:rsidR="00FC0DB8" w:rsidRPr="00FD6712" w:rsidRDefault="00FC0DB8" w:rsidP="00E11C2C">
      <w:r w:rsidRPr="00477273">
        <w:t xml:space="preserve">In </w:t>
      </w:r>
      <w:r>
        <w:t>considering</w:t>
      </w:r>
      <w:r w:rsidRPr="00477273">
        <w:t xml:space="preserve"> this question, we focus on yo</w:t>
      </w:r>
      <w:r>
        <w:t>uth (here defined as 15- to 24-year-olds</w:t>
      </w:r>
      <w:r w:rsidRPr="00477273">
        <w:t xml:space="preserve">) – the </w:t>
      </w:r>
      <w:r>
        <w:t>age group</w:t>
      </w:r>
      <w:r w:rsidRPr="00477273">
        <w:t xml:space="preserve"> that is currently experiencing by far the fastest rate of decline in smoking prevalence</w:t>
      </w:r>
      <w:r>
        <w:t xml:space="preserve"> (Tobias et al 2010)</w:t>
      </w:r>
      <w:r w:rsidRPr="00477273">
        <w:t xml:space="preserve">. Trends in smoking prevalence among youth </w:t>
      </w:r>
      <w:r>
        <w:t>indicate</w:t>
      </w:r>
      <w:r w:rsidRPr="00477273">
        <w:t xml:space="preserve"> changes in both smoking initiation and quitting behaviours. By contrast, </w:t>
      </w:r>
      <w:r>
        <w:t xml:space="preserve">smoking prevalence </w:t>
      </w:r>
      <w:r w:rsidRPr="00477273">
        <w:t xml:space="preserve">trends in older age groups </w:t>
      </w:r>
      <w:r>
        <w:t>only indicate</w:t>
      </w:r>
      <w:r w:rsidRPr="00477273">
        <w:t xml:space="preserve"> quitting behaviours</w:t>
      </w:r>
      <w:r>
        <w:t xml:space="preserve"> </w:t>
      </w:r>
      <w:r w:rsidRPr="00477273">
        <w:t xml:space="preserve">– and </w:t>
      </w:r>
      <w:r>
        <w:t xml:space="preserve">are </w:t>
      </w:r>
      <w:r w:rsidRPr="00477273">
        <w:t>also confounded by higher rates of long</w:t>
      </w:r>
      <w:r>
        <w:t>-</w:t>
      </w:r>
      <w:r w:rsidRPr="00477273">
        <w:t xml:space="preserve">term conditions (multi-morbidity) and </w:t>
      </w:r>
      <w:r>
        <w:t>death due to smoking (Tobias et al 2010).</w:t>
      </w:r>
    </w:p>
    <w:p w14:paraId="2CC3277D" w14:textId="77777777" w:rsidR="00FC0DB8" w:rsidRPr="00FD6712" w:rsidRDefault="00FC0DB8" w:rsidP="00E11C2C"/>
    <w:p w14:paraId="55CEC079" w14:textId="77777777" w:rsidR="00FC0DB8" w:rsidRPr="00E11C2C" w:rsidRDefault="00FC0DB8" w:rsidP="00E11C2C">
      <w:r w:rsidRPr="00477273">
        <w:t xml:space="preserve">Seven surveys were identified over the past 10 years </w:t>
      </w:r>
      <w:r>
        <w:t>that</w:t>
      </w:r>
      <w:r w:rsidRPr="00477273">
        <w:t xml:space="preserve"> (1) provide nationally representative samples along with survey sampling weights and (2) use identical items and definitions to elicit current daily smoking status</w:t>
      </w:r>
      <w:r>
        <w:t>. The seven are:</w:t>
      </w:r>
      <w:r w:rsidRPr="00477273">
        <w:t xml:space="preserve"> </w:t>
      </w:r>
      <w:r>
        <w:t xml:space="preserve">New Zealand Tobacco Use Survey </w:t>
      </w:r>
      <w:r w:rsidRPr="00477273">
        <w:t xml:space="preserve">2008/09 </w:t>
      </w:r>
      <w:r>
        <w:t xml:space="preserve">(Ministry of Health 2010) and </w:t>
      </w:r>
      <w:r w:rsidRPr="00477273">
        <w:t>N</w:t>
      </w:r>
      <w:r>
        <w:t xml:space="preserve">ew </w:t>
      </w:r>
      <w:r w:rsidRPr="00477273">
        <w:t>Z</w:t>
      </w:r>
      <w:r>
        <w:t xml:space="preserve">ealand </w:t>
      </w:r>
      <w:r w:rsidRPr="00477273">
        <w:t>H</w:t>
      </w:r>
      <w:r>
        <w:t xml:space="preserve">ealth </w:t>
      </w:r>
      <w:r w:rsidRPr="00477273">
        <w:t>S</w:t>
      </w:r>
      <w:r>
        <w:t>urveys</w:t>
      </w:r>
      <w:r w:rsidRPr="00477273">
        <w:t xml:space="preserve"> 2006/07, 2011/12, 2012/13, 2013/14, 2014/15 and 2015/16.</w:t>
      </w:r>
    </w:p>
    <w:p w14:paraId="77BAC888" w14:textId="77777777" w:rsidR="00FC0DB8" w:rsidRPr="00477273" w:rsidRDefault="00FC0DB8" w:rsidP="00E11C2C"/>
    <w:p w14:paraId="53ABFCCC" w14:textId="77777777" w:rsidR="00FD6712" w:rsidRDefault="00FC0DB8" w:rsidP="00E11C2C">
      <w:r w:rsidRPr="00477273">
        <w:t>Linear regression models were fitted to the weighted unit record data (</w:t>
      </w:r>
      <w:r>
        <w:t>F</w:t>
      </w:r>
      <w:r w:rsidRPr="00477273">
        <w:t xml:space="preserve">igure 1 and </w:t>
      </w:r>
      <w:r>
        <w:t>T</w:t>
      </w:r>
      <w:r w:rsidRPr="00477273">
        <w:t xml:space="preserve">able </w:t>
      </w:r>
      <w:r>
        <w:t>6</w:t>
      </w:r>
      <w:r w:rsidRPr="00477273">
        <w:t xml:space="preserve">). Absolute and relative declines in smoking prevalence from </w:t>
      </w:r>
      <w:r w:rsidRPr="00F20CE3">
        <w:t>2006/07 to 2015</w:t>
      </w:r>
      <w:r>
        <w:t>/16</w:t>
      </w:r>
      <w:r w:rsidRPr="00477273">
        <w:t xml:space="preserve"> were estimated, assuming linearity.</w:t>
      </w:r>
    </w:p>
    <w:p w14:paraId="080DED76" w14:textId="77777777" w:rsidR="00FC0DB8" w:rsidRDefault="00FC0DB8" w:rsidP="00E11C2C"/>
    <w:p w14:paraId="195B890F" w14:textId="77777777" w:rsidR="00FC0DB8" w:rsidRDefault="00FC0DB8" w:rsidP="00E11C2C">
      <w:pPr>
        <w:pStyle w:val="Figure"/>
      </w:pPr>
      <w:bookmarkStart w:id="57" w:name="_Toc467831564"/>
      <w:r w:rsidRPr="0046669C">
        <w:lastRenderedPageBreak/>
        <w:t>Figure 1</w:t>
      </w:r>
      <w:r>
        <w:t>:</w:t>
      </w:r>
      <w:r w:rsidR="00E11C2C">
        <w:t xml:space="preserve"> </w:t>
      </w:r>
      <w:r w:rsidRPr="0046669C">
        <w:t>Daily smoking prevalence, 2006</w:t>
      </w:r>
      <w:r>
        <w:t>/07</w:t>
      </w:r>
      <w:r w:rsidRPr="0046669C">
        <w:t>–2015</w:t>
      </w:r>
      <w:r>
        <w:t>/16</w:t>
      </w:r>
      <w:bookmarkEnd w:id="57"/>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678"/>
        <w:gridCol w:w="4678"/>
      </w:tblGrid>
      <w:tr w:rsidR="00E11C2C" w14:paraId="7268B96C" w14:textId="77777777" w:rsidTr="00E11C2C">
        <w:trPr>
          <w:cantSplit/>
        </w:trPr>
        <w:tc>
          <w:tcPr>
            <w:tcW w:w="4678" w:type="dxa"/>
          </w:tcPr>
          <w:p w14:paraId="67A5B8F9" w14:textId="77777777" w:rsidR="00E11C2C" w:rsidRDefault="00E11C2C" w:rsidP="00E11C2C">
            <w:pPr>
              <w:pStyle w:val="TableText"/>
            </w:pPr>
            <w:r>
              <w:rPr>
                <w:noProof/>
                <w:lang w:eastAsia="en-NZ"/>
              </w:rPr>
              <w:drawing>
                <wp:inline distT="0" distB="0" distL="0" distR="0" wp14:anchorId="153D4002" wp14:editId="69CD3D34">
                  <wp:extent cx="2819400" cy="2724150"/>
                  <wp:effectExtent l="0" t="0" r="19050" b="19050"/>
                  <wp:docPr id="32" name="Chart 32" title="Figure 1: Daily smoking prevalence, 2006/07–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678" w:type="dxa"/>
          </w:tcPr>
          <w:p w14:paraId="5BB60EF5" w14:textId="77777777" w:rsidR="00E11C2C" w:rsidRDefault="00E11C2C" w:rsidP="00E11C2C">
            <w:pPr>
              <w:pStyle w:val="TableText"/>
            </w:pPr>
            <w:r>
              <w:rPr>
                <w:noProof/>
                <w:lang w:eastAsia="en-NZ"/>
              </w:rPr>
              <w:drawing>
                <wp:inline distT="0" distB="0" distL="0" distR="0" wp14:anchorId="01B1E1BD" wp14:editId="202DCE14">
                  <wp:extent cx="2828925" cy="2714625"/>
                  <wp:effectExtent l="0" t="0" r="9525" b="9525"/>
                  <wp:docPr id="38" name="Chart 38" title="Figure 1: Daily smoking prevalence, 2006/07–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E11C2C" w14:paraId="2A8CAFD9" w14:textId="77777777" w:rsidTr="00E11C2C">
        <w:trPr>
          <w:cantSplit/>
        </w:trPr>
        <w:tc>
          <w:tcPr>
            <w:tcW w:w="4678" w:type="dxa"/>
          </w:tcPr>
          <w:p w14:paraId="369E5E12" w14:textId="77777777" w:rsidR="00E11C2C" w:rsidRDefault="00E11C2C" w:rsidP="00E11C2C">
            <w:pPr>
              <w:pStyle w:val="TableText"/>
            </w:pPr>
            <w:r>
              <w:rPr>
                <w:noProof/>
                <w:lang w:eastAsia="en-NZ"/>
              </w:rPr>
              <w:drawing>
                <wp:inline distT="0" distB="0" distL="0" distR="0" wp14:anchorId="18479483" wp14:editId="0D191566">
                  <wp:extent cx="2819400" cy="2562225"/>
                  <wp:effectExtent l="0" t="0" r="19050" b="9525"/>
                  <wp:docPr id="39" name="Chart 39" title="Figure 1: Daily smoking prevalence, 2006/07–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678" w:type="dxa"/>
          </w:tcPr>
          <w:p w14:paraId="748B9980" w14:textId="77777777" w:rsidR="00E11C2C" w:rsidRDefault="00E11C2C" w:rsidP="00E11C2C">
            <w:pPr>
              <w:pStyle w:val="TableText"/>
            </w:pPr>
            <w:r>
              <w:rPr>
                <w:noProof/>
                <w:lang w:eastAsia="en-NZ"/>
              </w:rPr>
              <w:drawing>
                <wp:inline distT="0" distB="0" distL="0" distR="0" wp14:anchorId="16569930" wp14:editId="133F8395">
                  <wp:extent cx="2828925" cy="2571750"/>
                  <wp:effectExtent l="0" t="0" r="9525" b="19050"/>
                  <wp:docPr id="4" name="Chart 4" title="Figure 1: Daily smoking prevalence, 2006/07–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7242E47B" w14:textId="77777777" w:rsidR="00FC0DB8" w:rsidRDefault="00FC0DB8" w:rsidP="00E11C2C">
      <w:pPr>
        <w:pStyle w:val="Note"/>
      </w:pPr>
      <w:r>
        <w:t>Note: Shading indicates 95% confidence interval.</w:t>
      </w:r>
    </w:p>
    <w:p w14:paraId="0B443BEC" w14:textId="77777777" w:rsidR="00FD6712" w:rsidRDefault="00FC0DB8" w:rsidP="00E11C2C">
      <w:pPr>
        <w:pStyle w:val="Source"/>
      </w:pPr>
      <w:r w:rsidRPr="0078054A">
        <w:t>Sources: NZTUS 2008/09</w:t>
      </w:r>
      <w:r>
        <w:t xml:space="preserve"> and </w:t>
      </w:r>
      <w:r w:rsidRPr="0078054A">
        <w:t>N</w:t>
      </w:r>
      <w:r>
        <w:t xml:space="preserve">ew </w:t>
      </w:r>
      <w:r w:rsidRPr="0078054A">
        <w:t>Z</w:t>
      </w:r>
      <w:r>
        <w:t xml:space="preserve">ealand </w:t>
      </w:r>
      <w:r w:rsidRPr="0078054A">
        <w:t>H</w:t>
      </w:r>
      <w:r>
        <w:t xml:space="preserve">ealth </w:t>
      </w:r>
      <w:r w:rsidRPr="0078054A">
        <w:t>S</w:t>
      </w:r>
      <w:r>
        <w:t>urveys</w:t>
      </w:r>
      <w:r w:rsidRPr="0078054A">
        <w:t xml:space="preserve"> 2006/07, 2011/12, 2012/13, 2013/14, 2014/15</w:t>
      </w:r>
      <w:r>
        <w:t xml:space="preserve"> and</w:t>
      </w:r>
      <w:r w:rsidRPr="0078054A">
        <w:t xml:space="preserve"> 2015/16</w:t>
      </w:r>
    </w:p>
    <w:p w14:paraId="53BB7C50" w14:textId="77777777" w:rsidR="00FC0DB8" w:rsidRDefault="00FC0DB8" w:rsidP="00DC355D"/>
    <w:p w14:paraId="5A9CF003" w14:textId="77777777" w:rsidR="00FC0DB8" w:rsidRPr="0078054A" w:rsidRDefault="00FC0DB8" w:rsidP="00DC355D">
      <w:pPr>
        <w:pStyle w:val="Heading4"/>
      </w:pPr>
      <w:r w:rsidRPr="0078054A">
        <w:t>Female M</w:t>
      </w:r>
      <w:r>
        <w:t>ā</w:t>
      </w:r>
      <w:r w:rsidRPr="0078054A">
        <w:t>ori youth ha</w:t>
      </w:r>
      <w:r>
        <w:t>d</w:t>
      </w:r>
      <w:r w:rsidRPr="0078054A">
        <w:t xml:space="preserve"> the highest daily smoking prevalence</w:t>
      </w:r>
    </w:p>
    <w:p w14:paraId="51B092F5" w14:textId="77777777" w:rsidR="00FC0DB8" w:rsidRPr="0046669C" w:rsidRDefault="00FC0DB8" w:rsidP="00DC355D">
      <w:r>
        <w:t xml:space="preserve">Among youth, </w:t>
      </w:r>
      <w:r w:rsidRPr="0046669C">
        <w:t xml:space="preserve">Māori </w:t>
      </w:r>
      <w:r>
        <w:t>males</w:t>
      </w:r>
      <w:r w:rsidR="00FD6712">
        <w:t>’</w:t>
      </w:r>
      <w:r w:rsidRPr="0046669C">
        <w:t xml:space="preserve"> smoking prevalence is currently (average of the 2014</w:t>
      </w:r>
      <w:r>
        <w:t>/15</w:t>
      </w:r>
      <w:r w:rsidRPr="0046669C">
        <w:t xml:space="preserve"> and 2015</w:t>
      </w:r>
      <w:r>
        <w:t>/16</w:t>
      </w:r>
      <w:r w:rsidRPr="0046669C">
        <w:t xml:space="preserve"> </w:t>
      </w:r>
      <w:r>
        <w:t>survey</w:t>
      </w:r>
      <w:r w:rsidRPr="0046669C">
        <w:t xml:space="preserve"> data) almost twice that of non-Māori males (27% </w:t>
      </w:r>
      <w:r>
        <w:t>and</w:t>
      </w:r>
      <w:r w:rsidRPr="0046669C">
        <w:t xml:space="preserve"> 15%</w:t>
      </w:r>
      <w:r>
        <w:t xml:space="preserve"> respectively</w:t>
      </w:r>
      <w:r w:rsidRPr="0046669C">
        <w:t>)</w:t>
      </w:r>
      <w:r>
        <w:t>,</w:t>
      </w:r>
      <w:r w:rsidRPr="0046669C">
        <w:t xml:space="preserve"> and Māori females</w:t>
      </w:r>
      <w:r w:rsidR="00FD6712">
        <w:t>’</w:t>
      </w:r>
      <w:r>
        <w:t xml:space="preserve"> smoking prevalence is </w:t>
      </w:r>
      <w:r w:rsidRPr="0046669C">
        <w:t xml:space="preserve">over four times </w:t>
      </w:r>
      <w:r>
        <w:t>that of non-</w:t>
      </w:r>
      <w:r w:rsidRPr="0046669C">
        <w:t>Māori</w:t>
      </w:r>
      <w:r>
        <w:t xml:space="preserve"> females</w:t>
      </w:r>
      <w:r w:rsidRPr="0046669C">
        <w:t xml:space="preserve"> (34% </w:t>
      </w:r>
      <w:r>
        <w:t>and</w:t>
      </w:r>
      <w:r w:rsidRPr="0046669C">
        <w:t xml:space="preserve"> 8%</w:t>
      </w:r>
      <w:r>
        <w:t xml:space="preserve"> respectively</w:t>
      </w:r>
      <w:r w:rsidRPr="0046669C">
        <w:t xml:space="preserve">). Furthermore, </w:t>
      </w:r>
      <w:r>
        <w:t xml:space="preserve">smoking prevalence is higher for </w:t>
      </w:r>
      <w:r w:rsidRPr="0046669C">
        <w:t xml:space="preserve">Māori female youth than </w:t>
      </w:r>
      <w:r>
        <w:t>Māori</w:t>
      </w:r>
      <w:r w:rsidRPr="0046669C">
        <w:t xml:space="preserve"> male </w:t>
      </w:r>
      <w:r>
        <w:t>youth</w:t>
      </w:r>
      <w:r w:rsidRPr="0046669C">
        <w:t xml:space="preserve"> (34% </w:t>
      </w:r>
      <w:r>
        <w:t>and</w:t>
      </w:r>
      <w:r w:rsidRPr="0046669C">
        <w:t xml:space="preserve"> 27%</w:t>
      </w:r>
      <w:r>
        <w:t xml:space="preserve"> respectively</w:t>
      </w:r>
      <w:r w:rsidRPr="0046669C">
        <w:t>)</w:t>
      </w:r>
      <w:r>
        <w:t>;</w:t>
      </w:r>
      <w:r w:rsidRPr="0046669C">
        <w:t xml:space="preserve"> quite </w:t>
      </w:r>
      <w:r>
        <w:t>different from</w:t>
      </w:r>
      <w:r w:rsidRPr="0046669C">
        <w:t xml:space="preserve"> the pattern </w:t>
      </w:r>
      <w:r>
        <w:t>for</w:t>
      </w:r>
      <w:r w:rsidRPr="0046669C">
        <w:t xml:space="preserve"> non-Māori </w:t>
      </w:r>
      <w:r>
        <w:t xml:space="preserve">female and male youth </w:t>
      </w:r>
      <w:r w:rsidRPr="0046669C">
        <w:t xml:space="preserve">(8% </w:t>
      </w:r>
      <w:r>
        <w:t>and</w:t>
      </w:r>
      <w:r w:rsidRPr="0046669C">
        <w:t xml:space="preserve"> 15%</w:t>
      </w:r>
      <w:r>
        <w:t xml:space="preserve"> respectively</w:t>
      </w:r>
      <w:r w:rsidRPr="0046669C">
        <w:t>).</w:t>
      </w:r>
    </w:p>
    <w:p w14:paraId="7E02A21C" w14:textId="77777777" w:rsidR="00FC0DB8" w:rsidRPr="0046669C" w:rsidRDefault="00FC0DB8" w:rsidP="00DC355D">
      <w:pPr>
        <w:rPr>
          <w:noProof/>
          <w:lang w:eastAsia="en-NZ"/>
        </w:rPr>
      </w:pPr>
    </w:p>
    <w:p w14:paraId="4611F599" w14:textId="77777777" w:rsidR="00FC0DB8" w:rsidRPr="0046669C" w:rsidRDefault="00FC0DB8" w:rsidP="00DC355D">
      <w:pPr>
        <w:pStyle w:val="Heading4"/>
        <w:rPr>
          <w:noProof/>
          <w:lang w:eastAsia="en-NZ"/>
        </w:rPr>
      </w:pPr>
      <w:r w:rsidRPr="0046669C">
        <w:rPr>
          <w:noProof/>
          <w:lang w:eastAsia="en-NZ"/>
        </w:rPr>
        <w:t xml:space="preserve">Smoking prevalence </w:t>
      </w:r>
      <w:r>
        <w:rPr>
          <w:noProof/>
          <w:lang w:eastAsia="en-NZ"/>
        </w:rPr>
        <w:t>declined</w:t>
      </w:r>
      <w:r w:rsidRPr="0046669C">
        <w:rPr>
          <w:noProof/>
          <w:lang w:eastAsia="en-NZ"/>
        </w:rPr>
        <w:t xml:space="preserve"> among </w:t>
      </w:r>
      <w:r>
        <w:rPr>
          <w:noProof/>
          <w:lang w:eastAsia="en-NZ"/>
        </w:rPr>
        <w:t xml:space="preserve">all subgroups of </w:t>
      </w:r>
      <w:r w:rsidRPr="0046669C">
        <w:rPr>
          <w:noProof/>
          <w:lang w:eastAsia="en-NZ"/>
        </w:rPr>
        <w:t>youth</w:t>
      </w:r>
    </w:p>
    <w:p w14:paraId="3A07B7F0" w14:textId="77777777" w:rsidR="00FC0DB8" w:rsidRPr="0046669C" w:rsidRDefault="00FC0DB8" w:rsidP="00DC355D">
      <w:pPr>
        <w:rPr>
          <w:noProof/>
          <w:lang w:eastAsia="en-NZ"/>
        </w:rPr>
      </w:pPr>
      <w:r w:rsidRPr="0046669C">
        <w:rPr>
          <w:noProof/>
          <w:lang w:eastAsia="en-NZ"/>
        </w:rPr>
        <w:t xml:space="preserve">Among male youth, daily smoking prevalence declined over the </w:t>
      </w:r>
      <w:r w:rsidR="00DC355D">
        <w:rPr>
          <w:noProof/>
          <w:lang w:eastAsia="en-NZ"/>
        </w:rPr>
        <w:t>nine</w:t>
      </w:r>
      <w:r>
        <w:rPr>
          <w:noProof/>
          <w:lang w:eastAsia="en-NZ"/>
        </w:rPr>
        <w:t>-</w:t>
      </w:r>
      <w:r w:rsidRPr="0046669C">
        <w:rPr>
          <w:noProof/>
          <w:lang w:eastAsia="en-NZ"/>
        </w:rPr>
        <w:t>year observation period by 8.2</w:t>
      </w:r>
      <w:r>
        <w:rPr>
          <w:noProof/>
          <w:lang w:eastAsia="en-NZ"/>
        </w:rPr>
        <w:t> </w:t>
      </w:r>
      <w:r w:rsidRPr="0046669C">
        <w:rPr>
          <w:noProof/>
          <w:lang w:eastAsia="en-NZ"/>
        </w:rPr>
        <w:t xml:space="preserve">per 100 among Māori and 3.6 per 100 among non-Māori </w:t>
      </w:r>
      <w:r>
        <w:rPr>
          <w:noProof/>
          <w:lang w:eastAsia="en-NZ"/>
        </w:rPr>
        <w:t xml:space="preserve">youth </w:t>
      </w:r>
      <w:r w:rsidRPr="0046669C">
        <w:rPr>
          <w:noProof/>
          <w:lang w:eastAsia="en-NZ"/>
        </w:rPr>
        <w:t>(</w:t>
      </w:r>
      <w:r>
        <w:rPr>
          <w:noProof/>
          <w:lang w:eastAsia="en-NZ"/>
        </w:rPr>
        <w:t>see T</w:t>
      </w:r>
      <w:r w:rsidRPr="0046669C">
        <w:rPr>
          <w:noProof/>
          <w:lang w:eastAsia="en-NZ"/>
        </w:rPr>
        <w:t xml:space="preserve">able </w:t>
      </w:r>
      <w:r>
        <w:rPr>
          <w:noProof/>
          <w:lang w:eastAsia="en-NZ"/>
        </w:rPr>
        <w:t>6 below</w:t>
      </w:r>
      <w:r w:rsidRPr="0046669C">
        <w:rPr>
          <w:noProof/>
          <w:lang w:eastAsia="en-NZ"/>
        </w:rPr>
        <w:t>). This is a 22.0% decline for Māori and a 20.9% decline for non-Māori. That is, smoking declined at about the same rate for both ethnic groups, once their different starting positions are taken into account.</w:t>
      </w:r>
    </w:p>
    <w:p w14:paraId="5528455B" w14:textId="77777777" w:rsidR="00FC0DB8" w:rsidRPr="0046669C" w:rsidRDefault="00FC0DB8" w:rsidP="00DC355D">
      <w:pPr>
        <w:rPr>
          <w:noProof/>
          <w:lang w:eastAsia="en-NZ"/>
        </w:rPr>
      </w:pPr>
    </w:p>
    <w:p w14:paraId="04F9A5BB" w14:textId="77777777" w:rsidR="00FC0DB8" w:rsidRPr="0046669C" w:rsidRDefault="00FC0DB8" w:rsidP="00DC355D">
      <w:pPr>
        <w:rPr>
          <w:noProof/>
          <w:lang w:eastAsia="en-NZ"/>
        </w:rPr>
      </w:pPr>
      <w:r w:rsidRPr="0046669C">
        <w:rPr>
          <w:noProof/>
          <w:lang w:eastAsia="en-NZ"/>
        </w:rPr>
        <w:lastRenderedPageBreak/>
        <w:t xml:space="preserve">Among female youth, daily smoking declined over the </w:t>
      </w:r>
      <w:r w:rsidR="00DC355D">
        <w:rPr>
          <w:noProof/>
          <w:lang w:eastAsia="en-NZ"/>
        </w:rPr>
        <w:t>nine</w:t>
      </w:r>
      <w:r>
        <w:rPr>
          <w:noProof/>
          <w:lang w:eastAsia="en-NZ"/>
        </w:rPr>
        <w:t>-</w:t>
      </w:r>
      <w:r w:rsidRPr="0046669C">
        <w:rPr>
          <w:noProof/>
          <w:lang w:eastAsia="en-NZ"/>
        </w:rPr>
        <w:t>year observation period by 13.</w:t>
      </w:r>
      <w:r>
        <w:rPr>
          <w:noProof/>
          <w:lang w:eastAsia="en-NZ"/>
        </w:rPr>
        <w:t>0</w:t>
      </w:r>
      <w:r w:rsidRPr="0046669C">
        <w:rPr>
          <w:noProof/>
          <w:lang w:eastAsia="en-NZ"/>
        </w:rPr>
        <w:t xml:space="preserve"> per 100 among Māori and 8.3 per 100 for non-Māori (</w:t>
      </w:r>
      <w:r>
        <w:rPr>
          <w:noProof/>
          <w:lang w:eastAsia="en-NZ"/>
        </w:rPr>
        <w:t>see T</w:t>
      </w:r>
      <w:r w:rsidRPr="0046669C">
        <w:rPr>
          <w:noProof/>
          <w:lang w:eastAsia="en-NZ"/>
        </w:rPr>
        <w:t xml:space="preserve">able </w:t>
      </w:r>
      <w:r>
        <w:rPr>
          <w:noProof/>
          <w:lang w:eastAsia="en-NZ"/>
        </w:rPr>
        <w:t>6 below</w:t>
      </w:r>
      <w:r w:rsidRPr="0046669C">
        <w:rPr>
          <w:noProof/>
          <w:lang w:eastAsia="en-NZ"/>
        </w:rPr>
        <w:t>). This is a 28.5% decline for Māori and a 49.1% decline for non-Māori. That is, smoking declined more slowly among Māori female youth</w:t>
      </w:r>
      <w:r w:rsidRPr="00742AC9">
        <w:rPr>
          <w:noProof/>
          <w:lang w:eastAsia="en-NZ"/>
        </w:rPr>
        <w:t xml:space="preserve"> </w:t>
      </w:r>
      <w:r w:rsidRPr="0046669C">
        <w:rPr>
          <w:noProof/>
          <w:lang w:eastAsia="en-NZ"/>
        </w:rPr>
        <w:t>than non-Māori</w:t>
      </w:r>
      <w:r>
        <w:rPr>
          <w:noProof/>
          <w:lang w:eastAsia="en-NZ"/>
        </w:rPr>
        <w:t xml:space="preserve"> female youth</w:t>
      </w:r>
      <w:r w:rsidRPr="0046669C">
        <w:rPr>
          <w:noProof/>
          <w:lang w:eastAsia="en-NZ"/>
        </w:rPr>
        <w:t>, taking their different starting positions into account.</w:t>
      </w:r>
    </w:p>
    <w:p w14:paraId="78579919" w14:textId="77777777" w:rsidR="00FC0DB8" w:rsidRPr="0046669C" w:rsidRDefault="00FC0DB8" w:rsidP="00DC355D">
      <w:pPr>
        <w:rPr>
          <w:noProof/>
          <w:lang w:eastAsia="en-NZ"/>
        </w:rPr>
      </w:pPr>
    </w:p>
    <w:p w14:paraId="53994DB1" w14:textId="77777777" w:rsidR="00FC0DB8" w:rsidRPr="0046669C" w:rsidRDefault="00FC0DB8" w:rsidP="00DC355D">
      <w:pPr>
        <w:pStyle w:val="Table"/>
        <w:rPr>
          <w:noProof/>
          <w:lang w:eastAsia="en-NZ"/>
        </w:rPr>
      </w:pPr>
      <w:bookmarkStart w:id="58" w:name="_Toc467831560"/>
      <w:r w:rsidRPr="0046669C">
        <w:rPr>
          <w:noProof/>
          <w:lang w:eastAsia="en-NZ"/>
        </w:rPr>
        <w:t xml:space="preserve">Table </w:t>
      </w:r>
      <w:r>
        <w:rPr>
          <w:noProof/>
          <w:lang w:eastAsia="en-NZ"/>
        </w:rPr>
        <w:t>6</w:t>
      </w:r>
      <w:r w:rsidR="00DC355D">
        <w:rPr>
          <w:noProof/>
          <w:lang w:eastAsia="en-NZ"/>
        </w:rPr>
        <w:t xml:space="preserve">: </w:t>
      </w:r>
      <w:r w:rsidRPr="0046669C">
        <w:rPr>
          <w:noProof/>
          <w:lang w:eastAsia="en-NZ"/>
        </w:rPr>
        <w:t>Change in daily smoking prevalence, linear regressions, 2006</w:t>
      </w:r>
      <w:r>
        <w:rPr>
          <w:noProof/>
          <w:lang w:eastAsia="en-NZ"/>
        </w:rPr>
        <w:t>/07–</w:t>
      </w:r>
      <w:r w:rsidRPr="0046669C">
        <w:rPr>
          <w:noProof/>
          <w:lang w:eastAsia="en-NZ"/>
        </w:rPr>
        <w:t>2015</w:t>
      </w:r>
      <w:r>
        <w:rPr>
          <w:noProof/>
          <w:lang w:eastAsia="en-NZ"/>
        </w:rPr>
        <w:t>/16</w:t>
      </w:r>
      <w:bookmarkEnd w:id="58"/>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1276"/>
        <w:gridCol w:w="1665"/>
        <w:gridCol w:w="1666"/>
        <w:gridCol w:w="1665"/>
        <w:gridCol w:w="1666"/>
      </w:tblGrid>
      <w:tr w:rsidR="00FC0DB8" w:rsidRPr="00643898" w14:paraId="09B7ED52" w14:textId="77777777" w:rsidTr="00643898">
        <w:trPr>
          <w:cantSplit/>
        </w:trPr>
        <w:tc>
          <w:tcPr>
            <w:tcW w:w="1418" w:type="dxa"/>
            <w:tcBorders>
              <w:top w:val="single" w:sz="4" w:space="0" w:color="auto"/>
              <w:bottom w:val="single" w:sz="4" w:space="0" w:color="auto"/>
            </w:tcBorders>
          </w:tcPr>
          <w:p w14:paraId="3B4651A6" w14:textId="77777777" w:rsidR="00FC0DB8" w:rsidRPr="00643898" w:rsidRDefault="00FC0DB8" w:rsidP="00DC355D">
            <w:pPr>
              <w:pStyle w:val="TableText"/>
              <w:rPr>
                <w:b/>
                <w:noProof/>
                <w:lang w:eastAsia="en-NZ"/>
              </w:rPr>
            </w:pPr>
          </w:p>
        </w:tc>
        <w:tc>
          <w:tcPr>
            <w:tcW w:w="1276" w:type="dxa"/>
            <w:tcBorders>
              <w:top w:val="single" w:sz="4" w:space="0" w:color="auto"/>
              <w:bottom w:val="single" w:sz="4" w:space="0" w:color="auto"/>
            </w:tcBorders>
          </w:tcPr>
          <w:p w14:paraId="13B718B0" w14:textId="77777777" w:rsidR="00FC0DB8" w:rsidRPr="00643898" w:rsidRDefault="00FC0DB8" w:rsidP="00DC355D">
            <w:pPr>
              <w:pStyle w:val="TableText"/>
              <w:rPr>
                <w:b/>
                <w:noProof/>
                <w:lang w:eastAsia="en-NZ"/>
              </w:rPr>
            </w:pPr>
          </w:p>
        </w:tc>
        <w:tc>
          <w:tcPr>
            <w:tcW w:w="1665" w:type="dxa"/>
            <w:tcBorders>
              <w:top w:val="single" w:sz="4" w:space="0" w:color="auto"/>
              <w:bottom w:val="single" w:sz="4" w:space="0" w:color="auto"/>
            </w:tcBorders>
          </w:tcPr>
          <w:p w14:paraId="723AC112" w14:textId="77777777" w:rsidR="00FC0DB8" w:rsidRPr="00643898" w:rsidRDefault="00FC0DB8" w:rsidP="00643898">
            <w:pPr>
              <w:pStyle w:val="TableText"/>
              <w:jc w:val="center"/>
              <w:rPr>
                <w:b/>
                <w:noProof/>
                <w:lang w:eastAsia="en-NZ"/>
              </w:rPr>
            </w:pPr>
            <w:r w:rsidRPr="00643898">
              <w:rPr>
                <w:b/>
                <w:noProof/>
                <w:lang w:eastAsia="en-NZ"/>
              </w:rPr>
              <w:t>2006/07</w:t>
            </w:r>
          </w:p>
        </w:tc>
        <w:tc>
          <w:tcPr>
            <w:tcW w:w="1666" w:type="dxa"/>
            <w:tcBorders>
              <w:top w:val="single" w:sz="4" w:space="0" w:color="auto"/>
              <w:bottom w:val="single" w:sz="4" w:space="0" w:color="auto"/>
            </w:tcBorders>
          </w:tcPr>
          <w:p w14:paraId="530DC507" w14:textId="77777777" w:rsidR="00FC0DB8" w:rsidRPr="00643898" w:rsidRDefault="00FC0DB8" w:rsidP="00643898">
            <w:pPr>
              <w:pStyle w:val="TableText"/>
              <w:jc w:val="center"/>
              <w:rPr>
                <w:b/>
                <w:noProof/>
                <w:lang w:eastAsia="en-NZ"/>
              </w:rPr>
            </w:pPr>
            <w:r w:rsidRPr="00643898">
              <w:rPr>
                <w:b/>
                <w:noProof/>
                <w:lang w:eastAsia="en-NZ"/>
              </w:rPr>
              <w:t>2015/16</w:t>
            </w:r>
          </w:p>
        </w:tc>
        <w:tc>
          <w:tcPr>
            <w:tcW w:w="1665" w:type="dxa"/>
            <w:tcBorders>
              <w:top w:val="single" w:sz="4" w:space="0" w:color="auto"/>
              <w:bottom w:val="single" w:sz="4" w:space="0" w:color="auto"/>
            </w:tcBorders>
          </w:tcPr>
          <w:p w14:paraId="524C7030" w14:textId="77777777" w:rsidR="00FC0DB8" w:rsidRPr="00643898" w:rsidRDefault="00FC0DB8" w:rsidP="00643898">
            <w:pPr>
              <w:pStyle w:val="TableText"/>
              <w:jc w:val="center"/>
              <w:rPr>
                <w:b/>
                <w:noProof/>
                <w:lang w:eastAsia="en-NZ"/>
              </w:rPr>
            </w:pPr>
            <w:r w:rsidRPr="00643898">
              <w:rPr>
                <w:b/>
                <w:noProof/>
                <w:lang w:eastAsia="en-NZ"/>
              </w:rPr>
              <w:t>Change (per 100)</w:t>
            </w:r>
          </w:p>
        </w:tc>
        <w:tc>
          <w:tcPr>
            <w:tcW w:w="1666" w:type="dxa"/>
            <w:tcBorders>
              <w:top w:val="single" w:sz="4" w:space="0" w:color="auto"/>
              <w:bottom w:val="single" w:sz="4" w:space="0" w:color="auto"/>
            </w:tcBorders>
          </w:tcPr>
          <w:p w14:paraId="5978C8B0" w14:textId="77777777" w:rsidR="00FC0DB8" w:rsidRPr="00643898" w:rsidRDefault="00FC0DB8" w:rsidP="00643898">
            <w:pPr>
              <w:pStyle w:val="TableText"/>
              <w:jc w:val="center"/>
              <w:rPr>
                <w:b/>
                <w:noProof/>
                <w:lang w:eastAsia="en-NZ"/>
              </w:rPr>
            </w:pPr>
            <w:r w:rsidRPr="00643898">
              <w:rPr>
                <w:b/>
                <w:noProof/>
                <w:lang w:eastAsia="en-NZ"/>
              </w:rPr>
              <w:t>% change</w:t>
            </w:r>
          </w:p>
        </w:tc>
      </w:tr>
      <w:tr w:rsidR="00643898" w:rsidRPr="00790EDD" w14:paraId="5540F942" w14:textId="77777777" w:rsidTr="00643898">
        <w:trPr>
          <w:cantSplit/>
        </w:trPr>
        <w:tc>
          <w:tcPr>
            <w:tcW w:w="1418" w:type="dxa"/>
            <w:vMerge w:val="restart"/>
            <w:tcBorders>
              <w:top w:val="single" w:sz="4" w:space="0" w:color="auto"/>
            </w:tcBorders>
          </w:tcPr>
          <w:p w14:paraId="70180D0C" w14:textId="77777777" w:rsidR="00643898" w:rsidRPr="00790EDD" w:rsidRDefault="00643898" w:rsidP="00DC355D">
            <w:pPr>
              <w:pStyle w:val="TableText"/>
              <w:rPr>
                <w:noProof/>
                <w:lang w:eastAsia="en-NZ"/>
              </w:rPr>
            </w:pPr>
            <w:r w:rsidRPr="00790EDD">
              <w:rPr>
                <w:noProof/>
                <w:lang w:eastAsia="en-NZ"/>
              </w:rPr>
              <w:t>Male youth</w:t>
            </w:r>
          </w:p>
        </w:tc>
        <w:tc>
          <w:tcPr>
            <w:tcW w:w="1276" w:type="dxa"/>
            <w:tcBorders>
              <w:top w:val="single" w:sz="4" w:space="0" w:color="auto"/>
              <w:bottom w:val="single" w:sz="4" w:space="0" w:color="A6A6A6" w:themeColor="background1" w:themeShade="A6"/>
            </w:tcBorders>
          </w:tcPr>
          <w:p w14:paraId="65B97048" w14:textId="77777777" w:rsidR="00643898" w:rsidRPr="00790EDD" w:rsidRDefault="00643898" w:rsidP="00DC355D">
            <w:pPr>
              <w:pStyle w:val="TableText"/>
              <w:rPr>
                <w:noProof/>
                <w:lang w:eastAsia="en-NZ"/>
              </w:rPr>
            </w:pPr>
            <w:r w:rsidRPr="00790EDD">
              <w:rPr>
                <w:noProof/>
                <w:lang w:eastAsia="en-NZ"/>
              </w:rPr>
              <w:t>Māori</w:t>
            </w:r>
          </w:p>
        </w:tc>
        <w:tc>
          <w:tcPr>
            <w:tcW w:w="1665" w:type="dxa"/>
            <w:tcBorders>
              <w:top w:val="single" w:sz="4" w:space="0" w:color="auto"/>
              <w:bottom w:val="single" w:sz="4" w:space="0" w:color="A6A6A6" w:themeColor="background1" w:themeShade="A6"/>
            </w:tcBorders>
          </w:tcPr>
          <w:p w14:paraId="16155BCA" w14:textId="77777777" w:rsidR="00643898" w:rsidRPr="00790EDD" w:rsidRDefault="00643898" w:rsidP="00643898">
            <w:pPr>
              <w:pStyle w:val="TableText"/>
              <w:jc w:val="center"/>
              <w:rPr>
                <w:noProof/>
                <w:lang w:eastAsia="en-NZ"/>
              </w:rPr>
            </w:pPr>
            <w:r w:rsidRPr="00790EDD">
              <w:rPr>
                <w:noProof/>
                <w:lang w:eastAsia="en-NZ"/>
              </w:rPr>
              <w:t>37.3</w:t>
            </w:r>
            <w:r w:rsidRPr="00643898">
              <w:rPr>
                <w:noProof/>
                <w:lang w:eastAsia="en-NZ"/>
              </w:rPr>
              <w:br/>
            </w:r>
            <w:r w:rsidRPr="00790EDD">
              <w:rPr>
                <w:noProof/>
                <w:lang w:eastAsia="en-NZ"/>
              </w:rPr>
              <w:t>(30.9</w:t>
            </w:r>
            <w:r>
              <w:rPr>
                <w:noProof/>
                <w:lang w:eastAsia="en-NZ"/>
              </w:rPr>
              <w:t>–</w:t>
            </w:r>
            <w:r w:rsidRPr="00790EDD">
              <w:rPr>
                <w:noProof/>
                <w:lang w:eastAsia="en-NZ"/>
              </w:rPr>
              <w:t>43.7)</w:t>
            </w:r>
          </w:p>
        </w:tc>
        <w:tc>
          <w:tcPr>
            <w:tcW w:w="1666" w:type="dxa"/>
            <w:tcBorders>
              <w:top w:val="single" w:sz="4" w:space="0" w:color="auto"/>
              <w:bottom w:val="single" w:sz="4" w:space="0" w:color="A6A6A6" w:themeColor="background1" w:themeShade="A6"/>
            </w:tcBorders>
          </w:tcPr>
          <w:p w14:paraId="4C6F21DC" w14:textId="77777777" w:rsidR="00643898" w:rsidRPr="00790EDD" w:rsidRDefault="00643898" w:rsidP="00643898">
            <w:pPr>
              <w:pStyle w:val="TableText"/>
              <w:jc w:val="center"/>
              <w:rPr>
                <w:noProof/>
                <w:lang w:eastAsia="en-NZ"/>
              </w:rPr>
            </w:pPr>
            <w:r w:rsidRPr="00790EDD">
              <w:rPr>
                <w:noProof/>
                <w:lang w:eastAsia="en-NZ"/>
              </w:rPr>
              <w:t>29.1</w:t>
            </w:r>
            <w:r w:rsidRPr="00643898">
              <w:rPr>
                <w:noProof/>
                <w:lang w:eastAsia="en-NZ"/>
              </w:rPr>
              <w:br/>
            </w:r>
            <w:r w:rsidRPr="00790EDD">
              <w:rPr>
                <w:noProof/>
                <w:lang w:eastAsia="en-NZ"/>
              </w:rPr>
              <w:t>(24.6</w:t>
            </w:r>
            <w:r>
              <w:rPr>
                <w:noProof/>
                <w:lang w:eastAsia="en-NZ"/>
              </w:rPr>
              <w:t>–</w:t>
            </w:r>
            <w:r w:rsidRPr="00790EDD">
              <w:rPr>
                <w:noProof/>
                <w:lang w:eastAsia="en-NZ"/>
              </w:rPr>
              <w:t>33.7)</w:t>
            </w:r>
          </w:p>
        </w:tc>
        <w:tc>
          <w:tcPr>
            <w:tcW w:w="1665" w:type="dxa"/>
            <w:tcBorders>
              <w:top w:val="single" w:sz="4" w:space="0" w:color="auto"/>
              <w:bottom w:val="single" w:sz="4" w:space="0" w:color="A6A6A6" w:themeColor="background1" w:themeShade="A6"/>
            </w:tcBorders>
          </w:tcPr>
          <w:p w14:paraId="5E72C7B7" w14:textId="77777777" w:rsidR="00643898" w:rsidRPr="00790EDD" w:rsidRDefault="00643898" w:rsidP="00643898">
            <w:pPr>
              <w:pStyle w:val="TableText"/>
              <w:jc w:val="center"/>
              <w:rPr>
                <w:noProof/>
                <w:lang w:eastAsia="en-NZ"/>
              </w:rPr>
            </w:pPr>
            <w:r w:rsidRPr="00790EDD">
              <w:rPr>
                <w:noProof/>
                <w:lang w:eastAsia="en-NZ"/>
              </w:rPr>
              <w:t>8.2</w:t>
            </w:r>
            <w:r w:rsidRPr="00643898">
              <w:rPr>
                <w:noProof/>
                <w:lang w:eastAsia="en-NZ"/>
              </w:rPr>
              <w:br/>
            </w:r>
            <w:r w:rsidRPr="00790EDD">
              <w:rPr>
                <w:noProof/>
                <w:lang w:eastAsia="en-NZ"/>
              </w:rPr>
              <w:t>(0</w:t>
            </w:r>
            <w:r>
              <w:rPr>
                <w:noProof/>
                <w:lang w:eastAsia="en-NZ"/>
              </w:rPr>
              <w:t>–</w:t>
            </w:r>
            <w:r w:rsidRPr="00790EDD">
              <w:rPr>
                <w:noProof/>
                <w:lang w:eastAsia="en-NZ"/>
              </w:rPr>
              <w:t>16.8)</w:t>
            </w:r>
          </w:p>
        </w:tc>
        <w:tc>
          <w:tcPr>
            <w:tcW w:w="1666" w:type="dxa"/>
            <w:tcBorders>
              <w:top w:val="single" w:sz="4" w:space="0" w:color="auto"/>
              <w:bottom w:val="single" w:sz="4" w:space="0" w:color="A6A6A6" w:themeColor="background1" w:themeShade="A6"/>
            </w:tcBorders>
          </w:tcPr>
          <w:p w14:paraId="7464ACAA" w14:textId="77777777" w:rsidR="00643898" w:rsidRPr="00790EDD" w:rsidRDefault="00643898" w:rsidP="00643898">
            <w:pPr>
              <w:pStyle w:val="TableText"/>
              <w:jc w:val="center"/>
              <w:rPr>
                <w:noProof/>
                <w:lang w:eastAsia="en-NZ"/>
              </w:rPr>
            </w:pPr>
            <w:r w:rsidRPr="00790EDD">
              <w:rPr>
                <w:noProof/>
                <w:lang w:eastAsia="en-NZ"/>
              </w:rPr>
              <w:t>22.0%</w:t>
            </w:r>
            <w:r w:rsidRPr="00643898">
              <w:rPr>
                <w:noProof/>
                <w:lang w:eastAsia="en-NZ"/>
              </w:rPr>
              <w:br/>
            </w:r>
            <w:r w:rsidRPr="00790EDD">
              <w:rPr>
                <w:noProof/>
                <w:lang w:eastAsia="en-NZ"/>
              </w:rPr>
              <w:t>(</w:t>
            </w:r>
            <w:r>
              <w:rPr>
                <w:noProof/>
                <w:lang w:eastAsia="en-NZ"/>
              </w:rPr>
              <w:t>2.2–41.6</w:t>
            </w:r>
            <w:r w:rsidRPr="00790EDD">
              <w:rPr>
                <w:noProof/>
                <w:lang w:eastAsia="en-NZ"/>
              </w:rPr>
              <w:t>)</w:t>
            </w:r>
          </w:p>
        </w:tc>
      </w:tr>
      <w:tr w:rsidR="00643898" w:rsidRPr="00790EDD" w14:paraId="2891E7F7" w14:textId="77777777" w:rsidTr="00643898">
        <w:trPr>
          <w:cantSplit/>
        </w:trPr>
        <w:tc>
          <w:tcPr>
            <w:tcW w:w="1418" w:type="dxa"/>
            <w:vMerge/>
            <w:tcBorders>
              <w:bottom w:val="single" w:sz="4" w:space="0" w:color="auto"/>
            </w:tcBorders>
          </w:tcPr>
          <w:p w14:paraId="38A72A6D" w14:textId="77777777" w:rsidR="00643898" w:rsidRPr="00790EDD" w:rsidRDefault="00643898" w:rsidP="00DC355D">
            <w:pPr>
              <w:pStyle w:val="TableText"/>
              <w:rPr>
                <w:noProof/>
                <w:lang w:eastAsia="en-NZ"/>
              </w:rPr>
            </w:pPr>
          </w:p>
        </w:tc>
        <w:tc>
          <w:tcPr>
            <w:tcW w:w="1276" w:type="dxa"/>
            <w:tcBorders>
              <w:top w:val="single" w:sz="4" w:space="0" w:color="A6A6A6" w:themeColor="background1" w:themeShade="A6"/>
              <w:bottom w:val="single" w:sz="4" w:space="0" w:color="auto"/>
            </w:tcBorders>
          </w:tcPr>
          <w:p w14:paraId="00135C16" w14:textId="77777777" w:rsidR="00643898" w:rsidRPr="00790EDD" w:rsidRDefault="00643898" w:rsidP="00DC355D">
            <w:pPr>
              <w:pStyle w:val="TableText"/>
              <w:rPr>
                <w:noProof/>
                <w:lang w:eastAsia="en-NZ"/>
              </w:rPr>
            </w:pPr>
            <w:r w:rsidRPr="00790EDD">
              <w:rPr>
                <w:noProof/>
                <w:lang w:eastAsia="en-NZ"/>
              </w:rPr>
              <w:t>Non-Māori</w:t>
            </w:r>
          </w:p>
        </w:tc>
        <w:tc>
          <w:tcPr>
            <w:tcW w:w="1665" w:type="dxa"/>
            <w:tcBorders>
              <w:top w:val="single" w:sz="4" w:space="0" w:color="A6A6A6" w:themeColor="background1" w:themeShade="A6"/>
              <w:bottom w:val="single" w:sz="4" w:space="0" w:color="auto"/>
            </w:tcBorders>
          </w:tcPr>
          <w:p w14:paraId="01C06C39" w14:textId="77777777" w:rsidR="00643898" w:rsidRPr="00790EDD" w:rsidRDefault="00643898" w:rsidP="00643898">
            <w:pPr>
              <w:pStyle w:val="TableText"/>
              <w:jc w:val="center"/>
              <w:rPr>
                <w:noProof/>
                <w:lang w:eastAsia="en-NZ"/>
              </w:rPr>
            </w:pPr>
            <w:r w:rsidRPr="00790EDD">
              <w:rPr>
                <w:noProof/>
                <w:lang w:eastAsia="en-NZ"/>
              </w:rPr>
              <w:t>17.2</w:t>
            </w:r>
            <w:r w:rsidRPr="00643898">
              <w:rPr>
                <w:noProof/>
                <w:lang w:eastAsia="en-NZ"/>
              </w:rPr>
              <w:br/>
            </w:r>
            <w:r w:rsidRPr="00790EDD">
              <w:rPr>
                <w:noProof/>
                <w:lang w:eastAsia="en-NZ"/>
              </w:rPr>
              <w:t>(14.1</w:t>
            </w:r>
            <w:r>
              <w:rPr>
                <w:noProof/>
                <w:lang w:eastAsia="en-NZ"/>
              </w:rPr>
              <w:t>–</w:t>
            </w:r>
            <w:r w:rsidRPr="00790EDD">
              <w:rPr>
                <w:noProof/>
                <w:lang w:eastAsia="en-NZ"/>
              </w:rPr>
              <w:t>20.2)</w:t>
            </w:r>
          </w:p>
        </w:tc>
        <w:tc>
          <w:tcPr>
            <w:tcW w:w="1666" w:type="dxa"/>
            <w:tcBorders>
              <w:top w:val="single" w:sz="4" w:space="0" w:color="A6A6A6" w:themeColor="background1" w:themeShade="A6"/>
              <w:bottom w:val="single" w:sz="4" w:space="0" w:color="auto"/>
            </w:tcBorders>
          </w:tcPr>
          <w:p w14:paraId="4E046AF9" w14:textId="77777777" w:rsidR="00643898" w:rsidRPr="00790EDD" w:rsidRDefault="00643898" w:rsidP="00643898">
            <w:pPr>
              <w:pStyle w:val="TableText"/>
              <w:jc w:val="center"/>
              <w:rPr>
                <w:noProof/>
                <w:lang w:eastAsia="en-NZ"/>
              </w:rPr>
            </w:pPr>
            <w:r w:rsidRPr="00790EDD">
              <w:rPr>
                <w:noProof/>
                <w:lang w:eastAsia="en-NZ"/>
              </w:rPr>
              <w:t>13.5</w:t>
            </w:r>
            <w:r w:rsidRPr="00643898">
              <w:rPr>
                <w:noProof/>
                <w:lang w:eastAsia="en-NZ"/>
              </w:rPr>
              <w:br/>
            </w:r>
            <w:r w:rsidRPr="00790EDD">
              <w:rPr>
                <w:noProof/>
                <w:lang w:eastAsia="en-NZ"/>
              </w:rPr>
              <w:t>(11.3</w:t>
            </w:r>
            <w:r>
              <w:rPr>
                <w:noProof/>
                <w:lang w:eastAsia="en-NZ"/>
              </w:rPr>
              <w:t>–</w:t>
            </w:r>
            <w:r w:rsidRPr="00790EDD">
              <w:rPr>
                <w:noProof/>
                <w:lang w:eastAsia="en-NZ"/>
              </w:rPr>
              <w:t>15.8)</w:t>
            </w:r>
          </w:p>
        </w:tc>
        <w:tc>
          <w:tcPr>
            <w:tcW w:w="1665" w:type="dxa"/>
            <w:tcBorders>
              <w:top w:val="single" w:sz="4" w:space="0" w:color="A6A6A6" w:themeColor="background1" w:themeShade="A6"/>
              <w:bottom w:val="single" w:sz="4" w:space="0" w:color="auto"/>
            </w:tcBorders>
          </w:tcPr>
          <w:p w14:paraId="1A88B6A8" w14:textId="77777777" w:rsidR="00643898" w:rsidRPr="00790EDD" w:rsidRDefault="00643898" w:rsidP="00643898">
            <w:pPr>
              <w:pStyle w:val="TableText"/>
              <w:jc w:val="center"/>
              <w:rPr>
                <w:noProof/>
                <w:lang w:eastAsia="en-NZ"/>
              </w:rPr>
            </w:pPr>
            <w:r w:rsidRPr="00790EDD">
              <w:rPr>
                <w:noProof/>
                <w:lang w:eastAsia="en-NZ"/>
              </w:rPr>
              <w:t>3.6</w:t>
            </w:r>
            <w:r w:rsidRPr="00643898">
              <w:rPr>
                <w:noProof/>
                <w:lang w:eastAsia="en-NZ"/>
              </w:rPr>
              <w:br/>
            </w:r>
            <w:r w:rsidRPr="00790EDD">
              <w:rPr>
                <w:noProof/>
                <w:lang w:eastAsia="en-NZ"/>
              </w:rPr>
              <w:t>(0</w:t>
            </w:r>
            <w:r>
              <w:rPr>
                <w:noProof/>
                <w:lang w:eastAsia="en-NZ"/>
              </w:rPr>
              <w:t>–</w:t>
            </w:r>
            <w:r w:rsidRPr="00790EDD">
              <w:rPr>
                <w:noProof/>
                <w:lang w:eastAsia="en-NZ"/>
              </w:rPr>
              <w:t>8.0)</w:t>
            </w:r>
          </w:p>
        </w:tc>
        <w:tc>
          <w:tcPr>
            <w:tcW w:w="1666" w:type="dxa"/>
            <w:tcBorders>
              <w:top w:val="single" w:sz="4" w:space="0" w:color="A6A6A6" w:themeColor="background1" w:themeShade="A6"/>
              <w:bottom w:val="single" w:sz="4" w:space="0" w:color="auto"/>
            </w:tcBorders>
          </w:tcPr>
          <w:p w14:paraId="09D41763" w14:textId="77777777" w:rsidR="00643898" w:rsidRPr="00790EDD" w:rsidRDefault="00643898" w:rsidP="00643898">
            <w:pPr>
              <w:pStyle w:val="TableText"/>
              <w:jc w:val="center"/>
              <w:rPr>
                <w:noProof/>
                <w:lang w:eastAsia="en-NZ"/>
              </w:rPr>
            </w:pPr>
            <w:r w:rsidRPr="00790EDD">
              <w:rPr>
                <w:noProof/>
                <w:lang w:eastAsia="en-NZ"/>
              </w:rPr>
              <w:t>20.9%</w:t>
            </w:r>
            <w:r w:rsidRPr="00643898">
              <w:rPr>
                <w:noProof/>
                <w:lang w:eastAsia="en-NZ"/>
              </w:rPr>
              <w:br/>
            </w:r>
            <w:r w:rsidRPr="00790EDD">
              <w:rPr>
                <w:noProof/>
                <w:lang w:eastAsia="en-NZ"/>
              </w:rPr>
              <w:t>(</w:t>
            </w:r>
            <w:r>
              <w:rPr>
                <w:noProof/>
                <w:lang w:eastAsia="en-NZ"/>
              </w:rPr>
              <w:t>1.1–43.3</w:t>
            </w:r>
            <w:r w:rsidRPr="00790EDD">
              <w:rPr>
                <w:noProof/>
                <w:lang w:eastAsia="en-NZ"/>
              </w:rPr>
              <w:t>)</w:t>
            </w:r>
          </w:p>
        </w:tc>
      </w:tr>
      <w:tr w:rsidR="00643898" w:rsidRPr="00790EDD" w14:paraId="45637816" w14:textId="77777777" w:rsidTr="00643898">
        <w:trPr>
          <w:cantSplit/>
        </w:trPr>
        <w:tc>
          <w:tcPr>
            <w:tcW w:w="1418" w:type="dxa"/>
            <w:vMerge w:val="restart"/>
            <w:tcBorders>
              <w:top w:val="single" w:sz="4" w:space="0" w:color="auto"/>
              <w:bottom w:val="nil"/>
            </w:tcBorders>
          </w:tcPr>
          <w:p w14:paraId="007CAEA6" w14:textId="77777777" w:rsidR="00643898" w:rsidRPr="00790EDD" w:rsidRDefault="00643898" w:rsidP="00DC355D">
            <w:pPr>
              <w:pStyle w:val="TableText"/>
              <w:rPr>
                <w:noProof/>
                <w:lang w:eastAsia="en-NZ"/>
              </w:rPr>
            </w:pPr>
            <w:r w:rsidRPr="00790EDD">
              <w:rPr>
                <w:noProof/>
                <w:lang w:eastAsia="en-NZ"/>
              </w:rPr>
              <w:t>Female youth</w:t>
            </w:r>
          </w:p>
        </w:tc>
        <w:tc>
          <w:tcPr>
            <w:tcW w:w="1276" w:type="dxa"/>
            <w:tcBorders>
              <w:top w:val="single" w:sz="4" w:space="0" w:color="auto"/>
              <w:bottom w:val="single" w:sz="4" w:space="0" w:color="A6A6A6" w:themeColor="background1" w:themeShade="A6"/>
            </w:tcBorders>
          </w:tcPr>
          <w:p w14:paraId="4A44C775" w14:textId="77777777" w:rsidR="00643898" w:rsidRPr="00790EDD" w:rsidRDefault="00643898" w:rsidP="00DC355D">
            <w:pPr>
              <w:pStyle w:val="TableText"/>
              <w:rPr>
                <w:noProof/>
                <w:lang w:eastAsia="en-NZ"/>
              </w:rPr>
            </w:pPr>
            <w:r w:rsidRPr="00790EDD">
              <w:rPr>
                <w:noProof/>
                <w:lang w:eastAsia="en-NZ"/>
              </w:rPr>
              <w:t>Māori</w:t>
            </w:r>
          </w:p>
        </w:tc>
        <w:tc>
          <w:tcPr>
            <w:tcW w:w="1665" w:type="dxa"/>
            <w:tcBorders>
              <w:top w:val="single" w:sz="4" w:space="0" w:color="auto"/>
              <w:bottom w:val="single" w:sz="4" w:space="0" w:color="A6A6A6" w:themeColor="background1" w:themeShade="A6"/>
            </w:tcBorders>
          </w:tcPr>
          <w:p w14:paraId="4BA4B357" w14:textId="77777777" w:rsidR="00643898" w:rsidRPr="00790EDD" w:rsidRDefault="00643898" w:rsidP="00643898">
            <w:pPr>
              <w:pStyle w:val="TableText"/>
              <w:jc w:val="center"/>
              <w:rPr>
                <w:strike/>
                <w:noProof/>
                <w:lang w:eastAsia="en-NZ"/>
              </w:rPr>
            </w:pPr>
            <w:r w:rsidRPr="00790EDD">
              <w:rPr>
                <w:noProof/>
                <w:lang w:eastAsia="en-NZ"/>
              </w:rPr>
              <w:t>45.9</w:t>
            </w:r>
            <w:r w:rsidRPr="00643898">
              <w:rPr>
                <w:noProof/>
                <w:lang w:eastAsia="en-NZ"/>
              </w:rPr>
              <w:br/>
            </w:r>
            <w:r w:rsidRPr="00790EDD">
              <w:rPr>
                <w:noProof/>
                <w:lang w:eastAsia="en-NZ"/>
              </w:rPr>
              <w:t>(39.8</w:t>
            </w:r>
            <w:r>
              <w:rPr>
                <w:noProof/>
                <w:lang w:eastAsia="en-NZ"/>
              </w:rPr>
              <w:t>–</w:t>
            </w:r>
            <w:r w:rsidRPr="00790EDD">
              <w:rPr>
                <w:noProof/>
                <w:lang w:eastAsia="en-NZ"/>
              </w:rPr>
              <w:t>51.9)</w:t>
            </w:r>
          </w:p>
        </w:tc>
        <w:tc>
          <w:tcPr>
            <w:tcW w:w="1666" w:type="dxa"/>
            <w:tcBorders>
              <w:top w:val="single" w:sz="4" w:space="0" w:color="auto"/>
              <w:bottom w:val="single" w:sz="4" w:space="0" w:color="A6A6A6" w:themeColor="background1" w:themeShade="A6"/>
            </w:tcBorders>
          </w:tcPr>
          <w:p w14:paraId="0880DBC3" w14:textId="77777777" w:rsidR="00643898" w:rsidRPr="00790EDD" w:rsidRDefault="00643898" w:rsidP="00643898">
            <w:pPr>
              <w:pStyle w:val="TableText"/>
              <w:jc w:val="center"/>
              <w:rPr>
                <w:noProof/>
                <w:lang w:eastAsia="en-NZ"/>
              </w:rPr>
            </w:pPr>
            <w:r w:rsidRPr="00790EDD">
              <w:rPr>
                <w:noProof/>
                <w:lang w:eastAsia="en-NZ"/>
              </w:rPr>
              <w:t>32.9</w:t>
            </w:r>
            <w:r w:rsidRPr="00643898">
              <w:rPr>
                <w:noProof/>
                <w:lang w:eastAsia="en-NZ"/>
              </w:rPr>
              <w:br/>
            </w:r>
            <w:r w:rsidRPr="00790EDD">
              <w:rPr>
                <w:noProof/>
                <w:lang w:eastAsia="en-NZ"/>
              </w:rPr>
              <w:t>(28.0</w:t>
            </w:r>
            <w:r>
              <w:rPr>
                <w:noProof/>
                <w:lang w:eastAsia="en-NZ"/>
              </w:rPr>
              <w:t>–</w:t>
            </w:r>
            <w:r w:rsidRPr="00790EDD">
              <w:rPr>
                <w:noProof/>
                <w:lang w:eastAsia="en-NZ"/>
              </w:rPr>
              <w:t>37.7)</w:t>
            </w:r>
          </w:p>
        </w:tc>
        <w:tc>
          <w:tcPr>
            <w:tcW w:w="1665" w:type="dxa"/>
            <w:tcBorders>
              <w:top w:val="single" w:sz="4" w:space="0" w:color="auto"/>
              <w:bottom w:val="single" w:sz="4" w:space="0" w:color="A6A6A6" w:themeColor="background1" w:themeShade="A6"/>
            </w:tcBorders>
          </w:tcPr>
          <w:p w14:paraId="527B826F" w14:textId="77777777" w:rsidR="00643898" w:rsidRPr="00790EDD" w:rsidRDefault="00643898" w:rsidP="00643898">
            <w:pPr>
              <w:pStyle w:val="TableText"/>
              <w:jc w:val="center"/>
              <w:rPr>
                <w:noProof/>
                <w:lang w:eastAsia="en-NZ"/>
              </w:rPr>
            </w:pPr>
            <w:r w:rsidRPr="00790EDD">
              <w:rPr>
                <w:noProof/>
                <w:lang w:eastAsia="en-NZ"/>
              </w:rPr>
              <w:t>13.0</w:t>
            </w:r>
            <w:r w:rsidRPr="00643898">
              <w:rPr>
                <w:noProof/>
                <w:lang w:eastAsia="en-NZ"/>
              </w:rPr>
              <w:br/>
            </w:r>
            <w:r w:rsidRPr="00790EDD">
              <w:rPr>
                <w:noProof/>
                <w:lang w:eastAsia="en-NZ"/>
              </w:rPr>
              <w:t>(3.5</w:t>
            </w:r>
            <w:r>
              <w:rPr>
                <w:noProof/>
                <w:lang w:eastAsia="en-NZ"/>
              </w:rPr>
              <w:t>–</w:t>
            </w:r>
            <w:r w:rsidRPr="00790EDD">
              <w:rPr>
                <w:noProof/>
                <w:lang w:eastAsia="en-NZ"/>
              </w:rPr>
              <w:t>22.5)</w:t>
            </w:r>
          </w:p>
        </w:tc>
        <w:tc>
          <w:tcPr>
            <w:tcW w:w="1666" w:type="dxa"/>
            <w:tcBorders>
              <w:top w:val="single" w:sz="4" w:space="0" w:color="auto"/>
              <w:bottom w:val="single" w:sz="4" w:space="0" w:color="A6A6A6" w:themeColor="background1" w:themeShade="A6"/>
            </w:tcBorders>
          </w:tcPr>
          <w:p w14:paraId="6747B7CF" w14:textId="77777777" w:rsidR="00643898" w:rsidRPr="00790EDD" w:rsidRDefault="00643898" w:rsidP="00643898">
            <w:pPr>
              <w:pStyle w:val="TableText"/>
              <w:jc w:val="center"/>
              <w:rPr>
                <w:noProof/>
                <w:lang w:eastAsia="en-NZ"/>
              </w:rPr>
            </w:pPr>
            <w:r w:rsidRPr="00790EDD">
              <w:rPr>
                <w:noProof/>
                <w:lang w:eastAsia="en-NZ"/>
              </w:rPr>
              <w:t>28.5%</w:t>
            </w:r>
            <w:r w:rsidRPr="00643898">
              <w:rPr>
                <w:noProof/>
                <w:lang w:eastAsia="en-NZ"/>
              </w:rPr>
              <w:br/>
            </w:r>
            <w:r w:rsidRPr="00790EDD">
              <w:rPr>
                <w:noProof/>
                <w:lang w:eastAsia="en-NZ"/>
              </w:rPr>
              <w:t>(</w:t>
            </w:r>
            <w:r>
              <w:rPr>
                <w:noProof/>
                <w:lang w:eastAsia="en-NZ"/>
              </w:rPr>
              <w:t>11.1–45.6</w:t>
            </w:r>
            <w:r w:rsidRPr="00790EDD">
              <w:rPr>
                <w:noProof/>
                <w:lang w:eastAsia="en-NZ"/>
              </w:rPr>
              <w:t>)</w:t>
            </w:r>
          </w:p>
        </w:tc>
      </w:tr>
      <w:tr w:rsidR="00643898" w:rsidRPr="00790EDD" w14:paraId="666D8463" w14:textId="77777777" w:rsidTr="00643898">
        <w:trPr>
          <w:cantSplit/>
        </w:trPr>
        <w:tc>
          <w:tcPr>
            <w:tcW w:w="1418" w:type="dxa"/>
            <w:vMerge/>
            <w:tcBorders>
              <w:top w:val="nil"/>
            </w:tcBorders>
          </w:tcPr>
          <w:p w14:paraId="1402AF73" w14:textId="77777777" w:rsidR="00643898" w:rsidRPr="00790EDD" w:rsidRDefault="00643898" w:rsidP="00DC355D">
            <w:pPr>
              <w:pStyle w:val="TableText"/>
              <w:rPr>
                <w:noProof/>
                <w:lang w:eastAsia="en-NZ"/>
              </w:rPr>
            </w:pPr>
          </w:p>
        </w:tc>
        <w:tc>
          <w:tcPr>
            <w:tcW w:w="1276" w:type="dxa"/>
            <w:tcBorders>
              <w:top w:val="single" w:sz="4" w:space="0" w:color="A6A6A6" w:themeColor="background1" w:themeShade="A6"/>
            </w:tcBorders>
          </w:tcPr>
          <w:p w14:paraId="46117EE2" w14:textId="77777777" w:rsidR="00643898" w:rsidRPr="00790EDD" w:rsidRDefault="00643898" w:rsidP="00DC355D">
            <w:pPr>
              <w:pStyle w:val="TableText"/>
              <w:rPr>
                <w:noProof/>
                <w:lang w:eastAsia="en-NZ"/>
              </w:rPr>
            </w:pPr>
            <w:r w:rsidRPr="00790EDD">
              <w:rPr>
                <w:noProof/>
                <w:lang w:eastAsia="en-NZ"/>
              </w:rPr>
              <w:t>Non-Māori</w:t>
            </w:r>
          </w:p>
        </w:tc>
        <w:tc>
          <w:tcPr>
            <w:tcW w:w="1665" w:type="dxa"/>
            <w:tcBorders>
              <w:top w:val="single" w:sz="4" w:space="0" w:color="A6A6A6" w:themeColor="background1" w:themeShade="A6"/>
            </w:tcBorders>
          </w:tcPr>
          <w:p w14:paraId="283D6F1B" w14:textId="77777777" w:rsidR="00643898" w:rsidRPr="00790EDD" w:rsidRDefault="00643898" w:rsidP="00643898">
            <w:pPr>
              <w:pStyle w:val="TableText"/>
              <w:jc w:val="center"/>
              <w:rPr>
                <w:noProof/>
                <w:lang w:eastAsia="en-NZ"/>
              </w:rPr>
            </w:pPr>
            <w:r w:rsidRPr="00790EDD">
              <w:rPr>
                <w:noProof/>
                <w:lang w:eastAsia="en-NZ"/>
              </w:rPr>
              <w:t>16.9</w:t>
            </w:r>
            <w:r w:rsidRPr="00643898">
              <w:rPr>
                <w:noProof/>
                <w:lang w:eastAsia="en-NZ"/>
              </w:rPr>
              <w:br/>
            </w:r>
            <w:r w:rsidRPr="00790EDD">
              <w:rPr>
                <w:noProof/>
                <w:lang w:eastAsia="en-NZ"/>
              </w:rPr>
              <w:t>(14.2</w:t>
            </w:r>
            <w:r>
              <w:rPr>
                <w:noProof/>
                <w:lang w:eastAsia="en-NZ"/>
              </w:rPr>
              <w:t>–</w:t>
            </w:r>
            <w:r w:rsidRPr="00790EDD">
              <w:rPr>
                <w:noProof/>
                <w:lang w:eastAsia="en-NZ"/>
              </w:rPr>
              <w:t>19.6)</w:t>
            </w:r>
          </w:p>
        </w:tc>
        <w:tc>
          <w:tcPr>
            <w:tcW w:w="1666" w:type="dxa"/>
            <w:tcBorders>
              <w:top w:val="single" w:sz="4" w:space="0" w:color="A6A6A6" w:themeColor="background1" w:themeShade="A6"/>
            </w:tcBorders>
          </w:tcPr>
          <w:p w14:paraId="57DC31D4" w14:textId="77777777" w:rsidR="00643898" w:rsidRPr="00790EDD" w:rsidRDefault="00643898" w:rsidP="00643898">
            <w:pPr>
              <w:pStyle w:val="TableText"/>
              <w:jc w:val="center"/>
              <w:rPr>
                <w:noProof/>
                <w:lang w:eastAsia="en-NZ"/>
              </w:rPr>
            </w:pPr>
            <w:r w:rsidRPr="00790EDD">
              <w:rPr>
                <w:noProof/>
                <w:lang w:eastAsia="en-NZ"/>
              </w:rPr>
              <w:t>8.6</w:t>
            </w:r>
            <w:r w:rsidRPr="00643898">
              <w:rPr>
                <w:noProof/>
                <w:lang w:eastAsia="en-NZ"/>
              </w:rPr>
              <w:br/>
            </w:r>
            <w:r w:rsidRPr="00790EDD">
              <w:rPr>
                <w:noProof/>
                <w:lang w:eastAsia="en-NZ"/>
              </w:rPr>
              <w:t>(7.0</w:t>
            </w:r>
            <w:r>
              <w:rPr>
                <w:noProof/>
                <w:lang w:eastAsia="en-NZ"/>
              </w:rPr>
              <w:t>–</w:t>
            </w:r>
            <w:r w:rsidRPr="00790EDD">
              <w:rPr>
                <w:noProof/>
                <w:lang w:eastAsia="en-NZ"/>
              </w:rPr>
              <w:t>10.2)</w:t>
            </w:r>
          </w:p>
        </w:tc>
        <w:tc>
          <w:tcPr>
            <w:tcW w:w="1665" w:type="dxa"/>
            <w:tcBorders>
              <w:top w:val="single" w:sz="4" w:space="0" w:color="A6A6A6" w:themeColor="background1" w:themeShade="A6"/>
            </w:tcBorders>
          </w:tcPr>
          <w:p w14:paraId="357075BF" w14:textId="77777777" w:rsidR="00643898" w:rsidRPr="00790EDD" w:rsidRDefault="00643898" w:rsidP="00643898">
            <w:pPr>
              <w:pStyle w:val="TableText"/>
              <w:jc w:val="center"/>
              <w:rPr>
                <w:noProof/>
                <w:lang w:eastAsia="en-NZ"/>
              </w:rPr>
            </w:pPr>
            <w:r w:rsidRPr="00790EDD">
              <w:rPr>
                <w:noProof/>
                <w:lang w:eastAsia="en-NZ"/>
              </w:rPr>
              <w:t>8.3</w:t>
            </w:r>
            <w:r w:rsidRPr="00643898">
              <w:rPr>
                <w:noProof/>
                <w:lang w:eastAsia="en-NZ"/>
              </w:rPr>
              <w:br/>
            </w:r>
            <w:r w:rsidRPr="00790EDD">
              <w:rPr>
                <w:noProof/>
                <w:lang w:eastAsia="en-NZ"/>
              </w:rPr>
              <w:t>(4.8</w:t>
            </w:r>
            <w:r>
              <w:rPr>
                <w:noProof/>
                <w:lang w:eastAsia="en-NZ"/>
              </w:rPr>
              <w:t>–</w:t>
            </w:r>
            <w:r w:rsidRPr="00790EDD">
              <w:rPr>
                <w:noProof/>
                <w:lang w:eastAsia="en-NZ"/>
              </w:rPr>
              <w:t>11.8)</w:t>
            </w:r>
          </w:p>
        </w:tc>
        <w:tc>
          <w:tcPr>
            <w:tcW w:w="1666" w:type="dxa"/>
            <w:tcBorders>
              <w:top w:val="single" w:sz="4" w:space="0" w:color="A6A6A6" w:themeColor="background1" w:themeShade="A6"/>
            </w:tcBorders>
          </w:tcPr>
          <w:p w14:paraId="3661F129" w14:textId="77777777" w:rsidR="00643898" w:rsidRPr="00790EDD" w:rsidRDefault="00643898" w:rsidP="00643898">
            <w:pPr>
              <w:pStyle w:val="TableText"/>
              <w:jc w:val="center"/>
              <w:rPr>
                <w:noProof/>
                <w:lang w:eastAsia="en-NZ"/>
              </w:rPr>
            </w:pPr>
            <w:r w:rsidRPr="00790EDD">
              <w:rPr>
                <w:noProof/>
                <w:lang w:eastAsia="en-NZ"/>
              </w:rPr>
              <w:t>49.1%</w:t>
            </w:r>
            <w:r w:rsidRPr="00643898">
              <w:rPr>
                <w:noProof/>
                <w:lang w:eastAsia="en-NZ"/>
              </w:rPr>
              <w:br/>
            </w:r>
            <w:r w:rsidRPr="00790EDD">
              <w:rPr>
                <w:noProof/>
                <w:lang w:eastAsia="en-NZ"/>
              </w:rPr>
              <w:t>(</w:t>
            </w:r>
            <w:r>
              <w:rPr>
                <w:noProof/>
                <w:lang w:eastAsia="en-NZ"/>
              </w:rPr>
              <w:t>35.0–63.1</w:t>
            </w:r>
            <w:r w:rsidRPr="00790EDD">
              <w:rPr>
                <w:noProof/>
                <w:lang w:eastAsia="en-NZ"/>
              </w:rPr>
              <w:t>)</w:t>
            </w:r>
          </w:p>
        </w:tc>
      </w:tr>
    </w:tbl>
    <w:p w14:paraId="127CC9A5" w14:textId="77777777" w:rsidR="00FC0DB8" w:rsidRPr="00DC355D" w:rsidRDefault="00FC0DB8" w:rsidP="00DC355D">
      <w:pPr>
        <w:pStyle w:val="Source"/>
      </w:pPr>
      <w:r w:rsidRPr="0078054A">
        <w:rPr>
          <w:noProof/>
          <w:lang w:eastAsia="en-NZ"/>
        </w:rPr>
        <w:t>Sources:</w:t>
      </w:r>
      <w:r w:rsidR="00DC355D">
        <w:rPr>
          <w:noProof/>
          <w:lang w:eastAsia="en-NZ"/>
        </w:rPr>
        <w:t xml:space="preserve"> </w:t>
      </w:r>
      <w:r w:rsidRPr="0078054A">
        <w:t>NZTUS 2008/09</w:t>
      </w:r>
      <w:r>
        <w:t xml:space="preserve"> and </w:t>
      </w:r>
      <w:r w:rsidRPr="0078054A">
        <w:t>N</w:t>
      </w:r>
      <w:r>
        <w:t xml:space="preserve">ew </w:t>
      </w:r>
      <w:r w:rsidRPr="0078054A">
        <w:t>Z</w:t>
      </w:r>
      <w:r>
        <w:t xml:space="preserve">ealand </w:t>
      </w:r>
      <w:r w:rsidRPr="0078054A">
        <w:t>H</w:t>
      </w:r>
      <w:r>
        <w:t xml:space="preserve">ealth </w:t>
      </w:r>
      <w:r w:rsidRPr="0078054A">
        <w:t>S</w:t>
      </w:r>
      <w:r>
        <w:t>urveys</w:t>
      </w:r>
      <w:r w:rsidRPr="0078054A">
        <w:t xml:space="preserve"> 2006/07, 2011/12, 2012/13, 2013/14, 2014/15</w:t>
      </w:r>
      <w:r>
        <w:t xml:space="preserve"> and </w:t>
      </w:r>
      <w:r w:rsidRPr="0078054A">
        <w:t>2015/16</w:t>
      </w:r>
    </w:p>
    <w:p w14:paraId="58508632" w14:textId="77777777" w:rsidR="00FC0DB8" w:rsidRPr="0046669C" w:rsidRDefault="00FC0DB8" w:rsidP="00643898">
      <w:pPr>
        <w:rPr>
          <w:noProof/>
          <w:lang w:eastAsia="en-NZ"/>
        </w:rPr>
      </w:pPr>
    </w:p>
    <w:p w14:paraId="24392267" w14:textId="77777777" w:rsidR="00FC0DB8" w:rsidRPr="001062A8" w:rsidRDefault="00FC0DB8" w:rsidP="00643898">
      <w:pPr>
        <w:rPr>
          <w:noProof/>
          <w:lang w:eastAsia="en-NZ"/>
        </w:rPr>
      </w:pPr>
      <w:r w:rsidRPr="0046669C">
        <w:rPr>
          <w:noProof/>
          <w:lang w:eastAsia="en-NZ"/>
        </w:rPr>
        <w:t xml:space="preserve">What do these findings tell us about indigenous </w:t>
      </w:r>
      <w:r w:rsidRPr="001062A8">
        <w:rPr>
          <w:noProof/>
          <w:lang w:eastAsia="en-NZ"/>
        </w:rPr>
        <w:t xml:space="preserve">inequality? In 2006, the absolute inequality (rate difference) in daily smoking prevalence was 20.1 per 100 for male youth and 29.0 per 100 for female youth. By 2015, this had fallen to 15.5 per 100 and 24.2 per 100 respectively. Relative inequality (rate ratio) remained stable for males at 2.1 (2006 and 2015) while </w:t>
      </w:r>
      <w:r w:rsidRPr="001062A8">
        <w:rPr>
          <w:i/>
          <w:noProof/>
          <w:lang w:eastAsia="en-NZ"/>
        </w:rPr>
        <w:t>increasing</w:t>
      </w:r>
      <w:r w:rsidRPr="001062A8">
        <w:rPr>
          <w:noProof/>
          <w:lang w:eastAsia="en-NZ"/>
        </w:rPr>
        <w:t xml:space="preserve"> for females, from 2.7 (2006) to 3.8 (2015). This is a 65% increase in inequality ([3.8–2.7] / [2.7–1]). That is, absolute inequality between Māori and non-Māori declined in both sexes.</w:t>
      </w:r>
    </w:p>
    <w:p w14:paraId="3EE99505" w14:textId="77777777" w:rsidR="00FC0DB8" w:rsidRPr="001062A8" w:rsidRDefault="00FC0DB8" w:rsidP="00643898">
      <w:pPr>
        <w:rPr>
          <w:noProof/>
          <w:lang w:eastAsia="en-NZ"/>
        </w:rPr>
      </w:pPr>
    </w:p>
    <w:p w14:paraId="2206C539" w14:textId="77777777" w:rsidR="00FD6712" w:rsidRDefault="00FC0DB8" w:rsidP="00643898">
      <w:pPr>
        <w:rPr>
          <w:noProof/>
          <w:lang w:eastAsia="en-NZ"/>
        </w:rPr>
      </w:pPr>
      <w:r w:rsidRPr="001062A8">
        <w:rPr>
          <w:noProof/>
          <w:lang w:eastAsia="en-NZ"/>
        </w:rPr>
        <w:t xml:space="preserve">Relative inequality (rate ratio), on the other hand, remained stable for males at 2.1 (2006 and 2015) while </w:t>
      </w:r>
      <w:r w:rsidRPr="001062A8">
        <w:rPr>
          <w:i/>
          <w:noProof/>
          <w:lang w:eastAsia="en-NZ"/>
        </w:rPr>
        <w:t>increasing</w:t>
      </w:r>
      <w:r w:rsidRPr="001062A8">
        <w:rPr>
          <w:noProof/>
          <w:lang w:eastAsia="en-NZ"/>
        </w:rPr>
        <w:t xml:space="preserve"> for females, from 2.7 (2006) to 3.8 (2015). That</w:t>
      </w:r>
      <w:r w:rsidRPr="00910B28">
        <w:rPr>
          <w:noProof/>
          <w:lang w:eastAsia="en-NZ"/>
        </w:rPr>
        <w:t xml:space="preserve"> is, smoking among M</w:t>
      </w:r>
      <w:r>
        <w:rPr>
          <w:noProof/>
          <w:lang w:eastAsia="en-NZ"/>
        </w:rPr>
        <w:t>ā</w:t>
      </w:r>
      <w:r w:rsidRPr="00910B28">
        <w:rPr>
          <w:noProof/>
          <w:lang w:eastAsia="en-NZ"/>
        </w:rPr>
        <w:t>ori female youth went from almost three times higher to almost four times higher than their non</w:t>
      </w:r>
      <w:r>
        <w:rPr>
          <w:noProof/>
          <w:lang w:eastAsia="en-NZ"/>
        </w:rPr>
        <w:t>-</w:t>
      </w:r>
      <w:r w:rsidRPr="00910B28">
        <w:rPr>
          <w:noProof/>
          <w:lang w:eastAsia="en-NZ"/>
        </w:rPr>
        <w:t>M</w:t>
      </w:r>
      <w:r>
        <w:rPr>
          <w:noProof/>
          <w:lang w:eastAsia="en-NZ"/>
        </w:rPr>
        <w:t>ā</w:t>
      </w:r>
      <w:r w:rsidRPr="00910B28">
        <w:rPr>
          <w:noProof/>
          <w:lang w:eastAsia="en-NZ"/>
        </w:rPr>
        <w:t>ori counterparts.</w:t>
      </w:r>
    </w:p>
    <w:p w14:paraId="78C8DE77" w14:textId="77777777" w:rsidR="00FC0DB8" w:rsidRDefault="00FC0DB8" w:rsidP="00643898">
      <w:pPr>
        <w:rPr>
          <w:noProof/>
          <w:lang w:eastAsia="en-NZ"/>
        </w:rPr>
      </w:pPr>
    </w:p>
    <w:p w14:paraId="4D0B755D" w14:textId="77777777" w:rsidR="00FD6712" w:rsidRDefault="00FC0DB8" w:rsidP="00643898">
      <w:pPr>
        <w:rPr>
          <w:noProof/>
          <w:lang w:eastAsia="en-NZ"/>
        </w:rPr>
      </w:pPr>
      <w:r w:rsidRPr="0046669C">
        <w:rPr>
          <w:noProof/>
          <w:lang w:eastAsia="en-NZ"/>
        </w:rPr>
        <w:t xml:space="preserve">Why did relative inequality in smoking prevalence increase for Māori female youth? The decline in prevalence over the observation period for this group was almost 29% </w:t>
      </w:r>
      <w:r>
        <w:rPr>
          <w:noProof/>
          <w:lang w:eastAsia="en-NZ"/>
        </w:rPr>
        <w:t>–</w:t>
      </w:r>
      <w:r w:rsidRPr="0046669C">
        <w:rPr>
          <w:noProof/>
          <w:lang w:eastAsia="en-NZ"/>
        </w:rPr>
        <w:t xml:space="preserve"> greater than that of their male counterparts (22%) </w:t>
      </w:r>
      <w:r>
        <w:rPr>
          <w:noProof/>
          <w:lang w:eastAsia="en-NZ"/>
        </w:rPr>
        <w:t>and</w:t>
      </w:r>
      <w:r w:rsidRPr="0046669C">
        <w:rPr>
          <w:noProof/>
          <w:lang w:eastAsia="en-NZ"/>
        </w:rPr>
        <w:t xml:space="preserve"> of non-Māori males (21%). The increase in inequality was caused</w:t>
      </w:r>
      <w:r>
        <w:rPr>
          <w:noProof/>
          <w:lang w:eastAsia="en-NZ"/>
        </w:rPr>
        <w:t xml:space="preserve"> entirely</w:t>
      </w:r>
      <w:r w:rsidRPr="0046669C">
        <w:rPr>
          <w:noProof/>
          <w:lang w:eastAsia="en-NZ"/>
        </w:rPr>
        <w:t xml:space="preserve"> by the dramatic decline in smoking among non-Māori female youth – a fall of 49% or almost 8% per year (assuming linearity).</w:t>
      </w:r>
    </w:p>
    <w:p w14:paraId="4BA24D9F" w14:textId="77777777" w:rsidR="00FC0DB8" w:rsidRPr="0046669C" w:rsidRDefault="00FC0DB8" w:rsidP="00643898"/>
    <w:p w14:paraId="2C88A8A0" w14:textId="77777777" w:rsidR="00FC0DB8" w:rsidRPr="0046669C" w:rsidRDefault="00FC0DB8" w:rsidP="00643898">
      <w:pPr>
        <w:pStyle w:val="Heading4"/>
      </w:pPr>
      <w:r w:rsidRPr="0046669C">
        <w:t>Policy implications</w:t>
      </w:r>
    </w:p>
    <w:p w14:paraId="11B9D021" w14:textId="77777777" w:rsidR="00FC0DB8" w:rsidRPr="00643898" w:rsidRDefault="00FC0DB8" w:rsidP="00643898">
      <w:r w:rsidRPr="0046669C">
        <w:t>While smoking is declining among all subgroups of youth, the indigenous inequality in daily smoking prevalence, measured on a relative scale, will narrow only slowly (if at all) among male youth and will continue to widen among female youth, if current trends continue.</w:t>
      </w:r>
      <w:r w:rsidRPr="00643898">
        <w:rPr>
          <w:rStyle w:val="FootnoteReference"/>
        </w:rPr>
        <w:footnoteReference w:id="6"/>
      </w:r>
    </w:p>
    <w:p w14:paraId="207238D7" w14:textId="77777777" w:rsidR="00FC0DB8" w:rsidRPr="0046669C" w:rsidRDefault="00FC0DB8" w:rsidP="00643898"/>
    <w:p w14:paraId="58FB4215" w14:textId="77777777" w:rsidR="00FD6712" w:rsidRDefault="00FC0DB8" w:rsidP="00643898">
      <w:r w:rsidRPr="0046669C">
        <w:t>Th</w:t>
      </w:r>
      <w:r>
        <w:t>us, th</w:t>
      </w:r>
      <w:r w:rsidRPr="0046669C">
        <w:t>ere is a critical need to enhance the effectiveness and responsiveness of tobacco control interventions and tobacco control polic</w:t>
      </w:r>
      <w:r>
        <w:t>ies</w:t>
      </w:r>
      <w:r w:rsidRPr="0046669C">
        <w:t xml:space="preserve"> for Māori youth, especially female</w:t>
      </w:r>
      <w:r>
        <w:t xml:space="preserve"> </w:t>
      </w:r>
      <w:r w:rsidRPr="0046669C">
        <w:t>Māori youth.</w:t>
      </w:r>
    </w:p>
    <w:p w14:paraId="3A22FF63" w14:textId="77777777" w:rsidR="00FC0DB8" w:rsidRPr="0046669C" w:rsidRDefault="00FC0DB8" w:rsidP="00643898"/>
    <w:p w14:paraId="6BAC580C" w14:textId="77777777" w:rsidR="00FC0DB8" w:rsidRDefault="00FC0DB8" w:rsidP="00BA51DA">
      <w:pPr>
        <w:pStyle w:val="Heading3"/>
      </w:pPr>
      <w:r>
        <w:lastRenderedPageBreak/>
        <w:t>Four in five adults drank alcohol in the past year</w:t>
      </w:r>
    </w:p>
    <w:p w14:paraId="4DBAB174" w14:textId="77777777" w:rsidR="00FC0DB8" w:rsidRPr="00AE7131" w:rsidRDefault="00FC0DB8" w:rsidP="00E11BD8">
      <w:pPr>
        <w:pStyle w:val="Box"/>
        <w:jc w:val="center"/>
      </w:pPr>
      <w:r w:rsidRPr="00D127B0">
        <w:rPr>
          <w:noProof/>
          <w:lang w:eastAsia="en-NZ"/>
        </w:rPr>
        <w:drawing>
          <wp:inline distT="0" distB="0" distL="0" distR="0" wp14:anchorId="06A7A700" wp14:editId="68BE637E">
            <wp:extent cx="5600700" cy="31432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0E369AF7" w14:textId="77777777" w:rsidR="00FC0DB8" w:rsidRPr="003E5D9A" w:rsidRDefault="00FC0DB8" w:rsidP="00BA51DA">
      <w:pPr>
        <w:spacing w:before="200"/>
      </w:pPr>
      <w:r w:rsidRPr="003E5D9A">
        <w:t xml:space="preserve">Alcohol harm is driven by </w:t>
      </w:r>
      <w:r>
        <w:t xml:space="preserve">both </w:t>
      </w:r>
      <w:r w:rsidRPr="003E5D9A">
        <w:t xml:space="preserve">the total volume consumed and by patterns of drinking (WHO 2014). </w:t>
      </w:r>
      <w:r w:rsidRPr="000D5C74">
        <w:t xml:space="preserve">Alcohol use accounted for </w:t>
      </w:r>
      <w:r>
        <w:t>jus</w:t>
      </w:r>
      <w:r w:rsidRPr="000D5C74">
        <w:t>t</w:t>
      </w:r>
      <w:r>
        <w:t xml:space="preserve"> under</w:t>
      </w:r>
      <w:r w:rsidRPr="000D5C74">
        <w:t xml:space="preserve"> 4% of total health loss in </w:t>
      </w:r>
      <w:r>
        <w:t xml:space="preserve">New Zealand in </w:t>
      </w:r>
      <w:r w:rsidRPr="000D5C74">
        <w:t>2013 (</w:t>
      </w:r>
      <w:r>
        <w:t>Ministry of Health 2016e</w:t>
      </w:r>
      <w:r w:rsidRPr="000D5C74">
        <w:t xml:space="preserve">). Half of </w:t>
      </w:r>
      <w:r>
        <w:t xml:space="preserve">the alcohol-induced </w:t>
      </w:r>
      <w:r w:rsidRPr="000D5C74">
        <w:t>health loss was due to disease (especially mental illness, such as alcohol use disorder); the remainder was due to injury.</w:t>
      </w:r>
      <w:r w:rsidRPr="003E5D9A">
        <w:t xml:space="preserve"> The percentage of adults who had a drink containing alcohol in the </w:t>
      </w:r>
      <w:r>
        <w:t>past</w:t>
      </w:r>
      <w:r w:rsidRPr="003E5D9A">
        <w:t xml:space="preserve"> year, </w:t>
      </w:r>
      <w:r w:rsidR="00FD6712">
        <w:t>‘</w:t>
      </w:r>
      <w:r w:rsidRPr="003E5D9A">
        <w:t>past-year drinkers</w:t>
      </w:r>
      <w:r w:rsidR="00FD6712">
        <w:t>’</w:t>
      </w:r>
      <w:r w:rsidRPr="003E5D9A">
        <w:t xml:space="preserve">, provides context </w:t>
      </w:r>
      <w:r>
        <w:t>for</w:t>
      </w:r>
      <w:r w:rsidRPr="003E5D9A">
        <w:t xml:space="preserve"> </w:t>
      </w:r>
      <w:r>
        <w:t xml:space="preserve">the potential for </w:t>
      </w:r>
      <w:r w:rsidRPr="003E5D9A">
        <w:t>alcohol</w:t>
      </w:r>
      <w:r>
        <w:t>-</w:t>
      </w:r>
      <w:r w:rsidRPr="003E5D9A">
        <w:t>related harm.</w:t>
      </w:r>
    </w:p>
    <w:p w14:paraId="5FE3B7D1" w14:textId="4AE86942" w:rsidR="00FC0DB8" w:rsidRDefault="00FC0DB8" w:rsidP="00BA51DA">
      <w:pPr>
        <w:spacing w:before="200"/>
      </w:pPr>
      <w:r>
        <w:t>Four</w:t>
      </w:r>
      <w:r w:rsidRPr="00BA4866">
        <w:t xml:space="preserve"> </w:t>
      </w:r>
      <w:r>
        <w:t xml:space="preserve">in </w:t>
      </w:r>
      <w:r w:rsidRPr="00BA4866">
        <w:t xml:space="preserve">five adults (80%) </w:t>
      </w:r>
      <w:r>
        <w:t>drank alcohol in the past year</w:t>
      </w:r>
      <w:r w:rsidRPr="00BA4866">
        <w:t xml:space="preserve">, </w:t>
      </w:r>
      <w:r w:rsidR="00743CE3">
        <w:t>down from 84</w:t>
      </w:r>
      <w:r>
        <w:t>% in 2006/07</w:t>
      </w:r>
      <w:r w:rsidRPr="00BA4866">
        <w:t>. Men</w:t>
      </w:r>
      <w:r>
        <w:t xml:space="preserve"> (84%)</w:t>
      </w:r>
      <w:r w:rsidRPr="003E5D9A">
        <w:t xml:space="preserve"> were more likely to </w:t>
      </w:r>
      <w:r>
        <w:t>have drunk alcohol in the past year</w:t>
      </w:r>
      <w:r w:rsidRPr="003E5D9A">
        <w:t xml:space="preserve"> than women (</w:t>
      </w:r>
      <w:r>
        <w:t>76</w:t>
      </w:r>
      <w:r w:rsidRPr="003E5D9A">
        <w:t>%).</w:t>
      </w:r>
      <w:r w:rsidR="00BA51DA">
        <w:rPr>
          <w:rStyle w:val="FootnoteReference"/>
        </w:rPr>
        <w:footnoteReference w:id="7"/>
      </w:r>
    </w:p>
    <w:p w14:paraId="3E0FAEB5" w14:textId="6E47623E" w:rsidR="00FC0DB8" w:rsidRDefault="00FC0DB8" w:rsidP="00BA51DA">
      <w:pPr>
        <w:spacing w:before="200"/>
      </w:pPr>
      <w:r>
        <w:t>Fifty-seven percent of 1</w:t>
      </w:r>
      <w:r w:rsidRPr="003E5D9A">
        <w:t>5</w:t>
      </w:r>
      <w:r>
        <w:t xml:space="preserve">- to 17-year-olds drank alcohol in the past year, a large decrease from 75% in 2006/07. </w:t>
      </w:r>
      <w:r w:rsidR="0071224A">
        <w:t>About eighty</w:t>
      </w:r>
      <w:r>
        <w:t xml:space="preserve"> percent of adults aged 18–74 years drank alcohol in the past year, but the rate was lower for those aged over 75 years (70%). T</w:t>
      </w:r>
      <w:r w:rsidRPr="003E5D9A">
        <w:t xml:space="preserve">he </w:t>
      </w:r>
      <w:r>
        <w:t>difference was greater in older women than men. Seventy-four percent of</w:t>
      </w:r>
      <w:r w:rsidRPr="003E5D9A">
        <w:t xml:space="preserve"> women </w:t>
      </w:r>
      <w:r>
        <w:t>in the 6</w:t>
      </w:r>
      <w:r w:rsidRPr="003E5D9A">
        <w:t>5</w:t>
      </w:r>
      <w:r>
        <w:t>–7</w:t>
      </w:r>
      <w:r w:rsidRPr="003E5D9A">
        <w:t>4 years</w:t>
      </w:r>
      <w:r>
        <w:t xml:space="preserve"> age group drank alcohol in the past year compared with 63</w:t>
      </w:r>
      <w:r w:rsidRPr="003E5D9A">
        <w:t xml:space="preserve">% </w:t>
      </w:r>
      <w:r>
        <w:t>of women in the 75 years and over age group. For</w:t>
      </w:r>
      <w:r w:rsidRPr="003E5D9A">
        <w:t xml:space="preserve"> men</w:t>
      </w:r>
      <w:r>
        <w:t xml:space="preserve">, the rates were </w:t>
      </w:r>
      <w:r w:rsidRPr="003E5D9A">
        <w:t>8</w:t>
      </w:r>
      <w:r>
        <w:t>5% and 78</w:t>
      </w:r>
      <w:r w:rsidRPr="003E5D9A">
        <w:t>%</w:t>
      </w:r>
      <w:r>
        <w:t xml:space="preserve"> for the respective age groups.</w:t>
      </w:r>
    </w:p>
    <w:p w14:paraId="7AAE312A" w14:textId="77777777" w:rsidR="00FC0DB8" w:rsidRDefault="00FC0DB8" w:rsidP="00BA51DA">
      <w:pPr>
        <w:spacing w:before="200"/>
      </w:pPr>
      <w:r>
        <w:t xml:space="preserve">Only 56% of </w:t>
      </w:r>
      <w:r w:rsidRPr="003E5D9A">
        <w:t xml:space="preserve">Asian and </w:t>
      </w:r>
      <w:r>
        <w:t xml:space="preserve">58% of </w:t>
      </w:r>
      <w:r w:rsidRPr="003E5D9A">
        <w:t xml:space="preserve">Pacific adults </w:t>
      </w:r>
      <w:r>
        <w:t>drank alcohol in the past year.</w:t>
      </w:r>
      <w:r w:rsidR="00BA51DA">
        <w:rPr>
          <w:vertAlign w:val="superscript"/>
        </w:rPr>
        <w:t>7</w:t>
      </w:r>
      <w:r>
        <w:t xml:space="preserve"> </w:t>
      </w:r>
      <w:r w:rsidRPr="003E5D9A">
        <w:t xml:space="preserve">Asian and Pacific adults </w:t>
      </w:r>
      <w:r w:rsidRPr="00674282">
        <w:t xml:space="preserve">were much less likely </w:t>
      </w:r>
      <w:r>
        <w:t>to have drunk alcohol in the past year than non-</w:t>
      </w:r>
      <w:r w:rsidRPr="003E5D9A">
        <w:t xml:space="preserve">Asian and </w:t>
      </w:r>
      <w:r>
        <w:t>non</w:t>
      </w:r>
      <w:r w:rsidR="00BA51DA">
        <w:noBreakHyphen/>
      </w:r>
      <w:r w:rsidRPr="003E5D9A">
        <w:t>Pacific adults</w:t>
      </w:r>
      <w:r>
        <w:t xml:space="preserve"> respectively</w:t>
      </w:r>
      <w:r w:rsidRPr="00674282">
        <w:t>, after adjusting for age and sex</w:t>
      </w:r>
      <w:r>
        <w:t xml:space="preserve"> differences</w:t>
      </w:r>
      <w:r w:rsidRPr="003E5D9A">
        <w:t>.</w:t>
      </w:r>
    </w:p>
    <w:p w14:paraId="07A1092E" w14:textId="365A5748" w:rsidR="00FC0DB8" w:rsidRPr="003E5D9A" w:rsidRDefault="00FC0DB8" w:rsidP="00BA51DA">
      <w:pPr>
        <w:spacing w:before="200"/>
      </w:pPr>
      <w:r>
        <w:t>Adults</w:t>
      </w:r>
      <w:r w:rsidRPr="00674282">
        <w:t xml:space="preserve"> in the most </w:t>
      </w:r>
      <w:r>
        <w:t xml:space="preserve">socioeconomically </w:t>
      </w:r>
      <w:r w:rsidRPr="00674282">
        <w:t>deprived areas were less likely</w:t>
      </w:r>
      <w:r>
        <w:t xml:space="preserve"> to</w:t>
      </w:r>
      <w:r w:rsidRPr="00674282">
        <w:t xml:space="preserve"> </w:t>
      </w:r>
      <w:r>
        <w:t xml:space="preserve">have drunk alcohol in the past year </w:t>
      </w:r>
      <w:r w:rsidRPr="00674282">
        <w:t>(</w:t>
      </w:r>
      <w:r w:rsidR="00734E72">
        <w:t>70</w:t>
      </w:r>
      <w:r w:rsidRPr="00674282">
        <w:t xml:space="preserve">%) than </w:t>
      </w:r>
      <w:r>
        <w:t>adults</w:t>
      </w:r>
      <w:r w:rsidRPr="00674282">
        <w:t xml:space="preserve"> in the least deprived areas (</w:t>
      </w:r>
      <w:r>
        <w:t>86</w:t>
      </w:r>
      <w:r w:rsidRPr="00674282">
        <w:t>%).</w:t>
      </w:r>
      <w:r w:rsidR="00BA51DA">
        <w:rPr>
          <w:vertAlign w:val="superscript"/>
        </w:rPr>
        <w:t>7</w:t>
      </w:r>
      <w:r>
        <w:t xml:space="preserve"> However, t</w:t>
      </w:r>
      <w:r w:rsidRPr="003E5D9A">
        <w:t xml:space="preserve">his </w:t>
      </w:r>
      <w:r>
        <w:t xml:space="preserve">disparity in </w:t>
      </w:r>
      <w:r w:rsidRPr="003E5D9A">
        <w:t>alcohol</w:t>
      </w:r>
      <w:r>
        <w:t xml:space="preserve"> use</w:t>
      </w:r>
      <w:r w:rsidRPr="003E5D9A">
        <w:t xml:space="preserve"> </w:t>
      </w:r>
      <w:r>
        <w:t xml:space="preserve">was reversed for drinking patterns that are </w:t>
      </w:r>
      <w:r w:rsidRPr="003E5D9A">
        <w:t xml:space="preserve">hazardous to health: those living in the most </w:t>
      </w:r>
      <w:r>
        <w:t xml:space="preserve">socioeconomically </w:t>
      </w:r>
      <w:r w:rsidRPr="003E5D9A">
        <w:t xml:space="preserve">deprived areas were more likely to be hazardous drinkers than those living in the least deprived areas (see </w:t>
      </w:r>
      <w:r>
        <w:t>below</w:t>
      </w:r>
      <w:r w:rsidRPr="00BA4866">
        <w:t>).</w:t>
      </w:r>
    </w:p>
    <w:p w14:paraId="47E9D2FF" w14:textId="77777777" w:rsidR="00FC0DB8" w:rsidRDefault="00FC0DB8" w:rsidP="00BA51DA">
      <w:pPr>
        <w:spacing w:before="200"/>
      </w:pPr>
      <w:r w:rsidRPr="003B3F42">
        <w:t>According to Statistics New Zealand (201</w:t>
      </w:r>
      <w:r>
        <w:t>6</w:t>
      </w:r>
      <w:r w:rsidRPr="003B3F42">
        <w:t xml:space="preserve">), the amount of alcohol available for consumption in 2015 </w:t>
      </w:r>
      <w:r>
        <w:t>was</w:t>
      </w:r>
      <w:r w:rsidRPr="003B3F42">
        <w:t xml:space="preserve"> less than </w:t>
      </w:r>
      <w:r>
        <w:t xml:space="preserve">the amount available </w:t>
      </w:r>
      <w:r w:rsidRPr="003B3F42">
        <w:t>in 2014. In 2015, there were 1.9 standard drinks available per person (aged 15</w:t>
      </w:r>
      <w:r>
        <w:t xml:space="preserve"> years and over</w:t>
      </w:r>
      <w:r w:rsidRPr="003B3F42">
        <w:t>) per day, down from 2.0 in 2014. This does not include alcohol produced by households (eg, homebrew).</w:t>
      </w:r>
    </w:p>
    <w:p w14:paraId="70505DB2" w14:textId="77777777" w:rsidR="00FC0DB8" w:rsidRPr="00174B6C" w:rsidRDefault="00FC0DB8" w:rsidP="00BA51DA">
      <w:pPr>
        <w:pStyle w:val="Heading3"/>
        <w:spacing w:before="360"/>
      </w:pPr>
      <w:r>
        <w:lastRenderedPageBreak/>
        <w:t>The percentage of adults with hazardous drinking patterns increased</w:t>
      </w:r>
    </w:p>
    <w:p w14:paraId="5627666E" w14:textId="77777777" w:rsidR="00FC0DB8" w:rsidRDefault="00FC0DB8" w:rsidP="00E11BD8">
      <w:pPr>
        <w:pStyle w:val="Box"/>
        <w:jc w:val="center"/>
      </w:pPr>
      <w:r w:rsidRPr="00D118D3">
        <w:rPr>
          <w:noProof/>
          <w:lang w:eastAsia="en-NZ"/>
        </w:rPr>
        <w:drawing>
          <wp:inline distT="0" distB="0" distL="0" distR="0" wp14:anchorId="6AFBD753" wp14:editId="5A808356">
            <wp:extent cx="5600700"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40917209" w14:textId="77777777" w:rsidR="00FC0DB8" w:rsidRPr="00D118D3" w:rsidRDefault="00FD6712" w:rsidP="00E11BD8">
      <w:pPr>
        <w:spacing w:before="200"/>
      </w:pPr>
      <w:r>
        <w:t>‘</w:t>
      </w:r>
      <w:r w:rsidR="00FC0DB8" w:rsidRPr="00D118D3">
        <w:t>Hazardous drinking</w:t>
      </w:r>
      <w:r>
        <w:t>’</w:t>
      </w:r>
      <w:r w:rsidR="00FC0DB8" w:rsidRPr="00D118D3">
        <w:t xml:space="preserve"> refers to an established </w:t>
      </w:r>
      <w:r w:rsidR="00FC0DB8">
        <w:t xml:space="preserve">alcohol </w:t>
      </w:r>
      <w:r w:rsidR="00FC0DB8" w:rsidRPr="00D118D3">
        <w:t>drinking pattern that carries a risk of harming the drinker</w:t>
      </w:r>
      <w:r>
        <w:t>’</w:t>
      </w:r>
      <w:r w:rsidR="00FC0DB8" w:rsidRPr="00D118D3">
        <w:t>s physical or mental health or having harmful social effects on the drinker or others. Hazardous drinking is defined as a score of 8 points or more on the Alcohol Use Disorders Identification Test (AUDIT).</w:t>
      </w:r>
    </w:p>
    <w:p w14:paraId="26D0A893" w14:textId="77777777" w:rsidR="00FC0DB8" w:rsidRPr="00D118D3" w:rsidRDefault="00FC0DB8" w:rsidP="00E11BD8">
      <w:pPr>
        <w:spacing w:before="200"/>
      </w:pPr>
      <w:r>
        <w:t xml:space="preserve">In 2015/16, drinking was measured in </w:t>
      </w:r>
      <w:r w:rsidR="00FD6712">
        <w:t>‘</w:t>
      </w:r>
      <w:r>
        <w:t>standard drinks</w:t>
      </w:r>
      <w:r w:rsidR="00FD6712">
        <w:t>’</w:t>
      </w:r>
      <w:r>
        <w:t xml:space="preserve"> as well as </w:t>
      </w:r>
      <w:r w:rsidR="00FD6712">
        <w:t>‘</w:t>
      </w:r>
      <w:r>
        <w:t>drinks</w:t>
      </w:r>
      <w:r w:rsidR="00FD6712">
        <w:t>’</w:t>
      </w:r>
      <w:r>
        <w:t xml:space="preserve"> (for more information, see below). When we measured drinking in </w:t>
      </w:r>
      <w:r w:rsidR="00FD6712">
        <w:t>‘</w:t>
      </w:r>
      <w:r>
        <w:t>standard drinks</w:t>
      </w:r>
      <w:r w:rsidR="00FD6712">
        <w:t>’</w:t>
      </w:r>
      <w:r>
        <w:t xml:space="preserve">, </w:t>
      </w:r>
      <w:r w:rsidRPr="00D118D3">
        <w:t>20</w:t>
      </w:r>
      <w:r>
        <w:t>% of</w:t>
      </w:r>
      <w:r w:rsidRPr="00D118D3">
        <w:t xml:space="preserve"> adults </w:t>
      </w:r>
      <w:r>
        <w:t>were hazardous drinkers</w:t>
      </w:r>
      <w:r w:rsidRPr="00D118D3">
        <w:t>.</w:t>
      </w:r>
      <w:r w:rsidR="00BA51DA">
        <w:rPr>
          <w:rStyle w:val="FootnoteReference"/>
        </w:rPr>
        <w:footnoteReference w:id="8"/>
      </w:r>
    </w:p>
    <w:p w14:paraId="2DDFD90F" w14:textId="77777777" w:rsidR="00FC0DB8" w:rsidRPr="002F7E22" w:rsidRDefault="00FC0DB8" w:rsidP="00E11BD8">
      <w:pPr>
        <w:spacing w:before="200"/>
      </w:pPr>
      <w:r w:rsidRPr="002F7E22">
        <w:t>Rates of hazardous drinking varied by sex, age, ethnic group and area deprivation, as follows.</w:t>
      </w:r>
      <w:r w:rsidR="00BA51DA">
        <w:rPr>
          <w:vertAlign w:val="superscript"/>
        </w:rPr>
        <w:t>8</w:t>
      </w:r>
    </w:p>
    <w:p w14:paraId="7F96DD20" w14:textId="77777777" w:rsidR="00FC0DB8" w:rsidRPr="00711597" w:rsidRDefault="00FC0DB8" w:rsidP="00BA51DA">
      <w:pPr>
        <w:pStyle w:val="Bullet"/>
      </w:pPr>
      <w:r w:rsidRPr="00711597">
        <w:t>Men (29%) were twice as likely as women (13%) to be hazardous drinkers.</w:t>
      </w:r>
    </w:p>
    <w:p w14:paraId="59AE1C2B" w14:textId="77777777" w:rsidR="00FC0DB8" w:rsidRPr="00711597" w:rsidRDefault="00FC0DB8" w:rsidP="00BA51DA">
      <w:pPr>
        <w:pStyle w:val="Bullet"/>
      </w:pPr>
      <w:r w:rsidRPr="00711597">
        <w:t>Hazardous drinking rates peaked among young adults (44% of men and 30% of women aged 18–24 years) and decreased thereafter. Young adults (aged 18–24 years) also had the highest rate of weekly binge drinking (six or more drinks on one occasion) at 20%.</w:t>
      </w:r>
    </w:p>
    <w:p w14:paraId="077B8E18" w14:textId="77777777" w:rsidR="00FD6712" w:rsidRDefault="00FC0DB8" w:rsidP="00BA51DA">
      <w:pPr>
        <w:pStyle w:val="Bullet"/>
      </w:pPr>
      <w:r w:rsidRPr="00EB7FDE">
        <w:t xml:space="preserve">Māori adults </w:t>
      </w:r>
      <w:r>
        <w:t xml:space="preserve">(31%) </w:t>
      </w:r>
      <w:r w:rsidRPr="00EB7FDE">
        <w:t>were more likely</w:t>
      </w:r>
      <w:r>
        <w:t xml:space="preserve"> </w:t>
      </w:r>
      <w:r w:rsidRPr="00EB7FDE">
        <w:t xml:space="preserve">than non-Māori </w:t>
      </w:r>
      <w:r>
        <w:t xml:space="preserve">adults </w:t>
      </w:r>
      <w:r w:rsidRPr="00EB7FDE">
        <w:t xml:space="preserve">to </w:t>
      </w:r>
      <w:r>
        <w:t>be</w:t>
      </w:r>
      <w:r w:rsidRPr="00EB7FDE">
        <w:t xml:space="preserve"> hazardous </w:t>
      </w:r>
      <w:r>
        <w:t>drinkers, and Asian adults (7%) were less likely</w:t>
      </w:r>
      <w:r w:rsidRPr="00EB7FDE">
        <w:t xml:space="preserve"> </w:t>
      </w:r>
      <w:r>
        <w:t xml:space="preserve">than non-Asian </w:t>
      </w:r>
      <w:r w:rsidRPr="00EB7FDE">
        <w:t xml:space="preserve">adults to </w:t>
      </w:r>
      <w:r>
        <w:t>be</w:t>
      </w:r>
      <w:r w:rsidRPr="00EB7FDE">
        <w:t xml:space="preserve"> hazardous </w:t>
      </w:r>
      <w:r>
        <w:t>drinkers</w:t>
      </w:r>
      <w:r w:rsidRPr="00EB7FDE">
        <w:t xml:space="preserve">. Relatively few Pacific adults drank alcohol in the past year (see </w:t>
      </w:r>
      <w:r>
        <w:t>above</w:t>
      </w:r>
      <w:r w:rsidRPr="00EB7FDE">
        <w:t>), but Pacific adults who drink were 1.5</w:t>
      </w:r>
      <w:r>
        <w:t> </w:t>
      </w:r>
      <w:r w:rsidRPr="00EB7FDE">
        <w:t xml:space="preserve">times more likely to </w:t>
      </w:r>
      <w:r>
        <w:t>be hazardous drinkers</w:t>
      </w:r>
      <w:r w:rsidRPr="00EB7FDE">
        <w:t xml:space="preserve"> than non-Pacific </w:t>
      </w:r>
      <w:r>
        <w:t>drinkers</w:t>
      </w:r>
      <w:r w:rsidRPr="00EB7FDE">
        <w:t>, after adjusting for age and sex. Forty-three percent of Pacific</w:t>
      </w:r>
      <w:r>
        <w:t xml:space="preserve"> past-year</w:t>
      </w:r>
      <w:r w:rsidRPr="00EB7FDE">
        <w:t xml:space="preserve"> drinkers were hazardous drinkers.</w:t>
      </w:r>
    </w:p>
    <w:p w14:paraId="2A06D47C" w14:textId="77777777" w:rsidR="00FC0DB8" w:rsidRDefault="00FC0DB8" w:rsidP="00BA51DA">
      <w:pPr>
        <w:pStyle w:val="Bullet"/>
      </w:pPr>
      <w:r>
        <w:t>Despite there being more non-drinkers in the most socioeconomically deprived areas (see above), a</w:t>
      </w:r>
      <w:r w:rsidRPr="00711597">
        <w:t xml:space="preserve">dults in the most </w:t>
      </w:r>
      <w:r>
        <w:t>d</w:t>
      </w:r>
      <w:r w:rsidRPr="00711597">
        <w:t xml:space="preserve">eprived areas were 1.4 times more likely to be hazardous drinkers than </w:t>
      </w:r>
      <w:r>
        <w:t xml:space="preserve">adults </w:t>
      </w:r>
      <w:r w:rsidRPr="00711597">
        <w:t>in the least deprived areas</w:t>
      </w:r>
      <w:r>
        <w:t>. In the most deprived areas, one in four (25%) adults and 35% of past-year drinkers were hazardous drinkers.</w:t>
      </w:r>
    </w:p>
    <w:p w14:paraId="63126180" w14:textId="77777777" w:rsidR="00FC0DB8" w:rsidRDefault="00FC0DB8" w:rsidP="00E11BD8">
      <w:pPr>
        <w:spacing w:before="200"/>
      </w:pPr>
      <w:r>
        <w:t xml:space="preserve">In previous years of the survey, we only measured drinking in </w:t>
      </w:r>
      <w:r w:rsidR="00FD6712">
        <w:t>‘</w:t>
      </w:r>
      <w:r>
        <w:t>drinks</w:t>
      </w:r>
      <w:r w:rsidR="00FD6712">
        <w:t>’</w:t>
      </w:r>
      <w:r>
        <w:t xml:space="preserve">. The 2015/16 survey also measured </w:t>
      </w:r>
      <w:r w:rsidR="00FD6712">
        <w:t>‘</w:t>
      </w:r>
      <w:r>
        <w:t>drinks</w:t>
      </w:r>
      <w:r w:rsidR="00FD6712">
        <w:t>’</w:t>
      </w:r>
      <w:r>
        <w:t xml:space="preserve"> to be able to analyse the change between survey years. This rate declined from 18% in 2006/07 to 15% in 2011/12, and then </w:t>
      </w:r>
      <w:r w:rsidRPr="0093422D">
        <w:t>increased to 19%</w:t>
      </w:r>
      <w:r>
        <w:t xml:space="preserve"> in 2015/16</w:t>
      </w:r>
      <w:r w:rsidRPr="0093422D">
        <w:t xml:space="preserve">. Hazardous drinking has increased in </w:t>
      </w:r>
      <w:r>
        <w:t>all</w:t>
      </w:r>
      <w:r w:rsidRPr="0093422D">
        <w:t xml:space="preserve"> age groups, except for those aged 15–17 years and 75 years and over.</w:t>
      </w:r>
    </w:p>
    <w:p w14:paraId="53335E24" w14:textId="77777777" w:rsidR="00FC0DB8" w:rsidRDefault="00FC0DB8" w:rsidP="00E11BD8">
      <w:pPr>
        <w:pStyle w:val="Heading3"/>
        <w:spacing w:before="360"/>
      </w:pPr>
      <w:r>
        <w:lastRenderedPageBreak/>
        <w:t>More information on alcohol</w:t>
      </w:r>
    </w:p>
    <w:p w14:paraId="74AF6178" w14:textId="77777777" w:rsidR="00FC0DB8" w:rsidRDefault="00FC0DB8" w:rsidP="00E11BD8">
      <w:pPr>
        <w:pStyle w:val="Heading4"/>
      </w:pPr>
      <w:r w:rsidRPr="0058218F">
        <w:t>Alcohol Use Disorders Identification Test (AUDIT)</w:t>
      </w:r>
    </w:p>
    <w:p w14:paraId="073B22FF" w14:textId="77777777" w:rsidR="00FD6712" w:rsidRDefault="00FC0DB8" w:rsidP="00E11BD8">
      <w:r>
        <w:t>In 2015/16, two alcohol questions were changed in the AUDIT section of the survey. The AUDIT is a 10-item questionnaire that covers three aspects of alcohol use: alcohol consumption, dependence and adverse consequences. A score of 8 or more indicates a hazardous drinking pattern. A respondent can reach a score of 8 from the alcohol consumption items of the questionnaire alone, for example, by drinking six or more drinks on one occasion, twice a week.</w:t>
      </w:r>
    </w:p>
    <w:p w14:paraId="02BA416B" w14:textId="77777777" w:rsidR="00FC0DB8" w:rsidRDefault="00FC0DB8" w:rsidP="00E11BD8">
      <w:pPr>
        <w:spacing w:before="200"/>
      </w:pPr>
      <w:r>
        <w:t xml:space="preserve">Before 2015/16, the survey did not define </w:t>
      </w:r>
      <w:r w:rsidR="00FD6712">
        <w:t>‘</w:t>
      </w:r>
      <w:r>
        <w:t>drinks</w:t>
      </w:r>
      <w:r w:rsidR="00FD6712">
        <w:t>’</w:t>
      </w:r>
      <w:r>
        <w:t xml:space="preserve"> in the two AUDIT questions covering typical quantity and frequency of heavy drinking. To ensure consistency in interpreting the meaning of </w:t>
      </w:r>
      <w:r w:rsidR="00FD6712">
        <w:t>‘</w:t>
      </w:r>
      <w:r>
        <w:t>drinks</w:t>
      </w:r>
      <w:r w:rsidR="00FD6712">
        <w:t>’</w:t>
      </w:r>
      <w:r>
        <w:t xml:space="preserve"> the authors of the AUDIT recommended that each country apply their own definition of a standard drink (in New Zealand, 10 g pure alcohol), with illustrations of standard drinks in local beverages (Babor et al 2001). Thus, for the 2015/16 survey, the two AUDIT alcohol consumption questions were changed from </w:t>
      </w:r>
      <w:r w:rsidR="00FD6712">
        <w:t>‘</w:t>
      </w:r>
      <w:r>
        <w:t>drinks</w:t>
      </w:r>
      <w:r w:rsidR="00FD6712">
        <w:t>’</w:t>
      </w:r>
      <w:r>
        <w:t xml:space="preserve"> to </w:t>
      </w:r>
      <w:r w:rsidR="00FD6712">
        <w:t>‘</w:t>
      </w:r>
      <w:r>
        <w:t>standard drinks</w:t>
      </w:r>
      <w:r w:rsidR="00FD6712">
        <w:t>’</w:t>
      </w:r>
      <w:r>
        <w:t xml:space="preserve"> and included a showcard illustrating the number of standard drinks in various common beverages. The changes were only made for half the survey sample (selected randomly) in order to assess their impact. From 2016/17, surveys will only use the standard drinks show-card version of AUDIT, creating a break in the time series.</w:t>
      </w:r>
    </w:p>
    <w:p w14:paraId="3E6C62DD" w14:textId="77777777" w:rsidR="00FD6712" w:rsidRDefault="00FC0DB8" w:rsidP="00E11BD8">
      <w:pPr>
        <w:spacing w:before="200"/>
      </w:pPr>
      <w:r>
        <w:t>In the 2015/16 survey, 19.3% of adults identified themselves as having a hazardous drinking pattern without the standard drinks picture showcard, compared with 20.8% with the showcard, a difference of 1.5 percentage points. Similarly, 9.5% of adults identified themselves drinking six or more drinks on one occasion at least weekly (binge drinking) without the showcard, compared with 12.0% with the showcard.</w:t>
      </w:r>
    </w:p>
    <w:p w14:paraId="5F198C95" w14:textId="77777777" w:rsidR="00FD6712" w:rsidRDefault="00FC0DB8" w:rsidP="00E11BD8">
      <w:pPr>
        <w:spacing w:before="200"/>
      </w:pPr>
      <w:r>
        <w:t>The impact of the standard drinks showcard is most evident when looking at the statistics for past-year drinkers. For example, without the showcard, 11.9% of past-year drinkers binged drank at least weekly, but with the showcard, 15.0% binge drank at least weekly.</w:t>
      </w:r>
    </w:p>
    <w:p w14:paraId="723307DE" w14:textId="77777777" w:rsidR="00FC0DB8" w:rsidRDefault="00FC0DB8" w:rsidP="00E11BD8">
      <w:pPr>
        <w:pStyle w:val="Figure"/>
        <w:spacing w:before="320"/>
      </w:pPr>
      <w:bookmarkStart w:id="59" w:name="_Toc467831565"/>
      <w:r w:rsidRPr="00B86B02">
        <w:t>Figure 2:</w:t>
      </w:r>
      <w:r w:rsidR="00E11BD8">
        <w:t xml:space="preserve"> </w:t>
      </w:r>
      <w:r w:rsidRPr="00B86B02">
        <w:t>The picture showcard used in the 2015/16 survey, showing the number of standard drinks in commonly consumed alcoholic drinks</w:t>
      </w:r>
      <w:bookmarkEnd w:id="59"/>
    </w:p>
    <w:p w14:paraId="2AC1C463" w14:textId="77777777" w:rsidR="00FC0DB8" w:rsidRDefault="00FC0DB8" w:rsidP="00E11BD8">
      <w:pPr>
        <w:ind w:left="-851" w:right="-1134"/>
      </w:pPr>
      <w:r>
        <w:rPr>
          <w:noProof/>
          <w:lang w:eastAsia="en-NZ"/>
        </w:rPr>
        <w:drawing>
          <wp:inline distT="0" distB="0" distL="0" distR="0" wp14:anchorId="0F3B6192" wp14:editId="06AF335D">
            <wp:extent cx="6848475" cy="2410460"/>
            <wp:effectExtent l="0" t="0" r="9525" b="8890"/>
            <wp:docPr id="7" name="Picture 7" title="Figure 2: The picture show-card used in the 2015/16 survey, showing the number of standard drinks in commonly consumed alcoholic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 r="358" b="460"/>
                    <a:stretch/>
                  </pic:blipFill>
                  <pic:spPr bwMode="auto">
                    <a:xfrm>
                      <a:off x="0" y="0"/>
                      <a:ext cx="6896490" cy="2427360"/>
                    </a:xfrm>
                    <a:prstGeom prst="rect">
                      <a:avLst/>
                    </a:prstGeom>
                    <a:ln>
                      <a:noFill/>
                    </a:ln>
                    <a:extLst>
                      <a:ext uri="{53640926-AAD7-44D8-BBD7-CCE9431645EC}">
                        <a14:shadowObscured xmlns:a14="http://schemas.microsoft.com/office/drawing/2010/main"/>
                      </a:ext>
                    </a:extLst>
                  </pic:spPr>
                </pic:pic>
              </a:graphicData>
            </a:graphic>
          </wp:inline>
        </w:drawing>
      </w:r>
    </w:p>
    <w:p w14:paraId="6697E3CD" w14:textId="77777777" w:rsidR="00E11BD8" w:rsidRPr="00B86B02" w:rsidRDefault="00E11BD8" w:rsidP="00E11BD8"/>
    <w:p w14:paraId="6C0B2781" w14:textId="77777777" w:rsidR="00FC0DB8" w:rsidRPr="00301DC3" w:rsidRDefault="00FC0DB8" w:rsidP="00E11BD8">
      <w:pPr>
        <w:pStyle w:val="Heading3"/>
        <w:rPr>
          <w:highlight w:val="yellow"/>
          <w:u w:val="single"/>
        </w:rPr>
      </w:pPr>
      <w:r w:rsidRPr="005F7D9C">
        <w:lastRenderedPageBreak/>
        <w:t xml:space="preserve">Older adults were more likely than younger adults to eat three </w:t>
      </w:r>
      <w:r>
        <w:t>servings of vegetables a day</w:t>
      </w:r>
    </w:p>
    <w:p w14:paraId="02F77F9F" w14:textId="77777777" w:rsidR="00FC0DB8" w:rsidRDefault="00FC0DB8" w:rsidP="00E11BD8">
      <w:pPr>
        <w:pStyle w:val="Box"/>
        <w:jc w:val="center"/>
      </w:pPr>
      <w:r w:rsidRPr="00B72F63">
        <w:rPr>
          <w:noProof/>
          <w:lang w:eastAsia="en-NZ"/>
        </w:rPr>
        <w:drawing>
          <wp:inline distT="0" distB="0" distL="0" distR="0" wp14:anchorId="46AA86AE" wp14:editId="16FDAC96">
            <wp:extent cx="5600700" cy="3143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6BE79EB2" w14:textId="77777777" w:rsidR="00FC0DB8" w:rsidRDefault="00FC0DB8" w:rsidP="00E11BD8"/>
    <w:p w14:paraId="2FC00BC0" w14:textId="77777777" w:rsidR="00FC0DB8" w:rsidRPr="0007586A" w:rsidRDefault="00FC0DB8" w:rsidP="00E11BD8">
      <w:r w:rsidRPr="0007586A">
        <w:t>Eating plenty of vegetables and fruit can help protect against major diseases</w:t>
      </w:r>
      <w:r>
        <w:t>, such as</w:t>
      </w:r>
      <w:r w:rsidRPr="0007586A">
        <w:t xml:space="preserve"> heart disease, stroke, high blood pressure and some cancers. </w:t>
      </w:r>
      <w:r>
        <w:t xml:space="preserve">The </w:t>
      </w:r>
      <w:r w:rsidRPr="00897DFB">
        <w:rPr>
          <w:i/>
        </w:rPr>
        <w:t>Eating and Activity Guidelines for New Zealand Adults</w:t>
      </w:r>
      <w:r>
        <w:t xml:space="preserve"> (Ministry of Health 2015a)</w:t>
      </w:r>
      <w:r w:rsidRPr="0007586A">
        <w:t xml:space="preserve"> recommend eating at least three servings of vegetables and at least two servings of fruit per day for good health.</w:t>
      </w:r>
    </w:p>
    <w:p w14:paraId="758FA3AE" w14:textId="77777777" w:rsidR="00FC0DB8" w:rsidRPr="0007586A" w:rsidRDefault="00FC0DB8" w:rsidP="00E11BD8"/>
    <w:p w14:paraId="22874FBC" w14:textId="77777777" w:rsidR="00FC0DB8" w:rsidRDefault="00FC0DB8" w:rsidP="00E11BD8">
      <w:r w:rsidRPr="005F7D9C">
        <w:t xml:space="preserve">About </w:t>
      </w:r>
      <w:r>
        <w:t>six</w:t>
      </w:r>
      <w:r w:rsidRPr="005F7D9C">
        <w:t xml:space="preserve"> in </w:t>
      </w:r>
      <w:r>
        <w:t>ten</w:t>
      </w:r>
      <w:r w:rsidRPr="005F7D9C">
        <w:t xml:space="preserve"> adults (63%) ate at least three servings of vegetables each day, </w:t>
      </w:r>
      <w:r>
        <w:t xml:space="preserve">down from seven in ten in </w:t>
      </w:r>
      <w:r w:rsidRPr="005F7D9C">
        <w:t>20</w:t>
      </w:r>
      <w:r>
        <w:t>11</w:t>
      </w:r>
      <w:r w:rsidRPr="005F7D9C">
        <w:t>/</w:t>
      </w:r>
      <w:r>
        <w:t>12 (69</w:t>
      </w:r>
      <w:r w:rsidRPr="005F7D9C">
        <w:t>%)</w:t>
      </w:r>
      <w:r>
        <w:t xml:space="preserve"> and back to 2006/07 rates (64%)</w:t>
      </w:r>
      <w:r w:rsidRPr="005F7D9C">
        <w:t>.</w:t>
      </w:r>
    </w:p>
    <w:p w14:paraId="3C0AAD26" w14:textId="77777777" w:rsidR="00FC0DB8" w:rsidRDefault="00FC0DB8" w:rsidP="00E11BD8"/>
    <w:p w14:paraId="00A15A15" w14:textId="77777777" w:rsidR="00FC0DB8" w:rsidRDefault="00FC0DB8" w:rsidP="00E11BD8">
      <w:r>
        <w:t>Women were more likely to eat at least three servings of vegetables per day than men; the rates were 66% and 59% respectively.</w:t>
      </w:r>
      <w:r w:rsidR="00E11BD8">
        <w:rPr>
          <w:rStyle w:val="FootnoteReference"/>
        </w:rPr>
        <w:footnoteReference w:id="9"/>
      </w:r>
      <w:r>
        <w:t xml:space="preserve"> However, fewer women were eating at least three servings of vegetables each day (66%) than in 2006/07 (70%).</w:t>
      </w:r>
    </w:p>
    <w:p w14:paraId="490991D9" w14:textId="77777777" w:rsidR="00FC0DB8" w:rsidRDefault="00FC0DB8" w:rsidP="00E11BD8"/>
    <w:p w14:paraId="0F2D10D8" w14:textId="77777777" w:rsidR="00FC0DB8" w:rsidRPr="005F7D9C" w:rsidRDefault="00FC0DB8" w:rsidP="00E11BD8">
      <w:r w:rsidRPr="005F7D9C">
        <w:t>Older adults were more likely to eat three servings of vegetables each day than younger adults. Only 5</w:t>
      </w:r>
      <w:r>
        <w:t>4</w:t>
      </w:r>
      <w:r w:rsidRPr="005F7D9C">
        <w:t>% of those aged 18–24 years ate at least three servings of vegetables per day, compared with 7</w:t>
      </w:r>
      <w:r>
        <w:t>2</w:t>
      </w:r>
      <w:r w:rsidRPr="005F7D9C">
        <w:t>% of those aged 65–74 years.</w:t>
      </w:r>
    </w:p>
    <w:p w14:paraId="4EEBF9B2" w14:textId="77777777" w:rsidR="00FC0DB8" w:rsidRPr="00465C26" w:rsidRDefault="00FC0DB8" w:rsidP="00E11BD8">
      <w:pPr>
        <w:rPr>
          <w:highlight w:val="lightGray"/>
        </w:rPr>
      </w:pPr>
    </w:p>
    <w:p w14:paraId="4DD70997" w14:textId="77777777" w:rsidR="00FC0DB8" w:rsidRPr="00465C26" w:rsidRDefault="00FC0DB8" w:rsidP="00E11BD8">
      <w:pPr>
        <w:rPr>
          <w:highlight w:val="lightGray"/>
        </w:rPr>
      </w:pPr>
      <w:r>
        <w:t>H</w:t>
      </w:r>
      <w:r w:rsidRPr="0080124D">
        <w:t>alf of Pacific</w:t>
      </w:r>
      <w:r>
        <w:t xml:space="preserve"> adults (50%)</w:t>
      </w:r>
      <w:r w:rsidRPr="0080124D">
        <w:t xml:space="preserve"> and </w:t>
      </w:r>
      <w:r>
        <w:t xml:space="preserve">44% of </w:t>
      </w:r>
      <w:r w:rsidRPr="0080124D">
        <w:t>Asian adults ate at least three servings of vegetables per day.</w:t>
      </w:r>
      <w:r w:rsidR="00E11BD8">
        <w:rPr>
          <w:vertAlign w:val="superscript"/>
        </w:rPr>
        <w:t>9</w:t>
      </w:r>
      <w:r w:rsidRPr="0080124D">
        <w:t xml:space="preserve"> </w:t>
      </w:r>
      <w:r w:rsidRPr="005F7D9C">
        <w:t>Pacific and Asian adults were less likely than non-Pacific and non-Asian adults respectively to eat at least three servings of vegetables per day, after adjusting for age and sex differences.</w:t>
      </w:r>
    </w:p>
    <w:p w14:paraId="4D97BD39" w14:textId="77777777" w:rsidR="00FC0DB8" w:rsidRPr="005F7D9C" w:rsidRDefault="00FC0DB8" w:rsidP="00E11BD8"/>
    <w:p w14:paraId="5143059A" w14:textId="77777777" w:rsidR="00FC0DB8" w:rsidRPr="005F7D9C" w:rsidRDefault="00FC0DB8" w:rsidP="00E11BD8">
      <w:r w:rsidRPr="005F7D9C">
        <w:t>Adults in the most socioeconomically deprived areas were less likely to eat the recommended three or more servings of</w:t>
      </w:r>
      <w:r>
        <w:t xml:space="preserve"> vegetables each day than adults</w:t>
      </w:r>
      <w:r w:rsidRPr="005F7D9C">
        <w:t xml:space="preserve"> in the least deprived areas (the ra</w:t>
      </w:r>
      <w:r>
        <w:t>tes were 54</w:t>
      </w:r>
      <w:r w:rsidRPr="005F7D9C">
        <w:t xml:space="preserve">% and </w:t>
      </w:r>
      <w:r>
        <w:t>68</w:t>
      </w:r>
      <w:r w:rsidRPr="005F7D9C">
        <w:t>% respectively).</w:t>
      </w:r>
      <w:r w:rsidR="00E11BD8">
        <w:rPr>
          <w:vertAlign w:val="superscript"/>
        </w:rPr>
        <w:t>9</w:t>
      </w:r>
    </w:p>
    <w:p w14:paraId="133AD33E" w14:textId="77777777" w:rsidR="00FC0DB8" w:rsidRPr="00465C26" w:rsidRDefault="00FC0DB8" w:rsidP="00E11BD8">
      <w:pPr>
        <w:rPr>
          <w:highlight w:val="lightGray"/>
        </w:rPr>
      </w:pPr>
    </w:p>
    <w:p w14:paraId="52C6B362" w14:textId="77777777" w:rsidR="00FC0DB8" w:rsidRDefault="00FC0DB8" w:rsidP="00E11BD8">
      <w:r w:rsidRPr="00465C26">
        <w:t xml:space="preserve">Similar patterns were seen for meeting </w:t>
      </w:r>
      <w:r>
        <w:t xml:space="preserve">both </w:t>
      </w:r>
      <w:r w:rsidRPr="00465C26">
        <w:t xml:space="preserve">the vegetable and fruit intake guidelines (that is, at least </w:t>
      </w:r>
      <w:r>
        <w:t>three servings of vegetables as well as</w:t>
      </w:r>
      <w:r w:rsidRPr="00465C26">
        <w:t xml:space="preserve"> at least two servings of fruit per day). Only 40% of adults met both the vegetable and fruit intake guidelines, down from 43% in 2006/07.</w:t>
      </w:r>
      <w:r w:rsidR="00E11BD8">
        <w:rPr>
          <w:vertAlign w:val="superscript"/>
        </w:rPr>
        <w:t>9</w:t>
      </w:r>
    </w:p>
    <w:p w14:paraId="2BDCA9D8" w14:textId="77777777" w:rsidR="00E11BD8" w:rsidRPr="00E11BD8" w:rsidRDefault="00E11BD8" w:rsidP="00E11BD8"/>
    <w:p w14:paraId="4B6C84E1" w14:textId="77777777" w:rsidR="00FC0DB8" w:rsidRPr="002408C7" w:rsidRDefault="00FC0DB8" w:rsidP="00E11BD8">
      <w:pPr>
        <w:pStyle w:val="Heading3"/>
      </w:pPr>
      <w:r>
        <w:lastRenderedPageBreak/>
        <w:t>The proportion of adults eating at least two servings of fruit continued to decrease across all ethnic groups</w:t>
      </w:r>
    </w:p>
    <w:p w14:paraId="1D329B89" w14:textId="77777777" w:rsidR="00FC0DB8" w:rsidRPr="000D5C74" w:rsidRDefault="00FC0DB8" w:rsidP="00E11BD8">
      <w:pPr>
        <w:pStyle w:val="Box"/>
        <w:jc w:val="center"/>
      </w:pPr>
      <w:r w:rsidRPr="000D5C74">
        <w:rPr>
          <w:noProof/>
          <w:lang w:eastAsia="en-NZ"/>
        </w:rPr>
        <w:drawing>
          <wp:inline distT="0" distB="0" distL="0" distR="0" wp14:anchorId="1CD2B522" wp14:editId="5A7BAD7F">
            <wp:extent cx="5600700" cy="3143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39858A8C" w14:textId="77777777" w:rsidR="00FC0DB8" w:rsidRDefault="00FC0DB8" w:rsidP="00E11BD8"/>
    <w:p w14:paraId="5320E40A" w14:textId="77777777" w:rsidR="00FC0DB8" w:rsidRDefault="00FC0DB8" w:rsidP="00E11BD8">
      <w:r>
        <w:t>The percentage of adults who ate at least two servings of fruit per day continued to decrease to 56%, down from 60% in 2006/07. This decline is seen across almost all adult age groups and for all ethnicities (Māori, Pacific peoples, Asian and European/Other).</w:t>
      </w:r>
    </w:p>
    <w:p w14:paraId="2FD942E7" w14:textId="77777777" w:rsidR="00FC0DB8" w:rsidRDefault="00FC0DB8" w:rsidP="00E11BD8"/>
    <w:p w14:paraId="3CE867A4" w14:textId="77777777" w:rsidR="00FD6712" w:rsidRDefault="00FC0DB8" w:rsidP="00E11BD8">
      <w:r>
        <w:t>Sixty-two percent of women ate at least two servings of fruit, compared with 49% of men.</w:t>
      </w:r>
      <w:r w:rsidR="004D5DFB">
        <w:rPr>
          <w:rStyle w:val="FootnoteReference"/>
        </w:rPr>
        <w:footnoteReference w:id="10"/>
      </w:r>
    </w:p>
    <w:p w14:paraId="3ADCE29C" w14:textId="77777777" w:rsidR="00FC0DB8" w:rsidRDefault="00FC0DB8" w:rsidP="00E11BD8"/>
    <w:p w14:paraId="46EE40F4" w14:textId="77777777" w:rsidR="00FC0DB8" w:rsidRDefault="00FC0DB8" w:rsidP="00E11BD8">
      <w:r>
        <w:t>The percentage of adults eating at least two servings of fruit increased with age: 63% of those aged 65 years and over ate at least two servings of fruit per day, compared with about half of adults aged 1</w:t>
      </w:r>
      <w:r w:rsidRPr="0007586A">
        <w:t>5</w:t>
      </w:r>
      <w:r>
        <w:t>–34 years.</w:t>
      </w:r>
    </w:p>
    <w:p w14:paraId="3D3EB904" w14:textId="77777777" w:rsidR="00FC0DB8" w:rsidRDefault="00FC0DB8" w:rsidP="00E11BD8"/>
    <w:p w14:paraId="2A4CA945" w14:textId="40943565" w:rsidR="00FD6712" w:rsidRDefault="00FC0DB8" w:rsidP="00E11BD8">
      <w:r>
        <w:t xml:space="preserve">Just under half of Asian, Pacific and </w:t>
      </w:r>
      <w:r w:rsidRPr="0007586A">
        <w:t>Māori</w:t>
      </w:r>
      <w:r w:rsidR="002C622B">
        <w:t xml:space="preserve"> adults (49%, 49% and 46</w:t>
      </w:r>
      <w:r>
        <w:t>% respectively) ate at least two servings of fruit per day. This represents a decrease since 2006/07 when the rates were 57%, 59% and 55% respectively.</w:t>
      </w:r>
      <w:r w:rsidR="00E11BD8">
        <w:rPr>
          <w:rStyle w:val="FootnoteReference"/>
        </w:rPr>
        <w:footnoteReference w:id="11"/>
      </w:r>
      <w:r>
        <w:t xml:space="preserve"> Likewise, the prevalence of European/Other adults eating two serving of fruit per day has decreased from 61% in 2006/07 to 58% in 2015/16.</w:t>
      </w:r>
    </w:p>
    <w:p w14:paraId="5A06753C" w14:textId="77777777" w:rsidR="00FC0DB8" w:rsidRDefault="00FC0DB8" w:rsidP="00E11BD8"/>
    <w:p w14:paraId="44CC6F57" w14:textId="77777777" w:rsidR="00FC0DB8" w:rsidRDefault="00FC0DB8" w:rsidP="00E11BD8">
      <w:r>
        <w:t>Adults living in the most socioeconomically deprived areas were less likely to eat at least two servings of fruit per day compared with adults living in the least deprived areas (the rates were 46% and 64% respectively).</w:t>
      </w:r>
    </w:p>
    <w:p w14:paraId="71D82FB3" w14:textId="77777777" w:rsidR="00FC0DB8" w:rsidRPr="0007586A" w:rsidRDefault="00FC0DB8" w:rsidP="00FC0DB8"/>
    <w:p w14:paraId="0DAAD0BB" w14:textId="77777777" w:rsidR="00FC0DB8" w:rsidRDefault="00FC0DB8" w:rsidP="004D5DFB">
      <w:pPr>
        <w:pStyle w:val="Heading3"/>
      </w:pPr>
      <w:r>
        <w:lastRenderedPageBreak/>
        <w:t>The percentage of adults who are physically active continued to decrease</w:t>
      </w:r>
    </w:p>
    <w:p w14:paraId="6D163C38" w14:textId="77777777" w:rsidR="00FC0DB8" w:rsidRPr="0007586A" w:rsidRDefault="00FC0DB8" w:rsidP="004D5DFB">
      <w:pPr>
        <w:pStyle w:val="Box"/>
        <w:jc w:val="center"/>
      </w:pPr>
      <w:r w:rsidRPr="00B72F63">
        <w:rPr>
          <w:noProof/>
          <w:lang w:eastAsia="en-NZ"/>
        </w:rPr>
        <w:drawing>
          <wp:inline distT="0" distB="0" distL="0" distR="0" wp14:anchorId="55BBBA4D" wp14:editId="1DE6FBA9">
            <wp:extent cx="5600700" cy="3143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09112995" w14:textId="77777777" w:rsidR="00FC0DB8" w:rsidRDefault="00FC0DB8" w:rsidP="004D5DFB"/>
    <w:p w14:paraId="7274E8B5" w14:textId="77777777" w:rsidR="00FC0DB8" w:rsidRDefault="00FC0DB8" w:rsidP="004D5DFB">
      <w:r w:rsidRPr="0007586A">
        <w:t>Physical activity helps protect against heart disease, stroke, type 2 diabetes, certain cancers, osteoporosis and depression. It is also important f</w:t>
      </w:r>
      <w:r>
        <w:t>or maintaining a healthy weight</w:t>
      </w:r>
      <w:r w:rsidRPr="0007586A">
        <w:t>. Physical activity includes deliberate exercise (eg, running and sports</w:t>
      </w:r>
      <w:r>
        <w:t>);</w:t>
      </w:r>
      <w:r w:rsidRPr="0007586A">
        <w:t xml:space="preserve"> activities of daily living (eg, housework); work-related activity and active transport. </w:t>
      </w:r>
      <w:r w:rsidRPr="000D5C74">
        <w:t xml:space="preserve">Low physical activity </w:t>
      </w:r>
      <w:r>
        <w:t>accounted for jus</w:t>
      </w:r>
      <w:r w:rsidRPr="000D5C74">
        <w:t>t</w:t>
      </w:r>
      <w:r>
        <w:t xml:space="preserve"> under</w:t>
      </w:r>
      <w:r w:rsidRPr="000D5C74">
        <w:t xml:space="preserve"> 3% of all illness, disability and premature mortality in 2013 (</w:t>
      </w:r>
      <w:r>
        <w:t>Ministry of Health 2016e</w:t>
      </w:r>
      <w:r w:rsidRPr="000D5C74">
        <w:t>).</w:t>
      </w:r>
    </w:p>
    <w:p w14:paraId="0A104EB6" w14:textId="77777777" w:rsidR="00FC0DB8" w:rsidRPr="0007586A" w:rsidRDefault="00FC0DB8" w:rsidP="004D5DFB"/>
    <w:p w14:paraId="2EA83F69" w14:textId="77777777" w:rsidR="00FC0DB8" w:rsidRPr="0007586A" w:rsidRDefault="00FC0DB8" w:rsidP="004D5DFB">
      <w:r w:rsidRPr="00A726F8">
        <w:t xml:space="preserve">The Ministry recommends that adults do at least </w:t>
      </w:r>
      <w:r>
        <w:t>150 minutes of moderate-intensity physical activity (</w:t>
      </w:r>
      <w:r w:rsidRPr="00A726F8">
        <w:t>eg, brisk walking or equivalent vigorous activity</w:t>
      </w:r>
      <w:r>
        <w:t xml:space="preserve">) per week. This is interpreted as </w:t>
      </w:r>
      <w:r w:rsidRPr="00A726F8">
        <w:t>30</w:t>
      </w:r>
      <w:r w:rsidR="004D5DFB">
        <w:t> </w:t>
      </w:r>
      <w:r w:rsidRPr="00A726F8">
        <w:t xml:space="preserve">minutes </w:t>
      </w:r>
      <w:r>
        <w:t>per day on at least five days per week for the survey</w:t>
      </w:r>
      <w:r w:rsidRPr="00A726F8">
        <w:t xml:space="preserve"> </w:t>
      </w:r>
      <w:r>
        <w:t>(</w:t>
      </w:r>
      <w:r w:rsidRPr="00A726F8">
        <w:t xml:space="preserve">see </w:t>
      </w:r>
      <w:r w:rsidRPr="00A726F8">
        <w:rPr>
          <w:i/>
        </w:rPr>
        <w:t>Indicator Interpretation</w:t>
      </w:r>
      <w:r w:rsidRPr="00A726F8">
        <w:t xml:space="preserve"> </w:t>
      </w:r>
      <w:r w:rsidRPr="00A726F8">
        <w:rPr>
          <w:i/>
        </w:rPr>
        <w:t>Guide 2015/16: New Zealand Health Survey</w:t>
      </w:r>
      <w:r>
        <w:t>, Ministry of Health 2016c</w:t>
      </w:r>
      <w:r w:rsidRPr="00A726F8">
        <w:t>).</w:t>
      </w:r>
      <w:r>
        <w:t xml:space="preserve"> The survey categorises people doing physical activity into three groups: those who are physically active, those who are somewhat active but do not meet the physical activity guidelines and those who do little or no physical activity (defined as getting less than 30 minutes of physical activity a week). This report presents data on the first and third categories.</w:t>
      </w:r>
    </w:p>
    <w:p w14:paraId="079567D4" w14:textId="77777777" w:rsidR="00FC0DB8" w:rsidRDefault="00FC0DB8" w:rsidP="00FC0DB8"/>
    <w:p w14:paraId="09BCEAD7" w14:textId="77777777" w:rsidR="00FC0DB8" w:rsidRDefault="00FC0DB8" w:rsidP="00FC0DB8">
      <w:r>
        <w:t>Less than half of adults (48%) were physically active, down from 52% in 2006/07. Men (51%) were more likely to be physically active than women (45%).</w:t>
      </w:r>
      <w:r w:rsidR="004D5DFB">
        <w:rPr>
          <w:rStyle w:val="FootnoteReference"/>
        </w:rPr>
        <w:footnoteReference w:id="12"/>
      </w:r>
    </w:p>
    <w:p w14:paraId="2F89DDC6" w14:textId="77777777" w:rsidR="00FC0DB8" w:rsidRDefault="00FC0DB8" w:rsidP="004D5DFB"/>
    <w:p w14:paraId="570DBA16" w14:textId="77777777" w:rsidR="00FC0DB8" w:rsidRDefault="00FC0DB8" w:rsidP="004D5DFB">
      <w:r>
        <w:t>There was little variation in physical activity by age group, apart from for those aged 75 years and over, of whom only 33% were physically active.</w:t>
      </w:r>
    </w:p>
    <w:p w14:paraId="44A8D0EF" w14:textId="77777777" w:rsidR="00FC0DB8" w:rsidRDefault="00FC0DB8" w:rsidP="004D5DFB"/>
    <w:p w14:paraId="1B642CBB" w14:textId="77777777" w:rsidR="00FC0DB8" w:rsidRDefault="00FC0DB8" w:rsidP="004D5DFB">
      <w:r w:rsidRPr="00DC35F6">
        <w:t>Less than half of Asian adults (39%) were physically active. Asian adults were 25% less likely to be physically active than non-Asian adults, after adjusting for age and sex differences.</w:t>
      </w:r>
    </w:p>
    <w:p w14:paraId="6D14B57B" w14:textId="77777777" w:rsidR="00FC0DB8" w:rsidRDefault="00FC0DB8" w:rsidP="004D5DFB"/>
    <w:p w14:paraId="4E832EB0" w14:textId="77777777" w:rsidR="00FC0DB8" w:rsidRDefault="00FC0DB8" w:rsidP="004D5DFB">
      <w:r>
        <w:t>Adults living in the most deprived areas were 25% less likely to be physically active than adults living in the least deprived areas, after adjusting for age, sex and ethnic differences. The rates were 43% and 50%, respectively.</w:t>
      </w:r>
    </w:p>
    <w:p w14:paraId="19A2EB49" w14:textId="77777777" w:rsidR="004D5DFB" w:rsidRDefault="004D5DFB" w:rsidP="004D5DFB"/>
    <w:p w14:paraId="1A28FEBA" w14:textId="77777777" w:rsidR="00FC0DB8" w:rsidRDefault="00FC0DB8" w:rsidP="004D5DFB">
      <w:pPr>
        <w:pStyle w:val="Heading3"/>
      </w:pPr>
      <w:r>
        <w:lastRenderedPageBreak/>
        <w:t>Rates of physical inactivity increased</w:t>
      </w:r>
    </w:p>
    <w:p w14:paraId="31C0E9AE" w14:textId="29B635E7" w:rsidR="00FC0DB8" w:rsidRPr="00FB316F" w:rsidRDefault="00F914A0" w:rsidP="00F914A0">
      <w:pPr>
        <w:pStyle w:val="Box"/>
        <w:jc w:val="center"/>
      </w:pPr>
      <w:r w:rsidRPr="00F914A0">
        <w:rPr>
          <w:noProof/>
          <w:lang w:eastAsia="en-NZ"/>
        </w:rPr>
        <w:drawing>
          <wp:inline distT="0" distB="0" distL="0" distR="0" wp14:anchorId="4E43911A" wp14:editId="634C1853">
            <wp:extent cx="5600700" cy="3143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50D19652" w14:textId="77777777" w:rsidR="00FC0DB8" w:rsidRDefault="00FC0DB8" w:rsidP="004D5DFB"/>
    <w:p w14:paraId="1380A707" w14:textId="77777777" w:rsidR="00FC0DB8" w:rsidRDefault="00FC0DB8" w:rsidP="004D5DFB">
      <w:r>
        <w:t xml:space="preserve">Physical inactivity is different to sedentary behaviour, which is </w:t>
      </w:r>
      <w:r w:rsidRPr="006523A4">
        <w:t>doing activities that use very little or no energy (eg, sitting down, lying down, watching television or using a computer).</w:t>
      </w:r>
      <w:r>
        <w:t xml:space="preserve"> </w:t>
      </w:r>
      <w:r w:rsidRPr="00F732EE">
        <w:t>Adults who engaged in little or no physical activity</w:t>
      </w:r>
      <w:r>
        <w:t xml:space="preserve"> –</w:t>
      </w:r>
      <w:r w:rsidRPr="00F732EE">
        <w:t xml:space="preserve"> that is</w:t>
      </w:r>
      <w:r>
        <w:t>,</w:t>
      </w:r>
      <w:r w:rsidRPr="00F732EE">
        <w:t xml:space="preserve"> less than 3o minutes physical activity in the </w:t>
      </w:r>
      <w:r>
        <w:t>p</w:t>
      </w:r>
      <w:r w:rsidRPr="00F732EE">
        <w:t>ast week</w:t>
      </w:r>
      <w:r>
        <w:t xml:space="preserve"> –</w:t>
      </w:r>
      <w:r w:rsidRPr="00F732EE">
        <w:t xml:space="preserve"> </w:t>
      </w:r>
      <w:r>
        <w:t>are</w:t>
      </w:r>
      <w:r w:rsidRPr="00F732EE">
        <w:t xml:space="preserve"> described as physically inactive in this report.</w:t>
      </w:r>
    </w:p>
    <w:p w14:paraId="499465D9" w14:textId="77777777" w:rsidR="00FC0DB8" w:rsidRDefault="00FC0DB8" w:rsidP="004D5DFB"/>
    <w:p w14:paraId="5D141969" w14:textId="77777777" w:rsidR="00FC0DB8" w:rsidRDefault="00FC0DB8" w:rsidP="00FC0DB8">
      <w:r>
        <w:t>Three i</w:t>
      </w:r>
      <w:r w:rsidRPr="004D5DFB">
        <w:t>n</w:t>
      </w:r>
      <w:r>
        <w:t xml:space="preserve"> twenty adults (15%) were physically inactive, up from 10% in 2006/07. In relative terms, this is a 50% increase.</w:t>
      </w:r>
    </w:p>
    <w:p w14:paraId="671FBA57" w14:textId="77777777" w:rsidR="00FC0DB8" w:rsidRDefault="00FC0DB8" w:rsidP="004D5DFB"/>
    <w:p w14:paraId="473C9CB5" w14:textId="77777777" w:rsidR="00FC0DB8" w:rsidRPr="00EF2B97" w:rsidRDefault="00FC0DB8" w:rsidP="004D5DFB">
      <w:r w:rsidRPr="00EF2B97">
        <w:t>Women (18%) were more likely to be physically inactive than men (13%).</w:t>
      </w:r>
      <w:r w:rsidR="004D5DFB">
        <w:rPr>
          <w:rStyle w:val="FootnoteReference"/>
        </w:rPr>
        <w:footnoteReference w:id="13"/>
      </w:r>
      <w:r w:rsidRPr="00EF2B97">
        <w:t xml:space="preserve"> </w:t>
      </w:r>
      <w:r>
        <w:t xml:space="preserve">Rates </w:t>
      </w:r>
      <w:r w:rsidRPr="00EF2B97">
        <w:t>of physical inactivity have increased for both women and men since 2006/07 (12% and 8% respectively</w:t>
      </w:r>
      <w:r>
        <w:t>).</w:t>
      </w:r>
    </w:p>
    <w:p w14:paraId="7B54A451" w14:textId="77777777" w:rsidR="00FC0DB8" w:rsidRPr="00DB05C8" w:rsidRDefault="00FC0DB8" w:rsidP="004D5DFB">
      <w:pPr>
        <w:rPr>
          <w:highlight w:val="lightGray"/>
        </w:rPr>
      </w:pPr>
    </w:p>
    <w:p w14:paraId="7930AC16" w14:textId="77777777" w:rsidR="00FC0DB8" w:rsidRDefault="00FC0DB8" w:rsidP="004D5DFB">
      <w:r>
        <w:t>Rates</w:t>
      </w:r>
      <w:r w:rsidRPr="00EF2B97">
        <w:t xml:space="preserve"> of physical inactivity </w:t>
      </w:r>
      <w:r>
        <w:t>were higher</w:t>
      </w:r>
      <w:r w:rsidRPr="00EF2B97">
        <w:t xml:space="preserve"> </w:t>
      </w:r>
      <w:r>
        <w:t>in the</w:t>
      </w:r>
      <w:r w:rsidRPr="00EF2B97">
        <w:t xml:space="preserve"> </w:t>
      </w:r>
      <w:r>
        <w:t>6</w:t>
      </w:r>
      <w:r w:rsidRPr="00EF2B97">
        <w:t xml:space="preserve">5 years </w:t>
      </w:r>
      <w:r>
        <w:t>and older age groups</w:t>
      </w:r>
      <w:r w:rsidRPr="00EF2B97">
        <w:t>. At the peak of this trend, 35% of adults aged 75 years and over w</w:t>
      </w:r>
      <w:r>
        <w:t>ere</w:t>
      </w:r>
      <w:r w:rsidRPr="00EF2B97">
        <w:t xml:space="preserve"> physically inactive.</w:t>
      </w:r>
      <w:r>
        <w:t xml:space="preserve"> Rates of physical inactivity have increased since 2006/07 for all age groups except adults aged over 65 years.</w:t>
      </w:r>
    </w:p>
    <w:p w14:paraId="5B46C126" w14:textId="77777777" w:rsidR="00FC0DB8" w:rsidRDefault="00FC0DB8" w:rsidP="004D5DFB"/>
    <w:p w14:paraId="446CC411" w14:textId="77777777" w:rsidR="00FD6712" w:rsidRDefault="00FC0DB8" w:rsidP="004D5DFB">
      <w:r w:rsidRPr="00EF2B97">
        <w:t xml:space="preserve">Asian, Pacific and Māori adults were more likely to be physically inactive than non-Asian, non-Pacific and non-Māori adults respectively, after adjusting for age and sex </w:t>
      </w:r>
      <w:r w:rsidRPr="00A4589F">
        <w:t xml:space="preserve">differences. </w:t>
      </w:r>
      <w:r>
        <w:t xml:space="preserve">Twenty percent of Asian and Pacific adults and 18% of Māori adults (double the proportion of </w:t>
      </w:r>
      <w:r w:rsidRPr="00A4589F">
        <w:t>physically inactive Māori adults in 2006/07</w:t>
      </w:r>
      <w:r>
        <w:t>) were physically inactive.</w:t>
      </w:r>
    </w:p>
    <w:p w14:paraId="1BAAA448" w14:textId="77777777" w:rsidR="00FC0DB8" w:rsidRDefault="00FC0DB8" w:rsidP="004D5DFB"/>
    <w:p w14:paraId="7C6D2B67" w14:textId="77777777" w:rsidR="00FC0DB8" w:rsidRPr="0007586A" w:rsidRDefault="00FC0DB8" w:rsidP="004D5DFB">
      <w:r>
        <w:t>Adults living in the most socioeconomically deprived areas were 2.3 times more likely to be physically inactive than adults living in the least deprived areas, after adjusting for age, sex and ethnic differences. Twenty-two percent of adults living in the most deprived areas and 11% of adults living in the least deprived areas were physically inactive.</w:t>
      </w:r>
    </w:p>
    <w:p w14:paraId="0327190A" w14:textId="77777777" w:rsidR="00FC0DB8" w:rsidRPr="0007586A" w:rsidRDefault="00FC0DB8" w:rsidP="004D5DFB"/>
    <w:p w14:paraId="0DF8499C" w14:textId="77777777" w:rsidR="00FC0DB8" w:rsidRDefault="00FC0DB8" w:rsidP="004D5DFB">
      <w:pPr>
        <w:pStyle w:val="Heading3"/>
      </w:pPr>
      <w:r>
        <w:lastRenderedPageBreak/>
        <w:t>Obesity rates increased as socioeconomic deprivation</w:t>
      </w:r>
      <w:r w:rsidRPr="007C02C9">
        <w:t xml:space="preserve"> </w:t>
      </w:r>
      <w:r>
        <w:t>increased</w:t>
      </w:r>
    </w:p>
    <w:p w14:paraId="092CA943" w14:textId="77777777" w:rsidR="00FC0DB8" w:rsidRDefault="00FC0DB8" w:rsidP="004D5DFB">
      <w:pPr>
        <w:pStyle w:val="Box"/>
        <w:jc w:val="center"/>
      </w:pPr>
      <w:r w:rsidRPr="00B72F63">
        <w:rPr>
          <w:noProof/>
          <w:lang w:eastAsia="en-NZ"/>
        </w:rPr>
        <w:drawing>
          <wp:inline distT="0" distB="0" distL="0" distR="0" wp14:anchorId="376AF87B" wp14:editId="1DCB4C4B">
            <wp:extent cx="5600700" cy="3143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116633AD" w14:textId="77777777" w:rsidR="00FC0DB8" w:rsidRDefault="00FC0DB8" w:rsidP="004D5DFB"/>
    <w:p w14:paraId="18D94081" w14:textId="77777777" w:rsidR="00FC0DB8" w:rsidRDefault="00FC0DB8" w:rsidP="004D5DFB">
      <w:r w:rsidRPr="0007586A">
        <w:rPr>
          <w:lang w:eastAsia="en-NZ"/>
        </w:rPr>
        <w:t xml:space="preserve">Excess weight is a leading contributor to a number of health conditions, including type 2 diabetes, cardiovascular diseases, some types of cancer (eg, kidney and uterus), osteoarthritis, gout, sleep apnoea, some reproductive disorders and gallstones. </w:t>
      </w:r>
      <w:r w:rsidRPr="000D5C74">
        <w:rPr>
          <w:lang w:eastAsia="en-NZ"/>
        </w:rPr>
        <w:t>High BMI (overweight or obese) accounted for about 9% of all illness, disability and premature mortality in 2013, making it the le</w:t>
      </w:r>
      <w:r>
        <w:rPr>
          <w:lang w:eastAsia="en-NZ"/>
        </w:rPr>
        <w:t xml:space="preserve">ading modifiable risk to health (it has probably now overtaken </w:t>
      </w:r>
      <w:r w:rsidRPr="000D5C74">
        <w:rPr>
          <w:lang w:eastAsia="en-NZ"/>
        </w:rPr>
        <w:t>smoking</w:t>
      </w:r>
      <w:r>
        <w:rPr>
          <w:lang w:eastAsia="en-NZ"/>
        </w:rPr>
        <w:t>;</w:t>
      </w:r>
      <w:r w:rsidRPr="000D5C74">
        <w:rPr>
          <w:lang w:eastAsia="en-NZ"/>
        </w:rPr>
        <w:t xml:space="preserve"> </w:t>
      </w:r>
      <w:r>
        <w:t>Ministry of Health 2016e</w:t>
      </w:r>
      <w:r w:rsidRPr="000D5C74">
        <w:t>).</w:t>
      </w:r>
      <w:r>
        <w:t xml:space="preserve"> </w:t>
      </w:r>
      <w:r w:rsidRPr="0007586A">
        <w:t>Obesity is defined as a BMI of 30 or more (or equivalent for those you</w:t>
      </w:r>
      <w:r>
        <w:t>nger than 18</w:t>
      </w:r>
      <w:r w:rsidR="004D5DFB">
        <w:t> </w:t>
      </w:r>
      <w:r>
        <w:t xml:space="preserve">years). Interviewers </w:t>
      </w:r>
      <w:r w:rsidRPr="00540D83">
        <w:t>measured respondents</w:t>
      </w:r>
      <w:r w:rsidR="00FD6712">
        <w:t>’</w:t>
      </w:r>
      <w:r w:rsidRPr="00540D83">
        <w:t xml:space="preserve"> height and weight, from which BMI is calculated, </w:t>
      </w:r>
      <w:r>
        <w:t>gaining these measurements</w:t>
      </w:r>
      <w:r w:rsidRPr="00540D83">
        <w:t xml:space="preserve"> for </w:t>
      </w:r>
      <w:r w:rsidRPr="00792B1A">
        <w:t>95%</w:t>
      </w:r>
      <w:r w:rsidRPr="00540D83">
        <w:t xml:space="preserve"> of adults</w:t>
      </w:r>
      <w:r>
        <w:t xml:space="preserve"> (excluding pregnant women)</w:t>
      </w:r>
      <w:r w:rsidRPr="00540D83">
        <w:t>.</w:t>
      </w:r>
    </w:p>
    <w:p w14:paraId="618C415E" w14:textId="77777777" w:rsidR="00FC0DB8" w:rsidRPr="0007586A" w:rsidRDefault="00FC0DB8" w:rsidP="004D5DFB"/>
    <w:p w14:paraId="5CB4AF4E" w14:textId="77777777" w:rsidR="00FC0DB8" w:rsidRDefault="00FC0DB8" w:rsidP="004D5DFB">
      <w:r>
        <w:t>More than t</w:t>
      </w:r>
      <w:r w:rsidRPr="00AD3F90">
        <w:t xml:space="preserve">hree in </w:t>
      </w:r>
      <w:r>
        <w:t>ten adults (32%) were obese in 2015/16, up from 27% in 2006/07.</w:t>
      </w:r>
      <w:r w:rsidR="004D5DFB">
        <w:rPr>
          <w:rStyle w:val="FootnoteReference"/>
        </w:rPr>
        <w:footnoteReference w:id="14"/>
      </w:r>
      <w:r>
        <w:t xml:space="preserve"> Mean BMI and mean waist measurements continued to increase in nearly all population groups since 2006/07.</w:t>
      </w:r>
      <w:r w:rsidR="004D5DFB">
        <w:rPr>
          <w:vertAlign w:val="superscript"/>
        </w:rPr>
        <w:t>14</w:t>
      </w:r>
      <w:r>
        <w:t xml:space="preserve"> Furthermore, the percentage of adults who were extremely obese (that is, in obese class 3, with a BMI of 40 or more) increased from 3.4% in 2006/07 to 5.1% in 2015/16. The health risks associated with obesity are much higher for extreme obesity (Global BMI Mortality Collaboration 2016). There are about 192,000 extremely obese adults in New Zealand; a 70% increase from 112,000 adults in 2006/07.</w:t>
      </w:r>
    </w:p>
    <w:p w14:paraId="1AB61C5A" w14:textId="77777777" w:rsidR="00FC0DB8" w:rsidRDefault="00FC0DB8" w:rsidP="004D5DFB"/>
    <w:p w14:paraId="576A7A71" w14:textId="77777777" w:rsidR="00FC0DB8" w:rsidRDefault="00FC0DB8" w:rsidP="004D5DFB">
      <w:r>
        <w:t xml:space="preserve">Obesity rates were highest in Pacific (67%) and </w:t>
      </w:r>
      <w:r w:rsidRPr="0007586A">
        <w:t>Māori</w:t>
      </w:r>
      <w:r>
        <w:t xml:space="preserve"> adults (47%), intermediate in European/Other adults (30%) and lowest in Asian adults (15%).</w:t>
      </w:r>
      <w:r w:rsidR="004D5DFB">
        <w:rPr>
          <w:vertAlign w:val="superscript"/>
        </w:rPr>
        <w:t>14</w:t>
      </w:r>
      <w:r>
        <w:t xml:space="preserve"> This represents about 228,000 Māori; 149,000 Pacific adults; 849,000 European/Other and 69,000 Asian adults who are obese.</w:t>
      </w:r>
    </w:p>
    <w:p w14:paraId="2AE82169" w14:textId="77777777" w:rsidR="00FC0DB8" w:rsidRDefault="00FC0DB8" w:rsidP="004D5DFB"/>
    <w:p w14:paraId="26568340" w14:textId="77777777" w:rsidR="00FC0DB8" w:rsidRDefault="00FC0DB8" w:rsidP="004D5DFB">
      <w:r>
        <w:t>The inequality</w:t>
      </w:r>
      <w:r w:rsidRPr="00D3418D">
        <w:t xml:space="preserve"> </w:t>
      </w:r>
      <w:r>
        <w:t>between adults living in the most deprived and the least deprived neighbourhoods was greater for extreme obesity rates (adjusted rate ratio of 4.1) than for obesity rates (adjusted rate ratio of 1.7). Since 2006/07, rates of extreme obesity (about 2%) and obesity (about 23%) have not changed significantly for adults in the least deprived areas. In contrast, for adults in the most deprived areas, extreme obesity rates increased from 8% to 11% and obesity rates increased from 39% to 44% during the same period.</w:t>
      </w:r>
    </w:p>
    <w:p w14:paraId="5FF5FA60" w14:textId="77777777" w:rsidR="004D5DFB" w:rsidRDefault="004D5DFB" w:rsidP="004D5DFB"/>
    <w:p w14:paraId="7A9323B1" w14:textId="77777777" w:rsidR="00FC0DB8" w:rsidRPr="008C5A1E" w:rsidRDefault="00FC0DB8" w:rsidP="004D5DFB">
      <w:pPr>
        <w:pStyle w:val="Heading2"/>
      </w:pPr>
      <w:bookmarkStart w:id="60" w:name="_Health_Conditions"/>
      <w:bookmarkStart w:id="61" w:name="_Toc373153654"/>
      <w:bookmarkStart w:id="62" w:name="_Toc404618281"/>
      <w:bookmarkStart w:id="63" w:name="_Toc435784738"/>
      <w:bookmarkStart w:id="64" w:name="_Toc436730772"/>
      <w:bookmarkStart w:id="65" w:name="_Toc467831534"/>
      <w:bookmarkEnd w:id="60"/>
      <w:r w:rsidRPr="008C5A1E">
        <w:lastRenderedPageBreak/>
        <w:t xml:space="preserve">Health </w:t>
      </w:r>
      <w:r>
        <w:t>c</w:t>
      </w:r>
      <w:r w:rsidRPr="008C5A1E">
        <w:t>onditions</w:t>
      </w:r>
      <w:bookmarkEnd w:id="61"/>
      <w:bookmarkEnd w:id="62"/>
      <w:bookmarkEnd w:id="63"/>
      <w:bookmarkEnd w:id="64"/>
      <w:r>
        <w:t xml:space="preserve"> of adults</w:t>
      </w:r>
      <w:bookmarkEnd w:id="65"/>
    </w:p>
    <w:p w14:paraId="79CD2FF0" w14:textId="77777777" w:rsidR="00FC0DB8" w:rsidRPr="006E0D0C" w:rsidRDefault="00FC0DB8" w:rsidP="004D5DFB">
      <w:pPr>
        <w:pStyle w:val="Heading3"/>
      </w:pPr>
      <w:r>
        <w:t>One in six adults</w:t>
      </w:r>
      <w:r w:rsidRPr="0007586A">
        <w:t xml:space="preserve"> </w:t>
      </w:r>
      <w:r>
        <w:t>reported</w:t>
      </w:r>
      <w:r w:rsidRPr="0007586A">
        <w:t xml:space="preserve"> high blood pressure (medicated)</w:t>
      </w:r>
    </w:p>
    <w:p w14:paraId="4FB50718" w14:textId="404DC511" w:rsidR="00FC0DB8" w:rsidRPr="00715E5E" w:rsidRDefault="00A85E26" w:rsidP="004D5DFB">
      <w:pPr>
        <w:pStyle w:val="Box"/>
        <w:jc w:val="center"/>
      </w:pPr>
      <w:r w:rsidRPr="00A85E26">
        <w:rPr>
          <w:noProof/>
          <w:lang w:eastAsia="en-NZ"/>
        </w:rPr>
        <w:drawing>
          <wp:inline distT="0" distB="0" distL="0" distR="0" wp14:anchorId="2EF0F47C" wp14:editId="28D64CD1">
            <wp:extent cx="5600700" cy="3143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6EDDF5C3" w14:textId="77777777" w:rsidR="00FC0DB8" w:rsidRDefault="00FC0DB8" w:rsidP="004D5DFB"/>
    <w:p w14:paraId="542A3612" w14:textId="77777777" w:rsidR="00FC0DB8" w:rsidRDefault="00FC0DB8" w:rsidP="004D5DFB">
      <w:r>
        <w:t>High blood pressure</w:t>
      </w:r>
      <w:r w:rsidRPr="0007586A">
        <w:t xml:space="preserve"> can damage the heart and kidneys. It can also lead to ischaemic heart disease, stroke and kidney (renal) failure. </w:t>
      </w:r>
      <w:r w:rsidRPr="000D5C74">
        <w:t>High blood pressure accounted for about 8% of illness, disability and premature mortality in 2013 (</w:t>
      </w:r>
      <w:r>
        <w:t>Ministry of Health 2016e</w:t>
      </w:r>
      <w:r w:rsidRPr="000D5C74">
        <w:t>).</w:t>
      </w:r>
      <w:r>
        <w:t xml:space="preserve"> In this report, self-reported high blood pressure (medicated) is defined as adults who reported that they had been diagnosed with high blood pressure by a doctor and were currently taking medication for this condition.</w:t>
      </w:r>
    </w:p>
    <w:p w14:paraId="726930AB" w14:textId="77777777" w:rsidR="00FC0DB8" w:rsidRPr="0007586A" w:rsidRDefault="00FC0DB8" w:rsidP="004D5DFB"/>
    <w:p w14:paraId="487D120C" w14:textId="77777777" w:rsidR="00FC0DB8" w:rsidRDefault="00FC0DB8" w:rsidP="004D5DFB">
      <w:r>
        <w:t>One in six</w:t>
      </w:r>
      <w:r w:rsidRPr="0007586A">
        <w:t xml:space="preserve"> adults (</w:t>
      </w:r>
      <w:r>
        <w:t>17</w:t>
      </w:r>
      <w:r w:rsidRPr="0007586A">
        <w:t xml:space="preserve">%) </w:t>
      </w:r>
      <w:r>
        <w:t>reported</w:t>
      </w:r>
      <w:r w:rsidRPr="0007586A">
        <w:t xml:space="preserve"> high blood pressure (medicated), </w:t>
      </w:r>
      <w:r>
        <w:t>up from 14% in</w:t>
      </w:r>
      <w:r w:rsidRPr="0007586A">
        <w:t xml:space="preserve"> 2006/07</w:t>
      </w:r>
      <w:r>
        <w:t>.</w:t>
      </w:r>
    </w:p>
    <w:p w14:paraId="012A2F01" w14:textId="77777777" w:rsidR="00FC0DB8" w:rsidRDefault="00FC0DB8" w:rsidP="004D5DFB"/>
    <w:p w14:paraId="4A59E845" w14:textId="77777777" w:rsidR="00FC0DB8" w:rsidRDefault="00FC0DB8" w:rsidP="00FC0DB8">
      <w:r>
        <w:t>The pre</w:t>
      </w:r>
      <w:r w:rsidRPr="004D5DFB">
        <w:t>v</w:t>
      </w:r>
      <w:r>
        <w:t>alence of self-reported h</w:t>
      </w:r>
      <w:r w:rsidRPr="0007586A">
        <w:t>igh blood pressure (medicated) increased steeply with age; over half of adults aged 75 years and over (</w:t>
      </w:r>
      <w:r>
        <w:t>56</w:t>
      </w:r>
      <w:r w:rsidRPr="0007586A">
        <w:t xml:space="preserve">%) </w:t>
      </w:r>
      <w:r>
        <w:t>had self-reported high blood pressure (medicated)</w:t>
      </w:r>
      <w:r w:rsidRPr="0007586A">
        <w:t>.</w:t>
      </w:r>
      <w:r w:rsidR="004D5DFB">
        <w:rPr>
          <w:rStyle w:val="FootnoteReference"/>
        </w:rPr>
        <w:footnoteReference w:id="15"/>
      </w:r>
      <w:r>
        <w:t xml:space="preserve"> Even though rates were lower for adults aged 65–74 years (46%) this actually represents about 182,000 adults, compared with about 163,000 adults aged 75 years and over.</w:t>
      </w:r>
    </w:p>
    <w:p w14:paraId="76306DAA" w14:textId="77777777" w:rsidR="00FC0DB8" w:rsidRPr="0007586A" w:rsidRDefault="00FC0DB8" w:rsidP="004D5DFB">
      <w:pPr>
        <w:rPr>
          <w:highlight w:val="yellow"/>
        </w:rPr>
      </w:pPr>
    </w:p>
    <w:p w14:paraId="3AEC0CD1" w14:textId="77777777" w:rsidR="00FC0DB8" w:rsidRPr="0007586A" w:rsidRDefault="00FC0DB8" w:rsidP="004D5DFB">
      <w:r>
        <w:t>Al</w:t>
      </w:r>
      <w:r w:rsidRPr="00CF1225">
        <w:t>though the observed rate was highest for the European/Other group (1</w:t>
      </w:r>
      <w:r>
        <w:t>8</w:t>
      </w:r>
      <w:r w:rsidRPr="00CF1225">
        <w:t>%), when age and sex were adjusted for</w:t>
      </w:r>
      <w:r>
        <w:t xml:space="preserve">, </w:t>
      </w:r>
      <w:r w:rsidRPr="0007586A">
        <w:t>Māori</w:t>
      </w:r>
      <w:r>
        <w:t xml:space="preserve"> and Pacific adults (both 14%) were more likely to report high blood pressure (medicated) than non-</w:t>
      </w:r>
      <w:r w:rsidRPr="0007586A">
        <w:t>Māori</w:t>
      </w:r>
      <w:r>
        <w:t xml:space="preserve"> and non-Pacific adults respectively.</w:t>
      </w:r>
      <w:r w:rsidR="004D5DFB">
        <w:rPr>
          <w:vertAlign w:val="superscript"/>
        </w:rPr>
        <w:t>15</w:t>
      </w:r>
    </w:p>
    <w:p w14:paraId="0CB483B9" w14:textId="77777777" w:rsidR="00FC0DB8" w:rsidRPr="0007586A" w:rsidRDefault="00FC0DB8" w:rsidP="004D5DFB"/>
    <w:p w14:paraId="042E02DD" w14:textId="0388C5D8" w:rsidR="00FC0DB8" w:rsidRDefault="00FC0DB8" w:rsidP="004D5DFB">
      <w:r w:rsidRPr="0007586A">
        <w:t xml:space="preserve">Adults in the most </w:t>
      </w:r>
      <w:r>
        <w:t xml:space="preserve">socioeconomically deprived areas </w:t>
      </w:r>
      <w:r w:rsidRPr="0007586A">
        <w:t xml:space="preserve">were </w:t>
      </w:r>
      <w:r>
        <w:t>1.7 times more</w:t>
      </w:r>
      <w:r w:rsidRPr="0007586A">
        <w:t xml:space="preserve"> likely</w:t>
      </w:r>
      <w:r>
        <w:t xml:space="preserve"> to report high blood pressure (medicated) than</w:t>
      </w:r>
      <w:r w:rsidRPr="0007586A">
        <w:t xml:space="preserve"> adults</w:t>
      </w:r>
      <w:r>
        <w:t xml:space="preserve"> in the least deprived areas</w:t>
      </w:r>
      <w:r w:rsidRPr="0007586A">
        <w:t xml:space="preserve"> </w:t>
      </w:r>
      <w:r w:rsidR="004045D6">
        <w:t>(the rates were 18</w:t>
      </w:r>
      <w:r>
        <w:t>% and 14%, respectively).</w:t>
      </w:r>
    </w:p>
    <w:p w14:paraId="743083AA" w14:textId="77777777" w:rsidR="004D5DFB" w:rsidRPr="00BA4866" w:rsidRDefault="004D5DFB" w:rsidP="004D5DFB"/>
    <w:p w14:paraId="0438177C" w14:textId="77777777" w:rsidR="00FC0DB8" w:rsidRDefault="00FC0DB8" w:rsidP="004D5DFB">
      <w:pPr>
        <w:pStyle w:val="Heading3"/>
      </w:pPr>
      <w:r>
        <w:lastRenderedPageBreak/>
        <w:t>More information on blood pressure</w:t>
      </w:r>
    </w:p>
    <w:p w14:paraId="76E993EF" w14:textId="77777777" w:rsidR="00FC0DB8" w:rsidRDefault="00FC0DB8" w:rsidP="004D5DFB">
      <w:pPr>
        <w:keepLines/>
      </w:pPr>
      <w:r>
        <w:t>In addition to asking about diagnosed high blood pressure in the adult questionnaire, m</w:t>
      </w:r>
      <w:r w:rsidRPr="00EB348B">
        <w:t xml:space="preserve">easurement of blood pressure in adults was introduced into the </w:t>
      </w:r>
      <w:r>
        <w:t>survey</w:t>
      </w:r>
      <w:r w:rsidRPr="00EB348B">
        <w:t xml:space="preserve"> in 2012/13.</w:t>
      </w:r>
      <w:r>
        <w:t xml:space="preserve"> </w:t>
      </w:r>
      <w:r w:rsidRPr="00442901">
        <w:t>Blood pressure measurements were obtained using a portable electronic sphygmomanometer (Omron HEM 907)</w:t>
      </w:r>
      <w:r>
        <w:t xml:space="preserve"> with three cuff sizes. Blood pressure measurements were taken towards the end of the survey, after respondents had been seated for at least 10 minutes. </w:t>
      </w:r>
      <w:r w:rsidRPr="00442901">
        <w:t xml:space="preserve">The device is programmed to take three readings, with a </w:t>
      </w:r>
      <w:r w:rsidR="004D5DFB">
        <w:t>one</w:t>
      </w:r>
      <w:r w:rsidRPr="00442901">
        <w:t xml:space="preserve">-minute pause between each. </w:t>
      </w:r>
      <w:r w:rsidRPr="007173CC">
        <w:t xml:space="preserve">The mean of the second and third readings were used </w:t>
      </w:r>
      <w:r w:rsidRPr="00730A8A">
        <w:t xml:space="preserve">to minimise the impact of any increase in </w:t>
      </w:r>
      <w:r>
        <w:t>blood pressure</w:t>
      </w:r>
      <w:r w:rsidRPr="00730A8A">
        <w:t xml:space="preserve"> </w:t>
      </w:r>
      <w:r>
        <w:t>as a result of taking</w:t>
      </w:r>
      <w:r w:rsidRPr="00730A8A">
        <w:t xml:space="preserve"> measurement</w:t>
      </w:r>
      <w:r>
        <w:t>s</w:t>
      </w:r>
      <w:r w:rsidRPr="00730A8A">
        <w:t>.</w:t>
      </w:r>
    </w:p>
    <w:p w14:paraId="79DD3840" w14:textId="77777777" w:rsidR="00FC0DB8" w:rsidRDefault="00FC0DB8" w:rsidP="004D5DFB"/>
    <w:p w14:paraId="36C3D5FA" w14:textId="77777777" w:rsidR="00FD6712" w:rsidRDefault="00FC0DB8" w:rsidP="004D5DFB">
      <w:pPr>
        <w:rPr>
          <w:rFonts w:cs="Arial"/>
        </w:rPr>
      </w:pPr>
      <w:r>
        <w:t xml:space="preserve">The survey </w:t>
      </w:r>
      <w:r w:rsidRPr="00055422">
        <w:t xml:space="preserve">data </w:t>
      </w:r>
      <w:r>
        <w:t xml:space="preserve">used for this section </w:t>
      </w:r>
      <w:r w:rsidRPr="00055422">
        <w:t>were colle</w:t>
      </w:r>
      <w:r>
        <w:t>cted from July 2012 to June 2016</w:t>
      </w:r>
      <w:r w:rsidRPr="00513C69">
        <w:t xml:space="preserve"> from </w:t>
      </w:r>
      <w:r w:rsidRPr="002E7BCA">
        <w:t>50</w:t>
      </w:r>
      <w:r>
        <w:t>,</w:t>
      </w:r>
      <w:r w:rsidRPr="002E7BCA">
        <w:t xml:space="preserve">028 adults (95% of </w:t>
      </w:r>
      <w:r>
        <w:t>eligible</w:t>
      </w:r>
      <w:r w:rsidRPr="002E7BCA">
        <w:t xml:space="preserve"> survey</w:t>
      </w:r>
      <w:r>
        <w:t xml:space="preserve"> respondents</w:t>
      </w:r>
      <w:r w:rsidRPr="002E7BCA">
        <w:t>)</w:t>
      </w:r>
      <w:r w:rsidRPr="00513C69">
        <w:t xml:space="preserve">. </w:t>
      </w:r>
      <w:r>
        <w:t>Blood pressure was not measured in pregnant women. Given there was no real difference in the blood pressure measurements across the four survey years (refer to online tables for more results), data were pooled across years to</w:t>
      </w:r>
      <w:r w:rsidRPr="00442901">
        <w:rPr>
          <w:rFonts w:cs="Arial"/>
        </w:rPr>
        <w:t xml:space="preserve"> provide </w:t>
      </w:r>
      <w:r>
        <w:rPr>
          <w:rFonts w:cs="Arial"/>
        </w:rPr>
        <w:t xml:space="preserve">more </w:t>
      </w:r>
      <w:r w:rsidRPr="00442901">
        <w:rPr>
          <w:rFonts w:cs="Arial"/>
        </w:rPr>
        <w:t xml:space="preserve">robust results for population </w:t>
      </w:r>
      <w:r>
        <w:rPr>
          <w:rFonts w:cs="Arial"/>
        </w:rPr>
        <w:t>sub</w:t>
      </w:r>
      <w:r w:rsidRPr="00442901">
        <w:rPr>
          <w:rFonts w:cs="Arial"/>
        </w:rPr>
        <w:t>groups.</w:t>
      </w:r>
    </w:p>
    <w:p w14:paraId="11F4B2DC" w14:textId="77777777" w:rsidR="00FC0DB8" w:rsidRDefault="00FC0DB8" w:rsidP="004D5DFB"/>
    <w:p w14:paraId="737E6FFF" w14:textId="77777777" w:rsidR="00FD6712" w:rsidRDefault="00FC0DB8" w:rsidP="004D5DFB">
      <w:r>
        <w:t>Conventionally, high</w:t>
      </w:r>
      <w:r w:rsidRPr="00EB348B">
        <w:t xml:space="preserve"> blood pressure</w:t>
      </w:r>
      <w:r w:rsidRPr="005F2F14">
        <w:t xml:space="preserve"> </w:t>
      </w:r>
      <w:r>
        <w:t xml:space="preserve">is defined </w:t>
      </w:r>
      <w:r w:rsidRPr="00E26C83">
        <w:t xml:space="preserve">as </w:t>
      </w:r>
      <w:r>
        <w:t xml:space="preserve">having a measured </w:t>
      </w:r>
      <w:r w:rsidRPr="00E26C83">
        <w:t xml:space="preserve">systolic blood pressure </w:t>
      </w:r>
      <w:r>
        <w:t xml:space="preserve">of </w:t>
      </w:r>
      <w:r w:rsidRPr="00E26C83">
        <w:t xml:space="preserve">≥140 mmHg and/or diastolic blood pressure </w:t>
      </w:r>
      <w:r>
        <w:t xml:space="preserve">of </w:t>
      </w:r>
      <w:r w:rsidRPr="00E26C83">
        <w:t>≥90 mmHg</w:t>
      </w:r>
      <w:r w:rsidR="004D5DFB">
        <w:t xml:space="preserve"> (</w:t>
      </w:r>
      <w:r>
        <w:t>WHO 2013)</w:t>
      </w:r>
      <w:r w:rsidRPr="00E26C83">
        <w:t>.</w:t>
      </w:r>
      <w:r w:rsidR="004D5DFB">
        <w:rPr>
          <w:rStyle w:val="FootnoteReference"/>
        </w:rPr>
        <w:footnoteReference w:id="16"/>
      </w:r>
      <w:r w:rsidRPr="00E26C83">
        <w:t xml:space="preserve"> </w:t>
      </w:r>
      <w:r w:rsidRPr="008134EA">
        <w:t xml:space="preserve">Blood pressure rises with each heartbeat and falls when </w:t>
      </w:r>
      <w:r>
        <w:t>the</w:t>
      </w:r>
      <w:r w:rsidRPr="008134EA">
        <w:t xml:space="preserve"> heart relaxes between beats. </w:t>
      </w:r>
      <w:r>
        <w:t>Blood pressure</w:t>
      </w:r>
      <w:r w:rsidRPr="008134EA">
        <w:t xml:space="preserve"> </w:t>
      </w:r>
      <w:r>
        <w:t xml:space="preserve">measurements fluctuate </w:t>
      </w:r>
      <w:r w:rsidRPr="008134EA">
        <w:t>with changes in posture, exercise, stress or sleep</w:t>
      </w:r>
      <w:r>
        <w:t>.</w:t>
      </w:r>
      <w:r w:rsidRPr="004A7BC5">
        <w:t xml:space="preserve"> </w:t>
      </w:r>
      <w:r>
        <w:t xml:space="preserve">A single high blood pressure </w:t>
      </w:r>
      <w:r w:rsidRPr="00222031">
        <w:t xml:space="preserve">reading does not necessarily mean that </w:t>
      </w:r>
      <w:r>
        <w:t>a person has</w:t>
      </w:r>
      <w:r w:rsidRPr="00222031">
        <w:t xml:space="preserve"> high blood pressure.</w:t>
      </w:r>
      <w:r>
        <w:t xml:space="preserve"> However, uncontrolled </w:t>
      </w:r>
      <w:r w:rsidRPr="00222031">
        <w:t>high blood pressure may cause health problems</w:t>
      </w:r>
      <w:r>
        <w:t xml:space="preserve"> over time.</w:t>
      </w:r>
    </w:p>
    <w:p w14:paraId="549B6DD1" w14:textId="77777777" w:rsidR="00FC0DB8" w:rsidRDefault="00FC0DB8" w:rsidP="004D5DFB"/>
    <w:p w14:paraId="69D0BF38" w14:textId="77777777" w:rsidR="00FC0DB8" w:rsidRPr="00CA4BAF" w:rsidRDefault="00FC0DB8" w:rsidP="004D5DFB">
      <w:pPr>
        <w:pStyle w:val="Heading4"/>
      </w:pPr>
      <w:r>
        <w:t>One in five adults had</w:t>
      </w:r>
      <w:r w:rsidRPr="00836201">
        <w:t xml:space="preserve"> measured high blood pressure</w:t>
      </w:r>
    </w:p>
    <w:p w14:paraId="0844AE73" w14:textId="77777777" w:rsidR="00FC0DB8" w:rsidRPr="00AD5E49" w:rsidDel="00590065" w:rsidRDefault="00FC0DB8" w:rsidP="004D5DFB">
      <w:r>
        <w:t xml:space="preserve">In this section, measured high blood pressure is defined as </w:t>
      </w:r>
      <w:r w:rsidRPr="00E26C83">
        <w:t xml:space="preserve">systolic blood pressure ≥140 mmHg </w:t>
      </w:r>
      <w:r w:rsidRPr="00C04532">
        <w:t>and/or</w:t>
      </w:r>
      <w:r w:rsidRPr="00E26C83">
        <w:t xml:space="preserve"> diastolic blood pressure ≥90 mmHg</w:t>
      </w:r>
      <w:r>
        <w:t>, regardless of whether or not respondents were taking medications for high blood pressure.</w:t>
      </w:r>
    </w:p>
    <w:p w14:paraId="4DE522DB" w14:textId="77777777" w:rsidR="00FC0DB8" w:rsidRDefault="00FC0DB8" w:rsidP="004D5DFB"/>
    <w:p w14:paraId="6A77046C" w14:textId="77777777" w:rsidR="00FD6712" w:rsidRDefault="00FC0DB8" w:rsidP="004D5DFB">
      <w:r w:rsidRPr="00F9723E">
        <w:t xml:space="preserve">The prevalence </w:t>
      </w:r>
      <w:r>
        <w:t xml:space="preserve">of </w:t>
      </w:r>
      <w:r w:rsidRPr="00291165">
        <w:t>measured high blood pressure</w:t>
      </w:r>
      <w:r>
        <w:t xml:space="preserve"> in adults aged 15 years and over </w:t>
      </w:r>
      <w:r w:rsidRPr="00F9723E">
        <w:t xml:space="preserve">was </w:t>
      </w:r>
      <w:r>
        <w:t>22% in the period 2012–2016</w:t>
      </w:r>
      <w:r w:rsidRPr="00F9723E">
        <w:t>.</w:t>
      </w:r>
      <w:r>
        <w:t xml:space="preserve"> The prevalence of measured high blood pressure</w:t>
      </w:r>
      <w:r w:rsidRPr="00C87BAA">
        <w:t xml:space="preserve"> increased steeply with age; </w:t>
      </w:r>
      <w:r>
        <w:t xml:space="preserve">just under </w:t>
      </w:r>
      <w:r w:rsidRPr="00C87BAA">
        <w:t>half of adults aged 75 years and over (</w:t>
      </w:r>
      <w:r>
        <w:t>47</w:t>
      </w:r>
      <w:r w:rsidRPr="00C87BAA">
        <w:t xml:space="preserve">%) </w:t>
      </w:r>
      <w:r>
        <w:t xml:space="preserve">had a high </w:t>
      </w:r>
      <w:r w:rsidRPr="00C87BAA">
        <w:t>blood pressure</w:t>
      </w:r>
      <w:r>
        <w:t xml:space="preserve"> reading at the time of measurement</w:t>
      </w:r>
      <w:r w:rsidRPr="00C87BAA">
        <w:t>.</w:t>
      </w:r>
    </w:p>
    <w:p w14:paraId="72F18D68" w14:textId="77777777" w:rsidR="00FC0DB8" w:rsidRDefault="00FC0DB8" w:rsidP="004D5DFB"/>
    <w:p w14:paraId="37CAB762" w14:textId="77777777" w:rsidR="00FD6712" w:rsidRDefault="00FC0DB8" w:rsidP="004D5DFB">
      <w:r>
        <w:t xml:space="preserve">The prevalence of </w:t>
      </w:r>
      <w:r w:rsidRPr="00291165">
        <w:t>measured high blood pressure</w:t>
      </w:r>
      <w:r>
        <w:t xml:space="preserve"> was 25% for men and 20% for women. </w:t>
      </w:r>
      <w:r w:rsidRPr="00C87BAA">
        <w:t xml:space="preserve">Men </w:t>
      </w:r>
      <w:r>
        <w:t>were</w:t>
      </w:r>
      <w:r w:rsidRPr="00C87BAA">
        <w:t xml:space="preserve"> 1.</w:t>
      </w:r>
      <w:r>
        <w:t>3</w:t>
      </w:r>
      <w:r w:rsidRPr="00C87BAA">
        <w:t xml:space="preserve"> times more likely than women to have </w:t>
      </w:r>
      <w:r w:rsidRPr="00566361">
        <w:t>measured high blood pressure</w:t>
      </w:r>
      <w:r>
        <w:t>, after adjusting for age differences</w:t>
      </w:r>
      <w:r w:rsidRPr="00C87BAA">
        <w:t>.</w:t>
      </w:r>
    </w:p>
    <w:p w14:paraId="76E9F3F4" w14:textId="77777777" w:rsidR="00FC0DB8" w:rsidRDefault="00FC0DB8" w:rsidP="004D5DFB"/>
    <w:p w14:paraId="0840D12E" w14:textId="77777777" w:rsidR="00FD6712" w:rsidRDefault="00FC0DB8" w:rsidP="004D5DFB">
      <w:r w:rsidRPr="0046669C">
        <w:rPr>
          <w:szCs w:val="22"/>
        </w:rPr>
        <w:t>Māori</w:t>
      </w:r>
      <w:r w:rsidRPr="00C87BAA">
        <w:t xml:space="preserve"> and Pacific adults </w:t>
      </w:r>
      <w:r>
        <w:t>were</w:t>
      </w:r>
      <w:r w:rsidRPr="00C87BAA">
        <w:t xml:space="preserve"> both </w:t>
      </w:r>
      <w:r>
        <w:t xml:space="preserve">1.3 times </w:t>
      </w:r>
      <w:r w:rsidRPr="00C87BAA">
        <w:t xml:space="preserve">more likely to have </w:t>
      </w:r>
      <w:r w:rsidRPr="00566361">
        <w:t>measured high blood pressure</w:t>
      </w:r>
      <w:r>
        <w:t>,</w:t>
      </w:r>
      <w:r w:rsidRPr="00566361">
        <w:t xml:space="preserve"> </w:t>
      </w:r>
      <w:r w:rsidRPr="00C87BAA">
        <w:t>after adjusting for age and sex</w:t>
      </w:r>
      <w:r>
        <w:t>.</w:t>
      </w:r>
    </w:p>
    <w:p w14:paraId="39A576CD" w14:textId="77777777" w:rsidR="00FC0DB8" w:rsidRDefault="00FC0DB8" w:rsidP="004D5DFB"/>
    <w:p w14:paraId="1BCB6CF1" w14:textId="77777777" w:rsidR="00FC0DB8" w:rsidRDefault="00FC0DB8" w:rsidP="004D5DFB">
      <w:r w:rsidRPr="001226BD">
        <w:t xml:space="preserve">Adults living in the most deprived areas </w:t>
      </w:r>
      <w:r>
        <w:t>were</w:t>
      </w:r>
      <w:r w:rsidRPr="001226BD">
        <w:t xml:space="preserve"> </w:t>
      </w:r>
      <w:r>
        <w:t>20% more likely</w:t>
      </w:r>
      <w:r w:rsidRPr="001226BD">
        <w:t xml:space="preserve"> to have</w:t>
      </w:r>
      <w:r>
        <w:t xml:space="preserve"> </w:t>
      </w:r>
      <w:r w:rsidRPr="00566361">
        <w:t>measured high blood pressure</w:t>
      </w:r>
      <w:r w:rsidRPr="001226BD">
        <w:t xml:space="preserve"> than those</w:t>
      </w:r>
      <w:r>
        <w:t xml:space="preserve"> living</w:t>
      </w:r>
      <w:r w:rsidRPr="001226BD">
        <w:t xml:space="preserve"> in the least deprived areas, after adjusting for age, sex and ethnic differences.</w:t>
      </w:r>
    </w:p>
    <w:p w14:paraId="661F248D" w14:textId="77777777" w:rsidR="00FC0DB8" w:rsidRDefault="00FC0DB8" w:rsidP="004D5DFB"/>
    <w:p w14:paraId="53CA2E9B" w14:textId="77777777" w:rsidR="00FC0DB8" w:rsidRDefault="00FC0DB8" w:rsidP="004D5DFB">
      <w:pPr>
        <w:pStyle w:val="Heading4"/>
      </w:pPr>
      <w:r w:rsidRPr="00836201">
        <w:lastRenderedPageBreak/>
        <w:t>One in three adults ha</w:t>
      </w:r>
      <w:r>
        <w:t>d</w:t>
      </w:r>
      <w:r w:rsidRPr="00836201">
        <w:t xml:space="preserve"> hypertension</w:t>
      </w:r>
    </w:p>
    <w:p w14:paraId="0E6AD40B" w14:textId="77777777" w:rsidR="00FD6712" w:rsidRDefault="00FC0DB8" w:rsidP="004D5DFB">
      <w:pPr>
        <w:keepNext/>
      </w:pPr>
      <w:r>
        <w:t xml:space="preserve">In this section, hypertension is defined as having measured high blood pressure </w:t>
      </w:r>
      <w:r w:rsidRPr="00C04532">
        <w:t>and/or</w:t>
      </w:r>
      <w:r w:rsidRPr="005023D3">
        <w:t xml:space="preserve"> </w:t>
      </w:r>
      <w:r>
        <w:t>self-reported high blood pressure (medicated).</w:t>
      </w:r>
    </w:p>
    <w:p w14:paraId="33555468" w14:textId="77777777" w:rsidR="00FC0DB8" w:rsidRDefault="00FC0DB8" w:rsidP="004D5DFB"/>
    <w:p w14:paraId="6B93EC46" w14:textId="77777777" w:rsidR="00FD6712" w:rsidRDefault="00FC0DB8" w:rsidP="004D5DFB">
      <w:r>
        <w:t>In the 2012–20</w:t>
      </w:r>
      <w:r w:rsidRPr="00E26C83">
        <w:t>1</w:t>
      </w:r>
      <w:r>
        <w:t>6 period</w:t>
      </w:r>
      <w:r w:rsidRPr="00E26C83">
        <w:t xml:space="preserve">, </w:t>
      </w:r>
      <w:r>
        <w:t xml:space="preserve">one in three adults (31%) could be classified as having </w:t>
      </w:r>
      <w:r w:rsidRPr="00E26C83">
        <w:t>hypertension</w:t>
      </w:r>
      <w:r>
        <w:t xml:space="preserve">. The prevalence of </w:t>
      </w:r>
      <w:r w:rsidRPr="00E26C83">
        <w:t>hypertension</w:t>
      </w:r>
      <w:r>
        <w:t xml:space="preserve"> increased steeply with age, with three in four (74%) adults aged 75</w:t>
      </w:r>
      <w:r w:rsidR="004D5DFB">
        <w:t> </w:t>
      </w:r>
      <w:r>
        <w:t>years and older affected (Figure 3).</w:t>
      </w:r>
    </w:p>
    <w:p w14:paraId="24DC391C" w14:textId="77777777" w:rsidR="00FC0DB8" w:rsidRDefault="00FC0DB8" w:rsidP="004D5DFB"/>
    <w:p w14:paraId="2F87AE6E" w14:textId="77777777" w:rsidR="00FC0DB8" w:rsidRPr="007C5979" w:rsidRDefault="00FC0DB8" w:rsidP="004D5DFB">
      <w:pPr>
        <w:pStyle w:val="Figure"/>
      </w:pPr>
      <w:bookmarkStart w:id="66" w:name="_Toc467831566"/>
      <w:r w:rsidRPr="008C45D5">
        <w:t xml:space="preserve">Figure </w:t>
      </w:r>
      <w:r>
        <w:t>3:</w:t>
      </w:r>
      <w:r w:rsidR="004D5DFB">
        <w:t xml:space="preserve"> </w:t>
      </w:r>
      <w:r>
        <w:t xml:space="preserve">Prevalence of hypertension, by age groups, </w:t>
      </w:r>
      <w:r w:rsidRPr="008C45D5">
        <w:t>2012</w:t>
      </w:r>
      <w:r>
        <w:t>–20</w:t>
      </w:r>
      <w:r w:rsidRPr="008C45D5">
        <w:t>16</w:t>
      </w:r>
      <w:bookmarkEnd w:id="66"/>
    </w:p>
    <w:p w14:paraId="033B81D7" w14:textId="77777777" w:rsidR="00FC0DB8" w:rsidRDefault="006F0C9E" w:rsidP="006F0C9E">
      <w:r w:rsidRPr="006F0C9E">
        <w:rPr>
          <w:noProof/>
          <w:lang w:eastAsia="en-NZ"/>
        </w:rPr>
        <w:drawing>
          <wp:inline distT="0" distB="0" distL="0" distR="0" wp14:anchorId="2A843779" wp14:editId="5382E1A4">
            <wp:extent cx="4705003" cy="2863242"/>
            <wp:effectExtent l="0" t="0" r="635" b="0"/>
            <wp:docPr id="1" name="Chart 1" title="Figure 3: Prevalence of hypertension, by age groups, 2012–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CF0BA59" w14:textId="77777777" w:rsidR="00FC0DB8" w:rsidRDefault="00FC0DB8" w:rsidP="004D5DFB"/>
    <w:p w14:paraId="5A29A660" w14:textId="77777777" w:rsidR="00FC0DB8" w:rsidRDefault="00FC0DB8" w:rsidP="004D5DFB">
      <w:r w:rsidRPr="00205AC4">
        <w:t>M</w:t>
      </w:r>
      <w:r>
        <w:t>ā</w:t>
      </w:r>
      <w:r w:rsidRPr="00205AC4">
        <w:t xml:space="preserve">ori and Pacific adults </w:t>
      </w:r>
      <w:r>
        <w:t>were</w:t>
      </w:r>
      <w:r w:rsidRPr="00205AC4">
        <w:t xml:space="preserve"> both 1.3 times more likely to have </w:t>
      </w:r>
      <w:r>
        <w:t xml:space="preserve">hypertension, </w:t>
      </w:r>
      <w:r w:rsidRPr="00205AC4">
        <w:t>after adjusting for age and sex</w:t>
      </w:r>
      <w:r>
        <w:t>.</w:t>
      </w:r>
    </w:p>
    <w:p w14:paraId="0AE08AA5" w14:textId="77777777" w:rsidR="00FC0DB8" w:rsidRDefault="00FC0DB8" w:rsidP="004D5DFB"/>
    <w:p w14:paraId="63338048" w14:textId="77777777" w:rsidR="00FC0DB8" w:rsidRDefault="00FC0DB8" w:rsidP="004D5DFB">
      <w:r w:rsidRPr="001226BD">
        <w:t xml:space="preserve">Adults living in the most deprived areas </w:t>
      </w:r>
      <w:r>
        <w:t>were</w:t>
      </w:r>
      <w:r w:rsidRPr="001226BD">
        <w:t xml:space="preserve"> 1.4 times to have</w:t>
      </w:r>
      <w:r>
        <w:t xml:space="preserve"> hypertension</w:t>
      </w:r>
      <w:r w:rsidRPr="001226BD">
        <w:t xml:space="preserve"> than those</w:t>
      </w:r>
      <w:r>
        <w:t xml:space="preserve"> living</w:t>
      </w:r>
      <w:r w:rsidRPr="001226BD">
        <w:t xml:space="preserve"> in the least deprived areas, after adjusting for age, sex and ethnic differences.</w:t>
      </w:r>
    </w:p>
    <w:p w14:paraId="49CD27AB" w14:textId="77777777" w:rsidR="00FC0DB8" w:rsidRDefault="00FC0DB8" w:rsidP="004D5DFB"/>
    <w:p w14:paraId="5E7798F8" w14:textId="77777777" w:rsidR="00FC0DB8" w:rsidRDefault="00FC0DB8" w:rsidP="004D5DFB">
      <w:pPr>
        <w:pStyle w:val="Heading4"/>
      </w:pPr>
      <w:r>
        <w:t>Half of</w:t>
      </w:r>
      <w:r w:rsidRPr="00655709">
        <w:t xml:space="preserve"> adu</w:t>
      </w:r>
      <w:r>
        <w:t>lts currently taking hypertensive medication</w:t>
      </w:r>
      <w:r w:rsidRPr="006E200A">
        <w:t xml:space="preserve"> ha</w:t>
      </w:r>
      <w:r>
        <w:t>d</w:t>
      </w:r>
      <w:r w:rsidRPr="006E200A">
        <w:t xml:space="preserve"> their high blood pressure under control</w:t>
      </w:r>
    </w:p>
    <w:p w14:paraId="2D3457BC" w14:textId="77777777" w:rsidR="00FD6712" w:rsidRDefault="00FC0DB8" w:rsidP="004D5DFB">
      <w:r>
        <w:t xml:space="preserve">In this section, we examine whether adults currently taking medication for high blood pressure </w:t>
      </w:r>
      <w:r w:rsidRPr="00643C29">
        <w:t xml:space="preserve">had their blood pressure under control (that is, a measured systolic blood pressure </w:t>
      </w:r>
      <w:r>
        <w:t xml:space="preserve">of </w:t>
      </w:r>
      <w:r w:rsidRPr="00643C29">
        <w:t>&lt;140</w:t>
      </w:r>
      <w:r w:rsidR="004D5DFB">
        <w:t> </w:t>
      </w:r>
      <w:r w:rsidRPr="00643C29">
        <w:t xml:space="preserve">mmHg and diastolic blood pressure </w:t>
      </w:r>
      <w:r>
        <w:t xml:space="preserve">of </w:t>
      </w:r>
      <w:r w:rsidRPr="00643C29">
        <w:t>&lt;90 mmHg</w:t>
      </w:r>
      <w:r>
        <w:t>).</w:t>
      </w:r>
    </w:p>
    <w:p w14:paraId="4C168184" w14:textId="77777777" w:rsidR="00FC0DB8" w:rsidRDefault="00FC0DB8" w:rsidP="004D5DFB"/>
    <w:p w14:paraId="167383F7" w14:textId="6A822F70" w:rsidR="00FD6712" w:rsidRDefault="00FC0DB8" w:rsidP="004D5DFB">
      <w:r w:rsidRPr="00643C29">
        <w:t>Among adults taking medication for high blood pres</w:t>
      </w:r>
      <w:r w:rsidR="00191F1E">
        <w:t>sure, just over half (53%</w:t>
      </w:r>
      <w:r w:rsidRPr="00643C29">
        <w:t>) had their blood pressure under control</w:t>
      </w:r>
      <w:r>
        <w:t xml:space="preserve">. Although the prevalence of hypertension varies substantially by age, there is limited variation in the proportion of adults with controlled high blood pressure by age. </w:t>
      </w:r>
      <w:r w:rsidRPr="00A91702">
        <w:t xml:space="preserve">Women aged 35 to 64 years </w:t>
      </w:r>
      <w:r>
        <w:t>were more likely to have their blood pressure under control than men in the same age groups (F</w:t>
      </w:r>
      <w:r w:rsidRPr="00A91702">
        <w:t xml:space="preserve">igure </w:t>
      </w:r>
      <w:r>
        <w:t>4</w:t>
      </w:r>
      <w:r w:rsidRPr="00A91702">
        <w:t>).</w:t>
      </w:r>
    </w:p>
    <w:p w14:paraId="689A5A7E" w14:textId="77777777" w:rsidR="00FC0DB8" w:rsidRDefault="00FC0DB8" w:rsidP="004D5DFB"/>
    <w:p w14:paraId="048E83B8" w14:textId="77777777" w:rsidR="00FC0DB8" w:rsidRPr="007C5979" w:rsidRDefault="00FC0DB8" w:rsidP="004D5DFB">
      <w:pPr>
        <w:pStyle w:val="Figure"/>
      </w:pPr>
      <w:bookmarkStart w:id="67" w:name="_Toc467831567"/>
      <w:r w:rsidRPr="008C45D5">
        <w:lastRenderedPageBreak/>
        <w:t xml:space="preserve">Figure </w:t>
      </w:r>
      <w:r>
        <w:t>4:</w:t>
      </w:r>
      <w:r w:rsidR="004D5DFB">
        <w:t xml:space="preserve"> </w:t>
      </w:r>
      <w:r>
        <w:t>Prevalence of controlled high blood pressure among adults taking hypertensive medication, by sex and</w:t>
      </w:r>
      <w:r w:rsidRPr="008C45D5">
        <w:t xml:space="preserve"> age group, 2012</w:t>
      </w:r>
      <w:r>
        <w:t>–20</w:t>
      </w:r>
      <w:r w:rsidRPr="008C45D5">
        <w:t>16</w:t>
      </w:r>
      <w:bookmarkEnd w:id="67"/>
    </w:p>
    <w:p w14:paraId="6A5FEB8E" w14:textId="77777777" w:rsidR="00FC0DB8" w:rsidRDefault="00281B37" w:rsidP="00281B37">
      <w:r w:rsidRPr="00281B37">
        <w:rPr>
          <w:noProof/>
          <w:lang w:eastAsia="en-NZ"/>
        </w:rPr>
        <w:drawing>
          <wp:inline distT="0" distB="0" distL="0" distR="0" wp14:anchorId="12C02853" wp14:editId="41A0F558">
            <wp:extent cx="4688378" cy="2858928"/>
            <wp:effectExtent l="0" t="0" r="0" b="0"/>
            <wp:docPr id="9" name="Chart 9" title="Figure 4: Prevalence of controlled high blood pressure among adults taking hypertensive medication, by sex and age group, 2012–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DC8BE3" w14:textId="77777777" w:rsidR="00FC0DB8" w:rsidRDefault="00FC0DB8" w:rsidP="004D5DFB"/>
    <w:p w14:paraId="33EF737C" w14:textId="77777777" w:rsidR="00FD6712" w:rsidRDefault="00FC0DB8" w:rsidP="004D5DFB">
      <w:r w:rsidRPr="00A91702">
        <w:t>No significant differences were found in the proportion of adults with controlled high blood pressure by socioeconomic deprivation and ethnicity</w:t>
      </w:r>
      <w:r w:rsidRPr="00ED1462">
        <w:t>.</w:t>
      </w:r>
    </w:p>
    <w:p w14:paraId="042E24CE" w14:textId="77777777" w:rsidR="00FC0DB8" w:rsidRDefault="00FC0DB8" w:rsidP="004D5DFB"/>
    <w:p w14:paraId="7946B49F" w14:textId="77777777" w:rsidR="00FC0DB8" w:rsidRDefault="00FC0DB8" w:rsidP="004D5DFB">
      <w:r w:rsidRPr="00ED1462">
        <w:t xml:space="preserve">In New Zealand, current guidelines recommend </w:t>
      </w:r>
      <w:r>
        <w:t xml:space="preserve">an </w:t>
      </w:r>
      <w:r w:rsidRPr="00ED1462">
        <w:t>assessment of five</w:t>
      </w:r>
      <w:r>
        <w:t>-</w:t>
      </w:r>
      <w:r w:rsidRPr="00ED1462">
        <w:t xml:space="preserve">year </w:t>
      </w:r>
      <w:r>
        <w:t xml:space="preserve">combined </w:t>
      </w:r>
      <w:r w:rsidRPr="00ED1462">
        <w:t xml:space="preserve">cardiovascular risk rather than treating blood pressure as an isolated </w:t>
      </w:r>
      <w:r>
        <w:t>health condition</w:t>
      </w:r>
      <w:r w:rsidRPr="00ED1462">
        <w:t xml:space="preserve">. </w:t>
      </w:r>
      <w:r>
        <w:t>Thus, people with blood pressure measurements above</w:t>
      </w:r>
      <w:r w:rsidRPr="00BF08F4">
        <w:t xml:space="preserve"> the 140/90</w:t>
      </w:r>
      <w:r w:rsidR="004D5DFB">
        <w:t> </w:t>
      </w:r>
      <w:r w:rsidRPr="00BF08F4">
        <w:t xml:space="preserve">mmHg </w:t>
      </w:r>
      <w:r>
        <w:t xml:space="preserve">threshold </w:t>
      </w:r>
      <w:r w:rsidRPr="00BF08F4">
        <w:t xml:space="preserve">may not be treated with antihypertensive medication because </w:t>
      </w:r>
      <w:r>
        <w:t>they have</w:t>
      </w:r>
      <w:r w:rsidRPr="00BF08F4">
        <w:t xml:space="preserve"> an </w:t>
      </w:r>
      <w:r>
        <w:t>estimated five-year combined cardiovascular risk below 10</w:t>
      </w:r>
      <w:r w:rsidRPr="00BF08F4">
        <w:t>% (</w:t>
      </w:r>
      <w:r>
        <w:rPr>
          <w:noProof/>
          <w:lang w:eastAsia="en-US"/>
        </w:rPr>
        <w:t>Ministry of Health</w:t>
      </w:r>
      <w:r>
        <w:t xml:space="preserve"> 2013</w:t>
      </w:r>
      <w:r w:rsidRPr="00BF08F4">
        <w:t>).</w:t>
      </w:r>
      <w:r>
        <w:t xml:space="preserve"> </w:t>
      </w:r>
      <w:r w:rsidRPr="00FD53D9">
        <w:t xml:space="preserve">Making adjustments to lifestyle </w:t>
      </w:r>
      <w:r>
        <w:t>factors such as</w:t>
      </w:r>
      <w:r w:rsidRPr="00FD53D9">
        <w:t xml:space="preserve"> sodium/salt intake, physical activity, body size and alcohol consumption can also help to control blood pressure.</w:t>
      </w:r>
    </w:p>
    <w:p w14:paraId="288C2409" w14:textId="77777777" w:rsidR="00FC0DB8" w:rsidRDefault="00FC0DB8" w:rsidP="004D5DFB"/>
    <w:p w14:paraId="234F32E1" w14:textId="77777777" w:rsidR="00FC0DB8" w:rsidRDefault="00FC0DB8" w:rsidP="004D5DFB">
      <w:pPr>
        <w:pStyle w:val="Heading3"/>
      </w:pPr>
      <w:r>
        <w:lastRenderedPageBreak/>
        <w:t>One in three adults aged over 65 years had high cholesterol</w:t>
      </w:r>
    </w:p>
    <w:p w14:paraId="305FB1C3" w14:textId="77777777" w:rsidR="00FC0DB8" w:rsidRPr="00715E5E" w:rsidRDefault="00FC0DB8" w:rsidP="004D5DFB">
      <w:pPr>
        <w:pStyle w:val="Box"/>
        <w:keepNext/>
        <w:jc w:val="center"/>
        <w:rPr>
          <w:lang w:eastAsia="en-NZ"/>
        </w:rPr>
      </w:pPr>
      <w:r w:rsidRPr="00C716D8">
        <w:rPr>
          <w:noProof/>
          <w:lang w:eastAsia="en-NZ"/>
        </w:rPr>
        <w:drawing>
          <wp:inline distT="0" distB="0" distL="0" distR="0" wp14:anchorId="1CE0112A" wp14:editId="5AFF2B6F">
            <wp:extent cx="5600700" cy="3143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62335F61" w14:textId="77777777" w:rsidR="00FC0DB8" w:rsidRDefault="00FC0DB8" w:rsidP="004D5DFB">
      <w:pPr>
        <w:keepNext/>
      </w:pPr>
    </w:p>
    <w:p w14:paraId="67DEE866" w14:textId="77777777" w:rsidR="00FC0DB8" w:rsidRPr="002C6D6A" w:rsidRDefault="00FC0DB8" w:rsidP="004D5DFB">
      <w:r w:rsidRPr="002C6D6A">
        <w:t>High blood cholesterol increases a person</w:t>
      </w:r>
      <w:r w:rsidR="00FD6712">
        <w:t>’</w:t>
      </w:r>
      <w:r w:rsidRPr="002C6D6A">
        <w:t>s risk of developing ischaemic heart disease and ischaemic stroke. High blood cholesterol accounted for about 4% of illness, disability and premature mortality in 2013 (</w:t>
      </w:r>
      <w:r>
        <w:t>Ministry of Health 2016e</w:t>
      </w:r>
      <w:r w:rsidRPr="002C6D6A">
        <w:t>). In this report, high cholesterol (medicated) is defined as those adults currently taking medication for this condition.</w:t>
      </w:r>
    </w:p>
    <w:p w14:paraId="6D867AED" w14:textId="77777777" w:rsidR="00FC0DB8" w:rsidRPr="002C6D6A" w:rsidRDefault="00FC0DB8" w:rsidP="004D5DFB"/>
    <w:p w14:paraId="5B26C930" w14:textId="77777777" w:rsidR="00FC0DB8" w:rsidRPr="002C6D6A" w:rsidRDefault="00FC0DB8" w:rsidP="004D5DFB">
      <w:r w:rsidRPr="002C6D6A">
        <w:t>About 430,000 adults (1</w:t>
      </w:r>
      <w:r>
        <w:t>1.5</w:t>
      </w:r>
      <w:r w:rsidRPr="002C6D6A">
        <w:t>%) reported high cholesterol (medicated), up from 8</w:t>
      </w:r>
      <w:r>
        <w:t>.4</w:t>
      </w:r>
      <w:r w:rsidRPr="002C6D6A">
        <w:t>% in 2006/07.</w:t>
      </w:r>
      <w:r w:rsidR="004D5DFB">
        <w:rPr>
          <w:rStyle w:val="FootnoteReference"/>
        </w:rPr>
        <w:footnoteReference w:id="17"/>
      </w:r>
      <w:r w:rsidR="004D5DFB">
        <w:t xml:space="preserve"> </w:t>
      </w:r>
      <w:r w:rsidRPr="002C6D6A">
        <w:t>However, there has been little or no change in the prevalence of high cholesterol (medicated) since 2011/12 (1</w:t>
      </w:r>
      <w:r>
        <w:t>0.5</w:t>
      </w:r>
      <w:r w:rsidRPr="002C6D6A">
        <w:t>%).</w:t>
      </w:r>
    </w:p>
    <w:p w14:paraId="7A011046" w14:textId="77777777" w:rsidR="00FC0DB8" w:rsidRPr="00486BFC" w:rsidRDefault="00FC0DB8" w:rsidP="004D5DFB">
      <w:pPr>
        <w:rPr>
          <w:highlight w:val="lightGray"/>
        </w:rPr>
      </w:pPr>
    </w:p>
    <w:p w14:paraId="15DA4578" w14:textId="77777777" w:rsidR="00FC0DB8" w:rsidRDefault="00FC0DB8" w:rsidP="004D5DFB">
      <w:r w:rsidRPr="002C6D6A">
        <w:t>The prevalence of high cholesterol (medicated) increased steeply with age and peaked at one in three adults aged 65 years and older. This represents about 232,000 adults aged 65 years and older with high cholesterol (medicated).</w:t>
      </w:r>
    </w:p>
    <w:p w14:paraId="71A7BFC4" w14:textId="77777777" w:rsidR="00FC0DB8" w:rsidRDefault="00FC0DB8" w:rsidP="004D5DFB"/>
    <w:p w14:paraId="4B74C4BA" w14:textId="77777777" w:rsidR="00FC0DB8" w:rsidRPr="0007586A" w:rsidRDefault="00FC0DB8" w:rsidP="004D5DFB">
      <w:r>
        <w:t>Overall, there were no disparities by sex, ethnic group or neighbourhood deprivation. However, Pacific and Māori women were more likely than non-Pacific and non-Māori women to have high cholesterol (medicated), after adjusting for age differences. Also, women living in the most socioeconomically deprived areas were more likely to have high cholesterol (medicated) than women living in the least deprived areas.</w:t>
      </w:r>
    </w:p>
    <w:p w14:paraId="59ABFD98" w14:textId="77777777" w:rsidR="00FC0DB8" w:rsidRPr="0007586A" w:rsidRDefault="00FC0DB8" w:rsidP="004D5DFB"/>
    <w:p w14:paraId="362C8AE2" w14:textId="77777777" w:rsidR="00FC0DB8" w:rsidRDefault="00FC0DB8" w:rsidP="004D5DFB">
      <w:r w:rsidRPr="00486BFC">
        <w:t>In 2014/15</w:t>
      </w:r>
      <w:r>
        <w:t>,</w:t>
      </w:r>
      <w:r w:rsidRPr="00486BFC">
        <w:t xml:space="preserve"> the </w:t>
      </w:r>
      <w:r>
        <w:t>survey</w:t>
      </w:r>
      <w:r w:rsidRPr="00486BFC">
        <w:t xml:space="preserve"> measured blood cholesterol levels in a sub-sample of adults</w:t>
      </w:r>
      <w:r>
        <w:t xml:space="preserve"> as part of a one-off biomedical module</w:t>
      </w:r>
      <w:r w:rsidRPr="00486BFC">
        <w:t xml:space="preserve">. The Ministry will report measured </w:t>
      </w:r>
      <w:r>
        <w:t xml:space="preserve">blood </w:t>
      </w:r>
      <w:r w:rsidRPr="00486BFC">
        <w:t xml:space="preserve">cholesterol results </w:t>
      </w:r>
      <w:r>
        <w:t xml:space="preserve">from the module </w:t>
      </w:r>
      <w:r w:rsidRPr="00486BFC">
        <w:t xml:space="preserve">in </w:t>
      </w:r>
      <w:r>
        <w:t>2017</w:t>
      </w:r>
      <w:r w:rsidRPr="00486BFC">
        <w:t>.</w:t>
      </w:r>
    </w:p>
    <w:p w14:paraId="65D8D1B2" w14:textId="77777777" w:rsidR="00FC0DB8" w:rsidRDefault="00FC0DB8" w:rsidP="004D5DFB"/>
    <w:p w14:paraId="49F19273" w14:textId="77777777" w:rsidR="00FC0DB8" w:rsidRDefault="00FC0DB8" w:rsidP="004D5DFB">
      <w:pPr>
        <w:pStyle w:val="Heading3"/>
      </w:pPr>
      <w:r>
        <w:lastRenderedPageBreak/>
        <w:t>The prevalence of</w:t>
      </w:r>
      <w:r w:rsidRPr="00A64235">
        <w:t xml:space="preserve"> </w:t>
      </w:r>
      <w:r>
        <w:t xml:space="preserve">diagnosed </w:t>
      </w:r>
      <w:r w:rsidRPr="00A64235">
        <w:t>ischaemic heart disease</w:t>
      </w:r>
      <w:r>
        <w:t xml:space="preserve"> decreased</w:t>
      </w:r>
    </w:p>
    <w:p w14:paraId="538C181F" w14:textId="77777777" w:rsidR="00FC0DB8" w:rsidRPr="00DA33EC" w:rsidRDefault="00FC0DB8" w:rsidP="004D5DFB">
      <w:pPr>
        <w:pStyle w:val="Box"/>
        <w:jc w:val="center"/>
      </w:pPr>
      <w:r w:rsidRPr="00C716D8">
        <w:rPr>
          <w:noProof/>
          <w:lang w:eastAsia="en-NZ"/>
        </w:rPr>
        <w:drawing>
          <wp:inline distT="0" distB="0" distL="0" distR="0" wp14:anchorId="0A321D7D" wp14:editId="3FA207EC">
            <wp:extent cx="5600700" cy="3143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40864F01" w14:textId="77777777" w:rsidR="00FC0DB8" w:rsidRPr="008C5A1E" w:rsidRDefault="00FC0DB8" w:rsidP="004D5DFB"/>
    <w:p w14:paraId="7B91A8DC" w14:textId="77777777" w:rsidR="00FC0DB8" w:rsidRDefault="00FC0DB8" w:rsidP="004D5DFB">
      <w:r w:rsidRPr="000D5C74">
        <w:t xml:space="preserve">Ischaemic heart disease was the leading </w:t>
      </w:r>
      <w:r>
        <w:t xml:space="preserve">disease </w:t>
      </w:r>
      <w:r w:rsidRPr="000D5C74">
        <w:t>cause of health loss in 2013, accounting for about 8% of illness, disability and premature mortality (</w:t>
      </w:r>
      <w:r>
        <w:t>Ministry of Health 2016e</w:t>
      </w:r>
      <w:r w:rsidRPr="000D5C74">
        <w:t>).</w:t>
      </w:r>
      <w:r>
        <w:t xml:space="preserve"> It was also the</w:t>
      </w:r>
      <w:r w:rsidRPr="00B94CA1">
        <w:t xml:space="preserve"> leading</w:t>
      </w:r>
      <w:r>
        <w:t xml:space="preserve"> </w:t>
      </w:r>
      <w:r w:rsidRPr="00B94CA1">
        <w:t>cause of death</w:t>
      </w:r>
      <w:r>
        <w:t>, accounting for about 18% of deaths</w:t>
      </w:r>
      <w:r w:rsidRPr="00B94CA1">
        <w:t xml:space="preserve"> in 2012 (Ministry of Health 2015</w:t>
      </w:r>
      <w:r>
        <w:t>c</w:t>
      </w:r>
      <w:r w:rsidRPr="00B94CA1">
        <w:t>).</w:t>
      </w:r>
    </w:p>
    <w:p w14:paraId="1E07F569" w14:textId="77777777" w:rsidR="00FC0DB8" w:rsidRPr="0007586A" w:rsidRDefault="00FC0DB8" w:rsidP="004D5DFB"/>
    <w:p w14:paraId="325E8FCB" w14:textId="77777777" w:rsidR="00FC0DB8" w:rsidRPr="0007586A" w:rsidRDefault="00FC0DB8" w:rsidP="004D5DFB">
      <w:r w:rsidRPr="0007586A">
        <w:t xml:space="preserve">In this report, a person is defined as having ischaemic heart disease if they </w:t>
      </w:r>
      <w:r>
        <w:t>report having</w:t>
      </w:r>
      <w:r w:rsidRPr="0007586A">
        <w:t xml:space="preserve"> been admitted to hospital with a heart attack at some time in their li</w:t>
      </w:r>
      <w:r>
        <w:t>fe</w:t>
      </w:r>
      <w:r w:rsidRPr="0007586A">
        <w:t xml:space="preserve"> or if they have been diagnosed with angina (typically temporary chest pain while doing exercise) by a doctor.</w:t>
      </w:r>
    </w:p>
    <w:p w14:paraId="70BF1FA2" w14:textId="77777777" w:rsidR="00FC0DB8" w:rsidRPr="0007586A" w:rsidRDefault="00FC0DB8" w:rsidP="004D5DFB"/>
    <w:p w14:paraId="6F2D6F3A" w14:textId="77777777" w:rsidR="00FC0DB8" w:rsidRPr="0007586A" w:rsidRDefault="00FC0DB8" w:rsidP="004D5DFB">
      <w:r w:rsidRPr="0007586A">
        <w:t>In 201</w:t>
      </w:r>
      <w:r>
        <w:t>5</w:t>
      </w:r>
      <w:r w:rsidRPr="0007586A">
        <w:t>/1</w:t>
      </w:r>
      <w:r>
        <w:t>6,</w:t>
      </w:r>
      <w:r w:rsidRPr="0007586A">
        <w:t xml:space="preserve"> </w:t>
      </w:r>
      <w:r w:rsidRPr="00F40758">
        <w:t xml:space="preserve">nearly one in twenty adults (4.6%) </w:t>
      </w:r>
      <w:r>
        <w:t>h</w:t>
      </w:r>
      <w:r w:rsidRPr="0007586A">
        <w:t>ad ischaemic heart disease, down from 5.3% in 2006/07.</w:t>
      </w:r>
    </w:p>
    <w:p w14:paraId="3D10FB22" w14:textId="77777777" w:rsidR="00FC0DB8" w:rsidRPr="0007586A" w:rsidRDefault="00FC0DB8" w:rsidP="004D5DFB">
      <w:pPr>
        <w:rPr>
          <w:highlight w:val="yellow"/>
        </w:rPr>
      </w:pPr>
    </w:p>
    <w:p w14:paraId="4F7F12F4" w14:textId="77777777" w:rsidR="00FC0DB8" w:rsidRPr="00F30E58" w:rsidRDefault="00FC0DB8" w:rsidP="004D5DFB">
      <w:r w:rsidRPr="00F30E58">
        <w:t xml:space="preserve">At least one in twenty men (5.9%) </w:t>
      </w:r>
      <w:r>
        <w:t>reported being diagnosed with</w:t>
      </w:r>
      <w:r w:rsidRPr="00F30E58">
        <w:t xml:space="preserve"> ischaemic heart disease, compared with 3.4% of women.</w:t>
      </w:r>
      <w:r w:rsidR="004D5DFB">
        <w:rPr>
          <w:rStyle w:val="FootnoteReference"/>
        </w:rPr>
        <w:footnoteReference w:id="18"/>
      </w:r>
      <w:r w:rsidRPr="00F30E58">
        <w:t xml:space="preserve"> Men were 1.9 times as likely as women to have ischaemic heart disease, after adjusting for age differences. </w:t>
      </w:r>
      <w:r w:rsidRPr="00B94CA1">
        <w:t>This sex ratio was mirrored in the ischaemic heart disease mortality statistics</w:t>
      </w:r>
      <w:r>
        <w:t>,</w:t>
      </w:r>
      <w:r w:rsidRPr="00B94CA1">
        <w:t xml:space="preserve"> which are age standardised: in 2012</w:t>
      </w:r>
      <w:r>
        <w:t>,</w:t>
      </w:r>
      <w:r w:rsidRPr="00B94CA1">
        <w:t xml:space="preserve"> the male rate was </w:t>
      </w:r>
      <w:r>
        <w:t>1.9 times</w:t>
      </w:r>
      <w:r w:rsidRPr="00B94CA1">
        <w:t xml:space="preserve"> the female rate (Ministry of Health 2015</w:t>
      </w:r>
      <w:r>
        <w:t>c</w:t>
      </w:r>
      <w:r w:rsidRPr="00B94CA1">
        <w:t>).</w:t>
      </w:r>
    </w:p>
    <w:p w14:paraId="5906FF0B" w14:textId="77777777" w:rsidR="00FC0DB8" w:rsidRPr="00D10D77" w:rsidRDefault="00FC0DB8" w:rsidP="004D5DFB">
      <w:pPr>
        <w:rPr>
          <w:highlight w:val="lightGray"/>
        </w:rPr>
      </w:pPr>
    </w:p>
    <w:p w14:paraId="7C73321E" w14:textId="77777777" w:rsidR="00FC0DB8" w:rsidRPr="00F30E58" w:rsidRDefault="00FC0DB8" w:rsidP="004D5DFB">
      <w:r w:rsidRPr="00F30E58">
        <w:t>Ischaemic heart disease prevalence increased wi</w:t>
      </w:r>
      <w:r>
        <w:t>th age: about one in five adults</w:t>
      </w:r>
      <w:r w:rsidRPr="00F30E58">
        <w:t xml:space="preserve"> (21%) aged 75 years and over </w:t>
      </w:r>
      <w:r>
        <w:t>had ischaemic heart disease</w:t>
      </w:r>
      <w:r w:rsidRPr="00F30E58">
        <w:t>.</w:t>
      </w:r>
    </w:p>
    <w:p w14:paraId="6A56A308" w14:textId="77777777" w:rsidR="00FC0DB8" w:rsidRPr="00D10D77" w:rsidRDefault="00FC0DB8" w:rsidP="004D5DFB">
      <w:pPr>
        <w:rPr>
          <w:highlight w:val="lightGray"/>
        </w:rPr>
      </w:pPr>
    </w:p>
    <w:p w14:paraId="18B946BF" w14:textId="77777777" w:rsidR="00FC0DB8" w:rsidRDefault="00FC0DB8" w:rsidP="004D5DFB">
      <w:r w:rsidRPr="00F30E58">
        <w:t>About one in twenty Māori adults (4.8%) had ischaemic heart disease</w:t>
      </w:r>
      <w:r>
        <w:t xml:space="preserve"> in 2015/16</w:t>
      </w:r>
      <w:r w:rsidRPr="00F30E58">
        <w:t xml:space="preserve">. After adjusting for age and sex differences, Māori adults were 1.8 times as likely to have ischaemic heart disease as non-Māori adults, although this difference was not statistically significant. </w:t>
      </w:r>
      <w:r>
        <w:t>Māori men were 1.6 times as likely to have ischaemic heart disease as non-Māori men, after adjusting for age differences. The</w:t>
      </w:r>
      <w:r w:rsidRPr="00B94CA1">
        <w:t>s</w:t>
      </w:r>
      <w:r>
        <w:t>e</w:t>
      </w:r>
      <w:r w:rsidRPr="00B94CA1">
        <w:t xml:space="preserve"> finding</w:t>
      </w:r>
      <w:r>
        <w:t>s</w:t>
      </w:r>
      <w:r w:rsidRPr="00B94CA1">
        <w:t xml:space="preserve"> </w:t>
      </w:r>
      <w:r>
        <w:t xml:space="preserve">were </w:t>
      </w:r>
      <w:r w:rsidRPr="00B94CA1">
        <w:t>consistent with mortality data: in 2012, the Māori ischaemic heart disease mortality rate (age standardised) was about twice as high as that for non-Māori (Ministry of Health 2015</w:t>
      </w:r>
      <w:r>
        <w:t>c</w:t>
      </w:r>
      <w:r w:rsidRPr="00B94CA1">
        <w:t>); the Māori male rate was 1.8 times the rate for non-Māori males and the rate for Māori females was 1.9 times the rate for non-Māori females.</w:t>
      </w:r>
    </w:p>
    <w:p w14:paraId="16DBC2E3" w14:textId="77777777" w:rsidR="004D5DFB" w:rsidRDefault="004D5DFB" w:rsidP="004D5DFB"/>
    <w:p w14:paraId="07D04C78" w14:textId="77777777" w:rsidR="00FC0DB8" w:rsidRDefault="00FC0DB8" w:rsidP="004D5DFB">
      <w:pPr>
        <w:pStyle w:val="Heading3"/>
      </w:pPr>
      <w:r>
        <w:lastRenderedPageBreak/>
        <w:t>Men were more likely to have had a stroke than women</w:t>
      </w:r>
    </w:p>
    <w:p w14:paraId="5D124E71" w14:textId="77777777" w:rsidR="00FC0DB8" w:rsidRPr="00715E5E" w:rsidRDefault="00FC0DB8" w:rsidP="004D5DFB">
      <w:pPr>
        <w:pStyle w:val="Box"/>
        <w:jc w:val="center"/>
        <w:rPr>
          <w:lang w:eastAsia="en-NZ"/>
        </w:rPr>
      </w:pPr>
      <w:r w:rsidRPr="00C716D8">
        <w:rPr>
          <w:noProof/>
          <w:lang w:eastAsia="en-NZ"/>
        </w:rPr>
        <w:drawing>
          <wp:inline distT="0" distB="0" distL="0" distR="0" wp14:anchorId="4616B576" wp14:editId="703C49B4">
            <wp:extent cx="5600700" cy="3143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22581D65" w14:textId="77777777" w:rsidR="00FC0DB8" w:rsidRPr="00715E5E" w:rsidRDefault="00FC0DB8" w:rsidP="004D5DFB"/>
    <w:p w14:paraId="296C6517" w14:textId="77777777" w:rsidR="00FC0DB8" w:rsidRDefault="00FC0DB8" w:rsidP="004D5DFB">
      <w:r w:rsidRPr="0007586A">
        <w:t xml:space="preserve">After a stroke, many people recover well; however, some may </w:t>
      </w:r>
      <w:r>
        <w:t xml:space="preserve">be permanently disabled or die. </w:t>
      </w:r>
      <w:r w:rsidRPr="00BE13B3">
        <w:t xml:space="preserve">Stroke was the </w:t>
      </w:r>
      <w:r>
        <w:t>second</w:t>
      </w:r>
      <w:r w:rsidRPr="00BE13B3">
        <w:t xml:space="preserve"> leading cause of death in 2012, after ischaemic heart disease (Ministry of Health 2015</w:t>
      </w:r>
      <w:r>
        <w:t>c</w:t>
      </w:r>
      <w:r w:rsidRPr="00BE13B3">
        <w:t>).</w:t>
      </w:r>
    </w:p>
    <w:p w14:paraId="3E6EDC14" w14:textId="77777777" w:rsidR="00FC0DB8" w:rsidRPr="0007586A" w:rsidRDefault="00FC0DB8" w:rsidP="004D5DFB"/>
    <w:p w14:paraId="3DFDB200" w14:textId="77777777" w:rsidR="00FC0DB8" w:rsidRDefault="00FC0DB8" w:rsidP="004D5DFB">
      <w:r w:rsidRPr="0007586A">
        <w:t>In this report, a person is defined as having had a stroke if a doctor has told them at some time in their life that they have had a stroke (this excludes transient ischaemic attacks, which are sometimes referred to as mini-strokes).</w:t>
      </w:r>
    </w:p>
    <w:p w14:paraId="48A26F75" w14:textId="77777777" w:rsidR="00FC0DB8" w:rsidRPr="0007586A" w:rsidRDefault="00FC0DB8" w:rsidP="004D5DFB"/>
    <w:p w14:paraId="1A9AC3F5" w14:textId="77777777" w:rsidR="00FC0DB8" w:rsidRDefault="00FC0DB8" w:rsidP="004D5DFB">
      <w:r w:rsidRPr="0007586A">
        <w:t xml:space="preserve">About </w:t>
      </w:r>
      <w:r>
        <w:t>57</w:t>
      </w:r>
      <w:r w:rsidRPr="0007586A">
        <w:t>,000 adults (</w:t>
      </w:r>
      <w:r>
        <w:t>1.5</w:t>
      </w:r>
      <w:r w:rsidRPr="0007586A">
        <w:t>%) report</w:t>
      </w:r>
      <w:r>
        <w:t>ed</w:t>
      </w:r>
      <w:r w:rsidRPr="0007586A">
        <w:t xml:space="preserve"> having had a stroke </w:t>
      </w:r>
      <w:r>
        <w:t>at some stage in their lives</w:t>
      </w:r>
      <w:r w:rsidRPr="0007586A">
        <w:t>.</w:t>
      </w:r>
    </w:p>
    <w:p w14:paraId="3E5C496C" w14:textId="77777777" w:rsidR="00FC0DB8" w:rsidRDefault="00FC0DB8" w:rsidP="004D5DFB"/>
    <w:p w14:paraId="75798FA5" w14:textId="77777777" w:rsidR="00FC0DB8" w:rsidRDefault="00FC0DB8" w:rsidP="004D5DFB">
      <w:r>
        <w:t>Older adults</w:t>
      </w:r>
      <w:r w:rsidRPr="0007586A">
        <w:t xml:space="preserve"> were more likely to have had a stroke than those in younger age groups. </w:t>
      </w:r>
      <w:r>
        <w:t xml:space="preserve">About 21,000 </w:t>
      </w:r>
      <w:r w:rsidRPr="0007586A">
        <w:t>adults aged 75 years and over (</w:t>
      </w:r>
      <w:r>
        <w:t>7</w:t>
      </w:r>
      <w:r w:rsidRPr="0007586A">
        <w:t xml:space="preserve">%) reported having had a stroke. Nevertheless, </w:t>
      </w:r>
      <w:r>
        <w:t>64%</w:t>
      </w:r>
      <w:r w:rsidRPr="0007586A">
        <w:t xml:space="preserve"> </w:t>
      </w:r>
      <w:r>
        <w:t xml:space="preserve">of </w:t>
      </w:r>
      <w:r w:rsidRPr="0007586A">
        <w:t>adults who ha</w:t>
      </w:r>
      <w:r>
        <w:t>d</w:t>
      </w:r>
      <w:r w:rsidRPr="0007586A">
        <w:t xml:space="preserve"> </w:t>
      </w:r>
      <w:r>
        <w:t>survived</w:t>
      </w:r>
      <w:r w:rsidRPr="0007586A">
        <w:t xml:space="preserve"> a stroke (</w:t>
      </w:r>
      <w:r>
        <w:t>37</w:t>
      </w:r>
      <w:r w:rsidRPr="0007586A">
        <w:t xml:space="preserve">,000 adults) were </w:t>
      </w:r>
      <w:r>
        <w:t>younger</w:t>
      </w:r>
      <w:r w:rsidRPr="0007586A">
        <w:t xml:space="preserve"> than 75 years.</w:t>
      </w:r>
      <w:r w:rsidR="004D5DFB">
        <w:rPr>
          <w:rStyle w:val="FootnoteReference"/>
        </w:rPr>
        <w:footnoteReference w:id="19"/>
      </w:r>
    </w:p>
    <w:p w14:paraId="53889DDC" w14:textId="77777777" w:rsidR="00FC0DB8" w:rsidRDefault="00FC0DB8" w:rsidP="004D5DFB"/>
    <w:p w14:paraId="3B1CD092" w14:textId="77777777" w:rsidR="00FC0DB8" w:rsidRPr="0007586A" w:rsidRDefault="00FC0DB8" w:rsidP="004D5DFB">
      <w:r>
        <w:t>Men were more 1.4 times more likely to have had a stroke than women, after adjusting for age differences. The rates were 1.7% and 1.3% respectively.</w:t>
      </w:r>
    </w:p>
    <w:p w14:paraId="5B7A4E19" w14:textId="77777777" w:rsidR="00FC0DB8" w:rsidRPr="0007586A" w:rsidRDefault="00FC0DB8" w:rsidP="004D5DFB"/>
    <w:p w14:paraId="7E1305D8" w14:textId="77777777" w:rsidR="00FC0DB8" w:rsidRDefault="00FC0DB8" w:rsidP="004D5DFB">
      <w:pPr>
        <w:pStyle w:val="Heading3"/>
      </w:pPr>
      <w:r>
        <w:lastRenderedPageBreak/>
        <w:t>The percentage of adults experiencing psychological distress decreased with age</w:t>
      </w:r>
    </w:p>
    <w:p w14:paraId="3AD43DD5" w14:textId="77777777" w:rsidR="00FC0DB8" w:rsidRDefault="00FC0DB8" w:rsidP="004D5DFB">
      <w:pPr>
        <w:pStyle w:val="Box"/>
        <w:jc w:val="center"/>
      </w:pPr>
      <w:r w:rsidRPr="00C716D8">
        <w:rPr>
          <w:noProof/>
          <w:lang w:eastAsia="en-NZ"/>
        </w:rPr>
        <w:drawing>
          <wp:inline distT="0" distB="0" distL="0" distR="0" wp14:anchorId="53E4766D" wp14:editId="7EA00D22">
            <wp:extent cx="5600700" cy="3143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7B54F2B6" w14:textId="77777777" w:rsidR="00FC0DB8" w:rsidRDefault="00FC0DB8" w:rsidP="004D5DFB"/>
    <w:p w14:paraId="04F02443" w14:textId="77777777" w:rsidR="00FC0DB8" w:rsidRPr="0007586A" w:rsidRDefault="00FC0DB8" w:rsidP="004D5DFB">
      <w:r w:rsidRPr="0007586A">
        <w:t xml:space="preserve">The </w:t>
      </w:r>
      <w:r>
        <w:t>survey</w:t>
      </w:r>
      <w:r w:rsidRPr="0007586A">
        <w:t xml:space="preserve"> measures psychological (mental) distress using the Kessler Psychological Distress Scale (K10) (Kessler et al 2003). This measures a person</w:t>
      </w:r>
      <w:r w:rsidR="00FD6712">
        <w:t>’</w:t>
      </w:r>
      <w:r w:rsidRPr="0007586A">
        <w:t>s experience of symptoms such as anxiety, confused emotions, depression or rage in the past four weeks. People who have a score of 12 or more have a high probability of having an anxiety or depressive disorder.</w:t>
      </w:r>
    </w:p>
    <w:p w14:paraId="0BABC070" w14:textId="77777777" w:rsidR="00FC0DB8" w:rsidRPr="0007586A" w:rsidRDefault="00FC0DB8" w:rsidP="004D5DFB"/>
    <w:p w14:paraId="57022E9A" w14:textId="77777777" w:rsidR="00FC0DB8" w:rsidRPr="0007586A" w:rsidRDefault="00FC0DB8" w:rsidP="004D5DFB">
      <w:r w:rsidRPr="0007586A">
        <w:t>In this report</w:t>
      </w:r>
      <w:r>
        <w:t>,</w:t>
      </w:r>
      <w:r w:rsidRPr="0007586A">
        <w:t xml:space="preserve"> </w:t>
      </w:r>
      <w:r w:rsidR="00FD6712">
        <w:t>‘</w:t>
      </w:r>
      <w:r w:rsidRPr="0007586A">
        <w:t>psychological distress</w:t>
      </w:r>
      <w:r w:rsidR="00FD6712">
        <w:t>’</w:t>
      </w:r>
      <w:r w:rsidRPr="0007586A">
        <w:t xml:space="preserve"> means high or very high levels of psychological distress according to the K10 scale (ie, a score of 12 or more) in the </w:t>
      </w:r>
      <w:r>
        <w:t>past</w:t>
      </w:r>
      <w:r w:rsidRPr="0007586A">
        <w:t xml:space="preserve"> four weeks.</w:t>
      </w:r>
    </w:p>
    <w:p w14:paraId="09C2A057" w14:textId="77777777" w:rsidR="00FC0DB8" w:rsidRPr="0007586A" w:rsidRDefault="00FC0DB8" w:rsidP="004D5DFB"/>
    <w:p w14:paraId="0A8DEDA5" w14:textId="77777777" w:rsidR="00FC0DB8" w:rsidRDefault="00FC0DB8" w:rsidP="004D5DFB">
      <w:r>
        <w:t xml:space="preserve">About 256,000 adults (7%) </w:t>
      </w:r>
      <w:r w:rsidRPr="0007586A">
        <w:t>experienced psychological distress in the four weeks</w:t>
      </w:r>
      <w:r>
        <w:t xml:space="preserve"> before taking part in the survey</w:t>
      </w:r>
      <w:r w:rsidRPr="0007586A">
        <w:t>.</w:t>
      </w:r>
    </w:p>
    <w:p w14:paraId="01E283B9" w14:textId="77777777" w:rsidR="00FC0DB8" w:rsidRDefault="00FC0DB8" w:rsidP="004D5DFB"/>
    <w:p w14:paraId="69E40D32" w14:textId="77777777" w:rsidR="00FC0DB8" w:rsidRPr="0007586A" w:rsidRDefault="00FC0DB8" w:rsidP="004D5DFB">
      <w:pPr>
        <w:rPr>
          <w:highlight w:val="yellow"/>
        </w:rPr>
      </w:pPr>
      <w:r>
        <w:t xml:space="preserve">Prevalence of </w:t>
      </w:r>
      <w:r w:rsidRPr="0007586A">
        <w:t xml:space="preserve">psychological distress varied by sex, age, ethnic group and </w:t>
      </w:r>
      <w:r>
        <w:t>neighbourhood</w:t>
      </w:r>
      <w:r w:rsidRPr="0007586A">
        <w:t xml:space="preserve"> deprivation, as follows.</w:t>
      </w:r>
      <w:r w:rsidR="004D5DFB">
        <w:rPr>
          <w:rStyle w:val="FootnoteReference"/>
        </w:rPr>
        <w:footnoteReference w:id="20"/>
      </w:r>
    </w:p>
    <w:p w14:paraId="6CDB31D2" w14:textId="77777777" w:rsidR="00FC0DB8" w:rsidRDefault="00FC0DB8" w:rsidP="004D5DFB">
      <w:pPr>
        <w:pStyle w:val="Bullet"/>
      </w:pPr>
      <w:r w:rsidRPr="0007586A">
        <w:t xml:space="preserve">Women were </w:t>
      </w:r>
      <w:r>
        <w:t>more</w:t>
      </w:r>
      <w:r w:rsidRPr="0007586A">
        <w:t xml:space="preserve"> likely to have experienced psychological distress than men (the rates were </w:t>
      </w:r>
      <w:r>
        <w:t>9</w:t>
      </w:r>
      <w:r w:rsidRPr="0007586A">
        <w:t>% and</w:t>
      </w:r>
      <w:r>
        <w:t xml:space="preserve"> 5</w:t>
      </w:r>
      <w:r w:rsidRPr="0007586A">
        <w:t>% respectively).</w:t>
      </w:r>
    </w:p>
    <w:p w14:paraId="30134365" w14:textId="77777777" w:rsidR="00FC0DB8" w:rsidRDefault="00FC0DB8" w:rsidP="004D5DFB">
      <w:pPr>
        <w:pStyle w:val="Bullet"/>
      </w:pPr>
      <w:r>
        <w:t>Psychological distress rates decreased with age. Less than 5% of adults aged 65 years and over experienced psychological distress in the previous four weeks. In contrast, more than 8% of adults aged 15–44 years experienced psychological distress in the past four weeks.</w:t>
      </w:r>
    </w:p>
    <w:p w14:paraId="6E0D4824" w14:textId="77777777" w:rsidR="00FC0DB8" w:rsidRDefault="00FC0DB8" w:rsidP="004D5DFB">
      <w:pPr>
        <w:pStyle w:val="Bullet"/>
      </w:pPr>
      <w:r>
        <w:t xml:space="preserve">One in nine </w:t>
      </w:r>
      <w:r w:rsidRPr="0007586A">
        <w:t xml:space="preserve">Pacific and Māori adults </w:t>
      </w:r>
      <w:r>
        <w:t xml:space="preserve">(11%) </w:t>
      </w:r>
      <w:r w:rsidRPr="0007586A">
        <w:t>expe</w:t>
      </w:r>
      <w:r>
        <w:t>rienced psychological distress in the past four weeks</w:t>
      </w:r>
      <w:r w:rsidRPr="0007586A">
        <w:t xml:space="preserve">. After adjusting for age and sex differences, Pacific </w:t>
      </w:r>
      <w:r>
        <w:t xml:space="preserve">and </w:t>
      </w:r>
      <w:r w:rsidRPr="0007586A">
        <w:t xml:space="preserve">Māori </w:t>
      </w:r>
      <w:r>
        <w:t>adults were 1.5</w:t>
      </w:r>
      <w:r w:rsidRPr="0007586A">
        <w:t xml:space="preserve"> times as likely to have experienced psychological distress as </w:t>
      </w:r>
      <w:r>
        <w:t xml:space="preserve">non-Pacific and </w:t>
      </w:r>
      <w:r w:rsidRPr="0007586A">
        <w:t>non-Māori adults</w:t>
      </w:r>
      <w:r>
        <w:t xml:space="preserve"> respectively</w:t>
      </w:r>
      <w:r w:rsidRPr="0007586A">
        <w:t>.</w:t>
      </w:r>
    </w:p>
    <w:p w14:paraId="0E956DBD" w14:textId="77777777" w:rsidR="00FC0DB8" w:rsidRDefault="00FC0DB8" w:rsidP="004D5DFB">
      <w:pPr>
        <w:pStyle w:val="Bullet"/>
      </w:pPr>
      <w:r w:rsidRPr="0007586A">
        <w:t>The prevalence of psychological distress was higher in the most</w:t>
      </w:r>
      <w:r>
        <w:t xml:space="preserve"> socioeconomically</w:t>
      </w:r>
      <w:r w:rsidRPr="0007586A">
        <w:t xml:space="preserve"> deprived neighbourhoods</w:t>
      </w:r>
      <w:r>
        <w:t xml:space="preserve"> (11.5%), than in the least deprived neighbourhoods (3.8%)</w:t>
      </w:r>
      <w:r w:rsidRPr="0007586A">
        <w:t xml:space="preserve">. Those living in the most deprived areas were </w:t>
      </w:r>
      <w:r>
        <w:t>3.1</w:t>
      </w:r>
      <w:r w:rsidRPr="0007586A">
        <w:t xml:space="preserve"> times as likely to have experienced psychological distress as those in</w:t>
      </w:r>
      <w:r>
        <w:t xml:space="preserve"> the</w:t>
      </w:r>
      <w:r w:rsidRPr="0007586A">
        <w:t xml:space="preserve"> least deprived areas, after adjusting for age, sex and ethnic differences.</w:t>
      </w:r>
    </w:p>
    <w:p w14:paraId="159FAB6D" w14:textId="77777777" w:rsidR="00DD4F6C" w:rsidRPr="0007586A" w:rsidRDefault="00DD4F6C" w:rsidP="00DD4F6C"/>
    <w:p w14:paraId="29803E2E" w14:textId="77777777" w:rsidR="00FC0DB8" w:rsidRDefault="00FC0DB8" w:rsidP="00DD4F6C">
      <w:pPr>
        <w:pStyle w:val="Heading3"/>
        <w:rPr>
          <w:u w:val="single"/>
        </w:rPr>
      </w:pPr>
      <w:r>
        <w:lastRenderedPageBreak/>
        <w:t>The prevalence of asthma (medicated) continued to remain stable</w:t>
      </w:r>
    </w:p>
    <w:p w14:paraId="37DE2C6D" w14:textId="77777777" w:rsidR="00FC0DB8" w:rsidRPr="007906A1" w:rsidRDefault="00FC0DB8" w:rsidP="00DD4F6C">
      <w:pPr>
        <w:pStyle w:val="Box"/>
        <w:jc w:val="center"/>
      </w:pPr>
      <w:r w:rsidRPr="00C716D8">
        <w:rPr>
          <w:noProof/>
          <w:lang w:eastAsia="en-NZ"/>
        </w:rPr>
        <w:drawing>
          <wp:inline distT="0" distB="0" distL="0" distR="0" wp14:anchorId="5D24D3E0" wp14:editId="68E12265">
            <wp:extent cx="5600700" cy="3143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615B1089" w14:textId="77777777" w:rsidR="00FC0DB8" w:rsidRPr="008C5A1E" w:rsidRDefault="00FC0DB8" w:rsidP="00DD4F6C"/>
    <w:p w14:paraId="7D9647C9" w14:textId="77777777" w:rsidR="00FC0DB8" w:rsidRPr="0007586A" w:rsidRDefault="00FC0DB8" w:rsidP="00DD4F6C">
      <w:r w:rsidRPr="0007586A">
        <w:t xml:space="preserve">In this report, the term </w:t>
      </w:r>
      <w:r w:rsidR="00FD6712">
        <w:t>‘</w:t>
      </w:r>
      <w:r w:rsidRPr="0007586A">
        <w:t>asthma</w:t>
      </w:r>
      <w:r>
        <w:t xml:space="preserve"> (medicated)</w:t>
      </w:r>
      <w:r w:rsidR="00FD6712">
        <w:t>’</w:t>
      </w:r>
      <w:r>
        <w:t xml:space="preserve"> refers to adults</w:t>
      </w:r>
      <w:r w:rsidRPr="0007586A">
        <w:t xml:space="preserve"> who reported that a doctor ha</w:t>
      </w:r>
      <w:r>
        <w:t>d</w:t>
      </w:r>
      <w:r w:rsidRPr="0007586A">
        <w:t xml:space="preserve"> told them they ha</w:t>
      </w:r>
      <w:r>
        <w:t>d</w:t>
      </w:r>
      <w:r w:rsidRPr="0007586A">
        <w:t xml:space="preserve"> asthma and they were currently taking medication to treat it. Medication </w:t>
      </w:r>
      <w:r>
        <w:t>could</w:t>
      </w:r>
      <w:r w:rsidRPr="0007586A">
        <w:t xml:space="preserve"> be taken daily to prevent symptoms or only when needed to relieve symptoms.</w:t>
      </w:r>
    </w:p>
    <w:p w14:paraId="094CD911" w14:textId="77777777" w:rsidR="00FC0DB8" w:rsidRPr="0007586A" w:rsidRDefault="00FC0DB8" w:rsidP="00DD4F6C"/>
    <w:p w14:paraId="64301C24" w14:textId="77777777" w:rsidR="00FC0DB8" w:rsidRPr="0007586A" w:rsidRDefault="00FC0DB8" w:rsidP="00DD4F6C">
      <w:r w:rsidRPr="0007586A">
        <w:t>The</w:t>
      </w:r>
      <w:r>
        <w:t xml:space="preserve"> prevalence of</w:t>
      </w:r>
      <w:r w:rsidRPr="0007586A">
        <w:t xml:space="preserve"> asthma (medicated) has </w:t>
      </w:r>
      <w:r w:rsidRPr="002673F5">
        <w:t>remained stable since 2006/07, at 11% of adults.</w:t>
      </w:r>
      <w:r>
        <w:t xml:space="preserve"> This represents 405,000 adults.</w:t>
      </w:r>
    </w:p>
    <w:p w14:paraId="24B48F69" w14:textId="77777777" w:rsidR="00FC0DB8" w:rsidRDefault="00FC0DB8" w:rsidP="00DD4F6C"/>
    <w:p w14:paraId="3DEE6C10" w14:textId="77777777" w:rsidR="00FC0DB8" w:rsidRDefault="00FC0DB8" w:rsidP="00DD4F6C">
      <w:r>
        <w:t>Women were more likely to have asthma (medicated) than men, after adjusting for age. Thirteen percent of women and 8% of men had asthma (medicated).</w:t>
      </w:r>
    </w:p>
    <w:p w14:paraId="7EB46F23" w14:textId="77777777" w:rsidR="00FC0DB8" w:rsidRPr="0007586A" w:rsidRDefault="00FC0DB8" w:rsidP="00DD4F6C"/>
    <w:p w14:paraId="6B187CEF" w14:textId="77777777" w:rsidR="00FC0DB8" w:rsidRDefault="00FC0DB8" w:rsidP="00DD4F6C">
      <w:r>
        <w:t xml:space="preserve">Asthma (medicated) prevalence varied by ethnic group: the rate was highest in </w:t>
      </w:r>
      <w:r w:rsidRPr="0007586A">
        <w:t>Māori</w:t>
      </w:r>
      <w:r>
        <w:t xml:space="preserve"> adults</w:t>
      </w:r>
      <w:r w:rsidRPr="0007586A">
        <w:t xml:space="preserve"> </w:t>
      </w:r>
      <w:r>
        <w:t xml:space="preserve">(18%) and lowest in Asian adults (6%). </w:t>
      </w:r>
      <w:r w:rsidRPr="0007586A">
        <w:t xml:space="preserve">After adjusting for age and sex differences, Māori </w:t>
      </w:r>
      <w:r>
        <w:t xml:space="preserve">adults </w:t>
      </w:r>
      <w:r w:rsidRPr="0007586A">
        <w:t xml:space="preserve">were </w:t>
      </w:r>
      <w:r>
        <w:t xml:space="preserve">nearly twice as </w:t>
      </w:r>
      <w:r w:rsidRPr="0007586A">
        <w:t xml:space="preserve">likely to have asthma (medicated) </w:t>
      </w:r>
      <w:r>
        <w:t>than</w:t>
      </w:r>
      <w:r w:rsidRPr="0007586A">
        <w:t xml:space="preserve"> non-Māori</w:t>
      </w:r>
      <w:r>
        <w:t xml:space="preserve"> adults</w:t>
      </w:r>
      <w:r w:rsidRPr="0007586A">
        <w:t>, and Asian</w:t>
      </w:r>
      <w:r>
        <w:t xml:space="preserve"> adult</w:t>
      </w:r>
      <w:r w:rsidRPr="0007586A">
        <w:t>s were</w:t>
      </w:r>
      <w:r>
        <w:t xml:space="preserve"> half as </w:t>
      </w:r>
      <w:r w:rsidRPr="0007586A">
        <w:t xml:space="preserve">likely to have asthma (medicated) </w:t>
      </w:r>
      <w:r>
        <w:t xml:space="preserve">than </w:t>
      </w:r>
      <w:r w:rsidRPr="0007586A">
        <w:t>non-Asian</w:t>
      </w:r>
      <w:r>
        <w:t xml:space="preserve"> adult</w:t>
      </w:r>
      <w:r w:rsidRPr="0007586A">
        <w:t>s.</w:t>
      </w:r>
    </w:p>
    <w:p w14:paraId="257DDA55" w14:textId="77777777" w:rsidR="00FC0DB8" w:rsidRDefault="00FC0DB8" w:rsidP="00DD4F6C"/>
    <w:p w14:paraId="682DABF1" w14:textId="77777777" w:rsidR="00FC0DB8" w:rsidRDefault="00FC0DB8" w:rsidP="00DD4F6C">
      <w:r w:rsidRPr="0007586A">
        <w:t xml:space="preserve">Adults in the most </w:t>
      </w:r>
      <w:r>
        <w:t xml:space="preserve">socioeconomically deprived areas </w:t>
      </w:r>
      <w:r w:rsidRPr="0007586A">
        <w:t xml:space="preserve">were </w:t>
      </w:r>
      <w:r>
        <w:t>1.7 times as</w:t>
      </w:r>
      <w:r w:rsidRPr="0007586A">
        <w:t xml:space="preserve"> likely</w:t>
      </w:r>
      <w:r>
        <w:t xml:space="preserve"> to have asthma (medicated) than</w:t>
      </w:r>
      <w:r w:rsidRPr="0007586A">
        <w:t xml:space="preserve"> adults</w:t>
      </w:r>
      <w:r>
        <w:t xml:space="preserve"> in the least deprived areas, after adjusting for age, sex and ethnic differences</w:t>
      </w:r>
      <w:r w:rsidRPr="0007586A">
        <w:t>.</w:t>
      </w:r>
      <w:r>
        <w:t xml:space="preserve"> Thirteen percent of adults living in the most deprived areas and 8% of adults living in the least deprived areas had asthma (medicated).</w:t>
      </w:r>
    </w:p>
    <w:p w14:paraId="3B2A3E2D" w14:textId="77777777" w:rsidR="00DD4F6C" w:rsidRPr="0007586A" w:rsidRDefault="00DD4F6C" w:rsidP="00DD4F6C"/>
    <w:p w14:paraId="5EA02754" w14:textId="67C7047A" w:rsidR="00FC0DB8" w:rsidRDefault="00A85E26" w:rsidP="00DD4F6C">
      <w:pPr>
        <w:pStyle w:val="Heading3"/>
      </w:pPr>
      <w:r>
        <w:lastRenderedPageBreak/>
        <w:t>H</w:t>
      </w:r>
      <w:r w:rsidR="00FC0DB8">
        <w:t>alf of adults over 75 years old had diagnosed arthritis</w:t>
      </w:r>
    </w:p>
    <w:p w14:paraId="41119955" w14:textId="26FBEEA7" w:rsidR="00FC0DB8" w:rsidRPr="008C5A1E" w:rsidRDefault="00A85E26" w:rsidP="00DD4F6C">
      <w:pPr>
        <w:pStyle w:val="Box"/>
        <w:jc w:val="center"/>
      </w:pPr>
      <w:r w:rsidRPr="00A85E26">
        <w:rPr>
          <w:noProof/>
          <w:lang w:eastAsia="en-NZ"/>
        </w:rPr>
        <w:drawing>
          <wp:inline distT="0" distB="0" distL="0" distR="0" wp14:anchorId="645AE51F" wp14:editId="6033316C">
            <wp:extent cx="5600700" cy="3143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5B342739" w14:textId="77777777" w:rsidR="00FC0DB8" w:rsidRDefault="00FC0DB8" w:rsidP="00DD4F6C"/>
    <w:p w14:paraId="7AD18B46" w14:textId="77777777" w:rsidR="00FC0DB8" w:rsidRDefault="00FC0DB8" w:rsidP="00DD4F6C">
      <w:r w:rsidRPr="0007586A">
        <w:t>There are many different types of arthritis, which can affect people of any age. Chronic (long-term) arthritis can result in long-lasting pain and deformity and is a major cause of disability in older people.</w:t>
      </w:r>
    </w:p>
    <w:p w14:paraId="53D8E6E7" w14:textId="77777777" w:rsidR="00FC0DB8" w:rsidRDefault="00FC0DB8" w:rsidP="00DD4F6C"/>
    <w:p w14:paraId="431F0A1A" w14:textId="77777777" w:rsidR="00FC0DB8" w:rsidRPr="0007586A" w:rsidRDefault="00FC0DB8" w:rsidP="00DD4F6C">
      <w:r w:rsidRPr="0007586A">
        <w:t xml:space="preserve">In this report, the term </w:t>
      </w:r>
      <w:r w:rsidR="00FD6712">
        <w:t>‘</w:t>
      </w:r>
      <w:r w:rsidRPr="0007586A">
        <w:t>arthritis</w:t>
      </w:r>
      <w:r w:rsidR="00FD6712">
        <w:t>’</w:t>
      </w:r>
      <w:r>
        <w:t xml:space="preserve"> refers to adults</w:t>
      </w:r>
      <w:r w:rsidRPr="0007586A">
        <w:t xml:space="preserve"> who reported that a doctor ha</w:t>
      </w:r>
      <w:r>
        <w:t>d</w:t>
      </w:r>
      <w:r w:rsidRPr="0007586A">
        <w:t xml:space="preserve"> told them at some time in their life that they ha</w:t>
      </w:r>
      <w:r>
        <w:t>d</w:t>
      </w:r>
      <w:r w:rsidRPr="0007586A">
        <w:t xml:space="preserve"> any type of arthritis, including osteoarthritis, rheumatoid arthritis, gout, lupus and psoriatic arthritis.</w:t>
      </w:r>
    </w:p>
    <w:p w14:paraId="18D36DA6" w14:textId="77777777" w:rsidR="00FC0DB8" w:rsidRPr="0007586A" w:rsidRDefault="00FC0DB8" w:rsidP="00DD4F6C"/>
    <w:p w14:paraId="022249DB" w14:textId="77777777" w:rsidR="00FC0DB8" w:rsidRPr="00BA4866" w:rsidRDefault="00FC0DB8" w:rsidP="00DD4F6C">
      <w:r>
        <w:t xml:space="preserve">More than one in six </w:t>
      </w:r>
      <w:r w:rsidRPr="0007586A">
        <w:t>adults (</w:t>
      </w:r>
      <w:r>
        <w:t>17</w:t>
      </w:r>
      <w:r w:rsidRPr="0007586A">
        <w:t>%) ha</w:t>
      </w:r>
      <w:r>
        <w:t>d</w:t>
      </w:r>
      <w:r w:rsidRPr="0007586A">
        <w:t xml:space="preserve"> arthritis</w:t>
      </w:r>
      <w:r>
        <w:t>, up from 15% in 2011/12</w:t>
      </w:r>
      <w:r w:rsidRPr="0007586A">
        <w:t>.</w:t>
      </w:r>
      <w:r>
        <w:t xml:space="preserve"> This represents about 624,000 adults with arthritis; an 18% increase from 527,000 adults in 2011/12.</w:t>
      </w:r>
      <w:r w:rsidR="00DD4F6C">
        <w:rPr>
          <w:rStyle w:val="FootnoteReference"/>
        </w:rPr>
        <w:footnoteReference w:id="21"/>
      </w:r>
    </w:p>
    <w:p w14:paraId="78781426" w14:textId="77777777" w:rsidR="00FC0DB8" w:rsidRPr="0007586A" w:rsidRDefault="00FC0DB8" w:rsidP="00DD4F6C"/>
    <w:p w14:paraId="31A9DB7C" w14:textId="29FF3E28" w:rsidR="00FC0DB8" w:rsidRPr="0007586A" w:rsidRDefault="00FC0DB8" w:rsidP="00DD4F6C">
      <w:r w:rsidRPr="0007586A">
        <w:t xml:space="preserve">The </w:t>
      </w:r>
      <w:r>
        <w:t xml:space="preserve">prevalence </w:t>
      </w:r>
      <w:r w:rsidRPr="0007586A">
        <w:t xml:space="preserve">of arthritis increased steeply with age, with </w:t>
      </w:r>
      <w:r>
        <w:t xml:space="preserve">half </w:t>
      </w:r>
      <w:r w:rsidRPr="0007586A">
        <w:t xml:space="preserve">of adults aged </w:t>
      </w:r>
      <w:r>
        <w:t xml:space="preserve">over </w:t>
      </w:r>
      <w:r w:rsidRPr="0007586A">
        <w:t>75 years (</w:t>
      </w:r>
      <w:r>
        <w:t>51</w:t>
      </w:r>
      <w:r w:rsidRPr="0007586A">
        <w:t>%) affected</w:t>
      </w:r>
      <w:r>
        <w:t>.</w:t>
      </w:r>
    </w:p>
    <w:p w14:paraId="5C56012E" w14:textId="77777777" w:rsidR="00FC0DB8" w:rsidRPr="0007586A" w:rsidRDefault="00FC0DB8" w:rsidP="00DD4F6C">
      <w:pPr>
        <w:rPr>
          <w:highlight w:val="yellow"/>
        </w:rPr>
      </w:pPr>
    </w:p>
    <w:p w14:paraId="6A783972" w14:textId="77777777" w:rsidR="00FC0DB8" w:rsidRDefault="00FC0DB8" w:rsidP="00DD4F6C">
      <w:r w:rsidRPr="0007586A">
        <w:t xml:space="preserve">Arthritis </w:t>
      </w:r>
      <w:r>
        <w:t>prevalence varied by ethnic group</w:t>
      </w:r>
      <w:r w:rsidRPr="0007586A">
        <w:t xml:space="preserve">. Although the observed rate was highest for the European/Other </w:t>
      </w:r>
      <w:r>
        <w:t xml:space="preserve">adult </w:t>
      </w:r>
      <w:r w:rsidRPr="0007586A">
        <w:t>group (</w:t>
      </w:r>
      <w:r>
        <w:t>19</w:t>
      </w:r>
      <w:r w:rsidRPr="0007586A">
        <w:t>%), when age and sex</w:t>
      </w:r>
      <w:r>
        <w:t xml:space="preserve"> differences</w:t>
      </w:r>
      <w:r w:rsidRPr="0007586A">
        <w:t xml:space="preserve"> were adjusted for, Māori adults were </w:t>
      </w:r>
      <w:r>
        <w:t>1.3</w:t>
      </w:r>
      <w:r w:rsidRPr="0007586A">
        <w:t xml:space="preserve"> times more likely to have arthritis than non-Māori adults.</w:t>
      </w:r>
      <w:r w:rsidR="00DD4F6C">
        <w:rPr>
          <w:vertAlign w:val="superscript"/>
        </w:rPr>
        <w:t>21</w:t>
      </w:r>
      <w:r>
        <w:t xml:space="preserve"> Asian adults had the lowest prevalence of arthritis (6%). </w:t>
      </w:r>
      <w:r w:rsidRPr="0007586A">
        <w:t xml:space="preserve">Asian adults were </w:t>
      </w:r>
      <w:r>
        <w:t>nearly half as</w:t>
      </w:r>
      <w:r w:rsidRPr="0007586A">
        <w:t xml:space="preserve"> likely to have arthritis as n</w:t>
      </w:r>
      <w:r>
        <w:t>o</w:t>
      </w:r>
      <w:r w:rsidRPr="0007586A">
        <w:t>n-Asian adults, after adjust</w:t>
      </w:r>
      <w:r>
        <w:t>ing</w:t>
      </w:r>
      <w:r w:rsidRPr="0007586A">
        <w:t xml:space="preserve"> for age and sex</w:t>
      </w:r>
      <w:r>
        <w:t xml:space="preserve"> differences</w:t>
      </w:r>
      <w:r w:rsidRPr="0007586A">
        <w:t>.</w:t>
      </w:r>
    </w:p>
    <w:p w14:paraId="2140AE4C" w14:textId="77777777" w:rsidR="00FC0DB8" w:rsidRDefault="00FC0DB8" w:rsidP="00DD4F6C"/>
    <w:p w14:paraId="496B51F5" w14:textId="77777777" w:rsidR="00FD6712" w:rsidRDefault="00FC0DB8" w:rsidP="00DD4F6C">
      <w:r>
        <w:t>The most common form of arthritis was osteoarthritis, which affected 10% of adults</w:t>
      </w:r>
      <w:r w:rsidRPr="0075526A">
        <w:t xml:space="preserve"> </w:t>
      </w:r>
      <w:r>
        <w:t>(about 370,000 adults).</w:t>
      </w:r>
      <w:r w:rsidR="00DD4F6C">
        <w:rPr>
          <w:vertAlign w:val="superscript"/>
        </w:rPr>
        <w:t>21</w:t>
      </w:r>
    </w:p>
    <w:p w14:paraId="3533EE42" w14:textId="77777777" w:rsidR="00FC0DB8" w:rsidRDefault="00FC0DB8" w:rsidP="00DD4F6C"/>
    <w:p w14:paraId="2448340B" w14:textId="77777777" w:rsidR="00FD6712" w:rsidRDefault="00FC0DB8" w:rsidP="00DD4F6C">
      <w:r w:rsidRPr="007120E3">
        <w:t>Gout was the second most common form of arthritis, affe</w:t>
      </w:r>
      <w:r>
        <w:t>cting 3.2</w:t>
      </w:r>
      <w:r w:rsidRPr="007120E3">
        <w:t>% of adults</w:t>
      </w:r>
      <w:r>
        <w:t xml:space="preserve"> (about 120,000 adults)</w:t>
      </w:r>
      <w:r w:rsidRPr="007120E3">
        <w:t>.</w:t>
      </w:r>
      <w:r w:rsidR="00DD4F6C">
        <w:rPr>
          <w:vertAlign w:val="superscript"/>
        </w:rPr>
        <w:t>21</w:t>
      </w:r>
    </w:p>
    <w:p w14:paraId="01014A37" w14:textId="77777777" w:rsidR="00FC0DB8" w:rsidRDefault="00FC0DB8" w:rsidP="00DD4F6C"/>
    <w:p w14:paraId="2988C6A5" w14:textId="77777777" w:rsidR="00FC0DB8" w:rsidRDefault="00FC0DB8" w:rsidP="00DD4F6C">
      <w:r>
        <w:t>Rheumatoid arthritis affected 2.4% of adults, which represents about 89,000 adults.</w:t>
      </w:r>
    </w:p>
    <w:p w14:paraId="7F39774A" w14:textId="77777777" w:rsidR="00DD4F6C" w:rsidRDefault="00DD4F6C" w:rsidP="00DD4F6C"/>
    <w:p w14:paraId="5AA244EF" w14:textId="77777777" w:rsidR="00FC0DB8" w:rsidRPr="006E0D0C" w:rsidRDefault="00FC0DB8" w:rsidP="00DD4F6C">
      <w:pPr>
        <w:pStyle w:val="Heading3"/>
      </w:pPr>
      <w:r>
        <w:lastRenderedPageBreak/>
        <w:t xml:space="preserve">More than one in five adults experienced </w:t>
      </w:r>
      <w:r w:rsidRPr="00FD4092">
        <w:t>chronic pain</w:t>
      </w:r>
      <w:r>
        <w:t xml:space="preserve"> and this number has increased</w:t>
      </w:r>
    </w:p>
    <w:p w14:paraId="1E3B6E67" w14:textId="77777777" w:rsidR="00FC0DB8" w:rsidRDefault="00FC0DB8" w:rsidP="00DD4F6C">
      <w:pPr>
        <w:pStyle w:val="Box"/>
        <w:jc w:val="center"/>
      </w:pPr>
      <w:r w:rsidRPr="009E6A20">
        <w:rPr>
          <w:noProof/>
          <w:lang w:eastAsia="en-NZ"/>
        </w:rPr>
        <w:drawing>
          <wp:inline distT="0" distB="0" distL="0" distR="0" wp14:anchorId="18863A7A" wp14:editId="707E064D">
            <wp:extent cx="5600700" cy="3143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69071645" w14:textId="77777777" w:rsidR="00FC0DB8" w:rsidRDefault="00FC0DB8" w:rsidP="00DD4F6C"/>
    <w:p w14:paraId="4FEE3F64" w14:textId="77777777" w:rsidR="00FC0DB8" w:rsidRPr="0007586A" w:rsidRDefault="00FC0DB8" w:rsidP="00DD4F6C">
      <w:bookmarkStart w:id="68" w:name="_Access_to_Health"/>
      <w:bookmarkEnd w:id="68"/>
      <w:r w:rsidRPr="0007586A">
        <w:t xml:space="preserve">Chronic pain can be debilitating and </w:t>
      </w:r>
      <w:r>
        <w:t xml:space="preserve">can </w:t>
      </w:r>
      <w:r w:rsidRPr="0007586A">
        <w:t>affect a person</w:t>
      </w:r>
      <w:r w:rsidR="00FD6712">
        <w:t>’</w:t>
      </w:r>
      <w:r w:rsidRPr="0007586A">
        <w:t>s ability to carry out their usual activities.</w:t>
      </w:r>
      <w:r>
        <w:t xml:space="preserve"> </w:t>
      </w:r>
      <w:r w:rsidRPr="0007586A">
        <w:t xml:space="preserve">In this report, </w:t>
      </w:r>
      <w:r w:rsidR="00FD6712">
        <w:t>‘</w:t>
      </w:r>
      <w:r w:rsidRPr="0007586A">
        <w:t>chronic pain</w:t>
      </w:r>
      <w:r w:rsidR="00FD6712">
        <w:t>’</w:t>
      </w:r>
      <w:r w:rsidRPr="0007586A">
        <w:t xml:space="preserve"> is defined as pain that is present almost every day and has lasted, or is expected to last, more than six months.</w:t>
      </w:r>
    </w:p>
    <w:p w14:paraId="0202AF81" w14:textId="77777777" w:rsidR="00FC0DB8" w:rsidRPr="0007586A" w:rsidRDefault="00FC0DB8" w:rsidP="00DD4F6C"/>
    <w:p w14:paraId="3C13A8FA" w14:textId="77777777" w:rsidR="00FC0DB8" w:rsidRDefault="00FC0DB8" w:rsidP="00DD4F6C">
      <w:r>
        <w:t>More than one in five</w:t>
      </w:r>
      <w:r w:rsidRPr="0007586A">
        <w:t xml:space="preserve"> adults (</w:t>
      </w:r>
      <w:r>
        <w:t>21</w:t>
      </w:r>
      <w:r w:rsidRPr="0007586A">
        <w:t>%) experienced chronic pain</w:t>
      </w:r>
      <w:r>
        <w:t>, up from 17% in</w:t>
      </w:r>
      <w:r w:rsidRPr="0007586A">
        <w:t xml:space="preserve"> 2006/07.</w:t>
      </w:r>
      <w:r w:rsidR="00DD4F6C">
        <w:rPr>
          <w:rStyle w:val="FootnoteReference"/>
        </w:rPr>
        <w:footnoteReference w:id="22"/>
      </w:r>
      <w:r w:rsidR="00DD4F6C">
        <w:t xml:space="preserve"> </w:t>
      </w:r>
      <w:r>
        <w:t>This represents about 777,000 adults experiencing pain almost every day; a 37% increase from 567,000 adults in 2006/07.</w:t>
      </w:r>
    </w:p>
    <w:p w14:paraId="594652BE" w14:textId="77777777" w:rsidR="00FC0DB8" w:rsidRPr="0007586A" w:rsidRDefault="00FC0DB8" w:rsidP="00FC0DB8">
      <w:pPr>
        <w:rPr>
          <w:highlight w:val="yellow"/>
        </w:rPr>
      </w:pPr>
    </w:p>
    <w:p w14:paraId="79E11E48" w14:textId="77777777" w:rsidR="00FC0DB8" w:rsidRPr="0007586A" w:rsidRDefault="00FC0DB8" w:rsidP="00DD4F6C">
      <w:r w:rsidRPr="0007586A">
        <w:t>Rates of chronic pain increase</w:t>
      </w:r>
      <w:r>
        <w:t>d</w:t>
      </w:r>
      <w:r w:rsidRPr="0007586A">
        <w:t xml:space="preserve"> with age</w:t>
      </w:r>
      <w:r>
        <w:t>:</w:t>
      </w:r>
      <w:r w:rsidRPr="0007586A">
        <w:t xml:space="preserve"> </w:t>
      </w:r>
      <w:r>
        <w:t>almost one-third of adults in the</w:t>
      </w:r>
      <w:r w:rsidRPr="003F6A15">
        <w:t xml:space="preserve"> </w:t>
      </w:r>
      <w:r>
        <w:t>65–7</w:t>
      </w:r>
      <w:r w:rsidRPr="006E0C00">
        <w:t>4</w:t>
      </w:r>
      <w:r>
        <w:t xml:space="preserve"> years age group </w:t>
      </w:r>
      <w:r w:rsidRPr="0007586A">
        <w:t>(</w:t>
      </w:r>
      <w:r>
        <w:t>32</w:t>
      </w:r>
      <w:r w:rsidRPr="0007586A">
        <w:t>%) were affected.</w:t>
      </w:r>
      <w:r>
        <w:t xml:space="preserve"> Rates of chronic pain have increased in all age groups over 35 years since 2006/07.</w:t>
      </w:r>
      <w:r w:rsidR="00DD4F6C">
        <w:rPr>
          <w:vertAlign w:val="superscript"/>
        </w:rPr>
        <w:t>22</w:t>
      </w:r>
    </w:p>
    <w:p w14:paraId="4C53B980" w14:textId="77777777" w:rsidR="00FC0DB8" w:rsidRDefault="00FC0DB8" w:rsidP="00DD4F6C"/>
    <w:p w14:paraId="43003B64" w14:textId="6DD526CD" w:rsidR="00FC0DB8" w:rsidRDefault="00191F1E" w:rsidP="00DD4F6C">
      <w:r>
        <w:t xml:space="preserve">Thirteen percent of Asian adults </w:t>
      </w:r>
      <w:r w:rsidR="00FC0DB8">
        <w:t>experienced chronic pain.</w:t>
      </w:r>
      <w:r w:rsidR="00DD4F6C">
        <w:rPr>
          <w:vertAlign w:val="superscript"/>
        </w:rPr>
        <w:t>22</w:t>
      </w:r>
      <w:r w:rsidR="00FC0DB8" w:rsidRPr="0007586A">
        <w:t xml:space="preserve"> Asian adults were </w:t>
      </w:r>
      <w:r w:rsidR="00FC0DB8">
        <w:t>25% less</w:t>
      </w:r>
      <w:r w:rsidR="00FC0DB8" w:rsidRPr="0007586A">
        <w:t xml:space="preserve"> likely to experience chronic pain </w:t>
      </w:r>
      <w:r w:rsidR="00FC0DB8">
        <w:t>than</w:t>
      </w:r>
      <w:r w:rsidR="00FC0DB8" w:rsidRPr="0007586A">
        <w:t xml:space="preserve"> non-Asians, after adjusting for age and sex </w:t>
      </w:r>
      <w:r w:rsidR="00FC0DB8" w:rsidRPr="003B6BC2">
        <w:t>differences.</w:t>
      </w:r>
    </w:p>
    <w:p w14:paraId="7AF347A3" w14:textId="77777777" w:rsidR="00FC0DB8" w:rsidRDefault="00FC0DB8" w:rsidP="00DD4F6C"/>
    <w:p w14:paraId="62103006" w14:textId="77777777" w:rsidR="00FC0DB8" w:rsidRPr="0007586A" w:rsidRDefault="00FC0DB8" w:rsidP="00DD4F6C">
      <w:r>
        <w:t>Adults living in the most socioeconomically deprived areas were 1.7 times more likely to experience chronic pain than adults living in the least deprived areas, after adjusting for age, sex and ethnic differences. The rates were three in twelve (24%) for adults living in the most deprived areas and two in twelve (17%) for adults living in the least deprived areas.</w:t>
      </w:r>
    </w:p>
    <w:p w14:paraId="220F411B" w14:textId="77777777" w:rsidR="00FC0DB8" w:rsidRPr="00EB5A57" w:rsidRDefault="00FC0DB8" w:rsidP="00DD4F6C"/>
    <w:p w14:paraId="3E416401" w14:textId="77777777" w:rsidR="00FC0DB8" w:rsidRDefault="00FC0DB8" w:rsidP="00DD4F6C">
      <w:pPr>
        <w:pStyle w:val="Heading2"/>
      </w:pPr>
      <w:bookmarkStart w:id="69" w:name="_Toc373153655"/>
      <w:bookmarkStart w:id="70" w:name="_Toc404618282"/>
      <w:bookmarkStart w:id="71" w:name="_Toc435784739"/>
      <w:bookmarkStart w:id="72" w:name="_Toc436730773"/>
      <w:bookmarkStart w:id="73" w:name="_Toc467831535"/>
      <w:r>
        <w:lastRenderedPageBreak/>
        <w:t>Adults</w:t>
      </w:r>
      <w:r w:rsidR="00FD6712">
        <w:t>’</w:t>
      </w:r>
      <w:r>
        <w:t xml:space="preserve"> a</w:t>
      </w:r>
      <w:r w:rsidRPr="008C5A1E">
        <w:t xml:space="preserve">ccess to </w:t>
      </w:r>
      <w:r>
        <w:t>h</w:t>
      </w:r>
      <w:r w:rsidRPr="008C5A1E">
        <w:t xml:space="preserve">ealth </w:t>
      </w:r>
      <w:r>
        <w:t>c</w:t>
      </w:r>
      <w:r w:rsidRPr="008C5A1E">
        <w:t>are</w:t>
      </w:r>
      <w:bookmarkEnd w:id="69"/>
      <w:bookmarkEnd w:id="70"/>
      <w:bookmarkEnd w:id="71"/>
      <w:bookmarkEnd w:id="72"/>
      <w:bookmarkEnd w:id="73"/>
    </w:p>
    <w:p w14:paraId="6DA640DE" w14:textId="77777777" w:rsidR="00FC0DB8" w:rsidRDefault="00FC0DB8" w:rsidP="00DD4F6C">
      <w:pPr>
        <w:pStyle w:val="Heading3"/>
      </w:pPr>
      <w:r>
        <w:t xml:space="preserve">Almost 80% of adults had </w:t>
      </w:r>
      <w:r w:rsidRPr="00CB6994">
        <w:t xml:space="preserve">visited a GP in the </w:t>
      </w:r>
      <w:r>
        <w:t>p</w:t>
      </w:r>
      <w:r w:rsidRPr="00CB6994">
        <w:t>ast 12 months</w:t>
      </w:r>
    </w:p>
    <w:p w14:paraId="1E1381EE" w14:textId="77777777" w:rsidR="00FC0DB8" w:rsidRPr="00780C92" w:rsidRDefault="00FC0DB8" w:rsidP="00DD4F6C">
      <w:pPr>
        <w:pStyle w:val="Box"/>
        <w:jc w:val="center"/>
      </w:pPr>
      <w:r w:rsidRPr="00C716D8">
        <w:rPr>
          <w:noProof/>
          <w:lang w:eastAsia="en-NZ"/>
        </w:rPr>
        <w:drawing>
          <wp:inline distT="0" distB="0" distL="0" distR="0" wp14:anchorId="2DC4A9B7" wp14:editId="6CAFA120">
            <wp:extent cx="5600700" cy="31432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6D6C55E9" w14:textId="77777777" w:rsidR="00FC0DB8" w:rsidRDefault="00FC0DB8" w:rsidP="00DD4F6C"/>
    <w:p w14:paraId="7028AC4D" w14:textId="77777777" w:rsidR="00FC0DB8" w:rsidRDefault="00FC0DB8" w:rsidP="00DD4F6C">
      <w:r w:rsidRPr="00AA1E47">
        <w:t xml:space="preserve">Most New Zealand adults (93% or 3.5 million) are enrolled with a primary health organisation </w:t>
      </w:r>
      <w:r>
        <w:t xml:space="preserve">(PHO) </w:t>
      </w:r>
      <w:r w:rsidRPr="00AA1E47">
        <w:t xml:space="preserve">that is funded by their local district health board (DHB) to provide general practice and other primary </w:t>
      </w:r>
      <w:r>
        <w:t xml:space="preserve">health </w:t>
      </w:r>
      <w:r w:rsidRPr="00AA1E47">
        <w:t>care services.</w:t>
      </w:r>
      <w:r w:rsidRPr="00A155A3">
        <w:t xml:space="preserve"> Additional funding is provided to meet the health needs of high</w:t>
      </w:r>
      <w:r>
        <w:t>-</w:t>
      </w:r>
      <w:r w:rsidRPr="00A155A3">
        <w:t>needs patients and to lower the cost of accessing services.</w:t>
      </w:r>
    </w:p>
    <w:p w14:paraId="6366EC19" w14:textId="77777777" w:rsidR="00FC0DB8" w:rsidRPr="0007586A" w:rsidRDefault="00FC0DB8" w:rsidP="00DD4F6C"/>
    <w:p w14:paraId="7E7C6B19" w14:textId="77777777" w:rsidR="00FC0DB8" w:rsidRDefault="00FC0DB8" w:rsidP="00DD4F6C">
      <w:r>
        <w:t>Four in five adults</w:t>
      </w:r>
      <w:r w:rsidRPr="00C16B78">
        <w:t xml:space="preserve"> (</w:t>
      </w:r>
      <w:r>
        <w:t>79</w:t>
      </w:r>
      <w:r w:rsidRPr="00C16B78">
        <w:t xml:space="preserve">%) </w:t>
      </w:r>
      <w:r>
        <w:t xml:space="preserve">had </w:t>
      </w:r>
      <w:r w:rsidRPr="00C16B78">
        <w:t xml:space="preserve">visited a GP in the past 12 months. </w:t>
      </w:r>
      <w:r>
        <w:t>Women were more likely to have visited a GP in the past 12 months (84%) than men (75%).</w:t>
      </w:r>
      <w:r w:rsidR="00DD4F6C">
        <w:rPr>
          <w:rStyle w:val="FootnoteReference"/>
        </w:rPr>
        <w:footnoteReference w:id="23"/>
      </w:r>
      <w:r>
        <w:t xml:space="preserve"> This difference was only evident in those aged 15–44 years, when women may have visited a GP for reproductive health reasons.</w:t>
      </w:r>
    </w:p>
    <w:p w14:paraId="06258D21" w14:textId="77777777" w:rsidR="00FC0DB8" w:rsidRPr="0007586A" w:rsidRDefault="00FC0DB8" w:rsidP="00DD4F6C"/>
    <w:p w14:paraId="69A3E5F4" w14:textId="77777777" w:rsidR="00FC0DB8" w:rsidRPr="0007586A" w:rsidRDefault="00FC0DB8" w:rsidP="00DD4F6C">
      <w:r w:rsidRPr="0007586A">
        <w:t>Young men were the least likely to have visited a GP</w:t>
      </w:r>
      <w:r>
        <w:t xml:space="preserve"> in the past 12 months</w:t>
      </w:r>
      <w:r w:rsidRPr="0007586A">
        <w:t xml:space="preserve">. Only </w:t>
      </w:r>
      <w:r>
        <w:t>60</w:t>
      </w:r>
      <w:r w:rsidRPr="0007586A">
        <w:t xml:space="preserve">% of men aged 15–24 years and </w:t>
      </w:r>
      <w:r>
        <w:t>61</w:t>
      </w:r>
      <w:r w:rsidRPr="0007586A">
        <w:t>% of men aged 25–34 years</w:t>
      </w:r>
      <w:r>
        <w:t xml:space="preserve"> had</w:t>
      </w:r>
      <w:r w:rsidRPr="0007586A">
        <w:t xml:space="preserve"> visited a GP</w:t>
      </w:r>
      <w:r>
        <w:t xml:space="preserve"> in the past 12 months</w:t>
      </w:r>
      <w:r w:rsidRPr="0007586A">
        <w:t>.</w:t>
      </w:r>
      <w:r w:rsidR="00DD4F6C">
        <w:rPr>
          <w:vertAlign w:val="superscript"/>
        </w:rPr>
        <w:t>23</w:t>
      </w:r>
    </w:p>
    <w:p w14:paraId="4FB9BFF8" w14:textId="77777777" w:rsidR="00FC0DB8" w:rsidRPr="0007586A" w:rsidRDefault="00FC0DB8" w:rsidP="00DD4F6C"/>
    <w:p w14:paraId="24067060" w14:textId="77777777" w:rsidR="00FC0DB8" w:rsidRDefault="00FC0DB8" w:rsidP="00DD4F6C">
      <w:r w:rsidRPr="0007586A">
        <w:t>O</w:t>
      </w:r>
      <w:r>
        <w:t>lder adults</w:t>
      </w:r>
      <w:r w:rsidRPr="0007586A">
        <w:t xml:space="preserve"> were more likely to have visited a GP in the </w:t>
      </w:r>
      <w:r>
        <w:t>past 12 months than younger adults</w:t>
      </w:r>
      <w:r w:rsidRPr="0007586A">
        <w:t xml:space="preserve">: more than </w:t>
      </w:r>
      <w:r>
        <w:t>90</w:t>
      </w:r>
      <w:r w:rsidRPr="0007586A">
        <w:t>% of adults aged 65 years and over ha</w:t>
      </w:r>
      <w:r>
        <w:t>d</w:t>
      </w:r>
      <w:r w:rsidRPr="0007586A">
        <w:t xml:space="preserve"> visited a GP in the </w:t>
      </w:r>
      <w:r w:rsidRPr="00C16B78">
        <w:t>past 12 months</w:t>
      </w:r>
      <w:r>
        <w:t>, compared with less than 80% of those younger than 45 years</w:t>
      </w:r>
      <w:r w:rsidRPr="0007586A">
        <w:t>.</w:t>
      </w:r>
    </w:p>
    <w:p w14:paraId="2611E034" w14:textId="77777777" w:rsidR="00FC0DB8" w:rsidRDefault="00FC0DB8" w:rsidP="00DD4F6C"/>
    <w:p w14:paraId="16D2EFC1" w14:textId="690F6FCB" w:rsidR="00FC0DB8" w:rsidRDefault="00FC0DB8" w:rsidP="00DD4F6C">
      <w:r>
        <w:t>Eighty-one percent of those in the least socioeconomically deprived neighbourhoods had visited a GP in the past 12 months, compared with 78% in the most deprived neighbourhoods. However, any difference between these groups was removed</w:t>
      </w:r>
      <w:r w:rsidRPr="0007586A">
        <w:t xml:space="preserve"> after adjusting for age, sex and ethnic differences.</w:t>
      </w:r>
      <w:r>
        <w:t xml:space="preserve"> Nevertheless, it should be noted that reported unmet need for primary health care was higher in the more deprived neighbourhoods than the least deprived neighbourhoods </w:t>
      </w:r>
      <w:r w:rsidRPr="00C622F6">
        <w:t>(see page 3</w:t>
      </w:r>
      <w:r w:rsidR="00A53B51">
        <w:t>9)</w:t>
      </w:r>
      <w:r w:rsidRPr="00C622F6">
        <w:t>,</w:t>
      </w:r>
      <w:r w:rsidRPr="00F569D2">
        <w:t xml:space="preserve"> reflecting the higher rates of illness in the most deprived neighbourhoods.</w:t>
      </w:r>
    </w:p>
    <w:p w14:paraId="35446FD1" w14:textId="77777777" w:rsidR="00FC0DB8" w:rsidRPr="0007586A" w:rsidRDefault="00FC0DB8" w:rsidP="00DD4F6C"/>
    <w:p w14:paraId="1D828151" w14:textId="77777777" w:rsidR="00FC0DB8" w:rsidRDefault="00FC0DB8" w:rsidP="00DD4F6C">
      <w:r>
        <w:t xml:space="preserve">On average, adults had visited a GP 2.9 times in the </w:t>
      </w:r>
      <w:r w:rsidRPr="00C16B78">
        <w:t>past 12 months</w:t>
      </w:r>
      <w:r>
        <w:t xml:space="preserve"> (this average includes adults who had not visited a GP in the past 12 months).</w:t>
      </w:r>
      <w:r w:rsidR="00DD4F6C">
        <w:rPr>
          <w:vertAlign w:val="superscript"/>
        </w:rPr>
        <w:t>23</w:t>
      </w:r>
      <w:r>
        <w:t xml:space="preserve"> The number of GP visits was highest for older adults: 3.8 times in the past 12 months for those aged 6</w:t>
      </w:r>
      <w:r w:rsidRPr="0007586A">
        <w:t>5–</w:t>
      </w:r>
      <w:r>
        <w:t>7</w:t>
      </w:r>
      <w:r w:rsidRPr="0007586A">
        <w:t xml:space="preserve">4 years </w:t>
      </w:r>
      <w:r>
        <w:t>and 4.8 times for those aged 75</w:t>
      </w:r>
      <w:r w:rsidR="00DD4F6C">
        <w:t> </w:t>
      </w:r>
      <w:r>
        <w:t>years and over.</w:t>
      </w:r>
    </w:p>
    <w:p w14:paraId="32A7B27B" w14:textId="77777777" w:rsidR="00FC0DB8" w:rsidRDefault="00FC0DB8" w:rsidP="00DD4F6C">
      <w:pPr>
        <w:pStyle w:val="Heading3"/>
        <w:spacing w:before="360"/>
      </w:pPr>
      <w:r>
        <w:lastRenderedPageBreak/>
        <w:t xml:space="preserve">One in three adults </w:t>
      </w:r>
      <w:r w:rsidRPr="00BA4FB5">
        <w:t>ha</w:t>
      </w:r>
      <w:r>
        <w:t>d</w:t>
      </w:r>
      <w:r w:rsidRPr="00BA4FB5">
        <w:t xml:space="preserve"> visited a practice nurse in the </w:t>
      </w:r>
      <w:r>
        <w:t>p</w:t>
      </w:r>
      <w:r w:rsidRPr="00BA4FB5">
        <w:t>ast 12</w:t>
      </w:r>
      <w:r>
        <w:t> </w:t>
      </w:r>
      <w:r w:rsidRPr="00BA4FB5">
        <w:t>months</w:t>
      </w:r>
    </w:p>
    <w:p w14:paraId="6676D90C" w14:textId="77777777" w:rsidR="00FC0DB8" w:rsidRPr="007D467E" w:rsidRDefault="00FC0DB8" w:rsidP="00DD4F6C">
      <w:pPr>
        <w:pStyle w:val="Box"/>
        <w:jc w:val="center"/>
      </w:pPr>
      <w:r w:rsidRPr="00C716D8">
        <w:rPr>
          <w:noProof/>
          <w:lang w:eastAsia="en-NZ"/>
        </w:rPr>
        <w:drawing>
          <wp:inline distT="0" distB="0" distL="0" distR="0" wp14:anchorId="28C54C0D" wp14:editId="34035947">
            <wp:extent cx="5600700" cy="3143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78717C52" w14:textId="77777777" w:rsidR="00DD4F6C" w:rsidRDefault="00DD4F6C" w:rsidP="00DD4F6C"/>
    <w:p w14:paraId="34BB4343" w14:textId="77777777" w:rsidR="00FC0DB8" w:rsidRPr="0007586A" w:rsidRDefault="00FC0DB8" w:rsidP="00DD4F6C">
      <w:r w:rsidRPr="0007586A">
        <w:t xml:space="preserve">Practice nurses work within a general practice setting, providing a comprehensive range of primary health care services. They are a key part of the general practice team. Practice nurses focus on health promotion, disease prevention, wellness, first-point-of-contact care and disease management across </w:t>
      </w:r>
      <w:r>
        <w:t>a patient</w:t>
      </w:r>
      <w:r w:rsidR="00FD6712">
        <w:t>’</w:t>
      </w:r>
      <w:r>
        <w:t>s</w:t>
      </w:r>
      <w:r w:rsidRPr="0007586A">
        <w:t xml:space="preserve"> lifespan. They run screening and preventative programmes, such as immunisations, and have an important role in care coordination for patients and their families.</w:t>
      </w:r>
      <w:r>
        <w:t xml:space="preserve"> </w:t>
      </w:r>
      <w:r w:rsidRPr="0007586A">
        <w:t xml:space="preserve">In this report, the term </w:t>
      </w:r>
      <w:r w:rsidR="00FD6712">
        <w:t>‘</w:t>
      </w:r>
      <w:r>
        <w:t>visited a practice nurse in the past 12 months</w:t>
      </w:r>
      <w:r w:rsidR="00FD6712">
        <w:t>’</w:t>
      </w:r>
      <w:r w:rsidRPr="0007586A">
        <w:t xml:space="preserve"> </w:t>
      </w:r>
      <w:r>
        <w:t>only relates to visiting a practice nurse without seeing a GP at the same visit.</w:t>
      </w:r>
    </w:p>
    <w:p w14:paraId="0F10235B" w14:textId="77777777" w:rsidR="00DD4F6C" w:rsidRDefault="00DD4F6C" w:rsidP="00DD4F6C"/>
    <w:p w14:paraId="79290E81" w14:textId="51F8ABBB" w:rsidR="00FC0DB8" w:rsidRDefault="00FC0DB8" w:rsidP="00DD4F6C">
      <w:r>
        <w:t xml:space="preserve">One in three </w:t>
      </w:r>
      <w:r w:rsidRPr="0007586A">
        <w:t xml:space="preserve">adults </w:t>
      </w:r>
      <w:r w:rsidR="0025366B">
        <w:t>(32</w:t>
      </w:r>
      <w:r>
        <w:t xml:space="preserve">%) reported </w:t>
      </w:r>
      <w:r w:rsidRPr="0007586A">
        <w:t>visi</w:t>
      </w:r>
      <w:r>
        <w:t>ting a practice nurse in the p</w:t>
      </w:r>
      <w:r w:rsidRPr="0007586A">
        <w:t>ast 12 months</w:t>
      </w:r>
      <w:r>
        <w:t>,</w:t>
      </w:r>
      <w:r w:rsidRPr="00B87389">
        <w:t xml:space="preserve"> </w:t>
      </w:r>
      <w:r>
        <w:t>up from 29% in 2006/07</w:t>
      </w:r>
      <w:r w:rsidRPr="00381A7F">
        <w:t>.</w:t>
      </w:r>
    </w:p>
    <w:p w14:paraId="371E70C3" w14:textId="77777777" w:rsidR="00DD4F6C" w:rsidRDefault="00DD4F6C" w:rsidP="00DD4F6C"/>
    <w:p w14:paraId="25D8B319" w14:textId="77777777" w:rsidR="00FC0DB8" w:rsidRPr="0007586A" w:rsidRDefault="00FC0DB8" w:rsidP="00DD4F6C">
      <w:pPr>
        <w:rPr>
          <w:highlight w:val="yellow"/>
        </w:rPr>
      </w:pPr>
      <w:r>
        <w:t xml:space="preserve">Rates of visiting a practice nurse in the past 12 months varied by sex, age and </w:t>
      </w:r>
      <w:r w:rsidRPr="0007586A">
        <w:t>ethnic group, as follows.</w:t>
      </w:r>
      <w:r w:rsidR="00DD4F6C">
        <w:rPr>
          <w:rStyle w:val="FootnoteReference"/>
        </w:rPr>
        <w:footnoteReference w:id="24"/>
      </w:r>
    </w:p>
    <w:p w14:paraId="055B79C9" w14:textId="77777777" w:rsidR="00FC0DB8" w:rsidRPr="0092625C" w:rsidRDefault="00FC0DB8" w:rsidP="00DD4F6C">
      <w:pPr>
        <w:pStyle w:val="Bullet"/>
      </w:pPr>
      <w:r w:rsidRPr="0092625C">
        <w:t xml:space="preserve">Women were more likely to have visited a practice nurse in the </w:t>
      </w:r>
      <w:r>
        <w:t>past</w:t>
      </w:r>
      <w:r w:rsidRPr="0092625C">
        <w:t xml:space="preserve"> 12 mo</w:t>
      </w:r>
      <w:r>
        <w:t>nths than men (the rates were 38</w:t>
      </w:r>
      <w:r w:rsidRPr="0092625C">
        <w:t>% and 2</w:t>
      </w:r>
      <w:r>
        <w:t>7</w:t>
      </w:r>
      <w:r w:rsidRPr="0092625C">
        <w:t>% respectively).</w:t>
      </w:r>
      <w:r>
        <w:t xml:space="preserve"> </w:t>
      </w:r>
      <w:r w:rsidRPr="0092625C">
        <w:t>This sex difference was most pronounced for adults under 5</w:t>
      </w:r>
      <w:r>
        <w:t>4</w:t>
      </w:r>
      <w:r w:rsidRPr="0092625C">
        <w:t xml:space="preserve"> years</w:t>
      </w:r>
      <w:r>
        <w:t xml:space="preserve"> of age</w:t>
      </w:r>
      <w:r w:rsidRPr="0092625C">
        <w:t>.</w:t>
      </w:r>
    </w:p>
    <w:p w14:paraId="215BD43C" w14:textId="24DFA281" w:rsidR="00FC0DB8" w:rsidRDefault="00FC0DB8" w:rsidP="00DD4F6C">
      <w:pPr>
        <w:pStyle w:val="Bullet"/>
      </w:pPr>
      <w:r>
        <w:t>The proportion of adults who had visited a practice nurse in the past 12 months was greater for older adults than for younger adults. Over half</w:t>
      </w:r>
      <w:r w:rsidRPr="0092625C">
        <w:t xml:space="preserve"> of those aged 65 years and over ha</w:t>
      </w:r>
      <w:r>
        <w:t>d</w:t>
      </w:r>
      <w:r w:rsidRPr="0092625C">
        <w:t xml:space="preserve"> seen a practice nurse in the past 12 months.</w:t>
      </w:r>
      <w:r>
        <w:t xml:space="preserve"> </w:t>
      </w:r>
      <w:r w:rsidR="00447527">
        <w:t>In contrast, between 19% and 26%</w:t>
      </w:r>
      <w:r>
        <w:t xml:space="preserve"> of those aged under 45 years had visited a practice nurse in the past 12 months.</w:t>
      </w:r>
    </w:p>
    <w:p w14:paraId="5AE9CED2" w14:textId="77777777" w:rsidR="00FC0DB8" w:rsidRDefault="00FC0DB8" w:rsidP="00DD4F6C">
      <w:pPr>
        <w:pStyle w:val="Bullet"/>
      </w:pPr>
      <w:r w:rsidRPr="0007586A">
        <w:t>Asian (</w:t>
      </w:r>
      <w:r>
        <w:t>15</w:t>
      </w:r>
      <w:r w:rsidRPr="0007586A">
        <w:t>%) and Pacific (</w:t>
      </w:r>
      <w:r>
        <w:t xml:space="preserve">23%) </w:t>
      </w:r>
      <w:r w:rsidRPr="0007586A">
        <w:t xml:space="preserve">adults </w:t>
      </w:r>
      <w:r>
        <w:t>had the lowest rates of having</w:t>
      </w:r>
      <w:r w:rsidRPr="0007586A">
        <w:t xml:space="preserve"> visited a pract</w:t>
      </w:r>
      <w:r>
        <w:t xml:space="preserve">ice nurse in the last 12 months. </w:t>
      </w:r>
      <w:r w:rsidRPr="0007586A">
        <w:t>After adjusting for age and sex</w:t>
      </w:r>
      <w:r>
        <w:t xml:space="preserve"> differences</w:t>
      </w:r>
      <w:r w:rsidRPr="0007586A">
        <w:t xml:space="preserve">, Asian adults were </w:t>
      </w:r>
      <w:r>
        <w:t>half as</w:t>
      </w:r>
      <w:r w:rsidRPr="0007586A">
        <w:t xml:space="preserve"> likely </w:t>
      </w:r>
      <w:r>
        <w:t>as</w:t>
      </w:r>
      <w:r w:rsidRPr="0007586A">
        <w:t xml:space="preserve"> non-Asian adults, and Pacific adults were </w:t>
      </w:r>
      <w:r>
        <w:t>one-quarter as</w:t>
      </w:r>
      <w:r w:rsidRPr="0007586A">
        <w:t xml:space="preserve"> likely</w:t>
      </w:r>
      <w:r>
        <w:t xml:space="preserve"> as</w:t>
      </w:r>
      <w:r w:rsidRPr="0007586A">
        <w:t xml:space="preserve"> non-Pacific adults, to have visited a practice nurse.</w:t>
      </w:r>
    </w:p>
    <w:p w14:paraId="56B04400" w14:textId="77777777" w:rsidR="00DD4F6C" w:rsidRDefault="00DD4F6C" w:rsidP="00DD4F6C"/>
    <w:p w14:paraId="432D9B8D" w14:textId="77777777" w:rsidR="00FC0DB8" w:rsidRPr="00EB5A57" w:rsidRDefault="00FC0DB8" w:rsidP="00DD4F6C">
      <w:r>
        <w:t xml:space="preserve">On average, adults visited a practice nurse (without seeing a GP at the same visit) less than once in the past </w:t>
      </w:r>
      <w:r w:rsidRPr="0007586A">
        <w:t>12 months</w:t>
      </w:r>
      <w:r>
        <w:t xml:space="preserve"> (0.7 visits). However, older adults (65 years and over) had at least one practice nurse visit, on average, in the past </w:t>
      </w:r>
      <w:r w:rsidRPr="0007586A">
        <w:t>12 months</w:t>
      </w:r>
      <w:r>
        <w:t>.</w:t>
      </w:r>
      <w:r w:rsidR="00DD4F6C">
        <w:rPr>
          <w:vertAlign w:val="superscript"/>
        </w:rPr>
        <w:t>24</w:t>
      </w:r>
    </w:p>
    <w:p w14:paraId="47B54B1C" w14:textId="77777777" w:rsidR="00FC0DB8" w:rsidRPr="004677EE" w:rsidRDefault="00FC0DB8" w:rsidP="00DD4F6C">
      <w:pPr>
        <w:pStyle w:val="Heading3"/>
        <w:spacing w:before="360"/>
      </w:pPr>
      <w:r>
        <w:lastRenderedPageBreak/>
        <w:t>One in nine adults had visited an after</w:t>
      </w:r>
      <w:r w:rsidRPr="002B7422">
        <w:t xml:space="preserve">-hours </w:t>
      </w:r>
      <w:r>
        <w:t>medical centre in the past 12 months</w:t>
      </w:r>
    </w:p>
    <w:p w14:paraId="110F57AD" w14:textId="77777777" w:rsidR="00FC0DB8" w:rsidRPr="00DF4543" w:rsidRDefault="00FC0DB8" w:rsidP="00DD4F6C">
      <w:pPr>
        <w:pStyle w:val="Box"/>
        <w:jc w:val="center"/>
      </w:pPr>
      <w:r w:rsidRPr="000300AF">
        <w:rPr>
          <w:noProof/>
          <w:lang w:eastAsia="en-NZ"/>
        </w:rPr>
        <w:drawing>
          <wp:inline distT="0" distB="0" distL="0" distR="0" wp14:anchorId="7F84C85D" wp14:editId="2407943E">
            <wp:extent cx="5600700" cy="3143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14A34DE9" w14:textId="77777777" w:rsidR="00FC0DB8" w:rsidRPr="00F27F91" w:rsidRDefault="00FC0DB8" w:rsidP="00DD4F6C"/>
    <w:p w14:paraId="57F090C0" w14:textId="77777777" w:rsidR="00FC0DB8" w:rsidRPr="0007586A" w:rsidRDefault="00FC0DB8" w:rsidP="00DD4F6C">
      <w:r w:rsidRPr="0007586A">
        <w:t xml:space="preserve">After-hours medical centres provide primary health care outside usual business hours. </w:t>
      </w:r>
      <w:r>
        <w:t>DHB</w:t>
      </w:r>
      <w:r w:rsidRPr="0007586A">
        <w:t>s are required to ensure that at least 95% of the enrolled population have access to after-hours care. The cost of care in after-hours medical centres is higher than it is for services during usual business hours</w:t>
      </w:r>
      <w:r>
        <w:t>,</w:t>
      </w:r>
      <w:r w:rsidRPr="0007586A">
        <w:t xml:space="preserve"> particularly for people who are not enrolled with a </w:t>
      </w:r>
      <w:r>
        <w:rPr>
          <w:szCs w:val="22"/>
        </w:rPr>
        <w:t>PHO</w:t>
      </w:r>
      <w:r w:rsidRPr="0007586A">
        <w:t>.</w:t>
      </w:r>
    </w:p>
    <w:p w14:paraId="42EDFCED" w14:textId="77777777" w:rsidR="00FC0DB8" w:rsidRPr="0007586A" w:rsidRDefault="00FC0DB8" w:rsidP="00DD4F6C"/>
    <w:p w14:paraId="3F0CEE82" w14:textId="77777777" w:rsidR="00FC0DB8" w:rsidRDefault="00FC0DB8" w:rsidP="00DD4F6C">
      <w:r>
        <w:t>One in nine</w:t>
      </w:r>
      <w:r w:rsidRPr="0007586A">
        <w:t xml:space="preserve"> adults (</w:t>
      </w:r>
      <w:r>
        <w:t>11</w:t>
      </w:r>
      <w:r w:rsidRPr="0007586A">
        <w:t>%) had visited an aft</w:t>
      </w:r>
      <w:r>
        <w:t>er-hours medical centre in the p</w:t>
      </w:r>
      <w:r w:rsidRPr="0007586A">
        <w:t>ast 12 months</w:t>
      </w:r>
      <w:r w:rsidRPr="004308A1">
        <w:t>, down from 1</w:t>
      </w:r>
      <w:r>
        <w:t>3% in 2011/12</w:t>
      </w:r>
      <w:r w:rsidRPr="0007586A">
        <w:t>.</w:t>
      </w:r>
    </w:p>
    <w:p w14:paraId="6E26C5F8" w14:textId="77777777" w:rsidR="00FC0DB8" w:rsidRPr="0007586A" w:rsidRDefault="00FC0DB8" w:rsidP="00DD4F6C"/>
    <w:p w14:paraId="6085A5A4" w14:textId="77777777" w:rsidR="00FC0DB8" w:rsidRDefault="00FC0DB8" w:rsidP="00DD4F6C">
      <w:r>
        <w:t>Rates of visiting an after-hours in the past 12 months</w:t>
      </w:r>
      <w:r w:rsidRPr="0007586A">
        <w:t xml:space="preserve"> dec</w:t>
      </w:r>
      <w:r>
        <w:t>line</w:t>
      </w:r>
      <w:r w:rsidRPr="0007586A">
        <w:t xml:space="preserve">d with age. </w:t>
      </w:r>
      <w:r>
        <w:t>Thirteen percent of those aged 15–24 years</w:t>
      </w:r>
      <w:r w:rsidRPr="0007586A">
        <w:t xml:space="preserve"> had visited an after-hours medical centre in the </w:t>
      </w:r>
      <w:r>
        <w:t>past</w:t>
      </w:r>
      <w:r w:rsidRPr="0007586A">
        <w:t xml:space="preserve"> 12 months, compared with less than </w:t>
      </w:r>
      <w:r>
        <w:t>10</w:t>
      </w:r>
      <w:r w:rsidRPr="0007586A">
        <w:t xml:space="preserve">% of those </w:t>
      </w:r>
      <w:r w:rsidRPr="00C96978">
        <w:t>aged 55 years</w:t>
      </w:r>
      <w:r w:rsidRPr="0007586A">
        <w:t xml:space="preserve"> and over.</w:t>
      </w:r>
    </w:p>
    <w:p w14:paraId="023069CF" w14:textId="77777777" w:rsidR="00FC0DB8" w:rsidRDefault="00FC0DB8" w:rsidP="00DD4F6C"/>
    <w:p w14:paraId="1657ECE3" w14:textId="77777777" w:rsidR="00FD6712" w:rsidRDefault="00FC0DB8" w:rsidP="00DD4F6C">
      <w:r>
        <w:t>Adults living in the most deprived areas were less likely to have visited an after-hours medical centre in the past 12 months (one in ten adults, 10%) compared with adults living in the least deprived areas</w:t>
      </w:r>
      <w:r w:rsidRPr="00686DC5">
        <w:t xml:space="preserve"> </w:t>
      </w:r>
      <w:r>
        <w:t>(one in eight adults, 13%), after adjusting for age and sex differences.</w:t>
      </w:r>
      <w:r w:rsidR="00DD4F6C">
        <w:rPr>
          <w:rStyle w:val="FootnoteReference"/>
        </w:rPr>
        <w:footnoteReference w:id="25"/>
      </w:r>
    </w:p>
    <w:p w14:paraId="46278D45" w14:textId="77777777" w:rsidR="00FC0DB8" w:rsidRDefault="00FC0DB8" w:rsidP="00DD4F6C"/>
    <w:p w14:paraId="76636183" w14:textId="77777777" w:rsidR="00FC0DB8" w:rsidRDefault="00FC0DB8" w:rsidP="00DD4F6C">
      <w:r>
        <w:t xml:space="preserve">On average, adults visited </w:t>
      </w:r>
      <w:r w:rsidRPr="0007586A">
        <w:t>an after-hours medical centre</w:t>
      </w:r>
      <w:r>
        <w:t xml:space="preserve"> less than once in the past </w:t>
      </w:r>
      <w:r w:rsidRPr="0007586A">
        <w:t>12 months</w:t>
      </w:r>
      <w:r>
        <w:t xml:space="preserve"> (0.2</w:t>
      </w:r>
      <w:r w:rsidR="00DD4F6C">
        <w:t> </w:t>
      </w:r>
      <w:r>
        <w:t>visits).</w:t>
      </w:r>
    </w:p>
    <w:p w14:paraId="5DA0C970" w14:textId="77777777" w:rsidR="00DD4F6C" w:rsidRPr="0007586A" w:rsidRDefault="00DD4F6C" w:rsidP="00DD4F6C"/>
    <w:p w14:paraId="7C5CA86C" w14:textId="77777777" w:rsidR="00FC0DB8" w:rsidRDefault="00FC0DB8" w:rsidP="00DD4F6C">
      <w:pPr>
        <w:pStyle w:val="Heading3"/>
      </w:pPr>
      <w:r w:rsidRPr="00F27F91">
        <w:lastRenderedPageBreak/>
        <w:t xml:space="preserve">Rates of unmet need for primary health care </w:t>
      </w:r>
      <w:r>
        <w:t>we</w:t>
      </w:r>
      <w:r w:rsidRPr="00F27F91">
        <w:t xml:space="preserve">re </w:t>
      </w:r>
      <w:r>
        <w:t>lowest</w:t>
      </w:r>
      <w:r w:rsidRPr="00F27F91">
        <w:t xml:space="preserve"> </w:t>
      </w:r>
      <w:r>
        <w:t>for the over-</w:t>
      </w:r>
      <w:r w:rsidRPr="003E31C6">
        <w:t>65-year-olds</w:t>
      </w:r>
    </w:p>
    <w:p w14:paraId="09B6362B" w14:textId="77777777" w:rsidR="00FC0DB8" w:rsidRPr="002B25FE" w:rsidRDefault="00FC0DB8" w:rsidP="00DD4F6C">
      <w:pPr>
        <w:pStyle w:val="Box"/>
        <w:jc w:val="center"/>
      </w:pPr>
      <w:r w:rsidRPr="00C716D8">
        <w:rPr>
          <w:noProof/>
          <w:lang w:eastAsia="en-NZ"/>
        </w:rPr>
        <w:drawing>
          <wp:inline distT="0" distB="0" distL="0" distR="0" wp14:anchorId="51CEDD1F" wp14:editId="0805DCDC">
            <wp:extent cx="5600700" cy="3143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2E48B7B6" w14:textId="77777777" w:rsidR="00FC0DB8" w:rsidRDefault="00FC0DB8" w:rsidP="00DD4F6C"/>
    <w:p w14:paraId="36BC7B6A" w14:textId="2BB48D6C" w:rsidR="00FC0DB8" w:rsidRDefault="00FC0DB8" w:rsidP="00DD4F6C">
      <w:r w:rsidRPr="0007586A">
        <w:t>This indic</w:t>
      </w:r>
      <w:r>
        <w:t>ator investigates whether adults</w:t>
      </w:r>
      <w:r w:rsidRPr="0007586A">
        <w:t xml:space="preserve"> had experienced any of the following five barriers </w:t>
      </w:r>
      <w:r>
        <w:t>to</w:t>
      </w:r>
      <w:r w:rsidRPr="0007586A">
        <w:t xml:space="preserve"> accessing primary health care in the </w:t>
      </w:r>
      <w:r>
        <w:t>past</w:t>
      </w:r>
      <w:r w:rsidRPr="0007586A">
        <w:t xml:space="preserve"> 12 months: unmet need for a GP due to cost</w:t>
      </w:r>
      <w:r>
        <w:t>;</w:t>
      </w:r>
      <w:r w:rsidRPr="0007586A">
        <w:t xml:space="preserve"> unmet need for </w:t>
      </w:r>
      <w:r w:rsidR="0065245C">
        <w:t xml:space="preserve">an after-hours medical centre </w:t>
      </w:r>
      <w:r w:rsidRPr="0007586A">
        <w:t>due to cost</w:t>
      </w:r>
      <w:r>
        <w:t>;</w:t>
      </w:r>
      <w:r w:rsidRPr="0007586A">
        <w:t xml:space="preserve"> unmet need for a GP due to lack of transport</w:t>
      </w:r>
      <w:r>
        <w:t>;</w:t>
      </w:r>
      <w:r w:rsidRPr="0007586A">
        <w:t xml:space="preserve"> unmet need for </w:t>
      </w:r>
      <w:r w:rsidR="0065245C">
        <w:t>an after-hours medical centre</w:t>
      </w:r>
      <w:r w:rsidRPr="0007586A">
        <w:t xml:space="preserve"> due to lack of transport and inability to get an appointment at their usual medical centre within 24 hours.</w:t>
      </w:r>
    </w:p>
    <w:p w14:paraId="77D7511E" w14:textId="77777777" w:rsidR="00FC0DB8" w:rsidRPr="0007586A" w:rsidRDefault="00FC0DB8" w:rsidP="00DD4F6C"/>
    <w:p w14:paraId="1A4FF445" w14:textId="0FDCB1F9" w:rsidR="00FC0DB8" w:rsidRPr="0007586A" w:rsidRDefault="00FC0DB8" w:rsidP="00DD4F6C">
      <w:r w:rsidRPr="0007586A">
        <w:t>Most adults were able to access primary health care when they needed to (ie, they ha</w:t>
      </w:r>
      <w:r>
        <w:t>d</w:t>
      </w:r>
      <w:r w:rsidRPr="0007586A">
        <w:t xml:space="preserve"> not experienced any of the five barriers listed above). However</w:t>
      </w:r>
      <w:r>
        <w:t>, 29</w:t>
      </w:r>
      <w:r w:rsidRPr="0007586A">
        <w:t xml:space="preserve">% of adults </w:t>
      </w:r>
      <w:r>
        <w:t>reporte</w:t>
      </w:r>
      <w:r w:rsidRPr="0007586A">
        <w:t xml:space="preserve">d </w:t>
      </w:r>
      <w:r>
        <w:t>one or more types of</w:t>
      </w:r>
      <w:r w:rsidRPr="0007586A">
        <w:t xml:space="preserve"> unmet need </w:t>
      </w:r>
      <w:r>
        <w:t>for primary health care in the p</w:t>
      </w:r>
      <w:r w:rsidRPr="0007586A">
        <w:t>ast 12 months</w:t>
      </w:r>
      <w:r>
        <w:t>, up from 27% in 2011/12</w:t>
      </w:r>
      <w:r w:rsidRPr="0007586A">
        <w:t xml:space="preserve">. The most common reasons for this unmet need were: being unable to get an appointment </w:t>
      </w:r>
      <w:r>
        <w:t xml:space="preserve">at their usual medical centre </w:t>
      </w:r>
      <w:r w:rsidRPr="0007586A">
        <w:t>within 24 hours (</w:t>
      </w:r>
      <w:r>
        <w:t>18</w:t>
      </w:r>
      <w:r w:rsidRPr="0007586A">
        <w:t>%), the cost of GP services (</w:t>
      </w:r>
      <w:r>
        <w:t>14</w:t>
      </w:r>
      <w:r w:rsidRPr="0007586A">
        <w:t>%) and</w:t>
      </w:r>
      <w:r w:rsidR="0065245C">
        <w:t xml:space="preserve"> the cost of after-hours medical centre</w:t>
      </w:r>
      <w:r w:rsidRPr="0007586A">
        <w:t>s (</w:t>
      </w:r>
      <w:r>
        <w:t>7</w:t>
      </w:r>
      <w:r w:rsidRPr="0007586A">
        <w:t>%).</w:t>
      </w:r>
      <w:r w:rsidR="00DD4F6C">
        <w:rPr>
          <w:rStyle w:val="FootnoteReference"/>
        </w:rPr>
        <w:footnoteReference w:id="26"/>
      </w:r>
      <w:r>
        <w:t xml:space="preserve"> These three most common reasons for unmet need are covered in more detail over the following three pages.</w:t>
      </w:r>
    </w:p>
    <w:p w14:paraId="085AC506" w14:textId="77777777" w:rsidR="00FC0DB8" w:rsidRPr="0007586A" w:rsidRDefault="00FC0DB8" w:rsidP="00DD4F6C"/>
    <w:p w14:paraId="1D45355F" w14:textId="77777777" w:rsidR="00FC0DB8" w:rsidRPr="0007586A" w:rsidRDefault="00FC0DB8" w:rsidP="00DD4F6C">
      <w:r w:rsidRPr="0007586A">
        <w:t>Rates of unmet need for primary health care</w:t>
      </w:r>
      <w:r>
        <w:t xml:space="preserve"> in the past 12 months</w:t>
      </w:r>
      <w:r w:rsidRPr="0007586A">
        <w:t xml:space="preserve"> varied by sex, age, ethnic group and </w:t>
      </w:r>
      <w:r>
        <w:t>neighbourhood</w:t>
      </w:r>
      <w:r w:rsidRPr="0007586A">
        <w:t xml:space="preserve"> deprivation, as follows.</w:t>
      </w:r>
      <w:r w:rsidR="00DD4F6C">
        <w:rPr>
          <w:vertAlign w:val="superscript"/>
        </w:rPr>
        <w:t>26</w:t>
      </w:r>
    </w:p>
    <w:p w14:paraId="031D4E37" w14:textId="77777777" w:rsidR="00FC0DB8" w:rsidRPr="00CC7664" w:rsidRDefault="00FC0DB8" w:rsidP="00DD4F6C">
      <w:pPr>
        <w:pStyle w:val="Bullet"/>
      </w:pPr>
      <w:r w:rsidRPr="00CC7664">
        <w:t xml:space="preserve">Women </w:t>
      </w:r>
      <w:r>
        <w:t xml:space="preserve">(35%) </w:t>
      </w:r>
      <w:r w:rsidRPr="00CC7664">
        <w:t xml:space="preserve">had higher rates of unmet </w:t>
      </w:r>
      <w:r>
        <w:t>need than men (</w:t>
      </w:r>
      <w:r w:rsidRPr="00CC7664">
        <w:t>22</w:t>
      </w:r>
      <w:r>
        <w:t>%</w:t>
      </w:r>
      <w:r w:rsidRPr="00CC7664">
        <w:t>).</w:t>
      </w:r>
    </w:p>
    <w:p w14:paraId="164E3926" w14:textId="77777777" w:rsidR="00FC0DB8" w:rsidRPr="00CC7664" w:rsidRDefault="00FC0DB8" w:rsidP="00DD4F6C">
      <w:pPr>
        <w:pStyle w:val="Bullet"/>
      </w:pPr>
      <w:r w:rsidRPr="00CC7664">
        <w:t>About one in five adults aged 65 years and over had experienced an unmet need for primary health care, compared with about one in three adults aged 25</w:t>
      </w:r>
      <w:r>
        <w:t>–</w:t>
      </w:r>
      <w:r w:rsidRPr="00CC7664">
        <w:t>54 years.</w:t>
      </w:r>
    </w:p>
    <w:p w14:paraId="51F31DE1" w14:textId="77777777" w:rsidR="00FC0DB8" w:rsidRPr="00CC7664" w:rsidRDefault="00FC0DB8" w:rsidP="00DD4F6C">
      <w:pPr>
        <w:pStyle w:val="Bullet"/>
        <w:rPr>
          <w:bCs/>
          <w:iCs/>
        </w:rPr>
      </w:pPr>
      <w:r>
        <w:t xml:space="preserve">Nearly two in five </w:t>
      </w:r>
      <w:r w:rsidRPr="00CC7664">
        <w:t xml:space="preserve">Māori </w:t>
      </w:r>
      <w:r>
        <w:t>adults (39%)</w:t>
      </w:r>
      <w:r w:rsidRPr="00CC7664">
        <w:t xml:space="preserve"> had </w:t>
      </w:r>
      <w:r>
        <w:t xml:space="preserve">an unmet need for primary health care, which was consistent with previous years (eg, 39% in 2011/12). The </w:t>
      </w:r>
      <w:r w:rsidRPr="00CC7664">
        <w:t>Māori</w:t>
      </w:r>
      <w:r>
        <w:t xml:space="preserve"> rate was 1.4 times as high as the rate for non-</w:t>
      </w:r>
      <w:r w:rsidRPr="00CC7664">
        <w:t xml:space="preserve">Māori </w:t>
      </w:r>
      <w:r>
        <w:t>adults, after adjusting for age and sex</w:t>
      </w:r>
      <w:r w:rsidRPr="008276D4">
        <w:t xml:space="preserve"> </w:t>
      </w:r>
      <w:r>
        <w:t>differences. The rate was lowest in Asian adults: 23% of Asian adults had an unmet need for primary health care.</w:t>
      </w:r>
    </w:p>
    <w:p w14:paraId="76CE1E9F" w14:textId="130AB30D" w:rsidR="00FC0DB8" w:rsidRDefault="00FC0DB8" w:rsidP="00DD4F6C">
      <w:pPr>
        <w:pStyle w:val="Bullet"/>
        <w:rPr>
          <w:bCs/>
          <w:iCs/>
        </w:rPr>
      </w:pPr>
      <w:r>
        <w:rPr>
          <w:bCs/>
          <w:iCs/>
        </w:rPr>
        <w:t>Adults living in the most socioeconomically deprived areas had higher rates of unmet need in the past 12 months</w:t>
      </w:r>
      <w:r w:rsidRPr="00C473DE">
        <w:rPr>
          <w:bCs/>
          <w:iCs/>
        </w:rPr>
        <w:t xml:space="preserve"> </w:t>
      </w:r>
      <w:r>
        <w:rPr>
          <w:bCs/>
          <w:iCs/>
        </w:rPr>
        <w:t>(36</w:t>
      </w:r>
      <w:r w:rsidRPr="00C473DE">
        <w:rPr>
          <w:bCs/>
          <w:iCs/>
        </w:rPr>
        <w:t>%</w:t>
      </w:r>
      <w:r>
        <w:rPr>
          <w:bCs/>
          <w:iCs/>
        </w:rPr>
        <w:t>) than those living</w:t>
      </w:r>
      <w:r w:rsidR="0025366B">
        <w:rPr>
          <w:bCs/>
          <w:iCs/>
        </w:rPr>
        <w:t xml:space="preserve"> in the least deprived areas (22</w:t>
      </w:r>
      <w:r w:rsidRPr="00C473DE">
        <w:rPr>
          <w:bCs/>
          <w:iCs/>
        </w:rPr>
        <w:t>%</w:t>
      </w:r>
      <w:r>
        <w:rPr>
          <w:bCs/>
          <w:iCs/>
        </w:rPr>
        <w:t>)</w:t>
      </w:r>
      <w:r w:rsidRPr="00C473DE">
        <w:rPr>
          <w:bCs/>
          <w:iCs/>
        </w:rPr>
        <w:t>.</w:t>
      </w:r>
    </w:p>
    <w:p w14:paraId="5C79AA74" w14:textId="77777777" w:rsidR="00DD4F6C" w:rsidRDefault="00DD4F6C" w:rsidP="00DD4F6C"/>
    <w:p w14:paraId="428D052C" w14:textId="77777777" w:rsidR="00FC0DB8" w:rsidRDefault="00FC0DB8" w:rsidP="00DD4F6C">
      <w:pPr>
        <w:pStyle w:val="Heading3"/>
      </w:pPr>
      <w:r>
        <w:lastRenderedPageBreak/>
        <w:t>About one in five</w:t>
      </w:r>
      <w:r w:rsidRPr="006731E4">
        <w:t xml:space="preserve"> adults</w:t>
      </w:r>
      <w:r>
        <w:t xml:space="preserve"> aged </w:t>
      </w:r>
      <w:r w:rsidRPr="00BC62B7">
        <w:t>25–</w:t>
      </w:r>
      <w:r>
        <w:t>6</w:t>
      </w:r>
      <w:r w:rsidRPr="00BC62B7">
        <w:t>4 years</w:t>
      </w:r>
      <w:r w:rsidRPr="006731E4">
        <w:t xml:space="preserve"> </w:t>
      </w:r>
      <w:r>
        <w:t>could not</w:t>
      </w:r>
      <w:r w:rsidRPr="006731E4">
        <w:t xml:space="preserve"> get an appointment at their usual medical centre within 24 hours</w:t>
      </w:r>
    </w:p>
    <w:p w14:paraId="370C4B71" w14:textId="77777777" w:rsidR="00FC0DB8" w:rsidRPr="007F4C0C" w:rsidRDefault="00FC0DB8" w:rsidP="00DD4F6C">
      <w:pPr>
        <w:pStyle w:val="Box"/>
        <w:jc w:val="center"/>
      </w:pPr>
      <w:r w:rsidRPr="000300AF">
        <w:rPr>
          <w:noProof/>
          <w:lang w:eastAsia="en-NZ"/>
        </w:rPr>
        <w:drawing>
          <wp:inline distT="0" distB="0" distL="0" distR="0" wp14:anchorId="63F69B4B" wp14:editId="06B06F01">
            <wp:extent cx="5600700" cy="3143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6DB6FB73" w14:textId="77777777" w:rsidR="00FC0DB8" w:rsidRPr="00504042" w:rsidRDefault="00FC0DB8" w:rsidP="00DD4F6C"/>
    <w:p w14:paraId="1FD95CF8" w14:textId="77777777" w:rsidR="00FC0DB8" w:rsidRPr="0007586A" w:rsidRDefault="00FC0DB8" w:rsidP="00DD4F6C">
      <w:r w:rsidRPr="0007586A">
        <w:t xml:space="preserve">Timely access to care when it is needed is an important dimension of quality of </w:t>
      </w:r>
      <w:r>
        <w:t xml:space="preserve">health </w:t>
      </w:r>
      <w:r w:rsidRPr="0007586A">
        <w:t>care.</w:t>
      </w:r>
    </w:p>
    <w:p w14:paraId="70D06909" w14:textId="77777777" w:rsidR="00FC0DB8" w:rsidRPr="0007586A" w:rsidRDefault="00FC0DB8" w:rsidP="00DD4F6C"/>
    <w:p w14:paraId="065A8166" w14:textId="77777777" w:rsidR="00FC0DB8" w:rsidRPr="0007586A" w:rsidRDefault="00FC0DB8" w:rsidP="00DD4F6C">
      <w:r w:rsidRPr="0007586A">
        <w:t>This indicator is defined as whether the</w:t>
      </w:r>
      <w:r>
        <w:t>re had been an occasion in the p</w:t>
      </w:r>
      <w:r w:rsidRPr="0007586A">
        <w:t>ast 12 months when adults had wanted to see a GP, nurse or other health care worker at their usual medical centre within the next 24 hours, but this had not been possible.</w:t>
      </w:r>
    </w:p>
    <w:p w14:paraId="5922D4BC" w14:textId="77777777" w:rsidR="00FC0DB8" w:rsidRPr="0007586A" w:rsidRDefault="00FC0DB8" w:rsidP="00DD4F6C"/>
    <w:p w14:paraId="2848105B" w14:textId="64E48C88" w:rsidR="00FC0DB8" w:rsidRPr="0007586A" w:rsidRDefault="00FC0DB8" w:rsidP="00DD4F6C">
      <w:r>
        <w:t>Eighteen percent of adults had been</w:t>
      </w:r>
      <w:r w:rsidRPr="0007586A">
        <w:t xml:space="preserve"> unable to get an appointment at their usual medical centre within 24 hours at some point in the </w:t>
      </w:r>
      <w:r>
        <w:t>past</w:t>
      </w:r>
      <w:r w:rsidRPr="0007586A">
        <w:t xml:space="preserve"> 12 months. </w:t>
      </w:r>
      <w:r>
        <w:t>The rate had de</w:t>
      </w:r>
      <w:r w:rsidR="0071224A">
        <w:t>clined from 18% in 2006/07 to 15</w:t>
      </w:r>
      <w:r>
        <w:t xml:space="preserve">% in 2011/12 but then </w:t>
      </w:r>
      <w:r w:rsidRPr="0093422D">
        <w:t>inc</w:t>
      </w:r>
      <w:r>
        <w:t>reased steadily to 18</w:t>
      </w:r>
      <w:r w:rsidRPr="0093422D">
        <w:t>%</w:t>
      </w:r>
      <w:r>
        <w:t xml:space="preserve"> in 2015/16</w:t>
      </w:r>
      <w:r w:rsidRPr="0093422D">
        <w:t>.</w:t>
      </w:r>
    </w:p>
    <w:p w14:paraId="6FA847A6" w14:textId="77777777" w:rsidR="00FC0DB8" w:rsidRPr="0007586A" w:rsidRDefault="00FC0DB8" w:rsidP="00DD4F6C"/>
    <w:p w14:paraId="25D1AE48" w14:textId="77777777" w:rsidR="00FC0DB8" w:rsidRDefault="00FC0DB8" w:rsidP="00DD4F6C">
      <w:r w:rsidRPr="0007586A">
        <w:t xml:space="preserve">Women </w:t>
      </w:r>
      <w:r>
        <w:t xml:space="preserve">(22%) </w:t>
      </w:r>
      <w:r w:rsidRPr="0007586A">
        <w:t>were more likely to have been unable to get an appointment than men (</w:t>
      </w:r>
      <w:r>
        <w:t>14%</w:t>
      </w:r>
      <w:r w:rsidRPr="0007586A">
        <w:t>).</w:t>
      </w:r>
      <w:r w:rsidR="00DD4F6C">
        <w:rPr>
          <w:rStyle w:val="FootnoteReference"/>
        </w:rPr>
        <w:footnoteReference w:id="27"/>
      </w:r>
    </w:p>
    <w:p w14:paraId="7817C71C" w14:textId="77777777" w:rsidR="00FC0DB8" w:rsidRDefault="00FC0DB8" w:rsidP="00DD4F6C"/>
    <w:p w14:paraId="433E7DE6" w14:textId="77777777" w:rsidR="00FC0DB8" w:rsidRDefault="00FC0DB8" w:rsidP="00DD4F6C">
      <w:r>
        <w:t>Rates of being unable to get an appointment peaked for those aged</w:t>
      </w:r>
      <w:r w:rsidRPr="00F411CD">
        <w:t xml:space="preserve"> </w:t>
      </w:r>
      <w:r w:rsidRPr="00BC62B7">
        <w:t>25</w:t>
      </w:r>
      <w:r>
        <w:t>–64 years (prime working age), where about one in five had been unable to get an appointment within 24 hours. Among adults aged 5</w:t>
      </w:r>
      <w:r w:rsidRPr="00BC62B7">
        <w:t>5–</w:t>
      </w:r>
      <w:r>
        <w:t>64 years, the percentage who had been unable to get an appointment at their usual medical centre within 24 hours rose from 14% in 2006/07 to 18%.</w:t>
      </w:r>
    </w:p>
    <w:p w14:paraId="4F70BCCA" w14:textId="77777777" w:rsidR="00FC0DB8" w:rsidRPr="0007586A" w:rsidRDefault="00FC0DB8" w:rsidP="00DD4F6C"/>
    <w:p w14:paraId="3307823A" w14:textId="77777777" w:rsidR="00FC0DB8" w:rsidRPr="0007586A" w:rsidRDefault="00FC0DB8" w:rsidP="00DD4F6C">
      <w:r>
        <w:t xml:space="preserve">Māori adults had the highest rate (21%) of being unable to get an appointment at their usual medical centre within 24 hours. Māori adults were 1.2 times more likely to be unable to get </w:t>
      </w:r>
      <w:r w:rsidRPr="0007586A">
        <w:t>an appointment at their usual</w:t>
      </w:r>
      <w:r>
        <w:t xml:space="preserve"> medical centre within 24 hours compared with non-Māori adults, after adjusting for age and sex differences</w:t>
      </w:r>
      <w:r w:rsidRPr="0007586A">
        <w:t>.</w:t>
      </w:r>
      <w:r w:rsidR="00DD4F6C">
        <w:rPr>
          <w:vertAlign w:val="superscript"/>
        </w:rPr>
        <w:t>27</w:t>
      </w:r>
    </w:p>
    <w:p w14:paraId="421BB3AD" w14:textId="77777777" w:rsidR="00FC0DB8" w:rsidRPr="0007586A" w:rsidRDefault="00FC0DB8" w:rsidP="00DD4F6C"/>
    <w:p w14:paraId="3BC8CE10" w14:textId="77777777" w:rsidR="00FC0DB8" w:rsidRDefault="00FC0DB8" w:rsidP="00DD4F6C">
      <w:r>
        <w:t>Adults living in the most socioeconomically deprived areas (18%) were 1.3 times more likely to be unable to get an appointment at their usual medical centre within 24 hours compared with adults living in the least deprived areas (15%)</w:t>
      </w:r>
      <w:r w:rsidRPr="0007586A">
        <w:t>, after adjusting for age, sex and ethnic differences.</w:t>
      </w:r>
    </w:p>
    <w:p w14:paraId="219609F7" w14:textId="77777777" w:rsidR="00FC0DB8" w:rsidRPr="0007586A" w:rsidRDefault="00FC0DB8" w:rsidP="00DD4F6C"/>
    <w:p w14:paraId="14090D85" w14:textId="77777777" w:rsidR="00FC0DB8" w:rsidRPr="00BA4866" w:rsidRDefault="00FC0DB8" w:rsidP="00DD4F6C">
      <w:pPr>
        <w:pStyle w:val="Heading3"/>
      </w:pPr>
      <w:r>
        <w:lastRenderedPageBreak/>
        <w:t>Cost prevented one in five adults living in the most socioeconomically deprived areas from visiting a GP</w:t>
      </w:r>
    </w:p>
    <w:p w14:paraId="3A58510D" w14:textId="77777777" w:rsidR="00FC0DB8" w:rsidRPr="007F4C0C" w:rsidRDefault="00FC0DB8" w:rsidP="00DD4F6C">
      <w:pPr>
        <w:pStyle w:val="Box"/>
        <w:jc w:val="center"/>
      </w:pPr>
      <w:r w:rsidRPr="009E6A20">
        <w:rPr>
          <w:noProof/>
          <w:lang w:eastAsia="en-NZ"/>
        </w:rPr>
        <w:drawing>
          <wp:inline distT="0" distB="0" distL="0" distR="0" wp14:anchorId="399F3C46" wp14:editId="2CD82B23">
            <wp:extent cx="5600700" cy="3143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692A403A" w14:textId="77777777" w:rsidR="00FC0DB8" w:rsidRDefault="00FC0DB8" w:rsidP="00DD4F6C"/>
    <w:p w14:paraId="14EEEF7A" w14:textId="77777777" w:rsidR="00FC0DB8" w:rsidRDefault="00FC0DB8" w:rsidP="00DD4F6C">
      <w:r w:rsidRPr="0007586A">
        <w:t>All New Zealanders are eligible for reduced health care costs when they go to their usual medical centre. However, cost may still be a barrier to accessing primary health care.</w:t>
      </w:r>
    </w:p>
    <w:p w14:paraId="2D65DF35" w14:textId="77777777" w:rsidR="00FC0DB8" w:rsidRDefault="00FC0DB8" w:rsidP="00DD4F6C"/>
    <w:p w14:paraId="3830BD76" w14:textId="77777777" w:rsidR="00FC0DB8" w:rsidRPr="0007586A" w:rsidRDefault="00FC0DB8" w:rsidP="00DD4F6C">
      <w:r>
        <w:t xml:space="preserve">In this report, the term </w:t>
      </w:r>
      <w:r w:rsidR="00FD6712">
        <w:t>‘</w:t>
      </w:r>
      <w:r>
        <w:t>did not visit a GP due to cost</w:t>
      </w:r>
      <w:r w:rsidR="00FD6712">
        <w:t>’</w:t>
      </w:r>
      <w:r>
        <w:t xml:space="preserve"> means that there had been an occasion in the p</w:t>
      </w:r>
      <w:r w:rsidRPr="0007586A">
        <w:t xml:space="preserve">ast 12 months </w:t>
      </w:r>
      <w:r>
        <w:t>when</w:t>
      </w:r>
      <w:r w:rsidRPr="0007586A">
        <w:t xml:space="preserve"> adults who had a medical problem did not visit a GP because of cost.</w:t>
      </w:r>
    </w:p>
    <w:p w14:paraId="40E11D1A" w14:textId="77777777" w:rsidR="00FC0DB8" w:rsidRPr="0007586A" w:rsidRDefault="00FC0DB8" w:rsidP="00DD4F6C"/>
    <w:p w14:paraId="172641FE" w14:textId="77777777" w:rsidR="00FC0DB8" w:rsidRPr="0007586A" w:rsidRDefault="00FC0DB8" w:rsidP="00DD4F6C">
      <w:r>
        <w:t xml:space="preserve">About 533,000 </w:t>
      </w:r>
      <w:r w:rsidRPr="0007586A">
        <w:t xml:space="preserve">adults </w:t>
      </w:r>
      <w:r>
        <w:t xml:space="preserve">(14%) </w:t>
      </w:r>
      <w:r w:rsidRPr="0007586A">
        <w:t xml:space="preserve">reported </w:t>
      </w:r>
      <w:r>
        <w:t>not visiting a GP due to cost in the past 12 months</w:t>
      </w:r>
      <w:r w:rsidRPr="0007586A">
        <w:t>.</w:t>
      </w:r>
    </w:p>
    <w:p w14:paraId="31BE750E" w14:textId="77777777" w:rsidR="00FC0DB8" w:rsidRPr="0007586A" w:rsidRDefault="00FC0DB8" w:rsidP="00DD4F6C"/>
    <w:p w14:paraId="729D745F" w14:textId="77777777" w:rsidR="00FC0DB8" w:rsidRPr="0007586A" w:rsidRDefault="00FC0DB8" w:rsidP="00DD4F6C">
      <w:r w:rsidRPr="0007586A">
        <w:t xml:space="preserve">Rates of </w:t>
      </w:r>
      <w:r>
        <w:t>not visiting a GP due to cost</w:t>
      </w:r>
      <w:r w:rsidRPr="0007586A">
        <w:t xml:space="preserve"> varied by sex, age, ethnic group and </w:t>
      </w:r>
      <w:r>
        <w:t>neighbourhood</w:t>
      </w:r>
      <w:r w:rsidRPr="0007586A" w:rsidDel="00E5487B">
        <w:t xml:space="preserve"> </w:t>
      </w:r>
      <w:r w:rsidRPr="0007586A">
        <w:t>deprivation, as follows.</w:t>
      </w:r>
      <w:r w:rsidR="00DD4F6C">
        <w:rPr>
          <w:rStyle w:val="FootnoteReference"/>
        </w:rPr>
        <w:footnoteReference w:id="28"/>
      </w:r>
    </w:p>
    <w:p w14:paraId="1D865BFF" w14:textId="77777777" w:rsidR="00FC0DB8" w:rsidRPr="0007586A" w:rsidRDefault="00FC0DB8" w:rsidP="00DD4F6C">
      <w:pPr>
        <w:pStyle w:val="Bullet"/>
      </w:pPr>
      <w:r w:rsidRPr="0007586A">
        <w:t xml:space="preserve">Women were </w:t>
      </w:r>
      <w:r>
        <w:t>almost twice as likely as men to not visit a GP due to cost,</w:t>
      </w:r>
      <w:r w:rsidRPr="0007586A">
        <w:t xml:space="preserve"> </w:t>
      </w:r>
      <w:r>
        <w:t xml:space="preserve">after adjusting for age differences </w:t>
      </w:r>
      <w:r w:rsidRPr="0007586A">
        <w:t xml:space="preserve">(the rates were </w:t>
      </w:r>
      <w:r>
        <w:t>18</w:t>
      </w:r>
      <w:r w:rsidRPr="0007586A">
        <w:t xml:space="preserve">% and </w:t>
      </w:r>
      <w:r>
        <w:t>10</w:t>
      </w:r>
      <w:r w:rsidRPr="0007586A">
        <w:t>% respectively).</w:t>
      </w:r>
    </w:p>
    <w:p w14:paraId="4684064D" w14:textId="77777777" w:rsidR="00FC0DB8" w:rsidRPr="0007586A" w:rsidRDefault="00FC0DB8" w:rsidP="00DD4F6C">
      <w:pPr>
        <w:pStyle w:val="Bullet"/>
      </w:pPr>
      <w:r w:rsidRPr="0007586A">
        <w:t xml:space="preserve">Unmet need for GP visits due to cost </w:t>
      </w:r>
      <w:r w:rsidRPr="006A7959">
        <w:t>peaked among those aged 25</w:t>
      </w:r>
      <w:r>
        <w:t>–</w:t>
      </w:r>
      <w:r w:rsidRPr="006A7959">
        <w:t>44 years,</w:t>
      </w:r>
      <w:r>
        <w:t xml:space="preserve"> at about one in five adults</w:t>
      </w:r>
      <w:r w:rsidRPr="0007586A">
        <w:t xml:space="preserve">. Cost was much less likely to be a barrier for adults </w:t>
      </w:r>
      <w:r w:rsidRPr="00756F27">
        <w:t>aged 65 years and over</w:t>
      </w:r>
      <w:r>
        <w:t>: less</w:t>
      </w:r>
      <w:r w:rsidRPr="0007586A">
        <w:t xml:space="preserve"> than </w:t>
      </w:r>
      <w:r>
        <w:t>10%</w:t>
      </w:r>
      <w:r w:rsidRPr="0007586A">
        <w:t xml:space="preserve"> ha</w:t>
      </w:r>
      <w:r>
        <w:t>d</w:t>
      </w:r>
      <w:r w:rsidRPr="0007586A">
        <w:t xml:space="preserve"> experienced unmet need for this reason.</w:t>
      </w:r>
    </w:p>
    <w:p w14:paraId="51F28872" w14:textId="03F6FF6D" w:rsidR="00FC0DB8" w:rsidRPr="0007586A" w:rsidRDefault="00FC0DB8" w:rsidP="00DD4F6C">
      <w:pPr>
        <w:pStyle w:val="Bullet"/>
      </w:pPr>
      <w:r>
        <w:t xml:space="preserve">More than one in five </w:t>
      </w:r>
      <w:r w:rsidRPr="0007586A">
        <w:t xml:space="preserve">Māori </w:t>
      </w:r>
      <w:r>
        <w:t xml:space="preserve">(23%) and </w:t>
      </w:r>
      <w:r w:rsidRPr="0007586A">
        <w:t xml:space="preserve">Pacific </w:t>
      </w:r>
      <w:r w:rsidR="0025366B">
        <w:t>(21</w:t>
      </w:r>
      <w:r>
        <w:t xml:space="preserve">%) </w:t>
      </w:r>
      <w:r w:rsidRPr="0007586A">
        <w:t>adults</w:t>
      </w:r>
      <w:r>
        <w:t xml:space="preserve"> had not visited a GP due to cost</w:t>
      </w:r>
      <w:r w:rsidRPr="0007586A">
        <w:t>. Māori</w:t>
      </w:r>
      <w:r>
        <w:t xml:space="preserve"> and Pacific adults were more likely than non-</w:t>
      </w:r>
      <w:r w:rsidRPr="0007586A">
        <w:t xml:space="preserve">Māori </w:t>
      </w:r>
      <w:r>
        <w:t xml:space="preserve">and non-Pacific </w:t>
      </w:r>
      <w:r w:rsidRPr="0007586A">
        <w:t>adults</w:t>
      </w:r>
      <w:r>
        <w:t xml:space="preserve"> respectively to not visit a GP due to cost, after adjusting for age and sex differences. Asian adults had the lowest rate of not visiting a GP due to cost: one in eleven (9%).</w:t>
      </w:r>
    </w:p>
    <w:p w14:paraId="60695A66" w14:textId="77777777" w:rsidR="00FC0DB8" w:rsidRPr="0007586A" w:rsidRDefault="00FC0DB8" w:rsidP="00DD4F6C">
      <w:pPr>
        <w:pStyle w:val="Bullet"/>
      </w:pPr>
      <w:r>
        <w:t>Adults</w:t>
      </w:r>
      <w:r w:rsidRPr="0007586A">
        <w:t xml:space="preserve"> living in the most</w:t>
      </w:r>
      <w:r>
        <w:t xml:space="preserve"> socioeconomically</w:t>
      </w:r>
      <w:r w:rsidRPr="0007586A">
        <w:t xml:space="preserve"> deprived areas were </w:t>
      </w:r>
      <w:r>
        <w:t>more than twice</w:t>
      </w:r>
      <w:r w:rsidRPr="0007586A">
        <w:t xml:space="preserve"> as likely as those living in the least deprived areas to </w:t>
      </w:r>
      <w:r>
        <w:t>not visit a GP due to cost, after adjusting for age, sex and ethnic differences</w:t>
      </w:r>
      <w:r w:rsidRPr="0007586A">
        <w:t>.</w:t>
      </w:r>
      <w:r>
        <w:t xml:space="preserve"> The rates were 20% and 9% respectively.</w:t>
      </w:r>
    </w:p>
    <w:p w14:paraId="44BDE4DA" w14:textId="77777777" w:rsidR="00FC0DB8" w:rsidRPr="0007586A" w:rsidRDefault="00FC0DB8" w:rsidP="00DD4F6C"/>
    <w:p w14:paraId="44016B51" w14:textId="77777777" w:rsidR="00FC0DB8" w:rsidRDefault="00FC0DB8" w:rsidP="00DD4F6C">
      <w:r w:rsidRPr="0007586A">
        <w:t>Another reason for not visiting a GP</w:t>
      </w:r>
      <w:r>
        <w:t xml:space="preserve"> </w:t>
      </w:r>
      <w:r w:rsidRPr="0007586A">
        <w:t>is a lack of transport</w:t>
      </w:r>
      <w:r>
        <w:t>, which</w:t>
      </w:r>
      <w:r w:rsidRPr="0007586A">
        <w:t xml:space="preserve"> </w:t>
      </w:r>
      <w:r>
        <w:t>was a barrier for</w:t>
      </w:r>
      <w:r w:rsidRPr="0007586A">
        <w:t xml:space="preserve"> </w:t>
      </w:r>
      <w:r>
        <w:t>3.2</w:t>
      </w:r>
      <w:r w:rsidRPr="0007586A">
        <w:t>% of adults</w:t>
      </w:r>
      <w:r w:rsidRPr="00A754C1">
        <w:t xml:space="preserve"> </w:t>
      </w:r>
      <w:r>
        <w:t>in the past 12 months</w:t>
      </w:r>
      <w:r w:rsidRPr="0007586A">
        <w:t>.</w:t>
      </w:r>
      <w:r w:rsidR="00DD4F6C">
        <w:rPr>
          <w:vertAlign w:val="superscript"/>
        </w:rPr>
        <w:t>28</w:t>
      </w:r>
      <w:r w:rsidRPr="0007586A">
        <w:t xml:space="preserve"> Lack of transport </w:t>
      </w:r>
      <w:r>
        <w:t>varied by deprivation</w:t>
      </w:r>
      <w:r w:rsidRPr="0007586A">
        <w:t>; the rate was much higher for adults living in the most deprived areas (</w:t>
      </w:r>
      <w:r>
        <w:t>6.7</w:t>
      </w:r>
      <w:r w:rsidRPr="0007586A">
        <w:t>%) than for thos</w:t>
      </w:r>
      <w:r>
        <w:t>e in the least deprived areas (0.9</w:t>
      </w:r>
      <w:r w:rsidRPr="0007586A">
        <w:t>%).</w:t>
      </w:r>
    </w:p>
    <w:p w14:paraId="057EE064" w14:textId="77777777" w:rsidR="00DD4F6C" w:rsidRPr="00BA4866" w:rsidRDefault="00DD4F6C" w:rsidP="00DD4F6C"/>
    <w:p w14:paraId="6F730742" w14:textId="77777777" w:rsidR="00FC0DB8" w:rsidRPr="00C03EA3" w:rsidRDefault="00FC0DB8" w:rsidP="00DD4F6C">
      <w:pPr>
        <w:pStyle w:val="Heading3"/>
      </w:pPr>
      <w:r>
        <w:lastRenderedPageBreak/>
        <w:t>Cost prevented seven percent of adults from visiting an after-hours medical centre in the past 12 months</w:t>
      </w:r>
    </w:p>
    <w:p w14:paraId="2AEA7241" w14:textId="77777777" w:rsidR="00FC0DB8" w:rsidRDefault="00FC0DB8" w:rsidP="00DD4F6C">
      <w:pPr>
        <w:pStyle w:val="Box"/>
        <w:jc w:val="center"/>
      </w:pPr>
      <w:r w:rsidRPr="009E6A20">
        <w:rPr>
          <w:noProof/>
          <w:lang w:eastAsia="en-NZ"/>
        </w:rPr>
        <w:drawing>
          <wp:inline distT="0" distB="0" distL="0" distR="0" wp14:anchorId="7BFBB228" wp14:editId="01EE9D93">
            <wp:extent cx="5600700" cy="3143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7F2DE414" w14:textId="77777777" w:rsidR="00DD4F6C" w:rsidRDefault="00DD4F6C" w:rsidP="00DD4F6C"/>
    <w:p w14:paraId="1E93C383" w14:textId="77777777" w:rsidR="00FC0DB8" w:rsidRPr="0007586A" w:rsidRDefault="00FC0DB8" w:rsidP="00DD4F6C">
      <w:r>
        <w:t>A</w:t>
      </w:r>
      <w:r w:rsidRPr="0007586A">
        <w:t>fter-hours medical centres provide primary health care outside usual business hours (nights, weekends and public holidays). DHBs are required to ensure that at least 95% of the</w:t>
      </w:r>
      <w:r>
        <w:t>ir</w:t>
      </w:r>
      <w:r w:rsidRPr="0007586A">
        <w:t xml:space="preserve"> enrolled population have access to after-hours care. The cost of care in after-hours medical centres is higher than for </w:t>
      </w:r>
      <w:r>
        <w:t xml:space="preserve">health </w:t>
      </w:r>
      <w:r w:rsidRPr="0007586A">
        <w:t xml:space="preserve">services </w:t>
      </w:r>
      <w:r>
        <w:t xml:space="preserve">provided </w:t>
      </w:r>
      <w:r w:rsidRPr="0007586A">
        <w:t>during usual business hours</w:t>
      </w:r>
      <w:r>
        <w:t>,</w:t>
      </w:r>
      <w:r w:rsidRPr="0007586A">
        <w:t xml:space="preserve"> particularly for people who are not enrolled with a </w:t>
      </w:r>
      <w:r>
        <w:rPr>
          <w:szCs w:val="22"/>
        </w:rPr>
        <w:t>PHO</w:t>
      </w:r>
      <w:r w:rsidRPr="0007586A">
        <w:t>.</w:t>
      </w:r>
    </w:p>
    <w:p w14:paraId="25C02FF7" w14:textId="77777777" w:rsidR="00DD4F6C" w:rsidRDefault="00DD4F6C" w:rsidP="00DD4F6C"/>
    <w:p w14:paraId="58FCD31F" w14:textId="77777777" w:rsidR="00FC0DB8" w:rsidRPr="0007586A" w:rsidRDefault="00FC0DB8" w:rsidP="00DD4F6C">
      <w:r w:rsidRPr="0007586A">
        <w:t xml:space="preserve">This indicator focuses on whether there had been a time in the past 12 months </w:t>
      </w:r>
      <w:r>
        <w:t xml:space="preserve">when adults </w:t>
      </w:r>
      <w:r w:rsidRPr="0007586A">
        <w:t>had a medical problem after</w:t>
      </w:r>
      <w:r>
        <w:t xml:space="preserve"> </w:t>
      </w:r>
      <w:r w:rsidRPr="0007586A">
        <w:t>hours but did not visit an after-hours medical centre due to cost.</w:t>
      </w:r>
    </w:p>
    <w:p w14:paraId="763C3588" w14:textId="77777777" w:rsidR="00DD4F6C" w:rsidRDefault="00DD4F6C" w:rsidP="00DD4F6C"/>
    <w:p w14:paraId="7EDEAA79" w14:textId="77777777" w:rsidR="00FC0DB8" w:rsidRDefault="00FC0DB8" w:rsidP="00DD4F6C">
      <w:r>
        <w:t>About 260,000</w:t>
      </w:r>
      <w:r w:rsidRPr="0007586A">
        <w:t xml:space="preserve"> adults </w:t>
      </w:r>
      <w:r>
        <w:t>(7%) had</w:t>
      </w:r>
      <w:r w:rsidRPr="0007586A">
        <w:t xml:space="preserve"> not visit</w:t>
      </w:r>
      <w:r>
        <w:t>ed</w:t>
      </w:r>
      <w:r w:rsidRPr="0007586A">
        <w:t xml:space="preserve"> an after-hours medical centre </w:t>
      </w:r>
      <w:r>
        <w:t xml:space="preserve">in the past 12 months </w:t>
      </w:r>
      <w:r w:rsidRPr="0007586A">
        <w:t>due to cost.</w:t>
      </w:r>
    </w:p>
    <w:p w14:paraId="3F3EDEC4" w14:textId="77777777" w:rsidR="00DD4F6C" w:rsidRDefault="00DD4F6C" w:rsidP="00DD4F6C"/>
    <w:p w14:paraId="69F4D3F3" w14:textId="77777777" w:rsidR="00FC0DB8" w:rsidRPr="0007586A" w:rsidRDefault="00FC0DB8" w:rsidP="00DD4F6C">
      <w:r w:rsidRPr="0007586A">
        <w:t xml:space="preserve">Rates of being unable to visit an after-hours medical centre due to cost </w:t>
      </w:r>
      <w:r>
        <w:t xml:space="preserve">in the past 12 months </w:t>
      </w:r>
      <w:r w:rsidRPr="0007586A">
        <w:t xml:space="preserve">varied by sex, age, ethnic group and </w:t>
      </w:r>
      <w:r>
        <w:t>neighbourhood</w:t>
      </w:r>
      <w:r w:rsidRPr="0007586A" w:rsidDel="00E5487B">
        <w:t xml:space="preserve"> </w:t>
      </w:r>
      <w:r w:rsidRPr="0007586A">
        <w:t>deprivation, as follows.</w:t>
      </w:r>
      <w:r w:rsidR="00DD4F6C">
        <w:rPr>
          <w:rStyle w:val="FootnoteReference"/>
        </w:rPr>
        <w:footnoteReference w:id="29"/>
      </w:r>
    </w:p>
    <w:p w14:paraId="70740DCE" w14:textId="77777777" w:rsidR="00FC0DB8" w:rsidRPr="0007586A" w:rsidRDefault="00FC0DB8" w:rsidP="00DD4F6C">
      <w:pPr>
        <w:pStyle w:val="Bullet"/>
      </w:pPr>
      <w:r w:rsidRPr="0007586A">
        <w:t>More women</w:t>
      </w:r>
      <w:r>
        <w:t xml:space="preserve"> (8.9%)</w:t>
      </w:r>
      <w:r w:rsidRPr="0007586A">
        <w:t xml:space="preserve"> than men </w:t>
      </w:r>
      <w:r>
        <w:t>(4.9%) had</w:t>
      </w:r>
      <w:r w:rsidRPr="0007586A">
        <w:t xml:space="preserve"> not visit</w:t>
      </w:r>
      <w:r>
        <w:t>ed</w:t>
      </w:r>
      <w:r w:rsidRPr="0007586A">
        <w:t xml:space="preserve"> an</w:t>
      </w:r>
      <w:r>
        <w:t xml:space="preserve"> after-hours centre due to cost.</w:t>
      </w:r>
    </w:p>
    <w:p w14:paraId="2F4293B2" w14:textId="77777777" w:rsidR="00FC0DB8" w:rsidRPr="00AC6BF7" w:rsidRDefault="00FC0DB8" w:rsidP="00DD4F6C">
      <w:pPr>
        <w:pStyle w:val="Bullet"/>
      </w:pPr>
      <w:r w:rsidRPr="00AC6BF7">
        <w:t xml:space="preserve">Younger adults were more likely not to have visited an after-hours centre due to cost: less than 5% of adults aged </w:t>
      </w:r>
      <w:r>
        <w:t>65 years and over</w:t>
      </w:r>
      <w:r w:rsidRPr="00AC6BF7">
        <w:t xml:space="preserve"> experienced this barrier at some point in the past 12</w:t>
      </w:r>
      <w:r>
        <w:t> </w:t>
      </w:r>
      <w:r w:rsidRPr="00AC6BF7">
        <w:t>months</w:t>
      </w:r>
      <w:r>
        <w:t xml:space="preserve">, compared with 10% of young adults aged </w:t>
      </w:r>
      <w:r w:rsidRPr="0007586A">
        <w:t>25–</w:t>
      </w:r>
      <w:r>
        <w:t>4</w:t>
      </w:r>
      <w:r w:rsidRPr="0007586A">
        <w:t>4 years</w:t>
      </w:r>
      <w:r w:rsidRPr="00AC6BF7">
        <w:t>.</w:t>
      </w:r>
    </w:p>
    <w:p w14:paraId="2828D0E2" w14:textId="77777777" w:rsidR="00FC0DB8" w:rsidRPr="0007586A" w:rsidRDefault="00FC0DB8" w:rsidP="00DD4F6C">
      <w:pPr>
        <w:pStyle w:val="Bullet"/>
      </w:pPr>
      <w:r>
        <w:t xml:space="preserve">One in eight </w:t>
      </w:r>
      <w:r w:rsidRPr="0007586A">
        <w:t>Māori adults</w:t>
      </w:r>
      <w:r>
        <w:t xml:space="preserve"> (13%) had</w:t>
      </w:r>
      <w:r w:rsidRPr="0007586A">
        <w:t xml:space="preserve"> not visit</w:t>
      </w:r>
      <w:r>
        <w:t>ed</w:t>
      </w:r>
      <w:r w:rsidRPr="0007586A">
        <w:t xml:space="preserve"> an after-hours centre due to cost</w:t>
      </w:r>
      <w:r>
        <w:t xml:space="preserve">. After adjusting for age and sex differences, the </w:t>
      </w:r>
      <w:r w:rsidRPr="0007586A">
        <w:t>Māori</w:t>
      </w:r>
      <w:r>
        <w:t xml:space="preserve"> rate was nearly double that of non-</w:t>
      </w:r>
      <w:r w:rsidRPr="0007586A">
        <w:t xml:space="preserve">Māori adults. </w:t>
      </w:r>
      <w:r>
        <w:t>O</w:t>
      </w:r>
      <w:r w:rsidRPr="0007586A">
        <w:t xml:space="preserve">nly </w:t>
      </w:r>
      <w:r>
        <w:t>5.5</w:t>
      </w:r>
      <w:r w:rsidRPr="0007586A">
        <w:t>% of Asian</w:t>
      </w:r>
      <w:r>
        <w:t xml:space="preserve"> adults</w:t>
      </w:r>
      <w:r w:rsidRPr="0007586A">
        <w:t xml:space="preserve"> </w:t>
      </w:r>
      <w:r>
        <w:t>had</w:t>
      </w:r>
      <w:r w:rsidRPr="0007586A">
        <w:t xml:space="preserve"> not visit</w:t>
      </w:r>
      <w:r>
        <w:t>ed</w:t>
      </w:r>
      <w:r w:rsidRPr="0007586A">
        <w:t xml:space="preserve"> an after-hours medical centre due to cost.</w:t>
      </w:r>
    </w:p>
    <w:p w14:paraId="40E230F0" w14:textId="77777777" w:rsidR="00FC0DB8" w:rsidRPr="00C30D67" w:rsidRDefault="00FC0DB8" w:rsidP="00DD4F6C">
      <w:pPr>
        <w:pStyle w:val="Bullet"/>
      </w:pPr>
      <w:r w:rsidRPr="00C30D67">
        <w:t>Adults living in the most socioeconomically deprived areas (12%) were 2.5 times as likely not to have visited an after-hours medical centre due to cost as those living in the least deprived areas (5%), after adjusting for age, sex and ethnic differences.</w:t>
      </w:r>
    </w:p>
    <w:p w14:paraId="407C41ED" w14:textId="77777777" w:rsidR="00137660" w:rsidRDefault="00137660" w:rsidP="00137660"/>
    <w:p w14:paraId="79F9F9A9" w14:textId="58FE66CD" w:rsidR="00FC0DB8" w:rsidRDefault="00FC0DB8" w:rsidP="00137660">
      <w:r w:rsidRPr="00C30D67">
        <w:t>Another reason for not visit</w:t>
      </w:r>
      <w:r>
        <w:t>ing</w:t>
      </w:r>
      <w:r w:rsidR="0065245C">
        <w:t xml:space="preserve"> an after-hours medical centre</w:t>
      </w:r>
      <w:r w:rsidRPr="00C30D67">
        <w:t xml:space="preserve"> is a lack of transport, which was a barrier for 1.3% of adults in the past 12 months.</w:t>
      </w:r>
      <w:r w:rsidR="00137660">
        <w:rPr>
          <w:vertAlign w:val="superscript"/>
        </w:rPr>
        <w:t>29</w:t>
      </w:r>
    </w:p>
    <w:p w14:paraId="05EBBD10" w14:textId="77777777" w:rsidR="00FC0DB8" w:rsidRDefault="00FC0DB8" w:rsidP="00137660">
      <w:pPr>
        <w:pStyle w:val="Heading3"/>
        <w:spacing w:before="360"/>
      </w:pPr>
      <w:r>
        <w:lastRenderedPageBreak/>
        <w:t>Not filling a prescription due to cost was much more common in the most socioeconomically deprived areas</w:t>
      </w:r>
    </w:p>
    <w:p w14:paraId="3FC0BB3F" w14:textId="77777777" w:rsidR="00FC0DB8" w:rsidRPr="008C5A1E" w:rsidRDefault="00FC0DB8" w:rsidP="00137660">
      <w:pPr>
        <w:pStyle w:val="Box"/>
        <w:jc w:val="center"/>
      </w:pPr>
      <w:r w:rsidRPr="00C716D8">
        <w:rPr>
          <w:noProof/>
          <w:lang w:eastAsia="en-NZ"/>
        </w:rPr>
        <w:drawing>
          <wp:inline distT="0" distB="0" distL="0" distR="0" wp14:anchorId="3A1FB964" wp14:editId="6E17F284">
            <wp:extent cx="5600700" cy="3143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5FDC2EB6" w14:textId="77777777" w:rsidR="00FC0DB8" w:rsidRPr="00400FBA" w:rsidRDefault="00FC0DB8" w:rsidP="00137660">
      <w:pPr>
        <w:rPr>
          <w:highlight w:val="yellow"/>
        </w:rPr>
      </w:pPr>
    </w:p>
    <w:p w14:paraId="1CF8D941" w14:textId="77777777" w:rsidR="00FC0DB8" w:rsidRPr="0007586A" w:rsidRDefault="00FC0DB8" w:rsidP="00137660">
      <w:r w:rsidRPr="0007586A">
        <w:t>In New Zealand, most prescription medicines are subsidised under a co-payment system, so people pay a relatively small amount for each medication. The co-payment applies to the first 2o prescriptions per family per year. The co-payment for subsidised prescription items increased f</w:t>
      </w:r>
      <w:r>
        <w:t>rom $3 to $5 on 1 January 2013.</w:t>
      </w:r>
    </w:p>
    <w:p w14:paraId="11B363FD" w14:textId="77777777" w:rsidR="00FC0DB8" w:rsidRPr="0007586A" w:rsidRDefault="00FC0DB8" w:rsidP="00137660"/>
    <w:p w14:paraId="2A0F9E6E" w14:textId="77777777" w:rsidR="00FC0DB8" w:rsidRPr="0007586A" w:rsidRDefault="00FC0DB8" w:rsidP="00137660">
      <w:r>
        <w:t>About 238,000</w:t>
      </w:r>
      <w:r w:rsidRPr="0007586A">
        <w:t xml:space="preserve"> adults</w:t>
      </w:r>
      <w:r>
        <w:t xml:space="preserve"> (6%) reported not</w:t>
      </w:r>
      <w:r w:rsidRPr="0007586A">
        <w:t xml:space="preserve"> collecting a prescription due to cost</w:t>
      </w:r>
      <w:r>
        <w:t>, down from 7% in 2011/12</w:t>
      </w:r>
      <w:r w:rsidRPr="0007586A">
        <w:t>.</w:t>
      </w:r>
    </w:p>
    <w:p w14:paraId="343D9A4F" w14:textId="77777777" w:rsidR="00FC0DB8" w:rsidRPr="0007586A" w:rsidRDefault="00FC0DB8" w:rsidP="00137660"/>
    <w:p w14:paraId="3A5592F4" w14:textId="77777777" w:rsidR="00FC0DB8" w:rsidRPr="0007586A" w:rsidRDefault="00FC0DB8" w:rsidP="00137660">
      <w:r w:rsidRPr="0007586A">
        <w:t xml:space="preserve">Rates of being unable to collect a prescription item due to cost in the </w:t>
      </w:r>
      <w:r>
        <w:t>p</w:t>
      </w:r>
      <w:r w:rsidRPr="0007586A">
        <w:t xml:space="preserve">ast 12 months varied by sex, age, ethnic group and </w:t>
      </w:r>
      <w:r>
        <w:t>neighbourhood</w:t>
      </w:r>
      <w:r w:rsidRPr="0007586A" w:rsidDel="00E5487B">
        <w:t xml:space="preserve"> </w:t>
      </w:r>
      <w:r w:rsidRPr="0007586A">
        <w:t>deprivation, as follows.</w:t>
      </w:r>
      <w:r w:rsidR="00137660">
        <w:rPr>
          <w:rStyle w:val="FootnoteReference"/>
        </w:rPr>
        <w:footnoteReference w:id="30"/>
      </w:r>
    </w:p>
    <w:p w14:paraId="7FF374B3" w14:textId="77777777" w:rsidR="00FC0DB8" w:rsidRPr="0007586A" w:rsidRDefault="00FC0DB8" w:rsidP="00137660">
      <w:pPr>
        <w:pStyle w:val="Bullet"/>
      </w:pPr>
      <w:r w:rsidRPr="0007586A">
        <w:t xml:space="preserve">More women than men </w:t>
      </w:r>
      <w:r>
        <w:t>had</w:t>
      </w:r>
      <w:r w:rsidRPr="0007586A">
        <w:t xml:space="preserve"> not collect</w:t>
      </w:r>
      <w:r>
        <w:t>ed</w:t>
      </w:r>
      <w:r w:rsidRPr="0007586A">
        <w:t xml:space="preserve"> a prescription due to cost at some point in the past 12 months (the rates were </w:t>
      </w:r>
      <w:r>
        <w:t>8.3</w:t>
      </w:r>
      <w:r w:rsidRPr="0007586A">
        <w:t xml:space="preserve">% and </w:t>
      </w:r>
      <w:r>
        <w:t>4.3</w:t>
      </w:r>
      <w:r w:rsidRPr="0007586A">
        <w:t>% respectively).</w:t>
      </w:r>
    </w:p>
    <w:p w14:paraId="39D103F8" w14:textId="77777777" w:rsidR="00FC0DB8" w:rsidRPr="00BA4866" w:rsidRDefault="00FC0DB8" w:rsidP="00137660">
      <w:pPr>
        <w:pStyle w:val="Bullet"/>
      </w:pPr>
      <w:r w:rsidRPr="004304B1">
        <w:t xml:space="preserve">Adults aged </w:t>
      </w:r>
      <w:r>
        <w:t>25–</w:t>
      </w:r>
      <w:r w:rsidRPr="004304B1">
        <w:t>44 years were more likely</w:t>
      </w:r>
      <w:r w:rsidRPr="00A3214C">
        <w:t xml:space="preserve"> </w:t>
      </w:r>
      <w:r w:rsidRPr="004304B1">
        <w:t>not to have collected a prescription due to cost (</w:t>
      </w:r>
      <w:r>
        <w:t>over 8</w:t>
      </w:r>
      <w:r w:rsidRPr="004304B1">
        <w:t>%) than those aged 65 years and older (under 5%).</w:t>
      </w:r>
    </w:p>
    <w:p w14:paraId="22920E32" w14:textId="77777777" w:rsidR="00FC0DB8" w:rsidRPr="0007586A" w:rsidRDefault="00FC0DB8" w:rsidP="00137660">
      <w:pPr>
        <w:pStyle w:val="Bullet"/>
      </w:pPr>
      <w:r>
        <w:t xml:space="preserve">Nineteen percent of Pacific adults and 15% of </w:t>
      </w:r>
      <w:r w:rsidRPr="0007586A">
        <w:t xml:space="preserve">Māori adults </w:t>
      </w:r>
      <w:r>
        <w:t xml:space="preserve">had not collected a prescription due to cost. Pacific adults were 3.2 </w:t>
      </w:r>
      <w:r w:rsidRPr="0007586A">
        <w:t xml:space="preserve">times </w:t>
      </w:r>
      <w:r>
        <w:t>as likely as</w:t>
      </w:r>
      <w:r w:rsidRPr="0007586A">
        <w:t xml:space="preserve"> non-Pacific</w:t>
      </w:r>
      <w:r>
        <w:t xml:space="preserve"> adults and </w:t>
      </w:r>
      <w:r w:rsidRPr="0007586A">
        <w:t xml:space="preserve">Māori adults were </w:t>
      </w:r>
      <w:r>
        <w:t>2.7 </w:t>
      </w:r>
      <w:r w:rsidRPr="0007586A">
        <w:t xml:space="preserve">times </w:t>
      </w:r>
      <w:r>
        <w:t>as</w:t>
      </w:r>
      <w:r w:rsidRPr="0007586A">
        <w:t xml:space="preserve"> likely </w:t>
      </w:r>
      <w:r>
        <w:t>as</w:t>
      </w:r>
      <w:r w:rsidRPr="0007586A">
        <w:t xml:space="preserve"> non-Māori</w:t>
      </w:r>
      <w:r w:rsidRPr="005626CC">
        <w:t xml:space="preserve"> </w:t>
      </w:r>
      <w:r w:rsidRPr="0007586A">
        <w:t>adults not to have collected a prescription due to cost</w:t>
      </w:r>
      <w:r>
        <w:t>, after adjusting for age and sex differences</w:t>
      </w:r>
      <w:r w:rsidRPr="0007586A">
        <w:t xml:space="preserve">. In contrast, only </w:t>
      </w:r>
      <w:r>
        <w:t>3</w:t>
      </w:r>
      <w:r w:rsidRPr="0007586A">
        <w:t>% of Asian adults were unable to fill a prescription due to cost at some point in the past 12 months.</w:t>
      </w:r>
    </w:p>
    <w:p w14:paraId="58376A7B" w14:textId="77777777" w:rsidR="00FC0DB8" w:rsidRDefault="00FC0DB8" w:rsidP="00137660">
      <w:pPr>
        <w:pStyle w:val="Bullet"/>
      </w:pPr>
      <w:r w:rsidRPr="0007586A">
        <w:t xml:space="preserve">Adults living in the most </w:t>
      </w:r>
      <w:r>
        <w:t xml:space="preserve">socioeconomically </w:t>
      </w:r>
      <w:r w:rsidRPr="0007586A">
        <w:t xml:space="preserve">deprived areas were </w:t>
      </w:r>
      <w:r>
        <w:t>4.5 </w:t>
      </w:r>
      <w:r w:rsidRPr="0007586A">
        <w:t xml:space="preserve">times as likely </w:t>
      </w:r>
      <w:r>
        <w:t>as</w:t>
      </w:r>
      <w:r w:rsidRPr="0007586A">
        <w:t xml:space="preserve"> adults living in the least deprived areas to have been unable to collect a prescription due to cost, after adjusting for age, sex and ethnic differences.</w:t>
      </w:r>
      <w:r>
        <w:t xml:space="preserve"> The rates were 12.9% and 2.2% respectively.</w:t>
      </w:r>
    </w:p>
    <w:p w14:paraId="60FCD41D" w14:textId="77777777" w:rsidR="00137660" w:rsidRDefault="00137660" w:rsidP="00137660"/>
    <w:p w14:paraId="5E6237CC" w14:textId="222FD144" w:rsidR="00FC0DB8" w:rsidRDefault="00FC0DB8" w:rsidP="00137660">
      <w:pPr>
        <w:pStyle w:val="Heading3"/>
      </w:pPr>
      <w:r>
        <w:lastRenderedPageBreak/>
        <w:t xml:space="preserve">The percentage of adults </w:t>
      </w:r>
      <w:r w:rsidR="00743CE3">
        <w:t xml:space="preserve">who </w:t>
      </w:r>
      <w:r>
        <w:t>had definite confidence and trust in their GP has decreased</w:t>
      </w:r>
    </w:p>
    <w:p w14:paraId="79037016" w14:textId="12CDBE3A" w:rsidR="00FC0DB8" w:rsidRDefault="00A85E26" w:rsidP="00137660">
      <w:pPr>
        <w:pStyle w:val="Box"/>
        <w:jc w:val="center"/>
      </w:pPr>
      <w:r w:rsidRPr="00A85E26">
        <w:rPr>
          <w:noProof/>
          <w:lang w:eastAsia="en-NZ"/>
        </w:rPr>
        <w:drawing>
          <wp:inline distT="0" distB="0" distL="0" distR="0" wp14:anchorId="5FB0BBEE" wp14:editId="7EB8CE42">
            <wp:extent cx="5600700" cy="3143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13EFFA2D" w14:textId="77777777" w:rsidR="00137660" w:rsidRDefault="00137660" w:rsidP="00137660">
      <w:bookmarkStart w:id="74" w:name="_Oral_Health"/>
      <w:bookmarkStart w:id="75" w:name="_Toc373153656"/>
      <w:bookmarkEnd w:id="74"/>
    </w:p>
    <w:p w14:paraId="785D3F53" w14:textId="77777777" w:rsidR="00FC0DB8" w:rsidRPr="0007586A" w:rsidRDefault="00FC0DB8" w:rsidP="00137660">
      <w:r>
        <w:t>A p</w:t>
      </w:r>
      <w:r w:rsidRPr="0007586A">
        <w:t>atient</w:t>
      </w:r>
      <w:r w:rsidR="00FD6712">
        <w:t>’</w:t>
      </w:r>
      <w:r>
        <w:t>s</w:t>
      </w:r>
      <w:r w:rsidRPr="0007586A">
        <w:t xml:space="preserve"> experience of medical care </w:t>
      </w:r>
      <w:r>
        <w:t>is</w:t>
      </w:r>
      <w:r w:rsidRPr="0007586A">
        <w:t xml:space="preserve"> reflected in the confidence and trust they have in their GP. Being treated with dignity</w:t>
      </w:r>
      <w:r>
        <w:t xml:space="preserve"> and</w:t>
      </w:r>
      <w:r w:rsidRPr="0007586A">
        <w:t xml:space="preserve"> respect</w:t>
      </w:r>
      <w:r>
        <w:t>, having</w:t>
      </w:r>
      <w:r w:rsidRPr="0007586A">
        <w:t xml:space="preserve"> </w:t>
      </w:r>
      <w:r>
        <w:t xml:space="preserve">their </w:t>
      </w:r>
      <w:r w:rsidRPr="0007586A">
        <w:t>privacy</w:t>
      </w:r>
      <w:r>
        <w:t xml:space="preserve"> protected</w:t>
      </w:r>
      <w:r w:rsidRPr="0007586A">
        <w:t xml:space="preserve"> and </w:t>
      </w:r>
      <w:r>
        <w:t xml:space="preserve">being given </w:t>
      </w:r>
      <w:r w:rsidRPr="0007586A">
        <w:t>clear explanations of conditions and treatment are important elements of the patient</w:t>
      </w:r>
      <w:r w:rsidR="00FD6712">
        <w:t>’</w:t>
      </w:r>
      <w:r>
        <w:t>s</w:t>
      </w:r>
      <w:r w:rsidRPr="0007586A">
        <w:t xml:space="preserve"> experience.</w:t>
      </w:r>
    </w:p>
    <w:p w14:paraId="2C534F16" w14:textId="77777777" w:rsidR="00137660" w:rsidRDefault="00137660" w:rsidP="00137660"/>
    <w:p w14:paraId="130DC341" w14:textId="77777777" w:rsidR="00FC0DB8" w:rsidRPr="0007586A" w:rsidRDefault="00FC0DB8" w:rsidP="00137660">
      <w:r>
        <w:t>Interviewers</w:t>
      </w:r>
      <w:r w:rsidRPr="0007586A">
        <w:t xml:space="preserve"> asked adul</w:t>
      </w:r>
      <w:r>
        <w:t>ts who had visited a GP in the p</w:t>
      </w:r>
      <w:r w:rsidRPr="0007586A">
        <w:t>ast three months</w:t>
      </w:r>
      <w:r>
        <w:t>,</w:t>
      </w:r>
      <w:r w:rsidRPr="0007586A">
        <w:t xml:space="preserve"> </w:t>
      </w:r>
      <w:r w:rsidR="00FD6712">
        <w:t>‘</w:t>
      </w:r>
      <w:r w:rsidRPr="0007586A">
        <w:t>Did you have confidence and trust in the GP you saw? Yes, definitely / Yes, to some extent / No, not at all</w:t>
      </w:r>
      <w:r w:rsidR="00FD6712">
        <w:t>’</w:t>
      </w:r>
      <w:r w:rsidRPr="0007586A">
        <w:t>.</w:t>
      </w:r>
      <w:r>
        <w:t xml:space="preserve"> In this report, having </w:t>
      </w:r>
      <w:r w:rsidR="00FD6712">
        <w:t>‘</w:t>
      </w:r>
      <w:r>
        <w:t>confidence and trust</w:t>
      </w:r>
      <w:r w:rsidR="00FD6712">
        <w:t>’</w:t>
      </w:r>
      <w:r>
        <w:t xml:space="preserve"> means definitely having confidence and trust.</w:t>
      </w:r>
    </w:p>
    <w:p w14:paraId="12085A4D" w14:textId="77777777" w:rsidR="00137660" w:rsidRDefault="00137660" w:rsidP="00137660"/>
    <w:p w14:paraId="657CEC99" w14:textId="77777777" w:rsidR="00FC0DB8" w:rsidRPr="0007586A" w:rsidRDefault="00FC0DB8" w:rsidP="00137660">
      <w:r>
        <w:t>Nearly eight in</w:t>
      </w:r>
      <w:r w:rsidRPr="0007586A">
        <w:t xml:space="preserve"> </w:t>
      </w:r>
      <w:r>
        <w:t>ten</w:t>
      </w:r>
      <w:r w:rsidRPr="0007586A">
        <w:t xml:space="preserve"> adults (</w:t>
      </w:r>
      <w:r>
        <w:t>79</w:t>
      </w:r>
      <w:r w:rsidRPr="0007586A">
        <w:t xml:space="preserve">%) who had visited a GP in the previous three months had </w:t>
      </w:r>
      <w:r>
        <w:t xml:space="preserve">definite </w:t>
      </w:r>
      <w:r w:rsidRPr="0007586A">
        <w:t>confidence and trust in their GP. Howev</w:t>
      </w:r>
      <w:r>
        <w:t>er, definite confidence and trust in GPs has gradually decreased since 2011/12, when the rate was 84%</w:t>
      </w:r>
      <w:r w:rsidRPr="0007586A">
        <w:t>.</w:t>
      </w:r>
      <w:r>
        <w:t xml:space="preserve"> </w:t>
      </w:r>
      <w:r w:rsidRPr="00513289">
        <w:t>At the same time, adults who have some confidence a</w:t>
      </w:r>
      <w:r>
        <w:t>nd trust has increased from 14% in 2011/12 to 17</w:t>
      </w:r>
      <w:r w:rsidRPr="00513289">
        <w:t xml:space="preserve">% in 2015/16. Adults who have no </w:t>
      </w:r>
      <w:r>
        <w:t xml:space="preserve">confidence and </w:t>
      </w:r>
      <w:r w:rsidRPr="00513289">
        <w:t>trust at all in their GP has increased from 2.1% in 2011/12 to 3.4% in 2015/16.</w:t>
      </w:r>
    </w:p>
    <w:p w14:paraId="048DA55E" w14:textId="77777777" w:rsidR="00FC0DB8" w:rsidRDefault="00FC0DB8" w:rsidP="00137660"/>
    <w:p w14:paraId="490DBD52" w14:textId="77777777" w:rsidR="00FC0DB8" w:rsidRDefault="00FC0DB8" w:rsidP="00137660">
      <w:r>
        <w:t>Women (77%) were less likely to have confidence and trust in their GPs than men (82%). Adults</w:t>
      </w:r>
      <w:r w:rsidRPr="0007586A">
        <w:t xml:space="preserve"> aged </w:t>
      </w:r>
      <w:r>
        <w:t>6</w:t>
      </w:r>
      <w:r w:rsidRPr="0007586A">
        <w:t>5 years and over</w:t>
      </w:r>
      <w:r>
        <w:t xml:space="preserve"> (86%</w:t>
      </w:r>
      <w:r w:rsidRPr="0007586A">
        <w:t xml:space="preserve">) </w:t>
      </w:r>
      <w:r w:rsidRPr="006F5312">
        <w:t xml:space="preserve">were more likely to </w:t>
      </w:r>
      <w:r w:rsidRPr="0007586A">
        <w:t xml:space="preserve">have confidence and trust in the GP they last visited than </w:t>
      </w:r>
      <w:r>
        <w:t>those aged 15–</w:t>
      </w:r>
      <w:r w:rsidRPr="004304B1">
        <w:t>44 years</w:t>
      </w:r>
      <w:r>
        <w:t xml:space="preserve"> (under 76%)</w:t>
      </w:r>
      <w:r w:rsidRPr="0007586A">
        <w:t>.</w:t>
      </w:r>
      <w:r>
        <w:t xml:space="preserve"> </w:t>
      </w:r>
      <w:r w:rsidRPr="0007586A">
        <w:t xml:space="preserve">Young </w:t>
      </w:r>
      <w:r>
        <w:t>wo</w:t>
      </w:r>
      <w:r w:rsidRPr="0007586A">
        <w:t xml:space="preserve">men </w:t>
      </w:r>
      <w:r>
        <w:t>had</w:t>
      </w:r>
      <w:r w:rsidRPr="0007586A">
        <w:t xml:space="preserve"> the least </w:t>
      </w:r>
      <w:r>
        <w:t>trust and confidence in their GPs; less than 70% of wo</w:t>
      </w:r>
      <w:r w:rsidRPr="0007586A">
        <w:t>men aged 15–34 </w:t>
      </w:r>
      <w:r>
        <w:t>had confidence and trust in their GPs</w:t>
      </w:r>
      <w:r w:rsidRPr="0007586A">
        <w:t>.</w:t>
      </w:r>
      <w:r w:rsidR="00137660">
        <w:rPr>
          <w:rStyle w:val="FootnoteReference"/>
        </w:rPr>
        <w:footnoteReference w:id="31"/>
      </w:r>
      <w:r w:rsidRPr="00640333">
        <w:t xml:space="preserve"> </w:t>
      </w:r>
      <w:r>
        <w:t>Also, t</w:t>
      </w:r>
      <w:r w:rsidRPr="00640333">
        <w:t xml:space="preserve">he proportion </w:t>
      </w:r>
      <w:r>
        <w:t>of Mā</w:t>
      </w:r>
      <w:r w:rsidRPr="00640333">
        <w:t>ori women who had definite trust and confidence in their GP had declined from 79.4% i</w:t>
      </w:r>
      <w:r>
        <w:t xml:space="preserve">n 2011/12 to 70.0% in 2015/16. </w:t>
      </w:r>
      <w:r w:rsidRPr="00640333">
        <w:t>Across all these groups</w:t>
      </w:r>
      <w:r>
        <w:t>,</w:t>
      </w:r>
      <w:r w:rsidRPr="00640333">
        <w:t xml:space="preserve"> there has been increases in some confidence and trust and changes in no trust are minimal.</w:t>
      </w:r>
      <w:bookmarkStart w:id="76" w:name="_Toc404618283"/>
    </w:p>
    <w:p w14:paraId="2F24D924" w14:textId="77777777" w:rsidR="00FC0DB8" w:rsidRDefault="00FC0DB8" w:rsidP="00137660"/>
    <w:p w14:paraId="33AB1890" w14:textId="77777777" w:rsidR="00FC0DB8" w:rsidRDefault="00FC0DB8" w:rsidP="00137660">
      <w:r>
        <w:t xml:space="preserve">The interviewers also asked how good the GP was at </w:t>
      </w:r>
      <w:r w:rsidR="00FD6712">
        <w:t>‘</w:t>
      </w:r>
      <w:r>
        <w:t>explaining your health conditions and treatments</w:t>
      </w:r>
      <w:r w:rsidR="00FD6712">
        <w:t>’</w:t>
      </w:r>
      <w:r>
        <w:t xml:space="preserve"> and </w:t>
      </w:r>
      <w:r w:rsidR="00FD6712">
        <w:t>‘</w:t>
      </w:r>
      <w:r>
        <w:t>involving you in decisions about your care</w:t>
      </w:r>
      <w:r w:rsidR="00FD6712">
        <w:t>’</w:t>
      </w:r>
      <w:r>
        <w:t>. Most adults</w:t>
      </w:r>
      <w:r w:rsidRPr="0007586A">
        <w:t xml:space="preserve"> </w:t>
      </w:r>
      <w:r>
        <w:t>reported that their</w:t>
      </w:r>
      <w:r w:rsidRPr="0007586A">
        <w:t xml:space="preserve"> GP</w:t>
      </w:r>
      <w:r>
        <w:t xml:space="preserve"> was </w:t>
      </w:r>
      <w:r w:rsidR="00FD6712">
        <w:t>‘</w:t>
      </w:r>
      <w:r w:rsidRPr="0043047C">
        <w:t>very good or good</w:t>
      </w:r>
      <w:r w:rsidR="00FD6712">
        <w:t>’</w:t>
      </w:r>
      <w:r w:rsidRPr="0043047C">
        <w:t xml:space="preserve"> </w:t>
      </w:r>
      <w:r>
        <w:t>at explaining their health conditions and treatments (90%) and at involving them in decisions (87%).</w:t>
      </w:r>
      <w:r w:rsidR="00137660">
        <w:rPr>
          <w:vertAlign w:val="superscript"/>
        </w:rPr>
        <w:t>31</w:t>
      </w:r>
      <w:r>
        <w:t xml:space="preserve"> However, these rates have also decreased since 2011/12, when they were 93% and 90% for explaining and involving respectively. For both explaining and involving, an increasing percentage of adults are more likely to say </w:t>
      </w:r>
      <w:r w:rsidR="00FD6712">
        <w:t>‘</w:t>
      </w:r>
      <w:r>
        <w:t>neither good or bad</w:t>
      </w:r>
      <w:r w:rsidR="00FD6712">
        <w:t>’</w:t>
      </w:r>
      <w:r>
        <w:t xml:space="preserve"> and the percentage who say </w:t>
      </w:r>
      <w:r w:rsidR="00FD6712">
        <w:t>‘</w:t>
      </w:r>
      <w:r>
        <w:t>poor or very poor</w:t>
      </w:r>
      <w:r w:rsidR="00FD6712">
        <w:t>’</w:t>
      </w:r>
      <w:r>
        <w:t xml:space="preserve"> has not changed significantly.</w:t>
      </w:r>
    </w:p>
    <w:p w14:paraId="45DA2806" w14:textId="77777777" w:rsidR="00FC0DB8" w:rsidRPr="008C5A1E" w:rsidRDefault="00FC0DB8" w:rsidP="00137660">
      <w:pPr>
        <w:pStyle w:val="Heading2"/>
        <w:spacing w:before="360"/>
      </w:pPr>
      <w:bookmarkStart w:id="77" w:name="_Toc435784740"/>
      <w:bookmarkStart w:id="78" w:name="_Toc436730774"/>
      <w:bookmarkStart w:id="79" w:name="_Toc467831536"/>
      <w:r w:rsidRPr="008C5A1E">
        <w:lastRenderedPageBreak/>
        <w:t xml:space="preserve">Oral </w:t>
      </w:r>
      <w:r>
        <w:t>h</w:t>
      </w:r>
      <w:r w:rsidRPr="008C5A1E">
        <w:t>ealth</w:t>
      </w:r>
      <w:bookmarkEnd w:id="75"/>
      <w:bookmarkEnd w:id="76"/>
      <w:bookmarkEnd w:id="77"/>
      <w:bookmarkEnd w:id="78"/>
      <w:r>
        <w:t xml:space="preserve"> of adults</w:t>
      </w:r>
      <w:bookmarkEnd w:id="79"/>
    </w:p>
    <w:p w14:paraId="5D3E549B" w14:textId="77777777" w:rsidR="00FC0DB8" w:rsidRPr="00E634DD" w:rsidRDefault="00FC0DB8" w:rsidP="00137660">
      <w:pPr>
        <w:pStyle w:val="Heading3"/>
      </w:pPr>
      <w:r>
        <w:t>Almost half of all</w:t>
      </w:r>
      <w:r w:rsidRPr="00B63C64">
        <w:t xml:space="preserve"> adults visited a dental health care worker in the </w:t>
      </w:r>
      <w:r>
        <w:t>past</w:t>
      </w:r>
      <w:r w:rsidRPr="00B63C64">
        <w:t xml:space="preserve"> </w:t>
      </w:r>
      <w:r>
        <w:t>12 months</w:t>
      </w:r>
    </w:p>
    <w:p w14:paraId="3B40A3C3" w14:textId="77777777" w:rsidR="00FC0DB8" w:rsidRPr="007F4C0C" w:rsidRDefault="00FC0DB8" w:rsidP="00137660">
      <w:pPr>
        <w:pStyle w:val="Box"/>
        <w:jc w:val="center"/>
      </w:pPr>
      <w:r w:rsidRPr="00D20D91">
        <w:rPr>
          <w:noProof/>
          <w:lang w:eastAsia="en-NZ"/>
        </w:rPr>
        <w:drawing>
          <wp:inline distT="0" distB="0" distL="0" distR="0" wp14:anchorId="7F2DF529" wp14:editId="21231FCE">
            <wp:extent cx="5600700" cy="31432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39D7476F" w14:textId="77777777" w:rsidR="00137660" w:rsidRDefault="00137660" w:rsidP="00137660"/>
    <w:p w14:paraId="12DC2DC4" w14:textId="1A41579F" w:rsidR="00FC0DB8" w:rsidRPr="0007586A" w:rsidRDefault="00FC0DB8" w:rsidP="00137660">
      <w:r w:rsidRPr="0007586A">
        <w:t xml:space="preserve">Most adults pay for the full cost of their dental health services. However, </w:t>
      </w:r>
      <w:r>
        <w:t xml:space="preserve">there is </w:t>
      </w:r>
      <w:r w:rsidRPr="0007586A">
        <w:t>a limited range of public</w:t>
      </w:r>
      <w:r>
        <w:t>ly funded</w:t>
      </w:r>
      <w:r w:rsidRPr="0007586A">
        <w:t xml:space="preserve"> oral health services available. Th</w:t>
      </w:r>
      <w:r>
        <w:t>ese services</w:t>
      </w:r>
      <w:r w:rsidRPr="0007586A">
        <w:t xml:space="preserve"> include dental treatment required due to an accident or injury, dental treatment for peo</w:t>
      </w:r>
      <w:r>
        <w:t xml:space="preserve">ple with medical conditions </w:t>
      </w:r>
      <w:r w:rsidRPr="0007586A">
        <w:t xml:space="preserve">or disabilities that prevent them from accessing community-based dental care and emergency dental treatment </w:t>
      </w:r>
      <w:r>
        <w:t xml:space="preserve">to relieve pain or treat infections </w:t>
      </w:r>
      <w:r w:rsidRPr="0007586A">
        <w:t>for eligible</w:t>
      </w:r>
      <w:r>
        <w:t xml:space="preserve"> low-income adults. Youth</w:t>
      </w:r>
      <w:r w:rsidRPr="0007586A">
        <w:t xml:space="preserve"> </w:t>
      </w:r>
      <w:r>
        <w:t xml:space="preserve">up to their </w:t>
      </w:r>
      <w:r w:rsidRPr="00CE24E0">
        <w:t>18</w:t>
      </w:r>
      <w:r w:rsidRPr="001E41BF">
        <w:t>th</w:t>
      </w:r>
      <w:r>
        <w:t xml:space="preserve"> birthday</w:t>
      </w:r>
      <w:r w:rsidRPr="0007586A">
        <w:t xml:space="preserve"> are entitled to free basic</w:t>
      </w:r>
      <w:r>
        <w:t xml:space="preserve"> oral </w:t>
      </w:r>
      <w:r w:rsidRPr="0007586A">
        <w:t xml:space="preserve">health services provided through contracted dental </w:t>
      </w:r>
      <w:r>
        <w:t>providers</w:t>
      </w:r>
      <w:r w:rsidRPr="0007586A">
        <w:t xml:space="preserve"> in the community (see </w:t>
      </w:r>
      <w:r w:rsidR="00A53B51">
        <w:t>page 69</w:t>
      </w:r>
      <w:r w:rsidRPr="00737FB9">
        <w:t xml:space="preserve">). </w:t>
      </w:r>
      <w:r>
        <w:t>Along with</w:t>
      </w:r>
      <w:r w:rsidRPr="0007586A">
        <w:t xml:space="preserve"> the New Zealand Dental Association</w:t>
      </w:r>
      <w:r>
        <w:t xml:space="preserve">, we </w:t>
      </w:r>
      <w:r w:rsidRPr="0007586A">
        <w:t>recommend regular dental checks to keep teeth and gums healthy.</w:t>
      </w:r>
    </w:p>
    <w:p w14:paraId="23D473C6" w14:textId="77777777" w:rsidR="00137660" w:rsidRDefault="00137660" w:rsidP="00137660"/>
    <w:p w14:paraId="286A35EB" w14:textId="77777777" w:rsidR="00FC0DB8" w:rsidRPr="00137660" w:rsidRDefault="00FC0DB8" w:rsidP="00137660">
      <w:pPr>
        <w:rPr>
          <w:spacing w:val="-2"/>
        </w:rPr>
      </w:pPr>
      <w:r w:rsidRPr="00137660">
        <w:rPr>
          <w:spacing w:val="-2"/>
        </w:rPr>
        <w:t>Forty-eight percent of all adults with natural teeth had visited a dental health care worker</w:t>
      </w:r>
      <w:r w:rsidR="00137660" w:rsidRPr="00137660">
        <w:rPr>
          <w:rStyle w:val="FootnoteReference"/>
          <w:spacing w:val="-2"/>
        </w:rPr>
        <w:footnoteReference w:id="32"/>
      </w:r>
      <w:r w:rsidRPr="00137660">
        <w:rPr>
          <w:spacing w:val="-2"/>
        </w:rPr>
        <w:t xml:space="preserve"> in the past 12 months, down from 52% in 2006/07. Visits to a dental health care worker, among adults with natural teeth, varied by sex, age, ethnic group and neighbourhood</w:t>
      </w:r>
      <w:r w:rsidRPr="00137660" w:rsidDel="00E5487B">
        <w:rPr>
          <w:spacing w:val="-2"/>
        </w:rPr>
        <w:t xml:space="preserve"> </w:t>
      </w:r>
      <w:r w:rsidRPr="00137660">
        <w:rPr>
          <w:spacing w:val="-2"/>
        </w:rPr>
        <w:t>deprivation, as follows.</w:t>
      </w:r>
      <w:r w:rsidR="00137660" w:rsidRPr="00137660">
        <w:rPr>
          <w:rStyle w:val="FootnoteReference"/>
          <w:spacing w:val="-2"/>
        </w:rPr>
        <w:footnoteReference w:id="33"/>
      </w:r>
    </w:p>
    <w:p w14:paraId="0DA33AB0" w14:textId="77777777" w:rsidR="00FC0DB8" w:rsidRPr="0007586A" w:rsidRDefault="00FC0DB8" w:rsidP="00137660">
      <w:pPr>
        <w:pStyle w:val="Bullet"/>
      </w:pPr>
      <w:r w:rsidRPr="0007586A">
        <w:t>Men were</w:t>
      </w:r>
      <w:r>
        <w:t xml:space="preserve"> </w:t>
      </w:r>
      <w:r w:rsidRPr="0007586A">
        <w:t>less likely than women to have visited a de</w:t>
      </w:r>
      <w:r>
        <w:t>ntal health care worker in the p</w:t>
      </w:r>
      <w:r w:rsidRPr="0007586A">
        <w:t>ast 12</w:t>
      </w:r>
      <w:r w:rsidR="00137660">
        <w:t> </w:t>
      </w:r>
      <w:r w:rsidRPr="0007586A">
        <w:t xml:space="preserve">months (the rates are </w:t>
      </w:r>
      <w:r>
        <w:t>43</w:t>
      </w:r>
      <w:r w:rsidRPr="0007586A">
        <w:t xml:space="preserve">% and </w:t>
      </w:r>
      <w:r>
        <w:t>52</w:t>
      </w:r>
      <w:r w:rsidRPr="0007586A">
        <w:t>% respectively).</w:t>
      </w:r>
    </w:p>
    <w:p w14:paraId="4A0F1BE6" w14:textId="77777777" w:rsidR="00FC0DB8" w:rsidRPr="0007586A" w:rsidRDefault="00FC0DB8" w:rsidP="00137660">
      <w:pPr>
        <w:pStyle w:val="Bullet"/>
      </w:pPr>
      <w:r>
        <w:t>The age group most likely to have visited a dental health care worker was 15- to 17-year-olds</w:t>
      </w:r>
      <w:r w:rsidRPr="0007586A">
        <w:t xml:space="preserve"> </w:t>
      </w:r>
      <w:r>
        <w:t>(they are offered free basic oral health services). In contrast, less than half of a</w:t>
      </w:r>
      <w:r w:rsidRPr="0007586A">
        <w:t xml:space="preserve">dults aged </w:t>
      </w:r>
      <w:r>
        <w:t>18</w:t>
      </w:r>
      <w:r w:rsidR="00137660">
        <w:noBreakHyphen/>
        <w:t> </w:t>
      </w:r>
      <w:r>
        <w:t>to 5</w:t>
      </w:r>
      <w:r w:rsidRPr="0007586A">
        <w:t>4</w:t>
      </w:r>
      <w:r>
        <w:t>-</w:t>
      </w:r>
      <w:r w:rsidRPr="0007586A">
        <w:t xml:space="preserve">years </w:t>
      </w:r>
      <w:r>
        <w:t>had</w:t>
      </w:r>
      <w:r w:rsidRPr="0007586A">
        <w:t xml:space="preserve"> visited a dental health care worker</w:t>
      </w:r>
      <w:r>
        <w:t xml:space="preserve"> in the past 12 months.</w:t>
      </w:r>
    </w:p>
    <w:p w14:paraId="40AE159B" w14:textId="77777777" w:rsidR="00FC0DB8" w:rsidRDefault="00FC0DB8" w:rsidP="00137660">
      <w:pPr>
        <w:pStyle w:val="Bullet"/>
      </w:pPr>
      <w:r>
        <w:t xml:space="preserve">Relatively low rates of </w:t>
      </w:r>
      <w:r w:rsidRPr="0007586A">
        <w:t>Pacific</w:t>
      </w:r>
      <w:r>
        <w:t xml:space="preserve"> (32%)</w:t>
      </w:r>
      <w:r w:rsidRPr="0007586A">
        <w:t>, Asian</w:t>
      </w:r>
      <w:r>
        <w:t xml:space="preserve"> (32%)</w:t>
      </w:r>
      <w:r w:rsidRPr="0007586A">
        <w:t xml:space="preserve"> </w:t>
      </w:r>
      <w:r>
        <w:t xml:space="preserve">and </w:t>
      </w:r>
      <w:r w:rsidRPr="0007586A">
        <w:t xml:space="preserve">Māori </w:t>
      </w:r>
      <w:r>
        <w:t xml:space="preserve">(36%) </w:t>
      </w:r>
      <w:r w:rsidRPr="0007586A">
        <w:t xml:space="preserve">adults </w:t>
      </w:r>
      <w:r>
        <w:t xml:space="preserve">had </w:t>
      </w:r>
      <w:r w:rsidRPr="0007586A">
        <w:t>visited a dental health care worker</w:t>
      </w:r>
      <w:r>
        <w:t>. These rates remained lower</w:t>
      </w:r>
      <w:r w:rsidRPr="0007586A">
        <w:t xml:space="preserve"> than</w:t>
      </w:r>
      <w:r>
        <w:t xml:space="preserve"> those for</w:t>
      </w:r>
      <w:r w:rsidRPr="0007586A">
        <w:t xml:space="preserve"> non-Pacific, non-Asian </w:t>
      </w:r>
      <w:r>
        <w:t xml:space="preserve">and </w:t>
      </w:r>
      <w:r w:rsidRPr="0007586A">
        <w:t>non-Māori adults respectively</w:t>
      </w:r>
      <w:r>
        <w:t>, after adjusting for age and sex differences.</w:t>
      </w:r>
      <w:r w:rsidRPr="0007586A">
        <w:t xml:space="preserve"> In contrast, over half (</w:t>
      </w:r>
      <w:r>
        <w:t>53</w:t>
      </w:r>
      <w:r w:rsidRPr="0007586A">
        <w:t>%) of European/Other adults had visited a dent</w:t>
      </w:r>
      <w:r>
        <w:t>al health care worker</w:t>
      </w:r>
      <w:r w:rsidRPr="0007586A">
        <w:t>.</w:t>
      </w:r>
    </w:p>
    <w:p w14:paraId="717FA6FC" w14:textId="77777777" w:rsidR="00FC0DB8" w:rsidRDefault="00FC0DB8" w:rsidP="00137660">
      <w:pPr>
        <w:pStyle w:val="Bullet"/>
      </w:pPr>
      <w:r>
        <w:t>Only 34%</w:t>
      </w:r>
      <w:r w:rsidRPr="0007586A">
        <w:t xml:space="preserve"> of adults living in the most </w:t>
      </w:r>
      <w:r>
        <w:t xml:space="preserve">socioeconomically </w:t>
      </w:r>
      <w:r w:rsidRPr="0007586A">
        <w:t xml:space="preserve">deprived areas had visited a dental health care worker in the </w:t>
      </w:r>
      <w:r>
        <w:t>p</w:t>
      </w:r>
      <w:r w:rsidRPr="0007586A">
        <w:t xml:space="preserve">ast 12 months, compared with </w:t>
      </w:r>
      <w:r>
        <w:t>58%</w:t>
      </w:r>
      <w:r w:rsidRPr="0007586A">
        <w:t xml:space="preserve"> in the least deprived areas.</w:t>
      </w:r>
    </w:p>
    <w:p w14:paraId="4935FCEB" w14:textId="77777777" w:rsidR="00FC0DB8" w:rsidRDefault="00FC0DB8" w:rsidP="00137660">
      <w:pPr>
        <w:pStyle w:val="Heading3"/>
        <w:spacing w:before="360"/>
      </w:pPr>
      <w:r>
        <w:lastRenderedPageBreak/>
        <w:t>Seven percent of</w:t>
      </w:r>
      <w:r w:rsidRPr="0076514E">
        <w:t xml:space="preserve"> adults had a tooth extracted in the </w:t>
      </w:r>
      <w:r>
        <w:t>past</w:t>
      </w:r>
      <w:r w:rsidRPr="0076514E">
        <w:t xml:space="preserve"> 12</w:t>
      </w:r>
      <w:r>
        <w:t> </w:t>
      </w:r>
      <w:r w:rsidRPr="0076514E">
        <w:t>months</w:t>
      </w:r>
      <w:r>
        <w:t xml:space="preserve"> due to poor oral health</w:t>
      </w:r>
    </w:p>
    <w:p w14:paraId="3734A873" w14:textId="77777777" w:rsidR="00FC0DB8" w:rsidRPr="00B45F98" w:rsidRDefault="00FC0DB8" w:rsidP="00137660">
      <w:pPr>
        <w:pStyle w:val="Box"/>
        <w:jc w:val="center"/>
        <w:rPr>
          <w:lang w:eastAsia="en-NZ"/>
        </w:rPr>
      </w:pPr>
      <w:r w:rsidRPr="00A44DAF">
        <w:rPr>
          <w:noProof/>
          <w:lang w:eastAsia="en-NZ"/>
        </w:rPr>
        <w:drawing>
          <wp:inline distT="0" distB="0" distL="0" distR="0" wp14:anchorId="5B87E9B1" wp14:editId="081D0C90">
            <wp:extent cx="5600700" cy="31432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7A2F1EE3" w14:textId="77777777" w:rsidR="00137660" w:rsidRDefault="00137660" w:rsidP="00137660"/>
    <w:p w14:paraId="7CC0E5DE" w14:textId="77777777" w:rsidR="00FD6712" w:rsidRDefault="00FC0DB8" w:rsidP="00137660">
      <w:r w:rsidRPr="0007586A">
        <w:t xml:space="preserve">Removal of a tooth </w:t>
      </w:r>
      <w:r>
        <w:t>because</w:t>
      </w:r>
      <w:r w:rsidRPr="0007586A">
        <w:t xml:space="preserve"> of tooth decay or an abscess, infection or gum disease is often the result of </w:t>
      </w:r>
      <w:r>
        <w:t xml:space="preserve">the person </w:t>
      </w:r>
      <w:r w:rsidRPr="0007586A">
        <w:t>not seeking preventive or treatment services early</w:t>
      </w:r>
      <w:r>
        <w:t xml:space="preserve"> enough</w:t>
      </w:r>
      <w:r w:rsidRPr="0007586A">
        <w:t xml:space="preserve">. Tooth loss affects quality of life and is </w:t>
      </w:r>
      <w:r>
        <w:t>often an indicator of</w:t>
      </w:r>
      <w:r w:rsidRPr="0007586A">
        <w:t xml:space="preserve"> general poor health.</w:t>
      </w:r>
    </w:p>
    <w:p w14:paraId="0F3F7C26" w14:textId="77777777" w:rsidR="00137660" w:rsidRDefault="00137660" w:rsidP="00137660"/>
    <w:p w14:paraId="118A7315" w14:textId="77777777" w:rsidR="00FC0DB8" w:rsidRPr="0007586A" w:rsidRDefault="00FC0DB8" w:rsidP="00137660">
      <w:r w:rsidRPr="0007586A">
        <w:t xml:space="preserve">The </w:t>
      </w:r>
      <w:r>
        <w:t>survey asked if adult respondents had had a tooth removed in the past 12 months because of tooth decay, an abscess, infection or gum disease. The question excluded teeth lost for other reasons, such as injury, a crowded mouth or orthodontics.</w:t>
      </w:r>
    </w:p>
    <w:p w14:paraId="076DA5BA" w14:textId="77777777" w:rsidR="00137660" w:rsidRDefault="00137660" w:rsidP="00137660"/>
    <w:p w14:paraId="147B93C9" w14:textId="77777777" w:rsidR="00FC0DB8" w:rsidRDefault="00FC0DB8" w:rsidP="00137660">
      <w:r>
        <w:t xml:space="preserve">About 262,000 </w:t>
      </w:r>
      <w:r w:rsidRPr="0007586A">
        <w:t xml:space="preserve">adults </w:t>
      </w:r>
      <w:r>
        <w:t xml:space="preserve">(7%) </w:t>
      </w:r>
      <w:r w:rsidRPr="0007586A">
        <w:t>ha</w:t>
      </w:r>
      <w:r>
        <w:t>d</w:t>
      </w:r>
      <w:r w:rsidRPr="0007586A">
        <w:t xml:space="preserve"> had on</w:t>
      </w:r>
      <w:r>
        <w:t>e or more teeth removed in the p</w:t>
      </w:r>
      <w:r w:rsidRPr="0007586A">
        <w:t>ast 12 months.</w:t>
      </w:r>
    </w:p>
    <w:p w14:paraId="63E136DF" w14:textId="77777777" w:rsidR="00137660" w:rsidRDefault="00137660" w:rsidP="00137660"/>
    <w:p w14:paraId="5202F356" w14:textId="77777777" w:rsidR="00FC0DB8" w:rsidRPr="0007586A" w:rsidRDefault="00FC0DB8" w:rsidP="00137660">
      <w:r>
        <w:t>The proportion of adults who had a tooth removed in the p</w:t>
      </w:r>
      <w:r w:rsidRPr="0007586A">
        <w:t xml:space="preserve">ast 12 months varied by age, ethnic group and </w:t>
      </w:r>
      <w:r>
        <w:t>neighbourhood</w:t>
      </w:r>
      <w:r w:rsidRPr="0007586A" w:rsidDel="00E5487B">
        <w:t xml:space="preserve"> </w:t>
      </w:r>
      <w:r w:rsidRPr="0007586A">
        <w:t>deprivation, as follows.</w:t>
      </w:r>
      <w:r w:rsidR="00137660">
        <w:rPr>
          <w:rStyle w:val="FootnoteReference"/>
        </w:rPr>
        <w:footnoteReference w:id="34"/>
      </w:r>
    </w:p>
    <w:p w14:paraId="563DFA6A" w14:textId="77777777" w:rsidR="00FC0DB8" w:rsidRDefault="00FC0DB8" w:rsidP="00137660">
      <w:pPr>
        <w:pStyle w:val="Bullet"/>
      </w:pPr>
      <w:r w:rsidRPr="0007586A">
        <w:t xml:space="preserve">Only </w:t>
      </w:r>
      <w:r>
        <w:t>3.1</w:t>
      </w:r>
      <w:r w:rsidRPr="0007586A">
        <w:t>% of adults aged 15–24 years ha</w:t>
      </w:r>
      <w:r>
        <w:t>d</w:t>
      </w:r>
      <w:r w:rsidRPr="0007586A">
        <w:t xml:space="preserve"> had any teeth removed</w:t>
      </w:r>
      <w:r>
        <w:t xml:space="preserve"> in the p</w:t>
      </w:r>
      <w:r w:rsidRPr="0007586A">
        <w:t xml:space="preserve">ast 12 months; this figure </w:t>
      </w:r>
      <w:r>
        <w:t>was</w:t>
      </w:r>
      <w:r w:rsidRPr="0007586A">
        <w:t xml:space="preserve"> much </w:t>
      </w:r>
      <w:r>
        <w:t>lower</w:t>
      </w:r>
      <w:r w:rsidRPr="0007586A">
        <w:t xml:space="preserve"> than for older age groups.</w:t>
      </w:r>
    </w:p>
    <w:p w14:paraId="22BC9BFC" w14:textId="77777777" w:rsidR="00FC0DB8" w:rsidRDefault="00FC0DB8" w:rsidP="00137660">
      <w:pPr>
        <w:pStyle w:val="Bullet"/>
      </w:pPr>
      <w:r>
        <w:t xml:space="preserve">Twelve percent of Pacific adults and 9% of Māori adults had had one or more teeth removed in the past 12 months. </w:t>
      </w:r>
      <w:r w:rsidRPr="0007586A">
        <w:t>Pacific</w:t>
      </w:r>
      <w:r>
        <w:t xml:space="preserve"> adults were twice as likely and </w:t>
      </w:r>
      <w:r w:rsidRPr="0007586A">
        <w:t>Māori</w:t>
      </w:r>
      <w:r>
        <w:t xml:space="preserve"> </w:t>
      </w:r>
      <w:r w:rsidRPr="0007586A">
        <w:t>adults</w:t>
      </w:r>
      <w:r>
        <w:t xml:space="preserve"> were</w:t>
      </w:r>
      <w:r w:rsidRPr="0007586A">
        <w:t xml:space="preserve"> </w:t>
      </w:r>
      <w:r>
        <w:t xml:space="preserve">1.5 times as likely to </w:t>
      </w:r>
      <w:r w:rsidRPr="0007586A">
        <w:t xml:space="preserve">have had </w:t>
      </w:r>
      <w:r>
        <w:t xml:space="preserve">any </w:t>
      </w:r>
      <w:r w:rsidRPr="0007586A">
        <w:t>teeth removed</w:t>
      </w:r>
      <w:r w:rsidRPr="004E4A9F">
        <w:t xml:space="preserve"> </w:t>
      </w:r>
      <w:r>
        <w:t>in the p</w:t>
      </w:r>
      <w:r w:rsidRPr="0007586A">
        <w:t xml:space="preserve">ast 12 months </w:t>
      </w:r>
      <w:r>
        <w:t>as</w:t>
      </w:r>
      <w:r w:rsidRPr="00342167">
        <w:t xml:space="preserve"> </w:t>
      </w:r>
      <w:r w:rsidRPr="0007586A">
        <w:t>non-Pacific adults</w:t>
      </w:r>
      <w:r>
        <w:t xml:space="preserve"> and</w:t>
      </w:r>
      <w:r w:rsidRPr="0007586A">
        <w:t xml:space="preserve"> non-Māori </w:t>
      </w:r>
      <w:r>
        <w:t>adults respectively, after adjusting for age and sex differences.</w:t>
      </w:r>
    </w:p>
    <w:p w14:paraId="38B8E678" w14:textId="77777777" w:rsidR="00FC0DB8" w:rsidRPr="0007586A" w:rsidRDefault="00FC0DB8" w:rsidP="00137660">
      <w:pPr>
        <w:pStyle w:val="Bullet"/>
      </w:pPr>
      <w:r>
        <w:t xml:space="preserve">Eight percent of adults </w:t>
      </w:r>
      <w:r w:rsidRPr="0007586A">
        <w:t>living in the most deprived areas ha</w:t>
      </w:r>
      <w:r>
        <w:t>d</w:t>
      </w:r>
      <w:r w:rsidRPr="0007586A">
        <w:t xml:space="preserve"> had teeth removed in the </w:t>
      </w:r>
      <w:r>
        <w:t>past</w:t>
      </w:r>
      <w:r w:rsidRPr="0007586A">
        <w:t xml:space="preserve"> 12 months, compared </w:t>
      </w:r>
      <w:r>
        <w:t>with 6% of</w:t>
      </w:r>
      <w:r w:rsidRPr="0007586A">
        <w:t xml:space="preserve"> adults in the least deprived areas. Adults living in the most deprived areas were </w:t>
      </w:r>
      <w:r>
        <w:t xml:space="preserve">1.5 </w:t>
      </w:r>
      <w:r w:rsidRPr="0007586A">
        <w:t>times as likely to have had a tooth removed as those living in the least deprived areas, after adjusting for age, sex and ethnic differences.</w:t>
      </w:r>
    </w:p>
    <w:p w14:paraId="286E4DDB" w14:textId="77777777" w:rsidR="00137660" w:rsidRDefault="00137660" w:rsidP="00137660"/>
    <w:p w14:paraId="2AAD903E" w14:textId="7B76AE55" w:rsidR="00FC0DB8" w:rsidRDefault="00FC0DB8" w:rsidP="00137660">
      <w:r>
        <w:t>Furthermore, 6% of adults had had all their teeth removed.</w:t>
      </w:r>
      <w:r w:rsidR="00137660">
        <w:rPr>
          <w:vertAlign w:val="superscript"/>
        </w:rPr>
        <w:t>34</w:t>
      </w:r>
      <w:r>
        <w:t xml:space="preserve"> Older adults were much more likely to have had all their teeth removed than younger age groups: less than 1% of adults aged under 45 years had all their teeth removed, compared with 18% of adults aged 6</w:t>
      </w:r>
      <w:r w:rsidRPr="0007586A">
        <w:t>5–</w:t>
      </w:r>
      <w:r>
        <w:t>7</w:t>
      </w:r>
      <w:r w:rsidRPr="0007586A">
        <w:t>4 years</w:t>
      </w:r>
      <w:r w:rsidR="0025366B">
        <w:t xml:space="preserve"> and 34</w:t>
      </w:r>
      <w:r>
        <w:t>% of adults aged over 75 years.</w:t>
      </w:r>
    </w:p>
    <w:p w14:paraId="5F837183" w14:textId="77777777" w:rsidR="00137660" w:rsidRPr="00737FB9" w:rsidRDefault="00137660" w:rsidP="00137660"/>
    <w:p w14:paraId="50A6AA5F" w14:textId="77777777" w:rsidR="00FC0DB8" w:rsidRDefault="00FC0DB8" w:rsidP="00137660">
      <w:pPr>
        <w:pStyle w:val="Heading3"/>
      </w:pPr>
      <w:r>
        <w:lastRenderedPageBreak/>
        <w:t>The majority of a</w:t>
      </w:r>
      <w:r w:rsidRPr="00AA6FF4">
        <w:t>dults</w:t>
      </w:r>
      <w:r>
        <w:t xml:space="preserve"> living in deprived areas </w:t>
      </w:r>
      <w:r w:rsidRPr="00AA6FF4">
        <w:t>only visit</w:t>
      </w:r>
      <w:r>
        <w:t>ed</w:t>
      </w:r>
      <w:r w:rsidRPr="00AA6FF4">
        <w:t xml:space="preserve"> dental health care workers for </w:t>
      </w:r>
      <w:r>
        <w:t>dental problems or never at all</w:t>
      </w:r>
    </w:p>
    <w:p w14:paraId="24E2DB0D" w14:textId="5613EAF4" w:rsidR="00FC0DB8" w:rsidRPr="00690F31" w:rsidRDefault="00864470" w:rsidP="00137660">
      <w:pPr>
        <w:pStyle w:val="Box"/>
        <w:jc w:val="center"/>
      </w:pPr>
      <w:r w:rsidRPr="00864470">
        <w:rPr>
          <w:noProof/>
          <w:lang w:eastAsia="en-NZ"/>
        </w:rPr>
        <w:drawing>
          <wp:inline distT="0" distB="0" distL="0" distR="0" wp14:anchorId="19DF9609" wp14:editId="62C90D66">
            <wp:extent cx="5600700" cy="3143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2DFA41B6" w14:textId="77777777" w:rsidR="00137660" w:rsidRDefault="00137660" w:rsidP="00137660">
      <w:bookmarkStart w:id="80" w:name="_Key_Survey_Results"/>
      <w:bookmarkEnd w:id="80"/>
    </w:p>
    <w:p w14:paraId="74B7C199" w14:textId="77777777" w:rsidR="00FC0DB8" w:rsidRPr="0007586A" w:rsidRDefault="00FC0DB8" w:rsidP="00137660">
      <w:r w:rsidRPr="0007586A">
        <w:t>Through regular dental check-ups, dental health care workers</w:t>
      </w:r>
      <w:r w:rsidR="00137660">
        <w:rPr>
          <w:rStyle w:val="FootnoteReference"/>
        </w:rPr>
        <w:footnoteReference w:id="35"/>
      </w:r>
      <w:r w:rsidR="00137660">
        <w:t xml:space="preserve"> </w:t>
      </w:r>
      <w:r w:rsidRPr="0007586A">
        <w:t>can detect early signs of oral disease and provide timely treatment and/or preventive measures.</w:t>
      </w:r>
    </w:p>
    <w:p w14:paraId="488B0CA8" w14:textId="77777777" w:rsidR="00137660" w:rsidRDefault="00137660" w:rsidP="00137660"/>
    <w:p w14:paraId="19716F76" w14:textId="77777777" w:rsidR="00FC0DB8" w:rsidRDefault="00FC0DB8" w:rsidP="00137660">
      <w:r w:rsidRPr="0007586A">
        <w:t xml:space="preserve">Over </w:t>
      </w:r>
      <w:r>
        <w:t xml:space="preserve">half </w:t>
      </w:r>
      <w:r w:rsidRPr="0007586A">
        <w:t>of adults with natural teeth (</w:t>
      </w:r>
      <w:r>
        <w:t>55</w:t>
      </w:r>
      <w:r w:rsidRPr="0007586A">
        <w:t>%) reported never having visited a dental health care worker or only visiting for toothache or other dental problems.</w:t>
      </w:r>
    </w:p>
    <w:p w14:paraId="2FCDC0F5" w14:textId="77777777" w:rsidR="00137660" w:rsidRDefault="00137660" w:rsidP="00137660"/>
    <w:p w14:paraId="03704E99" w14:textId="77777777" w:rsidR="00FC0DB8" w:rsidRDefault="00FC0DB8" w:rsidP="00137660">
      <w:r>
        <w:t>I</w:t>
      </w:r>
      <w:r w:rsidRPr="0007586A">
        <w:t>n New Zealand</w:t>
      </w:r>
      <w:r>
        <w:t>,</w:t>
      </w:r>
      <w:r w:rsidRPr="0007586A">
        <w:t xml:space="preserve"> </w:t>
      </w:r>
      <w:r>
        <w:t>p</w:t>
      </w:r>
      <w:r w:rsidRPr="0007586A">
        <w:t xml:space="preserve">eople under </w:t>
      </w:r>
      <w:r>
        <w:t xml:space="preserve">the age of </w:t>
      </w:r>
      <w:r w:rsidRPr="0007586A">
        <w:t>18 years have access to free basic dental services. The survey found that young adults aged 15–17 years were least likely to report only visiting dental health care workers for dental problems or never</w:t>
      </w:r>
      <w:r>
        <w:t xml:space="preserve"> visiting</w:t>
      </w:r>
      <w:r w:rsidRPr="0007586A">
        <w:t xml:space="preserve"> (the rate was </w:t>
      </w:r>
      <w:r>
        <w:t>11</w:t>
      </w:r>
      <w:r w:rsidRPr="0007586A">
        <w:t>%).</w:t>
      </w:r>
      <w:r w:rsidR="00137660">
        <w:rPr>
          <w:rStyle w:val="FootnoteReference"/>
        </w:rPr>
        <w:footnoteReference w:id="36"/>
      </w:r>
      <w:r>
        <w:t xml:space="preserve"> </w:t>
      </w:r>
      <w:r w:rsidRPr="0007586A">
        <w:t xml:space="preserve">In contrast, </w:t>
      </w:r>
      <w:r>
        <w:t>61</w:t>
      </w:r>
      <w:r w:rsidRPr="0007586A">
        <w:t>% of those a</w:t>
      </w:r>
      <w:r>
        <w:t xml:space="preserve">ged 18–24 years reported having only </w:t>
      </w:r>
      <w:r w:rsidRPr="0007586A">
        <w:t>visited dental health care workers for dental problems.</w:t>
      </w:r>
    </w:p>
    <w:p w14:paraId="06840406" w14:textId="77777777" w:rsidR="00137660" w:rsidRDefault="00137660" w:rsidP="00137660"/>
    <w:p w14:paraId="119B15C0" w14:textId="77777777" w:rsidR="00FC0DB8" w:rsidRPr="0007586A" w:rsidRDefault="00FC0DB8" w:rsidP="00137660">
      <w:r>
        <w:t xml:space="preserve">The percentage of adults (with natural teeth) visiting dental health care workers only for dental problems or never visiting </w:t>
      </w:r>
      <w:r w:rsidRPr="0007586A">
        <w:t>varied by sex, age, ethnic group and area deprivation, as follows.</w:t>
      </w:r>
      <w:r w:rsidR="00137660">
        <w:rPr>
          <w:vertAlign w:val="superscript"/>
        </w:rPr>
        <w:t>36</w:t>
      </w:r>
    </w:p>
    <w:p w14:paraId="059E29BD" w14:textId="77777777" w:rsidR="00FC0DB8" w:rsidRDefault="00FC0DB8" w:rsidP="00137660">
      <w:pPr>
        <w:pStyle w:val="Bullet"/>
      </w:pPr>
      <w:r>
        <w:t>M</w:t>
      </w:r>
      <w:r w:rsidRPr="0007586A">
        <w:t xml:space="preserve">en </w:t>
      </w:r>
      <w:r>
        <w:t>(58%) were more likely to only visit for dental problems compared with</w:t>
      </w:r>
      <w:r w:rsidRPr="0007586A">
        <w:t xml:space="preserve"> women (</w:t>
      </w:r>
      <w:r>
        <w:t>51%</w:t>
      </w:r>
      <w:r w:rsidRPr="0007586A">
        <w:t>)</w:t>
      </w:r>
      <w:r>
        <w:t>.</w:t>
      </w:r>
    </w:p>
    <w:p w14:paraId="1FB3F9F9" w14:textId="77777777" w:rsidR="00FC0DB8" w:rsidRDefault="00FC0DB8" w:rsidP="00137660">
      <w:pPr>
        <w:pStyle w:val="Bullet"/>
      </w:pPr>
      <w:r>
        <w:t xml:space="preserve">The majority of </w:t>
      </w:r>
      <w:r w:rsidRPr="0007586A">
        <w:t>Pacific</w:t>
      </w:r>
      <w:r>
        <w:t xml:space="preserve"> (81%), </w:t>
      </w:r>
      <w:r w:rsidRPr="0007586A">
        <w:t>Māori</w:t>
      </w:r>
      <w:r>
        <w:t xml:space="preserve"> (74%)</w:t>
      </w:r>
      <w:r w:rsidRPr="0007586A">
        <w:t xml:space="preserve"> </w:t>
      </w:r>
      <w:r>
        <w:t>and Asian (69%) adults only visited dental health care workers for dental problems. The rates were significantly higher for all three ethnicities after adjusting for age and sex differences.</w:t>
      </w:r>
    </w:p>
    <w:p w14:paraId="568995C7" w14:textId="77777777" w:rsidR="00FC0DB8" w:rsidRDefault="00FC0DB8" w:rsidP="00137660">
      <w:pPr>
        <w:pStyle w:val="Bullet"/>
      </w:pPr>
      <w:r>
        <w:t>After adjusting for age, sex and ethnic differences, adults living in the most socioeconomically deprived areas (74%) were nearly twice as likely to only visit for dental problems as adults in the least deprived areas (38%).</w:t>
      </w:r>
    </w:p>
    <w:p w14:paraId="7743E8B4" w14:textId="77777777" w:rsidR="00137660" w:rsidRDefault="00137660" w:rsidP="00137660">
      <w:bookmarkStart w:id="81" w:name="_Toc404618204"/>
    </w:p>
    <w:p w14:paraId="0343336F" w14:textId="77777777" w:rsidR="00FC0DB8" w:rsidRDefault="00FC0DB8" w:rsidP="00137660">
      <w:r>
        <w:t xml:space="preserve">For </w:t>
      </w:r>
      <w:r w:rsidRPr="0007586A">
        <w:t>Māori</w:t>
      </w:r>
      <w:r>
        <w:t xml:space="preserve"> and Pacific adults and adults living in the most deprived neighbourhoods, poorer access to oral health services, in the form of only visiting dental health care workers for dental health problems, was mirrored by poorer oral health outcomes, that is, a higher percentage of tooth extractions in the past year (see above</w:t>
      </w:r>
      <w:r w:rsidRPr="00737FB9">
        <w:t>).</w:t>
      </w:r>
      <w:bookmarkStart w:id="82" w:name="_Toc404618205"/>
      <w:bookmarkEnd w:id="81"/>
    </w:p>
    <w:p w14:paraId="4418EE7C" w14:textId="77777777" w:rsidR="00FC0DB8" w:rsidRPr="008C5A1E" w:rsidRDefault="00FC0DB8" w:rsidP="00137660">
      <w:pPr>
        <w:pStyle w:val="Heading1"/>
      </w:pPr>
      <w:bookmarkStart w:id="83" w:name="_Toc373153657"/>
      <w:bookmarkStart w:id="84" w:name="_Toc404618284"/>
      <w:bookmarkStart w:id="85" w:name="_Toc435784741"/>
      <w:bookmarkStart w:id="86" w:name="_Toc436730775"/>
      <w:bookmarkStart w:id="87" w:name="_Toc467831537"/>
      <w:bookmarkEnd w:id="82"/>
      <w:r w:rsidRPr="009E4507">
        <w:lastRenderedPageBreak/>
        <w:t>The health of New Zealand children</w:t>
      </w:r>
      <w:bookmarkEnd w:id="83"/>
      <w:bookmarkEnd w:id="84"/>
      <w:bookmarkEnd w:id="85"/>
      <w:bookmarkEnd w:id="86"/>
      <w:bookmarkEnd w:id="87"/>
    </w:p>
    <w:p w14:paraId="0B81D7A1" w14:textId="77777777" w:rsidR="00FC0DB8" w:rsidRPr="004D5FAA" w:rsidRDefault="00FC0DB8" w:rsidP="008B4413">
      <w:r w:rsidRPr="004D5FAA">
        <w:t>This section includes information on:</w:t>
      </w:r>
    </w:p>
    <w:p w14:paraId="0F39F809" w14:textId="77777777" w:rsidR="00FC0DB8" w:rsidRPr="001F1AEE" w:rsidRDefault="00FC0DB8" w:rsidP="008B4413">
      <w:pPr>
        <w:pStyle w:val="Bullet"/>
      </w:pPr>
      <w:r>
        <w:t>key survey</w:t>
      </w:r>
      <w:r w:rsidRPr="001F1AEE">
        <w:t xml:space="preserve"> </w:t>
      </w:r>
      <w:r>
        <w:t>r</w:t>
      </w:r>
      <w:r w:rsidRPr="001F1AEE">
        <w:t xml:space="preserve">esults for </w:t>
      </w:r>
      <w:r>
        <w:t>c</w:t>
      </w:r>
      <w:r w:rsidRPr="001F1AEE">
        <w:t>hildren</w:t>
      </w:r>
      <w:r>
        <w:t xml:space="preserve"> (Table 7)</w:t>
      </w:r>
    </w:p>
    <w:p w14:paraId="3DED1BC1" w14:textId="77777777" w:rsidR="00FC0DB8" w:rsidRPr="001F1AEE" w:rsidRDefault="00FC0DB8" w:rsidP="008B4413">
      <w:pPr>
        <w:pStyle w:val="Bullet"/>
      </w:pPr>
      <w:r>
        <w:t>key survey</w:t>
      </w:r>
      <w:r w:rsidRPr="001F1AEE">
        <w:t xml:space="preserve"> </w:t>
      </w:r>
      <w:r>
        <w:t>r</w:t>
      </w:r>
      <w:r w:rsidRPr="001F1AEE">
        <w:t xml:space="preserve">esults for </w:t>
      </w:r>
      <w:r w:rsidRPr="005B32ED">
        <w:t>Māori</w:t>
      </w:r>
      <w:r w:rsidRPr="001F1AEE">
        <w:t xml:space="preserve"> </w:t>
      </w:r>
      <w:r>
        <w:t>c</w:t>
      </w:r>
      <w:r w:rsidRPr="001F1AEE">
        <w:t>hildren</w:t>
      </w:r>
      <w:r>
        <w:t xml:space="preserve"> (Table 8)</w:t>
      </w:r>
    </w:p>
    <w:p w14:paraId="4C4E9494" w14:textId="77777777" w:rsidR="00FC0DB8" w:rsidRDefault="00FC0DB8" w:rsidP="008B4413">
      <w:pPr>
        <w:pStyle w:val="Bullet"/>
      </w:pPr>
      <w:r>
        <w:t>key survey</w:t>
      </w:r>
      <w:r w:rsidRPr="001F1AEE">
        <w:t xml:space="preserve"> </w:t>
      </w:r>
      <w:r>
        <w:t>r</w:t>
      </w:r>
      <w:r w:rsidRPr="001F1AEE">
        <w:t xml:space="preserve">esults for Pacific </w:t>
      </w:r>
      <w:r>
        <w:t>c</w:t>
      </w:r>
      <w:r w:rsidRPr="001F1AEE">
        <w:t>hildren</w:t>
      </w:r>
      <w:r>
        <w:t xml:space="preserve"> (Table 9)</w:t>
      </w:r>
    </w:p>
    <w:p w14:paraId="7DA6C6F5" w14:textId="77777777" w:rsidR="00FC0DB8" w:rsidRPr="000F0D49" w:rsidRDefault="00BF481C" w:rsidP="008B4413">
      <w:pPr>
        <w:pStyle w:val="Bullet"/>
      </w:pPr>
      <w:hyperlink w:anchor="_Health_Status,_Health" w:history="1">
        <w:r w:rsidR="00FC0DB8" w:rsidRPr="000F0D49">
          <w:rPr>
            <w:rStyle w:val="Hyperlink"/>
          </w:rPr>
          <w:t>health status, health behaviours and risk factors</w:t>
        </w:r>
      </w:hyperlink>
      <w:r w:rsidR="00FC0DB8">
        <w:rPr>
          <w:rStyle w:val="Hyperlink"/>
        </w:rPr>
        <w:t xml:space="preserve"> of children</w:t>
      </w:r>
    </w:p>
    <w:p w14:paraId="022B9301" w14:textId="77777777" w:rsidR="00FC0DB8" w:rsidRPr="000F0D49" w:rsidRDefault="00BF481C" w:rsidP="008B4413">
      <w:pPr>
        <w:pStyle w:val="Bullet"/>
      </w:pPr>
      <w:hyperlink w:anchor="_Health_Conditions" w:history="1">
        <w:r w:rsidR="00FC0DB8" w:rsidRPr="000F0D49">
          <w:rPr>
            <w:rStyle w:val="Hyperlink"/>
          </w:rPr>
          <w:t>health conditions</w:t>
        </w:r>
      </w:hyperlink>
      <w:r w:rsidR="00FC0DB8">
        <w:rPr>
          <w:rStyle w:val="Hyperlink"/>
        </w:rPr>
        <w:t xml:space="preserve"> of children</w:t>
      </w:r>
    </w:p>
    <w:p w14:paraId="5CB3335A" w14:textId="77777777" w:rsidR="00FC0DB8" w:rsidRPr="000F0D49" w:rsidRDefault="00FC0DB8" w:rsidP="008B4413">
      <w:pPr>
        <w:pStyle w:val="Bullet"/>
      </w:pPr>
      <w:r>
        <w:t>children</w:t>
      </w:r>
      <w:r w:rsidR="00FD6712">
        <w:t>’</w:t>
      </w:r>
      <w:r>
        <w:t xml:space="preserve">s </w:t>
      </w:r>
      <w:hyperlink w:anchor="_Access_to_Health" w:history="1">
        <w:r w:rsidRPr="000F0D49">
          <w:rPr>
            <w:rStyle w:val="Hyperlink"/>
          </w:rPr>
          <w:t>access to health care</w:t>
        </w:r>
      </w:hyperlink>
    </w:p>
    <w:p w14:paraId="61C5E10E" w14:textId="77777777" w:rsidR="00FC0DB8" w:rsidRPr="000F0D49" w:rsidRDefault="00BF481C" w:rsidP="008B4413">
      <w:pPr>
        <w:pStyle w:val="Bullet"/>
      </w:pPr>
      <w:hyperlink w:anchor="_Oral_Health" w:history="1">
        <w:r w:rsidR="00FC0DB8" w:rsidRPr="000F0D49">
          <w:rPr>
            <w:rStyle w:val="Hyperlink"/>
          </w:rPr>
          <w:t>oral health</w:t>
        </w:r>
      </w:hyperlink>
      <w:r w:rsidR="00FC0DB8">
        <w:rPr>
          <w:rStyle w:val="Hyperlink"/>
        </w:rPr>
        <w:t xml:space="preserve"> of children.</w:t>
      </w:r>
    </w:p>
    <w:p w14:paraId="7F57D35D" w14:textId="77777777" w:rsidR="00FC0DB8" w:rsidRPr="001F1AEE" w:rsidRDefault="00FC0DB8" w:rsidP="008B4413"/>
    <w:p w14:paraId="67548B99" w14:textId="77777777" w:rsidR="00FC0DB8" w:rsidRDefault="00FC0DB8" w:rsidP="00FC0DB8">
      <w:pPr>
        <w:spacing w:line="240" w:lineRule="auto"/>
        <w:rPr>
          <w:b/>
          <w:sz w:val="20"/>
          <w:lang w:eastAsia="en-NZ"/>
        </w:rPr>
      </w:pPr>
      <w:bookmarkStart w:id="88" w:name="_Ref368056463"/>
      <w:r>
        <w:rPr>
          <w:lang w:eastAsia="en-NZ"/>
        </w:rPr>
        <w:br w:type="page"/>
      </w:r>
    </w:p>
    <w:p w14:paraId="317C4D51" w14:textId="77777777" w:rsidR="00FC0DB8" w:rsidRDefault="00FC0DB8" w:rsidP="008B4413">
      <w:pPr>
        <w:pStyle w:val="Table"/>
        <w:rPr>
          <w:lang w:eastAsia="en-NZ"/>
        </w:rPr>
      </w:pPr>
      <w:bookmarkStart w:id="89" w:name="_Toc404618206"/>
      <w:bookmarkStart w:id="90" w:name="_Toc435784752"/>
      <w:bookmarkStart w:id="91" w:name="_Toc466618815"/>
      <w:bookmarkStart w:id="92" w:name="_Toc467831561"/>
      <w:r>
        <w:rPr>
          <w:lang w:eastAsia="en-NZ"/>
        </w:rPr>
        <w:lastRenderedPageBreak/>
        <w:t>Table 7:</w:t>
      </w:r>
      <w:r w:rsidR="008B4413">
        <w:rPr>
          <w:lang w:eastAsia="en-NZ"/>
        </w:rPr>
        <w:t xml:space="preserve"> </w:t>
      </w:r>
      <w:r>
        <w:rPr>
          <w:lang w:eastAsia="en-NZ"/>
        </w:rPr>
        <w:t>Key survey results for c</w:t>
      </w:r>
      <w:r w:rsidRPr="000800CC">
        <w:rPr>
          <w:lang w:eastAsia="en-NZ"/>
        </w:rPr>
        <w:t xml:space="preserve">hildren </w:t>
      </w:r>
      <w:r>
        <w:rPr>
          <w:lang w:eastAsia="en-NZ"/>
        </w:rPr>
        <w:t>(aged 0–14 years, unless stated below)</w:t>
      </w:r>
      <w:bookmarkEnd w:id="89"/>
      <w:bookmarkEnd w:id="90"/>
      <w:bookmarkEnd w:id="91"/>
      <w:bookmarkEnd w:id="92"/>
    </w:p>
    <w:tbl>
      <w:tblPr>
        <w:tblW w:w="0" w:type="auto"/>
        <w:tblInd w:w="57" w:type="dxa"/>
        <w:tblLayout w:type="fixed"/>
        <w:tblCellMar>
          <w:left w:w="57" w:type="dxa"/>
          <w:right w:w="57" w:type="dxa"/>
        </w:tblCellMar>
        <w:tblLook w:val="04A0" w:firstRow="1" w:lastRow="0" w:firstColumn="1" w:lastColumn="0" w:noHBand="0" w:noVBand="1"/>
      </w:tblPr>
      <w:tblGrid>
        <w:gridCol w:w="4020"/>
        <w:gridCol w:w="900"/>
        <w:gridCol w:w="940"/>
        <w:gridCol w:w="940"/>
        <w:gridCol w:w="1278"/>
        <w:gridCol w:w="202"/>
        <w:gridCol w:w="1076"/>
      </w:tblGrid>
      <w:tr w:rsidR="00FC0DB8" w:rsidRPr="008B4413" w14:paraId="3E7F6D31" w14:textId="77777777" w:rsidTr="008B4413">
        <w:trPr>
          <w:cantSplit/>
        </w:trPr>
        <w:tc>
          <w:tcPr>
            <w:tcW w:w="4020" w:type="dxa"/>
            <w:tcBorders>
              <w:top w:val="single" w:sz="4" w:space="0" w:color="auto"/>
              <w:left w:val="nil"/>
              <w:bottom w:val="single" w:sz="4" w:space="0" w:color="auto"/>
              <w:right w:val="nil"/>
            </w:tcBorders>
            <w:shd w:val="clear" w:color="000000" w:fill="FFFFFF"/>
            <w:hideMark/>
          </w:tcPr>
          <w:bookmarkEnd w:id="88"/>
          <w:p w14:paraId="08AEE303" w14:textId="77777777" w:rsidR="00FC0DB8" w:rsidRPr="008B4413" w:rsidRDefault="00FC0DB8" w:rsidP="008B4413">
            <w:pPr>
              <w:pStyle w:val="TableText"/>
              <w:rPr>
                <w:b/>
                <w:lang w:eastAsia="en-NZ"/>
              </w:rPr>
            </w:pPr>
            <w:r w:rsidRPr="008B4413">
              <w:rPr>
                <w:b/>
                <w:lang w:eastAsia="en-NZ"/>
              </w:rPr>
              <w:t>Indicator</w:t>
            </w:r>
          </w:p>
        </w:tc>
        <w:tc>
          <w:tcPr>
            <w:tcW w:w="900" w:type="dxa"/>
            <w:tcBorders>
              <w:top w:val="single" w:sz="4" w:space="0" w:color="auto"/>
              <w:left w:val="nil"/>
              <w:bottom w:val="single" w:sz="4" w:space="0" w:color="auto"/>
              <w:right w:val="nil"/>
            </w:tcBorders>
            <w:shd w:val="clear" w:color="000000" w:fill="FFFFFF"/>
            <w:hideMark/>
          </w:tcPr>
          <w:p w14:paraId="3847A19D" w14:textId="77777777" w:rsidR="00FC0DB8" w:rsidRPr="008B4413" w:rsidRDefault="00FC0DB8" w:rsidP="008B4413">
            <w:pPr>
              <w:pStyle w:val="TableText"/>
              <w:jc w:val="center"/>
              <w:rPr>
                <w:b/>
                <w:lang w:eastAsia="en-NZ"/>
              </w:rPr>
            </w:pPr>
            <w:r w:rsidRPr="008B4413">
              <w:rPr>
                <w:b/>
                <w:lang w:eastAsia="en-NZ"/>
              </w:rPr>
              <w:t>Percent 2015/16</w:t>
            </w:r>
          </w:p>
        </w:tc>
        <w:tc>
          <w:tcPr>
            <w:tcW w:w="940" w:type="dxa"/>
            <w:tcBorders>
              <w:top w:val="single" w:sz="4" w:space="0" w:color="auto"/>
              <w:left w:val="nil"/>
              <w:bottom w:val="single" w:sz="4" w:space="0" w:color="auto"/>
              <w:right w:val="nil"/>
            </w:tcBorders>
            <w:shd w:val="clear" w:color="000000" w:fill="FFFFFF"/>
            <w:hideMark/>
          </w:tcPr>
          <w:p w14:paraId="2F0FCE5E" w14:textId="77777777" w:rsidR="00FC0DB8" w:rsidRPr="008B4413" w:rsidRDefault="00FC0DB8" w:rsidP="008B4413">
            <w:pPr>
              <w:pStyle w:val="TableText"/>
              <w:jc w:val="center"/>
              <w:rPr>
                <w:b/>
                <w:color w:val="808080"/>
                <w:lang w:eastAsia="en-NZ"/>
              </w:rPr>
            </w:pPr>
            <w:r w:rsidRPr="008B4413">
              <w:rPr>
                <w:b/>
                <w:color w:val="808080"/>
                <w:lang w:eastAsia="en-NZ"/>
              </w:rPr>
              <w:t>Percent 2011/12</w:t>
            </w:r>
          </w:p>
        </w:tc>
        <w:tc>
          <w:tcPr>
            <w:tcW w:w="940" w:type="dxa"/>
            <w:tcBorders>
              <w:top w:val="single" w:sz="4" w:space="0" w:color="auto"/>
              <w:left w:val="nil"/>
              <w:bottom w:val="single" w:sz="4" w:space="0" w:color="auto"/>
              <w:right w:val="nil"/>
            </w:tcBorders>
            <w:shd w:val="clear" w:color="000000" w:fill="FFFFFF"/>
            <w:hideMark/>
          </w:tcPr>
          <w:p w14:paraId="0C6CA6D2" w14:textId="77777777" w:rsidR="00FC0DB8" w:rsidRPr="008B4413" w:rsidRDefault="00FC0DB8" w:rsidP="008B4413">
            <w:pPr>
              <w:pStyle w:val="TableText"/>
              <w:jc w:val="center"/>
              <w:rPr>
                <w:b/>
                <w:color w:val="808080"/>
                <w:lang w:eastAsia="en-NZ"/>
              </w:rPr>
            </w:pPr>
            <w:r w:rsidRPr="008B4413">
              <w:rPr>
                <w:b/>
                <w:color w:val="808080"/>
                <w:lang w:eastAsia="en-NZ"/>
              </w:rPr>
              <w:t>Percent 2006/07</w:t>
            </w:r>
          </w:p>
        </w:tc>
        <w:tc>
          <w:tcPr>
            <w:tcW w:w="1278" w:type="dxa"/>
            <w:tcBorders>
              <w:top w:val="single" w:sz="4" w:space="0" w:color="auto"/>
              <w:left w:val="nil"/>
              <w:bottom w:val="single" w:sz="4" w:space="0" w:color="auto"/>
              <w:right w:val="nil"/>
            </w:tcBorders>
            <w:shd w:val="clear" w:color="000000" w:fill="FFFFFF"/>
            <w:hideMark/>
          </w:tcPr>
          <w:p w14:paraId="3F488262" w14:textId="77777777" w:rsidR="00FC0DB8" w:rsidRPr="008B4413" w:rsidRDefault="00FC0DB8" w:rsidP="008B4413">
            <w:pPr>
              <w:pStyle w:val="TableText"/>
              <w:jc w:val="center"/>
              <w:rPr>
                <w:b/>
                <w:lang w:eastAsia="en-NZ"/>
              </w:rPr>
            </w:pPr>
            <w:r w:rsidRPr="008B4413">
              <w:rPr>
                <w:b/>
                <w:lang w:eastAsia="en-NZ"/>
              </w:rPr>
              <w:t>Change</w:t>
            </w:r>
            <w:r w:rsidR="00FD6712" w:rsidRPr="008B4413">
              <w:rPr>
                <w:b/>
                <w:lang w:eastAsia="en-NZ"/>
              </w:rPr>
              <w:t xml:space="preserve"> </w:t>
            </w:r>
            <w:r w:rsidRPr="008B4413">
              <w:rPr>
                <w:b/>
                <w:lang w:eastAsia="en-NZ"/>
              </w:rPr>
              <w:t>since 2011/12</w:t>
            </w:r>
          </w:p>
        </w:tc>
        <w:tc>
          <w:tcPr>
            <w:tcW w:w="1278" w:type="dxa"/>
            <w:gridSpan w:val="2"/>
            <w:tcBorders>
              <w:top w:val="single" w:sz="4" w:space="0" w:color="auto"/>
              <w:left w:val="nil"/>
              <w:bottom w:val="single" w:sz="4" w:space="0" w:color="auto"/>
              <w:right w:val="nil"/>
            </w:tcBorders>
            <w:shd w:val="clear" w:color="000000" w:fill="FFFFFF"/>
            <w:hideMark/>
          </w:tcPr>
          <w:p w14:paraId="5BBEB700" w14:textId="77777777" w:rsidR="00FC0DB8" w:rsidRPr="008B4413" w:rsidRDefault="00FC0DB8" w:rsidP="008B4413">
            <w:pPr>
              <w:pStyle w:val="TableText"/>
              <w:jc w:val="center"/>
              <w:rPr>
                <w:b/>
                <w:lang w:eastAsia="en-NZ"/>
              </w:rPr>
            </w:pPr>
            <w:r w:rsidRPr="008B4413">
              <w:rPr>
                <w:b/>
                <w:lang w:eastAsia="en-NZ"/>
              </w:rPr>
              <w:t>Change</w:t>
            </w:r>
            <w:r w:rsidR="00FD6712" w:rsidRPr="008B4413">
              <w:rPr>
                <w:b/>
                <w:lang w:eastAsia="en-NZ"/>
              </w:rPr>
              <w:t xml:space="preserve"> </w:t>
            </w:r>
            <w:r w:rsidRPr="008B4413">
              <w:rPr>
                <w:b/>
                <w:lang w:eastAsia="en-NZ"/>
              </w:rPr>
              <w:t>since 2006/07</w:t>
            </w:r>
          </w:p>
        </w:tc>
      </w:tr>
      <w:tr w:rsidR="00FC0DB8" w:rsidRPr="00905CBD" w14:paraId="6AF9E3EB" w14:textId="77777777" w:rsidTr="008B4413">
        <w:trPr>
          <w:cantSplit/>
        </w:trPr>
        <w:tc>
          <w:tcPr>
            <w:tcW w:w="4020" w:type="dxa"/>
            <w:tcBorders>
              <w:top w:val="nil"/>
              <w:left w:val="nil"/>
              <w:bottom w:val="nil"/>
              <w:right w:val="nil"/>
            </w:tcBorders>
            <w:shd w:val="clear" w:color="000000" w:fill="FFFFFF"/>
            <w:hideMark/>
          </w:tcPr>
          <w:p w14:paraId="398CC3BF" w14:textId="77777777" w:rsidR="00FC0DB8" w:rsidRPr="008B4413" w:rsidRDefault="00FC0DB8" w:rsidP="008B4413">
            <w:pPr>
              <w:pStyle w:val="TableText"/>
              <w:rPr>
                <w:b/>
                <w:lang w:eastAsia="en-NZ"/>
              </w:rPr>
            </w:pPr>
            <w:r w:rsidRPr="008B4413">
              <w:rPr>
                <w:b/>
                <w:lang w:eastAsia="en-NZ"/>
              </w:rPr>
              <w:t>Health status, health behaviours and risk factors</w:t>
            </w:r>
          </w:p>
        </w:tc>
        <w:tc>
          <w:tcPr>
            <w:tcW w:w="900" w:type="dxa"/>
            <w:tcBorders>
              <w:top w:val="nil"/>
              <w:left w:val="nil"/>
              <w:bottom w:val="nil"/>
              <w:right w:val="nil"/>
            </w:tcBorders>
            <w:shd w:val="clear" w:color="000000" w:fill="FFFFFF"/>
            <w:hideMark/>
          </w:tcPr>
          <w:p w14:paraId="683E5325" w14:textId="77777777" w:rsidR="00FC0DB8" w:rsidRPr="00905CBD" w:rsidRDefault="00FC0DB8" w:rsidP="008B4413">
            <w:pPr>
              <w:pStyle w:val="TableText"/>
              <w:jc w:val="center"/>
              <w:rPr>
                <w:lang w:eastAsia="en-NZ"/>
              </w:rPr>
            </w:pPr>
          </w:p>
        </w:tc>
        <w:tc>
          <w:tcPr>
            <w:tcW w:w="940" w:type="dxa"/>
            <w:tcBorders>
              <w:top w:val="nil"/>
              <w:left w:val="nil"/>
              <w:bottom w:val="nil"/>
              <w:right w:val="nil"/>
            </w:tcBorders>
            <w:shd w:val="clear" w:color="000000" w:fill="FFFFFF"/>
            <w:hideMark/>
          </w:tcPr>
          <w:p w14:paraId="3A08ADB3" w14:textId="77777777" w:rsidR="00FC0DB8" w:rsidRPr="00905CBD" w:rsidRDefault="00FC0DB8" w:rsidP="008B4413">
            <w:pPr>
              <w:pStyle w:val="TableText"/>
              <w:jc w:val="center"/>
              <w:rPr>
                <w:color w:val="808080"/>
                <w:lang w:eastAsia="en-NZ"/>
              </w:rPr>
            </w:pPr>
          </w:p>
        </w:tc>
        <w:tc>
          <w:tcPr>
            <w:tcW w:w="940" w:type="dxa"/>
            <w:tcBorders>
              <w:top w:val="nil"/>
              <w:left w:val="nil"/>
              <w:bottom w:val="nil"/>
              <w:right w:val="nil"/>
            </w:tcBorders>
            <w:shd w:val="clear" w:color="000000" w:fill="FFFFFF"/>
            <w:hideMark/>
          </w:tcPr>
          <w:p w14:paraId="79FC7E25" w14:textId="77777777" w:rsidR="00FC0DB8" w:rsidRPr="00905CBD" w:rsidRDefault="00FC0DB8" w:rsidP="008B4413">
            <w:pPr>
              <w:pStyle w:val="TableText"/>
              <w:jc w:val="center"/>
              <w:rPr>
                <w:color w:val="808080"/>
                <w:lang w:eastAsia="en-NZ"/>
              </w:rPr>
            </w:pPr>
          </w:p>
        </w:tc>
        <w:tc>
          <w:tcPr>
            <w:tcW w:w="1278" w:type="dxa"/>
            <w:tcBorders>
              <w:top w:val="nil"/>
              <w:left w:val="nil"/>
              <w:bottom w:val="nil"/>
              <w:right w:val="nil"/>
            </w:tcBorders>
            <w:shd w:val="clear" w:color="000000" w:fill="FFFFFF"/>
            <w:hideMark/>
          </w:tcPr>
          <w:p w14:paraId="668054A4" w14:textId="77777777" w:rsidR="00FC0DB8" w:rsidRPr="00905CBD" w:rsidRDefault="00FC0DB8" w:rsidP="008B4413">
            <w:pPr>
              <w:pStyle w:val="TableText"/>
              <w:jc w:val="center"/>
              <w:rPr>
                <w:color w:val="4F81BD"/>
                <w:lang w:eastAsia="en-NZ"/>
              </w:rPr>
            </w:pPr>
          </w:p>
        </w:tc>
        <w:tc>
          <w:tcPr>
            <w:tcW w:w="1278" w:type="dxa"/>
            <w:gridSpan w:val="2"/>
            <w:tcBorders>
              <w:top w:val="nil"/>
              <w:left w:val="nil"/>
              <w:bottom w:val="nil"/>
              <w:right w:val="nil"/>
            </w:tcBorders>
            <w:shd w:val="clear" w:color="000000" w:fill="FFFFFF"/>
            <w:hideMark/>
          </w:tcPr>
          <w:p w14:paraId="643BF383" w14:textId="77777777" w:rsidR="00FC0DB8" w:rsidRPr="00905CBD" w:rsidRDefault="00FC0DB8" w:rsidP="008B4413">
            <w:pPr>
              <w:pStyle w:val="TableText"/>
              <w:jc w:val="center"/>
              <w:rPr>
                <w:color w:val="4F81BD"/>
                <w:lang w:eastAsia="en-NZ"/>
              </w:rPr>
            </w:pPr>
          </w:p>
        </w:tc>
      </w:tr>
      <w:tr w:rsidR="00FC0DB8" w:rsidRPr="00905CBD" w14:paraId="613245F6" w14:textId="77777777" w:rsidTr="008B4413">
        <w:trPr>
          <w:cantSplit/>
        </w:trPr>
        <w:tc>
          <w:tcPr>
            <w:tcW w:w="4020" w:type="dxa"/>
            <w:tcBorders>
              <w:top w:val="nil"/>
              <w:left w:val="nil"/>
              <w:bottom w:val="single" w:sz="4" w:space="0" w:color="808080"/>
              <w:right w:val="nil"/>
            </w:tcBorders>
            <w:shd w:val="clear" w:color="000000" w:fill="FFFFFF"/>
            <w:hideMark/>
          </w:tcPr>
          <w:p w14:paraId="0FA9ADD4" w14:textId="77777777" w:rsidR="00FC0DB8" w:rsidRPr="00905CBD" w:rsidRDefault="00FC0DB8" w:rsidP="008B4413">
            <w:pPr>
              <w:pStyle w:val="TableText"/>
              <w:rPr>
                <w:lang w:eastAsia="en-NZ"/>
              </w:rPr>
            </w:pPr>
            <w:r w:rsidRPr="00905CBD">
              <w:rPr>
                <w:lang w:eastAsia="en-NZ"/>
              </w:rPr>
              <w:t>Good or better parent-rated health</w:t>
            </w:r>
          </w:p>
        </w:tc>
        <w:tc>
          <w:tcPr>
            <w:tcW w:w="900" w:type="dxa"/>
            <w:tcBorders>
              <w:top w:val="nil"/>
              <w:left w:val="nil"/>
              <w:bottom w:val="single" w:sz="4" w:space="0" w:color="808080"/>
              <w:right w:val="nil"/>
            </w:tcBorders>
            <w:shd w:val="clear" w:color="000000" w:fill="FFFFFF"/>
            <w:hideMark/>
          </w:tcPr>
          <w:p w14:paraId="7B7E5070" w14:textId="77777777" w:rsidR="00FC0DB8" w:rsidRPr="00905CBD" w:rsidRDefault="00FC0DB8" w:rsidP="008B4413">
            <w:pPr>
              <w:pStyle w:val="TableText"/>
              <w:jc w:val="center"/>
              <w:rPr>
                <w:lang w:eastAsia="en-NZ"/>
              </w:rPr>
            </w:pPr>
            <w:r w:rsidRPr="00905CBD">
              <w:rPr>
                <w:lang w:eastAsia="en-NZ"/>
              </w:rPr>
              <w:t>97.7</w:t>
            </w:r>
          </w:p>
        </w:tc>
        <w:tc>
          <w:tcPr>
            <w:tcW w:w="940" w:type="dxa"/>
            <w:tcBorders>
              <w:top w:val="nil"/>
              <w:left w:val="nil"/>
              <w:bottom w:val="single" w:sz="4" w:space="0" w:color="808080"/>
              <w:right w:val="nil"/>
            </w:tcBorders>
            <w:shd w:val="clear" w:color="000000" w:fill="FFFFFF"/>
            <w:hideMark/>
          </w:tcPr>
          <w:p w14:paraId="37E0E242" w14:textId="77777777" w:rsidR="00FC0DB8" w:rsidRPr="00905CBD" w:rsidRDefault="00FC0DB8" w:rsidP="008B4413">
            <w:pPr>
              <w:pStyle w:val="TableText"/>
              <w:jc w:val="center"/>
              <w:rPr>
                <w:color w:val="808080"/>
                <w:lang w:eastAsia="en-NZ"/>
              </w:rPr>
            </w:pPr>
            <w:r w:rsidRPr="00905CBD">
              <w:rPr>
                <w:color w:val="808080"/>
                <w:lang w:eastAsia="en-NZ"/>
              </w:rPr>
              <w:t>97.8</w:t>
            </w:r>
          </w:p>
        </w:tc>
        <w:tc>
          <w:tcPr>
            <w:tcW w:w="940" w:type="dxa"/>
            <w:tcBorders>
              <w:top w:val="nil"/>
              <w:left w:val="nil"/>
              <w:bottom w:val="single" w:sz="4" w:space="0" w:color="808080"/>
              <w:right w:val="nil"/>
            </w:tcBorders>
            <w:shd w:val="clear" w:color="000000" w:fill="FFFFFF"/>
            <w:hideMark/>
          </w:tcPr>
          <w:p w14:paraId="4954C456" w14:textId="77777777" w:rsidR="00FC0DB8" w:rsidRPr="00905CBD" w:rsidRDefault="00FC0DB8" w:rsidP="008B4413">
            <w:pPr>
              <w:pStyle w:val="TableText"/>
              <w:jc w:val="center"/>
              <w:rPr>
                <w:color w:val="808080"/>
                <w:lang w:eastAsia="en-NZ"/>
              </w:rPr>
            </w:pPr>
            <w:r w:rsidRPr="00905CBD">
              <w:rPr>
                <w:color w:val="808080"/>
                <w:lang w:eastAsia="en-NZ"/>
              </w:rPr>
              <w:t>97.6</w:t>
            </w:r>
          </w:p>
        </w:tc>
        <w:tc>
          <w:tcPr>
            <w:tcW w:w="1278" w:type="dxa"/>
            <w:tcBorders>
              <w:top w:val="nil"/>
              <w:left w:val="nil"/>
              <w:bottom w:val="single" w:sz="4" w:space="0" w:color="808080"/>
              <w:right w:val="nil"/>
            </w:tcBorders>
            <w:shd w:val="clear" w:color="000000" w:fill="FFFFFF"/>
            <w:hideMark/>
          </w:tcPr>
          <w:p w14:paraId="53FCE039"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2732C167"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343CCCF7" w14:textId="77777777" w:rsidTr="008B4413">
        <w:trPr>
          <w:cantSplit/>
        </w:trPr>
        <w:tc>
          <w:tcPr>
            <w:tcW w:w="4020" w:type="dxa"/>
            <w:tcBorders>
              <w:top w:val="nil"/>
              <w:left w:val="nil"/>
              <w:bottom w:val="nil"/>
              <w:right w:val="nil"/>
            </w:tcBorders>
            <w:shd w:val="clear" w:color="000000" w:fill="FFFFFF"/>
            <w:hideMark/>
          </w:tcPr>
          <w:p w14:paraId="60B2DB63" w14:textId="77777777" w:rsidR="00FC0DB8" w:rsidRPr="00905CBD" w:rsidRDefault="00FC0DB8" w:rsidP="008B4413">
            <w:pPr>
              <w:pStyle w:val="TableText"/>
              <w:rPr>
                <w:lang w:eastAsia="en-NZ"/>
              </w:rPr>
            </w:pPr>
            <w:r w:rsidRPr="00905CBD">
              <w:rPr>
                <w:lang w:eastAsia="en-NZ"/>
              </w:rPr>
              <w:t>Solid food before four months</w:t>
            </w:r>
            <w:r>
              <w:rPr>
                <w:lang w:eastAsia="en-NZ"/>
              </w:rPr>
              <w:t xml:space="preserve"> of age</w:t>
            </w:r>
            <w:r>
              <w:rPr>
                <w:lang w:eastAsia="en-NZ"/>
              </w:rPr>
              <w:br/>
            </w:r>
            <w:r w:rsidRPr="00905CBD">
              <w:rPr>
                <w:lang w:eastAsia="en-NZ"/>
              </w:rPr>
              <w:t>(4 months–4 years)</w:t>
            </w:r>
          </w:p>
        </w:tc>
        <w:tc>
          <w:tcPr>
            <w:tcW w:w="900" w:type="dxa"/>
            <w:tcBorders>
              <w:top w:val="nil"/>
              <w:left w:val="nil"/>
              <w:bottom w:val="nil"/>
              <w:right w:val="nil"/>
            </w:tcBorders>
            <w:shd w:val="clear" w:color="000000" w:fill="FFFFFF"/>
            <w:hideMark/>
          </w:tcPr>
          <w:p w14:paraId="489749D1" w14:textId="77777777" w:rsidR="00FC0DB8" w:rsidRPr="00905CBD" w:rsidRDefault="00FC0DB8" w:rsidP="008B4413">
            <w:pPr>
              <w:pStyle w:val="TableText"/>
              <w:jc w:val="center"/>
              <w:rPr>
                <w:lang w:eastAsia="en-NZ"/>
              </w:rPr>
            </w:pPr>
            <w:r w:rsidRPr="00905CBD">
              <w:rPr>
                <w:lang w:eastAsia="en-NZ"/>
              </w:rPr>
              <w:t>7.4</w:t>
            </w:r>
          </w:p>
        </w:tc>
        <w:tc>
          <w:tcPr>
            <w:tcW w:w="940" w:type="dxa"/>
            <w:tcBorders>
              <w:top w:val="nil"/>
              <w:left w:val="nil"/>
              <w:bottom w:val="nil"/>
              <w:right w:val="nil"/>
            </w:tcBorders>
            <w:shd w:val="clear" w:color="000000" w:fill="FFFFFF"/>
            <w:hideMark/>
          </w:tcPr>
          <w:p w14:paraId="6EF7C37F" w14:textId="77777777" w:rsidR="00FC0DB8" w:rsidRPr="00905CBD" w:rsidRDefault="00FC0DB8" w:rsidP="008B4413">
            <w:pPr>
              <w:pStyle w:val="TableText"/>
              <w:jc w:val="center"/>
              <w:rPr>
                <w:color w:val="808080"/>
                <w:lang w:eastAsia="en-NZ"/>
              </w:rPr>
            </w:pPr>
            <w:r w:rsidRPr="00905CBD">
              <w:rPr>
                <w:color w:val="808080"/>
                <w:lang w:eastAsia="en-NZ"/>
              </w:rPr>
              <w:t>7.9</w:t>
            </w:r>
          </w:p>
        </w:tc>
        <w:tc>
          <w:tcPr>
            <w:tcW w:w="940" w:type="dxa"/>
            <w:tcBorders>
              <w:top w:val="nil"/>
              <w:left w:val="nil"/>
              <w:bottom w:val="nil"/>
              <w:right w:val="nil"/>
            </w:tcBorders>
            <w:shd w:val="clear" w:color="000000" w:fill="FFFFFF"/>
            <w:hideMark/>
          </w:tcPr>
          <w:p w14:paraId="3213C08B" w14:textId="77777777" w:rsidR="00FC0DB8" w:rsidRPr="00905CBD" w:rsidRDefault="00FC0DB8" w:rsidP="008B4413">
            <w:pPr>
              <w:pStyle w:val="TableText"/>
              <w:jc w:val="center"/>
              <w:rPr>
                <w:color w:val="808080"/>
                <w:lang w:eastAsia="en-NZ"/>
              </w:rPr>
            </w:pPr>
            <w:r w:rsidRPr="00905CBD">
              <w:rPr>
                <w:color w:val="808080"/>
                <w:lang w:eastAsia="en-NZ"/>
              </w:rPr>
              <w:t>10.9</w:t>
            </w:r>
          </w:p>
        </w:tc>
        <w:tc>
          <w:tcPr>
            <w:tcW w:w="1278" w:type="dxa"/>
            <w:tcBorders>
              <w:top w:val="nil"/>
              <w:left w:val="nil"/>
              <w:bottom w:val="nil"/>
              <w:right w:val="nil"/>
            </w:tcBorders>
            <w:shd w:val="clear" w:color="000000" w:fill="FFFFFF"/>
            <w:hideMark/>
          </w:tcPr>
          <w:p w14:paraId="3ACE736E"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nil"/>
              <w:right w:val="nil"/>
            </w:tcBorders>
            <w:shd w:val="clear" w:color="000000" w:fill="FFFFFF"/>
            <w:hideMark/>
          </w:tcPr>
          <w:p w14:paraId="1D2F221F"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15E09F4C" w14:textId="77777777" w:rsidTr="008B4413">
        <w:trPr>
          <w:cantSplit/>
        </w:trPr>
        <w:tc>
          <w:tcPr>
            <w:tcW w:w="4020" w:type="dxa"/>
            <w:tcBorders>
              <w:top w:val="nil"/>
              <w:left w:val="nil"/>
              <w:bottom w:val="nil"/>
              <w:right w:val="nil"/>
            </w:tcBorders>
            <w:shd w:val="clear" w:color="000000" w:fill="FFFFFF"/>
            <w:hideMark/>
          </w:tcPr>
          <w:p w14:paraId="1B8FE112" w14:textId="77777777" w:rsidR="00FC0DB8" w:rsidRPr="00905CBD" w:rsidRDefault="00FC0DB8" w:rsidP="008B4413">
            <w:pPr>
              <w:pStyle w:val="TableText"/>
              <w:rPr>
                <w:lang w:eastAsia="en-NZ"/>
              </w:rPr>
            </w:pPr>
            <w:r w:rsidRPr="00905CBD">
              <w:rPr>
                <w:lang w:eastAsia="en-NZ"/>
              </w:rPr>
              <w:t xml:space="preserve">Breakfast </w:t>
            </w:r>
            <w:r>
              <w:rPr>
                <w:lang w:eastAsia="en-NZ"/>
              </w:rPr>
              <w:t xml:space="preserve">eaten </w:t>
            </w:r>
            <w:r w:rsidRPr="00905CBD">
              <w:rPr>
                <w:lang w:eastAsia="en-NZ"/>
              </w:rPr>
              <w:t xml:space="preserve">at home </w:t>
            </w:r>
            <w:r>
              <w:rPr>
                <w:lang w:eastAsia="en-NZ"/>
              </w:rPr>
              <w:t>every day</w:t>
            </w:r>
            <w:r w:rsidRPr="00905CBD">
              <w:rPr>
                <w:lang w:eastAsia="en-NZ"/>
              </w:rPr>
              <w:t xml:space="preserve"> </w:t>
            </w:r>
            <w:r>
              <w:rPr>
                <w:lang w:eastAsia="en-NZ"/>
              </w:rPr>
              <w:br/>
            </w:r>
            <w:r w:rsidRPr="00905CBD">
              <w:rPr>
                <w:lang w:eastAsia="en-NZ"/>
              </w:rPr>
              <w:t>(2–14 years)</w:t>
            </w:r>
          </w:p>
        </w:tc>
        <w:tc>
          <w:tcPr>
            <w:tcW w:w="900" w:type="dxa"/>
            <w:tcBorders>
              <w:top w:val="nil"/>
              <w:left w:val="nil"/>
              <w:bottom w:val="nil"/>
              <w:right w:val="nil"/>
            </w:tcBorders>
            <w:shd w:val="clear" w:color="000000" w:fill="FFFFFF"/>
            <w:hideMark/>
          </w:tcPr>
          <w:p w14:paraId="79BA31FF" w14:textId="77777777" w:rsidR="00FC0DB8" w:rsidRPr="00905CBD" w:rsidRDefault="00FC0DB8" w:rsidP="008B4413">
            <w:pPr>
              <w:pStyle w:val="TableText"/>
              <w:jc w:val="center"/>
              <w:rPr>
                <w:lang w:eastAsia="en-NZ"/>
              </w:rPr>
            </w:pPr>
            <w:r w:rsidRPr="00905CBD">
              <w:rPr>
                <w:lang w:eastAsia="en-NZ"/>
              </w:rPr>
              <w:t>85.2</w:t>
            </w:r>
          </w:p>
        </w:tc>
        <w:tc>
          <w:tcPr>
            <w:tcW w:w="940" w:type="dxa"/>
            <w:tcBorders>
              <w:top w:val="nil"/>
              <w:left w:val="nil"/>
              <w:bottom w:val="nil"/>
              <w:right w:val="nil"/>
            </w:tcBorders>
            <w:shd w:val="clear" w:color="000000" w:fill="FFFFFF"/>
            <w:hideMark/>
          </w:tcPr>
          <w:p w14:paraId="771D0842" w14:textId="77777777" w:rsidR="00FC0DB8" w:rsidRPr="00905CBD" w:rsidRDefault="00FC0DB8" w:rsidP="008B4413">
            <w:pPr>
              <w:pStyle w:val="TableText"/>
              <w:jc w:val="center"/>
              <w:rPr>
                <w:color w:val="808080"/>
                <w:lang w:eastAsia="en-NZ"/>
              </w:rPr>
            </w:pPr>
            <w:r w:rsidRPr="00905CBD">
              <w:rPr>
                <w:color w:val="808080"/>
                <w:lang w:eastAsia="en-NZ"/>
              </w:rPr>
              <w:t>87.4</w:t>
            </w:r>
          </w:p>
        </w:tc>
        <w:tc>
          <w:tcPr>
            <w:tcW w:w="940" w:type="dxa"/>
            <w:tcBorders>
              <w:top w:val="nil"/>
              <w:left w:val="nil"/>
              <w:bottom w:val="nil"/>
              <w:right w:val="nil"/>
            </w:tcBorders>
            <w:shd w:val="clear" w:color="000000" w:fill="FFFFFF"/>
            <w:hideMark/>
          </w:tcPr>
          <w:p w14:paraId="2FD2B94C" w14:textId="77777777" w:rsidR="00FC0DB8" w:rsidRPr="00905CBD" w:rsidRDefault="00FC0DB8" w:rsidP="008B4413">
            <w:pPr>
              <w:pStyle w:val="TableText"/>
              <w:jc w:val="center"/>
              <w:rPr>
                <w:color w:val="808080"/>
                <w:lang w:eastAsia="en-NZ"/>
              </w:rPr>
            </w:pPr>
            <w:r w:rsidRPr="00905CBD">
              <w:rPr>
                <w:color w:val="808080"/>
                <w:lang w:eastAsia="en-NZ"/>
              </w:rPr>
              <w:t>87.7</w:t>
            </w:r>
          </w:p>
        </w:tc>
        <w:tc>
          <w:tcPr>
            <w:tcW w:w="1278" w:type="dxa"/>
            <w:tcBorders>
              <w:top w:val="nil"/>
              <w:left w:val="nil"/>
              <w:bottom w:val="nil"/>
              <w:right w:val="nil"/>
            </w:tcBorders>
            <w:shd w:val="clear" w:color="000000" w:fill="FFFFFF"/>
            <w:hideMark/>
          </w:tcPr>
          <w:p w14:paraId="421B730C"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nil"/>
              <w:right w:val="nil"/>
            </w:tcBorders>
            <w:shd w:val="clear" w:color="000000" w:fill="FFFFFF"/>
            <w:hideMark/>
          </w:tcPr>
          <w:p w14:paraId="3219766A"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2ACF4C86" w14:textId="77777777" w:rsidTr="008B4413">
        <w:trPr>
          <w:cantSplit/>
        </w:trPr>
        <w:tc>
          <w:tcPr>
            <w:tcW w:w="4020" w:type="dxa"/>
            <w:tcBorders>
              <w:top w:val="nil"/>
              <w:left w:val="nil"/>
              <w:bottom w:val="single" w:sz="4" w:space="0" w:color="808080"/>
              <w:right w:val="nil"/>
            </w:tcBorders>
            <w:shd w:val="clear" w:color="000000" w:fill="FFFFFF"/>
            <w:hideMark/>
          </w:tcPr>
          <w:p w14:paraId="654BD177" w14:textId="77777777" w:rsidR="00FC0DB8" w:rsidRPr="00905CBD" w:rsidRDefault="00FC0DB8" w:rsidP="008B4413">
            <w:pPr>
              <w:pStyle w:val="TableText"/>
              <w:rPr>
                <w:lang w:eastAsia="en-NZ"/>
              </w:rPr>
            </w:pPr>
            <w:r>
              <w:rPr>
                <w:lang w:eastAsia="en-NZ"/>
              </w:rPr>
              <w:t>F</w:t>
            </w:r>
            <w:r w:rsidRPr="00905CBD">
              <w:rPr>
                <w:lang w:eastAsia="en-NZ"/>
              </w:rPr>
              <w:t xml:space="preserve">izzy drink 3+ times </w:t>
            </w:r>
            <w:r>
              <w:rPr>
                <w:lang w:eastAsia="en-NZ"/>
              </w:rPr>
              <w:t>per</w:t>
            </w:r>
            <w:r w:rsidRPr="00905CBD">
              <w:rPr>
                <w:lang w:eastAsia="en-NZ"/>
              </w:rPr>
              <w:t xml:space="preserve"> week </w:t>
            </w:r>
            <w:r>
              <w:rPr>
                <w:lang w:eastAsia="en-NZ"/>
              </w:rPr>
              <w:br/>
            </w:r>
            <w:r w:rsidRPr="00905CBD">
              <w:rPr>
                <w:lang w:eastAsia="en-NZ"/>
              </w:rPr>
              <w:t>(2–14 years)</w:t>
            </w:r>
          </w:p>
        </w:tc>
        <w:tc>
          <w:tcPr>
            <w:tcW w:w="900" w:type="dxa"/>
            <w:tcBorders>
              <w:top w:val="nil"/>
              <w:left w:val="nil"/>
              <w:bottom w:val="single" w:sz="4" w:space="0" w:color="808080"/>
              <w:right w:val="nil"/>
            </w:tcBorders>
            <w:shd w:val="clear" w:color="000000" w:fill="FFFFFF"/>
            <w:hideMark/>
          </w:tcPr>
          <w:p w14:paraId="28AFBE8A" w14:textId="77777777" w:rsidR="00FC0DB8" w:rsidRPr="00905CBD" w:rsidRDefault="00FC0DB8" w:rsidP="008B4413">
            <w:pPr>
              <w:pStyle w:val="TableText"/>
              <w:jc w:val="center"/>
              <w:rPr>
                <w:lang w:eastAsia="en-NZ"/>
              </w:rPr>
            </w:pPr>
            <w:r w:rsidRPr="00905CBD">
              <w:rPr>
                <w:lang w:eastAsia="en-NZ"/>
              </w:rPr>
              <w:t>17.5</w:t>
            </w:r>
          </w:p>
        </w:tc>
        <w:tc>
          <w:tcPr>
            <w:tcW w:w="940" w:type="dxa"/>
            <w:tcBorders>
              <w:top w:val="nil"/>
              <w:left w:val="nil"/>
              <w:bottom w:val="single" w:sz="4" w:space="0" w:color="808080"/>
              <w:right w:val="nil"/>
            </w:tcBorders>
            <w:shd w:val="clear" w:color="000000" w:fill="FFFFFF"/>
            <w:hideMark/>
          </w:tcPr>
          <w:p w14:paraId="792D74B8" w14:textId="77777777" w:rsidR="00FC0DB8" w:rsidRPr="00905CBD" w:rsidRDefault="00FC0DB8" w:rsidP="008B4413">
            <w:pPr>
              <w:pStyle w:val="TableText"/>
              <w:jc w:val="center"/>
              <w:rPr>
                <w:color w:val="808080"/>
                <w:lang w:eastAsia="en-NZ"/>
              </w:rPr>
            </w:pPr>
            <w:r w:rsidRPr="00905CBD">
              <w:rPr>
                <w:color w:val="808080"/>
                <w:lang w:eastAsia="en-NZ"/>
              </w:rPr>
              <w:t>19.1</w:t>
            </w:r>
          </w:p>
        </w:tc>
        <w:tc>
          <w:tcPr>
            <w:tcW w:w="940" w:type="dxa"/>
            <w:tcBorders>
              <w:top w:val="nil"/>
              <w:left w:val="nil"/>
              <w:bottom w:val="single" w:sz="4" w:space="0" w:color="808080"/>
              <w:right w:val="nil"/>
            </w:tcBorders>
            <w:shd w:val="clear" w:color="000000" w:fill="FFFFFF"/>
            <w:hideMark/>
          </w:tcPr>
          <w:p w14:paraId="5FE3A6B6" w14:textId="77777777" w:rsidR="00FC0DB8" w:rsidRPr="00905CBD" w:rsidRDefault="00FC0DB8" w:rsidP="008B4413">
            <w:pPr>
              <w:pStyle w:val="TableText"/>
              <w:jc w:val="center"/>
              <w:rPr>
                <w:color w:val="808080"/>
                <w:lang w:eastAsia="en-NZ"/>
              </w:rPr>
            </w:pPr>
            <w:r w:rsidRPr="00905CBD">
              <w:rPr>
                <w:color w:val="808080"/>
                <w:lang w:eastAsia="en-NZ"/>
              </w:rPr>
              <w:t>19.8</w:t>
            </w:r>
          </w:p>
        </w:tc>
        <w:tc>
          <w:tcPr>
            <w:tcW w:w="1278" w:type="dxa"/>
            <w:tcBorders>
              <w:top w:val="nil"/>
              <w:left w:val="nil"/>
              <w:bottom w:val="single" w:sz="4" w:space="0" w:color="808080"/>
              <w:right w:val="nil"/>
            </w:tcBorders>
            <w:shd w:val="clear" w:color="000000" w:fill="FFFFFF"/>
            <w:hideMark/>
          </w:tcPr>
          <w:p w14:paraId="3B7F754D"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23C3D501"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63AF7B35" w14:textId="77777777" w:rsidTr="008B4413">
        <w:trPr>
          <w:cantSplit/>
        </w:trPr>
        <w:tc>
          <w:tcPr>
            <w:tcW w:w="4020" w:type="dxa"/>
            <w:tcBorders>
              <w:top w:val="nil"/>
              <w:left w:val="nil"/>
              <w:bottom w:val="single" w:sz="4" w:space="0" w:color="808080"/>
              <w:right w:val="nil"/>
            </w:tcBorders>
            <w:shd w:val="clear" w:color="000000" w:fill="FFFFFF"/>
            <w:hideMark/>
          </w:tcPr>
          <w:p w14:paraId="6DB77D41" w14:textId="77777777" w:rsidR="00FC0DB8" w:rsidRPr="00905CBD" w:rsidRDefault="00FC0DB8" w:rsidP="008B4413">
            <w:pPr>
              <w:pStyle w:val="TableText"/>
              <w:rPr>
                <w:lang w:eastAsia="en-NZ"/>
              </w:rPr>
            </w:pPr>
            <w:r w:rsidRPr="00905CBD">
              <w:rPr>
                <w:lang w:eastAsia="en-NZ"/>
              </w:rPr>
              <w:t>Obesity (2–14 years)</w:t>
            </w:r>
          </w:p>
        </w:tc>
        <w:tc>
          <w:tcPr>
            <w:tcW w:w="900" w:type="dxa"/>
            <w:tcBorders>
              <w:top w:val="nil"/>
              <w:left w:val="nil"/>
              <w:bottom w:val="single" w:sz="4" w:space="0" w:color="808080"/>
              <w:right w:val="nil"/>
            </w:tcBorders>
            <w:shd w:val="clear" w:color="000000" w:fill="FFFFFF"/>
            <w:hideMark/>
          </w:tcPr>
          <w:p w14:paraId="334D18E1" w14:textId="77777777" w:rsidR="00FC0DB8" w:rsidRPr="00905CBD" w:rsidRDefault="00FC0DB8" w:rsidP="008B4413">
            <w:pPr>
              <w:pStyle w:val="TableText"/>
              <w:jc w:val="center"/>
              <w:rPr>
                <w:lang w:eastAsia="en-NZ"/>
              </w:rPr>
            </w:pPr>
            <w:r w:rsidRPr="00905CBD">
              <w:rPr>
                <w:lang w:eastAsia="en-NZ"/>
              </w:rPr>
              <w:t>10.7</w:t>
            </w:r>
          </w:p>
        </w:tc>
        <w:tc>
          <w:tcPr>
            <w:tcW w:w="940" w:type="dxa"/>
            <w:tcBorders>
              <w:top w:val="nil"/>
              <w:left w:val="nil"/>
              <w:bottom w:val="single" w:sz="4" w:space="0" w:color="808080"/>
              <w:right w:val="nil"/>
            </w:tcBorders>
            <w:shd w:val="clear" w:color="000000" w:fill="FFFFFF"/>
            <w:hideMark/>
          </w:tcPr>
          <w:p w14:paraId="2FC049BA" w14:textId="77777777" w:rsidR="00FC0DB8" w:rsidRPr="00905CBD" w:rsidRDefault="00FC0DB8" w:rsidP="008B4413">
            <w:pPr>
              <w:pStyle w:val="TableText"/>
              <w:jc w:val="center"/>
              <w:rPr>
                <w:color w:val="808080"/>
                <w:lang w:eastAsia="en-NZ"/>
              </w:rPr>
            </w:pPr>
            <w:r w:rsidRPr="00905CBD">
              <w:rPr>
                <w:color w:val="808080"/>
                <w:lang w:eastAsia="en-NZ"/>
              </w:rPr>
              <w:t>10.7</w:t>
            </w:r>
          </w:p>
        </w:tc>
        <w:tc>
          <w:tcPr>
            <w:tcW w:w="940" w:type="dxa"/>
            <w:tcBorders>
              <w:top w:val="nil"/>
              <w:left w:val="nil"/>
              <w:bottom w:val="single" w:sz="4" w:space="0" w:color="808080"/>
              <w:right w:val="nil"/>
            </w:tcBorders>
            <w:shd w:val="clear" w:color="000000" w:fill="FFFFFF"/>
            <w:hideMark/>
          </w:tcPr>
          <w:p w14:paraId="7ED9442D" w14:textId="77777777" w:rsidR="00FC0DB8" w:rsidRPr="00905CBD" w:rsidRDefault="00FC0DB8" w:rsidP="008B4413">
            <w:pPr>
              <w:pStyle w:val="TableText"/>
              <w:jc w:val="center"/>
              <w:rPr>
                <w:color w:val="808080"/>
                <w:lang w:eastAsia="en-NZ"/>
              </w:rPr>
            </w:pPr>
            <w:r w:rsidRPr="00905CBD">
              <w:rPr>
                <w:color w:val="808080"/>
                <w:lang w:eastAsia="en-NZ"/>
              </w:rPr>
              <w:t>8.4</w:t>
            </w:r>
          </w:p>
        </w:tc>
        <w:tc>
          <w:tcPr>
            <w:tcW w:w="1278" w:type="dxa"/>
            <w:tcBorders>
              <w:top w:val="nil"/>
              <w:left w:val="nil"/>
              <w:bottom w:val="single" w:sz="4" w:space="0" w:color="808080"/>
              <w:right w:val="nil"/>
            </w:tcBorders>
            <w:shd w:val="clear" w:color="000000" w:fill="FFFFFF"/>
            <w:hideMark/>
          </w:tcPr>
          <w:p w14:paraId="701969DB"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19FEEBF9"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6531E719" w14:textId="77777777" w:rsidTr="008B4413">
        <w:trPr>
          <w:cantSplit/>
        </w:trPr>
        <w:tc>
          <w:tcPr>
            <w:tcW w:w="4020" w:type="dxa"/>
            <w:tcBorders>
              <w:top w:val="nil"/>
              <w:left w:val="nil"/>
              <w:bottom w:val="single" w:sz="4" w:space="0" w:color="808080"/>
              <w:right w:val="nil"/>
            </w:tcBorders>
            <w:shd w:val="clear" w:color="000000" w:fill="FFFFFF"/>
            <w:hideMark/>
          </w:tcPr>
          <w:p w14:paraId="5E169298" w14:textId="77777777" w:rsidR="00FC0DB8" w:rsidRPr="00905CBD" w:rsidRDefault="00FC0DB8" w:rsidP="008B4413">
            <w:pPr>
              <w:pStyle w:val="TableText"/>
              <w:rPr>
                <w:lang w:eastAsia="en-NZ"/>
              </w:rPr>
            </w:pPr>
            <w:r w:rsidRPr="00905CBD">
              <w:rPr>
                <w:lang w:eastAsia="en-NZ"/>
              </w:rPr>
              <w:t>Physical punishment in past 4 weeks</w:t>
            </w:r>
          </w:p>
        </w:tc>
        <w:tc>
          <w:tcPr>
            <w:tcW w:w="900" w:type="dxa"/>
            <w:tcBorders>
              <w:top w:val="nil"/>
              <w:left w:val="nil"/>
              <w:bottom w:val="single" w:sz="4" w:space="0" w:color="808080"/>
              <w:right w:val="nil"/>
            </w:tcBorders>
            <w:shd w:val="clear" w:color="000000" w:fill="FFFFFF"/>
            <w:hideMark/>
          </w:tcPr>
          <w:p w14:paraId="2302B21A" w14:textId="77777777" w:rsidR="00FC0DB8" w:rsidRPr="00905CBD" w:rsidRDefault="00FC0DB8" w:rsidP="008B4413">
            <w:pPr>
              <w:pStyle w:val="TableText"/>
              <w:jc w:val="center"/>
              <w:rPr>
                <w:lang w:eastAsia="en-NZ"/>
              </w:rPr>
            </w:pPr>
            <w:r w:rsidRPr="00905CBD">
              <w:rPr>
                <w:lang w:eastAsia="en-NZ"/>
              </w:rPr>
              <w:t>5.7</w:t>
            </w:r>
          </w:p>
        </w:tc>
        <w:tc>
          <w:tcPr>
            <w:tcW w:w="940" w:type="dxa"/>
            <w:tcBorders>
              <w:top w:val="nil"/>
              <w:left w:val="nil"/>
              <w:bottom w:val="single" w:sz="4" w:space="0" w:color="808080"/>
              <w:right w:val="nil"/>
            </w:tcBorders>
            <w:shd w:val="clear" w:color="000000" w:fill="FFFFFF"/>
            <w:hideMark/>
          </w:tcPr>
          <w:p w14:paraId="397763F7" w14:textId="77777777" w:rsidR="00FC0DB8" w:rsidRPr="00905CBD" w:rsidRDefault="00FC0DB8" w:rsidP="008B4413">
            <w:pPr>
              <w:pStyle w:val="TableText"/>
              <w:jc w:val="center"/>
              <w:rPr>
                <w:color w:val="808080"/>
                <w:lang w:eastAsia="en-NZ"/>
              </w:rPr>
            </w:pPr>
            <w:r w:rsidRPr="00905CBD">
              <w:rPr>
                <w:color w:val="808080"/>
                <w:lang w:eastAsia="en-NZ"/>
              </w:rPr>
              <w:t>7.4</w:t>
            </w:r>
          </w:p>
        </w:tc>
        <w:tc>
          <w:tcPr>
            <w:tcW w:w="940" w:type="dxa"/>
            <w:tcBorders>
              <w:top w:val="nil"/>
              <w:left w:val="nil"/>
              <w:bottom w:val="single" w:sz="4" w:space="0" w:color="808080"/>
              <w:right w:val="nil"/>
            </w:tcBorders>
            <w:shd w:val="clear" w:color="000000" w:fill="FFFFFF"/>
            <w:hideMark/>
          </w:tcPr>
          <w:p w14:paraId="3442D060" w14:textId="77777777" w:rsidR="00FC0DB8" w:rsidRPr="00905CBD" w:rsidRDefault="00FC0DB8" w:rsidP="008B4413">
            <w:pPr>
              <w:pStyle w:val="TableText"/>
              <w:jc w:val="center"/>
              <w:rPr>
                <w:color w:val="808080"/>
                <w:lang w:eastAsia="en-NZ"/>
              </w:rPr>
            </w:pPr>
            <w:r w:rsidRPr="00905CBD">
              <w:rPr>
                <w:color w:val="808080"/>
                <w:lang w:eastAsia="en-NZ"/>
              </w:rPr>
              <w:t>10.4</w:t>
            </w:r>
          </w:p>
        </w:tc>
        <w:tc>
          <w:tcPr>
            <w:tcW w:w="1278" w:type="dxa"/>
            <w:tcBorders>
              <w:top w:val="nil"/>
              <w:left w:val="nil"/>
              <w:bottom w:val="single" w:sz="4" w:space="0" w:color="808080"/>
              <w:right w:val="nil"/>
            </w:tcBorders>
            <w:shd w:val="clear" w:color="000000" w:fill="FFFFFF"/>
            <w:hideMark/>
          </w:tcPr>
          <w:p w14:paraId="0240BDF5"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08C413A2"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0CA6D66E" w14:textId="77777777" w:rsidTr="008B4413">
        <w:trPr>
          <w:cantSplit/>
        </w:trPr>
        <w:tc>
          <w:tcPr>
            <w:tcW w:w="4020" w:type="dxa"/>
            <w:tcBorders>
              <w:top w:val="nil"/>
              <w:left w:val="nil"/>
              <w:bottom w:val="nil"/>
              <w:right w:val="nil"/>
            </w:tcBorders>
            <w:shd w:val="clear" w:color="000000" w:fill="FFFFFF"/>
            <w:hideMark/>
          </w:tcPr>
          <w:p w14:paraId="467B9239" w14:textId="77777777" w:rsidR="00FC0DB8" w:rsidRPr="008B4413" w:rsidRDefault="00FC0DB8" w:rsidP="008B4413">
            <w:pPr>
              <w:pStyle w:val="TableText"/>
              <w:rPr>
                <w:b/>
                <w:lang w:eastAsia="en-NZ"/>
              </w:rPr>
            </w:pPr>
            <w:r w:rsidRPr="008B4413">
              <w:rPr>
                <w:b/>
                <w:lang w:eastAsia="en-NZ"/>
              </w:rPr>
              <w:t>Health conditions</w:t>
            </w:r>
          </w:p>
        </w:tc>
        <w:tc>
          <w:tcPr>
            <w:tcW w:w="900" w:type="dxa"/>
            <w:tcBorders>
              <w:top w:val="nil"/>
              <w:left w:val="nil"/>
              <w:bottom w:val="nil"/>
              <w:right w:val="nil"/>
            </w:tcBorders>
            <w:shd w:val="clear" w:color="000000" w:fill="FFFFFF"/>
            <w:hideMark/>
          </w:tcPr>
          <w:p w14:paraId="0DA571B2" w14:textId="77777777" w:rsidR="00FC0DB8" w:rsidRPr="00905CBD" w:rsidRDefault="00FC0DB8" w:rsidP="008B4413">
            <w:pPr>
              <w:pStyle w:val="TableText"/>
              <w:jc w:val="center"/>
              <w:rPr>
                <w:lang w:eastAsia="en-NZ"/>
              </w:rPr>
            </w:pPr>
          </w:p>
        </w:tc>
        <w:tc>
          <w:tcPr>
            <w:tcW w:w="940" w:type="dxa"/>
            <w:tcBorders>
              <w:top w:val="nil"/>
              <w:left w:val="nil"/>
              <w:bottom w:val="nil"/>
              <w:right w:val="nil"/>
            </w:tcBorders>
            <w:shd w:val="clear" w:color="000000" w:fill="FFFFFF"/>
            <w:hideMark/>
          </w:tcPr>
          <w:p w14:paraId="1F077D1A" w14:textId="77777777" w:rsidR="00FC0DB8" w:rsidRPr="00905CBD" w:rsidRDefault="00FC0DB8" w:rsidP="008B4413">
            <w:pPr>
              <w:pStyle w:val="TableText"/>
              <w:jc w:val="center"/>
              <w:rPr>
                <w:color w:val="808080"/>
                <w:lang w:eastAsia="en-NZ"/>
              </w:rPr>
            </w:pPr>
          </w:p>
        </w:tc>
        <w:tc>
          <w:tcPr>
            <w:tcW w:w="940" w:type="dxa"/>
            <w:tcBorders>
              <w:top w:val="nil"/>
              <w:left w:val="nil"/>
              <w:bottom w:val="nil"/>
              <w:right w:val="nil"/>
            </w:tcBorders>
            <w:shd w:val="clear" w:color="000000" w:fill="FFFFFF"/>
            <w:hideMark/>
          </w:tcPr>
          <w:p w14:paraId="7D571433" w14:textId="77777777" w:rsidR="00FC0DB8" w:rsidRPr="00905CBD" w:rsidRDefault="00FC0DB8" w:rsidP="008B4413">
            <w:pPr>
              <w:pStyle w:val="TableText"/>
              <w:jc w:val="center"/>
              <w:rPr>
                <w:color w:val="808080"/>
                <w:lang w:eastAsia="en-NZ"/>
              </w:rPr>
            </w:pPr>
          </w:p>
        </w:tc>
        <w:tc>
          <w:tcPr>
            <w:tcW w:w="1278" w:type="dxa"/>
            <w:tcBorders>
              <w:top w:val="nil"/>
              <w:left w:val="nil"/>
              <w:bottom w:val="nil"/>
              <w:right w:val="nil"/>
            </w:tcBorders>
            <w:shd w:val="clear" w:color="000000" w:fill="FFFFFF"/>
            <w:hideMark/>
          </w:tcPr>
          <w:p w14:paraId="10AEECDB" w14:textId="77777777" w:rsidR="00FC0DB8" w:rsidRPr="00905CBD" w:rsidRDefault="00FC0DB8" w:rsidP="008B4413">
            <w:pPr>
              <w:pStyle w:val="TableText"/>
              <w:jc w:val="center"/>
              <w:rPr>
                <w:color w:val="4F81BD"/>
                <w:lang w:eastAsia="en-NZ"/>
              </w:rPr>
            </w:pPr>
          </w:p>
        </w:tc>
        <w:tc>
          <w:tcPr>
            <w:tcW w:w="1278" w:type="dxa"/>
            <w:gridSpan w:val="2"/>
            <w:tcBorders>
              <w:top w:val="nil"/>
              <w:left w:val="nil"/>
              <w:bottom w:val="nil"/>
              <w:right w:val="nil"/>
            </w:tcBorders>
            <w:shd w:val="clear" w:color="000000" w:fill="FFFFFF"/>
            <w:hideMark/>
          </w:tcPr>
          <w:p w14:paraId="21C138A5" w14:textId="77777777" w:rsidR="00FC0DB8" w:rsidRPr="00905CBD" w:rsidRDefault="00FC0DB8" w:rsidP="008B4413">
            <w:pPr>
              <w:pStyle w:val="TableText"/>
              <w:jc w:val="center"/>
              <w:rPr>
                <w:color w:val="4F81BD"/>
                <w:lang w:eastAsia="en-NZ"/>
              </w:rPr>
            </w:pPr>
          </w:p>
        </w:tc>
      </w:tr>
      <w:tr w:rsidR="00FC0DB8" w:rsidRPr="00905CBD" w14:paraId="41F0B9BA" w14:textId="77777777" w:rsidTr="008B4413">
        <w:trPr>
          <w:cantSplit/>
        </w:trPr>
        <w:tc>
          <w:tcPr>
            <w:tcW w:w="4020" w:type="dxa"/>
            <w:tcBorders>
              <w:top w:val="nil"/>
              <w:left w:val="nil"/>
              <w:bottom w:val="single" w:sz="4" w:space="0" w:color="808080"/>
              <w:right w:val="nil"/>
            </w:tcBorders>
            <w:shd w:val="clear" w:color="000000" w:fill="FFFFFF"/>
            <w:hideMark/>
          </w:tcPr>
          <w:p w14:paraId="777CEE2F" w14:textId="77777777" w:rsidR="00FC0DB8" w:rsidRPr="00905CBD" w:rsidRDefault="00FC0DB8" w:rsidP="008B4413">
            <w:pPr>
              <w:pStyle w:val="TableText"/>
              <w:rPr>
                <w:lang w:eastAsia="en-NZ"/>
              </w:rPr>
            </w:pPr>
            <w:r w:rsidRPr="00905CBD">
              <w:rPr>
                <w:lang w:eastAsia="en-NZ"/>
              </w:rPr>
              <w:t xml:space="preserve">Emotional </w:t>
            </w:r>
            <w:r>
              <w:rPr>
                <w:lang w:eastAsia="en-NZ"/>
              </w:rPr>
              <w:t>and/</w:t>
            </w:r>
            <w:r w:rsidRPr="00905CBD">
              <w:rPr>
                <w:lang w:eastAsia="en-NZ"/>
              </w:rPr>
              <w:t>or behavioural problems (diagnosed) (2–14 years)</w:t>
            </w:r>
          </w:p>
        </w:tc>
        <w:tc>
          <w:tcPr>
            <w:tcW w:w="900" w:type="dxa"/>
            <w:tcBorders>
              <w:top w:val="nil"/>
              <w:left w:val="nil"/>
              <w:bottom w:val="single" w:sz="4" w:space="0" w:color="808080"/>
              <w:right w:val="nil"/>
            </w:tcBorders>
            <w:shd w:val="clear" w:color="000000" w:fill="FFFFFF"/>
            <w:hideMark/>
          </w:tcPr>
          <w:p w14:paraId="0ECA7212" w14:textId="77777777" w:rsidR="00FC0DB8" w:rsidRPr="00905CBD" w:rsidRDefault="00FC0DB8" w:rsidP="008B4413">
            <w:pPr>
              <w:pStyle w:val="TableText"/>
              <w:jc w:val="center"/>
              <w:rPr>
                <w:lang w:eastAsia="en-NZ"/>
              </w:rPr>
            </w:pPr>
            <w:r w:rsidRPr="00905CBD">
              <w:rPr>
                <w:lang w:eastAsia="en-NZ"/>
              </w:rPr>
              <w:t>4.3</w:t>
            </w:r>
          </w:p>
        </w:tc>
        <w:tc>
          <w:tcPr>
            <w:tcW w:w="940" w:type="dxa"/>
            <w:tcBorders>
              <w:top w:val="nil"/>
              <w:left w:val="nil"/>
              <w:bottom w:val="single" w:sz="4" w:space="0" w:color="808080"/>
              <w:right w:val="nil"/>
            </w:tcBorders>
            <w:shd w:val="clear" w:color="000000" w:fill="FFFFFF"/>
            <w:hideMark/>
          </w:tcPr>
          <w:p w14:paraId="0786CCB9" w14:textId="77777777" w:rsidR="00FC0DB8" w:rsidRPr="00905CBD" w:rsidRDefault="00FC0DB8" w:rsidP="008B4413">
            <w:pPr>
              <w:pStyle w:val="TableText"/>
              <w:jc w:val="center"/>
              <w:rPr>
                <w:color w:val="808080"/>
                <w:lang w:eastAsia="en-NZ"/>
              </w:rPr>
            </w:pPr>
            <w:r w:rsidRPr="00905CBD">
              <w:rPr>
                <w:color w:val="808080"/>
                <w:lang w:eastAsia="en-NZ"/>
              </w:rPr>
              <w:t>3.3</w:t>
            </w:r>
          </w:p>
        </w:tc>
        <w:tc>
          <w:tcPr>
            <w:tcW w:w="940" w:type="dxa"/>
            <w:tcBorders>
              <w:top w:val="nil"/>
              <w:left w:val="nil"/>
              <w:bottom w:val="single" w:sz="4" w:space="0" w:color="808080"/>
              <w:right w:val="nil"/>
            </w:tcBorders>
            <w:shd w:val="clear" w:color="000000" w:fill="FFFFFF"/>
            <w:hideMark/>
          </w:tcPr>
          <w:p w14:paraId="596880D0" w14:textId="77777777" w:rsidR="00FC0DB8" w:rsidRPr="00905CBD" w:rsidRDefault="00FC0DB8" w:rsidP="008B4413">
            <w:pPr>
              <w:pStyle w:val="TableText"/>
              <w:jc w:val="center"/>
              <w:rPr>
                <w:color w:val="808080"/>
                <w:lang w:eastAsia="en-NZ"/>
              </w:rPr>
            </w:pPr>
            <w:r w:rsidRPr="00905CBD">
              <w:rPr>
                <w:color w:val="808080"/>
                <w:lang w:eastAsia="en-NZ"/>
              </w:rPr>
              <w:t>1.8</w:t>
            </w:r>
          </w:p>
        </w:tc>
        <w:tc>
          <w:tcPr>
            <w:tcW w:w="1278" w:type="dxa"/>
            <w:tcBorders>
              <w:top w:val="nil"/>
              <w:left w:val="nil"/>
              <w:bottom w:val="single" w:sz="4" w:space="0" w:color="808080"/>
              <w:right w:val="nil"/>
            </w:tcBorders>
            <w:shd w:val="clear" w:color="000000" w:fill="FFFFFF"/>
            <w:hideMark/>
          </w:tcPr>
          <w:p w14:paraId="1922A0D4"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6080A2C1"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6F19F5F7" w14:textId="77777777" w:rsidTr="008B4413">
        <w:trPr>
          <w:cantSplit/>
        </w:trPr>
        <w:tc>
          <w:tcPr>
            <w:tcW w:w="4020" w:type="dxa"/>
            <w:tcBorders>
              <w:top w:val="nil"/>
              <w:left w:val="nil"/>
              <w:bottom w:val="single" w:sz="4" w:space="0" w:color="808080"/>
              <w:right w:val="nil"/>
            </w:tcBorders>
            <w:shd w:val="clear" w:color="000000" w:fill="FFFFFF"/>
            <w:hideMark/>
          </w:tcPr>
          <w:p w14:paraId="4B11F8D3" w14:textId="77777777" w:rsidR="00FC0DB8" w:rsidRPr="00905CBD" w:rsidRDefault="00FC0DB8" w:rsidP="008B4413">
            <w:pPr>
              <w:pStyle w:val="TableText"/>
              <w:rPr>
                <w:lang w:eastAsia="en-NZ"/>
              </w:rPr>
            </w:pPr>
            <w:r w:rsidRPr="00905CBD">
              <w:rPr>
                <w:lang w:eastAsia="en-NZ"/>
              </w:rPr>
              <w:t>Asthma (medicated) (2–14 years)</w:t>
            </w:r>
          </w:p>
        </w:tc>
        <w:tc>
          <w:tcPr>
            <w:tcW w:w="900" w:type="dxa"/>
            <w:tcBorders>
              <w:top w:val="nil"/>
              <w:left w:val="nil"/>
              <w:bottom w:val="single" w:sz="4" w:space="0" w:color="808080"/>
              <w:right w:val="nil"/>
            </w:tcBorders>
            <w:shd w:val="clear" w:color="000000" w:fill="FFFFFF"/>
            <w:hideMark/>
          </w:tcPr>
          <w:p w14:paraId="0B8391D8" w14:textId="77777777" w:rsidR="00FC0DB8" w:rsidRPr="00905CBD" w:rsidRDefault="00FC0DB8" w:rsidP="008B4413">
            <w:pPr>
              <w:pStyle w:val="TableText"/>
              <w:jc w:val="center"/>
              <w:rPr>
                <w:lang w:eastAsia="en-NZ"/>
              </w:rPr>
            </w:pPr>
            <w:r w:rsidRPr="00905CBD">
              <w:rPr>
                <w:lang w:eastAsia="en-NZ"/>
              </w:rPr>
              <w:t>16.6</w:t>
            </w:r>
          </w:p>
        </w:tc>
        <w:tc>
          <w:tcPr>
            <w:tcW w:w="940" w:type="dxa"/>
            <w:tcBorders>
              <w:top w:val="nil"/>
              <w:left w:val="nil"/>
              <w:bottom w:val="single" w:sz="4" w:space="0" w:color="808080"/>
              <w:right w:val="nil"/>
            </w:tcBorders>
            <w:shd w:val="clear" w:color="000000" w:fill="FFFFFF"/>
            <w:hideMark/>
          </w:tcPr>
          <w:p w14:paraId="517EC11E" w14:textId="77777777" w:rsidR="00FC0DB8" w:rsidRPr="00905CBD" w:rsidRDefault="00FC0DB8" w:rsidP="008B4413">
            <w:pPr>
              <w:pStyle w:val="TableText"/>
              <w:jc w:val="center"/>
              <w:rPr>
                <w:color w:val="808080"/>
                <w:lang w:eastAsia="en-NZ"/>
              </w:rPr>
            </w:pPr>
            <w:r w:rsidRPr="00905CBD">
              <w:rPr>
                <w:color w:val="808080"/>
                <w:lang w:eastAsia="en-NZ"/>
              </w:rPr>
              <w:t>14.0</w:t>
            </w:r>
          </w:p>
        </w:tc>
        <w:tc>
          <w:tcPr>
            <w:tcW w:w="940" w:type="dxa"/>
            <w:tcBorders>
              <w:top w:val="nil"/>
              <w:left w:val="nil"/>
              <w:bottom w:val="single" w:sz="4" w:space="0" w:color="808080"/>
              <w:right w:val="nil"/>
            </w:tcBorders>
            <w:shd w:val="clear" w:color="000000" w:fill="FFFFFF"/>
            <w:hideMark/>
          </w:tcPr>
          <w:p w14:paraId="06C377D7" w14:textId="77777777" w:rsidR="00FC0DB8" w:rsidRPr="00905CBD" w:rsidRDefault="00FC0DB8" w:rsidP="008B4413">
            <w:pPr>
              <w:pStyle w:val="TableText"/>
              <w:jc w:val="center"/>
              <w:rPr>
                <w:color w:val="808080"/>
                <w:lang w:eastAsia="en-NZ"/>
              </w:rPr>
            </w:pPr>
            <w:r w:rsidRPr="00905CBD">
              <w:rPr>
                <w:color w:val="808080"/>
                <w:lang w:eastAsia="en-NZ"/>
              </w:rPr>
              <w:t>14.9</w:t>
            </w:r>
          </w:p>
        </w:tc>
        <w:tc>
          <w:tcPr>
            <w:tcW w:w="1278" w:type="dxa"/>
            <w:tcBorders>
              <w:top w:val="nil"/>
              <w:left w:val="nil"/>
              <w:bottom w:val="single" w:sz="4" w:space="0" w:color="808080"/>
              <w:right w:val="nil"/>
            </w:tcBorders>
            <w:shd w:val="clear" w:color="000000" w:fill="FFFFFF"/>
            <w:hideMark/>
          </w:tcPr>
          <w:p w14:paraId="13D921B7"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0BEF1C36"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40CD06F0" w14:textId="77777777" w:rsidTr="008B4413">
        <w:trPr>
          <w:cantSplit/>
        </w:trPr>
        <w:tc>
          <w:tcPr>
            <w:tcW w:w="4020" w:type="dxa"/>
            <w:tcBorders>
              <w:top w:val="nil"/>
              <w:left w:val="nil"/>
              <w:bottom w:val="nil"/>
              <w:right w:val="nil"/>
            </w:tcBorders>
            <w:shd w:val="clear" w:color="000000" w:fill="FFFFFF"/>
            <w:hideMark/>
          </w:tcPr>
          <w:p w14:paraId="51FE0754" w14:textId="77777777" w:rsidR="00FC0DB8" w:rsidRPr="008B4413" w:rsidRDefault="008B4413" w:rsidP="008B4413">
            <w:pPr>
              <w:pStyle w:val="TableText"/>
              <w:rPr>
                <w:b/>
                <w:lang w:eastAsia="en-NZ"/>
              </w:rPr>
            </w:pPr>
            <w:r>
              <w:rPr>
                <w:b/>
                <w:lang w:eastAsia="en-NZ"/>
              </w:rPr>
              <w:t>Access to health care</w:t>
            </w:r>
          </w:p>
        </w:tc>
        <w:tc>
          <w:tcPr>
            <w:tcW w:w="900" w:type="dxa"/>
            <w:tcBorders>
              <w:top w:val="nil"/>
              <w:left w:val="nil"/>
              <w:bottom w:val="nil"/>
              <w:right w:val="nil"/>
            </w:tcBorders>
            <w:shd w:val="clear" w:color="000000" w:fill="FFFFFF"/>
            <w:hideMark/>
          </w:tcPr>
          <w:p w14:paraId="196C126F" w14:textId="77777777" w:rsidR="00FC0DB8" w:rsidRPr="00905CBD" w:rsidRDefault="00FC0DB8" w:rsidP="008B4413">
            <w:pPr>
              <w:pStyle w:val="TableText"/>
              <w:jc w:val="center"/>
              <w:rPr>
                <w:lang w:eastAsia="en-NZ"/>
              </w:rPr>
            </w:pPr>
          </w:p>
        </w:tc>
        <w:tc>
          <w:tcPr>
            <w:tcW w:w="940" w:type="dxa"/>
            <w:tcBorders>
              <w:top w:val="nil"/>
              <w:left w:val="nil"/>
              <w:bottom w:val="nil"/>
              <w:right w:val="nil"/>
            </w:tcBorders>
            <w:shd w:val="clear" w:color="000000" w:fill="FFFFFF"/>
            <w:hideMark/>
          </w:tcPr>
          <w:p w14:paraId="620BFBE5" w14:textId="77777777" w:rsidR="00FC0DB8" w:rsidRPr="00905CBD" w:rsidRDefault="00FC0DB8" w:rsidP="008B4413">
            <w:pPr>
              <w:pStyle w:val="TableText"/>
              <w:jc w:val="center"/>
              <w:rPr>
                <w:color w:val="808080"/>
                <w:lang w:eastAsia="en-NZ"/>
              </w:rPr>
            </w:pPr>
          </w:p>
        </w:tc>
        <w:tc>
          <w:tcPr>
            <w:tcW w:w="940" w:type="dxa"/>
            <w:tcBorders>
              <w:top w:val="nil"/>
              <w:left w:val="nil"/>
              <w:bottom w:val="nil"/>
              <w:right w:val="nil"/>
            </w:tcBorders>
            <w:shd w:val="clear" w:color="000000" w:fill="FFFFFF"/>
            <w:hideMark/>
          </w:tcPr>
          <w:p w14:paraId="00CB7CA7" w14:textId="77777777" w:rsidR="00FC0DB8" w:rsidRPr="00905CBD" w:rsidRDefault="00FC0DB8" w:rsidP="008B4413">
            <w:pPr>
              <w:pStyle w:val="TableText"/>
              <w:jc w:val="center"/>
              <w:rPr>
                <w:color w:val="808080"/>
                <w:lang w:eastAsia="en-NZ"/>
              </w:rPr>
            </w:pPr>
          </w:p>
        </w:tc>
        <w:tc>
          <w:tcPr>
            <w:tcW w:w="1278" w:type="dxa"/>
            <w:tcBorders>
              <w:top w:val="nil"/>
              <w:left w:val="nil"/>
              <w:bottom w:val="nil"/>
              <w:right w:val="nil"/>
            </w:tcBorders>
            <w:shd w:val="clear" w:color="000000" w:fill="FFFFFF"/>
            <w:hideMark/>
          </w:tcPr>
          <w:p w14:paraId="1979BAD5" w14:textId="77777777" w:rsidR="00FC0DB8" w:rsidRPr="00905CBD" w:rsidRDefault="00FC0DB8" w:rsidP="008B4413">
            <w:pPr>
              <w:pStyle w:val="TableText"/>
              <w:jc w:val="center"/>
              <w:rPr>
                <w:color w:val="4F81BD"/>
                <w:lang w:eastAsia="en-NZ"/>
              </w:rPr>
            </w:pPr>
          </w:p>
        </w:tc>
        <w:tc>
          <w:tcPr>
            <w:tcW w:w="1278" w:type="dxa"/>
            <w:gridSpan w:val="2"/>
            <w:tcBorders>
              <w:top w:val="nil"/>
              <w:left w:val="nil"/>
              <w:bottom w:val="nil"/>
              <w:right w:val="nil"/>
            </w:tcBorders>
            <w:shd w:val="clear" w:color="000000" w:fill="FFFFFF"/>
            <w:hideMark/>
          </w:tcPr>
          <w:p w14:paraId="6E013EA4" w14:textId="77777777" w:rsidR="00FC0DB8" w:rsidRPr="00905CBD" w:rsidRDefault="00FC0DB8" w:rsidP="008B4413">
            <w:pPr>
              <w:pStyle w:val="TableText"/>
              <w:jc w:val="center"/>
              <w:rPr>
                <w:color w:val="4F81BD"/>
                <w:lang w:eastAsia="en-NZ"/>
              </w:rPr>
            </w:pPr>
          </w:p>
        </w:tc>
      </w:tr>
      <w:tr w:rsidR="00FC0DB8" w:rsidRPr="00905CBD" w14:paraId="24A850EF" w14:textId="77777777" w:rsidTr="008B4413">
        <w:trPr>
          <w:cantSplit/>
        </w:trPr>
        <w:tc>
          <w:tcPr>
            <w:tcW w:w="4020" w:type="dxa"/>
            <w:tcBorders>
              <w:top w:val="nil"/>
              <w:left w:val="nil"/>
              <w:bottom w:val="nil"/>
              <w:right w:val="nil"/>
            </w:tcBorders>
            <w:shd w:val="clear" w:color="000000" w:fill="FFFFFF"/>
            <w:hideMark/>
          </w:tcPr>
          <w:p w14:paraId="148FEFE5" w14:textId="77777777" w:rsidR="00FC0DB8" w:rsidRPr="00905CBD" w:rsidRDefault="00FC0DB8" w:rsidP="008B4413">
            <w:pPr>
              <w:pStyle w:val="TableText"/>
              <w:rPr>
                <w:lang w:eastAsia="en-NZ"/>
              </w:rPr>
            </w:pPr>
            <w:r w:rsidRPr="00905CBD">
              <w:rPr>
                <w:lang w:eastAsia="en-NZ"/>
              </w:rPr>
              <w:t>GP visit in the past 12 months</w:t>
            </w:r>
          </w:p>
        </w:tc>
        <w:tc>
          <w:tcPr>
            <w:tcW w:w="900" w:type="dxa"/>
            <w:tcBorders>
              <w:top w:val="nil"/>
              <w:left w:val="nil"/>
              <w:bottom w:val="nil"/>
              <w:right w:val="nil"/>
            </w:tcBorders>
            <w:shd w:val="clear" w:color="000000" w:fill="FFFFFF"/>
            <w:hideMark/>
          </w:tcPr>
          <w:p w14:paraId="70F2DB56" w14:textId="77777777" w:rsidR="00FC0DB8" w:rsidRPr="00905CBD" w:rsidRDefault="00FC0DB8" w:rsidP="008B4413">
            <w:pPr>
              <w:pStyle w:val="TableText"/>
              <w:jc w:val="center"/>
              <w:rPr>
                <w:lang w:eastAsia="en-NZ"/>
              </w:rPr>
            </w:pPr>
            <w:r w:rsidRPr="00905CBD">
              <w:rPr>
                <w:lang w:eastAsia="en-NZ"/>
              </w:rPr>
              <w:t>76.2</w:t>
            </w:r>
          </w:p>
        </w:tc>
        <w:tc>
          <w:tcPr>
            <w:tcW w:w="940" w:type="dxa"/>
            <w:tcBorders>
              <w:top w:val="nil"/>
              <w:left w:val="nil"/>
              <w:bottom w:val="nil"/>
              <w:right w:val="nil"/>
            </w:tcBorders>
            <w:shd w:val="clear" w:color="000000" w:fill="FFFFFF"/>
            <w:hideMark/>
          </w:tcPr>
          <w:p w14:paraId="2FD56675" w14:textId="77777777" w:rsidR="00FC0DB8" w:rsidRPr="00905CBD" w:rsidRDefault="00FC0DB8" w:rsidP="008B4413">
            <w:pPr>
              <w:pStyle w:val="TableText"/>
              <w:jc w:val="center"/>
              <w:rPr>
                <w:color w:val="808080"/>
                <w:lang w:eastAsia="en-NZ"/>
              </w:rPr>
            </w:pPr>
            <w:r w:rsidRPr="00905CBD">
              <w:rPr>
                <w:color w:val="808080"/>
                <w:lang w:eastAsia="en-NZ"/>
              </w:rPr>
              <w:t>73.9</w:t>
            </w:r>
          </w:p>
        </w:tc>
        <w:tc>
          <w:tcPr>
            <w:tcW w:w="940" w:type="dxa"/>
            <w:tcBorders>
              <w:top w:val="nil"/>
              <w:left w:val="nil"/>
              <w:bottom w:val="nil"/>
              <w:right w:val="nil"/>
            </w:tcBorders>
            <w:shd w:val="clear" w:color="000000" w:fill="FFFFFF"/>
            <w:hideMark/>
          </w:tcPr>
          <w:p w14:paraId="28C865DB" w14:textId="77777777" w:rsidR="00FC0DB8" w:rsidRPr="00905CBD" w:rsidRDefault="00FC0DB8" w:rsidP="008B4413">
            <w:pPr>
              <w:pStyle w:val="TableText"/>
              <w:jc w:val="center"/>
              <w:rPr>
                <w:color w:val="808080"/>
                <w:lang w:eastAsia="en-NZ"/>
              </w:rPr>
            </w:pPr>
            <w:r w:rsidRPr="00905CBD">
              <w:rPr>
                <w:color w:val="808080"/>
                <w:lang w:eastAsia="en-NZ"/>
              </w:rPr>
              <w:t>79.2</w:t>
            </w:r>
          </w:p>
        </w:tc>
        <w:tc>
          <w:tcPr>
            <w:tcW w:w="1278" w:type="dxa"/>
            <w:tcBorders>
              <w:top w:val="nil"/>
              <w:left w:val="nil"/>
              <w:bottom w:val="nil"/>
              <w:right w:val="nil"/>
            </w:tcBorders>
            <w:shd w:val="clear" w:color="000000" w:fill="FFFFFF"/>
            <w:hideMark/>
          </w:tcPr>
          <w:p w14:paraId="2AF843BF"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nil"/>
              <w:right w:val="nil"/>
            </w:tcBorders>
            <w:shd w:val="clear" w:color="000000" w:fill="FFFFFF"/>
            <w:hideMark/>
          </w:tcPr>
          <w:p w14:paraId="114BD147"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08F48A47" w14:textId="77777777" w:rsidTr="008B4413">
        <w:trPr>
          <w:cantSplit/>
        </w:trPr>
        <w:tc>
          <w:tcPr>
            <w:tcW w:w="4020" w:type="dxa"/>
            <w:tcBorders>
              <w:top w:val="nil"/>
              <w:left w:val="nil"/>
              <w:bottom w:val="nil"/>
              <w:right w:val="nil"/>
            </w:tcBorders>
            <w:shd w:val="clear" w:color="000000" w:fill="FFFFFF"/>
            <w:hideMark/>
          </w:tcPr>
          <w:p w14:paraId="6835A6E1" w14:textId="77777777" w:rsidR="00FC0DB8" w:rsidRPr="00905CBD" w:rsidRDefault="00FC0DB8" w:rsidP="008B4413">
            <w:pPr>
              <w:pStyle w:val="TableText"/>
              <w:rPr>
                <w:lang w:eastAsia="en-NZ"/>
              </w:rPr>
            </w:pPr>
            <w:r w:rsidRPr="00905CBD">
              <w:rPr>
                <w:lang w:eastAsia="en-NZ"/>
              </w:rPr>
              <w:t xml:space="preserve">Practice nurse </w:t>
            </w:r>
            <w:r>
              <w:rPr>
                <w:lang w:eastAsia="en-NZ"/>
              </w:rPr>
              <w:t xml:space="preserve">(only) </w:t>
            </w:r>
            <w:r w:rsidRPr="00905CBD">
              <w:rPr>
                <w:lang w:eastAsia="en-NZ"/>
              </w:rPr>
              <w:t>visit in the past 12 months</w:t>
            </w:r>
          </w:p>
        </w:tc>
        <w:tc>
          <w:tcPr>
            <w:tcW w:w="900" w:type="dxa"/>
            <w:tcBorders>
              <w:top w:val="nil"/>
              <w:left w:val="nil"/>
              <w:bottom w:val="nil"/>
              <w:right w:val="nil"/>
            </w:tcBorders>
            <w:shd w:val="clear" w:color="000000" w:fill="FFFFFF"/>
            <w:hideMark/>
          </w:tcPr>
          <w:p w14:paraId="6D4FFF92" w14:textId="77777777" w:rsidR="00FC0DB8" w:rsidRPr="00905CBD" w:rsidRDefault="00FC0DB8" w:rsidP="008B4413">
            <w:pPr>
              <w:pStyle w:val="TableText"/>
              <w:jc w:val="center"/>
              <w:rPr>
                <w:lang w:eastAsia="en-NZ"/>
              </w:rPr>
            </w:pPr>
            <w:r w:rsidRPr="00905CBD">
              <w:rPr>
                <w:lang w:eastAsia="en-NZ"/>
              </w:rPr>
              <w:t>26.7</w:t>
            </w:r>
          </w:p>
        </w:tc>
        <w:tc>
          <w:tcPr>
            <w:tcW w:w="940" w:type="dxa"/>
            <w:tcBorders>
              <w:top w:val="nil"/>
              <w:left w:val="nil"/>
              <w:bottom w:val="nil"/>
              <w:right w:val="nil"/>
            </w:tcBorders>
            <w:shd w:val="clear" w:color="000000" w:fill="FFFFFF"/>
            <w:hideMark/>
          </w:tcPr>
          <w:p w14:paraId="310C6B37" w14:textId="77777777" w:rsidR="00FC0DB8" w:rsidRPr="00905CBD" w:rsidRDefault="00FC0DB8" w:rsidP="008B4413">
            <w:pPr>
              <w:pStyle w:val="TableText"/>
              <w:jc w:val="center"/>
              <w:rPr>
                <w:color w:val="808080"/>
                <w:lang w:eastAsia="en-NZ"/>
              </w:rPr>
            </w:pPr>
            <w:r w:rsidRPr="00905CBD">
              <w:rPr>
                <w:color w:val="808080"/>
                <w:lang w:eastAsia="en-NZ"/>
              </w:rPr>
              <w:t>26.4</w:t>
            </w:r>
          </w:p>
        </w:tc>
        <w:tc>
          <w:tcPr>
            <w:tcW w:w="940" w:type="dxa"/>
            <w:tcBorders>
              <w:top w:val="nil"/>
              <w:left w:val="nil"/>
              <w:bottom w:val="nil"/>
              <w:right w:val="nil"/>
            </w:tcBorders>
            <w:shd w:val="clear" w:color="000000" w:fill="FFFFFF"/>
            <w:hideMark/>
          </w:tcPr>
          <w:p w14:paraId="4479FB77" w14:textId="77777777" w:rsidR="00FC0DB8" w:rsidRPr="00905CBD" w:rsidRDefault="00FC0DB8" w:rsidP="008B4413">
            <w:pPr>
              <w:pStyle w:val="TableText"/>
              <w:jc w:val="center"/>
              <w:rPr>
                <w:color w:val="808080"/>
                <w:lang w:eastAsia="en-NZ"/>
              </w:rPr>
            </w:pPr>
            <w:r w:rsidRPr="00905CBD">
              <w:rPr>
                <w:color w:val="808080"/>
                <w:lang w:eastAsia="en-NZ"/>
              </w:rPr>
              <w:t>22.8</w:t>
            </w:r>
          </w:p>
        </w:tc>
        <w:tc>
          <w:tcPr>
            <w:tcW w:w="1278" w:type="dxa"/>
            <w:tcBorders>
              <w:top w:val="nil"/>
              <w:left w:val="nil"/>
              <w:bottom w:val="nil"/>
              <w:right w:val="nil"/>
            </w:tcBorders>
            <w:shd w:val="clear" w:color="000000" w:fill="FFFFFF"/>
            <w:hideMark/>
          </w:tcPr>
          <w:p w14:paraId="16B0DFF2"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nil"/>
              <w:right w:val="nil"/>
            </w:tcBorders>
            <w:shd w:val="clear" w:color="000000" w:fill="FFFFFF"/>
            <w:hideMark/>
          </w:tcPr>
          <w:p w14:paraId="1A8C06FB"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645EBB8D" w14:textId="77777777" w:rsidTr="008B4413">
        <w:trPr>
          <w:cantSplit/>
        </w:trPr>
        <w:tc>
          <w:tcPr>
            <w:tcW w:w="4020" w:type="dxa"/>
            <w:tcBorders>
              <w:top w:val="nil"/>
              <w:left w:val="nil"/>
              <w:bottom w:val="single" w:sz="4" w:space="0" w:color="808080"/>
              <w:right w:val="nil"/>
            </w:tcBorders>
            <w:shd w:val="clear" w:color="000000" w:fill="FFFFFF"/>
            <w:hideMark/>
          </w:tcPr>
          <w:p w14:paraId="28697706" w14:textId="77777777" w:rsidR="00FC0DB8" w:rsidRPr="00905CBD" w:rsidRDefault="00FC0DB8" w:rsidP="008B4413">
            <w:pPr>
              <w:pStyle w:val="TableText"/>
              <w:rPr>
                <w:lang w:eastAsia="en-NZ"/>
              </w:rPr>
            </w:pPr>
            <w:r w:rsidRPr="00905CBD">
              <w:rPr>
                <w:lang w:eastAsia="en-NZ"/>
              </w:rPr>
              <w:t xml:space="preserve">After-hours </w:t>
            </w:r>
            <w:r>
              <w:rPr>
                <w:lang w:eastAsia="en-NZ"/>
              </w:rPr>
              <w:t xml:space="preserve">medical centre </w:t>
            </w:r>
            <w:r w:rsidRPr="00905CBD">
              <w:rPr>
                <w:lang w:eastAsia="en-NZ"/>
              </w:rPr>
              <w:t>visit in the past 12</w:t>
            </w:r>
            <w:r w:rsidR="008B4413">
              <w:rPr>
                <w:lang w:eastAsia="en-NZ"/>
              </w:rPr>
              <w:t> </w:t>
            </w:r>
            <w:r w:rsidRPr="00905CBD">
              <w:rPr>
                <w:lang w:eastAsia="en-NZ"/>
              </w:rPr>
              <w:t>months</w:t>
            </w:r>
          </w:p>
        </w:tc>
        <w:tc>
          <w:tcPr>
            <w:tcW w:w="900" w:type="dxa"/>
            <w:tcBorders>
              <w:top w:val="nil"/>
              <w:left w:val="nil"/>
              <w:bottom w:val="single" w:sz="4" w:space="0" w:color="808080"/>
              <w:right w:val="nil"/>
            </w:tcBorders>
            <w:shd w:val="clear" w:color="000000" w:fill="FFFFFF"/>
            <w:hideMark/>
          </w:tcPr>
          <w:p w14:paraId="7107E19E" w14:textId="77777777" w:rsidR="00FC0DB8" w:rsidRPr="00905CBD" w:rsidRDefault="00FC0DB8" w:rsidP="008B4413">
            <w:pPr>
              <w:pStyle w:val="TableText"/>
              <w:jc w:val="center"/>
              <w:rPr>
                <w:lang w:eastAsia="en-NZ"/>
              </w:rPr>
            </w:pPr>
            <w:r w:rsidRPr="00905CBD">
              <w:rPr>
                <w:lang w:eastAsia="en-NZ"/>
              </w:rPr>
              <w:t>25.7</w:t>
            </w:r>
          </w:p>
        </w:tc>
        <w:tc>
          <w:tcPr>
            <w:tcW w:w="940" w:type="dxa"/>
            <w:tcBorders>
              <w:top w:val="nil"/>
              <w:left w:val="nil"/>
              <w:bottom w:val="single" w:sz="4" w:space="0" w:color="808080"/>
              <w:right w:val="nil"/>
            </w:tcBorders>
            <w:shd w:val="clear" w:color="000000" w:fill="FFFFFF"/>
            <w:hideMark/>
          </w:tcPr>
          <w:p w14:paraId="56674C54" w14:textId="77777777" w:rsidR="00FC0DB8" w:rsidRPr="00905CBD" w:rsidRDefault="00FC0DB8" w:rsidP="008B4413">
            <w:pPr>
              <w:pStyle w:val="TableText"/>
              <w:jc w:val="center"/>
              <w:rPr>
                <w:color w:val="808080"/>
                <w:lang w:eastAsia="en-NZ"/>
              </w:rPr>
            </w:pPr>
            <w:r w:rsidRPr="00905CBD">
              <w:rPr>
                <w:color w:val="808080"/>
                <w:lang w:eastAsia="en-NZ"/>
              </w:rPr>
              <w:t>21.5</w:t>
            </w:r>
          </w:p>
        </w:tc>
        <w:tc>
          <w:tcPr>
            <w:tcW w:w="940" w:type="dxa"/>
            <w:tcBorders>
              <w:top w:val="nil"/>
              <w:left w:val="nil"/>
              <w:bottom w:val="single" w:sz="4" w:space="0" w:color="808080"/>
              <w:right w:val="nil"/>
            </w:tcBorders>
            <w:shd w:val="clear" w:color="000000" w:fill="FFFFFF"/>
            <w:hideMark/>
          </w:tcPr>
          <w:p w14:paraId="53E81BF0" w14:textId="77777777" w:rsidR="00FC0DB8" w:rsidRPr="00905CBD" w:rsidRDefault="00FC0DB8" w:rsidP="008B4413">
            <w:pPr>
              <w:pStyle w:val="TableText"/>
              <w:jc w:val="center"/>
              <w:rPr>
                <w:color w:val="808080"/>
                <w:lang w:eastAsia="en-NZ"/>
              </w:rPr>
            </w:pPr>
            <w:r>
              <w:rPr>
                <w:color w:val="808080"/>
                <w:lang w:eastAsia="en-NZ"/>
              </w:rPr>
              <w:t>.</w:t>
            </w:r>
          </w:p>
        </w:tc>
        <w:tc>
          <w:tcPr>
            <w:tcW w:w="1278" w:type="dxa"/>
            <w:tcBorders>
              <w:top w:val="nil"/>
              <w:left w:val="nil"/>
              <w:bottom w:val="single" w:sz="4" w:space="0" w:color="808080"/>
              <w:right w:val="nil"/>
            </w:tcBorders>
            <w:shd w:val="clear" w:color="000000" w:fill="FFFFFF"/>
            <w:hideMark/>
          </w:tcPr>
          <w:p w14:paraId="0A84B5D6"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20407895"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474B0E70" w14:textId="77777777" w:rsidTr="008B4413">
        <w:trPr>
          <w:cantSplit/>
        </w:trPr>
        <w:tc>
          <w:tcPr>
            <w:tcW w:w="4020" w:type="dxa"/>
            <w:tcBorders>
              <w:top w:val="nil"/>
              <w:left w:val="nil"/>
              <w:bottom w:val="nil"/>
              <w:right w:val="nil"/>
            </w:tcBorders>
            <w:shd w:val="clear" w:color="000000" w:fill="FFFFFF"/>
            <w:hideMark/>
          </w:tcPr>
          <w:p w14:paraId="214DFEBE" w14:textId="77777777" w:rsidR="00FC0DB8" w:rsidRPr="00905CBD" w:rsidRDefault="00FC0DB8" w:rsidP="008B4413">
            <w:pPr>
              <w:pStyle w:val="TableText"/>
              <w:rPr>
                <w:lang w:eastAsia="en-NZ"/>
              </w:rPr>
            </w:pPr>
            <w:r w:rsidRPr="00905CBD">
              <w:rPr>
                <w:lang w:eastAsia="en-NZ"/>
              </w:rPr>
              <w:t xml:space="preserve">Experienced any unmet need for primary health care in the past 12 months </w:t>
            </w:r>
          </w:p>
        </w:tc>
        <w:tc>
          <w:tcPr>
            <w:tcW w:w="900" w:type="dxa"/>
            <w:tcBorders>
              <w:top w:val="nil"/>
              <w:left w:val="nil"/>
              <w:bottom w:val="nil"/>
              <w:right w:val="nil"/>
            </w:tcBorders>
            <w:shd w:val="clear" w:color="000000" w:fill="FFFFFF"/>
            <w:hideMark/>
          </w:tcPr>
          <w:p w14:paraId="483295CA" w14:textId="77777777" w:rsidR="00FC0DB8" w:rsidRPr="00905CBD" w:rsidRDefault="00FC0DB8" w:rsidP="008B4413">
            <w:pPr>
              <w:pStyle w:val="TableText"/>
              <w:jc w:val="center"/>
              <w:rPr>
                <w:lang w:eastAsia="en-NZ"/>
              </w:rPr>
            </w:pPr>
            <w:r w:rsidRPr="00905CBD">
              <w:rPr>
                <w:lang w:eastAsia="en-NZ"/>
              </w:rPr>
              <w:t>23.9</w:t>
            </w:r>
          </w:p>
        </w:tc>
        <w:tc>
          <w:tcPr>
            <w:tcW w:w="940" w:type="dxa"/>
            <w:tcBorders>
              <w:top w:val="nil"/>
              <w:left w:val="nil"/>
              <w:bottom w:val="nil"/>
              <w:right w:val="nil"/>
            </w:tcBorders>
            <w:shd w:val="clear" w:color="000000" w:fill="FFFFFF"/>
            <w:hideMark/>
          </w:tcPr>
          <w:p w14:paraId="57A94D42" w14:textId="77777777" w:rsidR="00FC0DB8" w:rsidRPr="00905CBD" w:rsidRDefault="00FC0DB8" w:rsidP="008B4413">
            <w:pPr>
              <w:pStyle w:val="TableText"/>
              <w:jc w:val="center"/>
              <w:rPr>
                <w:color w:val="808080"/>
                <w:lang w:eastAsia="en-NZ"/>
              </w:rPr>
            </w:pPr>
            <w:r w:rsidRPr="00905CBD">
              <w:rPr>
                <w:color w:val="808080"/>
                <w:lang w:eastAsia="en-NZ"/>
              </w:rPr>
              <w:t>19.6</w:t>
            </w:r>
          </w:p>
        </w:tc>
        <w:tc>
          <w:tcPr>
            <w:tcW w:w="940" w:type="dxa"/>
            <w:tcBorders>
              <w:top w:val="nil"/>
              <w:left w:val="nil"/>
              <w:bottom w:val="nil"/>
              <w:right w:val="nil"/>
            </w:tcBorders>
            <w:shd w:val="clear" w:color="000000" w:fill="FFFFFF"/>
            <w:hideMark/>
          </w:tcPr>
          <w:p w14:paraId="1505C5E1" w14:textId="77777777" w:rsidR="00FC0DB8" w:rsidRPr="00905CBD" w:rsidRDefault="00FC0DB8" w:rsidP="008B4413">
            <w:pPr>
              <w:pStyle w:val="TableText"/>
              <w:jc w:val="center"/>
              <w:rPr>
                <w:color w:val="808080"/>
                <w:lang w:eastAsia="en-NZ"/>
              </w:rPr>
            </w:pPr>
            <w:r>
              <w:rPr>
                <w:color w:val="808080"/>
                <w:lang w:eastAsia="en-NZ"/>
              </w:rPr>
              <w:t>.</w:t>
            </w:r>
          </w:p>
        </w:tc>
        <w:tc>
          <w:tcPr>
            <w:tcW w:w="1278" w:type="dxa"/>
            <w:tcBorders>
              <w:top w:val="nil"/>
              <w:left w:val="nil"/>
              <w:bottom w:val="nil"/>
              <w:right w:val="nil"/>
            </w:tcBorders>
            <w:shd w:val="clear" w:color="000000" w:fill="FFFFFF"/>
            <w:hideMark/>
          </w:tcPr>
          <w:p w14:paraId="1985079B"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nil"/>
              <w:right w:val="nil"/>
            </w:tcBorders>
            <w:shd w:val="clear" w:color="000000" w:fill="FFFFFF"/>
            <w:hideMark/>
          </w:tcPr>
          <w:p w14:paraId="1F8187FF"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22EC8BDF" w14:textId="77777777" w:rsidTr="008B4413">
        <w:trPr>
          <w:cantSplit/>
        </w:trPr>
        <w:tc>
          <w:tcPr>
            <w:tcW w:w="4020" w:type="dxa"/>
            <w:tcBorders>
              <w:top w:val="nil"/>
              <w:left w:val="nil"/>
              <w:bottom w:val="nil"/>
              <w:right w:val="nil"/>
            </w:tcBorders>
            <w:shd w:val="clear" w:color="000000" w:fill="FFFFFF"/>
            <w:hideMark/>
          </w:tcPr>
          <w:p w14:paraId="2575BF7F" w14:textId="77777777" w:rsidR="00FC0DB8" w:rsidRPr="00905CBD" w:rsidRDefault="00FC0DB8" w:rsidP="008B4413">
            <w:pPr>
              <w:pStyle w:val="TableText"/>
              <w:rPr>
                <w:lang w:eastAsia="en-NZ"/>
              </w:rPr>
            </w:pPr>
            <w:r w:rsidRPr="00905CBD">
              <w:rPr>
                <w:lang w:eastAsia="en-NZ"/>
              </w:rPr>
              <w:t>Unable to get appointment at usual medical centre within 24 hours</w:t>
            </w:r>
          </w:p>
        </w:tc>
        <w:tc>
          <w:tcPr>
            <w:tcW w:w="900" w:type="dxa"/>
            <w:tcBorders>
              <w:top w:val="nil"/>
              <w:left w:val="nil"/>
              <w:bottom w:val="nil"/>
              <w:right w:val="nil"/>
            </w:tcBorders>
            <w:shd w:val="clear" w:color="000000" w:fill="FFFFFF"/>
            <w:hideMark/>
          </w:tcPr>
          <w:p w14:paraId="314038B0" w14:textId="77777777" w:rsidR="00FC0DB8" w:rsidRPr="00905CBD" w:rsidRDefault="00FC0DB8" w:rsidP="008B4413">
            <w:pPr>
              <w:pStyle w:val="TableText"/>
              <w:jc w:val="center"/>
              <w:rPr>
                <w:lang w:eastAsia="en-NZ"/>
              </w:rPr>
            </w:pPr>
            <w:r w:rsidRPr="00905CBD">
              <w:rPr>
                <w:lang w:eastAsia="en-NZ"/>
              </w:rPr>
              <w:t>17.6</w:t>
            </w:r>
          </w:p>
        </w:tc>
        <w:tc>
          <w:tcPr>
            <w:tcW w:w="940" w:type="dxa"/>
            <w:tcBorders>
              <w:top w:val="nil"/>
              <w:left w:val="nil"/>
              <w:bottom w:val="nil"/>
              <w:right w:val="nil"/>
            </w:tcBorders>
            <w:shd w:val="clear" w:color="000000" w:fill="FFFFFF"/>
            <w:hideMark/>
          </w:tcPr>
          <w:p w14:paraId="07CB91B5" w14:textId="77777777" w:rsidR="00FC0DB8" w:rsidRPr="00905CBD" w:rsidRDefault="00FC0DB8" w:rsidP="008B4413">
            <w:pPr>
              <w:pStyle w:val="TableText"/>
              <w:jc w:val="center"/>
              <w:rPr>
                <w:color w:val="808080"/>
                <w:lang w:eastAsia="en-NZ"/>
              </w:rPr>
            </w:pPr>
            <w:r w:rsidRPr="00905CBD">
              <w:rPr>
                <w:color w:val="808080"/>
                <w:lang w:eastAsia="en-NZ"/>
              </w:rPr>
              <w:t>13.5</w:t>
            </w:r>
          </w:p>
        </w:tc>
        <w:tc>
          <w:tcPr>
            <w:tcW w:w="940" w:type="dxa"/>
            <w:tcBorders>
              <w:top w:val="nil"/>
              <w:left w:val="nil"/>
              <w:bottom w:val="nil"/>
              <w:right w:val="nil"/>
            </w:tcBorders>
            <w:shd w:val="clear" w:color="000000" w:fill="FFFFFF"/>
            <w:hideMark/>
          </w:tcPr>
          <w:p w14:paraId="27A17119" w14:textId="77777777" w:rsidR="00FC0DB8" w:rsidRPr="00905CBD" w:rsidRDefault="00FC0DB8" w:rsidP="008B4413">
            <w:pPr>
              <w:pStyle w:val="TableText"/>
              <w:jc w:val="center"/>
              <w:rPr>
                <w:color w:val="808080"/>
                <w:lang w:eastAsia="en-NZ"/>
              </w:rPr>
            </w:pPr>
            <w:r>
              <w:rPr>
                <w:color w:val="808080"/>
                <w:lang w:eastAsia="en-NZ"/>
              </w:rPr>
              <w:t>.</w:t>
            </w:r>
          </w:p>
        </w:tc>
        <w:tc>
          <w:tcPr>
            <w:tcW w:w="1278" w:type="dxa"/>
            <w:tcBorders>
              <w:top w:val="nil"/>
              <w:left w:val="nil"/>
              <w:bottom w:val="nil"/>
              <w:right w:val="nil"/>
            </w:tcBorders>
            <w:shd w:val="clear" w:color="000000" w:fill="FFFFFF"/>
            <w:hideMark/>
          </w:tcPr>
          <w:p w14:paraId="777C833A"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nil"/>
              <w:right w:val="nil"/>
            </w:tcBorders>
            <w:shd w:val="clear" w:color="000000" w:fill="FFFFFF"/>
            <w:hideMark/>
          </w:tcPr>
          <w:p w14:paraId="7EC33C48"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12411607" w14:textId="77777777" w:rsidTr="008B4413">
        <w:trPr>
          <w:cantSplit/>
        </w:trPr>
        <w:tc>
          <w:tcPr>
            <w:tcW w:w="4020" w:type="dxa"/>
            <w:tcBorders>
              <w:top w:val="nil"/>
              <w:left w:val="nil"/>
              <w:bottom w:val="nil"/>
              <w:right w:val="nil"/>
            </w:tcBorders>
            <w:shd w:val="clear" w:color="000000" w:fill="FFFFFF"/>
            <w:hideMark/>
          </w:tcPr>
          <w:p w14:paraId="67BEAB46" w14:textId="77777777" w:rsidR="00FC0DB8" w:rsidRPr="00905CBD" w:rsidRDefault="00FC0DB8" w:rsidP="008B4413">
            <w:pPr>
              <w:pStyle w:val="TableText"/>
              <w:rPr>
                <w:lang w:eastAsia="en-NZ"/>
              </w:rPr>
            </w:pPr>
            <w:r w:rsidRPr="00905CBD">
              <w:rPr>
                <w:lang w:eastAsia="en-NZ"/>
              </w:rPr>
              <w:t>Unmet need for GP due to cost</w:t>
            </w:r>
          </w:p>
        </w:tc>
        <w:tc>
          <w:tcPr>
            <w:tcW w:w="900" w:type="dxa"/>
            <w:tcBorders>
              <w:top w:val="nil"/>
              <w:left w:val="nil"/>
              <w:bottom w:val="nil"/>
              <w:right w:val="nil"/>
            </w:tcBorders>
            <w:shd w:val="clear" w:color="000000" w:fill="FFFFFF"/>
            <w:hideMark/>
          </w:tcPr>
          <w:p w14:paraId="18BD7E4A" w14:textId="77777777" w:rsidR="00FC0DB8" w:rsidRPr="00905CBD" w:rsidRDefault="00FC0DB8" w:rsidP="008B4413">
            <w:pPr>
              <w:pStyle w:val="TableText"/>
              <w:jc w:val="center"/>
              <w:rPr>
                <w:lang w:eastAsia="en-NZ"/>
              </w:rPr>
            </w:pPr>
            <w:r w:rsidRPr="00905CBD">
              <w:rPr>
                <w:lang w:eastAsia="en-NZ"/>
              </w:rPr>
              <w:t>4.5</w:t>
            </w:r>
          </w:p>
        </w:tc>
        <w:tc>
          <w:tcPr>
            <w:tcW w:w="940" w:type="dxa"/>
            <w:tcBorders>
              <w:top w:val="nil"/>
              <w:left w:val="nil"/>
              <w:bottom w:val="nil"/>
              <w:right w:val="nil"/>
            </w:tcBorders>
            <w:shd w:val="clear" w:color="000000" w:fill="FFFFFF"/>
            <w:hideMark/>
          </w:tcPr>
          <w:p w14:paraId="38A298E7" w14:textId="77777777" w:rsidR="00FC0DB8" w:rsidRPr="00905CBD" w:rsidRDefault="00FC0DB8" w:rsidP="008B4413">
            <w:pPr>
              <w:pStyle w:val="TableText"/>
              <w:jc w:val="center"/>
              <w:rPr>
                <w:color w:val="808080"/>
                <w:lang w:eastAsia="en-NZ"/>
              </w:rPr>
            </w:pPr>
            <w:r w:rsidRPr="00905CBD">
              <w:rPr>
                <w:color w:val="808080"/>
                <w:lang w:eastAsia="en-NZ"/>
              </w:rPr>
              <w:t>4.7</w:t>
            </w:r>
          </w:p>
        </w:tc>
        <w:tc>
          <w:tcPr>
            <w:tcW w:w="940" w:type="dxa"/>
            <w:tcBorders>
              <w:top w:val="nil"/>
              <w:left w:val="nil"/>
              <w:bottom w:val="nil"/>
              <w:right w:val="nil"/>
            </w:tcBorders>
            <w:shd w:val="clear" w:color="000000" w:fill="FFFFFF"/>
            <w:hideMark/>
          </w:tcPr>
          <w:p w14:paraId="50D09C5A" w14:textId="77777777" w:rsidR="00FC0DB8" w:rsidRPr="00905CBD" w:rsidRDefault="00FC0DB8" w:rsidP="008B4413">
            <w:pPr>
              <w:pStyle w:val="TableText"/>
              <w:jc w:val="center"/>
              <w:rPr>
                <w:color w:val="808080"/>
                <w:lang w:eastAsia="en-NZ"/>
              </w:rPr>
            </w:pPr>
            <w:r>
              <w:rPr>
                <w:color w:val="808080"/>
                <w:lang w:eastAsia="en-NZ"/>
              </w:rPr>
              <w:t>.</w:t>
            </w:r>
          </w:p>
        </w:tc>
        <w:tc>
          <w:tcPr>
            <w:tcW w:w="1278" w:type="dxa"/>
            <w:tcBorders>
              <w:top w:val="nil"/>
              <w:left w:val="nil"/>
              <w:bottom w:val="nil"/>
              <w:right w:val="nil"/>
            </w:tcBorders>
            <w:shd w:val="clear" w:color="000000" w:fill="FFFFFF"/>
            <w:hideMark/>
          </w:tcPr>
          <w:p w14:paraId="6E0AF8A4"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nil"/>
              <w:right w:val="nil"/>
            </w:tcBorders>
            <w:shd w:val="clear" w:color="000000" w:fill="FFFFFF"/>
            <w:hideMark/>
          </w:tcPr>
          <w:p w14:paraId="35F1A483"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0F729468" w14:textId="77777777" w:rsidTr="008B4413">
        <w:trPr>
          <w:cantSplit/>
        </w:trPr>
        <w:tc>
          <w:tcPr>
            <w:tcW w:w="4020" w:type="dxa"/>
            <w:tcBorders>
              <w:top w:val="nil"/>
              <w:left w:val="nil"/>
              <w:bottom w:val="single" w:sz="4" w:space="0" w:color="808080"/>
              <w:right w:val="nil"/>
            </w:tcBorders>
            <w:shd w:val="clear" w:color="000000" w:fill="FFFFFF"/>
            <w:hideMark/>
          </w:tcPr>
          <w:p w14:paraId="65F6B540" w14:textId="77777777" w:rsidR="00FC0DB8" w:rsidRPr="00905CBD" w:rsidRDefault="00FC0DB8" w:rsidP="008B4413">
            <w:pPr>
              <w:pStyle w:val="TableText"/>
              <w:rPr>
                <w:lang w:eastAsia="en-NZ"/>
              </w:rPr>
            </w:pPr>
            <w:r w:rsidRPr="00905CBD">
              <w:rPr>
                <w:lang w:eastAsia="en-NZ"/>
              </w:rPr>
              <w:t>Unmet need for after-hours due to cost</w:t>
            </w:r>
          </w:p>
        </w:tc>
        <w:tc>
          <w:tcPr>
            <w:tcW w:w="900" w:type="dxa"/>
            <w:tcBorders>
              <w:top w:val="nil"/>
              <w:left w:val="nil"/>
              <w:bottom w:val="single" w:sz="4" w:space="0" w:color="808080"/>
              <w:right w:val="nil"/>
            </w:tcBorders>
            <w:shd w:val="clear" w:color="000000" w:fill="FFFFFF"/>
            <w:hideMark/>
          </w:tcPr>
          <w:p w14:paraId="4494469F" w14:textId="77777777" w:rsidR="00FC0DB8" w:rsidRPr="00905CBD" w:rsidRDefault="00FC0DB8" w:rsidP="008B4413">
            <w:pPr>
              <w:pStyle w:val="TableText"/>
              <w:jc w:val="center"/>
              <w:rPr>
                <w:lang w:eastAsia="en-NZ"/>
              </w:rPr>
            </w:pPr>
            <w:r w:rsidRPr="00905CBD">
              <w:rPr>
                <w:lang w:eastAsia="en-NZ"/>
              </w:rPr>
              <w:t>4.0</w:t>
            </w:r>
          </w:p>
        </w:tc>
        <w:tc>
          <w:tcPr>
            <w:tcW w:w="940" w:type="dxa"/>
            <w:tcBorders>
              <w:top w:val="nil"/>
              <w:left w:val="nil"/>
              <w:bottom w:val="single" w:sz="4" w:space="0" w:color="808080"/>
              <w:right w:val="nil"/>
            </w:tcBorders>
            <w:shd w:val="clear" w:color="000000" w:fill="FFFFFF"/>
            <w:hideMark/>
          </w:tcPr>
          <w:p w14:paraId="07660A99" w14:textId="77777777" w:rsidR="00FC0DB8" w:rsidRPr="00905CBD" w:rsidRDefault="00FC0DB8" w:rsidP="008B4413">
            <w:pPr>
              <w:pStyle w:val="TableText"/>
              <w:jc w:val="center"/>
              <w:rPr>
                <w:color w:val="808080"/>
                <w:lang w:eastAsia="en-NZ"/>
              </w:rPr>
            </w:pPr>
            <w:r w:rsidRPr="00905CBD">
              <w:rPr>
                <w:color w:val="808080"/>
                <w:lang w:eastAsia="en-NZ"/>
              </w:rPr>
              <w:t>4.5</w:t>
            </w:r>
          </w:p>
        </w:tc>
        <w:tc>
          <w:tcPr>
            <w:tcW w:w="940" w:type="dxa"/>
            <w:tcBorders>
              <w:top w:val="nil"/>
              <w:left w:val="nil"/>
              <w:bottom w:val="single" w:sz="4" w:space="0" w:color="808080"/>
              <w:right w:val="nil"/>
            </w:tcBorders>
            <w:shd w:val="clear" w:color="000000" w:fill="FFFFFF"/>
            <w:hideMark/>
          </w:tcPr>
          <w:p w14:paraId="70B131F9" w14:textId="77777777" w:rsidR="00FC0DB8" w:rsidRPr="00905CBD" w:rsidRDefault="00FC0DB8" w:rsidP="008B4413">
            <w:pPr>
              <w:pStyle w:val="TableText"/>
              <w:jc w:val="center"/>
              <w:rPr>
                <w:color w:val="808080"/>
                <w:lang w:eastAsia="en-NZ"/>
              </w:rPr>
            </w:pPr>
            <w:r>
              <w:rPr>
                <w:color w:val="808080"/>
                <w:lang w:eastAsia="en-NZ"/>
              </w:rPr>
              <w:t>.</w:t>
            </w:r>
          </w:p>
        </w:tc>
        <w:tc>
          <w:tcPr>
            <w:tcW w:w="1278" w:type="dxa"/>
            <w:tcBorders>
              <w:top w:val="nil"/>
              <w:left w:val="nil"/>
              <w:bottom w:val="single" w:sz="4" w:space="0" w:color="808080"/>
              <w:right w:val="nil"/>
            </w:tcBorders>
            <w:shd w:val="clear" w:color="000000" w:fill="FFFFFF"/>
            <w:hideMark/>
          </w:tcPr>
          <w:p w14:paraId="58D7059B"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4BFEF7BB"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057542D7" w14:textId="77777777" w:rsidTr="008B4413">
        <w:trPr>
          <w:cantSplit/>
        </w:trPr>
        <w:tc>
          <w:tcPr>
            <w:tcW w:w="4020" w:type="dxa"/>
            <w:tcBorders>
              <w:top w:val="nil"/>
              <w:left w:val="nil"/>
              <w:bottom w:val="single" w:sz="4" w:space="0" w:color="808080"/>
              <w:right w:val="nil"/>
            </w:tcBorders>
            <w:shd w:val="clear" w:color="000000" w:fill="FFFFFF"/>
            <w:hideMark/>
          </w:tcPr>
          <w:p w14:paraId="39B41A98" w14:textId="77777777" w:rsidR="00FC0DB8" w:rsidRPr="00905CBD" w:rsidRDefault="00FC0DB8" w:rsidP="008B4413">
            <w:pPr>
              <w:pStyle w:val="TableText"/>
              <w:rPr>
                <w:lang w:eastAsia="en-NZ"/>
              </w:rPr>
            </w:pPr>
            <w:r w:rsidRPr="00905CBD">
              <w:rPr>
                <w:lang w:eastAsia="en-NZ"/>
              </w:rPr>
              <w:t>Unfilled prescription due to cost</w:t>
            </w:r>
          </w:p>
        </w:tc>
        <w:tc>
          <w:tcPr>
            <w:tcW w:w="900" w:type="dxa"/>
            <w:tcBorders>
              <w:top w:val="nil"/>
              <w:left w:val="nil"/>
              <w:bottom w:val="single" w:sz="4" w:space="0" w:color="808080"/>
              <w:right w:val="nil"/>
            </w:tcBorders>
            <w:shd w:val="clear" w:color="000000" w:fill="FFFFFF"/>
            <w:hideMark/>
          </w:tcPr>
          <w:p w14:paraId="4D6D17A1" w14:textId="77777777" w:rsidR="00FC0DB8" w:rsidRPr="00905CBD" w:rsidRDefault="00FC0DB8" w:rsidP="008B4413">
            <w:pPr>
              <w:pStyle w:val="TableText"/>
              <w:jc w:val="center"/>
              <w:rPr>
                <w:lang w:eastAsia="en-NZ"/>
              </w:rPr>
            </w:pPr>
            <w:r w:rsidRPr="00905CBD">
              <w:rPr>
                <w:lang w:eastAsia="en-NZ"/>
              </w:rPr>
              <w:t>3.8</w:t>
            </w:r>
          </w:p>
        </w:tc>
        <w:tc>
          <w:tcPr>
            <w:tcW w:w="940" w:type="dxa"/>
            <w:tcBorders>
              <w:top w:val="nil"/>
              <w:left w:val="nil"/>
              <w:bottom w:val="single" w:sz="4" w:space="0" w:color="808080"/>
              <w:right w:val="nil"/>
            </w:tcBorders>
            <w:shd w:val="clear" w:color="000000" w:fill="FFFFFF"/>
            <w:hideMark/>
          </w:tcPr>
          <w:p w14:paraId="6D30503B" w14:textId="77777777" w:rsidR="00FC0DB8" w:rsidRPr="00905CBD" w:rsidRDefault="00FC0DB8" w:rsidP="008B4413">
            <w:pPr>
              <w:pStyle w:val="TableText"/>
              <w:jc w:val="center"/>
              <w:rPr>
                <w:color w:val="808080"/>
                <w:lang w:eastAsia="en-NZ"/>
              </w:rPr>
            </w:pPr>
            <w:r w:rsidRPr="00905CBD">
              <w:rPr>
                <w:color w:val="808080"/>
                <w:lang w:eastAsia="en-NZ"/>
              </w:rPr>
              <w:t>6.6</w:t>
            </w:r>
          </w:p>
        </w:tc>
        <w:tc>
          <w:tcPr>
            <w:tcW w:w="940" w:type="dxa"/>
            <w:tcBorders>
              <w:top w:val="nil"/>
              <w:left w:val="nil"/>
              <w:bottom w:val="single" w:sz="4" w:space="0" w:color="808080"/>
              <w:right w:val="nil"/>
            </w:tcBorders>
            <w:shd w:val="clear" w:color="000000" w:fill="FFFFFF"/>
            <w:hideMark/>
          </w:tcPr>
          <w:p w14:paraId="7182D1FB" w14:textId="77777777" w:rsidR="00FC0DB8" w:rsidRPr="00905CBD" w:rsidRDefault="00FC0DB8" w:rsidP="008B4413">
            <w:pPr>
              <w:pStyle w:val="TableText"/>
              <w:jc w:val="center"/>
              <w:rPr>
                <w:color w:val="808080"/>
                <w:lang w:eastAsia="en-NZ"/>
              </w:rPr>
            </w:pPr>
            <w:r>
              <w:rPr>
                <w:color w:val="808080"/>
                <w:lang w:eastAsia="en-NZ"/>
              </w:rPr>
              <w:t>.</w:t>
            </w:r>
          </w:p>
        </w:tc>
        <w:tc>
          <w:tcPr>
            <w:tcW w:w="1278" w:type="dxa"/>
            <w:tcBorders>
              <w:top w:val="nil"/>
              <w:left w:val="nil"/>
              <w:bottom w:val="single" w:sz="4" w:space="0" w:color="808080"/>
              <w:right w:val="nil"/>
            </w:tcBorders>
            <w:shd w:val="clear" w:color="000000" w:fill="FFFFFF"/>
            <w:hideMark/>
          </w:tcPr>
          <w:p w14:paraId="42BE6F69"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1EC4F845"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36A8BD52" w14:textId="77777777" w:rsidTr="008B4413">
        <w:trPr>
          <w:cantSplit/>
        </w:trPr>
        <w:tc>
          <w:tcPr>
            <w:tcW w:w="4020" w:type="dxa"/>
            <w:tcBorders>
              <w:top w:val="nil"/>
              <w:left w:val="nil"/>
              <w:bottom w:val="single" w:sz="4" w:space="0" w:color="808080"/>
              <w:right w:val="nil"/>
            </w:tcBorders>
            <w:shd w:val="clear" w:color="000000" w:fill="FFFFFF"/>
            <w:hideMark/>
          </w:tcPr>
          <w:p w14:paraId="7E91E86D" w14:textId="77777777" w:rsidR="00FC0DB8" w:rsidRPr="00905CBD" w:rsidRDefault="00FC0DB8" w:rsidP="008B4413">
            <w:pPr>
              <w:pStyle w:val="TableText"/>
              <w:rPr>
                <w:lang w:eastAsia="en-NZ"/>
              </w:rPr>
            </w:pPr>
            <w:r w:rsidRPr="00905CBD">
              <w:rPr>
                <w:lang w:eastAsia="en-NZ"/>
              </w:rPr>
              <w:t>Defi</w:t>
            </w:r>
            <w:r w:rsidR="008B4413">
              <w:rPr>
                <w:lang w:eastAsia="en-NZ"/>
              </w:rPr>
              <w:t>nite confidence and trust in GP</w:t>
            </w:r>
          </w:p>
        </w:tc>
        <w:tc>
          <w:tcPr>
            <w:tcW w:w="900" w:type="dxa"/>
            <w:tcBorders>
              <w:top w:val="nil"/>
              <w:left w:val="nil"/>
              <w:bottom w:val="single" w:sz="4" w:space="0" w:color="808080"/>
              <w:right w:val="nil"/>
            </w:tcBorders>
            <w:shd w:val="clear" w:color="000000" w:fill="FFFFFF"/>
            <w:hideMark/>
          </w:tcPr>
          <w:p w14:paraId="3E8E91E3" w14:textId="77777777" w:rsidR="00FC0DB8" w:rsidRPr="00905CBD" w:rsidRDefault="00FC0DB8" w:rsidP="008B4413">
            <w:pPr>
              <w:pStyle w:val="TableText"/>
              <w:jc w:val="center"/>
              <w:rPr>
                <w:lang w:eastAsia="en-NZ"/>
              </w:rPr>
            </w:pPr>
            <w:r w:rsidRPr="00905CBD">
              <w:rPr>
                <w:lang w:eastAsia="en-NZ"/>
              </w:rPr>
              <w:t>79.9</w:t>
            </w:r>
          </w:p>
        </w:tc>
        <w:tc>
          <w:tcPr>
            <w:tcW w:w="940" w:type="dxa"/>
            <w:tcBorders>
              <w:top w:val="nil"/>
              <w:left w:val="nil"/>
              <w:bottom w:val="single" w:sz="4" w:space="0" w:color="808080"/>
              <w:right w:val="nil"/>
            </w:tcBorders>
            <w:shd w:val="clear" w:color="000000" w:fill="FFFFFF"/>
            <w:hideMark/>
          </w:tcPr>
          <w:p w14:paraId="7E7F87B4" w14:textId="77777777" w:rsidR="00FC0DB8" w:rsidRPr="00905CBD" w:rsidRDefault="00FC0DB8" w:rsidP="008B4413">
            <w:pPr>
              <w:pStyle w:val="TableText"/>
              <w:jc w:val="center"/>
              <w:rPr>
                <w:color w:val="808080"/>
                <w:lang w:eastAsia="en-NZ"/>
              </w:rPr>
            </w:pPr>
            <w:r w:rsidRPr="00905CBD">
              <w:rPr>
                <w:color w:val="808080"/>
                <w:lang w:eastAsia="en-NZ"/>
              </w:rPr>
              <w:t>82.8</w:t>
            </w:r>
          </w:p>
        </w:tc>
        <w:tc>
          <w:tcPr>
            <w:tcW w:w="940" w:type="dxa"/>
            <w:tcBorders>
              <w:top w:val="nil"/>
              <w:left w:val="nil"/>
              <w:bottom w:val="single" w:sz="4" w:space="0" w:color="808080"/>
              <w:right w:val="nil"/>
            </w:tcBorders>
            <w:shd w:val="clear" w:color="000000" w:fill="FFFFFF"/>
            <w:hideMark/>
          </w:tcPr>
          <w:p w14:paraId="7D860736" w14:textId="77777777" w:rsidR="00FC0DB8" w:rsidRPr="00905CBD" w:rsidRDefault="00FC0DB8" w:rsidP="008B4413">
            <w:pPr>
              <w:pStyle w:val="TableText"/>
              <w:jc w:val="center"/>
              <w:rPr>
                <w:color w:val="808080"/>
                <w:lang w:eastAsia="en-NZ"/>
              </w:rPr>
            </w:pPr>
            <w:r>
              <w:rPr>
                <w:color w:val="808080"/>
                <w:lang w:eastAsia="en-NZ"/>
              </w:rPr>
              <w:t>.</w:t>
            </w:r>
          </w:p>
        </w:tc>
        <w:tc>
          <w:tcPr>
            <w:tcW w:w="1278" w:type="dxa"/>
            <w:tcBorders>
              <w:top w:val="nil"/>
              <w:left w:val="nil"/>
              <w:bottom w:val="single" w:sz="4" w:space="0" w:color="808080"/>
              <w:right w:val="nil"/>
            </w:tcBorders>
            <w:shd w:val="clear" w:color="000000" w:fill="FFFFFF"/>
            <w:hideMark/>
          </w:tcPr>
          <w:p w14:paraId="19CFA884"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4E809A35"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21D54D65" w14:textId="77777777" w:rsidTr="008B4413">
        <w:trPr>
          <w:cantSplit/>
        </w:trPr>
        <w:tc>
          <w:tcPr>
            <w:tcW w:w="4020" w:type="dxa"/>
            <w:tcBorders>
              <w:top w:val="nil"/>
              <w:left w:val="nil"/>
              <w:bottom w:val="nil"/>
              <w:right w:val="nil"/>
            </w:tcBorders>
            <w:shd w:val="clear" w:color="000000" w:fill="FFFFFF"/>
            <w:hideMark/>
          </w:tcPr>
          <w:p w14:paraId="0273B302" w14:textId="77777777" w:rsidR="00FC0DB8" w:rsidRPr="008B4413" w:rsidRDefault="00FC0DB8" w:rsidP="008B4413">
            <w:pPr>
              <w:pStyle w:val="TableText"/>
              <w:rPr>
                <w:b/>
                <w:lang w:eastAsia="en-NZ"/>
              </w:rPr>
            </w:pPr>
            <w:r w:rsidRPr="008B4413">
              <w:rPr>
                <w:b/>
                <w:lang w:eastAsia="en-NZ"/>
              </w:rPr>
              <w:t>Oral health</w:t>
            </w:r>
          </w:p>
        </w:tc>
        <w:tc>
          <w:tcPr>
            <w:tcW w:w="900" w:type="dxa"/>
            <w:tcBorders>
              <w:top w:val="nil"/>
              <w:left w:val="nil"/>
              <w:bottom w:val="nil"/>
              <w:right w:val="nil"/>
            </w:tcBorders>
            <w:shd w:val="clear" w:color="000000" w:fill="FFFFFF"/>
            <w:hideMark/>
          </w:tcPr>
          <w:p w14:paraId="2BA6FA64" w14:textId="77777777" w:rsidR="00FC0DB8" w:rsidRPr="00905CBD" w:rsidRDefault="00FC0DB8" w:rsidP="008B4413">
            <w:pPr>
              <w:pStyle w:val="TableText"/>
              <w:jc w:val="center"/>
              <w:rPr>
                <w:lang w:eastAsia="en-NZ"/>
              </w:rPr>
            </w:pPr>
          </w:p>
        </w:tc>
        <w:tc>
          <w:tcPr>
            <w:tcW w:w="940" w:type="dxa"/>
            <w:tcBorders>
              <w:top w:val="nil"/>
              <w:left w:val="nil"/>
              <w:bottom w:val="nil"/>
              <w:right w:val="nil"/>
            </w:tcBorders>
            <w:shd w:val="clear" w:color="000000" w:fill="FFFFFF"/>
            <w:hideMark/>
          </w:tcPr>
          <w:p w14:paraId="3FE09DAE" w14:textId="77777777" w:rsidR="00FC0DB8" w:rsidRPr="00905CBD" w:rsidRDefault="00FC0DB8" w:rsidP="008B4413">
            <w:pPr>
              <w:pStyle w:val="TableText"/>
              <w:jc w:val="center"/>
              <w:rPr>
                <w:color w:val="808080"/>
                <w:lang w:eastAsia="en-NZ"/>
              </w:rPr>
            </w:pPr>
          </w:p>
        </w:tc>
        <w:tc>
          <w:tcPr>
            <w:tcW w:w="940" w:type="dxa"/>
            <w:tcBorders>
              <w:top w:val="nil"/>
              <w:left w:val="nil"/>
              <w:bottom w:val="nil"/>
              <w:right w:val="nil"/>
            </w:tcBorders>
            <w:shd w:val="clear" w:color="000000" w:fill="FFFFFF"/>
            <w:hideMark/>
          </w:tcPr>
          <w:p w14:paraId="270DF467" w14:textId="77777777" w:rsidR="00FC0DB8" w:rsidRPr="00905CBD" w:rsidRDefault="00FC0DB8" w:rsidP="008B4413">
            <w:pPr>
              <w:pStyle w:val="TableText"/>
              <w:jc w:val="center"/>
              <w:rPr>
                <w:color w:val="808080"/>
                <w:lang w:eastAsia="en-NZ"/>
              </w:rPr>
            </w:pPr>
          </w:p>
        </w:tc>
        <w:tc>
          <w:tcPr>
            <w:tcW w:w="1278" w:type="dxa"/>
            <w:tcBorders>
              <w:top w:val="nil"/>
              <w:left w:val="nil"/>
              <w:bottom w:val="nil"/>
              <w:right w:val="nil"/>
            </w:tcBorders>
            <w:shd w:val="clear" w:color="000000" w:fill="FFFFFF"/>
            <w:hideMark/>
          </w:tcPr>
          <w:p w14:paraId="5D65E53D" w14:textId="77777777" w:rsidR="00FC0DB8" w:rsidRPr="00905CBD" w:rsidRDefault="00FC0DB8" w:rsidP="008B4413">
            <w:pPr>
              <w:pStyle w:val="TableText"/>
              <w:jc w:val="center"/>
              <w:rPr>
                <w:color w:val="4F81BD"/>
                <w:lang w:eastAsia="en-NZ"/>
              </w:rPr>
            </w:pPr>
          </w:p>
        </w:tc>
        <w:tc>
          <w:tcPr>
            <w:tcW w:w="1278" w:type="dxa"/>
            <w:gridSpan w:val="2"/>
            <w:tcBorders>
              <w:top w:val="nil"/>
              <w:left w:val="nil"/>
              <w:bottom w:val="nil"/>
              <w:right w:val="nil"/>
            </w:tcBorders>
            <w:shd w:val="clear" w:color="000000" w:fill="FFFFFF"/>
            <w:hideMark/>
          </w:tcPr>
          <w:p w14:paraId="29183C7D" w14:textId="77777777" w:rsidR="00FC0DB8" w:rsidRPr="00905CBD" w:rsidRDefault="00FC0DB8" w:rsidP="008B4413">
            <w:pPr>
              <w:pStyle w:val="TableText"/>
              <w:jc w:val="center"/>
              <w:rPr>
                <w:color w:val="4F81BD"/>
                <w:lang w:eastAsia="en-NZ"/>
              </w:rPr>
            </w:pPr>
          </w:p>
        </w:tc>
      </w:tr>
      <w:tr w:rsidR="00FC0DB8" w:rsidRPr="00905CBD" w14:paraId="02C6BAD2" w14:textId="77777777" w:rsidTr="008B4413">
        <w:trPr>
          <w:cantSplit/>
        </w:trPr>
        <w:tc>
          <w:tcPr>
            <w:tcW w:w="4020" w:type="dxa"/>
            <w:tcBorders>
              <w:top w:val="nil"/>
              <w:left w:val="nil"/>
              <w:bottom w:val="nil"/>
              <w:right w:val="nil"/>
            </w:tcBorders>
            <w:shd w:val="clear" w:color="000000" w:fill="FFFFFF"/>
            <w:hideMark/>
          </w:tcPr>
          <w:p w14:paraId="0F06E832" w14:textId="77777777" w:rsidR="00FC0DB8" w:rsidRPr="00905CBD" w:rsidRDefault="00FC0DB8" w:rsidP="008B4413">
            <w:pPr>
              <w:pStyle w:val="TableText"/>
              <w:rPr>
                <w:lang w:eastAsia="en-NZ"/>
              </w:rPr>
            </w:pPr>
            <w:r w:rsidRPr="00905CBD">
              <w:rPr>
                <w:lang w:eastAsia="en-NZ"/>
              </w:rPr>
              <w:t>Dental health care worker visit in the past 12</w:t>
            </w:r>
            <w:r w:rsidR="008B4413">
              <w:rPr>
                <w:lang w:eastAsia="en-NZ"/>
              </w:rPr>
              <w:t> </w:t>
            </w:r>
            <w:r w:rsidRPr="00905CBD">
              <w:rPr>
                <w:lang w:eastAsia="en-NZ"/>
              </w:rPr>
              <w:t>months (1–14 years)</w:t>
            </w:r>
          </w:p>
        </w:tc>
        <w:tc>
          <w:tcPr>
            <w:tcW w:w="900" w:type="dxa"/>
            <w:tcBorders>
              <w:top w:val="nil"/>
              <w:left w:val="nil"/>
              <w:bottom w:val="nil"/>
              <w:right w:val="nil"/>
            </w:tcBorders>
            <w:shd w:val="clear" w:color="000000" w:fill="FFFFFF"/>
            <w:hideMark/>
          </w:tcPr>
          <w:p w14:paraId="17068B1A" w14:textId="77777777" w:rsidR="00FC0DB8" w:rsidRPr="00905CBD" w:rsidRDefault="00FC0DB8" w:rsidP="008B4413">
            <w:pPr>
              <w:pStyle w:val="TableText"/>
              <w:jc w:val="center"/>
              <w:rPr>
                <w:lang w:eastAsia="en-NZ"/>
              </w:rPr>
            </w:pPr>
            <w:r w:rsidRPr="00905CBD">
              <w:rPr>
                <w:lang w:eastAsia="en-NZ"/>
              </w:rPr>
              <w:t>82.6</w:t>
            </w:r>
          </w:p>
        </w:tc>
        <w:tc>
          <w:tcPr>
            <w:tcW w:w="940" w:type="dxa"/>
            <w:tcBorders>
              <w:top w:val="nil"/>
              <w:left w:val="nil"/>
              <w:bottom w:val="nil"/>
              <w:right w:val="nil"/>
            </w:tcBorders>
            <w:shd w:val="clear" w:color="000000" w:fill="FFFFFF"/>
            <w:hideMark/>
          </w:tcPr>
          <w:p w14:paraId="71131C1D" w14:textId="77777777" w:rsidR="00FC0DB8" w:rsidRPr="00905CBD" w:rsidRDefault="00FC0DB8" w:rsidP="008B4413">
            <w:pPr>
              <w:pStyle w:val="TableText"/>
              <w:jc w:val="center"/>
              <w:rPr>
                <w:color w:val="808080"/>
                <w:lang w:eastAsia="en-NZ"/>
              </w:rPr>
            </w:pPr>
            <w:r w:rsidRPr="00905CBD">
              <w:rPr>
                <w:color w:val="808080"/>
                <w:lang w:eastAsia="en-NZ"/>
              </w:rPr>
              <w:t>78.6</w:t>
            </w:r>
          </w:p>
        </w:tc>
        <w:tc>
          <w:tcPr>
            <w:tcW w:w="940" w:type="dxa"/>
            <w:tcBorders>
              <w:top w:val="nil"/>
              <w:left w:val="nil"/>
              <w:bottom w:val="nil"/>
              <w:right w:val="nil"/>
            </w:tcBorders>
            <w:shd w:val="clear" w:color="000000" w:fill="FFFFFF"/>
            <w:hideMark/>
          </w:tcPr>
          <w:p w14:paraId="052A832B" w14:textId="77777777" w:rsidR="00FC0DB8" w:rsidRPr="00905CBD" w:rsidRDefault="00FC0DB8" w:rsidP="008B4413">
            <w:pPr>
              <w:pStyle w:val="TableText"/>
              <w:jc w:val="center"/>
              <w:rPr>
                <w:color w:val="808080"/>
                <w:lang w:eastAsia="en-NZ"/>
              </w:rPr>
            </w:pPr>
            <w:r w:rsidRPr="00905CBD">
              <w:rPr>
                <w:color w:val="808080"/>
                <w:lang w:eastAsia="en-NZ"/>
              </w:rPr>
              <w:t>75.7</w:t>
            </w:r>
          </w:p>
        </w:tc>
        <w:tc>
          <w:tcPr>
            <w:tcW w:w="1278" w:type="dxa"/>
            <w:tcBorders>
              <w:top w:val="nil"/>
              <w:left w:val="nil"/>
              <w:bottom w:val="nil"/>
              <w:right w:val="nil"/>
            </w:tcBorders>
            <w:shd w:val="clear" w:color="000000" w:fill="FFFFFF"/>
            <w:hideMark/>
          </w:tcPr>
          <w:p w14:paraId="4AF6BB33"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nil"/>
              <w:right w:val="nil"/>
            </w:tcBorders>
            <w:shd w:val="clear" w:color="000000" w:fill="FFFFFF"/>
            <w:hideMark/>
          </w:tcPr>
          <w:p w14:paraId="76785E4E"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40C375B0" w14:textId="77777777" w:rsidTr="008B4413">
        <w:trPr>
          <w:cantSplit/>
        </w:trPr>
        <w:tc>
          <w:tcPr>
            <w:tcW w:w="4020" w:type="dxa"/>
            <w:tcBorders>
              <w:top w:val="nil"/>
              <w:left w:val="nil"/>
              <w:bottom w:val="single" w:sz="4" w:space="0" w:color="auto"/>
              <w:right w:val="nil"/>
            </w:tcBorders>
            <w:shd w:val="clear" w:color="000000" w:fill="FFFFFF"/>
            <w:hideMark/>
          </w:tcPr>
          <w:p w14:paraId="1CF9ADBC" w14:textId="77777777" w:rsidR="00FC0DB8" w:rsidRPr="00905CBD" w:rsidRDefault="00FC0DB8" w:rsidP="008B4413">
            <w:pPr>
              <w:pStyle w:val="TableText"/>
              <w:rPr>
                <w:lang w:eastAsia="en-NZ"/>
              </w:rPr>
            </w:pPr>
            <w:r w:rsidRPr="00905CBD">
              <w:rPr>
                <w:lang w:eastAsia="en-NZ"/>
              </w:rPr>
              <w:t>Teeth removed due to decay in the past 12</w:t>
            </w:r>
            <w:r w:rsidR="008B4413">
              <w:rPr>
                <w:lang w:eastAsia="en-NZ"/>
              </w:rPr>
              <w:t> </w:t>
            </w:r>
            <w:r w:rsidRPr="00905CBD">
              <w:rPr>
                <w:lang w:eastAsia="en-NZ"/>
              </w:rPr>
              <w:t>months (1–14 years)</w:t>
            </w:r>
          </w:p>
        </w:tc>
        <w:tc>
          <w:tcPr>
            <w:tcW w:w="900" w:type="dxa"/>
            <w:tcBorders>
              <w:top w:val="nil"/>
              <w:left w:val="nil"/>
              <w:bottom w:val="single" w:sz="4" w:space="0" w:color="808080"/>
              <w:right w:val="nil"/>
            </w:tcBorders>
            <w:shd w:val="clear" w:color="000000" w:fill="FFFFFF"/>
            <w:hideMark/>
          </w:tcPr>
          <w:p w14:paraId="318AB58E" w14:textId="77777777" w:rsidR="00FC0DB8" w:rsidRPr="00905CBD" w:rsidRDefault="00FC0DB8" w:rsidP="008B4413">
            <w:pPr>
              <w:pStyle w:val="TableText"/>
              <w:jc w:val="center"/>
              <w:rPr>
                <w:lang w:eastAsia="en-NZ"/>
              </w:rPr>
            </w:pPr>
            <w:r w:rsidRPr="00905CBD">
              <w:rPr>
                <w:lang w:eastAsia="en-NZ"/>
              </w:rPr>
              <w:t>3.5</w:t>
            </w:r>
          </w:p>
        </w:tc>
        <w:tc>
          <w:tcPr>
            <w:tcW w:w="940" w:type="dxa"/>
            <w:tcBorders>
              <w:top w:val="nil"/>
              <w:left w:val="nil"/>
              <w:bottom w:val="single" w:sz="4" w:space="0" w:color="808080"/>
              <w:right w:val="nil"/>
            </w:tcBorders>
            <w:shd w:val="clear" w:color="000000" w:fill="FFFFFF"/>
            <w:hideMark/>
          </w:tcPr>
          <w:p w14:paraId="3163D22B" w14:textId="77777777" w:rsidR="00FC0DB8" w:rsidRPr="00905CBD" w:rsidRDefault="00FC0DB8" w:rsidP="008B4413">
            <w:pPr>
              <w:pStyle w:val="TableText"/>
              <w:jc w:val="center"/>
              <w:rPr>
                <w:color w:val="808080"/>
                <w:lang w:eastAsia="en-NZ"/>
              </w:rPr>
            </w:pPr>
            <w:r w:rsidRPr="00905CBD">
              <w:rPr>
                <w:color w:val="808080"/>
                <w:lang w:eastAsia="en-NZ"/>
              </w:rPr>
              <w:t>3.9</w:t>
            </w:r>
          </w:p>
        </w:tc>
        <w:tc>
          <w:tcPr>
            <w:tcW w:w="940" w:type="dxa"/>
            <w:tcBorders>
              <w:top w:val="nil"/>
              <w:left w:val="nil"/>
              <w:bottom w:val="single" w:sz="4" w:space="0" w:color="808080"/>
              <w:right w:val="nil"/>
            </w:tcBorders>
            <w:shd w:val="clear" w:color="000000" w:fill="FFFFFF"/>
            <w:hideMark/>
          </w:tcPr>
          <w:p w14:paraId="5D827D55" w14:textId="77777777" w:rsidR="00FC0DB8" w:rsidRPr="00905CBD" w:rsidRDefault="00FC0DB8" w:rsidP="008B4413">
            <w:pPr>
              <w:pStyle w:val="TableText"/>
              <w:jc w:val="center"/>
              <w:rPr>
                <w:color w:val="808080"/>
                <w:lang w:eastAsia="en-NZ"/>
              </w:rPr>
            </w:pPr>
            <w:r>
              <w:rPr>
                <w:color w:val="808080"/>
                <w:lang w:eastAsia="en-NZ"/>
              </w:rPr>
              <w:t>.</w:t>
            </w:r>
          </w:p>
        </w:tc>
        <w:tc>
          <w:tcPr>
            <w:tcW w:w="1278" w:type="dxa"/>
            <w:tcBorders>
              <w:top w:val="nil"/>
              <w:left w:val="nil"/>
              <w:bottom w:val="single" w:sz="4" w:space="0" w:color="808080"/>
              <w:right w:val="nil"/>
            </w:tcBorders>
            <w:shd w:val="clear" w:color="000000" w:fill="FFFFFF"/>
            <w:hideMark/>
          </w:tcPr>
          <w:p w14:paraId="720F0B2E" w14:textId="77777777" w:rsidR="00FC0DB8" w:rsidRPr="00905CBD" w:rsidRDefault="00FC0DB8" w:rsidP="008B4413">
            <w:pPr>
              <w:pStyle w:val="TableText"/>
              <w:jc w:val="center"/>
              <w:rPr>
                <w:color w:val="4F81BD"/>
                <w:lang w:eastAsia="en-NZ"/>
              </w:rPr>
            </w:pPr>
            <w:r w:rsidRPr="00905CBD">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462CD3BB" w14:textId="77777777" w:rsidR="00FC0DB8" w:rsidRPr="00905CBD" w:rsidRDefault="00FC0DB8" w:rsidP="008B4413">
            <w:pPr>
              <w:pStyle w:val="TableText"/>
              <w:jc w:val="center"/>
              <w:rPr>
                <w:color w:val="4F81BD"/>
                <w:lang w:eastAsia="en-NZ"/>
              </w:rPr>
            </w:pPr>
            <w:r w:rsidRPr="00905CBD">
              <w:rPr>
                <w:color w:val="4F81BD"/>
                <w:lang w:eastAsia="en-NZ"/>
              </w:rPr>
              <w:t>.</w:t>
            </w:r>
          </w:p>
        </w:tc>
      </w:tr>
      <w:tr w:rsidR="00FC0DB8" w:rsidRPr="00905CBD" w14:paraId="0FAF3038" w14:textId="77777777" w:rsidTr="008B4413">
        <w:trPr>
          <w:cantSplit/>
        </w:trPr>
        <w:tc>
          <w:tcPr>
            <w:tcW w:w="4920" w:type="dxa"/>
            <w:gridSpan w:val="2"/>
            <w:tcBorders>
              <w:top w:val="single" w:sz="4" w:space="0" w:color="auto"/>
              <w:left w:val="nil"/>
              <w:bottom w:val="nil"/>
              <w:right w:val="nil"/>
            </w:tcBorders>
            <w:shd w:val="clear" w:color="000000" w:fill="FFFFFF"/>
            <w:noWrap/>
            <w:vAlign w:val="bottom"/>
            <w:hideMark/>
          </w:tcPr>
          <w:p w14:paraId="2586C917" w14:textId="77777777" w:rsidR="00FC0DB8" w:rsidRPr="00905CBD" w:rsidRDefault="00FC0DB8" w:rsidP="008B4413">
            <w:pPr>
              <w:pStyle w:val="TableText"/>
              <w:rPr>
                <w:lang w:eastAsia="en-NZ"/>
              </w:rPr>
            </w:pPr>
            <w:r w:rsidRPr="00905CBD">
              <w:rPr>
                <w:lang w:eastAsia="en-NZ"/>
              </w:rPr>
              <w:t>Key:</w:t>
            </w:r>
            <w:r w:rsidR="008B4413">
              <w:rPr>
                <w:lang w:eastAsia="en-NZ"/>
              </w:rPr>
              <w:tab/>
            </w:r>
            <w:r w:rsidRPr="00905CBD">
              <w:rPr>
                <w:color w:val="4F81BD"/>
                <w:lang w:eastAsia="en-NZ"/>
              </w:rPr>
              <w:t>▲</w:t>
            </w:r>
            <w:r w:rsidRPr="00905CBD">
              <w:rPr>
                <w:lang w:eastAsia="en-NZ"/>
              </w:rPr>
              <w:t xml:space="preserve"> Statistically significant increase</w:t>
            </w:r>
            <w:r>
              <w:rPr>
                <w:vertAlign w:val="superscript"/>
                <w:lang w:eastAsia="en-NZ"/>
              </w:rPr>
              <w:t>1</w:t>
            </w:r>
          </w:p>
        </w:tc>
        <w:tc>
          <w:tcPr>
            <w:tcW w:w="3360" w:type="dxa"/>
            <w:gridSpan w:val="4"/>
            <w:tcBorders>
              <w:top w:val="single" w:sz="4" w:space="0" w:color="auto"/>
              <w:left w:val="nil"/>
              <w:bottom w:val="nil"/>
              <w:right w:val="nil"/>
            </w:tcBorders>
            <w:shd w:val="clear" w:color="000000" w:fill="FFFFFF"/>
            <w:noWrap/>
            <w:vAlign w:val="bottom"/>
            <w:hideMark/>
          </w:tcPr>
          <w:p w14:paraId="3EDD3D44" w14:textId="77777777" w:rsidR="00FC0DB8" w:rsidRPr="00905CBD" w:rsidRDefault="00FC0DB8" w:rsidP="008B4413">
            <w:pPr>
              <w:pStyle w:val="TableText"/>
              <w:rPr>
                <w:lang w:eastAsia="en-NZ"/>
              </w:rPr>
            </w:pPr>
            <w:r w:rsidRPr="00905CBD">
              <w:rPr>
                <w:color w:val="4F81BD"/>
                <w:lang w:eastAsia="en-NZ"/>
              </w:rPr>
              <w:t>=</w:t>
            </w:r>
            <w:r w:rsidRPr="00905CBD">
              <w:rPr>
                <w:lang w:eastAsia="en-NZ"/>
              </w:rPr>
              <w:t xml:space="preserve"> No statistically significant change</w:t>
            </w:r>
          </w:p>
        </w:tc>
        <w:tc>
          <w:tcPr>
            <w:tcW w:w="1076" w:type="dxa"/>
            <w:tcBorders>
              <w:top w:val="single" w:sz="4" w:space="0" w:color="auto"/>
              <w:left w:val="nil"/>
              <w:bottom w:val="nil"/>
              <w:right w:val="nil"/>
            </w:tcBorders>
            <w:shd w:val="clear" w:color="000000" w:fill="FFFFFF"/>
            <w:noWrap/>
            <w:vAlign w:val="bottom"/>
            <w:hideMark/>
          </w:tcPr>
          <w:p w14:paraId="48841F3D" w14:textId="77777777" w:rsidR="00FC0DB8" w:rsidRPr="00905CBD" w:rsidRDefault="00FC0DB8" w:rsidP="008B4413">
            <w:pPr>
              <w:pStyle w:val="TableText"/>
              <w:rPr>
                <w:lang w:eastAsia="en-NZ"/>
              </w:rPr>
            </w:pPr>
          </w:p>
        </w:tc>
      </w:tr>
      <w:tr w:rsidR="00FC0DB8" w:rsidRPr="00905CBD" w14:paraId="6ADC96F6" w14:textId="77777777" w:rsidTr="008B4413">
        <w:trPr>
          <w:cantSplit/>
        </w:trPr>
        <w:tc>
          <w:tcPr>
            <w:tcW w:w="4920" w:type="dxa"/>
            <w:gridSpan w:val="2"/>
            <w:tcBorders>
              <w:top w:val="nil"/>
              <w:left w:val="nil"/>
              <w:bottom w:val="nil"/>
              <w:right w:val="nil"/>
            </w:tcBorders>
            <w:shd w:val="clear" w:color="000000" w:fill="FFFFFF"/>
            <w:noWrap/>
            <w:vAlign w:val="bottom"/>
            <w:hideMark/>
          </w:tcPr>
          <w:p w14:paraId="4ED98BA4" w14:textId="77777777" w:rsidR="00FC0DB8" w:rsidRPr="00905CBD" w:rsidRDefault="00FC0DB8" w:rsidP="008B4413">
            <w:pPr>
              <w:pStyle w:val="TableText"/>
              <w:ind w:left="567"/>
              <w:rPr>
                <w:lang w:eastAsia="en-NZ"/>
              </w:rPr>
            </w:pPr>
            <w:r w:rsidRPr="00905CBD">
              <w:rPr>
                <w:color w:val="4F81BD"/>
                <w:lang w:eastAsia="en-NZ"/>
              </w:rPr>
              <w:t>▼</w:t>
            </w:r>
            <w:r w:rsidRPr="00905CBD">
              <w:rPr>
                <w:lang w:eastAsia="en-NZ"/>
              </w:rPr>
              <w:t xml:space="preserve"> Statistically significant decrease</w:t>
            </w:r>
            <w:r>
              <w:rPr>
                <w:vertAlign w:val="superscript"/>
                <w:lang w:eastAsia="en-NZ"/>
              </w:rPr>
              <w:t>1</w:t>
            </w:r>
          </w:p>
        </w:tc>
        <w:tc>
          <w:tcPr>
            <w:tcW w:w="1880" w:type="dxa"/>
            <w:gridSpan w:val="2"/>
            <w:tcBorders>
              <w:top w:val="nil"/>
              <w:left w:val="nil"/>
              <w:bottom w:val="nil"/>
              <w:right w:val="nil"/>
            </w:tcBorders>
            <w:shd w:val="clear" w:color="000000" w:fill="FFFFFF"/>
            <w:noWrap/>
            <w:vAlign w:val="bottom"/>
            <w:hideMark/>
          </w:tcPr>
          <w:p w14:paraId="0ACEEE5E" w14:textId="77777777" w:rsidR="00FC0DB8" w:rsidRPr="00905CBD" w:rsidRDefault="00FC0DB8" w:rsidP="008B4413">
            <w:pPr>
              <w:pStyle w:val="TableText"/>
              <w:rPr>
                <w:lang w:eastAsia="en-NZ"/>
              </w:rPr>
            </w:pPr>
            <w:r w:rsidRPr="00905CBD">
              <w:rPr>
                <w:color w:val="4F81BD"/>
                <w:lang w:eastAsia="en-NZ"/>
              </w:rPr>
              <w:t xml:space="preserve">. </w:t>
            </w:r>
            <w:r w:rsidRPr="00905CBD">
              <w:rPr>
                <w:lang w:eastAsia="en-NZ"/>
              </w:rPr>
              <w:t>Data not available</w:t>
            </w:r>
          </w:p>
        </w:tc>
        <w:tc>
          <w:tcPr>
            <w:tcW w:w="1480" w:type="dxa"/>
            <w:gridSpan w:val="2"/>
            <w:tcBorders>
              <w:top w:val="nil"/>
              <w:left w:val="nil"/>
              <w:bottom w:val="nil"/>
              <w:right w:val="nil"/>
            </w:tcBorders>
            <w:shd w:val="clear" w:color="000000" w:fill="FFFFFF"/>
            <w:noWrap/>
            <w:vAlign w:val="bottom"/>
            <w:hideMark/>
          </w:tcPr>
          <w:p w14:paraId="3F9B532E" w14:textId="77777777" w:rsidR="00FC0DB8" w:rsidRPr="00905CBD" w:rsidRDefault="00FC0DB8" w:rsidP="008B4413">
            <w:pPr>
              <w:pStyle w:val="TableText"/>
              <w:rPr>
                <w:lang w:eastAsia="en-NZ"/>
              </w:rPr>
            </w:pPr>
          </w:p>
        </w:tc>
        <w:tc>
          <w:tcPr>
            <w:tcW w:w="1076" w:type="dxa"/>
            <w:tcBorders>
              <w:top w:val="nil"/>
              <w:left w:val="nil"/>
              <w:bottom w:val="nil"/>
              <w:right w:val="nil"/>
            </w:tcBorders>
            <w:shd w:val="clear" w:color="000000" w:fill="FFFFFF"/>
            <w:noWrap/>
            <w:vAlign w:val="bottom"/>
            <w:hideMark/>
          </w:tcPr>
          <w:p w14:paraId="44D2ED0B" w14:textId="77777777" w:rsidR="00FC0DB8" w:rsidRPr="00905CBD" w:rsidRDefault="00FC0DB8" w:rsidP="008B4413">
            <w:pPr>
              <w:pStyle w:val="TableText"/>
              <w:rPr>
                <w:lang w:eastAsia="en-NZ"/>
              </w:rPr>
            </w:pPr>
          </w:p>
        </w:tc>
      </w:tr>
      <w:tr w:rsidR="00FC0DB8" w:rsidRPr="00905CBD" w14:paraId="71D47294" w14:textId="77777777" w:rsidTr="008B4413">
        <w:trPr>
          <w:cantSplit/>
        </w:trPr>
        <w:tc>
          <w:tcPr>
            <w:tcW w:w="8280" w:type="dxa"/>
            <w:gridSpan w:val="6"/>
            <w:tcBorders>
              <w:top w:val="nil"/>
              <w:left w:val="nil"/>
              <w:bottom w:val="single" w:sz="4" w:space="0" w:color="auto"/>
              <w:right w:val="nil"/>
            </w:tcBorders>
            <w:shd w:val="clear" w:color="000000" w:fill="FFFFFF"/>
            <w:noWrap/>
            <w:vAlign w:val="bottom"/>
            <w:hideMark/>
          </w:tcPr>
          <w:p w14:paraId="2B983EA6" w14:textId="77777777" w:rsidR="00FC0DB8" w:rsidRPr="00905CBD" w:rsidRDefault="00FC0DB8" w:rsidP="008B4413">
            <w:pPr>
              <w:pStyle w:val="TableText"/>
              <w:ind w:left="284" w:hanging="284"/>
              <w:rPr>
                <w:lang w:eastAsia="en-NZ"/>
              </w:rPr>
            </w:pPr>
            <w:r w:rsidRPr="00905CBD">
              <w:rPr>
                <w:lang w:eastAsia="en-NZ"/>
              </w:rPr>
              <w:t>1</w:t>
            </w:r>
            <w:r w:rsidR="008B4413">
              <w:rPr>
                <w:lang w:eastAsia="en-NZ"/>
              </w:rPr>
              <w:tab/>
            </w:r>
            <w:r w:rsidRPr="00905CBD">
              <w:rPr>
                <w:lang w:eastAsia="en-NZ"/>
              </w:rPr>
              <w:t>The significance (</w:t>
            </w:r>
            <w:r w:rsidRPr="00FD13C8">
              <w:rPr>
                <w:i/>
                <w:lang w:eastAsia="en-NZ"/>
              </w:rPr>
              <w:t>p</w:t>
            </w:r>
            <w:r w:rsidRPr="00905CBD">
              <w:rPr>
                <w:lang w:eastAsia="en-NZ"/>
              </w:rPr>
              <w:t>-values) of differences between years is based on age-standardised rates</w:t>
            </w:r>
            <w:r>
              <w:rPr>
                <w:lang w:eastAsia="en-NZ"/>
              </w:rPr>
              <w:t>.</w:t>
            </w:r>
          </w:p>
        </w:tc>
        <w:tc>
          <w:tcPr>
            <w:tcW w:w="1076" w:type="dxa"/>
            <w:tcBorders>
              <w:top w:val="nil"/>
              <w:left w:val="nil"/>
              <w:bottom w:val="single" w:sz="4" w:space="0" w:color="auto"/>
              <w:right w:val="nil"/>
            </w:tcBorders>
            <w:shd w:val="clear" w:color="000000" w:fill="FFFFFF"/>
            <w:noWrap/>
            <w:vAlign w:val="bottom"/>
            <w:hideMark/>
          </w:tcPr>
          <w:p w14:paraId="0AA833B6" w14:textId="77777777" w:rsidR="00FC0DB8" w:rsidRPr="00905CBD" w:rsidRDefault="00FC0DB8" w:rsidP="008B4413">
            <w:pPr>
              <w:pStyle w:val="TableText"/>
              <w:jc w:val="center"/>
              <w:rPr>
                <w:lang w:eastAsia="en-NZ"/>
              </w:rPr>
            </w:pPr>
          </w:p>
        </w:tc>
      </w:tr>
    </w:tbl>
    <w:p w14:paraId="7E3C9112" w14:textId="77777777" w:rsidR="00FC0DB8" w:rsidRDefault="00FC0DB8" w:rsidP="008B4413"/>
    <w:p w14:paraId="749662BC" w14:textId="77777777" w:rsidR="00FC0DB8" w:rsidRDefault="00FC0DB8" w:rsidP="008B4413">
      <w:pPr>
        <w:pStyle w:val="Table"/>
        <w:rPr>
          <w:lang w:eastAsia="en-NZ"/>
        </w:rPr>
      </w:pPr>
      <w:bookmarkStart w:id="93" w:name="_Toc435784753"/>
      <w:bookmarkStart w:id="94" w:name="_Toc466618816"/>
      <w:bookmarkStart w:id="95" w:name="_Toc467831562"/>
      <w:r w:rsidRPr="00491611">
        <w:rPr>
          <w:lang w:eastAsia="en-NZ"/>
        </w:rPr>
        <w:lastRenderedPageBreak/>
        <w:t xml:space="preserve">Table </w:t>
      </w:r>
      <w:r>
        <w:rPr>
          <w:lang w:eastAsia="en-NZ"/>
        </w:rPr>
        <w:t>8</w:t>
      </w:r>
      <w:r w:rsidRPr="00491611">
        <w:rPr>
          <w:lang w:eastAsia="en-NZ"/>
        </w:rPr>
        <w:t>:</w:t>
      </w:r>
      <w:r w:rsidR="008B4413">
        <w:rPr>
          <w:lang w:eastAsia="en-NZ"/>
        </w:rPr>
        <w:t xml:space="preserve"> </w:t>
      </w:r>
      <w:r w:rsidRPr="008E6702">
        <w:rPr>
          <w:lang w:eastAsia="en-NZ"/>
        </w:rPr>
        <w:t>Key survey results for Māori children</w:t>
      </w:r>
      <w:bookmarkEnd w:id="93"/>
      <w:r>
        <w:rPr>
          <w:lang w:eastAsia="en-NZ"/>
        </w:rPr>
        <w:t xml:space="preserve"> (aged 0–14 years, unless stated below)</w:t>
      </w:r>
      <w:bookmarkEnd w:id="94"/>
      <w:bookmarkEnd w:id="95"/>
    </w:p>
    <w:tbl>
      <w:tblPr>
        <w:tblW w:w="0" w:type="auto"/>
        <w:tblInd w:w="57" w:type="dxa"/>
        <w:tblLayout w:type="fixed"/>
        <w:tblCellMar>
          <w:left w:w="57" w:type="dxa"/>
          <w:right w:w="57" w:type="dxa"/>
        </w:tblCellMar>
        <w:tblLook w:val="04A0" w:firstRow="1" w:lastRow="0" w:firstColumn="1" w:lastColumn="0" w:noHBand="0" w:noVBand="1"/>
      </w:tblPr>
      <w:tblGrid>
        <w:gridCol w:w="4020"/>
        <w:gridCol w:w="900"/>
        <w:gridCol w:w="940"/>
        <w:gridCol w:w="940"/>
        <w:gridCol w:w="1278"/>
        <w:gridCol w:w="202"/>
        <w:gridCol w:w="1076"/>
      </w:tblGrid>
      <w:tr w:rsidR="00FC0DB8" w:rsidRPr="008B4413" w14:paraId="1CBFB1FB" w14:textId="77777777" w:rsidTr="008B4413">
        <w:trPr>
          <w:cantSplit/>
        </w:trPr>
        <w:tc>
          <w:tcPr>
            <w:tcW w:w="4020" w:type="dxa"/>
            <w:tcBorders>
              <w:top w:val="single" w:sz="4" w:space="0" w:color="auto"/>
              <w:left w:val="nil"/>
              <w:bottom w:val="single" w:sz="4" w:space="0" w:color="auto"/>
              <w:right w:val="nil"/>
            </w:tcBorders>
            <w:shd w:val="clear" w:color="000000" w:fill="FFFFFF"/>
            <w:hideMark/>
          </w:tcPr>
          <w:p w14:paraId="4856C899" w14:textId="77777777" w:rsidR="00FC0DB8" w:rsidRPr="008B4413" w:rsidRDefault="00FC0DB8" w:rsidP="008B4413">
            <w:pPr>
              <w:pStyle w:val="TableText"/>
              <w:keepNext/>
              <w:rPr>
                <w:b/>
                <w:lang w:eastAsia="en-NZ"/>
              </w:rPr>
            </w:pPr>
            <w:r w:rsidRPr="008B4413">
              <w:rPr>
                <w:b/>
                <w:lang w:eastAsia="en-NZ"/>
              </w:rPr>
              <w:t>Indicator</w:t>
            </w:r>
          </w:p>
        </w:tc>
        <w:tc>
          <w:tcPr>
            <w:tcW w:w="900" w:type="dxa"/>
            <w:tcBorders>
              <w:top w:val="single" w:sz="4" w:space="0" w:color="auto"/>
              <w:left w:val="nil"/>
              <w:bottom w:val="single" w:sz="4" w:space="0" w:color="auto"/>
              <w:right w:val="nil"/>
            </w:tcBorders>
            <w:shd w:val="clear" w:color="000000" w:fill="FFFFFF"/>
            <w:hideMark/>
          </w:tcPr>
          <w:p w14:paraId="445A6AA0" w14:textId="77777777" w:rsidR="00FC0DB8" w:rsidRPr="008B4413" w:rsidRDefault="00FC0DB8" w:rsidP="008B4413">
            <w:pPr>
              <w:pStyle w:val="TableText"/>
              <w:keepNext/>
              <w:jc w:val="center"/>
              <w:rPr>
                <w:b/>
                <w:lang w:eastAsia="en-NZ"/>
              </w:rPr>
            </w:pPr>
            <w:r w:rsidRPr="008B4413">
              <w:rPr>
                <w:b/>
                <w:lang w:eastAsia="en-NZ"/>
              </w:rPr>
              <w:t>Percent 2015/16</w:t>
            </w:r>
          </w:p>
        </w:tc>
        <w:tc>
          <w:tcPr>
            <w:tcW w:w="940" w:type="dxa"/>
            <w:tcBorders>
              <w:top w:val="single" w:sz="4" w:space="0" w:color="auto"/>
              <w:left w:val="nil"/>
              <w:bottom w:val="single" w:sz="4" w:space="0" w:color="auto"/>
              <w:right w:val="nil"/>
            </w:tcBorders>
            <w:shd w:val="clear" w:color="000000" w:fill="FFFFFF"/>
            <w:hideMark/>
          </w:tcPr>
          <w:p w14:paraId="5BB95C2F" w14:textId="77777777" w:rsidR="00FC0DB8" w:rsidRPr="008B4413" w:rsidRDefault="00FC0DB8" w:rsidP="008B4413">
            <w:pPr>
              <w:pStyle w:val="TableText"/>
              <w:keepNext/>
              <w:jc w:val="center"/>
              <w:rPr>
                <w:b/>
                <w:color w:val="808080"/>
                <w:lang w:eastAsia="en-NZ"/>
              </w:rPr>
            </w:pPr>
            <w:r w:rsidRPr="008B4413">
              <w:rPr>
                <w:b/>
                <w:color w:val="808080"/>
                <w:lang w:eastAsia="en-NZ"/>
              </w:rPr>
              <w:t>Percent 2011/12</w:t>
            </w:r>
          </w:p>
        </w:tc>
        <w:tc>
          <w:tcPr>
            <w:tcW w:w="940" w:type="dxa"/>
            <w:tcBorders>
              <w:top w:val="single" w:sz="4" w:space="0" w:color="auto"/>
              <w:left w:val="nil"/>
              <w:bottom w:val="single" w:sz="4" w:space="0" w:color="auto"/>
              <w:right w:val="nil"/>
            </w:tcBorders>
            <w:shd w:val="clear" w:color="000000" w:fill="FFFFFF"/>
            <w:hideMark/>
          </w:tcPr>
          <w:p w14:paraId="71124BAA" w14:textId="77777777" w:rsidR="00FC0DB8" w:rsidRPr="008B4413" w:rsidRDefault="00FC0DB8" w:rsidP="008B4413">
            <w:pPr>
              <w:pStyle w:val="TableText"/>
              <w:keepNext/>
              <w:jc w:val="center"/>
              <w:rPr>
                <w:b/>
                <w:color w:val="808080"/>
                <w:lang w:eastAsia="en-NZ"/>
              </w:rPr>
            </w:pPr>
            <w:r w:rsidRPr="008B4413">
              <w:rPr>
                <w:b/>
                <w:color w:val="808080"/>
                <w:lang w:eastAsia="en-NZ"/>
              </w:rPr>
              <w:t>Percent 2006/07</w:t>
            </w:r>
          </w:p>
        </w:tc>
        <w:tc>
          <w:tcPr>
            <w:tcW w:w="1278" w:type="dxa"/>
            <w:tcBorders>
              <w:top w:val="single" w:sz="4" w:space="0" w:color="auto"/>
              <w:left w:val="nil"/>
              <w:bottom w:val="single" w:sz="4" w:space="0" w:color="auto"/>
              <w:right w:val="nil"/>
            </w:tcBorders>
            <w:shd w:val="clear" w:color="000000" w:fill="FFFFFF"/>
            <w:hideMark/>
          </w:tcPr>
          <w:p w14:paraId="65EDBBBB" w14:textId="77777777" w:rsidR="00FC0DB8" w:rsidRPr="008B4413" w:rsidRDefault="00FC0DB8" w:rsidP="008B4413">
            <w:pPr>
              <w:pStyle w:val="TableText"/>
              <w:keepNext/>
              <w:jc w:val="center"/>
              <w:rPr>
                <w:b/>
                <w:lang w:eastAsia="en-NZ"/>
              </w:rPr>
            </w:pPr>
            <w:r w:rsidRPr="008B4413">
              <w:rPr>
                <w:b/>
                <w:lang w:eastAsia="en-NZ"/>
              </w:rPr>
              <w:t>Change</w:t>
            </w:r>
            <w:r w:rsidR="00FD6712" w:rsidRPr="008B4413">
              <w:rPr>
                <w:b/>
                <w:lang w:eastAsia="en-NZ"/>
              </w:rPr>
              <w:t xml:space="preserve"> </w:t>
            </w:r>
            <w:r w:rsidRPr="008B4413">
              <w:rPr>
                <w:b/>
                <w:lang w:eastAsia="en-NZ"/>
              </w:rPr>
              <w:t>since 2011/12</w:t>
            </w:r>
          </w:p>
        </w:tc>
        <w:tc>
          <w:tcPr>
            <w:tcW w:w="1278" w:type="dxa"/>
            <w:gridSpan w:val="2"/>
            <w:tcBorders>
              <w:top w:val="single" w:sz="4" w:space="0" w:color="auto"/>
              <w:left w:val="nil"/>
              <w:bottom w:val="single" w:sz="4" w:space="0" w:color="auto"/>
              <w:right w:val="nil"/>
            </w:tcBorders>
            <w:shd w:val="clear" w:color="000000" w:fill="FFFFFF"/>
            <w:hideMark/>
          </w:tcPr>
          <w:p w14:paraId="6C47E240" w14:textId="77777777" w:rsidR="00FC0DB8" w:rsidRPr="008B4413" w:rsidRDefault="00FC0DB8" w:rsidP="008B4413">
            <w:pPr>
              <w:pStyle w:val="TableText"/>
              <w:keepNext/>
              <w:jc w:val="center"/>
              <w:rPr>
                <w:b/>
                <w:lang w:eastAsia="en-NZ"/>
              </w:rPr>
            </w:pPr>
            <w:r w:rsidRPr="008B4413">
              <w:rPr>
                <w:b/>
                <w:lang w:eastAsia="en-NZ"/>
              </w:rPr>
              <w:t>Change</w:t>
            </w:r>
            <w:r w:rsidR="00FD6712" w:rsidRPr="008B4413">
              <w:rPr>
                <w:b/>
                <w:lang w:eastAsia="en-NZ"/>
              </w:rPr>
              <w:t xml:space="preserve"> </w:t>
            </w:r>
            <w:r w:rsidRPr="008B4413">
              <w:rPr>
                <w:b/>
                <w:lang w:eastAsia="en-NZ"/>
              </w:rPr>
              <w:t>since 2006/07</w:t>
            </w:r>
          </w:p>
        </w:tc>
      </w:tr>
      <w:tr w:rsidR="00FC0DB8" w:rsidRPr="00311627" w14:paraId="3222A4DF" w14:textId="77777777" w:rsidTr="008B4413">
        <w:trPr>
          <w:cantSplit/>
        </w:trPr>
        <w:tc>
          <w:tcPr>
            <w:tcW w:w="4020" w:type="dxa"/>
            <w:tcBorders>
              <w:top w:val="nil"/>
              <w:left w:val="nil"/>
              <w:bottom w:val="nil"/>
              <w:right w:val="nil"/>
            </w:tcBorders>
            <w:shd w:val="clear" w:color="000000" w:fill="FFFFFF"/>
            <w:hideMark/>
          </w:tcPr>
          <w:p w14:paraId="011BA010" w14:textId="77777777" w:rsidR="00FC0DB8" w:rsidRPr="008B4413" w:rsidRDefault="00FC0DB8" w:rsidP="008B4413">
            <w:pPr>
              <w:pStyle w:val="TableText"/>
              <w:keepNext/>
              <w:rPr>
                <w:b/>
                <w:lang w:eastAsia="en-NZ"/>
              </w:rPr>
            </w:pPr>
            <w:r w:rsidRPr="008B4413">
              <w:rPr>
                <w:b/>
                <w:lang w:eastAsia="en-NZ"/>
              </w:rPr>
              <w:t>Health status, health behaviours and risk factors</w:t>
            </w:r>
          </w:p>
        </w:tc>
        <w:tc>
          <w:tcPr>
            <w:tcW w:w="900" w:type="dxa"/>
            <w:tcBorders>
              <w:top w:val="nil"/>
              <w:left w:val="nil"/>
              <w:bottom w:val="nil"/>
              <w:right w:val="nil"/>
            </w:tcBorders>
            <w:shd w:val="clear" w:color="000000" w:fill="FFFFFF"/>
            <w:hideMark/>
          </w:tcPr>
          <w:p w14:paraId="1BD829EE" w14:textId="77777777" w:rsidR="00FC0DB8" w:rsidRPr="00311627" w:rsidRDefault="00FC0DB8" w:rsidP="008B4413">
            <w:pPr>
              <w:pStyle w:val="TableText"/>
              <w:keepNext/>
              <w:jc w:val="center"/>
              <w:rPr>
                <w:lang w:eastAsia="en-NZ"/>
              </w:rPr>
            </w:pPr>
          </w:p>
        </w:tc>
        <w:tc>
          <w:tcPr>
            <w:tcW w:w="940" w:type="dxa"/>
            <w:tcBorders>
              <w:top w:val="nil"/>
              <w:left w:val="nil"/>
              <w:bottom w:val="nil"/>
              <w:right w:val="nil"/>
            </w:tcBorders>
            <w:shd w:val="clear" w:color="000000" w:fill="FFFFFF"/>
            <w:hideMark/>
          </w:tcPr>
          <w:p w14:paraId="4ECD5811" w14:textId="77777777" w:rsidR="00FC0DB8" w:rsidRPr="00311627" w:rsidRDefault="00FC0DB8" w:rsidP="008B4413">
            <w:pPr>
              <w:pStyle w:val="TableText"/>
              <w:keepNext/>
              <w:jc w:val="center"/>
              <w:rPr>
                <w:color w:val="808080"/>
                <w:lang w:eastAsia="en-NZ"/>
              </w:rPr>
            </w:pPr>
          </w:p>
        </w:tc>
        <w:tc>
          <w:tcPr>
            <w:tcW w:w="940" w:type="dxa"/>
            <w:tcBorders>
              <w:top w:val="nil"/>
              <w:left w:val="nil"/>
              <w:bottom w:val="nil"/>
              <w:right w:val="nil"/>
            </w:tcBorders>
            <w:shd w:val="clear" w:color="000000" w:fill="FFFFFF"/>
            <w:hideMark/>
          </w:tcPr>
          <w:p w14:paraId="36B869E4" w14:textId="77777777" w:rsidR="00FC0DB8" w:rsidRPr="00311627" w:rsidRDefault="00FC0DB8" w:rsidP="008B4413">
            <w:pPr>
              <w:pStyle w:val="TableText"/>
              <w:keepNext/>
              <w:jc w:val="center"/>
              <w:rPr>
                <w:color w:val="808080"/>
                <w:lang w:eastAsia="en-NZ"/>
              </w:rPr>
            </w:pPr>
          </w:p>
        </w:tc>
        <w:tc>
          <w:tcPr>
            <w:tcW w:w="1278" w:type="dxa"/>
            <w:tcBorders>
              <w:top w:val="nil"/>
              <w:left w:val="nil"/>
              <w:bottom w:val="nil"/>
              <w:right w:val="nil"/>
            </w:tcBorders>
            <w:shd w:val="clear" w:color="000000" w:fill="FFFFFF"/>
            <w:hideMark/>
          </w:tcPr>
          <w:p w14:paraId="5BC32C97" w14:textId="77777777" w:rsidR="00FC0DB8" w:rsidRPr="00311627" w:rsidRDefault="00FC0DB8" w:rsidP="008B4413">
            <w:pPr>
              <w:pStyle w:val="TableText"/>
              <w:keepNext/>
              <w:jc w:val="center"/>
              <w:rPr>
                <w:color w:val="4F81BD"/>
                <w:lang w:eastAsia="en-NZ"/>
              </w:rPr>
            </w:pPr>
          </w:p>
        </w:tc>
        <w:tc>
          <w:tcPr>
            <w:tcW w:w="1278" w:type="dxa"/>
            <w:gridSpan w:val="2"/>
            <w:tcBorders>
              <w:top w:val="nil"/>
              <w:left w:val="nil"/>
              <w:bottom w:val="nil"/>
              <w:right w:val="nil"/>
            </w:tcBorders>
            <w:shd w:val="clear" w:color="000000" w:fill="FFFFFF"/>
            <w:hideMark/>
          </w:tcPr>
          <w:p w14:paraId="699271BF" w14:textId="77777777" w:rsidR="00FC0DB8" w:rsidRPr="00311627" w:rsidRDefault="00FC0DB8" w:rsidP="008B4413">
            <w:pPr>
              <w:pStyle w:val="TableText"/>
              <w:keepNext/>
              <w:jc w:val="center"/>
              <w:rPr>
                <w:color w:val="4F81BD"/>
                <w:lang w:eastAsia="en-NZ"/>
              </w:rPr>
            </w:pPr>
          </w:p>
        </w:tc>
      </w:tr>
      <w:tr w:rsidR="00FC0DB8" w:rsidRPr="00311627" w14:paraId="7E7E0A73" w14:textId="77777777" w:rsidTr="008B4413">
        <w:trPr>
          <w:cantSplit/>
        </w:trPr>
        <w:tc>
          <w:tcPr>
            <w:tcW w:w="4020" w:type="dxa"/>
            <w:tcBorders>
              <w:top w:val="nil"/>
              <w:left w:val="nil"/>
              <w:bottom w:val="single" w:sz="4" w:space="0" w:color="808080"/>
              <w:right w:val="nil"/>
            </w:tcBorders>
            <w:shd w:val="clear" w:color="000000" w:fill="FFFFFF"/>
            <w:hideMark/>
          </w:tcPr>
          <w:p w14:paraId="761BDBD8" w14:textId="77777777" w:rsidR="00FC0DB8" w:rsidRPr="00311627" w:rsidRDefault="00FC0DB8" w:rsidP="008B4413">
            <w:pPr>
              <w:pStyle w:val="TableText"/>
              <w:keepNext/>
              <w:rPr>
                <w:lang w:eastAsia="en-NZ"/>
              </w:rPr>
            </w:pPr>
            <w:r w:rsidRPr="00311627">
              <w:rPr>
                <w:lang w:eastAsia="en-NZ"/>
              </w:rPr>
              <w:t>Good or better parent-rated health</w:t>
            </w:r>
          </w:p>
        </w:tc>
        <w:tc>
          <w:tcPr>
            <w:tcW w:w="900" w:type="dxa"/>
            <w:tcBorders>
              <w:top w:val="nil"/>
              <w:left w:val="nil"/>
              <w:bottom w:val="single" w:sz="4" w:space="0" w:color="808080"/>
              <w:right w:val="nil"/>
            </w:tcBorders>
            <w:shd w:val="clear" w:color="000000" w:fill="FFFFFF"/>
            <w:hideMark/>
          </w:tcPr>
          <w:p w14:paraId="25CDEFB2" w14:textId="77777777" w:rsidR="00FC0DB8" w:rsidRPr="00311627" w:rsidRDefault="00FC0DB8" w:rsidP="008B4413">
            <w:pPr>
              <w:pStyle w:val="TableText"/>
              <w:keepNext/>
              <w:jc w:val="center"/>
              <w:rPr>
                <w:lang w:eastAsia="en-NZ"/>
              </w:rPr>
            </w:pPr>
            <w:r w:rsidRPr="00311627">
              <w:rPr>
                <w:lang w:eastAsia="en-NZ"/>
              </w:rPr>
              <w:t>96.8</w:t>
            </w:r>
          </w:p>
        </w:tc>
        <w:tc>
          <w:tcPr>
            <w:tcW w:w="940" w:type="dxa"/>
            <w:tcBorders>
              <w:top w:val="nil"/>
              <w:left w:val="nil"/>
              <w:bottom w:val="single" w:sz="4" w:space="0" w:color="808080"/>
              <w:right w:val="nil"/>
            </w:tcBorders>
            <w:shd w:val="clear" w:color="000000" w:fill="FFFFFF"/>
            <w:hideMark/>
          </w:tcPr>
          <w:p w14:paraId="68714DD0" w14:textId="77777777" w:rsidR="00FC0DB8" w:rsidRPr="00311627" w:rsidRDefault="00FC0DB8" w:rsidP="008B4413">
            <w:pPr>
              <w:pStyle w:val="TableText"/>
              <w:keepNext/>
              <w:jc w:val="center"/>
              <w:rPr>
                <w:color w:val="808080"/>
                <w:lang w:eastAsia="en-NZ"/>
              </w:rPr>
            </w:pPr>
            <w:r w:rsidRPr="00311627">
              <w:rPr>
                <w:color w:val="808080"/>
                <w:lang w:eastAsia="en-NZ"/>
              </w:rPr>
              <w:t>96.7</w:t>
            </w:r>
          </w:p>
        </w:tc>
        <w:tc>
          <w:tcPr>
            <w:tcW w:w="940" w:type="dxa"/>
            <w:tcBorders>
              <w:top w:val="nil"/>
              <w:left w:val="nil"/>
              <w:bottom w:val="single" w:sz="4" w:space="0" w:color="808080"/>
              <w:right w:val="nil"/>
            </w:tcBorders>
            <w:shd w:val="clear" w:color="000000" w:fill="FFFFFF"/>
            <w:hideMark/>
          </w:tcPr>
          <w:p w14:paraId="5DC30FB5" w14:textId="77777777" w:rsidR="00FC0DB8" w:rsidRPr="00311627" w:rsidRDefault="00FC0DB8" w:rsidP="008B4413">
            <w:pPr>
              <w:pStyle w:val="TableText"/>
              <w:keepNext/>
              <w:jc w:val="center"/>
              <w:rPr>
                <w:color w:val="808080"/>
                <w:lang w:eastAsia="en-NZ"/>
              </w:rPr>
            </w:pPr>
            <w:r w:rsidRPr="00311627">
              <w:rPr>
                <w:color w:val="808080"/>
                <w:lang w:eastAsia="en-NZ"/>
              </w:rPr>
              <w:t>97.5</w:t>
            </w:r>
          </w:p>
        </w:tc>
        <w:tc>
          <w:tcPr>
            <w:tcW w:w="1278" w:type="dxa"/>
            <w:tcBorders>
              <w:top w:val="nil"/>
              <w:left w:val="nil"/>
              <w:bottom w:val="single" w:sz="4" w:space="0" w:color="808080"/>
              <w:right w:val="nil"/>
            </w:tcBorders>
            <w:shd w:val="clear" w:color="000000" w:fill="FFFFFF"/>
            <w:hideMark/>
          </w:tcPr>
          <w:p w14:paraId="1F3E8938" w14:textId="77777777" w:rsidR="00FC0DB8" w:rsidRPr="00311627" w:rsidRDefault="00FC0DB8" w:rsidP="008B4413">
            <w:pPr>
              <w:pStyle w:val="TableText"/>
              <w:keepN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3D22E37D" w14:textId="77777777" w:rsidR="00FC0DB8" w:rsidRPr="00311627" w:rsidRDefault="00FC0DB8" w:rsidP="008B4413">
            <w:pPr>
              <w:pStyle w:val="TableText"/>
              <w:keepNext/>
              <w:jc w:val="center"/>
              <w:rPr>
                <w:color w:val="4F81BD"/>
                <w:lang w:eastAsia="en-NZ"/>
              </w:rPr>
            </w:pPr>
            <w:r w:rsidRPr="00311627">
              <w:rPr>
                <w:color w:val="4F81BD"/>
                <w:lang w:eastAsia="en-NZ"/>
              </w:rPr>
              <w:t>=</w:t>
            </w:r>
          </w:p>
        </w:tc>
      </w:tr>
      <w:tr w:rsidR="00FC0DB8" w:rsidRPr="00311627" w14:paraId="076349C8" w14:textId="77777777" w:rsidTr="008B4413">
        <w:trPr>
          <w:cantSplit/>
        </w:trPr>
        <w:tc>
          <w:tcPr>
            <w:tcW w:w="4020" w:type="dxa"/>
            <w:tcBorders>
              <w:top w:val="nil"/>
              <w:left w:val="nil"/>
              <w:bottom w:val="nil"/>
              <w:right w:val="nil"/>
            </w:tcBorders>
            <w:shd w:val="clear" w:color="000000" w:fill="FFFFFF"/>
            <w:hideMark/>
          </w:tcPr>
          <w:p w14:paraId="4463C807" w14:textId="77777777" w:rsidR="00FC0DB8" w:rsidRPr="00311627" w:rsidRDefault="00FC0DB8" w:rsidP="008B4413">
            <w:pPr>
              <w:pStyle w:val="TableText"/>
              <w:keepNext/>
              <w:rPr>
                <w:lang w:eastAsia="en-NZ"/>
              </w:rPr>
            </w:pPr>
            <w:r w:rsidRPr="00311627">
              <w:rPr>
                <w:lang w:eastAsia="en-NZ"/>
              </w:rPr>
              <w:t xml:space="preserve">Solid food before four months </w:t>
            </w:r>
            <w:r>
              <w:rPr>
                <w:lang w:eastAsia="en-NZ"/>
              </w:rPr>
              <w:t>of age</w:t>
            </w:r>
            <w:r>
              <w:rPr>
                <w:lang w:eastAsia="en-NZ"/>
              </w:rPr>
              <w:br/>
            </w:r>
            <w:r w:rsidRPr="00311627">
              <w:rPr>
                <w:lang w:eastAsia="en-NZ"/>
              </w:rPr>
              <w:t>(4 months–4 years)</w:t>
            </w:r>
          </w:p>
        </w:tc>
        <w:tc>
          <w:tcPr>
            <w:tcW w:w="900" w:type="dxa"/>
            <w:tcBorders>
              <w:top w:val="nil"/>
              <w:left w:val="nil"/>
              <w:bottom w:val="nil"/>
              <w:right w:val="nil"/>
            </w:tcBorders>
            <w:shd w:val="clear" w:color="000000" w:fill="FFFFFF"/>
            <w:hideMark/>
          </w:tcPr>
          <w:p w14:paraId="42FD7DE6" w14:textId="77777777" w:rsidR="00FC0DB8" w:rsidRPr="00311627" w:rsidRDefault="00FC0DB8" w:rsidP="008B4413">
            <w:pPr>
              <w:pStyle w:val="TableText"/>
              <w:keepNext/>
              <w:jc w:val="center"/>
              <w:rPr>
                <w:lang w:eastAsia="en-NZ"/>
              </w:rPr>
            </w:pPr>
            <w:r w:rsidRPr="00311627">
              <w:rPr>
                <w:lang w:eastAsia="en-NZ"/>
              </w:rPr>
              <w:t>11.2</w:t>
            </w:r>
          </w:p>
        </w:tc>
        <w:tc>
          <w:tcPr>
            <w:tcW w:w="940" w:type="dxa"/>
            <w:tcBorders>
              <w:top w:val="nil"/>
              <w:left w:val="nil"/>
              <w:bottom w:val="nil"/>
              <w:right w:val="nil"/>
            </w:tcBorders>
            <w:shd w:val="clear" w:color="000000" w:fill="FFFFFF"/>
            <w:hideMark/>
          </w:tcPr>
          <w:p w14:paraId="11D3B3BA" w14:textId="77777777" w:rsidR="00FC0DB8" w:rsidRPr="00311627" w:rsidRDefault="00FC0DB8" w:rsidP="008B4413">
            <w:pPr>
              <w:pStyle w:val="TableText"/>
              <w:keepNext/>
              <w:jc w:val="center"/>
              <w:rPr>
                <w:color w:val="808080"/>
                <w:lang w:eastAsia="en-NZ"/>
              </w:rPr>
            </w:pPr>
            <w:r w:rsidRPr="00311627">
              <w:rPr>
                <w:color w:val="808080"/>
                <w:lang w:eastAsia="en-NZ"/>
              </w:rPr>
              <w:t>14.5</w:t>
            </w:r>
          </w:p>
        </w:tc>
        <w:tc>
          <w:tcPr>
            <w:tcW w:w="940" w:type="dxa"/>
            <w:tcBorders>
              <w:top w:val="nil"/>
              <w:left w:val="nil"/>
              <w:bottom w:val="nil"/>
              <w:right w:val="nil"/>
            </w:tcBorders>
            <w:shd w:val="clear" w:color="000000" w:fill="FFFFFF"/>
            <w:hideMark/>
          </w:tcPr>
          <w:p w14:paraId="01A2B1E1" w14:textId="77777777" w:rsidR="00FC0DB8" w:rsidRPr="00311627" w:rsidRDefault="00FC0DB8" w:rsidP="008B4413">
            <w:pPr>
              <w:pStyle w:val="TableText"/>
              <w:keepNext/>
              <w:jc w:val="center"/>
              <w:rPr>
                <w:color w:val="808080"/>
                <w:lang w:eastAsia="en-NZ"/>
              </w:rPr>
            </w:pPr>
            <w:r w:rsidRPr="00311627">
              <w:rPr>
                <w:color w:val="808080"/>
                <w:lang w:eastAsia="en-NZ"/>
              </w:rPr>
              <w:t>16.7</w:t>
            </w:r>
          </w:p>
        </w:tc>
        <w:tc>
          <w:tcPr>
            <w:tcW w:w="1278" w:type="dxa"/>
            <w:tcBorders>
              <w:top w:val="nil"/>
              <w:left w:val="nil"/>
              <w:bottom w:val="nil"/>
              <w:right w:val="nil"/>
            </w:tcBorders>
            <w:shd w:val="clear" w:color="000000" w:fill="FFFFFF"/>
            <w:hideMark/>
          </w:tcPr>
          <w:p w14:paraId="598EA6E8" w14:textId="77777777" w:rsidR="00FC0DB8" w:rsidRPr="00311627" w:rsidRDefault="00FC0DB8" w:rsidP="008B4413">
            <w:pPr>
              <w:pStyle w:val="TableText"/>
              <w:keepN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50A5E587" w14:textId="77777777" w:rsidR="00FC0DB8" w:rsidRPr="00311627" w:rsidRDefault="00FC0DB8" w:rsidP="008B4413">
            <w:pPr>
              <w:pStyle w:val="TableText"/>
              <w:keepNext/>
              <w:jc w:val="center"/>
              <w:rPr>
                <w:color w:val="4F81BD"/>
                <w:lang w:eastAsia="en-NZ"/>
              </w:rPr>
            </w:pPr>
            <w:r w:rsidRPr="00311627">
              <w:rPr>
                <w:color w:val="4F81BD"/>
                <w:lang w:eastAsia="en-NZ"/>
              </w:rPr>
              <w:t>▼</w:t>
            </w:r>
          </w:p>
        </w:tc>
      </w:tr>
      <w:tr w:rsidR="00FC0DB8" w:rsidRPr="00311627" w14:paraId="79D4C6F1" w14:textId="77777777" w:rsidTr="008B4413">
        <w:trPr>
          <w:cantSplit/>
        </w:trPr>
        <w:tc>
          <w:tcPr>
            <w:tcW w:w="4020" w:type="dxa"/>
            <w:tcBorders>
              <w:top w:val="nil"/>
              <w:left w:val="nil"/>
              <w:bottom w:val="nil"/>
              <w:right w:val="nil"/>
            </w:tcBorders>
            <w:shd w:val="clear" w:color="000000" w:fill="FFFFFF"/>
            <w:hideMark/>
          </w:tcPr>
          <w:p w14:paraId="07123A0D" w14:textId="77777777" w:rsidR="00FC0DB8" w:rsidRPr="00311627" w:rsidRDefault="00FC0DB8" w:rsidP="008B4413">
            <w:pPr>
              <w:pStyle w:val="TableText"/>
              <w:rPr>
                <w:lang w:eastAsia="en-NZ"/>
              </w:rPr>
            </w:pPr>
            <w:r w:rsidRPr="00311627">
              <w:rPr>
                <w:lang w:eastAsia="en-NZ"/>
              </w:rPr>
              <w:t xml:space="preserve">Breakfast </w:t>
            </w:r>
            <w:r>
              <w:rPr>
                <w:lang w:eastAsia="en-NZ"/>
              </w:rPr>
              <w:t xml:space="preserve">eaten </w:t>
            </w:r>
            <w:r w:rsidRPr="00311627">
              <w:rPr>
                <w:lang w:eastAsia="en-NZ"/>
              </w:rPr>
              <w:t xml:space="preserve">at home </w:t>
            </w:r>
            <w:r>
              <w:rPr>
                <w:lang w:eastAsia="en-NZ"/>
              </w:rPr>
              <w:t>every day</w:t>
            </w:r>
            <w:r w:rsidRPr="00311627">
              <w:rPr>
                <w:lang w:eastAsia="en-NZ"/>
              </w:rPr>
              <w:t xml:space="preserve"> </w:t>
            </w:r>
            <w:r>
              <w:rPr>
                <w:lang w:eastAsia="en-NZ"/>
              </w:rPr>
              <w:br/>
            </w:r>
            <w:r w:rsidRPr="00311627">
              <w:rPr>
                <w:lang w:eastAsia="en-NZ"/>
              </w:rPr>
              <w:t>(2–14 years)</w:t>
            </w:r>
          </w:p>
        </w:tc>
        <w:tc>
          <w:tcPr>
            <w:tcW w:w="900" w:type="dxa"/>
            <w:tcBorders>
              <w:top w:val="nil"/>
              <w:left w:val="nil"/>
              <w:bottom w:val="nil"/>
              <w:right w:val="nil"/>
            </w:tcBorders>
            <w:shd w:val="clear" w:color="000000" w:fill="FFFFFF"/>
            <w:hideMark/>
          </w:tcPr>
          <w:p w14:paraId="6149C7A2" w14:textId="77777777" w:rsidR="00FC0DB8" w:rsidRPr="00311627" w:rsidRDefault="00FC0DB8" w:rsidP="008B4413">
            <w:pPr>
              <w:pStyle w:val="TableText"/>
              <w:jc w:val="center"/>
              <w:rPr>
                <w:lang w:eastAsia="en-NZ"/>
              </w:rPr>
            </w:pPr>
            <w:r w:rsidRPr="00311627">
              <w:rPr>
                <w:lang w:eastAsia="en-NZ"/>
              </w:rPr>
              <w:t>79.9</w:t>
            </w:r>
          </w:p>
        </w:tc>
        <w:tc>
          <w:tcPr>
            <w:tcW w:w="940" w:type="dxa"/>
            <w:tcBorders>
              <w:top w:val="nil"/>
              <w:left w:val="nil"/>
              <w:bottom w:val="nil"/>
              <w:right w:val="nil"/>
            </w:tcBorders>
            <w:shd w:val="clear" w:color="000000" w:fill="FFFFFF"/>
            <w:hideMark/>
          </w:tcPr>
          <w:p w14:paraId="667C738E" w14:textId="77777777" w:rsidR="00FC0DB8" w:rsidRPr="00311627" w:rsidRDefault="00FC0DB8" w:rsidP="008B4413">
            <w:pPr>
              <w:pStyle w:val="TableText"/>
              <w:jc w:val="center"/>
              <w:rPr>
                <w:color w:val="808080"/>
                <w:lang w:eastAsia="en-NZ"/>
              </w:rPr>
            </w:pPr>
            <w:r w:rsidRPr="00311627">
              <w:rPr>
                <w:color w:val="808080"/>
                <w:lang w:eastAsia="en-NZ"/>
              </w:rPr>
              <w:t>82.4</w:t>
            </w:r>
          </w:p>
        </w:tc>
        <w:tc>
          <w:tcPr>
            <w:tcW w:w="940" w:type="dxa"/>
            <w:tcBorders>
              <w:top w:val="nil"/>
              <w:left w:val="nil"/>
              <w:bottom w:val="nil"/>
              <w:right w:val="nil"/>
            </w:tcBorders>
            <w:shd w:val="clear" w:color="000000" w:fill="FFFFFF"/>
            <w:hideMark/>
          </w:tcPr>
          <w:p w14:paraId="4F6A0965" w14:textId="77777777" w:rsidR="00FC0DB8" w:rsidRPr="00311627" w:rsidRDefault="00FC0DB8" w:rsidP="008B4413">
            <w:pPr>
              <w:pStyle w:val="TableText"/>
              <w:jc w:val="center"/>
              <w:rPr>
                <w:color w:val="808080"/>
                <w:lang w:eastAsia="en-NZ"/>
              </w:rPr>
            </w:pPr>
            <w:r w:rsidRPr="00311627">
              <w:rPr>
                <w:color w:val="808080"/>
                <w:lang w:eastAsia="en-NZ"/>
              </w:rPr>
              <w:t>83.7</w:t>
            </w:r>
          </w:p>
        </w:tc>
        <w:tc>
          <w:tcPr>
            <w:tcW w:w="1278" w:type="dxa"/>
            <w:tcBorders>
              <w:top w:val="nil"/>
              <w:left w:val="nil"/>
              <w:bottom w:val="nil"/>
              <w:right w:val="nil"/>
            </w:tcBorders>
            <w:shd w:val="clear" w:color="000000" w:fill="FFFFFF"/>
            <w:hideMark/>
          </w:tcPr>
          <w:p w14:paraId="31F7365E"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73ED8358"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11B32B86" w14:textId="77777777" w:rsidTr="008B4413">
        <w:trPr>
          <w:cantSplit/>
        </w:trPr>
        <w:tc>
          <w:tcPr>
            <w:tcW w:w="4020" w:type="dxa"/>
            <w:tcBorders>
              <w:top w:val="nil"/>
              <w:left w:val="nil"/>
              <w:bottom w:val="single" w:sz="4" w:space="0" w:color="808080"/>
              <w:right w:val="nil"/>
            </w:tcBorders>
            <w:shd w:val="clear" w:color="000000" w:fill="FFFFFF"/>
            <w:hideMark/>
          </w:tcPr>
          <w:p w14:paraId="72E1150B" w14:textId="77777777" w:rsidR="00FC0DB8" w:rsidRPr="00311627" w:rsidRDefault="00FC0DB8" w:rsidP="008B4413">
            <w:pPr>
              <w:pStyle w:val="TableText"/>
              <w:rPr>
                <w:lang w:eastAsia="en-NZ"/>
              </w:rPr>
            </w:pPr>
            <w:r>
              <w:rPr>
                <w:lang w:eastAsia="en-NZ"/>
              </w:rPr>
              <w:t>F</w:t>
            </w:r>
            <w:r w:rsidRPr="00311627">
              <w:rPr>
                <w:lang w:eastAsia="en-NZ"/>
              </w:rPr>
              <w:t xml:space="preserve">izzy drink 3+ times </w:t>
            </w:r>
            <w:r>
              <w:rPr>
                <w:lang w:eastAsia="en-NZ"/>
              </w:rPr>
              <w:t>per</w:t>
            </w:r>
            <w:r w:rsidRPr="00311627">
              <w:rPr>
                <w:lang w:eastAsia="en-NZ"/>
              </w:rPr>
              <w:t xml:space="preserve"> week </w:t>
            </w:r>
            <w:r>
              <w:rPr>
                <w:lang w:eastAsia="en-NZ"/>
              </w:rPr>
              <w:br/>
            </w:r>
            <w:r w:rsidRPr="00311627">
              <w:rPr>
                <w:lang w:eastAsia="en-NZ"/>
              </w:rPr>
              <w:t>(2–14 years)</w:t>
            </w:r>
          </w:p>
        </w:tc>
        <w:tc>
          <w:tcPr>
            <w:tcW w:w="900" w:type="dxa"/>
            <w:tcBorders>
              <w:top w:val="nil"/>
              <w:left w:val="nil"/>
              <w:bottom w:val="single" w:sz="4" w:space="0" w:color="808080"/>
              <w:right w:val="nil"/>
            </w:tcBorders>
            <w:shd w:val="clear" w:color="000000" w:fill="FFFFFF"/>
            <w:hideMark/>
          </w:tcPr>
          <w:p w14:paraId="3FF12CD3" w14:textId="77777777" w:rsidR="00FC0DB8" w:rsidRPr="00311627" w:rsidRDefault="00FC0DB8" w:rsidP="008B4413">
            <w:pPr>
              <w:pStyle w:val="TableText"/>
              <w:jc w:val="center"/>
              <w:rPr>
                <w:lang w:eastAsia="en-NZ"/>
              </w:rPr>
            </w:pPr>
            <w:r w:rsidRPr="00311627">
              <w:rPr>
                <w:lang w:eastAsia="en-NZ"/>
              </w:rPr>
              <w:t>23.1</w:t>
            </w:r>
          </w:p>
        </w:tc>
        <w:tc>
          <w:tcPr>
            <w:tcW w:w="940" w:type="dxa"/>
            <w:tcBorders>
              <w:top w:val="nil"/>
              <w:left w:val="nil"/>
              <w:bottom w:val="single" w:sz="4" w:space="0" w:color="808080"/>
              <w:right w:val="nil"/>
            </w:tcBorders>
            <w:shd w:val="clear" w:color="000000" w:fill="FFFFFF"/>
            <w:hideMark/>
          </w:tcPr>
          <w:p w14:paraId="22516ECD" w14:textId="77777777" w:rsidR="00FC0DB8" w:rsidRPr="00311627" w:rsidRDefault="00FC0DB8" w:rsidP="008B4413">
            <w:pPr>
              <w:pStyle w:val="TableText"/>
              <w:jc w:val="center"/>
              <w:rPr>
                <w:color w:val="808080"/>
                <w:lang w:eastAsia="en-NZ"/>
              </w:rPr>
            </w:pPr>
            <w:r w:rsidRPr="00311627">
              <w:rPr>
                <w:color w:val="808080"/>
                <w:lang w:eastAsia="en-NZ"/>
              </w:rPr>
              <w:t>24.1</w:t>
            </w:r>
          </w:p>
        </w:tc>
        <w:tc>
          <w:tcPr>
            <w:tcW w:w="940" w:type="dxa"/>
            <w:tcBorders>
              <w:top w:val="nil"/>
              <w:left w:val="nil"/>
              <w:bottom w:val="single" w:sz="4" w:space="0" w:color="808080"/>
              <w:right w:val="nil"/>
            </w:tcBorders>
            <w:shd w:val="clear" w:color="000000" w:fill="FFFFFF"/>
            <w:hideMark/>
          </w:tcPr>
          <w:p w14:paraId="29146147" w14:textId="77777777" w:rsidR="00FC0DB8" w:rsidRPr="00311627" w:rsidRDefault="00FC0DB8" w:rsidP="008B4413">
            <w:pPr>
              <w:pStyle w:val="TableText"/>
              <w:jc w:val="center"/>
              <w:rPr>
                <w:color w:val="808080"/>
                <w:lang w:eastAsia="en-NZ"/>
              </w:rPr>
            </w:pPr>
            <w:r w:rsidRPr="00311627">
              <w:rPr>
                <w:color w:val="808080"/>
                <w:lang w:eastAsia="en-NZ"/>
              </w:rPr>
              <w:t>24.7</w:t>
            </w:r>
          </w:p>
        </w:tc>
        <w:tc>
          <w:tcPr>
            <w:tcW w:w="1278" w:type="dxa"/>
            <w:tcBorders>
              <w:top w:val="nil"/>
              <w:left w:val="nil"/>
              <w:bottom w:val="single" w:sz="4" w:space="0" w:color="808080"/>
              <w:right w:val="nil"/>
            </w:tcBorders>
            <w:shd w:val="clear" w:color="000000" w:fill="FFFFFF"/>
            <w:hideMark/>
          </w:tcPr>
          <w:p w14:paraId="0DE49A1E"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15F922A7"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79B96956" w14:textId="77777777" w:rsidTr="008B4413">
        <w:trPr>
          <w:cantSplit/>
        </w:trPr>
        <w:tc>
          <w:tcPr>
            <w:tcW w:w="4020" w:type="dxa"/>
            <w:tcBorders>
              <w:top w:val="nil"/>
              <w:left w:val="nil"/>
              <w:bottom w:val="single" w:sz="4" w:space="0" w:color="808080"/>
              <w:right w:val="nil"/>
            </w:tcBorders>
            <w:shd w:val="clear" w:color="000000" w:fill="FFFFFF"/>
            <w:hideMark/>
          </w:tcPr>
          <w:p w14:paraId="219978C4" w14:textId="77777777" w:rsidR="00FC0DB8" w:rsidRPr="00311627" w:rsidRDefault="00FC0DB8" w:rsidP="008B4413">
            <w:pPr>
              <w:pStyle w:val="TableText"/>
              <w:rPr>
                <w:lang w:eastAsia="en-NZ"/>
              </w:rPr>
            </w:pPr>
            <w:r w:rsidRPr="00311627">
              <w:rPr>
                <w:lang w:eastAsia="en-NZ"/>
              </w:rPr>
              <w:t>Obesity (2–14 years)</w:t>
            </w:r>
          </w:p>
        </w:tc>
        <w:tc>
          <w:tcPr>
            <w:tcW w:w="900" w:type="dxa"/>
            <w:tcBorders>
              <w:top w:val="nil"/>
              <w:left w:val="nil"/>
              <w:bottom w:val="single" w:sz="4" w:space="0" w:color="808080"/>
              <w:right w:val="nil"/>
            </w:tcBorders>
            <w:shd w:val="clear" w:color="000000" w:fill="FFFFFF"/>
            <w:hideMark/>
          </w:tcPr>
          <w:p w14:paraId="17BABCD0" w14:textId="77777777" w:rsidR="00FC0DB8" w:rsidRPr="00311627" w:rsidRDefault="00FC0DB8" w:rsidP="008B4413">
            <w:pPr>
              <w:pStyle w:val="TableText"/>
              <w:jc w:val="center"/>
              <w:rPr>
                <w:lang w:eastAsia="en-NZ"/>
              </w:rPr>
            </w:pPr>
            <w:r w:rsidRPr="00311627">
              <w:rPr>
                <w:lang w:eastAsia="en-NZ"/>
              </w:rPr>
              <w:t>14.7</w:t>
            </w:r>
          </w:p>
        </w:tc>
        <w:tc>
          <w:tcPr>
            <w:tcW w:w="940" w:type="dxa"/>
            <w:tcBorders>
              <w:top w:val="nil"/>
              <w:left w:val="nil"/>
              <w:bottom w:val="single" w:sz="4" w:space="0" w:color="808080"/>
              <w:right w:val="nil"/>
            </w:tcBorders>
            <w:shd w:val="clear" w:color="000000" w:fill="FFFFFF"/>
            <w:hideMark/>
          </w:tcPr>
          <w:p w14:paraId="71EA4795" w14:textId="77777777" w:rsidR="00FC0DB8" w:rsidRPr="00311627" w:rsidRDefault="00FC0DB8" w:rsidP="008B4413">
            <w:pPr>
              <w:pStyle w:val="TableText"/>
              <w:jc w:val="center"/>
              <w:rPr>
                <w:color w:val="808080"/>
                <w:lang w:eastAsia="en-NZ"/>
              </w:rPr>
            </w:pPr>
            <w:r w:rsidRPr="00311627">
              <w:rPr>
                <w:color w:val="808080"/>
                <w:lang w:eastAsia="en-NZ"/>
              </w:rPr>
              <w:t>16.7</w:t>
            </w:r>
          </w:p>
        </w:tc>
        <w:tc>
          <w:tcPr>
            <w:tcW w:w="940" w:type="dxa"/>
            <w:tcBorders>
              <w:top w:val="nil"/>
              <w:left w:val="nil"/>
              <w:bottom w:val="single" w:sz="4" w:space="0" w:color="808080"/>
              <w:right w:val="nil"/>
            </w:tcBorders>
            <w:shd w:val="clear" w:color="000000" w:fill="FFFFFF"/>
            <w:hideMark/>
          </w:tcPr>
          <w:p w14:paraId="43C91F08" w14:textId="77777777" w:rsidR="00FC0DB8" w:rsidRPr="00311627" w:rsidRDefault="00FC0DB8" w:rsidP="008B4413">
            <w:pPr>
              <w:pStyle w:val="TableText"/>
              <w:jc w:val="center"/>
              <w:rPr>
                <w:color w:val="808080"/>
                <w:lang w:eastAsia="en-NZ"/>
              </w:rPr>
            </w:pPr>
            <w:r w:rsidRPr="00311627">
              <w:rPr>
                <w:color w:val="808080"/>
                <w:lang w:eastAsia="en-NZ"/>
              </w:rPr>
              <w:t>11.8</w:t>
            </w:r>
          </w:p>
        </w:tc>
        <w:tc>
          <w:tcPr>
            <w:tcW w:w="1278" w:type="dxa"/>
            <w:tcBorders>
              <w:top w:val="nil"/>
              <w:left w:val="nil"/>
              <w:bottom w:val="single" w:sz="4" w:space="0" w:color="808080"/>
              <w:right w:val="nil"/>
            </w:tcBorders>
            <w:shd w:val="clear" w:color="000000" w:fill="FFFFFF"/>
            <w:hideMark/>
          </w:tcPr>
          <w:p w14:paraId="15B85225"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5B341FEB"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77653C26" w14:textId="77777777" w:rsidTr="008B4413">
        <w:trPr>
          <w:cantSplit/>
        </w:trPr>
        <w:tc>
          <w:tcPr>
            <w:tcW w:w="4020" w:type="dxa"/>
            <w:tcBorders>
              <w:top w:val="nil"/>
              <w:left w:val="nil"/>
              <w:bottom w:val="single" w:sz="4" w:space="0" w:color="808080"/>
              <w:right w:val="nil"/>
            </w:tcBorders>
            <w:shd w:val="clear" w:color="000000" w:fill="FFFFFF"/>
            <w:hideMark/>
          </w:tcPr>
          <w:p w14:paraId="590B08D1" w14:textId="77777777" w:rsidR="00FC0DB8" w:rsidRPr="00311627" w:rsidRDefault="00FC0DB8" w:rsidP="008B4413">
            <w:pPr>
              <w:pStyle w:val="TableText"/>
              <w:rPr>
                <w:lang w:eastAsia="en-NZ"/>
              </w:rPr>
            </w:pPr>
            <w:r w:rsidRPr="00311627">
              <w:rPr>
                <w:lang w:eastAsia="en-NZ"/>
              </w:rPr>
              <w:t>Physical punishment in past 4 weeks</w:t>
            </w:r>
          </w:p>
        </w:tc>
        <w:tc>
          <w:tcPr>
            <w:tcW w:w="900" w:type="dxa"/>
            <w:tcBorders>
              <w:top w:val="nil"/>
              <w:left w:val="nil"/>
              <w:bottom w:val="single" w:sz="4" w:space="0" w:color="808080"/>
              <w:right w:val="nil"/>
            </w:tcBorders>
            <w:shd w:val="clear" w:color="000000" w:fill="FFFFFF"/>
            <w:hideMark/>
          </w:tcPr>
          <w:p w14:paraId="175E2E71" w14:textId="77777777" w:rsidR="00FC0DB8" w:rsidRPr="00311627" w:rsidRDefault="00FC0DB8" w:rsidP="008B4413">
            <w:pPr>
              <w:pStyle w:val="TableText"/>
              <w:jc w:val="center"/>
              <w:rPr>
                <w:lang w:eastAsia="en-NZ"/>
              </w:rPr>
            </w:pPr>
            <w:r w:rsidRPr="00311627">
              <w:rPr>
                <w:lang w:eastAsia="en-NZ"/>
              </w:rPr>
              <w:t>9.4</w:t>
            </w:r>
          </w:p>
        </w:tc>
        <w:tc>
          <w:tcPr>
            <w:tcW w:w="940" w:type="dxa"/>
            <w:tcBorders>
              <w:top w:val="nil"/>
              <w:left w:val="nil"/>
              <w:bottom w:val="single" w:sz="4" w:space="0" w:color="808080"/>
              <w:right w:val="nil"/>
            </w:tcBorders>
            <w:shd w:val="clear" w:color="000000" w:fill="FFFFFF"/>
            <w:hideMark/>
          </w:tcPr>
          <w:p w14:paraId="132869D7" w14:textId="77777777" w:rsidR="00FC0DB8" w:rsidRPr="00311627" w:rsidRDefault="00FC0DB8" w:rsidP="008B4413">
            <w:pPr>
              <w:pStyle w:val="TableText"/>
              <w:jc w:val="center"/>
              <w:rPr>
                <w:color w:val="808080"/>
                <w:lang w:eastAsia="en-NZ"/>
              </w:rPr>
            </w:pPr>
            <w:r w:rsidRPr="00311627">
              <w:rPr>
                <w:color w:val="808080"/>
                <w:lang w:eastAsia="en-NZ"/>
              </w:rPr>
              <w:t>9.8</w:t>
            </w:r>
          </w:p>
        </w:tc>
        <w:tc>
          <w:tcPr>
            <w:tcW w:w="940" w:type="dxa"/>
            <w:tcBorders>
              <w:top w:val="nil"/>
              <w:left w:val="nil"/>
              <w:bottom w:val="single" w:sz="4" w:space="0" w:color="808080"/>
              <w:right w:val="nil"/>
            </w:tcBorders>
            <w:shd w:val="clear" w:color="000000" w:fill="FFFFFF"/>
            <w:hideMark/>
          </w:tcPr>
          <w:p w14:paraId="107106D8" w14:textId="77777777" w:rsidR="00FC0DB8" w:rsidRPr="00311627" w:rsidRDefault="00FC0DB8" w:rsidP="008B4413">
            <w:pPr>
              <w:pStyle w:val="TableText"/>
              <w:jc w:val="center"/>
              <w:rPr>
                <w:color w:val="808080"/>
                <w:lang w:eastAsia="en-NZ"/>
              </w:rPr>
            </w:pPr>
            <w:r w:rsidRPr="00311627">
              <w:rPr>
                <w:color w:val="808080"/>
                <w:lang w:eastAsia="en-NZ"/>
              </w:rPr>
              <w:t>13.9</w:t>
            </w:r>
          </w:p>
        </w:tc>
        <w:tc>
          <w:tcPr>
            <w:tcW w:w="1278" w:type="dxa"/>
            <w:tcBorders>
              <w:top w:val="nil"/>
              <w:left w:val="nil"/>
              <w:bottom w:val="single" w:sz="4" w:space="0" w:color="808080"/>
              <w:right w:val="nil"/>
            </w:tcBorders>
            <w:shd w:val="clear" w:color="000000" w:fill="FFFFFF"/>
            <w:hideMark/>
          </w:tcPr>
          <w:p w14:paraId="5B20469D"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0041CD15"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5C54AD70" w14:textId="77777777" w:rsidTr="008B4413">
        <w:trPr>
          <w:cantSplit/>
        </w:trPr>
        <w:tc>
          <w:tcPr>
            <w:tcW w:w="4020" w:type="dxa"/>
            <w:tcBorders>
              <w:top w:val="nil"/>
              <w:left w:val="nil"/>
              <w:bottom w:val="nil"/>
              <w:right w:val="nil"/>
            </w:tcBorders>
            <w:shd w:val="clear" w:color="000000" w:fill="FFFFFF"/>
            <w:hideMark/>
          </w:tcPr>
          <w:p w14:paraId="01C16D61" w14:textId="77777777" w:rsidR="00FC0DB8" w:rsidRPr="00052478" w:rsidRDefault="00FC0DB8" w:rsidP="008B4413">
            <w:pPr>
              <w:pStyle w:val="TableText"/>
              <w:rPr>
                <w:b/>
                <w:lang w:eastAsia="en-NZ"/>
              </w:rPr>
            </w:pPr>
            <w:r w:rsidRPr="00052478">
              <w:rPr>
                <w:b/>
                <w:lang w:eastAsia="en-NZ"/>
              </w:rPr>
              <w:t>Health conditions</w:t>
            </w:r>
          </w:p>
        </w:tc>
        <w:tc>
          <w:tcPr>
            <w:tcW w:w="900" w:type="dxa"/>
            <w:tcBorders>
              <w:top w:val="nil"/>
              <w:left w:val="nil"/>
              <w:bottom w:val="nil"/>
              <w:right w:val="nil"/>
            </w:tcBorders>
            <w:shd w:val="clear" w:color="000000" w:fill="FFFFFF"/>
            <w:hideMark/>
          </w:tcPr>
          <w:p w14:paraId="748DCF91" w14:textId="77777777" w:rsidR="00FC0DB8" w:rsidRPr="00311627" w:rsidRDefault="00FC0DB8" w:rsidP="008B4413">
            <w:pPr>
              <w:pStyle w:val="TableText"/>
              <w:jc w:val="center"/>
              <w:rPr>
                <w:lang w:eastAsia="en-NZ"/>
              </w:rPr>
            </w:pPr>
          </w:p>
        </w:tc>
        <w:tc>
          <w:tcPr>
            <w:tcW w:w="940" w:type="dxa"/>
            <w:tcBorders>
              <w:top w:val="nil"/>
              <w:left w:val="nil"/>
              <w:bottom w:val="nil"/>
              <w:right w:val="nil"/>
            </w:tcBorders>
            <w:shd w:val="clear" w:color="000000" w:fill="FFFFFF"/>
            <w:hideMark/>
          </w:tcPr>
          <w:p w14:paraId="7F60E9C1" w14:textId="77777777" w:rsidR="00FC0DB8" w:rsidRPr="00311627" w:rsidRDefault="00FC0DB8" w:rsidP="008B4413">
            <w:pPr>
              <w:pStyle w:val="TableText"/>
              <w:jc w:val="center"/>
              <w:rPr>
                <w:color w:val="808080"/>
                <w:lang w:eastAsia="en-NZ"/>
              </w:rPr>
            </w:pPr>
          </w:p>
        </w:tc>
        <w:tc>
          <w:tcPr>
            <w:tcW w:w="940" w:type="dxa"/>
            <w:tcBorders>
              <w:top w:val="nil"/>
              <w:left w:val="nil"/>
              <w:bottom w:val="nil"/>
              <w:right w:val="nil"/>
            </w:tcBorders>
            <w:shd w:val="clear" w:color="000000" w:fill="FFFFFF"/>
            <w:hideMark/>
          </w:tcPr>
          <w:p w14:paraId="43F4A09A" w14:textId="77777777" w:rsidR="00FC0DB8" w:rsidRPr="00311627" w:rsidRDefault="00FC0DB8" w:rsidP="008B4413">
            <w:pPr>
              <w:pStyle w:val="TableText"/>
              <w:jc w:val="center"/>
              <w:rPr>
                <w:color w:val="808080"/>
                <w:lang w:eastAsia="en-NZ"/>
              </w:rPr>
            </w:pPr>
          </w:p>
        </w:tc>
        <w:tc>
          <w:tcPr>
            <w:tcW w:w="1278" w:type="dxa"/>
            <w:tcBorders>
              <w:top w:val="nil"/>
              <w:left w:val="nil"/>
              <w:bottom w:val="nil"/>
              <w:right w:val="nil"/>
            </w:tcBorders>
            <w:shd w:val="clear" w:color="000000" w:fill="FFFFFF"/>
            <w:hideMark/>
          </w:tcPr>
          <w:p w14:paraId="1AC207CB" w14:textId="77777777" w:rsidR="00FC0DB8" w:rsidRPr="00311627" w:rsidRDefault="00FC0DB8" w:rsidP="008B4413">
            <w:pPr>
              <w:pStyle w:val="TableText"/>
              <w:jc w:val="center"/>
              <w:rPr>
                <w:color w:val="4F81BD"/>
                <w:lang w:eastAsia="en-NZ"/>
              </w:rPr>
            </w:pPr>
          </w:p>
        </w:tc>
        <w:tc>
          <w:tcPr>
            <w:tcW w:w="1278" w:type="dxa"/>
            <w:gridSpan w:val="2"/>
            <w:tcBorders>
              <w:top w:val="nil"/>
              <w:left w:val="nil"/>
              <w:bottom w:val="nil"/>
              <w:right w:val="nil"/>
            </w:tcBorders>
            <w:shd w:val="clear" w:color="000000" w:fill="FFFFFF"/>
            <w:hideMark/>
          </w:tcPr>
          <w:p w14:paraId="20B1B40A" w14:textId="77777777" w:rsidR="00FC0DB8" w:rsidRPr="00311627" w:rsidRDefault="00FC0DB8" w:rsidP="008B4413">
            <w:pPr>
              <w:pStyle w:val="TableText"/>
              <w:jc w:val="center"/>
              <w:rPr>
                <w:color w:val="4F81BD"/>
                <w:lang w:eastAsia="en-NZ"/>
              </w:rPr>
            </w:pPr>
          </w:p>
        </w:tc>
      </w:tr>
      <w:tr w:rsidR="00FC0DB8" w:rsidRPr="00311627" w14:paraId="66A08C15" w14:textId="77777777" w:rsidTr="008B4413">
        <w:trPr>
          <w:cantSplit/>
        </w:trPr>
        <w:tc>
          <w:tcPr>
            <w:tcW w:w="4020" w:type="dxa"/>
            <w:tcBorders>
              <w:top w:val="nil"/>
              <w:left w:val="nil"/>
              <w:bottom w:val="single" w:sz="4" w:space="0" w:color="808080"/>
              <w:right w:val="nil"/>
            </w:tcBorders>
            <w:shd w:val="clear" w:color="000000" w:fill="FFFFFF"/>
            <w:hideMark/>
          </w:tcPr>
          <w:p w14:paraId="378E784E" w14:textId="77777777" w:rsidR="00FC0DB8" w:rsidRPr="00311627" w:rsidRDefault="00FC0DB8" w:rsidP="008B4413">
            <w:pPr>
              <w:pStyle w:val="TableText"/>
              <w:rPr>
                <w:lang w:eastAsia="en-NZ"/>
              </w:rPr>
            </w:pPr>
            <w:r w:rsidRPr="00311627">
              <w:rPr>
                <w:lang w:eastAsia="en-NZ"/>
              </w:rPr>
              <w:t xml:space="preserve">Emotional </w:t>
            </w:r>
            <w:r>
              <w:rPr>
                <w:lang w:eastAsia="en-NZ"/>
              </w:rPr>
              <w:t>and/</w:t>
            </w:r>
            <w:r w:rsidRPr="00311627">
              <w:rPr>
                <w:lang w:eastAsia="en-NZ"/>
              </w:rPr>
              <w:t>or behavioural problems (diagnosed) (2–14 years)</w:t>
            </w:r>
          </w:p>
        </w:tc>
        <w:tc>
          <w:tcPr>
            <w:tcW w:w="900" w:type="dxa"/>
            <w:tcBorders>
              <w:top w:val="nil"/>
              <w:left w:val="nil"/>
              <w:bottom w:val="single" w:sz="4" w:space="0" w:color="808080"/>
              <w:right w:val="nil"/>
            </w:tcBorders>
            <w:shd w:val="clear" w:color="000000" w:fill="FFFFFF"/>
            <w:hideMark/>
          </w:tcPr>
          <w:p w14:paraId="6FAA2146" w14:textId="77777777" w:rsidR="00FC0DB8" w:rsidRPr="00311627" w:rsidRDefault="00FC0DB8" w:rsidP="008B4413">
            <w:pPr>
              <w:pStyle w:val="TableText"/>
              <w:jc w:val="center"/>
              <w:rPr>
                <w:lang w:eastAsia="en-NZ"/>
              </w:rPr>
            </w:pPr>
            <w:r w:rsidRPr="00311627">
              <w:rPr>
                <w:lang w:eastAsia="en-NZ"/>
              </w:rPr>
              <w:t>4.0</w:t>
            </w:r>
          </w:p>
        </w:tc>
        <w:tc>
          <w:tcPr>
            <w:tcW w:w="940" w:type="dxa"/>
            <w:tcBorders>
              <w:top w:val="nil"/>
              <w:left w:val="nil"/>
              <w:bottom w:val="single" w:sz="4" w:space="0" w:color="808080"/>
              <w:right w:val="nil"/>
            </w:tcBorders>
            <w:shd w:val="clear" w:color="000000" w:fill="FFFFFF"/>
            <w:hideMark/>
          </w:tcPr>
          <w:p w14:paraId="6CCB6B92" w14:textId="77777777" w:rsidR="00FC0DB8" w:rsidRPr="00311627" w:rsidRDefault="00FC0DB8" w:rsidP="008B4413">
            <w:pPr>
              <w:pStyle w:val="TableText"/>
              <w:jc w:val="center"/>
              <w:rPr>
                <w:color w:val="808080"/>
                <w:lang w:eastAsia="en-NZ"/>
              </w:rPr>
            </w:pPr>
            <w:r w:rsidRPr="00311627">
              <w:rPr>
                <w:color w:val="808080"/>
                <w:lang w:eastAsia="en-NZ"/>
              </w:rPr>
              <w:t>3.3</w:t>
            </w:r>
          </w:p>
        </w:tc>
        <w:tc>
          <w:tcPr>
            <w:tcW w:w="940" w:type="dxa"/>
            <w:tcBorders>
              <w:top w:val="nil"/>
              <w:left w:val="nil"/>
              <w:bottom w:val="single" w:sz="4" w:space="0" w:color="808080"/>
              <w:right w:val="nil"/>
            </w:tcBorders>
            <w:shd w:val="clear" w:color="000000" w:fill="FFFFFF"/>
            <w:hideMark/>
          </w:tcPr>
          <w:p w14:paraId="52EAA4AB" w14:textId="77777777" w:rsidR="00FC0DB8" w:rsidRPr="00311627" w:rsidRDefault="00FC0DB8" w:rsidP="008B4413">
            <w:pPr>
              <w:pStyle w:val="TableText"/>
              <w:jc w:val="center"/>
              <w:rPr>
                <w:color w:val="808080"/>
                <w:lang w:eastAsia="en-NZ"/>
              </w:rPr>
            </w:pPr>
            <w:r w:rsidRPr="00311627">
              <w:rPr>
                <w:color w:val="808080"/>
                <w:lang w:eastAsia="en-NZ"/>
              </w:rPr>
              <w:t>1.9</w:t>
            </w:r>
          </w:p>
        </w:tc>
        <w:tc>
          <w:tcPr>
            <w:tcW w:w="1278" w:type="dxa"/>
            <w:tcBorders>
              <w:top w:val="nil"/>
              <w:left w:val="nil"/>
              <w:bottom w:val="single" w:sz="4" w:space="0" w:color="808080"/>
              <w:right w:val="nil"/>
            </w:tcBorders>
            <w:shd w:val="clear" w:color="000000" w:fill="FFFFFF"/>
            <w:hideMark/>
          </w:tcPr>
          <w:p w14:paraId="0EBC0BDE"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5F1FEBA9"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7442D87B" w14:textId="77777777" w:rsidTr="008B4413">
        <w:trPr>
          <w:cantSplit/>
        </w:trPr>
        <w:tc>
          <w:tcPr>
            <w:tcW w:w="4020" w:type="dxa"/>
            <w:tcBorders>
              <w:top w:val="nil"/>
              <w:left w:val="nil"/>
              <w:bottom w:val="single" w:sz="4" w:space="0" w:color="808080"/>
              <w:right w:val="nil"/>
            </w:tcBorders>
            <w:shd w:val="clear" w:color="000000" w:fill="FFFFFF"/>
            <w:hideMark/>
          </w:tcPr>
          <w:p w14:paraId="382AEBBA" w14:textId="77777777" w:rsidR="00FC0DB8" w:rsidRPr="00311627" w:rsidRDefault="00FC0DB8" w:rsidP="008B4413">
            <w:pPr>
              <w:pStyle w:val="TableText"/>
              <w:rPr>
                <w:lang w:eastAsia="en-NZ"/>
              </w:rPr>
            </w:pPr>
            <w:r w:rsidRPr="00311627">
              <w:rPr>
                <w:lang w:eastAsia="en-NZ"/>
              </w:rPr>
              <w:t>Asthma (medicated) (2–14 years)</w:t>
            </w:r>
          </w:p>
        </w:tc>
        <w:tc>
          <w:tcPr>
            <w:tcW w:w="900" w:type="dxa"/>
            <w:tcBorders>
              <w:top w:val="nil"/>
              <w:left w:val="nil"/>
              <w:bottom w:val="single" w:sz="4" w:space="0" w:color="808080"/>
              <w:right w:val="nil"/>
            </w:tcBorders>
            <w:shd w:val="clear" w:color="000000" w:fill="FFFFFF"/>
            <w:hideMark/>
          </w:tcPr>
          <w:p w14:paraId="61A22033" w14:textId="77777777" w:rsidR="00FC0DB8" w:rsidRPr="00311627" w:rsidRDefault="00FC0DB8" w:rsidP="008B4413">
            <w:pPr>
              <w:pStyle w:val="TableText"/>
              <w:jc w:val="center"/>
              <w:rPr>
                <w:lang w:eastAsia="en-NZ"/>
              </w:rPr>
            </w:pPr>
            <w:r w:rsidRPr="00311627">
              <w:rPr>
                <w:lang w:eastAsia="en-NZ"/>
              </w:rPr>
              <w:t>24.0</w:t>
            </w:r>
          </w:p>
        </w:tc>
        <w:tc>
          <w:tcPr>
            <w:tcW w:w="940" w:type="dxa"/>
            <w:tcBorders>
              <w:top w:val="nil"/>
              <w:left w:val="nil"/>
              <w:bottom w:val="single" w:sz="4" w:space="0" w:color="808080"/>
              <w:right w:val="nil"/>
            </w:tcBorders>
            <w:shd w:val="clear" w:color="000000" w:fill="FFFFFF"/>
            <w:hideMark/>
          </w:tcPr>
          <w:p w14:paraId="23BA385E" w14:textId="77777777" w:rsidR="00FC0DB8" w:rsidRPr="00311627" w:rsidRDefault="00FC0DB8" w:rsidP="008B4413">
            <w:pPr>
              <w:pStyle w:val="TableText"/>
              <w:jc w:val="center"/>
              <w:rPr>
                <w:color w:val="808080"/>
                <w:lang w:eastAsia="en-NZ"/>
              </w:rPr>
            </w:pPr>
            <w:r w:rsidRPr="00311627">
              <w:rPr>
                <w:color w:val="808080"/>
                <w:lang w:eastAsia="en-NZ"/>
              </w:rPr>
              <w:t>18.8</w:t>
            </w:r>
          </w:p>
        </w:tc>
        <w:tc>
          <w:tcPr>
            <w:tcW w:w="940" w:type="dxa"/>
            <w:tcBorders>
              <w:top w:val="nil"/>
              <w:left w:val="nil"/>
              <w:bottom w:val="single" w:sz="4" w:space="0" w:color="808080"/>
              <w:right w:val="nil"/>
            </w:tcBorders>
            <w:shd w:val="clear" w:color="000000" w:fill="FFFFFF"/>
            <w:hideMark/>
          </w:tcPr>
          <w:p w14:paraId="3A1140F2" w14:textId="77777777" w:rsidR="00FC0DB8" w:rsidRPr="00311627" w:rsidRDefault="00FC0DB8" w:rsidP="008B4413">
            <w:pPr>
              <w:pStyle w:val="TableText"/>
              <w:jc w:val="center"/>
              <w:rPr>
                <w:color w:val="808080"/>
                <w:lang w:eastAsia="en-NZ"/>
              </w:rPr>
            </w:pPr>
            <w:r w:rsidRPr="00311627">
              <w:rPr>
                <w:color w:val="808080"/>
                <w:lang w:eastAsia="en-NZ"/>
              </w:rPr>
              <w:t>20.3</w:t>
            </w:r>
          </w:p>
        </w:tc>
        <w:tc>
          <w:tcPr>
            <w:tcW w:w="1278" w:type="dxa"/>
            <w:tcBorders>
              <w:top w:val="nil"/>
              <w:left w:val="nil"/>
              <w:bottom w:val="single" w:sz="4" w:space="0" w:color="808080"/>
              <w:right w:val="nil"/>
            </w:tcBorders>
            <w:shd w:val="clear" w:color="000000" w:fill="FFFFFF"/>
            <w:hideMark/>
          </w:tcPr>
          <w:p w14:paraId="42F552BD"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5873F9CB"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11D28CF0" w14:textId="77777777" w:rsidTr="008B4413">
        <w:trPr>
          <w:cantSplit/>
        </w:trPr>
        <w:tc>
          <w:tcPr>
            <w:tcW w:w="4020" w:type="dxa"/>
            <w:tcBorders>
              <w:top w:val="nil"/>
              <w:left w:val="nil"/>
              <w:bottom w:val="nil"/>
              <w:right w:val="nil"/>
            </w:tcBorders>
            <w:shd w:val="clear" w:color="000000" w:fill="FFFFFF"/>
            <w:hideMark/>
          </w:tcPr>
          <w:p w14:paraId="4377CA90" w14:textId="77777777" w:rsidR="00FC0DB8" w:rsidRPr="00052478" w:rsidRDefault="00052478" w:rsidP="008B4413">
            <w:pPr>
              <w:pStyle w:val="TableText"/>
              <w:rPr>
                <w:b/>
                <w:lang w:eastAsia="en-NZ"/>
              </w:rPr>
            </w:pPr>
            <w:r>
              <w:rPr>
                <w:b/>
                <w:lang w:eastAsia="en-NZ"/>
              </w:rPr>
              <w:t>Access to health care</w:t>
            </w:r>
          </w:p>
        </w:tc>
        <w:tc>
          <w:tcPr>
            <w:tcW w:w="900" w:type="dxa"/>
            <w:tcBorders>
              <w:top w:val="nil"/>
              <w:left w:val="nil"/>
              <w:bottom w:val="nil"/>
              <w:right w:val="nil"/>
            </w:tcBorders>
            <w:shd w:val="clear" w:color="000000" w:fill="FFFFFF"/>
            <w:hideMark/>
          </w:tcPr>
          <w:p w14:paraId="65A2D518" w14:textId="77777777" w:rsidR="00FC0DB8" w:rsidRPr="00311627" w:rsidRDefault="00FC0DB8" w:rsidP="008B4413">
            <w:pPr>
              <w:pStyle w:val="TableText"/>
              <w:jc w:val="center"/>
              <w:rPr>
                <w:lang w:eastAsia="en-NZ"/>
              </w:rPr>
            </w:pPr>
          </w:p>
        </w:tc>
        <w:tc>
          <w:tcPr>
            <w:tcW w:w="940" w:type="dxa"/>
            <w:tcBorders>
              <w:top w:val="nil"/>
              <w:left w:val="nil"/>
              <w:bottom w:val="nil"/>
              <w:right w:val="nil"/>
            </w:tcBorders>
            <w:shd w:val="clear" w:color="000000" w:fill="FFFFFF"/>
            <w:hideMark/>
          </w:tcPr>
          <w:p w14:paraId="32D5F14E" w14:textId="77777777" w:rsidR="00FC0DB8" w:rsidRPr="00311627" w:rsidRDefault="00FC0DB8" w:rsidP="008B4413">
            <w:pPr>
              <w:pStyle w:val="TableText"/>
              <w:jc w:val="center"/>
              <w:rPr>
                <w:color w:val="808080"/>
                <w:lang w:eastAsia="en-NZ"/>
              </w:rPr>
            </w:pPr>
          </w:p>
        </w:tc>
        <w:tc>
          <w:tcPr>
            <w:tcW w:w="940" w:type="dxa"/>
            <w:tcBorders>
              <w:top w:val="nil"/>
              <w:left w:val="nil"/>
              <w:bottom w:val="nil"/>
              <w:right w:val="nil"/>
            </w:tcBorders>
            <w:shd w:val="clear" w:color="000000" w:fill="FFFFFF"/>
            <w:hideMark/>
          </w:tcPr>
          <w:p w14:paraId="54971347" w14:textId="77777777" w:rsidR="00FC0DB8" w:rsidRPr="00311627" w:rsidRDefault="00FC0DB8" w:rsidP="008B4413">
            <w:pPr>
              <w:pStyle w:val="TableText"/>
              <w:jc w:val="center"/>
              <w:rPr>
                <w:color w:val="808080"/>
                <w:lang w:eastAsia="en-NZ"/>
              </w:rPr>
            </w:pPr>
          </w:p>
        </w:tc>
        <w:tc>
          <w:tcPr>
            <w:tcW w:w="1278" w:type="dxa"/>
            <w:tcBorders>
              <w:top w:val="nil"/>
              <w:left w:val="nil"/>
              <w:bottom w:val="nil"/>
              <w:right w:val="nil"/>
            </w:tcBorders>
            <w:shd w:val="clear" w:color="000000" w:fill="FFFFFF"/>
            <w:hideMark/>
          </w:tcPr>
          <w:p w14:paraId="42CB71BF" w14:textId="77777777" w:rsidR="00FC0DB8" w:rsidRPr="00311627" w:rsidRDefault="00FC0DB8" w:rsidP="008B4413">
            <w:pPr>
              <w:pStyle w:val="TableText"/>
              <w:jc w:val="center"/>
              <w:rPr>
                <w:color w:val="4F81BD"/>
                <w:lang w:eastAsia="en-NZ"/>
              </w:rPr>
            </w:pPr>
          </w:p>
        </w:tc>
        <w:tc>
          <w:tcPr>
            <w:tcW w:w="1278" w:type="dxa"/>
            <w:gridSpan w:val="2"/>
            <w:tcBorders>
              <w:top w:val="nil"/>
              <w:left w:val="nil"/>
              <w:bottom w:val="nil"/>
              <w:right w:val="nil"/>
            </w:tcBorders>
            <w:shd w:val="clear" w:color="000000" w:fill="FFFFFF"/>
            <w:hideMark/>
          </w:tcPr>
          <w:p w14:paraId="11D775E5" w14:textId="77777777" w:rsidR="00FC0DB8" w:rsidRPr="00311627" w:rsidRDefault="00FC0DB8" w:rsidP="008B4413">
            <w:pPr>
              <w:pStyle w:val="TableText"/>
              <w:jc w:val="center"/>
              <w:rPr>
                <w:color w:val="4F81BD"/>
                <w:lang w:eastAsia="en-NZ"/>
              </w:rPr>
            </w:pPr>
          </w:p>
        </w:tc>
      </w:tr>
      <w:tr w:rsidR="00FC0DB8" w:rsidRPr="00311627" w14:paraId="70E84ED8" w14:textId="77777777" w:rsidTr="008B4413">
        <w:trPr>
          <w:cantSplit/>
        </w:trPr>
        <w:tc>
          <w:tcPr>
            <w:tcW w:w="4020" w:type="dxa"/>
            <w:tcBorders>
              <w:top w:val="nil"/>
              <w:left w:val="nil"/>
              <w:bottom w:val="nil"/>
              <w:right w:val="nil"/>
            </w:tcBorders>
            <w:shd w:val="clear" w:color="000000" w:fill="FFFFFF"/>
            <w:hideMark/>
          </w:tcPr>
          <w:p w14:paraId="5575963F" w14:textId="77777777" w:rsidR="00FC0DB8" w:rsidRPr="00311627" w:rsidRDefault="00FC0DB8" w:rsidP="008B4413">
            <w:pPr>
              <w:pStyle w:val="TableText"/>
              <w:rPr>
                <w:lang w:eastAsia="en-NZ"/>
              </w:rPr>
            </w:pPr>
            <w:r w:rsidRPr="00311627">
              <w:rPr>
                <w:lang w:eastAsia="en-NZ"/>
              </w:rPr>
              <w:t>GP visit in the past 12 months</w:t>
            </w:r>
          </w:p>
        </w:tc>
        <w:tc>
          <w:tcPr>
            <w:tcW w:w="900" w:type="dxa"/>
            <w:tcBorders>
              <w:top w:val="nil"/>
              <w:left w:val="nil"/>
              <w:bottom w:val="nil"/>
              <w:right w:val="nil"/>
            </w:tcBorders>
            <w:shd w:val="clear" w:color="000000" w:fill="FFFFFF"/>
            <w:hideMark/>
          </w:tcPr>
          <w:p w14:paraId="1B11DE88" w14:textId="77777777" w:rsidR="00FC0DB8" w:rsidRPr="00311627" w:rsidRDefault="00FC0DB8" w:rsidP="008B4413">
            <w:pPr>
              <w:pStyle w:val="TableText"/>
              <w:jc w:val="center"/>
              <w:rPr>
                <w:lang w:eastAsia="en-NZ"/>
              </w:rPr>
            </w:pPr>
            <w:r w:rsidRPr="00311627">
              <w:rPr>
                <w:lang w:eastAsia="en-NZ"/>
              </w:rPr>
              <w:t>75.8</w:t>
            </w:r>
          </w:p>
        </w:tc>
        <w:tc>
          <w:tcPr>
            <w:tcW w:w="940" w:type="dxa"/>
            <w:tcBorders>
              <w:top w:val="nil"/>
              <w:left w:val="nil"/>
              <w:bottom w:val="nil"/>
              <w:right w:val="nil"/>
            </w:tcBorders>
            <w:shd w:val="clear" w:color="000000" w:fill="FFFFFF"/>
            <w:hideMark/>
          </w:tcPr>
          <w:p w14:paraId="1792D39C" w14:textId="77777777" w:rsidR="00FC0DB8" w:rsidRPr="00311627" w:rsidRDefault="00FC0DB8" w:rsidP="008B4413">
            <w:pPr>
              <w:pStyle w:val="TableText"/>
              <w:jc w:val="center"/>
              <w:rPr>
                <w:color w:val="808080"/>
                <w:lang w:eastAsia="en-NZ"/>
              </w:rPr>
            </w:pPr>
            <w:r w:rsidRPr="00311627">
              <w:rPr>
                <w:color w:val="808080"/>
                <w:lang w:eastAsia="en-NZ"/>
              </w:rPr>
              <w:t>73.5</w:t>
            </w:r>
          </w:p>
        </w:tc>
        <w:tc>
          <w:tcPr>
            <w:tcW w:w="940" w:type="dxa"/>
            <w:tcBorders>
              <w:top w:val="nil"/>
              <w:left w:val="nil"/>
              <w:bottom w:val="nil"/>
              <w:right w:val="nil"/>
            </w:tcBorders>
            <w:shd w:val="clear" w:color="000000" w:fill="FFFFFF"/>
            <w:hideMark/>
          </w:tcPr>
          <w:p w14:paraId="76CCD718" w14:textId="77777777" w:rsidR="00FC0DB8" w:rsidRPr="00311627" w:rsidRDefault="00FC0DB8" w:rsidP="008B4413">
            <w:pPr>
              <w:pStyle w:val="TableText"/>
              <w:jc w:val="center"/>
              <w:rPr>
                <w:color w:val="808080"/>
                <w:lang w:eastAsia="en-NZ"/>
              </w:rPr>
            </w:pPr>
            <w:r w:rsidRPr="00311627">
              <w:rPr>
                <w:color w:val="808080"/>
                <w:lang w:eastAsia="en-NZ"/>
              </w:rPr>
              <w:t>80.1</w:t>
            </w:r>
          </w:p>
        </w:tc>
        <w:tc>
          <w:tcPr>
            <w:tcW w:w="1278" w:type="dxa"/>
            <w:tcBorders>
              <w:top w:val="nil"/>
              <w:left w:val="nil"/>
              <w:bottom w:val="nil"/>
              <w:right w:val="nil"/>
            </w:tcBorders>
            <w:shd w:val="clear" w:color="000000" w:fill="FFFFFF"/>
            <w:hideMark/>
          </w:tcPr>
          <w:p w14:paraId="2B64A23D"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4EB0D500"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21AB614F" w14:textId="77777777" w:rsidTr="008B4413">
        <w:trPr>
          <w:cantSplit/>
        </w:trPr>
        <w:tc>
          <w:tcPr>
            <w:tcW w:w="4020" w:type="dxa"/>
            <w:tcBorders>
              <w:top w:val="nil"/>
              <w:left w:val="nil"/>
              <w:bottom w:val="nil"/>
              <w:right w:val="nil"/>
            </w:tcBorders>
            <w:shd w:val="clear" w:color="000000" w:fill="FFFFFF"/>
            <w:hideMark/>
          </w:tcPr>
          <w:p w14:paraId="1B259940" w14:textId="77777777" w:rsidR="00FC0DB8" w:rsidRPr="00311627" w:rsidRDefault="00FC0DB8" w:rsidP="008B4413">
            <w:pPr>
              <w:pStyle w:val="TableText"/>
              <w:rPr>
                <w:lang w:eastAsia="en-NZ"/>
              </w:rPr>
            </w:pPr>
            <w:r w:rsidRPr="00311627">
              <w:rPr>
                <w:lang w:eastAsia="en-NZ"/>
              </w:rPr>
              <w:t xml:space="preserve">Practice nurse </w:t>
            </w:r>
            <w:r>
              <w:rPr>
                <w:lang w:eastAsia="en-NZ"/>
              </w:rPr>
              <w:t xml:space="preserve">(only) </w:t>
            </w:r>
            <w:r w:rsidRPr="00311627">
              <w:rPr>
                <w:lang w:eastAsia="en-NZ"/>
              </w:rPr>
              <w:t>visit in the past 12 months</w:t>
            </w:r>
          </w:p>
        </w:tc>
        <w:tc>
          <w:tcPr>
            <w:tcW w:w="900" w:type="dxa"/>
            <w:tcBorders>
              <w:top w:val="nil"/>
              <w:left w:val="nil"/>
              <w:bottom w:val="nil"/>
              <w:right w:val="nil"/>
            </w:tcBorders>
            <w:shd w:val="clear" w:color="000000" w:fill="FFFFFF"/>
            <w:hideMark/>
          </w:tcPr>
          <w:p w14:paraId="0C74EB91" w14:textId="77777777" w:rsidR="00FC0DB8" w:rsidRPr="00311627" w:rsidRDefault="00FC0DB8" w:rsidP="008B4413">
            <w:pPr>
              <w:pStyle w:val="TableText"/>
              <w:jc w:val="center"/>
              <w:rPr>
                <w:lang w:eastAsia="en-NZ"/>
              </w:rPr>
            </w:pPr>
            <w:r w:rsidRPr="00311627">
              <w:rPr>
                <w:lang w:eastAsia="en-NZ"/>
              </w:rPr>
              <w:t>26.9</w:t>
            </w:r>
          </w:p>
        </w:tc>
        <w:tc>
          <w:tcPr>
            <w:tcW w:w="940" w:type="dxa"/>
            <w:tcBorders>
              <w:top w:val="nil"/>
              <w:left w:val="nil"/>
              <w:bottom w:val="nil"/>
              <w:right w:val="nil"/>
            </w:tcBorders>
            <w:shd w:val="clear" w:color="000000" w:fill="FFFFFF"/>
            <w:hideMark/>
          </w:tcPr>
          <w:p w14:paraId="7C7DDFCE" w14:textId="77777777" w:rsidR="00FC0DB8" w:rsidRPr="00311627" w:rsidRDefault="00FC0DB8" w:rsidP="008B4413">
            <w:pPr>
              <w:pStyle w:val="TableText"/>
              <w:jc w:val="center"/>
              <w:rPr>
                <w:color w:val="808080"/>
                <w:lang w:eastAsia="en-NZ"/>
              </w:rPr>
            </w:pPr>
            <w:r w:rsidRPr="00311627">
              <w:rPr>
                <w:color w:val="808080"/>
                <w:lang w:eastAsia="en-NZ"/>
              </w:rPr>
              <w:t>24.2</w:t>
            </w:r>
          </w:p>
        </w:tc>
        <w:tc>
          <w:tcPr>
            <w:tcW w:w="940" w:type="dxa"/>
            <w:tcBorders>
              <w:top w:val="nil"/>
              <w:left w:val="nil"/>
              <w:bottom w:val="nil"/>
              <w:right w:val="nil"/>
            </w:tcBorders>
            <w:shd w:val="clear" w:color="000000" w:fill="FFFFFF"/>
            <w:hideMark/>
          </w:tcPr>
          <w:p w14:paraId="03FFE2A4" w14:textId="77777777" w:rsidR="00FC0DB8" w:rsidRPr="00311627" w:rsidRDefault="00FC0DB8" w:rsidP="008B4413">
            <w:pPr>
              <w:pStyle w:val="TableText"/>
              <w:jc w:val="center"/>
              <w:rPr>
                <w:color w:val="808080"/>
                <w:lang w:eastAsia="en-NZ"/>
              </w:rPr>
            </w:pPr>
            <w:r w:rsidRPr="00311627">
              <w:rPr>
                <w:color w:val="808080"/>
                <w:lang w:eastAsia="en-NZ"/>
              </w:rPr>
              <w:t>24.6</w:t>
            </w:r>
          </w:p>
        </w:tc>
        <w:tc>
          <w:tcPr>
            <w:tcW w:w="1278" w:type="dxa"/>
            <w:tcBorders>
              <w:top w:val="nil"/>
              <w:left w:val="nil"/>
              <w:bottom w:val="nil"/>
              <w:right w:val="nil"/>
            </w:tcBorders>
            <w:shd w:val="clear" w:color="000000" w:fill="FFFFFF"/>
            <w:hideMark/>
          </w:tcPr>
          <w:p w14:paraId="0AA66A59"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2D4A97B9"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126C1DC3" w14:textId="77777777" w:rsidTr="008B4413">
        <w:trPr>
          <w:cantSplit/>
        </w:trPr>
        <w:tc>
          <w:tcPr>
            <w:tcW w:w="4020" w:type="dxa"/>
            <w:tcBorders>
              <w:top w:val="nil"/>
              <w:left w:val="nil"/>
              <w:bottom w:val="single" w:sz="4" w:space="0" w:color="808080"/>
              <w:right w:val="nil"/>
            </w:tcBorders>
            <w:shd w:val="clear" w:color="000000" w:fill="FFFFFF"/>
            <w:hideMark/>
          </w:tcPr>
          <w:p w14:paraId="46C0EA04" w14:textId="77777777" w:rsidR="00FC0DB8" w:rsidRPr="00311627" w:rsidRDefault="00FC0DB8" w:rsidP="00052478">
            <w:pPr>
              <w:pStyle w:val="TableText"/>
              <w:rPr>
                <w:lang w:eastAsia="en-NZ"/>
              </w:rPr>
            </w:pPr>
            <w:r w:rsidRPr="00311627">
              <w:rPr>
                <w:lang w:eastAsia="en-NZ"/>
              </w:rPr>
              <w:t xml:space="preserve">After-hours </w:t>
            </w:r>
            <w:r>
              <w:rPr>
                <w:lang w:eastAsia="en-NZ"/>
              </w:rPr>
              <w:t xml:space="preserve">medical centre </w:t>
            </w:r>
            <w:r w:rsidRPr="00311627">
              <w:rPr>
                <w:lang w:eastAsia="en-NZ"/>
              </w:rPr>
              <w:t>visit in the past 12</w:t>
            </w:r>
            <w:r w:rsidR="00052478">
              <w:rPr>
                <w:lang w:eastAsia="en-NZ"/>
              </w:rPr>
              <w:t> </w:t>
            </w:r>
            <w:r w:rsidRPr="00311627">
              <w:rPr>
                <w:lang w:eastAsia="en-NZ"/>
              </w:rPr>
              <w:t>months</w:t>
            </w:r>
          </w:p>
        </w:tc>
        <w:tc>
          <w:tcPr>
            <w:tcW w:w="900" w:type="dxa"/>
            <w:tcBorders>
              <w:top w:val="nil"/>
              <w:left w:val="nil"/>
              <w:bottom w:val="single" w:sz="4" w:space="0" w:color="808080"/>
              <w:right w:val="nil"/>
            </w:tcBorders>
            <w:shd w:val="clear" w:color="000000" w:fill="FFFFFF"/>
            <w:hideMark/>
          </w:tcPr>
          <w:p w14:paraId="71DE7EE1" w14:textId="77777777" w:rsidR="00FC0DB8" w:rsidRPr="00311627" w:rsidRDefault="00FC0DB8" w:rsidP="008B4413">
            <w:pPr>
              <w:pStyle w:val="TableText"/>
              <w:jc w:val="center"/>
              <w:rPr>
                <w:lang w:eastAsia="en-NZ"/>
              </w:rPr>
            </w:pPr>
            <w:r w:rsidRPr="00311627">
              <w:rPr>
                <w:lang w:eastAsia="en-NZ"/>
              </w:rPr>
              <w:t>23.3</w:t>
            </w:r>
          </w:p>
        </w:tc>
        <w:tc>
          <w:tcPr>
            <w:tcW w:w="940" w:type="dxa"/>
            <w:tcBorders>
              <w:top w:val="nil"/>
              <w:left w:val="nil"/>
              <w:bottom w:val="single" w:sz="4" w:space="0" w:color="808080"/>
              <w:right w:val="nil"/>
            </w:tcBorders>
            <w:shd w:val="clear" w:color="000000" w:fill="FFFFFF"/>
            <w:hideMark/>
          </w:tcPr>
          <w:p w14:paraId="7FB67F5C" w14:textId="77777777" w:rsidR="00FC0DB8" w:rsidRPr="00311627" w:rsidRDefault="00FC0DB8" w:rsidP="008B4413">
            <w:pPr>
              <w:pStyle w:val="TableText"/>
              <w:jc w:val="center"/>
              <w:rPr>
                <w:color w:val="808080"/>
                <w:lang w:eastAsia="en-NZ"/>
              </w:rPr>
            </w:pPr>
            <w:r w:rsidRPr="00311627">
              <w:rPr>
                <w:color w:val="808080"/>
                <w:lang w:eastAsia="en-NZ"/>
              </w:rPr>
              <w:t>20.7</w:t>
            </w:r>
          </w:p>
        </w:tc>
        <w:tc>
          <w:tcPr>
            <w:tcW w:w="940" w:type="dxa"/>
            <w:tcBorders>
              <w:top w:val="nil"/>
              <w:left w:val="nil"/>
              <w:bottom w:val="single" w:sz="4" w:space="0" w:color="808080"/>
              <w:right w:val="nil"/>
            </w:tcBorders>
            <w:shd w:val="clear" w:color="000000" w:fill="FFFFFF"/>
            <w:hideMark/>
          </w:tcPr>
          <w:p w14:paraId="1740F5EB" w14:textId="77777777" w:rsidR="00FC0DB8" w:rsidRPr="00311627" w:rsidRDefault="00FC0DB8" w:rsidP="008B4413">
            <w:pPr>
              <w:pStyle w:val="TableText"/>
              <w:jc w:val="center"/>
              <w:rPr>
                <w:color w:val="808080"/>
                <w:lang w:eastAsia="en-NZ"/>
              </w:rPr>
            </w:pPr>
            <w:r w:rsidRPr="00311627">
              <w:rPr>
                <w:color w:val="808080"/>
                <w:lang w:eastAsia="en-NZ"/>
              </w:rPr>
              <w:t>.</w:t>
            </w:r>
          </w:p>
        </w:tc>
        <w:tc>
          <w:tcPr>
            <w:tcW w:w="1278" w:type="dxa"/>
            <w:tcBorders>
              <w:top w:val="nil"/>
              <w:left w:val="nil"/>
              <w:bottom w:val="single" w:sz="4" w:space="0" w:color="808080"/>
              <w:right w:val="nil"/>
            </w:tcBorders>
            <w:shd w:val="clear" w:color="000000" w:fill="FFFFFF"/>
            <w:hideMark/>
          </w:tcPr>
          <w:p w14:paraId="3226F7D6"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1BFEA0D0"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069B21B4" w14:textId="77777777" w:rsidTr="008B4413">
        <w:trPr>
          <w:cantSplit/>
        </w:trPr>
        <w:tc>
          <w:tcPr>
            <w:tcW w:w="4020" w:type="dxa"/>
            <w:tcBorders>
              <w:top w:val="nil"/>
              <w:left w:val="nil"/>
              <w:bottom w:val="nil"/>
              <w:right w:val="nil"/>
            </w:tcBorders>
            <w:shd w:val="clear" w:color="000000" w:fill="FFFFFF"/>
            <w:hideMark/>
          </w:tcPr>
          <w:p w14:paraId="58BE7F48" w14:textId="77777777" w:rsidR="00FC0DB8" w:rsidRPr="00311627" w:rsidRDefault="00FC0DB8" w:rsidP="008B4413">
            <w:pPr>
              <w:pStyle w:val="TableText"/>
              <w:rPr>
                <w:lang w:eastAsia="en-NZ"/>
              </w:rPr>
            </w:pPr>
            <w:r w:rsidRPr="00311627">
              <w:rPr>
                <w:lang w:eastAsia="en-NZ"/>
              </w:rPr>
              <w:t xml:space="preserve">Experienced any unmet need for primary health care in the past 12 months </w:t>
            </w:r>
          </w:p>
        </w:tc>
        <w:tc>
          <w:tcPr>
            <w:tcW w:w="900" w:type="dxa"/>
            <w:tcBorders>
              <w:top w:val="nil"/>
              <w:left w:val="nil"/>
              <w:bottom w:val="nil"/>
              <w:right w:val="nil"/>
            </w:tcBorders>
            <w:shd w:val="clear" w:color="000000" w:fill="FFFFFF"/>
            <w:hideMark/>
          </w:tcPr>
          <w:p w14:paraId="1F25C4E6" w14:textId="77777777" w:rsidR="00FC0DB8" w:rsidRPr="00311627" w:rsidRDefault="00FC0DB8" w:rsidP="008B4413">
            <w:pPr>
              <w:pStyle w:val="TableText"/>
              <w:jc w:val="center"/>
              <w:rPr>
                <w:lang w:eastAsia="en-NZ"/>
              </w:rPr>
            </w:pPr>
            <w:r w:rsidRPr="00311627">
              <w:rPr>
                <w:lang w:eastAsia="en-NZ"/>
              </w:rPr>
              <w:t>28.1</w:t>
            </w:r>
          </w:p>
        </w:tc>
        <w:tc>
          <w:tcPr>
            <w:tcW w:w="940" w:type="dxa"/>
            <w:tcBorders>
              <w:top w:val="nil"/>
              <w:left w:val="nil"/>
              <w:bottom w:val="nil"/>
              <w:right w:val="nil"/>
            </w:tcBorders>
            <w:shd w:val="clear" w:color="000000" w:fill="FFFFFF"/>
            <w:hideMark/>
          </w:tcPr>
          <w:p w14:paraId="06FF79EF" w14:textId="77777777" w:rsidR="00FC0DB8" w:rsidRPr="00311627" w:rsidRDefault="00FC0DB8" w:rsidP="008B4413">
            <w:pPr>
              <w:pStyle w:val="TableText"/>
              <w:jc w:val="center"/>
              <w:rPr>
                <w:color w:val="808080"/>
                <w:lang w:eastAsia="en-NZ"/>
              </w:rPr>
            </w:pPr>
            <w:r w:rsidRPr="00311627">
              <w:rPr>
                <w:color w:val="808080"/>
                <w:lang w:eastAsia="en-NZ"/>
              </w:rPr>
              <w:t>27.0</w:t>
            </w:r>
          </w:p>
        </w:tc>
        <w:tc>
          <w:tcPr>
            <w:tcW w:w="940" w:type="dxa"/>
            <w:tcBorders>
              <w:top w:val="nil"/>
              <w:left w:val="nil"/>
              <w:bottom w:val="nil"/>
              <w:right w:val="nil"/>
            </w:tcBorders>
            <w:shd w:val="clear" w:color="000000" w:fill="FFFFFF"/>
            <w:hideMark/>
          </w:tcPr>
          <w:p w14:paraId="11F57927" w14:textId="77777777" w:rsidR="00FC0DB8" w:rsidRPr="00311627" w:rsidRDefault="00FC0DB8" w:rsidP="008B4413">
            <w:pPr>
              <w:pStyle w:val="TableText"/>
              <w:jc w:val="center"/>
              <w:rPr>
                <w:color w:val="808080"/>
                <w:lang w:eastAsia="en-NZ"/>
              </w:rPr>
            </w:pPr>
            <w:r w:rsidRPr="00311627">
              <w:rPr>
                <w:color w:val="808080"/>
                <w:lang w:eastAsia="en-NZ"/>
              </w:rPr>
              <w:t>.</w:t>
            </w:r>
          </w:p>
        </w:tc>
        <w:tc>
          <w:tcPr>
            <w:tcW w:w="1278" w:type="dxa"/>
            <w:tcBorders>
              <w:top w:val="nil"/>
              <w:left w:val="nil"/>
              <w:bottom w:val="nil"/>
              <w:right w:val="nil"/>
            </w:tcBorders>
            <w:shd w:val="clear" w:color="000000" w:fill="FFFFFF"/>
            <w:hideMark/>
          </w:tcPr>
          <w:p w14:paraId="113590E8"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4F04CF8D"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7ECA5046" w14:textId="77777777" w:rsidTr="008B4413">
        <w:trPr>
          <w:cantSplit/>
        </w:trPr>
        <w:tc>
          <w:tcPr>
            <w:tcW w:w="4020" w:type="dxa"/>
            <w:tcBorders>
              <w:top w:val="nil"/>
              <w:left w:val="nil"/>
              <w:bottom w:val="nil"/>
              <w:right w:val="nil"/>
            </w:tcBorders>
            <w:shd w:val="clear" w:color="000000" w:fill="FFFFFF"/>
            <w:hideMark/>
          </w:tcPr>
          <w:p w14:paraId="0868A2D4" w14:textId="77777777" w:rsidR="00FC0DB8" w:rsidRPr="00311627" w:rsidRDefault="00FC0DB8" w:rsidP="008B4413">
            <w:pPr>
              <w:pStyle w:val="TableText"/>
              <w:rPr>
                <w:lang w:eastAsia="en-NZ"/>
              </w:rPr>
            </w:pPr>
            <w:r w:rsidRPr="00311627">
              <w:rPr>
                <w:lang w:eastAsia="en-NZ"/>
              </w:rPr>
              <w:t>Unable to get appointment at usual medical centre within 24 hours</w:t>
            </w:r>
          </w:p>
        </w:tc>
        <w:tc>
          <w:tcPr>
            <w:tcW w:w="900" w:type="dxa"/>
            <w:tcBorders>
              <w:top w:val="nil"/>
              <w:left w:val="nil"/>
              <w:bottom w:val="nil"/>
              <w:right w:val="nil"/>
            </w:tcBorders>
            <w:shd w:val="clear" w:color="000000" w:fill="FFFFFF"/>
            <w:hideMark/>
          </w:tcPr>
          <w:p w14:paraId="313B477A" w14:textId="77777777" w:rsidR="00FC0DB8" w:rsidRPr="00311627" w:rsidRDefault="00FC0DB8" w:rsidP="008B4413">
            <w:pPr>
              <w:pStyle w:val="TableText"/>
              <w:jc w:val="center"/>
              <w:rPr>
                <w:lang w:eastAsia="en-NZ"/>
              </w:rPr>
            </w:pPr>
            <w:r w:rsidRPr="00311627">
              <w:rPr>
                <w:lang w:eastAsia="en-NZ"/>
              </w:rPr>
              <w:t>18.6</w:t>
            </w:r>
          </w:p>
        </w:tc>
        <w:tc>
          <w:tcPr>
            <w:tcW w:w="940" w:type="dxa"/>
            <w:tcBorders>
              <w:top w:val="nil"/>
              <w:left w:val="nil"/>
              <w:bottom w:val="nil"/>
              <w:right w:val="nil"/>
            </w:tcBorders>
            <w:shd w:val="clear" w:color="000000" w:fill="FFFFFF"/>
            <w:hideMark/>
          </w:tcPr>
          <w:p w14:paraId="4A31F075" w14:textId="77777777" w:rsidR="00FC0DB8" w:rsidRPr="00311627" w:rsidRDefault="00FC0DB8" w:rsidP="008B4413">
            <w:pPr>
              <w:pStyle w:val="TableText"/>
              <w:jc w:val="center"/>
              <w:rPr>
                <w:color w:val="808080"/>
                <w:lang w:eastAsia="en-NZ"/>
              </w:rPr>
            </w:pPr>
            <w:r w:rsidRPr="00311627">
              <w:rPr>
                <w:color w:val="808080"/>
                <w:lang w:eastAsia="en-NZ"/>
              </w:rPr>
              <w:t>17.1</w:t>
            </w:r>
          </w:p>
        </w:tc>
        <w:tc>
          <w:tcPr>
            <w:tcW w:w="940" w:type="dxa"/>
            <w:tcBorders>
              <w:top w:val="nil"/>
              <w:left w:val="nil"/>
              <w:bottom w:val="nil"/>
              <w:right w:val="nil"/>
            </w:tcBorders>
            <w:shd w:val="clear" w:color="000000" w:fill="FFFFFF"/>
            <w:hideMark/>
          </w:tcPr>
          <w:p w14:paraId="78E289DF" w14:textId="77777777" w:rsidR="00FC0DB8" w:rsidRPr="00311627" w:rsidRDefault="00FC0DB8" w:rsidP="008B4413">
            <w:pPr>
              <w:pStyle w:val="TableText"/>
              <w:jc w:val="center"/>
              <w:rPr>
                <w:color w:val="808080"/>
                <w:lang w:eastAsia="en-NZ"/>
              </w:rPr>
            </w:pPr>
            <w:r w:rsidRPr="00311627">
              <w:rPr>
                <w:color w:val="808080"/>
                <w:lang w:eastAsia="en-NZ"/>
              </w:rPr>
              <w:t>.</w:t>
            </w:r>
          </w:p>
        </w:tc>
        <w:tc>
          <w:tcPr>
            <w:tcW w:w="1278" w:type="dxa"/>
            <w:tcBorders>
              <w:top w:val="nil"/>
              <w:left w:val="nil"/>
              <w:bottom w:val="nil"/>
              <w:right w:val="nil"/>
            </w:tcBorders>
            <w:shd w:val="clear" w:color="000000" w:fill="FFFFFF"/>
            <w:hideMark/>
          </w:tcPr>
          <w:p w14:paraId="25D03A42"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4057AE66"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501A21D5" w14:textId="77777777" w:rsidTr="008B4413">
        <w:trPr>
          <w:cantSplit/>
        </w:trPr>
        <w:tc>
          <w:tcPr>
            <w:tcW w:w="4020" w:type="dxa"/>
            <w:tcBorders>
              <w:top w:val="nil"/>
              <w:left w:val="nil"/>
              <w:bottom w:val="nil"/>
              <w:right w:val="nil"/>
            </w:tcBorders>
            <w:shd w:val="clear" w:color="000000" w:fill="FFFFFF"/>
            <w:hideMark/>
          </w:tcPr>
          <w:p w14:paraId="327689BD" w14:textId="77777777" w:rsidR="00FC0DB8" w:rsidRPr="00311627" w:rsidRDefault="00FC0DB8" w:rsidP="008B4413">
            <w:pPr>
              <w:pStyle w:val="TableText"/>
              <w:rPr>
                <w:lang w:eastAsia="en-NZ"/>
              </w:rPr>
            </w:pPr>
            <w:r w:rsidRPr="00311627">
              <w:rPr>
                <w:lang w:eastAsia="en-NZ"/>
              </w:rPr>
              <w:t>Unmet need for GP due to cost</w:t>
            </w:r>
          </w:p>
        </w:tc>
        <w:tc>
          <w:tcPr>
            <w:tcW w:w="900" w:type="dxa"/>
            <w:tcBorders>
              <w:top w:val="nil"/>
              <w:left w:val="nil"/>
              <w:bottom w:val="nil"/>
              <w:right w:val="nil"/>
            </w:tcBorders>
            <w:shd w:val="clear" w:color="000000" w:fill="FFFFFF"/>
            <w:hideMark/>
          </w:tcPr>
          <w:p w14:paraId="088ED854" w14:textId="77777777" w:rsidR="00FC0DB8" w:rsidRPr="00311627" w:rsidRDefault="00FC0DB8" w:rsidP="008B4413">
            <w:pPr>
              <w:pStyle w:val="TableText"/>
              <w:jc w:val="center"/>
              <w:rPr>
                <w:lang w:eastAsia="en-NZ"/>
              </w:rPr>
            </w:pPr>
            <w:r w:rsidRPr="00311627">
              <w:rPr>
                <w:lang w:eastAsia="en-NZ"/>
              </w:rPr>
              <w:t>6.3</w:t>
            </w:r>
          </w:p>
        </w:tc>
        <w:tc>
          <w:tcPr>
            <w:tcW w:w="940" w:type="dxa"/>
            <w:tcBorders>
              <w:top w:val="nil"/>
              <w:left w:val="nil"/>
              <w:bottom w:val="nil"/>
              <w:right w:val="nil"/>
            </w:tcBorders>
            <w:shd w:val="clear" w:color="000000" w:fill="FFFFFF"/>
            <w:hideMark/>
          </w:tcPr>
          <w:p w14:paraId="6B0DB89F" w14:textId="77777777" w:rsidR="00FC0DB8" w:rsidRPr="00311627" w:rsidRDefault="00FC0DB8" w:rsidP="008B4413">
            <w:pPr>
              <w:pStyle w:val="TableText"/>
              <w:jc w:val="center"/>
              <w:rPr>
                <w:color w:val="808080"/>
                <w:lang w:eastAsia="en-NZ"/>
              </w:rPr>
            </w:pPr>
            <w:r w:rsidRPr="00311627">
              <w:rPr>
                <w:color w:val="808080"/>
                <w:lang w:eastAsia="en-NZ"/>
              </w:rPr>
              <w:t>7.7</w:t>
            </w:r>
          </w:p>
        </w:tc>
        <w:tc>
          <w:tcPr>
            <w:tcW w:w="940" w:type="dxa"/>
            <w:tcBorders>
              <w:top w:val="nil"/>
              <w:left w:val="nil"/>
              <w:bottom w:val="nil"/>
              <w:right w:val="nil"/>
            </w:tcBorders>
            <w:shd w:val="clear" w:color="000000" w:fill="FFFFFF"/>
            <w:hideMark/>
          </w:tcPr>
          <w:p w14:paraId="0870AF1D" w14:textId="77777777" w:rsidR="00FC0DB8" w:rsidRPr="00311627" w:rsidRDefault="00FC0DB8" w:rsidP="008B4413">
            <w:pPr>
              <w:pStyle w:val="TableText"/>
              <w:jc w:val="center"/>
              <w:rPr>
                <w:color w:val="808080"/>
                <w:lang w:eastAsia="en-NZ"/>
              </w:rPr>
            </w:pPr>
            <w:r w:rsidRPr="00311627">
              <w:rPr>
                <w:color w:val="808080"/>
                <w:lang w:eastAsia="en-NZ"/>
              </w:rPr>
              <w:t>.</w:t>
            </w:r>
          </w:p>
        </w:tc>
        <w:tc>
          <w:tcPr>
            <w:tcW w:w="1278" w:type="dxa"/>
            <w:tcBorders>
              <w:top w:val="nil"/>
              <w:left w:val="nil"/>
              <w:bottom w:val="nil"/>
              <w:right w:val="nil"/>
            </w:tcBorders>
            <w:shd w:val="clear" w:color="000000" w:fill="FFFFFF"/>
            <w:hideMark/>
          </w:tcPr>
          <w:p w14:paraId="65FAAF0B"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5D1A2C16"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0405AEE2" w14:textId="77777777" w:rsidTr="008B4413">
        <w:trPr>
          <w:cantSplit/>
        </w:trPr>
        <w:tc>
          <w:tcPr>
            <w:tcW w:w="4020" w:type="dxa"/>
            <w:tcBorders>
              <w:top w:val="nil"/>
              <w:left w:val="nil"/>
              <w:bottom w:val="single" w:sz="4" w:space="0" w:color="808080"/>
              <w:right w:val="nil"/>
            </w:tcBorders>
            <w:shd w:val="clear" w:color="000000" w:fill="FFFFFF"/>
            <w:hideMark/>
          </w:tcPr>
          <w:p w14:paraId="1590BA0E" w14:textId="77777777" w:rsidR="00FC0DB8" w:rsidRPr="00311627" w:rsidRDefault="00FC0DB8" w:rsidP="008B4413">
            <w:pPr>
              <w:pStyle w:val="TableText"/>
              <w:rPr>
                <w:lang w:eastAsia="en-NZ"/>
              </w:rPr>
            </w:pPr>
            <w:r w:rsidRPr="00311627">
              <w:rPr>
                <w:lang w:eastAsia="en-NZ"/>
              </w:rPr>
              <w:t>Unmet need for after-hours due to cost</w:t>
            </w:r>
          </w:p>
        </w:tc>
        <w:tc>
          <w:tcPr>
            <w:tcW w:w="900" w:type="dxa"/>
            <w:tcBorders>
              <w:top w:val="nil"/>
              <w:left w:val="nil"/>
              <w:bottom w:val="single" w:sz="4" w:space="0" w:color="808080"/>
              <w:right w:val="nil"/>
            </w:tcBorders>
            <w:shd w:val="clear" w:color="000000" w:fill="FFFFFF"/>
            <w:hideMark/>
          </w:tcPr>
          <w:p w14:paraId="6C3E5E1C" w14:textId="77777777" w:rsidR="00FC0DB8" w:rsidRPr="00311627" w:rsidRDefault="00FC0DB8" w:rsidP="008B4413">
            <w:pPr>
              <w:pStyle w:val="TableText"/>
              <w:jc w:val="center"/>
              <w:rPr>
                <w:lang w:eastAsia="en-NZ"/>
              </w:rPr>
            </w:pPr>
            <w:r w:rsidRPr="00311627">
              <w:rPr>
                <w:lang w:eastAsia="en-NZ"/>
              </w:rPr>
              <w:t>6.4</w:t>
            </w:r>
          </w:p>
        </w:tc>
        <w:tc>
          <w:tcPr>
            <w:tcW w:w="940" w:type="dxa"/>
            <w:tcBorders>
              <w:top w:val="nil"/>
              <w:left w:val="nil"/>
              <w:bottom w:val="single" w:sz="4" w:space="0" w:color="808080"/>
              <w:right w:val="nil"/>
            </w:tcBorders>
            <w:shd w:val="clear" w:color="000000" w:fill="FFFFFF"/>
            <w:hideMark/>
          </w:tcPr>
          <w:p w14:paraId="2FAD4CC3" w14:textId="77777777" w:rsidR="00FC0DB8" w:rsidRPr="00311627" w:rsidRDefault="00FC0DB8" w:rsidP="008B4413">
            <w:pPr>
              <w:pStyle w:val="TableText"/>
              <w:jc w:val="center"/>
              <w:rPr>
                <w:color w:val="808080"/>
                <w:lang w:eastAsia="en-NZ"/>
              </w:rPr>
            </w:pPr>
            <w:r w:rsidRPr="00311627">
              <w:rPr>
                <w:color w:val="808080"/>
                <w:lang w:eastAsia="en-NZ"/>
              </w:rPr>
              <w:t>8.4</w:t>
            </w:r>
          </w:p>
        </w:tc>
        <w:tc>
          <w:tcPr>
            <w:tcW w:w="940" w:type="dxa"/>
            <w:tcBorders>
              <w:top w:val="nil"/>
              <w:left w:val="nil"/>
              <w:bottom w:val="single" w:sz="4" w:space="0" w:color="808080"/>
              <w:right w:val="nil"/>
            </w:tcBorders>
            <w:shd w:val="clear" w:color="000000" w:fill="FFFFFF"/>
            <w:hideMark/>
          </w:tcPr>
          <w:p w14:paraId="2666A098" w14:textId="77777777" w:rsidR="00FC0DB8" w:rsidRPr="00311627" w:rsidRDefault="00FC0DB8" w:rsidP="008B4413">
            <w:pPr>
              <w:pStyle w:val="TableText"/>
              <w:jc w:val="center"/>
              <w:rPr>
                <w:color w:val="808080"/>
                <w:lang w:eastAsia="en-NZ"/>
              </w:rPr>
            </w:pPr>
            <w:r w:rsidRPr="00311627">
              <w:rPr>
                <w:color w:val="808080"/>
                <w:lang w:eastAsia="en-NZ"/>
              </w:rPr>
              <w:t>.</w:t>
            </w:r>
          </w:p>
        </w:tc>
        <w:tc>
          <w:tcPr>
            <w:tcW w:w="1278" w:type="dxa"/>
            <w:tcBorders>
              <w:top w:val="nil"/>
              <w:left w:val="nil"/>
              <w:bottom w:val="single" w:sz="4" w:space="0" w:color="808080"/>
              <w:right w:val="nil"/>
            </w:tcBorders>
            <w:shd w:val="clear" w:color="000000" w:fill="FFFFFF"/>
            <w:hideMark/>
          </w:tcPr>
          <w:p w14:paraId="4A2BB332"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0986660D"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642ABD0C" w14:textId="77777777" w:rsidTr="008B4413">
        <w:trPr>
          <w:cantSplit/>
        </w:trPr>
        <w:tc>
          <w:tcPr>
            <w:tcW w:w="4020" w:type="dxa"/>
            <w:tcBorders>
              <w:top w:val="nil"/>
              <w:left w:val="nil"/>
              <w:bottom w:val="single" w:sz="4" w:space="0" w:color="808080"/>
              <w:right w:val="nil"/>
            </w:tcBorders>
            <w:shd w:val="clear" w:color="000000" w:fill="FFFFFF"/>
            <w:hideMark/>
          </w:tcPr>
          <w:p w14:paraId="6912C361" w14:textId="77777777" w:rsidR="00FC0DB8" w:rsidRPr="00311627" w:rsidRDefault="00FC0DB8" w:rsidP="008B4413">
            <w:pPr>
              <w:pStyle w:val="TableText"/>
              <w:rPr>
                <w:lang w:eastAsia="en-NZ"/>
              </w:rPr>
            </w:pPr>
            <w:r w:rsidRPr="00311627">
              <w:rPr>
                <w:lang w:eastAsia="en-NZ"/>
              </w:rPr>
              <w:t>Unfilled prescription due to cost</w:t>
            </w:r>
          </w:p>
        </w:tc>
        <w:tc>
          <w:tcPr>
            <w:tcW w:w="900" w:type="dxa"/>
            <w:tcBorders>
              <w:top w:val="nil"/>
              <w:left w:val="nil"/>
              <w:bottom w:val="single" w:sz="4" w:space="0" w:color="808080"/>
              <w:right w:val="nil"/>
            </w:tcBorders>
            <w:shd w:val="clear" w:color="000000" w:fill="FFFFFF"/>
            <w:hideMark/>
          </w:tcPr>
          <w:p w14:paraId="0FDE51AF" w14:textId="77777777" w:rsidR="00FC0DB8" w:rsidRPr="00311627" w:rsidRDefault="00FC0DB8" w:rsidP="008B4413">
            <w:pPr>
              <w:pStyle w:val="TableText"/>
              <w:jc w:val="center"/>
              <w:rPr>
                <w:lang w:eastAsia="en-NZ"/>
              </w:rPr>
            </w:pPr>
            <w:r w:rsidRPr="00311627">
              <w:rPr>
                <w:lang w:eastAsia="en-NZ"/>
              </w:rPr>
              <w:t>7.2</w:t>
            </w:r>
          </w:p>
        </w:tc>
        <w:tc>
          <w:tcPr>
            <w:tcW w:w="940" w:type="dxa"/>
            <w:tcBorders>
              <w:top w:val="nil"/>
              <w:left w:val="nil"/>
              <w:bottom w:val="single" w:sz="4" w:space="0" w:color="808080"/>
              <w:right w:val="nil"/>
            </w:tcBorders>
            <w:shd w:val="clear" w:color="000000" w:fill="FFFFFF"/>
            <w:hideMark/>
          </w:tcPr>
          <w:p w14:paraId="5EF05A33" w14:textId="77777777" w:rsidR="00FC0DB8" w:rsidRPr="00311627" w:rsidRDefault="00FC0DB8" w:rsidP="008B4413">
            <w:pPr>
              <w:pStyle w:val="TableText"/>
              <w:jc w:val="center"/>
              <w:rPr>
                <w:color w:val="808080"/>
                <w:lang w:eastAsia="en-NZ"/>
              </w:rPr>
            </w:pPr>
            <w:r w:rsidRPr="00311627">
              <w:rPr>
                <w:color w:val="808080"/>
                <w:lang w:eastAsia="en-NZ"/>
              </w:rPr>
              <w:t>12.1</w:t>
            </w:r>
          </w:p>
        </w:tc>
        <w:tc>
          <w:tcPr>
            <w:tcW w:w="940" w:type="dxa"/>
            <w:tcBorders>
              <w:top w:val="nil"/>
              <w:left w:val="nil"/>
              <w:bottom w:val="single" w:sz="4" w:space="0" w:color="808080"/>
              <w:right w:val="nil"/>
            </w:tcBorders>
            <w:shd w:val="clear" w:color="000000" w:fill="FFFFFF"/>
            <w:hideMark/>
          </w:tcPr>
          <w:p w14:paraId="45C13623" w14:textId="77777777" w:rsidR="00FC0DB8" w:rsidRPr="00311627" w:rsidRDefault="00FC0DB8" w:rsidP="008B4413">
            <w:pPr>
              <w:pStyle w:val="TableText"/>
              <w:jc w:val="center"/>
              <w:rPr>
                <w:color w:val="808080"/>
                <w:lang w:eastAsia="en-NZ"/>
              </w:rPr>
            </w:pPr>
            <w:r w:rsidRPr="00311627">
              <w:rPr>
                <w:color w:val="808080"/>
                <w:lang w:eastAsia="en-NZ"/>
              </w:rPr>
              <w:t>.</w:t>
            </w:r>
          </w:p>
        </w:tc>
        <w:tc>
          <w:tcPr>
            <w:tcW w:w="1278" w:type="dxa"/>
            <w:tcBorders>
              <w:top w:val="nil"/>
              <w:left w:val="nil"/>
              <w:bottom w:val="single" w:sz="4" w:space="0" w:color="808080"/>
              <w:right w:val="nil"/>
            </w:tcBorders>
            <w:shd w:val="clear" w:color="000000" w:fill="FFFFFF"/>
            <w:hideMark/>
          </w:tcPr>
          <w:p w14:paraId="2046ADDD"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5288C642"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0FC4460D" w14:textId="77777777" w:rsidTr="008B4413">
        <w:trPr>
          <w:cantSplit/>
        </w:trPr>
        <w:tc>
          <w:tcPr>
            <w:tcW w:w="4020" w:type="dxa"/>
            <w:tcBorders>
              <w:top w:val="nil"/>
              <w:left w:val="nil"/>
              <w:bottom w:val="single" w:sz="4" w:space="0" w:color="808080"/>
              <w:right w:val="nil"/>
            </w:tcBorders>
            <w:shd w:val="clear" w:color="000000" w:fill="FFFFFF"/>
            <w:hideMark/>
          </w:tcPr>
          <w:p w14:paraId="56A364DA" w14:textId="77777777" w:rsidR="00FC0DB8" w:rsidRPr="00311627" w:rsidRDefault="00FC0DB8" w:rsidP="00052478">
            <w:pPr>
              <w:pStyle w:val="TableText"/>
              <w:rPr>
                <w:lang w:eastAsia="en-NZ"/>
              </w:rPr>
            </w:pPr>
            <w:r w:rsidRPr="00311627">
              <w:rPr>
                <w:lang w:eastAsia="en-NZ"/>
              </w:rPr>
              <w:t>Definite confidence and trust in GP</w:t>
            </w:r>
          </w:p>
        </w:tc>
        <w:tc>
          <w:tcPr>
            <w:tcW w:w="900" w:type="dxa"/>
            <w:tcBorders>
              <w:top w:val="nil"/>
              <w:left w:val="nil"/>
              <w:bottom w:val="single" w:sz="4" w:space="0" w:color="808080"/>
              <w:right w:val="nil"/>
            </w:tcBorders>
            <w:shd w:val="clear" w:color="000000" w:fill="FFFFFF"/>
            <w:hideMark/>
          </w:tcPr>
          <w:p w14:paraId="5560E3D3" w14:textId="77777777" w:rsidR="00FC0DB8" w:rsidRPr="00311627" w:rsidRDefault="00FC0DB8" w:rsidP="008B4413">
            <w:pPr>
              <w:pStyle w:val="TableText"/>
              <w:jc w:val="center"/>
              <w:rPr>
                <w:lang w:eastAsia="en-NZ"/>
              </w:rPr>
            </w:pPr>
            <w:r w:rsidRPr="00311627">
              <w:rPr>
                <w:lang w:eastAsia="en-NZ"/>
              </w:rPr>
              <w:t>74.4</w:t>
            </w:r>
          </w:p>
        </w:tc>
        <w:tc>
          <w:tcPr>
            <w:tcW w:w="940" w:type="dxa"/>
            <w:tcBorders>
              <w:top w:val="nil"/>
              <w:left w:val="nil"/>
              <w:bottom w:val="single" w:sz="4" w:space="0" w:color="808080"/>
              <w:right w:val="nil"/>
            </w:tcBorders>
            <w:shd w:val="clear" w:color="000000" w:fill="FFFFFF"/>
            <w:hideMark/>
          </w:tcPr>
          <w:p w14:paraId="0110ED53" w14:textId="77777777" w:rsidR="00FC0DB8" w:rsidRPr="00311627" w:rsidRDefault="00FC0DB8" w:rsidP="008B4413">
            <w:pPr>
              <w:pStyle w:val="TableText"/>
              <w:jc w:val="center"/>
              <w:rPr>
                <w:color w:val="808080"/>
                <w:lang w:eastAsia="en-NZ"/>
              </w:rPr>
            </w:pPr>
            <w:r w:rsidRPr="00311627">
              <w:rPr>
                <w:color w:val="808080"/>
                <w:lang w:eastAsia="en-NZ"/>
              </w:rPr>
              <w:t>77.8</w:t>
            </w:r>
          </w:p>
        </w:tc>
        <w:tc>
          <w:tcPr>
            <w:tcW w:w="940" w:type="dxa"/>
            <w:tcBorders>
              <w:top w:val="nil"/>
              <w:left w:val="nil"/>
              <w:bottom w:val="single" w:sz="4" w:space="0" w:color="808080"/>
              <w:right w:val="nil"/>
            </w:tcBorders>
            <w:shd w:val="clear" w:color="000000" w:fill="FFFFFF"/>
            <w:hideMark/>
          </w:tcPr>
          <w:p w14:paraId="016D2A33" w14:textId="77777777" w:rsidR="00FC0DB8" w:rsidRPr="00311627" w:rsidRDefault="00FC0DB8" w:rsidP="008B4413">
            <w:pPr>
              <w:pStyle w:val="TableText"/>
              <w:jc w:val="center"/>
              <w:rPr>
                <w:color w:val="808080"/>
                <w:lang w:eastAsia="en-NZ"/>
              </w:rPr>
            </w:pPr>
            <w:r w:rsidRPr="00311627">
              <w:rPr>
                <w:color w:val="808080"/>
                <w:lang w:eastAsia="en-NZ"/>
              </w:rPr>
              <w:t>.</w:t>
            </w:r>
          </w:p>
        </w:tc>
        <w:tc>
          <w:tcPr>
            <w:tcW w:w="1278" w:type="dxa"/>
            <w:tcBorders>
              <w:top w:val="nil"/>
              <w:left w:val="nil"/>
              <w:bottom w:val="single" w:sz="4" w:space="0" w:color="808080"/>
              <w:right w:val="nil"/>
            </w:tcBorders>
            <w:shd w:val="clear" w:color="000000" w:fill="FFFFFF"/>
            <w:hideMark/>
          </w:tcPr>
          <w:p w14:paraId="53F89DF9"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03D14EAF"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124E8CC5" w14:textId="77777777" w:rsidTr="008B4413">
        <w:trPr>
          <w:cantSplit/>
        </w:trPr>
        <w:tc>
          <w:tcPr>
            <w:tcW w:w="4020" w:type="dxa"/>
            <w:tcBorders>
              <w:top w:val="nil"/>
              <w:left w:val="nil"/>
              <w:bottom w:val="nil"/>
              <w:right w:val="nil"/>
            </w:tcBorders>
            <w:shd w:val="clear" w:color="000000" w:fill="FFFFFF"/>
            <w:hideMark/>
          </w:tcPr>
          <w:p w14:paraId="77C01638" w14:textId="77777777" w:rsidR="00FC0DB8" w:rsidRPr="008B4413" w:rsidRDefault="00FC0DB8" w:rsidP="008B4413">
            <w:pPr>
              <w:pStyle w:val="TableText"/>
              <w:rPr>
                <w:b/>
                <w:lang w:eastAsia="en-NZ"/>
              </w:rPr>
            </w:pPr>
            <w:r w:rsidRPr="008B4413">
              <w:rPr>
                <w:b/>
                <w:lang w:eastAsia="en-NZ"/>
              </w:rPr>
              <w:t>Oral health</w:t>
            </w:r>
          </w:p>
        </w:tc>
        <w:tc>
          <w:tcPr>
            <w:tcW w:w="900" w:type="dxa"/>
            <w:tcBorders>
              <w:top w:val="nil"/>
              <w:left w:val="nil"/>
              <w:bottom w:val="nil"/>
              <w:right w:val="nil"/>
            </w:tcBorders>
            <w:shd w:val="clear" w:color="000000" w:fill="FFFFFF"/>
          </w:tcPr>
          <w:p w14:paraId="1F2156B6" w14:textId="77777777" w:rsidR="00FC0DB8" w:rsidRPr="00311627" w:rsidRDefault="00FC0DB8" w:rsidP="008B4413">
            <w:pPr>
              <w:pStyle w:val="TableText"/>
              <w:jc w:val="center"/>
              <w:rPr>
                <w:lang w:eastAsia="en-NZ"/>
              </w:rPr>
            </w:pPr>
          </w:p>
        </w:tc>
        <w:tc>
          <w:tcPr>
            <w:tcW w:w="940" w:type="dxa"/>
            <w:tcBorders>
              <w:top w:val="nil"/>
              <w:left w:val="nil"/>
              <w:bottom w:val="nil"/>
              <w:right w:val="nil"/>
            </w:tcBorders>
            <w:shd w:val="clear" w:color="000000" w:fill="FFFFFF"/>
          </w:tcPr>
          <w:p w14:paraId="5D083B0A" w14:textId="77777777" w:rsidR="00FC0DB8" w:rsidRPr="00311627" w:rsidRDefault="00FC0DB8" w:rsidP="008B4413">
            <w:pPr>
              <w:pStyle w:val="TableText"/>
              <w:jc w:val="center"/>
              <w:rPr>
                <w:color w:val="808080"/>
                <w:lang w:eastAsia="en-NZ"/>
              </w:rPr>
            </w:pPr>
          </w:p>
        </w:tc>
        <w:tc>
          <w:tcPr>
            <w:tcW w:w="940" w:type="dxa"/>
            <w:tcBorders>
              <w:top w:val="nil"/>
              <w:left w:val="nil"/>
              <w:bottom w:val="nil"/>
              <w:right w:val="nil"/>
            </w:tcBorders>
            <w:shd w:val="clear" w:color="000000" w:fill="FFFFFF"/>
          </w:tcPr>
          <w:p w14:paraId="1FCDCDF2" w14:textId="77777777" w:rsidR="00FC0DB8" w:rsidRPr="00311627" w:rsidRDefault="00FC0DB8" w:rsidP="008B4413">
            <w:pPr>
              <w:pStyle w:val="TableText"/>
              <w:jc w:val="center"/>
              <w:rPr>
                <w:color w:val="808080"/>
                <w:lang w:eastAsia="en-NZ"/>
              </w:rPr>
            </w:pPr>
          </w:p>
        </w:tc>
        <w:tc>
          <w:tcPr>
            <w:tcW w:w="1278" w:type="dxa"/>
            <w:tcBorders>
              <w:top w:val="nil"/>
              <w:left w:val="nil"/>
              <w:bottom w:val="nil"/>
              <w:right w:val="nil"/>
            </w:tcBorders>
            <w:shd w:val="clear" w:color="000000" w:fill="FFFFFF"/>
          </w:tcPr>
          <w:p w14:paraId="35627230" w14:textId="77777777" w:rsidR="00FC0DB8" w:rsidRPr="00311627" w:rsidRDefault="00FC0DB8" w:rsidP="008B4413">
            <w:pPr>
              <w:pStyle w:val="TableText"/>
              <w:jc w:val="center"/>
              <w:rPr>
                <w:color w:val="4F81BD"/>
                <w:lang w:eastAsia="en-NZ"/>
              </w:rPr>
            </w:pPr>
          </w:p>
        </w:tc>
        <w:tc>
          <w:tcPr>
            <w:tcW w:w="1278" w:type="dxa"/>
            <w:gridSpan w:val="2"/>
            <w:tcBorders>
              <w:top w:val="nil"/>
              <w:left w:val="nil"/>
              <w:bottom w:val="nil"/>
              <w:right w:val="nil"/>
            </w:tcBorders>
            <w:shd w:val="clear" w:color="000000" w:fill="FFFFFF"/>
          </w:tcPr>
          <w:p w14:paraId="1CC37AE6" w14:textId="77777777" w:rsidR="00FC0DB8" w:rsidRPr="00311627" w:rsidRDefault="00FC0DB8" w:rsidP="008B4413">
            <w:pPr>
              <w:pStyle w:val="TableText"/>
              <w:jc w:val="center"/>
              <w:rPr>
                <w:color w:val="4F81BD"/>
                <w:lang w:eastAsia="en-NZ"/>
              </w:rPr>
            </w:pPr>
          </w:p>
        </w:tc>
      </w:tr>
      <w:tr w:rsidR="00FC0DB8" w:rsidRPr="00311627" w14:paraId="71D1C0E9" w14:textId="77777777" w:rsidTr="008B4413">
        <w:trPr>
          <w:cantSplit/>
        </w:trPr>
        <w:tc>
          <w:tcPr>
            <w:tcW w:w="4020" w:type="dxa"/>
            <w:tcBorders>
              <w:top w:val="nil"/>
              <w:left w:val="nil"/>
              <w:bottom w:val="nil"/>
              <w:right w:val="nil"/>
            </w:tcBorders>
            <w:shd w:val="clear" w:color="000000" w:fill="FFFFFF"/>
            <w:hideMark/>
          </w:tcPr>
          <w:p w14:paraId="6A7B126B" w14:textId="77777777" w:rsidR="00FC0DB8" w:rsidRPr="00311627" w:rsidRDefault="00FC0DB8" w:rsidP="008B4413">
            <w:pPr>
              <w:pStyle w:val="TableText"/>
              <w:rPr>
                <w:lang w:eastAsia="en-NZ"/>
              </w:rPr>
            </w:pPr>
            <w:r w:rsidRPr="00311627">
              <w:rPr>
                <w:lang w:eastAsia="en-NZ"/>
              </w:rPr>
              <w:t>Dental health care worker visit in the past 12</w:t>
            </w:r>
            <w:r w:rsidR="008B4413">
              <w:rPr>
                <w:lang w:eastAsia="en-NZ"/>
              </w:rPr>
              <w:t> </w:t>
            </w:r>
            <w:r w:rsidRPr="00311627">
              <w:rPr>
                <w:lang w:eastAsia="en-NZ"/>
              </w:rPr>
              <w:t>months (1–14 years)</w:t>
            </w:r>
          </w:p>
        </w:tc>
        <w:tc>
          <w:tcPr>
            <w:tcW w:w="900" w:type="dxa"/>
            <w:tcBorders>
              <w:top w:val="nil"/>
              <w:left w:val="nil"/>
              <w:bottom w:val="nil"/>
              <w:right w:val="nil"/>
            </w:tcBorders>
            <w:shd w:val="clear" w:color="000000" w:fill="FFFFFF"/>
            <w:hideMark/>
          </w:tcPr>
          <w:p w14:paraId="0E7E7D33" w14:textId="77777777" w:rsidR="00FC0DB8" w:rsidRPr="00311627" w:rsidRDefault="00FC0DB8" w:rsidP="008B4413">
            <w:pPr>
              <w:pStyle w:val="TableText"/>
              <w:jc w:val="center"/>
              <w:rPr>
                <w:lang w:eastAsia="en-NZ"/>
              </w:rPr>
            </w:pPr>
            <w:r w:rsidRPr="00311627">
              <w:rPr>
                <w:lang w:eastAsia="en-NZ"/>
              </w:rPr>
              <w:t>82.1</w:t>
            </w:r>
          </w:p>
        </w:tc>
        <w:tc>
          <w:tcPr>
            <w:tcW w:w="940" w:type="dxa"/>
            <w:tcBorders>
              <w:top w:val="nil"/>
              <w:left w:val="nil"/>
              <w:bottom w:val="nil"/>
              <w:right w:val="nil"/>
            </w:tcBorders>
            <w:shd w:val="clear" w:color="000000" w:fill="FFFFFF"/>
            <w:hideMark/>
          </w:tcPr>
          <w:p w14:paraId="2595B757" w14:textId="77777777" w:rsidR="00FC0DB8" w:rsidRPr="00311627" w:rsidRDefault="00FC0DB8" w:rsidP="008B4413">
            <w:pPr>
              <w:pStyle w:val="TableText"/>
              <w:jc w:val="center"/>
              <w:rPr>
                <w:color w:val="808080"/>
                <w:lang w:eastAsia="en-NZ"/>
              </w:rPr>
            </w:pPr>
            <w:r w:rsidRPr="00311627">
              <w:rPr>
                <w:color w:val="808080"/>
                <w:lang w:eastAsia="en-NZ"/>
              </w:rPr>
              <w:t>75.9</w:t>
            </w:r>
          </w:p>
        </w:tc>
        <w:tc>
          <w:tcPr>
            <w:tcW w:w="940" w:type="dxa"/>
            <w:tcBorders>
              <w:top w:val="nil"/>
              <w:left w:val="nil"/>
              <w:bottom w:val="nil"/>
              <w:right w:val="nil"/>
            </w:tcBorders>
            <w:shd w:val="clear" w:color="000000" w:fill="FFFFFF"/>
            <w:hideMark/>
          </w:tcPr>
          <w:p w14:paraId="7BA745B7" w14:textId="77777777" w:rsidR="00FC0DB8" w:rsidRPr="00311627" w:rsidRDefault="00FC0DB8" w:rsidP="008B4413">
            <w:pPr>
              <w:pStyle w:val="TableText"/>
              <w:jc w:val="center"/>
              <w:rPr>
                <w:color w:val="808080"/>
                <w:lang w:eastAsia="en-NZ"/>
              </w:rPr>
            </w:pPr>
            <w:r w:rsidRPr="00311627">
              <w:rPr>
                <w:color w:val="808080"/>
                <w:lang w:eastAsia="en-NZ"/>
              </w:rPr>
              <w:t>74.1</w:t>
            </w:r>
          </w:p>
        </w:tc>
        <w:tc>
          <w:tcPr>
            <w:tcW w:w="1278" w:type="dxa"/>
            <w:tcBorders>
              <w:top w:val="nil"/>
              <w:left w:val="nil"/>
              <w:bottom w:val="nil"/>
              <w:right w:val="nil"/>
            </w:tcBorders>
            <w:shd w:val="clear" w:color="000000" w:fill="FFFFFF"/>
            <w:hideMark/>
          </w:tcPr>
          <w:p w14:paraId="5B2A77C3"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07415E77"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331B2E5E" w14:textId="77777777" w:rsidTr="008B4413">
        <w:trPr>
          <w:cantSplit/>
        </w:trPr>
        <w:tc>
          <w:tcPr>
            <w:tcW w:w="4020" w:type="dxa"/>
            <w:tcBorders>
              <w:top w:val="nil"/>
              <w:left w:val="nil"/>
              <w:bottom w:val="single" w:sz="4" w:space="0" w:color="auto"/>
              <w:right w:val="nil"/>
            </w:tcBorders>
            <w:shd w:val="clear" w:color="000000" w:fill="FFFFFF"/>
            <w:hideMark/>
          </w:tcPr>
          <w:p w14:paraId="16E2A801" w14:textId="77777777" w:rsidR="00FC0DB8" w:rsidRPr="00311627" w:rsidRDefault="00FC0DB8" w:rsidP="008B4413">
            <w:pPr>
              <w:pStyle w:val="TableText"/>
              <w:rPr>
                <w:lang w:eastAsia="en-NZ"/>
              </w:rPr>
            </w:pPr>
            <w:r w:rsidRPr="00311627">
              <w:rPr>
                <w:lang w:eastAsia="en-NZ"/>
              </w:rPr>
              <w:t>Teeth removed due to decay in the past 12</w:t>
            </w:r>
            <w:r w:rsidR="008B4413">
              <w:rPr>
                <w:lang w:eastAsia="en-NZ"/>
              </w:rPr>
              <w:t> </w:t>
            </w:r>
            <w:r w:rsidRPr="00311627">
              <w:rPr>
                <w:lang w:eastAsia="en-NZ"/>
              </w:rPr>
              <w:t>months (1–14 years)</w:t>
            </w:r>
          </w:p>
        </w:tc>
        <w:tc>
          <w:tcPr>
            <w:tcW w:w="900" w:type="dxa"/>
            <w:tcBorders>
              <w:top w:val="nil"/>
              <w:left w:val="nil"/>
              <w:bottom w:val="single" w:sz="4" w:space="0" w:color="808080"/>
              <w:right w:val="nil"/>
            </w:tcBorders>
            <w:shd w:val="clear" w:color="000000" w:fill="FFFFFF"/>
            <w:hideMark/>
          </w:tcPr>
          <w:p w14:paraId="1053DD7F" w14:textId="77777777" w:rsidR="00FC0DB8" w:rsidRPr="00311627" w:rsidRDefault="00FC0DB8" w:rsidP="008B4413">
            <w:pPr>
              <w:pStyle w:val="TableText"/>
              <w:jc w:val="center"/>
              <w:rPr>
                <w:lang w:eastAsia="en-NZ"/>
              </w:rPr>
            </w:pPr>
            <w:r w:rsidRPr="00311627">
              <w:rPr>
                <w:lang w:eastAsia="en-NZ"/>
              </w:rPr>
              <w:t>5.0</w:t>
            </w:r>
          </w:p>
        </w:tc>
        <w:tc>
          <w:tcPr>
            <w:tcW w:w="940" w:type="dxa"/>
            <w:tcBorders>
              <w:top w:val="nil"/>
              <w:left w:val="nil"/>
              <w:bottom w:val="single" w:sz="4" w:space="0" w:color="808080"/>
              <w:right w:val="nil"/>
            </w:tcBorders>
            <w:shd w:val="clear" w:color="000000" w:fill="FFFFFF"/>
            <w:hideMark/>
          </w:tcPr>
          <w:p w14:paraId="7C650E46" w14:textId="77777777" w:rsidR="00FC0DB8" w:rsidRPr="00311627" w:rsidRDefault="00FC0DB8" w:rsidP="008B4413">
            <w:pPr>
              <w:pStyle w:val="TableText"/>
              <w:jc w:val="center"/>
              <w:rPr>
                <w:color w:val="808080"/>
                <w:lang w:eastAsia="en-NZ"/>
              </w:rPr>
            </w:pPr>
            <w:r w:rsidRPr="00311627">
              <w:rPr>
                <w:color w:val="808080"/>
                <w:lang w:eastAsia="en-NZ"/>
              </w:rPr>
              <w:t>5.5</w:t>
            </w:r>
          </w:p>
        </w:tc>
        <w:tc>
          <w:tcPr>
            <w:tcW w:w="940" w:type="dxa"/>
            <w:tcBorders>
              <w:top w:val="nil"/>
              <w:left w:val="nil"/>
              <w:bottom w:val="single" w:sz="4" w:space="0" w:color="808080"/>
              <w:right w:val="nil"/>
            </w:tcBorders>
            <w:shd w:val="clear" w:color="000000" w:fill="FFFFFF"/>
            <w:hideMark/>
          </w:tcPr>
          <w:p w14:paraId="4BE19C06" w14:textId="77777777" w:rsidR="00FC0DB8" w:rsidRPr="00311627" w:rsidRDefault="00FC0DB8" w:rsidP="008B4413">
            <w:pPr>
              <w:pStyle w:val="TableText"/>
              <w:jc w:val="center"/>
              <w:rPr>
                <w:color w:val="808080"/>
                <w:lang w:eastAsia="en-NZ"/>
              </w:rPr>
            </w:pPr>
            <w:r w:rsidRPr="00311627">
              <w:rPr>
                <w:color w:val="808080"/>
                <w:lang w:eastAsia="en-NZ"/>
              </w:rPr>
              <w:t>.</w:t>
            </w:r>
          </w:p>
        </w:tc>
        <w:tc>
          <w:tcPr>
            <w:tcW w:w="1278" w:type="dxa"/>
            <w:tcBorders>
              <w:top w:val="nil"/>
              <w:left w:val="nil"/>
              <w:bottom w:val="single" w:sz="4" w:space="0" w:color="808080"/>
              <w:right w:val="nil"/>
            </w:tcBorders>
            <w:shd w:val="clear" w:color="000000" w:fill="FFFFFF"/>
            <w:hideMark/>
          </w:tcPr>
          <w:p w14:paraId="292B711E" w14:textId="77777777" w:rsidR="00FC0DB8" w:rsidRPr="00311627" w:rsidRDefault="00FC0DB8" w:rsidP="008B4413">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029F44B3" w14:textId="77777777" w:rsidR="00FC0DB8" w:rsidRPr="00311627" w:rsidRDefault="00FC0DB8" w:rsidP="008B4413">
            <w:pPr>
              <w:pStyle w:val="TableText"/>
              <w:jc w:val="center"/>
              <w:rPr>
                <w:color w:val="4F81BD"/>
                <w:lang w:eastAsia="en-NZ"/>
              </w:rPr>
            </w:pPr>
            <w:r w:rsidRPr="00311627">
              <w:rPr>
                <w:color w:val="4F81BD"/>
                <w:lang w:eastAsia="en-NZ"/>
              </w:rPr>
              <w:t>.</w:t>
            </w:r>
          </w:p>
        </w:tc>
      </w:tr>
      <w:tr w:rsidR="00FC0DB8" w:rsidRPr="00311627" w14:paraId="0361ABC0" w14:textId="77777777" w:rsidTr="008B4413">
        <w:trPr>
          <w:cantSplit/>
        </w:trPr>
        <w:tc>
          <w:tcPr>
            <w:tcW w:w="4920" w:type="dxa"/>
            <w:gridSpan w:val="2"/>
            <w:tcBorders>
              <w:top w:val="single" w:sz="4" w:space="0" w:color="auto"/>
              <w:left w:val="nil"/>
              <w:bottom w:val="nil"/>
              <w:right w:val="nil"/>
            </w:tcBorders>
            <w:shd w:val="clear" w:color="000000" w:fill="FFFFFF"/>
            <w:noWrap/>
            <w:hideMark/>
          </w:tcPr>
          <w:p w14:paraId="34CE8D7D" w14:textId="77777777" w:rsidR="00FC0DB8" w:rsidRPr="00311627" w:rsidRDefault="00FC0DB8" w:rsidP="008B4413">
            <w:pPr>
              <w:pStyle w:val="TableText"/>
              <w:rPr>
                <w:lang w:eastAsia="en-NZ"/>
              </w:rPr>
            </w:pPr>
            <w:r w:rsidRPr="00311627">
              <w:rPr>
                <w:lang w:eastAsia="en-NZ"/>
              </w:rPr>
              <w:t>Key:</w:t>
            </w:r>
            <w:r w:rsidR="008B4413">
              <w:rPr>
                <w:lang w:eastAsia="en-NZ"/>
              </w:rPr>
              <w:tab/>
            </w:r>
            <w:r w:rsidRPr="00311627">
              <w:rPr>
                <w:color w:val="4F81BD"/>
                <w:lang w:eastAsia="en-NZ"/>
              </w:rPr>
              <w:t>▲</w:t>
            </w:r>
            <w:r w:rsidRPr="00311627">
              <w:rPr>
                <w:lang w:eastAsia="en-NZ"/>
              </w:rPr>
              <w:t xml:space="preserve"> Statistically significant increase</w:t>
            </w:r>
            <w:r>
              <w:rPr>
                <w:vertAlign w:val="superscript"/>
                <w:lang w:eastAsia="en-NZ"/>
              </w:rPr>
              <w:t>1</w:t>
            </w:r>
          </w:p>
        </w:tc>
        <w:tc>
          <w:tcPr>
            <w:tcW w:w="3360" w:type="dxa"/>
            <w:gridSpan w:val="4"/>
            <w:tcBorders>
              <w:top w:val="single" w:sz="4" w:space="0" w:color="auto"/>
              <w:left w:val="nil"/>
              <w:bottom w:val="nil"/>
              <w:right w:val="nil"/>
            </w:tcBorders>
            <w:shd w:val="clear" w:color="000000" w:fill="FFFFFF"/>
            <w:noWrap/>
            <w:hideMark/>
          </w:tcPr>
          <w:p w14:paraId="7316CDDF" w14:textId="77777777" w:rsidR="00FC0DB8" w:rsidRPr="00311627" w:rsidRDefault="00FC0DB8" w:rsidP="008B4413">
            <w:pPr>
              <w:pStyle w:val="TableText"/>
              <w:rPr>
                <w:lang w:eastAsia="en-NZ"/>
              </w:rPr>
            </w:pPr>
            <w:r w:rsidRPr="00311627">
              <w:rPr>
                <w:color w:val="4F81BD"/>
                <w:lang w:eastAsia="en-NZ"/>
              </w:rPr>
              <w:t>=</w:t>
            </w:r>
            <w:r w:rsidRPr="00311627">
              <w:rPr>
                <w:lang w:eastAsia="en-NZ"/>
              </w:rPr>
              <w:t xml:space="preserve"> No statistically significant change</w:t>
            </w:r>
          </w:p>
        </w:tc>
        <w:tc>
          <w:tcPr>
            <w:tcW w:w="1076" w:type="dxa"/>
            <w:tcBorders>
              <w:top w:val="single" w:sz="4" w:space="0" w:color="auto"/>
              <w:left w:val="nil"/>
              <w:bottom w:val="nil"/>
              <w:right w:val="nil"/>
            </w:tcBorders>
            <w:shd w:val="clear" w:color="000000" w:fill="FFFFFF"/>
            <w:noWrap/>
          </w:tcPr>
          <w:p w14:paraId="4CE4DF91" w14:textId="77777777" w:rsidR="00FC0DB8" w:rsidRPr="00311627" w:rsidRDefault="00FC0DB8" w:rsidP="008B4413">
            <w:pPr>
              <w:pStyle w:val="TableText"/>
              <w:rPr>
                <w:lang w:eastAsia="en-NZ"/>
              </w:rPr>
            </w:pPr>
          </w:p>
        </w:tc>
      </w:tr>
      <w:tr w:rsidR="00FC0DB8" w:rsidRPr="00311627" w14:paraId="05927AB1" w14:textId="77777777" w:rsidTr="008B4413">
        <w:trPr>
          <w:cantSplit/>
        </w:trPr>
        <w:tc>
          <w:tcPr>
            <w:tcW w:w="4920" w:type="dxa"/>
            <w:gridSpan w:val="2"/>
            <w:tcBorders>
              <w:top w:val="nil"/>
              <w:left w:val="nil"/>
              <w:bottom w:val="nil"/>
              <w:right w:val="nil"/>
            </w:tcBorders>
            <w:shd w:val="clear" w:color="000000" w:fill="FFFFFF"/>
            <w:noWrap/>
            <w:hideMark/>
          </w:tcPr>
          <w:p w14:paraId="550691B5" w14:textId="77777777" w:rsidR="00FC0DB8" w:rsidRPr="00311627" w:rsidRDefault="00FC0DB8" w:rsidP="008B4413">
            <w:pPr>
              <w:pStyle w:val="TableText"/>
              <w:ind w:left="567"/>
              <w:rPr>
                <w:lang w:eastAsia="en-NZ"/>
              </w:rPr>
            </w:pPr>
            <w:r w:rsidRPr="00311627">
              <w:rPr>
                <w:color w:val="4F81BD"/>
                <w:lang w:eastAsia="en-NZ"/>
              </w:rPr>
              <w:t>▼</w:t>
            </w:r>
            <w:r w:rsidRPr="00311627">
              <w:rPr>
                <w:lang w:eastAsia="en-NZ"/>
              </w:rPr>
              <w:t xml:space="preserve"> Statistically significant decrease</w:t>
            </w:r>
            <w:r>
              <w:rPr>
                <w:vertAlign w:val="superscript"/>
                <w:lang w:eastAsia="en-NZ"/>
              </w:rPr>
              <w:t>1</w:t>
            </w:r>
          </w:p>
        </w:tc>
        <w:tc>
          <w:tcPr>
            <w:tcW w:w="1880" w:type="dxa"/>
            <w:gridSpan w:val="2"/>
            <w:tcBorders>
              <w:top w:val="nil"/>
              <w:left w:val="nil"/>
              <w:bottom w:val="nil"/>
              <w:right w:val="nil"/>
            </w:tcBorders>
            <w:shd w:val="clear" w:color="000000" w:fill="FFFFFF"/>
            <w:noWrap/>
            <w:hideMark/>
          </w:tcPr>
          <w:p w14:paraId="7810A5FE" w14:textId="77777777" w:rsidR="00FC0DB8" w:rsidRPr="00311627" w:rsidRDefault="00FC0DB8" w:rsidP="008B4413">
            <w:pPr>
              <w:pStyle w:val="TableText"/>
              <w:rPr>
                <w:lang w:eastAsia="en-NZ"/>
              </w:rPr>
            </w:pPr>
            <w:r w:rsidRPr="00311627">
              <w:rPr>
                <w:lang w:eastAsia="en-NZ"/>
              </w:rPr>
              <w:t xml:space="preserve"> </w:t>
            </w:r>
            <w:r w:rsidRPr="00311627">
              <w:rPr>
                <w:color w:val="4F81BD"/>
                <w:lang w:eastAsia="en-NZ"/>
              </w:rPr>
              <w:t xml:space="preserve">. </w:t>
            </w:r>
            <w:r w:rsidRPr="00311627">
              <w:rPr>
                <w:lang w:eastAsia="en-NZ"/>
              </w:rPr>
              <w:t>Data not available</w:t>
            </w:r>
          </w:p>
        </w:tc>
        <w:tc>
          <w:tcPr>
            <w:tcW w:w="1480" w:type="dxa"/>
            <w:gridSpan w:val="2"/>
            <w:tcBorders>
              <w:top w:val="nil"/>
              <w:left w:val="nil"/>
              <w:bottom w:val="nil"/>
              <w:right w:val="nil"/>
            </w:tcBorders>
            <w:shd w:val="clear" w:color="000000" w:fill="FFFFFF"/>
            <w:noWrap/>
            <w:hideMark/>
          </w:tcPr>
          <w:p w14:paraId="31BCE7ED" w14:textId="77777777" w:rsidR="00FC0DB8" w:rsidRPr="00311627" w:rsidRDefault="00FC0DB8" w:rsidP="008B4413">
            <w:pPr>
              <w:pStyle w:val="TableText"/>
              <w:rPr>
                <w:lang w:eastAsia="en-NZ"/>
              </w:rPr>
            </w:pPr>
          </w:p>
        </w:tc>
        <w:tc>
          <w:tcPr>
            <w:tcW w:w="1076" w:type="dxa"/>
            <w:tcBorders>
              <w:top w:val="nil"/>
              <w:left w:val="nil"/>
              <w:bottom w:val="nil"/>
              <w:right w:val="nil"/>
            </w:tcBorders>
            <w:shd w:val="clear" w:color="000000" w:fill="FFFFFF"/>
            <w:noWrap/>
          </w:tcPr>
          <w:p w14:paraId="371A433E" w14:textId="77777777" w:rsidR="00FC0DB8" w:rsidRPr="00311627" w:rsidRDefault="00FC0DB8" w:rsidP="008B4413">
            <w:pPr>
              <w:pStyle w:val="TableText"/>
              <w:rPr>
                <w:lang w:eastAsia="en-NZ"/>
              </w:rPr>
            </w:pPr>
          </w:p>
        </w:tc>
      </w:tr>
      <w:tr w:rsidR="00FC0DB8" w:rsidRPr="00311627" w14:paraId="4E627A97" w14:textId="77777777" w:rsidTr="008B4413">
        <w:trPr>
          <w:cantSplit/>
        </w:trPr>
        <w:tc>
          <w:tcPr>
            <w:tcW w:w="8280" w:type="dxa"/>
            <w:gridSpan w:val="6"/>
            <w:tcBorders>
              <w:top w:val="nil"/>
              <w:left w:val="nil"/>
              <w:bottom w:val="single" w:sz="4" w:space="0" w:color="auto"/>
              <w:right w:val="nil"/>
            </w:tcBorders>
            <w:shd w:val="clear" w:color="000000" w:fill="FFFFFF"/>
            <w:noWrap/>
            <w:hideMark/>
          </w:tcPr>
          <w:p w14:paraId="5F79919F" w14:textId="77777777" w:rsidR="00FC0DB8" w:rsidRPr="00311627" w:rsidRDefault="00FC0DB8" w:rsidP="008B4413">
            <w:pPr>
              <w:pStyle w:val="TableText"/>
              <w:ind w:left="284" w:hanging="284"/>
              <w:rPr>
                <w:lang w:eastAsia="en-NZ"/>
              </w:rPr>
            </w:pPr>
            <w:r w:rsidRPr="00311627">
              <w:rPr>
                <w:lang w:eastAsia="en-NZ"/>
              </w:rPr>
              <w:t>1</w:t>
            </w:r>
            <w:r w:rsidR="008B4413">
              <w:rPr>
                <w:lang w:eastAsia="en-NZ"/>
              </w:rPr>
              <w:tab/>
            </w:r>
            <w:r w:rsidRPr="00311627">
              <w:rPr>
                <w:lang w:eastAsia="en-NZ"/>
              </w:rPr>
              <w:t>The significance (</w:t>
            </w:r>
            <w:r w:rsidRPr="00FD13C8">
              <w:rPr>
                <w:i/>
                <w:lang w:eastAsia="en-NZ"/>
              </w:rPr>
              <w:t>p</w:t>
            </w:r>
            <w:r w:rsidRPr="00311627">
              <w:rPr>
                <w:lang w:eastAsia="en-NZ"/>
              </w:rPr>
              <w:t>-values) of differences between years is based on age-standardised rates</w:t>
            </w:r>
            <w:r>
              <w:rPr>
                <w:lang w:eastAsia="en-NZ"/>
              </w:rPr>
              <w:t>.</w:t>
            </w:r>
          </w:p>
        </w:tc>
        <w:tc>
          <w:tcPr>
            <w:tcW w:w="1076" w:type="dxa"/>
            <w:tcBorders>
              <w:top w:val="nil"/>
              <w:left w:val="nil"/>
              <w:bottom w:val="single" w:sz="4" w:space="0" w:color="auto"/>
              <w:right w:val="nil"/>
            </w:tcBorders>
            <w:shd w:val="clear" w:color="000000" w:fill="FFFFFF"/>
            <w:noWrap/>
            <w:hideMark/>
          </w:tcPr>
          <w:p w14:paraId="55D458E0" w14:textId="77777777" w:rsidR="00FC0DB8" w:rsidRPr="00311627" w:rsidRDefault="00FC0DB8" w:rsidP="008B4413">
            <w:pPr>
              <w:pStyle w:val="TableText"/>
              <w:rPr>
                <w:lang w:eastAsia="en-NZ"/>
              </w:rPr>
            </w:pPr>
          </w:p>
        </w:tc>
      </w:tr>
    </w:tbl>
    <w:p w14:paraId="3305DE4E" w14:textId="77777777" w:rsidR="00FC0DB8" w:rsidRDefault="00FC0DB8" w:rsidP="00052478"/>
    <w:p w14:paraId="032E1BF3" w14:textId="77777777" w:rsidR="00FC0DB8" w:rsidRDefault="00FC0DB8" w:rsidP="00052478">
      <w:pPr>
        <w:pStyle w:val="Table"/>
        <w:rPr>
          <w:lang w:eastAsia="en-NZ"/>
        </w:rPr>
      </w:pPr>
      <w:bookmarkStart w:id="96" w:name="_Toc435784754"/>
      <w:bookmarkStart w:id="97" w:name="_Toc466618817"/>
      <w:bookmarkStart w:id="98" w:name="_Toc467831563"/>
      <w:r w:rsidRPr="00491611">
        <w:rPr>
          <w:lang w:eastAsia="en-NZ"/>
        </w:rPr>
        <w:lastRenderedPageBreak/>
        <w:t xml:space="preserve">Table </w:t>
      </w:r>
      <w:r>
        <w:rPr>
          <w:lang w:eastAsia="en-NZ"/>
        </w:rPr>
        <w:t>9</w:t>
      </w:r>
      <w:r w:rsidRPr="00491611">
        <w:rPr>
          <w:lang w:eastAsia="en-NZ"/>
        </w:rPr>
        <w:t>:</w:t>
      </w:r>
      <w:r w:rsidR="00052478">
        <w:rPr>
          <w:lang w:eastAsia="en-NZ"/>
        </w:rPr>
        <w:t xml:space="preserve"> </w:t>
      </w:r>
      <w:r w:rsidRPr="008E6702">
        <w:rPr>
          <w:lang w:eastAsia="en-NZ"/>
        </w:rPr>
        <w:t>Key survey results for Pacific children</w:t>
      </w:r>
      <w:bookmarkEnd w:id="96"/>
      <w:r>
        <w:rPr>
          <w:lang w:eastAsia="en-NZ"/>
        </w:rPr>
        <w:t xml:space="preserve"> (aged 0–14 years, unless stated below)</w:t>
      </w:r>
      <w:bookmarkEnd w:id="97"/>
      <w:bookmarkEnd w:id="98"/>
    </w:p>
    <w:tbl>
      <w:tblPr>
        <w:tblW w:w="0" w:type="auto"/>
        <w:tblInd w:w="57" w:type="dxa"/>
        <w:tblLayout w:type="fixed"/>
        <w:tblCellMar>
          <w:left w:w="57" w:type="dxa"/>
          <w:right w:w="57" w:type="dxa"/>
        </w:tblCellMar>
        <w:tblLook w:val="04A0" w:firstRow="1" w:lastRow="0" w:firstColumn="1" w:lastColumn="0" w:noHBand="0" w:noVBand="1"/>
      </w:tblPr>
      <w:tblGrid>
        <w:gridCol w:w="4020"/>
        <w:gridCol w:w="900"/>
        <w:gridCol w:w="940"/>
        <w:gridCol w:w="940"/>
        <w:gridCol w:w="1278"/>
        <w:gridCol w:w="202"/>
        <w:gridCol w:w="1076"/>
      </w:tblGrid>
      <w:tr w:rsidR="00FC0DB8" w:rsidRPr="00052478" w14:paraId="74BE3957" w14:textId="77777777" w:rsidTr="00052478">
        <w:trPr>
          <w:cantSplit/>
        </w:trPr>
        <w:tc>
          <w:tcPr>
            <w:tcW w:w="4020" w:type="dxa"/>
            <w:tcBorders>
              <w:top w:val="single" w:sz="4" w:space="0" w:color="auto"/>
              <w:left w:val="nil"/>
              <w:bottom w:val="single" w:sz="4" w:space="0" w:color="auto"/>
              <w:right w:val="nil"/>
            </w:tcBorders>
            <w:shd w:val="clear" w:color="000000" w:fill="FFFFFF"/>
            <w:hideMark/>
          </w:tcPr>
          <w:p w14:paraId="1AF2E2F1" w14:textId="77777777" w:rsidR="00FC0DB8" w:rsidRPr="00052478" w:rsidRDefault="00FC0DB8" w:rsidP="00052478">
            <w:pPr>
              <w:pStyle w:val="TableText"/>
              <w:keepNext/>
              <w:rPr>
                <w:b/>
                <w:lang w:eastAsia="en-NZ"/>
              </w:rPr>
            </w:pPr>
            <w:r w:rsidRPr="00052478">
              <w:rPr>
                <w:b/>
                <w:lang w:eastAsia="en-NZ"/>
              </w:rPr>
              <w:t>Indicator</w:t>
            </w:r>
          </w:p>
        </w:tc>
        <w:tc>
          <w:tcPr>
            <w:tcW w:w="900" w:type="dxa"/>
            <w:tcBorders>
              <w:top w:val="single" w:sz="4" w:space="0" w:color="auto"/>
              <w:left w:val="nil"/>
              <w:bottom w:val="single" w:sz="4" w:space="0" w:color="auto"/>
              <w:right w:val="nil"/>
            </w:tcBorders>
            <w:shd w:val="clear" w:color="000000" w:fill="FFFFFF"/>
            <w:hideMark/>
          </w:tcPr>
          <w:p w14:paraId="72F8EABA" w14:textId="77777777" w:rsidR="00FC0DB8" w:rsidRPr="00052478" w:rsidRDefault="00FC0DB8" w:rsidP="00052478">
            <w:pPr>
              <w:pStyle w:val="TableText"/>
              <w:keepNext/>
              <w:jc w:val="center"/>
              <w:rPr>
                <w:b/>
                <w:lang w:eastAsia="en-NZ"/>
              </w:rPr>
            </w:pPr>
            <w:r w:rsidRPr="00052478">
              <w:rPr>
                <w:b/>
                <w:lang w:eastAsia="en-NZ"/>
              </w:rPr>
              <w:t>Percent 2015/16</w:t>
            </w:r>
          </w:p>
        </w:tc>
        <w:tc>
          <w:tcPr>
            <w:tcW w:w="940" w:type="dxa"/>
            <w:tcBorders>
              <w:top w:val="single" w:sz="4" w:space="0" w:color="auto"/>
              <w:left w:val="nil"/>
              <w:bottom w:val="single" w:sz="4" w:space="0" w:color="auto"/>
              <w:right w:val="nil"/>
            </w:tcBorders>
            <w:shd w:val="clear" w:color="000000" w:fill="FFFFFF"/>
            <w:hideMark/>
          </w:tcPr>
          <w:p w14:paraId="5251D4BC" w14:textId="77777777" w:rsidR="00FC0DB8" w:rsidRPr="00052478" w:rsidRDefault="00FC0DB8" w:rsidP="00052478">
            <w:pPr>
              <w:pStyle w:val="TableText"/>
              <w:keepNext/>
              <w:jc w:val="center"/>
              <w:rPr>
                <w:b/>
                <w:color w:val="808080"/>
                <w:lang w:eastAsia="en-NZ"/>
              </w:rPr>
            </w:pPr>
            <w:r w:rsidRPr="00052478">
              <w:rPr>
                <w:b/>
                <w:color w:val="808080"/>
                <w:lang w:eastAsia="en-NZ"/>
              </w:rPr>
              <w:t>Percent 2011/12</w:t>
            </w:r>
          </w:p>
        </w:tc>
        <w:tc>
          <w:tcPr>
            <w:tcW w:w="940" w:type="dxa"/>
            <w:tcBorders>
              <w:top w:val="single" w:sz="4" w:space="0" w:color="auto"/>
              <w:left w:val="nil"/>
              <w:bottom w:val="single" w:sz="4" w:space="0" w:color="auto"/>
              <w:right w:val="nil"/>
            </w:tcBorders>
            <w:shd w:val="clear" w:color="000000" w:fill="FFFFFF"/>
            <w:hideMark/>
          </w:tcPr>
          <w:p w14:paraId="285B112E" w14:textId="77777777" w:rsidR="00FC0DB8" w:rsidRPr="00052478" w:rsidRDefault="00FC0DB8" w:rsidP="00052478">
            <w:pPr>
              <w:pStyle w:val="TableText"/>
              <w:keepNext/>
              <w:jc w:val="center"/>
              <w:rPr>
                <w:b/>
                <w:color w:val="808080"/>
                <w:lang w:eastAsia="en-NZ"/>
              </w:rPr>
            </w:pPr>
            <w:r w:rsidRPr="00052478">
              <w:rPr>
                <w:b/>
                <w:color w:val="808080"/>
                <w:lang w:eastAsia="en-NZ"/>
              </w:rPr>
              <w:t>Percent 2006/07</w:t>
            </w:r>
          </w:p>
        </w:tc>
        <w:tc>
          <w:tcPr>
            <w:tcW w:w="1278" w:type="dxa"/>
            <w:tcBorders>
              <w:top w:val="single" w:sz="4" w:space="0" w:color="auto"/>
              <w:left w:val="nil"/>
              <w:bottom w:val="single" w:sz="4" w:space="0" w:color="auto"/>
              <w:right w:val="nil"/>
            </w:tcBorders>
            <w:shd w:val="clear" w:color="000000" w:fill="FFFFFF"/>
            <w:hideMark/>
          </w:tcPr>
          <w:p w14:paraId="48AEE63B" w14:textId="77777777" w:rsidR="00FC0DB8" w:rsidRPr="00052478" w:rsidRDefault="00FC0DB8" w:rsidP="00052478">
            <w:pPr>
              <w:pStyle w:val="TableText"/>
              <w:keepNext/>
              <w:jc w:val="center"/>
              <w:rPr>
                <w:b/>
                <w:lang w:eastAsia="en-NZ"/>
              </w:rPr>
            </w:pPr>
            <w:r w:rsidRPr="00052478">
              <w:rPr>
                <w:b/>
                <w:lang w:eastAsia="en-NZ"/>
              </w:rPr>
              <w:t>Change</w:t>
            </w:r>
            <w:r w:rsidR="00FD6712" w:rsidRPr="00052478">
              <w:rPr>
                <w:b/>
                <w:lang w:eastAsia="en-NZ"/>
              </w:rPr>
              <w:t xml:space="preserve"> </w:t>
            </w:r>
            <w:r w:rsidRPr="00052478">
              <w:rPr>
                <w:b/>
                <w:lang w:eastAsia="en-NZ"/>
              </w:rPr>
              <w:t>since 2011/12</w:t>
            </w:r>
          </w:p>
        </w:tc>
        <w:tc>
          <w:tcPr>
            <w:tcW w:w="1278" w:type="dxa"/>
            <w:gridSpan w:val="2"/>
            <w:tcBorders>
              <w:top w:val="single" w:sz="4" w:space="0" w:color="auto"/>
              <w:left w:val="nil"/>
              <w:bottom w:val="single" w:sz="4" w:space="0" w:color="auto"/>
              <w:right w:val="nil"/>
            </w:tcBorders>
            <w:shd w:val="clear" w:color="000000" w:fill="FFFFFF"/>
            <w:hideMark/>
          </w:tcPr>
          <w:p w14:paraId="78C33B13" w14:textId="77777777" w:rsidR="00FC0DB8" w:rsidRPr="00052478" w:rsidRDefault="00FC0DB8" w:rsidP="00052478">
            <w:pPr>
              <w:pStyle w:val="TableText"/>
              <w:keepNext/>
              <w:jc w:val="center"/>
              <w:rPr>
                <w:b/>
                <w:lang w:eastAsia="en-NZ"/>
              </w:rPr>
            </w:pPr>
            <w:r w:rsidRPr="00052478">
              <w:rPr>
                <w:b/>
                <w:lang w:eastAsia="en-NZ"/>
              </w:rPr>
              <w:t>Change</w:t>
            </w:r>
            <w:r w:rsidR="00FD6712" w:rsidRPr="00052478">
              <w:rPr>
                <w:b/>
                <w:lang w:eastAsia="en-NZ"/>
              </w:rPr>
              <w:t xml:space="preserve"> </w:t>
            </w:r>
            <w:r w:rsidRPr="00052478">
              <w:rPr>
                <w:b/>
                <w:lang w:eastAsia="en-NZ"/>
              </w:rPr>
              <w:t>since 2006/07</w:t>
            </w:r>
          </w:p>
        </w:tc>
      </w:tr>
      <w:tr w:rsidR="00FC0DB8" w:rsidRPr="00311627" w14:paraId="086A7E23" w14:textId="77777777" w:rsidTr="00052478">
        <w:trPr>
          <w:cantSplit/>
        </w:trPr>
        <w:tc>
          <w:tcPr>
            <w:tcW w:w="4020" w:type="dxa"/>
            <w:tcBorders>
              <w:top w:val="nil"/>
              <w:left w:val="nil"/>
              <w:bottom w:val="nil"/>
              <w:right w:val="nil"/>
            </w:tcBorders>
            <w:shd w:val="clear" w:color="000000" w:fill="FFFFFF"/>
            <w:hideMark/>
          </w:tcPr>
          <w:p w14:paraId="40AABF1C" w14:textId="77777777" w:rsidR="00FC0DB8" w:rsidRPr="00052478" w:rsidRDefault="00FC0DB8" w:rsidP="00052478">
            <w:pPr>
              <w:pStyle w:val="TableText"/>
              <w:keepNext/>
              <w:rPr>
                <w:b/>
                <w:lang w:eastAsia="en-NZ"/>
              </w:rPr>
            </w:pPr>
            <w:r w:rsidRPr="00052478">
              <w:rPr>
                <w:b/>
                <w:lang w:eastAsia="en-NZ"/>
              </w:rPr>
              <w:t>Health status, health behaviours and risk factors</w:t>
            </w:r>
          </w:p>
        </w:tc>
        <w:tc>
          <w:tcPr>
            <w:tcW w:w="900" w:type="dxa"/>
            <w:tcBorders>
              <w:top w:val="nil"/>
              <w:left w:val="nil"/>
              <w:bottom w:val="nil"/>
              <w:right w:val="nil"/>
            </w:tcBorders>
            <w:shd w:val="clear" w:color="000000" w:fill="FFFFFF"/>
          </w:tcPr>
          <w:p w14:paraId="71725C6D" w14:textId="77777777" w:rsidR="00FC0DB8" w:rsidRPr="00311627" w:rsidRDefault="00FC0DB8" w:rsidP="00052478">
            <w:pPr>
              <w:pStyle w:val="TableText"/>
              <w:keepNext/>
              <w:jc w:val="center"/>
              <w:rPr>
                <w:lang w:eastAsia="en-NZ"/>
              </w:rPr>
            </w:pPr>
          </w:p>
        </w:tc>
        <w:tc>
          <w:tcPr>
            <w:tcW w:w="940" w:type="dxa"/>
            <w:tcBorders>
              <w:top w:val="nil"/>
              <w:left w:val="nil"/>
              <w:bottom w:val="nil"/>
              <w:right w:val="nil"/>
            </w:tcBorders>
            <w:shd w:val="clear" w:color="000000" w:fill="FFFFFF"/>
          </w:tcPr>
          <w:p w14:paraId="4B50B7D6" w14:textId="77777777" w:rsidR="00FC0DB8" w:rsidRPr="00311627" w:rsidRDefault="00FC0DB8" w:rsidP="00052478">
            <w:pPr>
              <w:pStyle w:val="TableText"/>
              <w:keepNext/>
              <w:jc w:val="center"/>
              <w:rPr>
                <w:color w:val="808080"/>
                <w:lang w:eastAsia="en-NZ"/>
              </w:rPr>
            </w:pPr>
          </w:p>
        </w:tc>
        <w:tc>
          <w:tcPr>
            <w:tcW w:w="940" w:type="dxa"/>
            <w:tcBorders>
              <w:top w:val="nil"/>
              <w:left w:val="nil"/>
              <w:bottom w:val="nil"/>
              <w:right w:val="nil"/>
            </w:tcBorders>
            <w:shd w:val="clear" w:color="000000" w:fill="FFFFFF"/>
          </w:tcPr>
          <w:p w14:paraId="72A9587E" w14:textId="77777777" w:rsidR="00FC0DB8" w:rsidRPr="00311627" w:rsidRDefault="00FC0DB8" w:rsidP="00052478">
            <w:pPr>
              <w:pStyle w:val="TableText"/>
              <w:keepNext/>
              <w:jc w:val="center"/>
              <w:rPr>
                <w:color w:val="808080"/>
                <w:lang w:eastAsia="en-NZ"/>
              </w:rPr>
            </w:pPr>
          </w:p>
        </w:tc>
        <w:tc>
          <w:tcPr>
            <w:tcW w:w="1278" w:type="dxa"/>
            <w:tcBorders>
              <w:top w:val="nil"/>
              <w:left w:val="nil"/>
              <w:bottom w:val="nil"/>
              <w:right w:val="nil"/>
            </w:tcBorders>
            <w:shd w:val="clear" w:color="000000" w:fill="FFFFFF"/>
          </w:tcPr>
          <w:p w14:paraId="65B4CC1D" w14:textId="77777777" w:rsidR="00FC0DB8" w:rsidRPr="00311627" w:rsidRDefault="00FC0DB8" w:rsidP="00052478">
            <w:pPr>
              <w:pStyle w:val="TableText"/>
              <w:keepNext/>
              <w:jc w:val="center"/>
              <w:rPr>
                <w:color w:val="4F81BD"/>
                <w:lang w:eastAsia="en-NZ"/>
              </w:rPr>
            </w:pPr>
          </w:p>
        </w:tc>
        <w:tc>
          <w:tcPr>
            <w:tcW w:w="1278" w:type="dxa"/>
            <w:gridSpan w:val="2"/>
            <w:tcBorders>
              <w:top w:val="nil"/>
              <w:left w:val="nil"/>
              <w:bottom w:val="nil"/>
              <w:right w:val="nil"/>
            </w:tcBorders>
            <w:shd w:val="clear" w:color="000000" w:fill="FFFFFF"/>
          </w:tcPr>
          <w:p w14:paraId="64075591" w14:textId="77777777" w:rsidR="00FC0DB8" w:rsidRPr="00311627" w:rsidRDefault="00FC0DB8" w:rsidP="00052478">
            <w:pPr>
              <w:pStyle w:val="TableText"/>
              <w:keepNext/>
              <w:jc w:val="center"/>
              <w:rPr>
                <w:color w:val="4F81BD"/>
                <w:lang w:eastAsia="en-NZ"/>
              </w:rPr>
            </w:pPr>
          </w:p>
        </w:tc>
      </w:tr>
      <w:tr w:rsidR="00FC0DB8" w:rsidRPr="00311627" w14:paraId="02FA3B65" w14:textId="77777777" w:rsidTr="00052478">
        <w:trPr>
          <w:cantSplit/>
        </w:trPr>
        <w:tc>
          <w:tcPr>
            <w:tcW w:w="4020" w:type="dxa"/>
            <w:tcBorders>
              <w:top w:val="nil"/>
              <w:left w:val="nil"/>
              <w:bottom w:val="single" w:sz="4" w:space="0" w:color="808080"/>
              <w:right w:val="nil"/>
            </w:tcBorders>
            <w:shd w:val="clear" w:color="000000" w:fill="FFFFFF"/>
            <w:hideMark/>
          </w:tcPr>
          <w:p w14:paraId="7875ABC0" w14:textId="77777777" w:rsidR="00FC0DB8" w:rsidRPr="00311627" w:rsidRDefault="00FC0DB8" w:rsidP="00052478">
            <w:pPr>
              <w:pStyle w:val="TableText"/>
              <w:keepNext/>
              <w:rPr>
                <w:lang w:eastAsia="en-NZ"/>
              </w:rPr>
            </w:pPr>
            <w:r w:rsidRPr="00311627">
              <w:rPr>
                <w:lang w:eastAsia="en-NZ"/>
              </w:rPr>
              <w:t>Good or better parent-rated health</w:t>
            </w:r>
          </w:p>
        </w:tc>
        <w:tc>
          <w:tcPr>
            <w:tcW w:w="900" w:type="dxa"/>
            <w:tcBorders>
              <w:top w:val="nil"/>
              <w:left w:val="nil"/>
              <w:bottom w:val="single" w:sz="4" w:space="0" w:color="808080"/>
              <w:right w:val="nil"/>
            </w:tcBorders>
            <w:shd w:val="clear" w:color="000000" w:fill="FFFFFF"/>
            <w:hideMark/>
          </w:tcPr>
          <w:p w14:paraId="554AD6F1" w14:textId="77777777" w:rsidR="00FC0DB8" w:rsidRPr="00311627" w:rsidRDefault="00FC0DB8" w:rsidP="00052478">
            <w:pPr>
              <w:pStyle w:val="TableText"/>
              <w:keepNext/>
              <w:jc w:val="center"/>
              <w:rPr>
                <w:lang w:eastAsia="en-NZ"/>
              </w:rPr>
            </w:pPr>
            <w:r w:rsidRPr="00311627">
              <w:rPr>
                <w:lang w:eastAsia="en-NZ"/>
              </w:rPr>
              <w:t>97.4</w:t>
            </w:r>
          </w:p>
        </w:tc>
        <w:tc>
          <w:tcPr>
            <w:tcW w:w="940" w:type="dxa"/>
            <w:tcBorders>
              <w:top w:val="nil"/>
              <w:left w:val="nil"/>
              <w:bottom w:val="single" w:sz="4" w:space="0" w:color="808080"/>
              <w:right w:val="nil"/>
            </w:tcBorders>
            <w:shd w:val="clear" w:color="000000" w:fill="FFFFFF"/>
            <w:hideMark/>
          </w:tcPr>
          <w:p w14:paraId="3324AE7F" w14:textId="77777777" w:rsidR="00FC0DB8" w:rsidRPr="00311627" w:rsidRDefault="00FC0DB8" w:rsidP="00052478">
            <w:pPr>
              <w:pStyle w:val="TableText"/>
              <w:keepNext/>
              <w:jc w:val="center"/>
              <w:rPr>
                <w:color w:val="808080"/>
                <w:lang w:eastAsia="en-NZ"/>
              </w:rPr>
            </w:pPr>
            <w:r w:rsidRPr="00311627">
              <w:rPr>
                <w:color w:val="808080"/>
                <w:lang w:eastAsia="en-NZ"/>
              </w:rPr>
              <w:t>98.0</w:t>
            </w:r>
          </w:p>
        </w:tc>
        <w:tc>
          <w:tcPr>
            <w:tcW w:w="940" w:type="dxa"/>
            <w:tcBorders>
              <w:top w:val="nil"/>
              <w:left w:val="nil"/>
              <w:bottom w:val="single" w:sz="4" w:space="0" w:color="808080"/>
              <w:right w:val="nil"/>
            </w:tcBorders>
            <w:shd w:val="clear" w:color="000000" w:fill="FFFFFF"/>
            <w:hideMark/>
          </w:tcPr>
          <w:p w14:paraId="21471AE6" w14:textId="77777777" w:rsidR="00FC0DB8" w:rsidRPr="00311627" w:rsidRDefault="00FC0DB8" w:rsidP="00052478">
            <w:pPr>
              <w:pStyle w:val="TableText"/>
              <w:keepNext/>
              <w:jc w:val="center"/>
              <w:rPr>
                <w:color w:val="808080"/>
                <w:lang w:eastAsia="en-NZ"/>
              </w:rPr>
            </w:pPr>
            <w:r w:rsidRPr="00311627">
              <w:rPr>
                <w:color w:val="808080"/>
                <w:lang w:eastAsia="en-NZ"/>
              </w:rPr>
              <w:t>97.9</w:t>
            </w:r>
          </w:p>
        </w:tc>
        <w:tc>
          <w:tcPr>
            <w:tcW w:w="1278" w:type="dxa"/>
            <w:tcBorders>
              <w:top w:val="nil"/>
              <w:left w:val="nil"/>
              <w:bottom w:val="single" w:sz="4" w:space="0" w:color="808080"/>
              <w:right w:val="nil"/>
            </w:tcBorders>
            <w:shd w:val="clear" w:color="000000" w:fill="FFFFFF"/>
            <w:hideMark/>
          </w:tcPr>
          <w:p w14:paraId="3FDFBE73" w14:textId="77777777" w:rsidR="00FC0DB8" w:rsidRPr="00311627" w:rsidRDefault="00FC0DB8" w:rsidP="00052478">
            <w:pPr>
              <w:pStyle w:val="TableText"/>
              <w:keepN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059A13E7" w14:textId="77777777" w:rsidR="00FC0DB8" w:rsidRPr="00311627" w:rsidRDefault="00FC0DB8" w:rsidP="00052478">
            <w:pPr>
              <w:pStyle w:val="TableText"/>
              <w:keepNext/>
              <w:jc w:val="center"/>
              <w:rPr>
                <w:color w:val="4F81BD"/>
                <w:lang w:eastAsia="en-NZ"/>
              </w:rPr>
            </w:pPr>
            <w:r w:rsidRPr="00311627">
              <w:rPr>
                <w:color w:val="4F81BD"/>
                <w:lang w:eastAsia="en-NZ"/>
              </w:rPr>
              <w:t>=</w:t>
            </w:r>
          </w:p>
        </w:tc>
      </w:tr>
      <w:tr w:rsidR="00FC0DB8" w:rsidRPr="00311627" w14:paraId="5CB623C4" w14:textId="77777777" w:rsidTr="00052478">
        <w:trPr>
          <w:cantSplit/>
        </w:trPr>
        <w:tc>
          <w:tcPr>
            <w:tcW w:w="4020" w:type="dxa"/>
            <w:tcBorders>
              <w:top w:val="nil"/>
              <w:left w:val="nil"/>
              <w:bottom w:val="nil"/>
              <w:right w:val="nil"/>
            </w:tcBorders>
            <w:shd w:val="clear" w:color="000000" w:fill="FFFFFF"/>
            <w:hideMark/>
          </w:tcPr>
          <w:p w14:paraId="54C54730" w14:textId="77777777" w:rsidR="00FC0DB8" w:rsidRPr="00311627" w:rsidRDefault="00FC0DB8" w:rsidP="00052478">
            <w:pPr>
              <w:pStyle w:val="TableText"/>
              <w:keepNext/>
              <w:rPr>
                <w:lang w:eastAsia="en-NZ"/>
              </w:rPr>
            </w:pPr>
            <w:r w:rsidRPr="00311627">
              <w:rPr>
                <w:lang w:eastAsia="en-NZ"/>
              </w:rPr>
              <w:t>Solid food before four months</w:t>
            </w:r>
            <w:r>
              <w:rPr>
                <w:lang w:eastAsia="en-NZ"/>
              </w:rPr>
              <w:t xml:space="preserve"> of age</w:t>
            </w:r>
            <w:r>
              <w:rPr>
                <w:lang w:eastAsia="en-NZ"/>
              </w:rPr>
              <w:br/>
            </w:r>
            <w:r w:rsidRPr="00311627">
              <w:rPr>
                <w:lang w:eastAsia="en-NZ"/>
              </w:rPr>
              <w:t>(4 months–4 years)</w:t>
            </w:r>
          </w:p>
        </w:tc>
        <w:tc>
          <w:tcPr>
            <w:tcW w:w="900" w:type="dxa"/>
            <w:tcBorders>
              <w:top w:val="nil"/>
              <w:left w:val="nil"/>
              <w:bottom w:val="nil"/>
              <w:right w:val="nil"/>
            </w:tcBorders>
            <w:shd w:val="clear" w:color="000000" w:fill="FFFFFF"/>
            <w:hideMark/>
          </w:tcPr>
          <w:p w14:paraId="2F48F0CE" w14:textId="77777777" w:rsidR="00FC0DB8" w:rsidRPr="00311627" w:rsidRDefault="00FC0DB8" w:rsidP="00052478">
            <w:pPr>
              <w:pStyle w:val="TableText"/>
              <w:keepNext/>
              <w:jc w:val="center"/>
              <w:rPr>
                <w:lang w:eastAsia="en-NZ"/>
              </w:rPr>
            </w:pPr>
            <w:r w:rsidRPr="00311627">
              <w:rPr>
                <w:lang w:eastAsia="en-NZ"/>
              </w:rPr>
              <w:t>13.4</w:t>
            </w:r>
          </w:p>
        </w:tc>
        <w:tc>
          <w:tcPr>
            <w:tcW w:w="940" w:type="dxa"/>
            <w:tcBorders>
              <w:top w:val="nil"/>
              <w:left w:val="nil"/>
              <w:bottom w:val="nil"/>
              <w:right w:val="nil"/>
            </w:tcBorders>
            <w:shd w:val="clear" w:color="000000" w:fill="FFFFFF"/>
            <w:hideMark/>
          </w:tcPr>
          <w:p w14:paraId="1C4ADCB0" w14:textId="77777777" w:rsidR="00FC0DB8" w:rsidRPr="00311627" w:rsidRDefault="00FC0DB8" w:rsidP="00052478">
            <w:pPr>
              <w:pStyle w:val="TableText"/>
              <w:keepNext/>
              <w:jc w:val="center"/>
              <w:rPr>
                <w:color w:val="808080"/>
                <w:lang w:eastAsia="en-NZ"/>
              </w:rPr>
            </w:pPr>
            <w:r w:rsidRPr="00311627">
              <w:rPr>
                <w:color w:val="808080"/>
                <w:lang w:eastAsia="en-NZ"/>
              </w:rPr>
              <w:t>13.0</w:t>
            </w:r>
          </w:p>
        </w:tc>
        <w:tc>
          <w:tcPr>
            <w:tcW w:w="940" w:type="dxa"/>
            <w:tcBorders>
              <w:top w:val="nil"/>
              <w:left w:val="nil"/>
              <w:bottom w:val="nil"/>
              <w:right w:val="nil"/>
            </w:tcBorders>
            <w:shd w:val="clear" w:color="000000" w:fill="FFFFFF"/>
            <w:hideMark/>
          </w:tcPr>
          <w:p w14:paraId="7F011B35" w14:textId="77777777" w:rsidR="00FC0DB8" w:rsidRPr="00311627" w:rsidRDefault="00FC0DB8" w:rsidP="00052478">
            <w:pPr>
              <w:pStyle w:val="TableText"/>
              <w:keepNext/>
              <w:jc w:val="center"/>
              <w:rPr>
                <w:color w:val="808080"/>
                <w:lang w:eastAsia="en-NZ"/>
              </w:rPr>
            </w:pPr>
            <w:r w:rsidRPr="00311627">
              <w:rPr>
                <w:color w:val="808080"/>
                <w:lang w:eastAsia="en-NZ"/>
              </w:rPr>
              <w:t>14.6</w:t>
            </w:r>
          </w:p>
        </w:tc>
        <w:tc>
          <w:tcPr>
            <w:tcW w:w="1278" w:type="dxa"/>
            <w:tcBorders>
              <w:top w:val="nil"/>
              <w:left w:val="nil"/>
              <w:bottom w:val="nil"/>
              <w:right w:val="nil"/>
            </w:tcBorders>
            <w:shd w:val="clear" w:color="000000" w:fill="FFFFFF"/>
            <w:hideMark/>
          </w:tcPr>
          <w:p w14:paraId="687DC733" w14:textId="77777777" w:rsidR="00FC0DB8" w:rsidRPr="00311627" w:rsidRDefault="00FC0DB8" w:rsidP="00052478">
            <w:pPr>
              <w:pStyle w:val="TableText"/>
              <w:keepN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3C4FCE9D" w14:textId="77777777" w:rsidR="00FC0DB8" w:rsidRPr="00311627" w:rsidRDefault="00FC0DB8" w:rsidP="00052478">
            <w:pPr>
              <w:pStyle w:val="TableText"/>
              <w:keepNext/>
              <w:jc w:val="center"/>
              <w:rPr>
                <w:color w:val="4F81BD"/>
                <w:lang w:eastAsia="en-NZ"/>
              </w:rPr>
            </w:pPr>
            <w:r w:rsidRPr="00311627">
              <w:rPr>
                <w:color w:val="4F81BD"/>
                <w:lang w:eastAsia="en-NZ"/>
              </w:rPr>
              <w:t>=</w:t>
            </w:r>
          </w:p>
        </w:tc>
      </w:tr>
      <w:tr w:rsidR="00FC0DB8" w:rsidRPr="00311627" w14:paraId="3B348E64" w14:textId="77777777" w:rsidTr="00052478">
        <w:trPr>
          <w:cantSplit/>
        </w:trPr>
        <w:tc>
          <w:tcPr>
            <w:tcW w:w="4020" w:type="dxa"/>
            <w:tcBorders>
              <w:top w:val="nil"/>
              <w:left w:val="nil"/>
              <w:bottom w:val="nil"/>
              <w:right w:val="nil"/>
            </w:tcBorders>
            <w:shd w:val="clear" w:color="000000" w:fill="FFFFFF"/>
            <w:hideMark/>
          </w:tcPr>
          <w:p w14:paraId="52870206" w14:textId="77777777" w:rsidR="00FC0DB8" w:rsidRPr="00311627" w:rsidRDefault="00FC0DB8" w:rsidP="00052478">
            <w:pPr>
              <w:pStyle w:val="TableText"/>
              <w:keepNext/>
              <w:rPr>
                <w:lang w:eastAsia="en-NZ"/>
              </w:rPr>
            </w:pPr>
            <w:r w:rsidRPr="00311627">
              <w:rPr>
                <w:lang w:eastAsia="en-NZ"/>
              </w:rPr>
              <w:t xml:space="preserve">Breakfast </w:t>
            </w:r>
            <w:r>
              <w:rPr>
                <w:lang w:eastAsia="en-NZ"/>
              </w:rPr>
              <w:t xml:space="preserve">eaten </w:t>
            </w:r>
            <w:r w:rsidRPr="00311627">
              <w:rPr>
                <w:lang w:eastAsia="en-NZ"/>
              </w:rPr>
              <w:t xml:space="preserve">at home </w:t>
            </w:r>
            <w:r>
              <w:rPr>
                <w:lang w:eastAsia="en-NZ"/>
              </w:rPr>
              <w:t>every day</w:t>
            </w:r>
            <w:r>
              <w:rPr>
                <w:lang w:eastAsia="en-NZ"/>
              </w:rPr>
              <w:br/>
            </w:r>
            <w:r w:rsidRPr="00311627">
              <w:rPr>
                <w:lang w:eastAsia="en-NZ"/>
              </w:rPr>
              <w:t>(2–14 years)</w:t>
            </w:r>
          </w:p>
        </w:tc>
        <w:tc>
          <w:tcPr>
            <w:tcW w:w="900" w:type="dxa"/>
            <w:tcBorders>
              <w:top w:val="nil"/>
              <w:left w:val="nil"/>
              <w:bottom w:val="nil"/>
              <w:right w:val="nil"/>
            </w:tcBorders>
            <w:shd w:val="clear" w:color="000000" w:fill="FFFFFF"/>
            <w:hideMark/>
          </w:tcPr>
          <w:p w14:paraId="206588A2" w14:textId="77777777" w:rsidR="00FC0DB8" w:rsidRPr="00311627" w:rsidRDefault="00FC0DB8" w:rsidP="00052478">
            <w:pPr>
              <w:pStyle w:val="TableText"/>
              <w:keepNext/>
              <w:jc w:val="center"/>
              <w:rPr>
                <w:lang w:eastAsia="en-NZ"/>
              </w:rPr>
            </w:pPr>
            <w:r w:rsidRPr="00311627">
              <w:rPr>
                <w:lang w:eastAsia="en-NZ"/>
              </w:rPr>
              <w:t>75.0</w:t>
            </w:r>
          </w:p>
        </w:tc>
        <w:tc>
          <w:tcPr>
            <w:tcW w:w="940" w:type="dxa"/>
            <w:tcBorders>
              <w:top w:val="nil"/>
              <w:left w:val="nil"/>
              <w:bottom w:val="nil"/>
              <w:right w:val="nil"/>
            </w:tcBorders>
            <w:shd w:val="clear" w:color="000000" w:fill="FFFFFF"/>
            <w:hideMark/>
          </w:tcPr>
          <w:p w14:paraId="72376A44" w14:textId="77777777" w:rsidR="00FC0DB8" w:rsidRPr="00311627" w:rsidRDefault="00FC0DB8" w:rsidP="00052478">
            <w:pPr>
              <w:pStyle w:val="TableText"/>
              <w:keepNext/>
              <w:jc w:val="center"/>
              <w:rPr>
                <w:color w:val="808080"/>
                <w:lang w:eastAsia="en-NZ"/>
              </w:rPr>
            </w:pPr>
            <w:r w:rsidRPr="00311627">
              <w:rPr>
                <w:color w:val="808080"/>
                <w:lang w:eastAsia="en-NZ"/>
              </w:rPr>
              <w:t>81.5</w:t>
            </w:r>
          </w:p>
        </w:tc>
        <w:tc>
          <w:tcPr>
            <w:tcW w:w="940" w:type="dxa"/>
            <w:tcBorders>
              <w:top w:val="nil"/>
              <w:left w:val="nil"/>
              <w:bottom w:val="nil"/>
              <w:right w:val="nil"/>
            </w:tcBorders>
            <w:shd w:val="clear" w:color="000000" w:fill="FFFFFF"/>
            <w:hideMark/>
          </w:tcPr>
          <w:p w14:paraId="52F4B47A" w14:textId="77777777" w:rsidR="00FC0DB8" w:rsidRPr="00311627" w:rsidRDefault="00FC0DB8" w:rsidP="00052478">
            <w:pPr>
              <w:pStyle w:val="TableText"/>
              <w:keepNext/>
              <w:jc w:val="center"/>
              <w:rPr>
                <w:color w:val="808080"/>
                <w:lang w:eastAsia="en-NZ"/>
              </w:rPr>
            </w:pPr>
            <w:r w:rsidRPr="00311627">
              <w:rPr>
                <w:color w:val="808080"/>
                <w:lang w:eastAsia="en-NZ"/>
              </w:rPr>
              <w:t>79.4</w:t>
            </w:r>
          </w:p>
        </w:tc>
        <w:tc>
          <w:tcPr>
            <w:tcW w:w="1278" w:type="dxa"/>
            <w:tcBorders>
              <w:top w:val="nil"/>
              <w:left w:val="nil"/>
              <w:bottom w:val="nil"/>
              <w:right w:val="nil"/>
            </w:tcBorders>
            <w:shd w:val="clear" w:color="000000" w:fill="FFFFFF"/>
            <w:hideMark/>
          </w:tcPr>
          <w:p w14:paraId="10BC9D3E" w14:textId="77777777" w:rsidR="00FC0DB8" w:rsidRPr="00311627" w:rsidRDefault="00FC0DB8" w:rsidP="00052478">
            <w:pPr>
              <w:pStyle w:val="TableText"/>
              <w:keepN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2EE8FCBC" w14:textId="77777777" w:rsidR="00FC0DB8" w:rsidRPr="00311627" w:rsidRDefault="00FC0DB8" w:rsidP="00052478">
            <w:pPr>
              <w:pStyle w:val="TableText"/>
              <w:keepNext/>
              <w:jc w:val="center"/>
              <w:rPr>
                <w:color w:val="4F81BD"/>
                <w:lang w:eastAsia="en-NZ"/>
              </w:rPr>
            </w:pPr>
            <w:r w:rsidRPr="00311627">
              <w:rPr>
                <w:color w:val="4F81BD"/>
                <w:lang w:eastAsia="en-NZ"/>
              </w:rPr>
              <w:t>=</w:t>
            </w:r>
          </w:p>
        </w:tc>
      </w:tr>
      <w:tr w:rsidR="00FC0DB8" w:rsidRPr="00311627" w14:paraId="753E8949" w14:textId="77777777" w:rsidTr="00052478">
        <w:trPr>
          <w:cantSplit/>
        </w:trPr>
        <w:tc>
          <w:tcPr>
            <w:tcW w:w="4020" w:type="dxa"/>
            <w:tcBorders>
              <w:top w:val="nil"/>
              <w:left w:val="nil"/>
              <w:bottom w:val="single" w:sz="4" w:space="0" w:color="808080"/>
              <w:right w:val="nil"/>
            </w:tcBorders>
            <w:shd w:val="clear" w:color="000000" w:fill="FFFFFF"/>
            <w:hideMark/>
          </w:tcPr>
          <w:p w14:paraId="6A4760DA" w14:textId="77777777" w:rsidR="00FC0DB8" w:rsidRPr="00311627" w:rsidRDefault="00FC0DB8" w:rsidP="00052478">
            <w:pPr>
              <w:pStyle w:val="TableText"/>
              <w:rPr>
                <w:lang w:eastAsia="en-NZ"/>
              </w:rPr>
            </w:pPr>
            <w:r>
              <w:rPr>
                <w:lang w:eastAsia="en-NZ"/>
              </w:rPr>
              <w:t>F</w:t>
            </w:r>
            <w:r w:rsidRPr="00311627">
              <w:rPr>
                <w:lang w:eastAsia="en-NZ"/>
              </w:rPr>
              <w:t xml:space="preserve">izzy drink 3+ times </w:t>
            </w:r>
            <w:r>
              <w:rPr>
                <w:lang w:eastAsia="en-NZ"/>
              </w:rPr>
              <w:t>per</w:t>
            </w:r>
            <w:r w:rsidRPr="00311627">
              <w:rPr>
                <w:lang w:eastAsia="en-NZ"/>
              </w:rPr>
              <w:t xml:space="preserve"> week</w:t>
            </w:r>
            <w:r w:rsidR="00FD6712">
              <w:rPr>
                <w:lang w:eastAsia="en-NZ"/>
              </w:rPr>
              <w:t xml:space="preserve"> </w:t>
            </w:r>
            <w:r>
              <w:rPr>
                <w:lang w:eastAsia="en-NZ"/>
              </w:rPr>
              <w:br/>
            </w:r>
            <w:r w:rsidRPr="00311627">
              <w:rPr>
                <w:lang w:eastAsia="en-NZ"/>
              </w:rPr>
              <w:t>(2–14 years)</w:t>
            </w:r>
          </w:p>
        </w:tc>
        <w:tc>
          <w:tcPr>
            <w:tcW w:w="900" w:type="dxa"/>
            <w:tcBorders>
              <w:top w:val="nil"/>
              <w:left w:val="nil"/>
              <w:bottom w:val="single" w:sz="4" w:space="0" w:color="808080"/>
              <w:right w:val="nil"/>
            </w:tcBorders>
            <w:shd w:val="clear" w:color="000000" w:fill="FFFFFF"/>
            <w:hideMark/>
          </w:tcPr>
          <w:p w14:paraId="4F5B72D2" w14:textId="77777777" w:rsidR="00FC0DB8" w:rsidRPr="00311627" w:rsidRDefault="00FC0DB8" w:rsidP="00052478">
            <w:pPr>
              <w:pStyle w:val="TableText"/>
              <w:jc w:val="center"/>
              <w:rPr>
                <w:lang w:eastAsia="en-NZ"/>
              </w:rPr>
            </w:pPr>
            <w:r w:rsidRPr="00311627">
              <w:rPr>
                <w:lang w:eastAsia="en-NZ"/>
              </w:rPr>
              <w:t>30.6</w:t>
            </w:r>
          </w:p>
        </w:tc>
        <w:tc>
          <w:tcPr>
            <w:tcW w:w="940" w:type="dxa"/>
            <w:tcBorders>
              <w:top w:val="nil"/>
              <w:left w:val="nil"/>
              <w:bottom w:val="single" w:sz="4" w:space="0" w:color="808080"/>
              <w:right w:val="nil"/>
            </w:tcBorders>
            <w:shd w:val="clear" w:color="000000" w:fill="FFFFFF"/>
            <w:hideMark/>
          </w:tcPr>
          <w:p w14:paraId="0250C426" w14:textId="77777777" w:rsidR="00FC0DB8" w:rsidRPr="00311627" w:rsidRDefault="00FC0DB8" w:rsidP="00052478">
            <w:pPr>
              <w:pStyle w:val="TableText"/>
              <w:jc w:val="center"/>
              <w:rPr>
                <w:color w:val="808080"/>
                <w:lang w:eastAsia="en-NZ"/>
              </w:rPr>
            </w:pPr>
            <w:r w:rsidRPr="00311627">
              <w:rPr>
                <w:color w:val="808080"/>
                <w:lang w:eastAsia="en-NZ"/>
              </w:rPr>
              <w:t>25.7</w:t>
            </w:r>
          </w:p>
        </w:tc>
        <w:tc>
          <w:tcPr>
            <w:tcW w:w="940" w:type="dxa"/>
            <w:tcBorders>
              <w:top w:val="nil"/>
              <w:left w:val="nil"/>
              <w:bottom w:val="single" w:sz="4" w:space="0" w:color="808080"/>
              <w:right w:val="nil"/>
            </w:tcBorders>
            <w:shd w:val="clear" w:color="000000" w:fill="FFFFFF"/>
            <w:hideMark/>
          </w:tcPr>
          <w:p w14:paraId="6F81A1D2" w14:textId="77777777" w:rsidR="00FC0DB8" w:rsidRPr="00311627" w:rsidRDefault="00FC0DB8" w:rsidP="00052478">
            <w:pPr>
              <w:pStyle w:val="TableText"/>
              <w:jc w:val="center"/>
              <w:rPr>
                <w:color w:val="808080"/>
                <w:lang w:eastAsia="en-NZ"/>
              </w:rPr>
            </w:pPr>
            <w:r w:rsidRPr="00311627">
              <w:rPr>
                <w:color w:val="808080"/>
                <w:lang w:eastAsia="en-NZ"/>
              </w:rPr>
              <w:t>24.2</w:t>
            </w:r>
          </w:p>
        </w:tc>
        <w:tc>
          <w:tcPr>
            <w:tcW w:w="1278" w:type="dxa"/>
            <w:tcBorders>
              <w:top w:val="nil"/>
              <w:left w:val="nil"/>
              <w:bottom w:val="single" w:sz="4" w:space="0" w:color="808080"/>
              <w:right w:val="nil"/>
            </w:tcBorders>
            <w:shd w:val="clear" w:color="000000" w:fill="FFFFFF"/>
            <w:hideMark/>
          </w:tcPr>
          <w:p w14:paraId="5B29E216"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70D34D04"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25298897" w14:textId="77777777" w:rsidTr="00052478">
        <w:trPr>
          <w:cantSplit/>
        </w:trPr>
        <w:tc>
          <w:tcPr>
            <w:tcW w:w="4020" w:type="dxa"/>
            <w:tcBorders>
              <w:top w:val="nil"/>
              <w:left w:val="nil"/>
              <w:bottom w:val="single" w:sz="4" w:space="0" w:color="808080"/>
              <w:right w:val="nil"/>
            </w:tcBorders>
            <w:shd w:val="clear" w:color="000000" w:fill="FFFFFF"/>
            <w:hideMark/>
          </w:tcPr>
          <w:p w14:paraId="7B25B904" w14:textId="77777777" w:rsidR="00FC0DB8" w:rsidRPr="00311627" w:rsidRDefault="00FC0DB8" w:rsidP="00052478">
            <w:pPr>
              <w:pStyle w:val="TableText"/>
              <w:rPr>
                <w:lang w:eastAsia="en-NZ"/>
              </w:rPr>
            </w:pPr>
            <w:r w:rsidRPr="00311627">
              <w:rPr>
                <w:lang w:eastAsia="en-NZ"/>
              </w:rPr>
              <w:t>Obesity (2–14 years)</w:t>
            </w:r>
          </w:p>
        </w:tc>
        <w:tc>
          <w:tcPr>
            <w:tcW w:w="900" w:type="dxa"/>
            <w:tcBorders>
              <w:top w:val="nil"/>
              <w:left w:val="nil"/>
              <w:bottom w:val="single" w:sz="4" w:space="0" w:color="808080"/>
              <w:right w:val="nil"/>
            </w:tcBorders>
            <w:shd w:val="clear" w:color="000000" w:fill="FFFFFF"/>
            <w:hideMark/>
          </w:tcPr>
          <w:p w14:paraId="7137C643" w14:textId="77777777" w:rsidR="00FC0DB8" w:rsidRPr="00311627" w:rsidRDefault="00FC0DB8" w:rsidP="00052478">
            <w:pPr>
              <w:pStyle w:val="TableText"/>
              <w:jc w:val="center"/>
              <w:rPr>
                <w:lang w:eastAsia="en-NZ"/>
              </w:rPr>
            </w:pPr>
            <w:r w:rsidRPr="00311627">
              <w:rPr>
                <w:lang w:eastAsia="en-NZ"/>
              </w:rPr>
              <w:t>29.8</w:t>
            </w:r>
          </w:p>
        </w:tc>
        <w:tc>
          <w:tcPr>
            <w:tcW w:w="940" w:type="dxa"/>
            <w:tcBorders>
              <w:top w:val="nil"/>
              <w:left w:val="nil"/>
              <w:bottom w:val="single" w:sz="4" w:space="0" w:color="808080"/>
              <w:right w:val="nil"/>
            </w:tcBorders>
            <w:shd w:val="clear" w:color="000000" w:fill="FFFFFF"/>
            <w:hideMark/>
          </w:tcPr>
          <w:p w14:paraId="03BDE344" w14:textId="77777777" w:rsidR="00FC0DB8" w:rsidRPr="00311627" w:rsidRDefault="00FC0DB8" w:rsidP="00052478">
            <w:pPr>
              <w:pStyle w:val="TableText"/>
              <w:jc w:val="center"/>
              <w:rPr>
                <w:color w:val="808080"/>
                <w:lang w:eastAsia="en-NZ"/>
              </w:rPr>
            </w:pPr>
            <w:r w:rsidRPr="00311627">
              <w:rPr>
                <w:color w:val="808080"/>
                <w:lang w:eastAsia="en-NZ"/>
              </w:rPr>
              <w:t>25.0</w:t>
            </w:r>
          </w:p>
        </w:tc>
        <w:tc>
          <w:tcPr>
            <w:tcW w:w="940" w:type="dxa"/>
            <w:tcBorders>
              <w:top w:val="nil"/>
              <w:left w:val="nil"/>
              <w:bottom w:val="single" w:sz="4" w:space="0" w:color="808080"/>
              <w:right w:val="nil"/>
            </w:tcBorders>
            <w:shd w:val="clear" w:color="000000" w:fill="FFFFFF"/>
            <w:hideMark/>
          </w:tcPr>
          <w:p w14:paraId="26C462F9" w14:textId="77777777" w:rsidR="00FC0DB8" w:rsidRPr="00311627" w:rsidRDefault="00FC0DB8" w:rsidP="00052478">
            <w:pPr>
              <w:pStyle w:val="TableText"/>
              <w:jc w:val="center"/>
              <w:rPr>
                <w:color w:val="808080"/>
                <w:lang w:eastAsia="en-NZ"/>
              </w:rPr>
            </w:pPr>
            <w:r w:rsidRPr="00311627">
              <w:rPr>
                <w:color w:val="808080"/>
                <w:lang w:eastAsia="en-NZ"/>
              </w:rPr>
              <w:t>23.1</w:t>
            </w:r>
          </w:p>
        </w:tc>
        <w:tc>
          <w:tcPr>
            <w:tcW w:w="1278" w:type="dxa"/>
            <w:tcBorders>
              <w:top w:val="nil"/>
              <w:left w:val="nil"/>
              <w:bottom w:val="single" w:sz="4" w:space="0" w:color="808080"/>
              <w:right w:val="nil"/>
            </w:tcBorders>
            <w:shd w:val="clear" w:color="000000" w:fill="FFFFFF"/>
            <w:hideMark/>
          </w:tcPr>
          <w:p w14:paraId="5715B7EF"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773E1E9E"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17E58358" w14:textId="77777777" w:rsidTr="00052478">
        <w:trPr>
          <w:cantSplit/>
        </w:trPr>
        <w:tc>
          <w:tcPr>
            <w:tcW w:w="4020" w:type="dxa"/>
            <w:tcBorders>
              <w:top w:val="nil"/>
              <w:left w:val="nil"/>
              <w:bottom w:val="single" w:sz="4" w:space="0" w:color="808080"/>
              <w:right w:val="nil"/>
            </w:tcBorders>
            <w:shd w:val="clear" w:color="000000" w:fill="FFFFFF"/>
            <w:hideMark/>
          </w:tcPr>
          <w:p w14:paraId="4569BFA1" w14:textId="77777777" w:rsidR="00FC0DB8" w:rsidRPr="00311627" w:rsidRDefault="00FC0DB8" w:rsidP="00052478">
            <w:pPr>
              <w:pStyle w:val="TableText"/>
              <w:rPr>
                <w:lang w:eastAsia="en-NZ"/>
              </w:rPr>
            </w:pPr>
            <w:r w:rsidRPr="00311627">
              <w:rPr>
                <w:lang w:eastAsia="en-NZ"/>
              </w:rPr>
              <w:t>Physical punishment in past 4 weeks</w:t>
            </w:r>
          </w:p>
        </w:tc>
        <w:tc>
          <w:tcPr>
            <w:tcW w:w="900" w:type="dxa"/>
            <w:tcBorders>
              <w:top w:val="nil"/>
              <w:left w:val="nil"/>
              <w:bottom w:val="single" w:sz="4" w:space="0" w:color="808080"/>
              <w:right w:val="nil"/>
            </w:tcBorders>
            <w:shd w:val="clear" w:color="000000" w:fill="FFFFFF"/>
            <w:hideMark/>
          </w:tcPr>
          <w:p w14:paraId="04E954DD" w14:textId="77777777" w:rsidR="00FC0DB8" w:rsidRPr="00311627" w:rsidRDefault="00FC0DB8" w:rsidP="00052478">
            <w:pPr>
              <w:pStyle w:val="TableText"/>
              <w:jc w:val="center"/>
              <w:rPr>
                <w:lang w:eastAsia="en-NZ"/>
              </w:rPr>
            </w:pPr>
            <w:r w:rsidRPr="00311627">
              <w:rPr>
                <w:lang w:eastAsia="en-NZ"/>
              </w:rPr>
              <w:t>9.5</w:t>
            </w:r>
          </w:p>
        </w:tc>
        <w:tc>
          <w:tcPr>
            <w:tcW w:w="940" w:type="dxa"/>
            <w:tcBorders>
              <w:top w:val="nil"/>
              <w:left w:val="nil"/>
              <w:bottom w:val="single" w:sz="4" w:space="0" w:color="808080"/>
              <w:right w:val="nil"/>
            </w:tcBorders>
            <w:shd w:val="clear" w:color="000000" w:fill="FFFFFF"/>
            <w:hideMark/>
          </w:tcPr>
          <w:p w14:paraId="06695FCE" w14:textId="77777777" w:rsidR="00FC0DB8" w:rsidRPr="00311627" w:rsidRDefault="00FC0DB8" w:rsidP="00052478">
            <w:pPr>
              <w:pStyle w:val="TableText"/>
              <w:jc w:val="center"/>
              <w:rPr>
                <w:color w:val="808080"/>
                <w:lang w:eastAsia="en-NZ"/>
              </w:rPr>
            </w:pPr>
            <w:r w:rsidRPr="00311627">
              <w:rPr>
                <w:color w:val="808080"/>
                <w:lang w:eastAsia="en-NZ"/>
              </w:rPr>
              <w:t>9.8</w:t>
            </w:r>
          </w:p>
        </w:tc>
        <w:tc>
          <w:tcPr>
            <w:tcW w:w="940" w:type="dxa"/>
            <w:tcBorders>
              <w:top w:val="nil"/>
              <w:left w:val="nil"/>
              <w:bottom w:val="single" w:sz="4" w:space="0" w:color="808080"/>
              <w:right w:val="nil"/>
            </w:tcBorders>
            <w:shd w:val="clear" w:color="000000" w:fill="FFFFFF"/>
            <w:hideMark/>
          </w:tcPr>
          <w:p w14:paraId="138D1A2F" w14:textId="77777777" w:rsidR="00FC0DB8" w:rsidRPr="00311627" w:rsidRDefault="00FC0DB8" w:rsidP="00052478">
            <w:pPr>
              <w:pStyle w:val="TableText"/>
              <w:jc w:val="center"/>
              <w:rPr>
                <w:color w:val="808080"/>
                <w:lang w:eastAsia="en-NZ"/>
              </w:rPr>
            </w:pPr>
            <w:r w:rsidRPr="00311627">
              <w:rPr>
                <w:color w:val="808080"/>
                <w:lang w:eastAsia="en-NZ"/>
              </w:rPr>
              <w:t>16.8</w:t>
            </w:r>
          </w:p>
        </w:tc>
        <w:tc>
          <w:tcPr>
            <w:tcW w:w="1278" w:type="dxa"/>
            <w:tcBorders>
              <w:top w:val="nil"/>
              <w:left w:val="nil"/>
              <w:bottom w:val="single" w:sz="4" w:space="0" w:color="808080"/>
              <w:right w:val="nil"/>
            </w:tcBorders>
            <w:shd w:val="clear" w:color="000000" w:fill="FFFFFF"/>
            <w:hideMark/>
          </w:tcPr>
          <w:p w14:paraId="27324754"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4EE73B94"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1845920D" w14:textId="77777777" w:rsidTr="00052478">
        <w:trPr>
          <w:cantSplit/>
        </w:trPr>
        <w:tc>
          <w:tcPr>
            <w:tcW w:w="4020" w:type="dxa"/>
            <w:tcBorders>
              <w:top w:val="nil"/>
              <w:left w:val="nil"/>
              <w:bottom w:val="nil"/>
              <w:right w:val="nil"/>
            </w:tcBorders>
            <w:shd w:val="clear" w:color="000000" w:fill="FFFFFF"/>
            <w:hideMark/>
          </w:tcPr>
          <w:p w14:paraId="5AEC93FE" w14:textId="77777777" w:rsidR="00FC0DB8" w:rsidRPr="00052478" w:rsidRDefault="00FC0DB8" w:rsidP="00052478">
            <w:pPr>
              <w:pStyle w:val="TableText"/>
              <w:rPr>
                <w:b/>
                <w:lang w:eastAsia="en-NZ"/>
              </w:rPr>
            </w:pPr>
            <w:r w:rsidRPr="00052478">
              <w:rPr>
                <w:b/>
                <w:lang w:eastAsia="en-NZ"/>
              </w:rPr>
              <w:t>Health conditions</w:t>
            </w:r>
          </w:p>
        </w:tc>
        <w:tc>
          <w:tcPr>
            <w:tcW w:w="900" w:type="dxa"/>
            <w:tcBorders>
              <w:top w:val="nil"/>
              <w:left w:val="nil"/>
              <w:bottom w:val="nil"/>
              <w:right w:val="nil"/>
            </w:tcBorders>
            <w:shd w:val="clear" w:color="000000" w:fill="FFFFFF"/>
            <w:hideMark/>
          </w:tcPr>
          <w:p w14:paraId="40F66CFC" w14:textId="77777777" w:rsidR="00FC0DB8" w:rsidRPr="00311627" w:rsidRDefault="00FC0DB8" w:rsidP="00052478">
            <w:pPr>
              <w:pStyle w:val="TableText"/>
              <w:jc w:val="center"/>
              <w:rPr>
                <w:lang w:eastAsia="en-NZ"/>
              </w:rPr>
            </w:pPr>
          </w:p>
        </w:tc>
        <w:tc>
          <w:tcPr>
            <w:tcW w:w="940" w:type="dxa"/>
            <w:tcBorders>
              <w:top w:val="nil"/>
              <w:left w:val="nil"/>
              <w:bottom w:val="nil"/>
              <w:right w:val="nil"/>
            </w:tcBorders>
            <w:shd w:val="clear" w:color="000000" w:fill="FFFFFF"/>
            <w:hideMark/>
          </w:tcPr>
          <w:p w14:paraId="48BFE719" w14:textId="77777777" w:rsidR="00FC0DB8" w:rsidRPr="00311627" w:rsidRDefault="00FC0DB8" w:rsidP="00052478">
            <w:pPr>
              <w:pStyle w:val="TableText"/>
              <w:jc w:val="center"/>
              <w:rPr>
                <w:color w:val="808080"/>
                <w:lang w:eastAsia="en-NZ"/>
              </w:rPr>
            </w:pPr>
          </w:p>
        </w:tc>
        <w:tc>
          <w:tcPr>
            <w:tcW w:w="940" w:type="dxa"/>
            <w:tcBorders>
              <w:top w:val="nil"/>
              <w:left w:val="nil"/>
              <w:bottom w:val="nil"/>
              <w:right w:val="nil"/>
            </w:tcBorders>
            <w:shd w:val="clear" w:color="000000" w:fill="FFFFFF"/>
            <w:hideMark/>
          </w:tcPr>
          <w:p w14:paraId="051184F9" w14:textId="77777777" w:rsidR="00FC0DB8" w:rsidRPr="00311627" w:rsidRDefault="00FC0DB8" w:rsidP="00052478">
            <w:pPr>
              <w:pStyle w:val="TableText"/>
              <w:jc w:val="center"/>
              <w:rPr>
                <w:color w:val="808080"/>
                <w:lang w:eastAsia="en-NZ"/>
              </w:rPr>
            </w:pPr>
          </w:p>
        </w:tc>
        <w:tc>
          <w:tcPr>
            <w:tcW w:w="1278" w:type="dxa"/>
            <w:tcBorders>
              <w:top w:val="nil"/>
              <w:left w:val="nil"/>
              <w:bottom w:val="nil"/>
              <w:right w:val="nil"/>
            </w:tcBorders>
            <w:shd w:val="clear" w:color="000000" w:fill="FFFFFF"/>
            <w:hideMark/>
          </w:tcPr>
          <w:p w14:paraId="0C270499" w14:textId="77777777" w:rsidR="00FC0DB8" w:rsidRPr="00311627" w:rsidRDefault="00FC0DB8" w:rsidP="00052478">
            <w:pPr>
              <w:pStyle w:val="TableText"/>
              <w:jc w:val="center"/>
              <w:rPr>
                <w:color w:val="4F81BD"/>
                <w:lang w:eastAsia="en-NZ"/>
              </w:rPr>
            </w:pPr>
          </w:p>
        </w:tc>
        <w:tc>
          <w:tcPr>
            <w:tcW w:w="1278" w:type="dxa"/>
            <w:gridSpan w:val="2"/>
            <w:tcBorders>
              <w:top w:val="nil"/>
              <w:left w:val="nil"/>
              <w:bottom w:val="nil"/>
              <w:right w:val="nil"/>
            </w:tcBorders>
            <w:shd w:val="clear" w:color="000000" w:fill="FFFFFF"/>
            <w:hideMark/>
          </w:tcPr>
          <w:p w14:paraId="4FE827A4" w14:textId="77777777" w:rsidR="00FC0DB8" w:rsidRPr="00311627" w:rsidRDefault="00FC0DB8" w:rsidP="00052478">
            <w:pPr>
              <w:pStyle w:val="TableText"/>
              <w:jc w:val="center"/>
              <w:rPr>
                <w:color w:val="4F81BD"/>
                <w:lang w:eastAsia="en-NZ"/>
              </w:rPr>
            </w:pPr>
          </w:p>
        </w:tc>
      </w:tr>
      <w:tr w:rsidR="00FC0DB8" w:rsidRPr="00311627" w14:paraId="414698EC" w14:textId="77777777" w:rsidTr="00052478">
        <w:trPr>
          <w:cantSplit/>
        </w:trPr>
        <w:tc>
          <w:tcPr>
            <w:tcW w:w="4020" w:type="dxa"/>
            <w:tcBorders>
              <w:top w:val="nil"/>
              <w:left w:val="nil"/>
              <w:bottom w:val="single" w:sz="4" w:space="0" w:color="808080"/>
              <w:right w:val="nil"/>
            </w:tcBorders>
            <w:shd w:val="clear" w:color="000000" w:fill="FFFFFF"/>
            <w:hideMark/>
          </w:tcPr>
          <w:p w14:paraId="4000BD89" w14:textId="77777777" w:rsidR="00FC0DB8" w:rsidRPr="00311627" w:rsidRDefault="00FC0DB8" w:rsidP="00052478">
            <w:pPr>
              <w:pStyle w:val="TableText"/>
              <w:rPr>
                <w:lang w:eastAsia="en-NZ"/>
              </w:rPr>
            </w:pPr>
            <w:r w:rsidRPr="00311627">
              <w:rPr>
                <w:lang w:eastAsia="en-NZ"/>
              </w:rPr>
              <w:t xml:space="preserve">Emotional </w:t>
            </w:r>
            <w:r>
              <w:rPr>
                <w:lang w:eastAsia="en-NZ"/>
              </w:rPr>
              <w:t>and/</w:t>
            </w:r>
            <w:r w:rsidRPr="00311627">
              <w:rPr>
                <w:lang w:eastAsia="en-NZ"/>
              </w:rPr>
              <w:t>or behavioural problems (diagnosed) (2–14 years)</w:t>
            </w:r>
          </w:p>
        </w:tc>
        <w:tc>
          <w:tcPr>
            <w:tcW w:w="900" w:type="dxa"/>
            <w:tcBorders>
              <w:top w:val="nil"/>
              <w:left w:val="nil"/>
              <w:bottom w:val="single" w:sz="4" w:space="0" w:color="808080"/>
              <w:right w:val="nil"/>
            </w:tcBorders>
            <w:shd w:val="clear" w:color="000000" w:fill="FFFFFF"/>
            <w:hideMark/>
          </w:tcPr>
          <w:p w14:paraId="77740F2D" w14:textId="77777777" w:rsidR="00FC0DB8" w:rsidRPr="00311627" w:rsidRDefault="00FC0DB8" w:rsidP="00052478">
            <w:pPr>
              <w:pStyle w:val="TableText"/>
              <w:jc w:val="center"/>
              <w:rPr>
                <w:lang w:eastAsia="en-NZ"/>
              </w:rPr>
            </w:pPr>
            <w:r w:rsidRPr="00311627">
              <w:rPr>
                <w:lang w:eastAsia="en-NZ"/>
              </w:rPr>
              <w:t>1.4</w:t>
            </w:r>
          </w:p>
        </w:tc>
        <w:tc>
          <w:tcPr>
            <w:tcW w:w="940" w:type="dxa"/>
            <w:tcBorders>
              <w:top w:val="nil"/>
              <w:left w:val="nil"/>
              <w:bottom w:val="single" w:sz="4" w:space="0" w:color="808080"/>
              <w:right w:val="nil"/>
            </w:tcBorders>
            <w:shd w:val="clear" w:color="000000" w:fill="FFFFFF"/>
            <w:hideMark/>
          </w:tcPr>
          <w:p w14:paraId="3A772C75" w14:textId="77777777" w:rsidR="00FC0DB8" w:rsidRPr="00311627" w:rsidRDefault="00FC0DB8" w:rsidP="00052478">
            <w:pPr>
              <w:pStyle w:val="TableText"/>
              <w:jc w:val="center"/>
              <w:rPr>
                <w:color w:val="808080"/>
                <w:lang w:eastAsia="en-NZ"/>
              </w:rPr>
            </w:pPr>
            <w:r w:rsidRPr="00311627">
              <w:rPr>
                <w:color w:val="808080"/>
                <w:lang w:eastAsia="en-NZ"/>
              </w:rPr>
              <w:t>1.7</w:t>
            </w:r>
          </w:p>
        </w:tc>
        <w:tc>
          <w:tcPr>
            <w:tcW w:w="940" w:type="dxa"/>
            <w:tcBorders>
              <w:top w:val="nil"/>
              <w:left w:val="nil"/>
              <w:bottom w:val="single" w:sz="4" w:space="0" w:color="808080"/>
              <w:right w:val="nil"/>
            </w:tcBorders>
            <w:shd w:val="clear" w:color="000000" w:fill="FFFFFF"/>
            <w:hideMark/>
          </w:tcPr>
          <w:p w14:paraId="08F148C4" w14:textId="77777777" w:rsidR="00FC0DB8" w:rsidRPr="00311627" w:rsidRDefault="00FC0DB8" w:rsidP="00052478">
            <w:pPr>
              <w:pStyle w:val="TableText"/>
              <w:jc w:val="center"/>
              <w:rPr>
                <w:color w:val="808080"/>
                <w:lang w:eastAsia="en-NZ"/>
              </w:rPr>
            </w:pPr>
            <w:r w:rsidRPr="00311627">
              <w:rPr>
                <w:color w:val="808080"/>
                <w:lang w:eastAsia="en-NZ"/>
              </w:rPr>
              <w:t>0.4</w:t>
            </w:r>
          </w:p>
        </w:tc>
        <w:tc>
          <w:tcPr>
            <w:tcW w:w="1278" w:type="dxa"/>
            <w:tcBorders>
              <w:top w:val="nil"/>
              <w:left w:val="nil"/>
              <w:bottom w:val="single" w:sz="4" w:space="0" w:color="808080"/>
              <w:right w:val="nil"/>
            </w:tcBorders>
            <w:shd w:val="clear" w:color="000000" w:fill="FFFFFF"/>
            <w:hideMark/>
          </w:tcPr>
          <w:p w14:paraId="2B814CE3"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1A6F7776"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79F8B35C" w14:textId="77777777" w:rsidTr="00052478">
        <w:trPr>
          <w:cantSplit/>
        </w:trPr>
        <w:tc>
          <w:tcPr>
            <w:tcW w:w="4020" w:type="dxa"/>
            <w:tcBorders>
              <w:top w:val="nil"/>
              <w:left w:val="nil"/>
              <w:bottom w:val="single" w:sz="4" w:space="0" w:color="808080"/>
              <w:right w:val="nil"/>
            </w:tcBorders>
            <w:shd w:val="clear" w:color="000000" w:fill="FFFFFF"/>
            <w:hideMark/>
          </w:tcPr>
          <w:p w14:paraId="4C657245" w14:textId="77777777" w:rsidR="00FC0DB8" w:rsidRPr="00311627" w:rsidRDefault="00FC0DB8" w:rsidP="00052478">
            <w:pPr>
              <w:pStyle w:val="TableText"/>
              <w:rPr>
                <w:lang w:eastAsia="en-NZ"/>
              </w:rPr>
            </w:pPr>
            <w:r w:rsidRPr="00311627">
              <w:rPr>
                <w:lang w:eastAsia="en-NZ"/>
              </w:rPr>
              <w:t>Asthma (medicated) (2–14 years)</w:t>
            </w:r>
          </w:p>
        </w:tc>
        <w:tc>
          <w:tcPr>
            <w:tcW w:w="900" w:type="dxa"/>
            <w:tcBorders>
              <w:top w:val="nil"/>
              <w:left w:val="nil"/>
              <w:bottom w:val="single" w:sz="4" w:space="0" w:color="808080"/>
              <w:right w:val="nil"/>
            </w:tcBorders>
            <w:shd w:val="clear" w:color="000000" w:fill="FFFFFF"/>
            <w:hideMark/>
          </w:tcPr>
          <w:p w14:paraId="6ADDA76B" w14:textId="77777777" w:rsidR="00FC0DB8" w:rsidRPr="00311627" w:rsidRDefault="00FC0DB8" w:rsidP="00052478">
            <w:pPr>
              <w:pStyle w:val="TableText"/>
              <w:jc w:val="center"/>
              <w:rPr>
                <w:lang w:eastAsia="en-NZ"/>
              </w:rPr>
            </w:pPr>
            <w:r w:rsidRPr="00311627">
              <w:rPr>
                <w:lang w:eastAsia="en-NZ"/>
              </w:rPr>
              <w:t>17.4</w:t>
            </w:r>
          </w:p>
        </w:tc>
        <w:tc>
          <w:tcPr>
            <w:tcW w:w="940" w:type="dxa"/>
            <w:tcBorders>
              <w:top w:val="nil"/>
              <w:left w:val="nil"/>
              <w:bottom w:val="single" w:sz="4" w:space="0" w:color="808080"/>
              <w:right w:val="nil"/>
            </w:tcBorders>
            <w:shd w:val="clear" w:color="000000" w:fill="FFFFFF"/>
            <w:hideMark/>
          </w:tcPr>
          <w:p w14:paraId="546C925B" w14:textId="77777777" w:rsidR="00FC0DB8" w:rsidRPr="00311627" w:rsidRDefault="00FC0DB8" w:rsidP="00052478">
            <w:pPr>
              <w:pStyle w:val="TableText"/>
              <w:jc w:val="center"/>
              <w:rPr>
                <w:color w:val="808080"/>
                <w:lang w:eastAsia="en-NZ"/>
              </w:rPr>
            </w:pPr>
            <w:r w:rsidRPr="00311627">
              <w:rPr>
                <w:color w:val="808080"/>
                <w:lang w:eastAsia="en-NZ"/>
              </w:rPr>
              <w:t>13.8</w:t>
            </w:r>
          </w:p>
        </w:tc>
        <w:tc>
          <w:tcPr>
            <w:tcW w:w="940" w:type="dxa"/>
            <w:tcBorders>
              <w:top w:val="nil"/>
              <w:left w:val="nil"/>
              <w:bottom w:val="single" w:sz="4" w:space="0" w:color="808080"/>
              <w:right w:val="nil"/>
            </w:tcBorders>
            <w:shd w:val="clear" w:color="000000" w:fill="FFFFFF"/>
            <w:hideMark/>
          </w:tcPr>
          <w:p w14:paraId="643788D8" w14:textId="77777777" w:rsidR="00FC0DB8" w:rsidRPr="00311627" w:rsidRDefault="00FC0DB8" w:rsidP="00052478">
            <w:pPr>
              <w:pStyle w:val="TableText"/>
              <w:jc w:val="center"/>
              <w:rPr>
                <w:color w:val="808080"/>
                <w:lang w:eastAsia="en-NZ"/>
              </w:rPr>
            </w:pPr>
            <w:r w:rsidRPr="00311627">
              <w:rPr>
                <w:color w:val="808080"/>
                <w:lang w:eastAsia="en-NZ"/>
              </w:rPr>
              <w:t>14.8</w:t>
            </w:r>
          </w:p>
        </w:tc>
        <w:tc>
          <w:tcPr>
            <w:tcW w:w="1278" w:type="dxa"/>
            <w:tcBorders>
              <w:top w:val="nil"/>
              <w:left w:val="nil"/>
              <w:bottom w:val="single" w:sz="4" w:space="0" w:color="808080"/>
              <w:right w:val="nil"/>
            </w:tcBorders>
            <w:shd w:val="clear" w:color="000000" w:fill="FFFFFF"/>
            <w:hideMark/>
          </w:tcPr>
          <w:p w14:paraId="4189B3DD"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5AC6069E"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60E9A821" w14:textId="77777777" w:rsidTr="00052478">
        <w:trPr>
          <w:cantSplit/>
        </w:trPr>
        <w:tc>
          <w:tcPr>
            <w:tcW w:w="4020" w:type="dxa"/>
            <w:tcBorders>
              <w:top w:val="nil"/>
              <w:left w:val="nil"/>
              <w:bottom w:val="nil"/>
              <w:right w:val="nil"/>
            </w:tcBorders>
            <w:shd w:val="clear" w:color="000000" w:fill="FFFFFF"/>
            <w:hideMark/>
          </w:tcPr>
          <w:p w14:paraId="5505DA10" w14:textId="77777777" w:rsidR="00FC0DB8" w:rsidRPr="00052478" w:rsidRDefault="00FC0DB8" w:rsidP="00052478">
            <w:pPr>
              <w:pStyle w:val="TableText"/>
              <w:rPr>
                <w:b/>
                <w:lang w:eastAsia="en-NZ"/>
              </w:rPr>
            </w:pPr>
            <w:r w:rsidRPr="00052478">
              <w:rPr>
                <w:b/>
                <w:lang w:eastAsia="en-NZ"/>
              </w:rPr>
              <w:t>Access to health care</w:t>
            </w:r>
          </w:p>
        </w:tc>
        <w:tc>
          <w:tcPr>
            <w:tcW w:w="900" w:type="dxa"/>
            <w:tcBorders>
              <w:top w:val="nil"/>
              <w:left w:val="nil"/>
              <w:bottom w:val="nil"/>
              <w:right w:val="nil"/>
            </w:tcBorders>
            <w:shd w:val="clear" w:color="000000" w:fill="FFFFFF"/>
            <w:hideMark/>
          </w:tcPr>
          <w:p w14:paraId="5C8B8B93" w14:textId="77777777" w:rsidR="00FC0DB8" w:rsidRPr="00311627" w:rsidRDefault="00FC0DB8" w:rsidP="00052478">
            <w:pPr>
              <w:pStyle w:val="TableText"/>
              <w:jc w:val="center"/>
              <w:rPr>
                <w:lang w:eastAsia="en-NZ"/>
              </w:rPr>
            </w:pPr>
          </w:p>
        </w:tc>
        <w:tc>
          <w:tcPr>
            <w:tcW w:w="940" w:type="dxa"/>
            <w:tcBorders>
              <w:top w:val="nil"/>
              <w:left w:val="nil"/>
              <w:bottom w:val="nil"/>
              <w:right w:val="nil"/>
            </w:tcBorders>
            <w:shd w:val="clear" w:color="000000" w:fill="FFFFFF"/>
            <w:hideMark/>
          </w:tcPr>
          <w:p w14:paraId="70767897" w14:textId="77777777" w:rsidR="00FC0DB8" w:rsidRPr="00311627" w:rsidRDefault="00FC0DB8" w:rsidP="00052478">
            <w:pPr>
              <w:pStyle w:val="TableText"/>
              <w:jc w:val="center"/>
              <w:rPr>
                <w:color w:val="808080"/>
                <w:lang w:eastAsia="en-NZ"/>
              </w:rPr>
            </w:pPr>
          </w:p>
        </w:tc>
        <w:tc>
          <w:tcPr>
            <w:tcW w:w="940" w:type="dxa"/>
            <w:tcBorders>
              <w:top w:val="nil"/>
              <w:left w:val="nil"/>
              <w:bottom w:val="nil"/>
              <w:right w:val="nil"/>
            </w:tcBorders>
            <w:shd w:val="clear" w:color="000000" w:fill="FFFFFF"/>
            <w:hideMark/>
          </w:tcPr>
          <w:p w14:paraId="0BFD322B" w14:textId="77777777" w:rsidR="00FC0DB8" w:rsidRPr="00311627" w:rsidRDefault="00FC0DB8" w:rsidP="00052478">
            <w:pPr>
              <w:pStyle w:val="TableText"/>
              <w:jc w:val="center"/>
              <w:rPr>
                <w:color w:val="808080"/>
                <w:lang w:eastAsia="en-NZ"/>
              </w:rPr>
            </w:pPr>
          </w:p>
        </w:tc>
        <w:tc>
          <w:tcPr>
            <w:tcW w:w="1278" w:type="dxa"/>
            <w:tcBorders>
              <w:top w:val="nil"/>
              <w:left w:val="nil"/>
              <w:bottom w:val="nil"/>
              <w:right w:val="nil"/>
            </w:tcBorders>
            <w:shd w:val="clear" w:color="000000" w:fill="FFFFFF"/>
            <w:hideMark/>
          </w:tcPr>
          <w:p w14:paraId="0B7A5219" w14:textId="77777777" w:rsidR="00FC0DB8" w:rsidRPr="00311627" w:rsidRDefault="00FC0DB8" w:rsidP="00052478">
            <w:pPr>
              <w:pStyle w:val="TableText"/>
              <w:jc w:val="center"/>
              <w:rPr>
                <w:color w:val="4F81BD"/>
                <w:lang w:eastAsia="en-NZ"/>
              </w:rPr>
            </w:pPr>
          </w:p>
        </w:tc>
        <w:tc>
          <w:tcPr>
            <w:tcW w:w="1278" w:type="dxa"/>
            <w:gridSpan w:val="2"/>
            <w:tcBorders>
              <w:top w:val="nil"/>
              <w:left w:val="nil"/>
              <w:bottom w:val="nil"/>
              <w:right w:val="nil"/>
            </w:tcBorders>
            <w:shd w:val="clear" w:color="000000" w:fill="FFFFFF"/>
            <w:hideMark/>
          </w:tcPr>
          <w:p w14:paraId="6EAC3E94" w14:textId="77777777" w:rsidR="00FC0DB8" w:rsidRPr="00311627" w:rsidRDefault="00FC0DB8" w:rsidP="00052478">
            <w:pPr>
              <w:pStyle w:val="TableText"/>
              <w:jc w:val="center"/>
              <w:rPr>
                <w:color w:val="4F81BD"/>
                <w:lang w:eastAsia="en-NZ"/>
              </w:rPr>
            </w:pPr>
          </w:p>
        </w:tc>
      </w:tr>
      <w:tr w:rsidR="00FC0DB8" w:rsidRPr="00311627" w14:paraId="47105EED" w14:textId="77777777" w:rsidTr="00052478">
        <w:trPr>
          <w:cantSplit/>
        </w:trPr>
        <w:tc>
          <w:tcPr>
            <w:tcW w:w="4020" w:type="dxa"/>
            <w:tcBorders>
              <w:top w:val="nil"/>
              <w:left w:val="nil"/>
              <w:bottom w:val="nil"/>
              <w:right w:val="nil"/>
            </w:tcBorders>
            <w:shd w:val="clear" w:color="000000" w:fill="FFFFFF"/>
            <w:hideMark/>
          </w:tcPr>
          <w:p w14:paraId="7EE3D745" w14:textId="77777777" w:rsidR="00FC0DB8" w:rsidRPr="00311627" w:rsidRDefault="00FC0DB8" w:rsidP="00052478">
            <w:pPr>
              <w:pStyle w:val="TableText"/>
              <w:rPr>
                <w:lang w:eastAsia="en-NZ"/>
              </w:rPr>
            </w:pPr>
            <w:r w:rsidRPr="00311627">
              <w:rPr>
                <w:lang w:eastAsia="en-NZ"/>
              </w:rPr>
              <w:t>GP visit in the past 12 months</w:t>
            </w:r>
          </w:p>
        </w:tc>
        <w:tc>
          <w:tcPr>
            <w:tcW w:w="900" w:type="dxa"/>
            <w:tcBorders>
              <w:top w:val="nil"/>
              <w:left w:val="nil"/>
              <w:bottom w:val="nil"/>
              <w:right w:val="nil"/>
            </w:tcBorders>
            <w:shd w:val="clear" w:color="000000" w:fill="FFFFFF"/>
            <w:hideMark/>
          </w:tcPr>
          <w:p w14:paraId="05C677BE" w14:textId="77777777" w:rsidR="00FC0DB8" w:rsidRPr="00311627" w:rsidRDefault="00FC0DB8" w:rsidP="00052478">
            <w:pPr>
              <w:pStyle w:val="TableText"/>
              <w:jc w:val="center"/>
              <w:rPr>
                <w:lang w:eastAsia="en-NZ"/>
              </w:rPr>
            </w:pPr>
            <w:r w:rsidRPr="00311627">
              <w:rPr>
                <w:lang w:eastAsia="en-NZ"/>
              </w:rPr>
              <w:t>76.3</w:t>
            </w:r>
          </w:p>
        </w:tc>
        <w:tc>
          <w:tcPr>
            <w:tcW w:w="940" w:type="dxa"/>
            <w:tcBorders>
              <w:top w:val="nil"/>
              <w:left w:val="nil"/>
              <w:bottom w:val="nil"/>
              <w:right w:val="nil"/>
            </w:tcBorders>
            <w:shd w:val="clear" w:color="000000" w:fill="FFFFFF"/>
            <w:hideMark/>
          </w:tcPr>
          <w:p w14:paraId="29EC694D" w14:textId="77777777" w:rsidR="00FC0DB8" w:rsidRPr="00311627" w:rsidRDefault="00FC0DB8" w:rsidP="00052478">
            <w:pPr>
              <w:pStyle w:val="TableText"/>
              <w:jc w:val="center"/>
              <w:rPr>
                <w:color w:val="808080"/>
                <w:lang w:eastAsia="en-NZ"/>
              </w:rPr>
            </w:pPr>
            <w:r w:rsidRPr="00311627">
              <w:rPr>
                <w:color w:val="808080"/>
                <w:lang w:eastAsia="en-NZ"/>
              </w:rPr>
              <w:t>78.0</w:t>
            </w:r>
          </w:p>
        </w:tc>
        <w:tc>
          <w:tcPr>
            <w:tcW w:w="940" w:type="dxa"/>
            <w:tcBorders>
              <w:top w:val="nil"/>
              <w:left w:val="nil"/>
              <w:bottom w:val="nil"/>
              <w:right w:val="nil"/>
            </w:tcBorders>
            <w:shd w:val="clear" w:color="000000" w:fill="FFFFFF"/>
            <w:hideMark/>
          </w:tcPr>
          <w:p w14:paraId="6D906811" w14:textId="77777777" w:rsidR="00FC0DB8" w:rsidRPr="00311627" w:rsidRDefault="00FC0DB8" w:rsidP="00052478">
            <w:pPr>
              <w:pStyle w:val="TableText"/>
              <w:jc w:val="center"/>
              <w:rPr>
                <w:color w:val="808080"/>
                <w:lang w:eastAsia="en-NZ"/>
              </w:rPr>
            </w:pPr>
            <w:r w:rsidRPr="00311627">
              <w:rPr>
                <w:color w:val="808080"/>
                <w:lang w:eastAsia="en-NZ"/>
              </w:rPr>
              <w:t>83.4</w:t>
            </w:r>
          </w:p>
        </w:tc>
        <w:tc>
          <w:tcPr>
            <w:tcW w:w="1278" w:type="dxa"/>
            <w:tcBorders>
              <w:top w:val="nil"/>
              <w:left w:val="nil"/>
              <w:bottom w:val="nil"/>
              <w:right w:val="nil"/>
            </w:tcBorders>
            <w:shd w:val="clear" w:color="000000" w:fill="FFFFFF"/>
            <w:hideMark/>
          </w:tcPr>
          <w:p w14:paraId="57F53DC0"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764EC60A"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17FECE6A" w14:textId="77777777" w:rsidTr="00052478">
        <w:trPr>
          <w:cantSplit/>
        </w:trPr>
        <w:tc>
          <w:tcPr>
            <w:tcW w:w="4020" w:type="dxa"/>
            <w:tcBorders>
              <w:top w:val="nil"/>
              <w:left w:val="nil"/>
              <w:bottom w:val="nil"/>
              <w:right w:val="nil"/>
            </w:tcBorders>
            <w:shd w:val="clear" w:color="000000" w:fill="FFFFFF"/>
            <w:hideMark/>
          </w:tcPr>
          <w:p w14:paraId="5A167626" w14:textId="77777777" w:rsidR="00FC0DB8" w:rsidRPr="00311627" w:rsidRDefault="00FC0DB8" w:rsidP="00052478">
            <w:pPr>
              <w:pStyle w:val="TableText"/>
              <w:rPr>
                <w:lang w:eastAsia="en-NZ"/>
              </w:rPr>
            </w:pPr>
            <w:r w:rsidRPr="00311627">
              <w:rPr>
                <w:lang w:eastAsia="en-NZ"/>
              </w:rPr>
              <w:t xml:space="preserve">Practice nurse </w:t>
            </w:r>
            <w:r>
              <w:rPr>
                <w:lang w:eastAsia="en-NZ"/>
              </w:rPr>
              <w:t xml:space="preserve">(only) </w:t>
            </w:r>
            <w:r w:rsidRPr="00311627">
              <w:rPr>
                <w:lang w:eastAsia="en-NZ"/>
              </w:rPr>
              <w:t>visit in the past 12 months</w:t>
            </w:r>
          </w:p>
        </w:tc>
        <w:tc>
          <w:tcPr>
            <w:tcW w:w="900" w:type="dxa"/>
            <w:tcBorders>
              <w:top w:val="nil"/>
              <w:left w:val="nil"/>
              <w:bottom w:val="nil"/>
              <w:right w:val="nil"/>
            </w:tcBorders>
            <w:shd w:val="clear" w:color="000000" w:fill="FFFFFF"/>
            <w:hideMark/>
          </w:tcPr>
          <w:p w14:paraId="2ABF77A8" w14:textId="77777777" w:rsidR="00FC0DB8" w:rsidRPr="00311627" w:rsidRDefault="00FC0DB8" w:rsidP="00052478">
            <w:pPr>
              <w:pStyle w:val="TableText"/>
              <w:jc w:val="center"/>
              <w:rPr>
                <w:lang w:eastAsia="en-NZ"/>
              </w:rPr>
            </w:pPr>
            <w:r w:rsidRPr="00311627">
              <w:rPr>
                <w:lang w:eastAsia="en-NZ"/>
              </w:rPr>
              <w:t>22.6</w:t>
            </w:r>
          </w:p>
        </w:tc>
        <w:tc>
          <w:tcPr>
            <w:tcW w:w="940" w:type="dxa"/>
            <w:tcBorders>
              <w:top w:val="nil"/>
              <w:left w:val="nil"/>
              <w:bottom w:val="nil"/>
              <w:right w:val="nil"/>
            </w:tcBorders>
            <w:shd w:val="clear" w:color="000000" w:fill="FFFFFF"/>
            <w:hideMark/>
          </w:tcPr>
          <w:p w14:paraId="0E5E386F" w14:textId="77777777" w:rsidR="00FC0DB8" w:rsidRPr="00311627" w:rsidRDefault="00FC0DB8" w:rsidP="00052478">
            <w:pPr>
              <w:pStyle w:val="TableText"/>
              <w:jc w:val="center"/>
              <w:rPr>
                <w:color w:val="808080"/>
                <w:lang w:eastAsia="en-NZ"/>
              </w:rPr>
            </w:pPr>
            <w:r w:rsidRPr="00311627">
              <w:rPr>
                <w:color w:val="808080"/>
                <w:lang w:eastAsia="en-NZ"/>
              </w:rPr>
              <w:t>18.1</w:t>
            </w:r>
          </w:p>
        </w:tc>
        <w:tc>
          <w:tcPr>
            <w:tcW w:w="940" w:type="dxa"/>
            <w:tcBorders>
              <w:top w:val="nil"/>
              <w:left w:val="nil"/>
              <w:bottom w:val="nil"/>
              <w:right w:val="nil"/>
            </w:tcBorders>
            <w:shd w:val="clear" w:color="000000" w:fill="FFFFFF"/>
            <w:hideMark/>
          </w:tcPr>
          <w:p w14:paraId="4FA7A9FA" w14:textId="77777777" w:rsidR="00FC0DB8" w:rsidRPr="00311627" w:rsidRDefault="00FC0DB8" w:rsidP="00052478">
            <w:pPr>
              <w:pStyle w:val="TableText"/>
              <w:jc w:val="center"/>
              <w:rPr>
                <w:color w:val="808080"/>
                <w:lang w:eastAsia="en-NZ"/>
              </w:rPr>
            </w:pPr>
            <w:r w:rsidRPr="00311627">
              <w:rPr>
                <w:color w:val="808080"/>
                <w:lang w:eastAsia="en-NZ"/>
              </w:rPr>
              <w:t>18.9</w:t>
            </w:r>
          </w:p>
        </w:tc>
        <w:tc>
          <w:tcPr>
            <w:tcW w:w="1278" w:type="dxa"/>
            <w:tcBorders>
              <w:top w:val="nil"/>
              <w:left w:val="nil"/>
              <w:bottom w:val="nil"/>
              <w:right w:val="nil"/>
            </w:tcBorders>
            <w:shd w:val="clear" w:color="000000" w:fill="FFFFFF"/>
            <w:hideMark/>
          </w:tcPr>
          <w:p w14:paraId="6E30C9BD"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60B84368"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36058945" w14:textId="77777777" w:rsidTr="00052478">
        <w:trPr>
          <w:cantSplit/>
        </w:trPr>
        <w:tc>
          <w:tcPr>
            <w:tcW w:w="4020" w:type="dxa"/>
            <w:tcBorders>
              <w:top w:val="nil"/>
              <w:left w:val="nil"/>
              <w:bottom w:val="single" w:sz="4" w:space="0" w:color="808080"/>
              <w:right w:val="nil"/>
            </w:tcBorders>
            <w:shd w:val="clear" w:color="000000" w:fill="FFFFFF"/>
            <w:hideMark/>
          </w:tcPr>
          <w:p w14:paraId="254185FC" w14:textId="77777777" w:rsidR="00FC0DB8" w:rsidRPr="00311627" w:rsidRDefault="00FC0DB8" w:rsidP="00052478">
            <w:pPr>
              <w:pStyle w:val="TableText"/>
              <w:rPr>
                <w:lang w:eastAsia="en-NZ"/>
              </w:rPr>
            </w:pPr>
            <w:r w:rsidRPr="00311627">
              <w:rPr>
                <w:lang w:eastAsia="en-NZ"/>
              </w:rPr>
              <w:t xml:space="preserve">After-hours </w:t>
            </w:r>
            <w:r>
              <w:rPr>
                <w:lang w:eastAsia="en-NZ"/>
              </w:rPr>
              <w:t xml:space="preserve">medical centre </w:t>
            </w:r>
            <w:r w:rsidRPr="00311627">
              <w:rPr>
                <w:lang w:eastAsia="en-NZ"/>
              </w:rPr>
              <w:t>visit in the past 12</w:t>
            </w:r>
            <w:r w:rsidR="00052478">
              <w:rPr>
                <w:lang w:eastAsia="en-NZ"/>
              </w:rPr>
              <w:t> </w:t>
            </w:r>
            <w:r w:rsidRPr="00311627">
              <w:rPr>
                <w:lang w:eastAsia="en-NZ"/>
              </w:rPr>
              <w:t>months</w:t>
            </w:r>
          </w:p>
        </w:tc>
        <w:tc>
          <w:tcPr>
            <w:tcW w:w="900" w:type="dxa"/>
            <w:tcBorders>
              <w:top w:val="nil"/>
              <w:left w:val="nil"/>
              <w:bottom w:val="single" w:sz="4" w:space="0" w:color="808080"/>
              <w:right w:val="nil"/>
            </w:tcBorders>
            <w:shd w:val="clear" w:color="000000" w:fill="FFFFFF"/>
            <w:hideMark/>
          </w:tcPr>
          <w:p w14:paraId="5DBDE757" w14:textId="77777777" w:rsidR="00FC0DB8" w:rsidRPr="00311627" w:rsidRDefault="00FC0DB8" w:rsidP="00052478">
            <w:pPr>
              <w:pStyle w:val="TableText"/>
              <w:jc w:val="center"/>
              <w:rPr>
                <w:lang w:eastAsia="en-NZ"/>
              </w:rPr>
            </w:pPr>
            <w:r w:rsidRPr="00311627">
              <w:rPr>
                <w:lang w:eastAsia="en-NZ"/>
              </w:rPr>
              <w:t>23.7</w:t>
            </w:r>
          </w:p>
        </w:tc>
        <w:tc>
          <w:tcPr>
            <w:tcW w:w="940" w:type="dxa"/>
            <w:tcBorders>
              <w:top w:val="nil"/>
              <w:left w:val="nil"/>
              <w:bottom w:val="single" w:sz="4" w:space="0" w:color="808080"/>
              <w:right w:val="nil"/>
            </w:tcBorders>
            <w:shd w:val="clear" w:color="000000" w:fill="FFFFFF"/>
            <w:hideMark/>
          </w:tcPr>
          <w:p w14:paraId="5960E9CB" w14:textId="77777777" w:rsidR="00FC0DB8" w:rsidRPr="00311627" w:rsidRDefault="00FC0DB8" w:rsidP="00052478">
            <w:pPr>
              <w:pStyle w:val="TableText"/>
              <w:jc w:val="center"/>
              <w:rPr>
                <w:color w:val="808080"/>
                <w:lang w:eastAsia="en-NZ"/>
              </w:rPr>
            </w:pPr>
            <w:r w:rsidRPr="00311627">
              <w:rPr>
                <w:color w:val="808080"/>
                <w:lang w:eastAsia="en-NZ"/>
              </w:rPr>
              <w:t>21.1</w:t>
            </w:r>
          </w:p>
        </w:tc>
        <w:tc>
          <w:tcPr>
            <w:tcW w:w="940" w:type="dxa"/>
            <w:tcBorders>
              <w:top w:val="nil"/>
              <w:left w:val="nil"/>
              <w:bottom w:val="single" w:sz="4" w:space="0" w:color="808080"/>
              <w:right w:val="nil"/>
            </w:tcBorders>
            <w:shd w:val="clear" w:color="000000" w:fill="FFFFFF"/>
            <w:hideMark/>
          </w:tcPr>
          <w:p w14:paraId="75F5EDE1" w14:textId="77777777" w:rsidR="00FC0DB8" w:rsidRPr="00311627" w:rsidRDefault="00FC0DB8" w:rsidP="00052478">
            <w:pPr>
              <w:pStyle w:val="TableText"/>
              <w:jc w:val="center"/>
              <w:rPr>
                <w:color w:val="808080"/>
                <w:lang w:eastAsia="en-NZ"/>
              </w:rPr>
            </w:pPr>
            <w:r w:rsidRPr="00311627">
              <w:rPr>
                <w:color w:val="808080"/>
                <w:lang w:eastAsia="en-NZ"/>
              </w:rPr>
              <w:t>.</w:t>
            </w:r>
          </w:p>
        </w:tc>
        <w:tc>
          <w:tcPr>
            <w:tcW w:w="1278" w:type="dxa"/>
            <w:tcBorders>
              <w:top w:val="nil"/>
              <w:left w:val="nil"/>
              <w:bottom w:val="single" w:sz="4" w:space="0" w:color="808080"/>
              <w:right w:val="nil"/>
            </w:tcBorders>
            <w:shd w:val="clear" w:color="000000" w:fill="FFFFFF"/>
            <w:hideMark/>
          </w:tcPr>
          <w:p w14:paraId="76B3C878"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6A1EADFC"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67D9A926" w14:textId="77777777" w:rsidTr="00052478">
        <w:trPr>
          <w:cantSplit/>
        </w:trPr>
        <w:tc>
          <w:tcPr>
            <w:tcW w:w="4020" w:type="dxa"/>
            <w:tcBorders>
              <w:top w:val="nil"/>
              <w:left w:val="nil"/>
              <w:bottom w:val="nil"/>
              <w:right w:val="nil"/>
            </w:tcBorders>
            <w:shd w:val="clear" w:color="000000" w:fill="FFFFFF"/>
            <w:hideMark/>
          </w:tcPr>
          <w:p w14:paraId="0D6FE50D" w14:textId="77777777" w:rsidR="00FC0DB8" w:rsidRPr="00311627" w:rsidRDefault="00FC0DB8" w:rsidP="00052478">
            <w:pPr>
              <w:pStyle w:val="TableText"/>
              <w:rPr>
                <w:lang w:eastAsia="en-NZ"/>
              </w:rPr>
            </w:pPr>
            <w:r w:rsidRPr="00311627">
              <w:rPr>
                <w:lang w:eastAsia="en-NZ"/>
              </w:rPr>
              <w:t>Experienced any unmet need for primary he</w:t>
            </w:r>
            <w:r w:rsidR="00052478">
              <w:rPr>
                <w:lang w:eastAsia="en-NZ"/>
              </w:rPr>
              <w:t>alth care in the past 12 months</w:t>
            </w:r>
          </w:p>
        </w:tc>
        <w:tc>
          <w:tcPr>
            <w:tcW w:w="900" w:type="dxa"/>
            <w:tcBorders>
              <w:top w:val="nil"/>
              <w:left w:val="nil"/>
              <w:bottom w:val="nil"/>
              <w:right w:val="nil"/>
            </w:tcBorders>
            <w:shd w:val="clear" w:color="000000" w:fill="FFFFFF"/>
            <w:hideMark/>
          </w:tcPr>
          <w:p w14:paraId="18B2D40E" w14:textId="77777777" w:rsidR="00FC0DB8" w:rsidRPr="00311627" w:rsidRDefault="00FC0DB8" w:rsidP="00052478">
            <w:pPr>
              <w:pStyle w:val="TableText"/>
              <w:jc w:val="center"/>
              <w:rPr>
                <w:lang w:eastAsia="en-NZ"/>
              </w:rPr>
            </w:pPr>
            <w:r w:rsidRPr="00311627">
              <w:rPr>
                <w:lang w:eastAsia="en-NZ"/>
              </w:rPr>
              <w:t>26.2</w:t>
            </w:r>
          </w:p>
        </w:tc>
        <w:tc>
          <w:tcPr>
            <w:tcW w:w="940" w:type="dxa"/>
            <w:tcBorders>
              <w:top w:val="nil"/>
              <w:left w:val="nil"/>
              <w:bottom w:val="nil"/>
              <w:right w:val="nil"/>
            </w:tcBorders>
            <w:shd w:val="clear" w:color="000000" w:fill="FFFFFF"/>
            <w:hideMark/>
          </w:tcPr>
          <w:p w14:paraId="1F7DD6A2" w14:textId="77777777" w:rsidR="00FC0DB8" w:rsidRPr="00311627" w:rsidRDefault="00FC0DB8" w:rsidP="00052478">
            <w:pPr>
              <w:pStyle w:val="TableText"/>
              <w:jc w:val="center"/>
              <w:rPr>
                <w:color w:val="808080"/>
                <w:lang w:eastAsia="en-NZ"/>
              </w:rPr>
            </w:pPr>
            <w:r w:rsidRPr="00311627">
              <w:rPr>
                <w:color w:val="808080"/>
                <w:lang w:eastAsia="en-NZ"/>
              </w:rPr>
              <w:t>26.1</w:t>
            </w:r>
          </w:p>
        </w:tc>
        <w:tc>
          <w:tcPr>
            <w:tcW w:w="940" w:type="dxa"/>
            <w:tcBorders>
              <w:top w:val="nil"/>
              <w:left w:val="nil"/>
              <w:bottom w:val="nil"/>
              <w:right w:val="nil"/>
            </w:tcBorders>
            <w:shd w:val="clear" w:color="000000" w:fill="FFFFFF"/>
            <w:hideMark/>
          </w:tcPr>
          <w:p w14:paraId="399FCB82" w14:textId="77777777" w:rsidR="00FC0DB8" w:rsidRPr="00311627" w:rsidRDefault="00FC0DB8" w:rsidP="00052478">
            <w:pPr>
              <w:pStyle w:val="TableText"/>
              <w:jc w:val="center"/>
              <w:rPr>
                <w:color w:val="808080"/>
                <w:lang w:eastAsia="en-NZ"/>
              </w:rPr>
            </w:pPr>
            <w:r w:rsidRPr="00311627">
              <w:rPr>
                <w:color w:val="808080"/>
                <w:lang w:eastAsia="en-NZ"/>
              </w:rPr>
              <w:t>.</w:t>
            </w:r>
          </w:p>
        </w:tc>
        <w:tc>
          <w:tcPr>
            <w:tcW w:w="1278" w:type="dxa"/>
            <w:tcBorders>
              <w:top w:val="nil"/>
              <w:left w:val="nil"/>
              <w:bottom w:val="nil"/>
              <w:right w:val="nil"/>
            </w:tcBorders>
            <w:shd w:val="clear" w:color="000000" w:fill="FFFFFF"/>
            <w:hideMark/>
          </w:tcPr>
          <w:p w14:paraId="424F1F15"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70682ED6"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4C56A2DD" w14:textId="77777777" w:rsidTr="00052478">
        <w:trPr>
          <w:cantSplit/>
        </w:trPr>
        <w:tc>
          <w:tcPr>
            <w:tcW w:w="4020" w:type="dxa"/>
            <w:tcBorders>
              <w:top w:val="nil"/>
              <w:left w:val="nil"/>
              <w:bottom w:val="nil"/>
              <w:right w:val="nil"/>
            </w:tcBorders>
            <w:shd w:val="clear" w:color="000000" w:fill="FFFFFF"/>
            <w:hideMark/>
          </w:tcPr>
          <w:p w14:paraId="243AF5BE" w14:textId="77777777" w:rsidR="00FC0DB8" w:rsidRPr="00311627" w:rsidRDefault="00FC0DB8" w:rsidP="00052478">
            <w:pPr>
              <w:pStyle w:val="TableText"/>
              <w:rPr>
                <w:lang w:eastAsia="en-NZ"/>
              </w:rPr>
            </w:pPr>
            <w:r w:rsidRPr="00311627">
              <w:rPr>
                <w:lang w:eastAsia="en-NZ"/>
              </w:rPr>
              <w:t>Unable to get appointment at usual medical centre within 24 hours</w:t>
            </w:r>
          </w:p>
        </w:tc>
        <w:tc>
          <w:tcPr>
            <w:tcW w:w="900" w:type="dxa"/>
            <w:tcBorders>
              <w:top w:val="nil"/>
              <w:left w:val="nil"/>
              <w:bottom w:val="nil"/>
              <w:right w:val="nil"/>
            </w:tcBorders>
            <w:shd w:val="clear" w:color="000000" w:fill="FFFFFF"/>
            <w:hideMark/>
          </w:tcPr>
          <w:p w14:paraId="04F232D3" w14:textId="77777777" w:rsidR="00FC0DB8" w:rsidRPr="00311627" w:rsidRDefault="00FC0DB8" w:rsidP="00052478">
            <w:pPr>
              <w:pStyle w:val="TableText"/>
              <w:jc w:val="center"/>
              <w:rPr>
                <w:lang w:eastAsia="en-NZ"/>
              </w:rPr>
            </w:pPr>
            <w:r w:rsidRPr="00311627">
              <w:rPr>
                <w:lang w:eastAsia="en-NZ"/>
              </w:rPr>
              <w:t>14.8</w:t>
            </w:r>
          </w:p>
        </w:tc>
        <w:tc>
          <w:tcPr>
            <w:tcW w:w="940" w:type="dxa"/>
            <w:tcBorders>
              <w:top w:val="nil"/>
              <w:left w:val="nil"/>
              <w:bottom w:val="nil"/>
              <w:right w:val="nil"/>
            </w:tcBorders>
            <w:shd w:val="clear" w:color="000000" w:fill="FFFFFF"/>
            <w:hideMark/>
          </w:tcPr>
          <w:p w14:paraId="5A946FFD" w14:textId="77777777" w:rsidR="00FC0DB8" w:rsidRPr="00311627" w:rsidRDefault="00FC0DB8" w:rsidP="00052478">
            <w:pPr>
              <w:pStyle w:val="TableText"/>
              <w:jc w:val="center"/>
              <w:rPr>
                <w:color w:val="808080"/>
                <w:lang w:eastAsia="en-NZ"/>
              </w:rPr>
            </w:pPr>
            <w:r w:rsidRPr="00311627">
              <w:rPr>
                <w:color w:val="808080"/>
                <w:lang w:eastAsia="en-NZ"/>
              </w:rPr>
              <w:t>15.6</w:t>
            </w:r>
          </w:p>
        </w:tc>
        <w:tc>
          <w:tcPr>
            <w:tcW w:w="940" w:type="dxa"/>
            <w:tcBorders>
              <w:top w:val="nil"/>
              <w:left w:val="nil"/>
              <w:bottom w:val="nil"/>
              <w:right w:val="nil"/>
            </w:tcBorders>
            <w:shd w:val="clear" w:color="000000" w:fill="FFFFFF"/>
            <w:hideMark/>
          </w:tcPr>
          <w:p w14:paraId="0B99249D" w14:textId="77777777" w:rsidR="00FC0DB8" w:rsidRPr="00311627" w:rsidRDefault="00FC0DB8" w:rsidP="00052478">
            <w:pPr>
              <w:pStyle w:val="TableText"/>
              <w:jc w:val="center"/>
              <w:rPr>
                <w:color w:val="808080"/>
                <w:lang w:eastAsia="en-NZ"/>
              </w:rPr>
            </w:pPr>
            <w:r w:rsidRPr="00311627">
              <w:rPr>
                <w:color w:val="808080"/>
                <w:lang w:eastAsia="en-NZ"/>
              </w:rPr>
              <w:t>.</w:t>
            </w:r>
          </w:p>
        </w:tc>
        <w:tc>
          <w:tcPr>
            <w:tcW w:w="1278" w:type="dxa"/>
            <w:tcBorders>
              <w:top w:val="nil"/>
              <w:left w:val="nil"/>
              <w:bottom w:val="nil"/>
              <w:right w:val="nil"/>
            </w:tcBorders>
            <w:shd w:val="clear" w:color="000000" w:fill="FFFFFF"/>
            <w:hideMark/>
          </w:tcPr>
          <w:p w14:paraId="0D1E5D80"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60F5AF65"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73679B9C" w14:textId="77777777" w:rsidTr="00052478">
        <w:trPr>
          <w:cantSplit/>
        </w:trPr>
        <w:tc>
          <w:tcPr>
            <w:tcW w:w="4020" w:type="dxa"/>
            <w:tcBorders>
              <w:top w:val="nil"/>
              <w:left w:val="nil"/>
              <w:bottom w:val="nil"/>
              <w:right w:val="nil"/>
            </w:tcBorders>
            <w:shd w:val="clear" w:color="000000" w:fill="FFFFFF"/>
            <w:hideMark/>
          </w:tcPr>
          <w:p w14:paraId="32B2C4B7" w14:textId="77777777" w:rsidR="00FC0DB8" w:rsidRPr="00311627" w:rsidRDefault="00FC0DB8" w:rsidP="00052478">
            <w:pPr>
              <w:pStyle w:val="TableText"/>
              <w:rPr>
                <w:lang w:eastAsia="en-NZ"/>
              </w:rPr>
            </w:pPr>
            <w:r w:rsidRPr="00311627">
              <w:rPr>
                <w:lang w:eastAsia="en-NZ"/>
              </w:rPr>
              <w:t>Unmet need for GP due to cost</w:t>
            </w:r>
          </w:p>
        </w:tc>
        <w:tc>
          <w:tcPr>
            <w:tcW w:w="900" w:type="dxa"/>
            <w:tcBorders>
              <w:top w:val="nil"/>
              <w:left w:val="nil"/>
              <w:bottom w:val="nil"/>
              <w:right w:val="nil"/>
            </w:tcBorders>
            <w:shd w:val="clear" w:color="000000" w:fill="FFFFFF"/>
            <w:hideMark/>
          </w:tcPr>
          <w:p w14:paraId="0F315E73" w14:textId="77777777" w:rsidR="00FC0DB8" w:rsidRPr="00311627" w:rsidRDefault="00FC0DB8" w:rsidP="00052478">
            <w:pPr>
              <w:pStyle w:val="TableText"/>
              <w:jc w:val="center"/>
              <w:rPr>
                <w:lang w:eastAsia="en-NZ"/>
              </w:rPr>
            </w:pPr>
            <w:r w:rsidRPr="00311627">
              <w:rPr>
                <w:lang w:eastAsia="en-NZ"/>
              </w:rPr>
              <w:t>7.0</w:t>
            </w:r>
          </w:p>
        </w:tc>
        <w:tc>
          <w:tcPr>
            <w:tcW w:w="940" w:type="dxa"/>
            <w:tcBorders>
              <w:top w:val="nil"/>
              <w:left w:val="nil"/>
              <w:bottom w:val="nil"/>
              <w:right w:val="nil"/>
            </w:tcBorders>
            <w:shd w:val="clear" w:color="000000" w:fill="FFFFFF"/>
            <w:hideMark/>
          </w:tcPr>
          <w:p w14:paraId="74011D91" w14:textId="77777777" w:rsidR="00FC0DB8" w:rsidRPr="00311627" w:rsidRDefault="00FC0DB8" w:rsidP="00052478">
            <w:pPr>
              <w:pStyle w:val="TableText"/>
              <w:jc w:val="center"/>
              <w:rPr>
                <w:color w:val="808080"/>
                <w:lang w:eastAsia="en-NZ"/>
              </w:rPr>
            </w:pPr>
            <w:r w:rsidRPr="00311627">
              <w:rPr>
                <w:color w:val="808080"/>
                <w:lang w:eastAsia="en-NZ"/>
              </w:rPr>
              <w:t>6.5</w:t>
            </w:r>
          </w:p>
        </w:tc>
        <w:tc>
          <w:tcPr>
            <w:tcW w:w="940" w:type="dxa"/>
            <w:tcBorders>
              <w:top w:val="nil"/>
              <w:left w:val="nil"/>
              <w:bottom w:val="nil"/>
              <w:right w:val="nil"/>
            </w:tcBorders>
            <w:shd w:val="clear" w:color="000000" w:fill="FFFFFF"/>
            <w:hideMark/>
          </w:tcPr>
          <w:p w14:paraId="69D841ED" w14:textId="77777777" w:rsidR="00FC0DB8" w:rsidRPr="00311627" w:rsidRDefault="00FC0DB8" w:rsidP="00052478">
            <w:pPr>
              <w:pStyle w:val="TableText"/>
              <w:jc w:val="center"/>
              <w:rPr>
                <w:color w:val="808080"/>
                <w:lang w:eastAsia="en-NZ"/>
              </w:rPr>
            </w:pPr>
            <w:r w:rsidRPr="00311627">
              <w:rPr>
                <w:color w:val="808080"/>
                <w:lang w:eastAsia="en-NZ"/>
              </w:rPr>
              <w:t>.</w:t>
            </w:r>
          </w:p>
        </w:tc>
        <w:tc>
          <w:tcPr>
            <w:tcW w:w="1278" w:type="dxa"/>
            <w:tcBorders>
              <w:top w:val="nil"/>
              <w:left w:val="nil"/>
              <w:bottom w:val="nil"/>
              <w:right w:val="nil"/>
            </w:tcBorders>
            <w:shd w:val="clear" w:color="000000" w:fill="FFFFFF"/>
            <w:hideMark/>
          </w:tcPr>
          <w:p w14:paraId="286623D9"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717A143F"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0DC3E464" w14:textId="77777777" w:rsidTr="00052478">
        <w:trPr>
          <w:cantSplit/>
        </w:trPr>
        <w:tc>
          <w:tcPr>
            <w:tcW w:w="4020" w:type="dxa"/>
            <w:tcBorders>
              <w:top w:val="nil"/>
              <w:left w:val="nil"/>
              <w:bottom w:val="single" w:sz="4" w:space="0" w:color="808080"/>
              <w:right w:val="nil"/>
            </w:tcBorders>
            <w:shd w:val="clear" w:color="000000" w:fill="FFFFFF"/>
            <w:hideMark/>
          </w:tcPr>
          <w:p w14:paraId="68C9B112" w14:textId="77777777" w:rsidR="00FC0DB8" w:rsidRPr="00311627" w:rsidRDefault="00FC0DB8" w:rsidP="00052478">
            <w:pPr>
              <w:pStyle w:val="TableText"/>
              <w:rPr>
                <w:lang w:eastAsia="en-NZ"/>
              </w:rPr>
            </w:pPr>
            <w:r w:rsidRPr="00311627">
              <w:rPr>
                <w:lang w:eastAsia="en-NZ"/>
              </w:rPr>
              <w:t>Unmet need for after-hours due to cost</w:t>
            </w:r>
          </w:p>
        </w:tc>
        <w:tc>
          <w:tcPr>
            <w:tcW w:w="900" w:type="dxa"/>
            <w:tcBorders>
              <w:top w:val="nil"/>
              <w:left w:val="nil"/>
              <w:bottom w:val="single" w:sz="4" w:space="0" w:color="808080"/>
              <w:right w:val="nil"/>
            </w:tcBorders>
            <w:shd w:val="clear" w:color="000000" w:fill="FFFFFF"/>
            <w:hideMark/>
          </w:tcPr>
          <w:p w14:paraId="1C9AF40E" w14:textId="77777777" w:rsidR="00FC0DB8" w:rsidRPr="00311627" w:rsidRDefault="00FC0DB8" w:rsidP="00052478">
            <w:pPr>
              <w:pStyle w:val="TableText"/>
              <w:jc w:val="center"/>
              <w:rPr>
                <w:lang w:eastAsia="en-NZ"/>
              </w:rPr>
            </w:pPr>
            <w:r w:rsidRPr="00311627">
              <w:rPr>
                <w:lang w:eastAsia="en-NZ"/>
              </w:rPr>
              <w:t>6.2</w:t>
            </w:r>
          </w:p>
        </w:tc>
        <w:tc>
          <w:tcPr>
            <w:tcW w:w="940" w:type="dxa"/>
            <w:tcBorders>
              <w:top w:val="nil"/>
              <w:left w:val="nil"/>
              <w:bottom w:val="single" w:sz="4" w:space="0" w:color="808080"/>
              <w:right w:val="nil"/>
            </w:tcBorders>
            <w:shd w:val="clear" w:color="000000" w:fill="FFFFFF"/>
            <w:hideMark/>
          </w:tcPr>
          <w:p w14:paraId="7F9181DE" w14:textId="77777777" w:rsidR="00FC0DB8" w:rsidRPr="00311627" w:rsidRDefault="00FC0DB8" w:rsidP="00052478">
            <w:pPr>
              <w:pStyle w:val="TableText"/>
              <w:jc w:val="center"/>
              <w:rPr>
                <w:color w:val="808080"/>
                <w:lang w:eastAsia="en-NZ"/>
              </w:rPr>
            </w:pPr>
            <w:r w:rsidRPr="00311627">
              <w:rPr>
                <w:color w:val="808080"/>
                <w:lang w:eastAsia="en-NZ"/>
              </w:rPr>
              <w:t>7.8</w:t>
            </w:r>
          </w:p>
        </w:tc>
        <w:tc>
          <w:tcPr>
            <w:tcW w:w="940" w:type="dxa"/>
            <w:tcBorders>
              <w:top w:val="nil"/>
              <w:left w:val="nil"/>
              <w:bottom w:val="single" w:sz="4" w:space="0" w:color="808080"/>
              <w:right w:val="nil"/>
            </w:tcBorders>
            <w:shd w:val="clear" w:color="000000" w:fill="FFFFFF"/>
            <w:hideMark/>
          </w:tcPr>
          <w:p w14:paraId="0C30181D" w14:textId="77777777" w:rsidR="00FC0DB8" w:rsidRPr="00311627" w:rsidRDefault="00FC0DB8" w:rsidP="00052478">
            <w:pPr>
              <w:pStyle w:val="TableText"/>
              <w:jc w:val="center"/>
              <w:rPr>
                <w:color w:val="808080"/>
                <w:lang w:eastAsia="en-NZ"/>
              </w:rPr>
            </w:pPr>
            <w:r w:rsidRPr="00311627">
              <w:rPr>
                <w:color w:val="808080"/>
                <w:lang w:eastAsia="en-NZ"/>
              </w:rPr>
              <w:t>.</w:t>
            </w:r>
          </w:p>
        </w:tc>
        <w:tc>
          <w:tcPr>
            <w:tcW w:w="1278" w:type="dxa"/>
            <w:tcBorders>
              <w:top w:val="nil"/>
              <w:left w:val="nil"/>
              <w:bottom w:val="single" w:sz="4" w:space="0" w:color="808080"/>
              <w:right w:val="nil"/>
            </w:tcBorders>
            <w:shd w:val="clear" w:color="000000" w:fill="FFFFFF"/>
            <w:hideMark/>
          </w:tcPr>
          <w:p w14:paraId="2C19CAC2"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74842D1F"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32D354F4" w14:textId="77777777" w:rsidTr="00052478">
        <w:trPr>
          <w:cantSplit/>
        </w:trPr>
        <w:tc>
          <w:tcPr>
            <w:tcW w:w="4020" w:type="dxa"/>
            <w:tcBorders>
              <w:top w:val="nil"/>
              <w:left w:val="nil"/>
              <w:bottom w:val="single" w:sz="4" w:space="0" w:color="808080"/>
              <w:right w:val="nil"/>
            </w:tcBorders>
            <w:shd w:val="clear" w:color="000000" w:fill="FFFFFF"/>
            <w:hideMark/>
          </w:tcPr>
          <w:p w14:paraId="2F1D99FC" w14:textId="77777777" w:rsidR="00FC0DB8" w:rsidRPr="00311627" w:rsidRDefault="00FC0DB8" w:rsidP="00052478">
            <w:pPr>
              <w:pStyle w:val="TableText"/>
              <w:rPr>
                <w:lang w:eastAsia="en-NZ"/>
              </w:rPr>
            </w:pPr>
            <w:r w:rsidRPr="00311627">
              <w:rPr>
                <w:lang w:eastAsia="en-NZ"/>
              </w:rPr>
              <w:t>Unfilled prescription due to cost</w:t>
            </w:r>
          </w:p>
        </w:tc>
        <w:tc>
          <w:tcPr>
            <w:tcW w:w="900" w:type="dxa"/>
            <w:tcBorders>
              <w:top w:val="nil"/>
              <w:left w:val="nil"/>
              <w:bottom w:val="single" w:sz="4" w:space="0" w:color="808080"/>
              <w:right w:val="nil"/>
            </w:tcBorders>
            <w:shd w:val="clear" w:color="000000" w:fill="FFFFFF"/>
            <w:hideMark/>
          </w:tcPr>
          <w:p w14:paraId="1DA9213B" w14:textId="77777777" w:rsidR="00FC0DB8" w:rsidRPr="00311627" w:rsidRDefault="00FC0DB8" w:rsidP="00052478">
            <w:pPr>
              <w:pStyle w:val="TableText"/>
              <w:jc w:val="center"/>
              <w:rPr>
                <w:lang w:eastAsia="en-NZ"/>
              </w:rPr>
            </w:pPr>
            <w:r w:rsidRPr="00311627">
              <w:rPr>
                <w:lang w:eastAsia="en-NZ"/>
              </w:rPr>
              <w:t>9.5</w:t>
            </w:r>
          </w:p>
        </w:tc>
        <w:tc>
          <w:tcPr>
            <w:tcW w:w="940" w:type="dxa"/>
            <w:tcBorders>
              <w:top w:val="nil"/>
              <w:left w:val="nil"/>
              <w:bottom w:val="single" w:sz="4" w:space="0" w:color="808080"/>
              <w:right w:val="nil"/>
            </w:tcBorders>
            <w:shd w:val="clear" w:color="000000" w:fill="FFFFFF"/>
            <w:hideMark/>
          </w:tcPr>
          <w:p w14:paraId="7C6C8F40" w14:textId="77777777" w:rsidR="00FC0DB8" w:rsidRPr="00311627" w:rsidRDefault="00FC0DB8" w:rsidP="00052478">
            <w:pPr>
              <w:pStyle w:val="TableText"/>
              <w:jc w:val="center"/>
              <w:rPr>
                <w:color w:val="808080"/>
                <w:lang w:eastAsia="en-NZ"/>
              </w:rPr>
            </w:pPr>
            <w:r w:rsidRPr="00311627">
              <w:rPr>
                <w:color w:val="808080"/>
                <w:lang w:eastAsia="en-NZ"/>
              </w:rPr>
              <w:t>11.1</w:t>
            </w:r>
          </w:p>
        </w:tc>
        <w:tc>
          <w:tcPr>
            <w:tcW w:w="940" w:type="dxa"/>
            <w:tcBorders>
              <w:top w:val="nil"/>
              <w:left w:val="nil"/>
              <w:bottom w:val="single" w:sz="4" w:space="0" w:color="808080"/>
              <w:right w:val="nil"/>
            </w:tcBorders>
            <w:shd w:val="clear" w:color="000000" w:fill="FFFFFF"/>
            <w:hideMark/>
          </w:tcPr>
          <w:p w14:paraId="6BC07AA4" w14:textId="77777777" w:rsidR="00FC0DB8" w:rsidRPr="00311627" w:rsidRDefault="00FC0DB8" w:rsidP="00052478">
            <w:pPr>
              <w:pStyle w:val="TableText"/>
              <w:jc w:val="center"/>
              <w:rPr>
                <w:color w:val="808080"/>
                <w:lang w:eastAsia="en-NZ"/>
              </w:rPr>
            </w:pPr>
            <w:r w:rsidRPr="00311627">
              <w:rPr>
                <w:color w:val="808080"/>
                <w:lang w:eastAsia="en-NZ"/>
              </w:rPr>
              <w:t>.</w:t>
            </w:r>
          </w:p>
        </w:tc>
        <w:tc>
          <w:tcPr>
            <w:tcW w:w="1278" w:type="dxa"/>
            <w:tcBorders>
              <w:top w:val="nil"/>
              <w:left w:val="nil"/>
              <w:bottom w:val="single" w:sz="4" w:space="0" w:color="808080"/>
              <w:right w:val="nil"/>
            </w:tcBorders>
            <w:shd w:val="clear" w:color="000000" w:fill="FFFFFF"/>
            <w:hideMark/>
          </w:tcPr>
          <w:p w14:paraId="522DD119"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42BB9F19"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3BF2B9EB" w14:textId="77777777" w:rsidTr="00052478">
        <w:trPr>
          <w:cantSplit/>
        </w:trPr>
        <w:tc>
          <w:tcPr>
            <w:tcW w:w="4020" w:type="dxa"/>
            <w:tcBorders>
              <w:top w:val="nil"/>
              <w:left w:val="nil"/>
              <w:bottom w:val="single" w:sz="4" w:space="0" w:color="808080"/>
              <w:right w:val="nil"/>
            </w:tcBorders>
            <w:shd w:val="clear" w:color="000000" w:fill="FFFFFF"/>
            <w:hideMark/>
          </w:tcPr>
          <w:p w14:paraId="706EEA6E" w14:textId="77777777" w:rsidR="00FC0DB8" w:rsidRPr="00311627" w:rsidRDefault="00FC0DB8" w:rsidP="00052478">
            <w:pPr>
              <w:pStyle w:val="TableText"/>
              <w:rPr>
                <w:lang w:eastAsia="en-NZ"/>
              </w:rPr>
            </w:pPr>
            <w:r w:rsidRPr="00311627">
              <w:rPr>
                <w:lang w:eastAsia="en-NZ"/>
              </w:rPr>
              <w:t>Definite confidence and trust in GP</w:t>
            </w:r>
          </w:p>
        </w:tc>
        <w:tc>
          <w:tcPr>
            <w:tcW w:w="900" w:type="dxa"/>
            <w:tcBorders>
              <w:top w:val="nil"/>
              <w:left w:val="nil"/>
              <w:bottom w:val="single" w:sz="4" w:space="0" w:color="808080"/>
              <w:right w:val="nil"/>
            </w:tcBorders>
            <w:shd w:val="clear" w:color="000000" w:fill="FFFFFF"/>
            <w:hideMark/>
          </w:tcPr>
          <w:p w14:paraId="6A247D56" w14:textId="77777777" w:rsidR="00FC0DB8" w:rsidRPr="00311627" w:rsidRDefault="00FC0DB8" w:rsidP="00052478">
            <w:pPr>
              <w:pStyle w:val="TableText"/>
              <w:jc w:val="center"/>
              <w:rPr>
                <w:lang w:eastAsia="en-NZ"/>
              </w:rPr>
            </w:pPr>
            <w:r w:rsidRPr="00311627">
              <w:rPr>
                <w:lang w:eastAsia="en-NZ"/>
              </w:rPr>
              <w:t>74.9</w:t>
            </w:r>
          </w:p>
        </w:tc>
        <w:tc>
          <w:tcPr>
            <w:tcW w:w="940" w:type="dxa"/>
            <w:tcBorders>
              <w:top w:val="nil"/>
              <w:left w:val="nil"/>
              <w:bottom w:val="single" w:sz="4" w:space="0" w:color="808080"/>
              <w:right w:val="nil"/>
            </w:tcBorders>
            <w:shd w:val="clear" w:color="000000" w:fill="FFFFFF"/>
            <w:hideMark/>
          </w:tcPr>
          <w:p w14:paraId="14E9445B" w14:textId="77777777" w:rsidR="00FC0DB8" w:rsidRPr="00311627" w:rsidRDefault="00FC0DB8" w:rsidP="00052478">
            <w:pPr>
              <w:pStyle w:val="TableText"/>
              <w:jc w:val="center"/>
              <w:rPr>
                <w:color w:val="808080"/>
                <w:lang w:eastAsia="en-NZ"/>
              </w:rPr>
            </w:pPr>
            <w:r w:rsidRPr="00311627">
              <w:rPr>
                <w:color w:val="808080"/>
                <w:lang w:eastAsia="en-NZ"/>
              </w:rPr>
              <w:t>78.9</w:t>
            </w:r>
          </w:p>
        </w:tc>
        <w:tc>
          <w:tcPr>
            <w:tcW w:w="940" w:type="dxa"/>
            <w:tcBorders>
              <w:top w:val="nil"/>
              <w:left w:val="nil"/>
              <w:bottom w:val="single" w:sz="4" w:space="0" w:color="808080"/>
              <w:right w:val="nil"/>
            </w:tcBorders>
            <w:shd w:val="clear" w:color="000000" w:fill="FFFFFF"/>
            <w:hideMark/>
          </w:tcPr>
          <w:p w14:paraId="53F0110D" w14:textId="77777777" w:rsidR="00FC0DB8" w:rsidRPr="00311627" w:rsidRDefault="00FC0DB8" w:rsidP="00052478">
            <w:pPr>
              <w:pStyle w:val="TableText"/>
              <w:jc w:val="center"/>
              <w:rPr>
                <w:color w:val="808080"/>
                <w:lang w:eastAsia="en-NZ"/>
              </w:rPr>
            </w:pPr>
            <w:r w:rsidRPr="00311627">
              <w:rPr>
                <w:color w:val="808080"/>
                <w:lang w:eastAsia="en-NZ"/>
              </w:rPr>
              <w:t>.</w:t>
            </w:r>
          </w:p>
        </w:tc>
        <w:tc>
          <w:tcPr>
            <w:tcW w:w="1278" w:type="dxa"/>
            <w:tcBorders>
              <w:top w:val="nil"/>
              <w:left w:val="nil"/>
              <w:bottom w:val="single" w:sz="4" w:space="0" w:color="808080"/>
              <w:right w:val="nil"/>
            </w:tcBorders>
            <w:shd w:val="clear" w:color="000000" w:fill="FFFFFF"/>
            <w:hideMark/>
          </w:tcPr>
          <w:p w14:paraId="3BCB1031"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7838F3ED"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21F7A7B8" w14:textId="77777777" w:rsidTr="00052478">
        <w:trPr>
          <w:cantSplit/>
        </w:trPr>
        <w:tc>
          <w:tcPr>
            <w:tcW w:w="4020" w:type="dxa"/>
            <w:tcBorders>
              <w:top w:val="nil"/>
              <w:left w:val="nil"/>
              <w:bottom w:val="nil"/>
              <w:right w:val="nil"/>
            </w:tcBorders>
            <w:shd w:val="clear" w:color="000000" w:fill="FFFFFF"/>
            <w:hideMark/>
          </w:tcPr>
          <w:p w14:paraId="69D338B9" w14:textId="77777777" w:rsidR="00FC0DB8" w:rsidRPr="00052478" w:rsidRDefault="00FC0DB8" w:rsidP="00052478">
            <w:pPr>
              <w:pStyle w:val="TableText"/>
              <w:rPr>
                <w:b/>
                <w:lang w:eastAsia="en-NZ"/>
              </w:rPr>
            </w:pPr>
            <w:r w:rsidRPr="00052478">
              <w:rPr>
                <w:b/>
                <w:lang w:eastAsia="en-NZ"/>
              </w:rPr>
              <w:t>Oral health</w:t>
            </w:r>
          </w:p>
        </w:tc>
        <w:tc>
          <w:tcPr>
            <w:tcW w:w="900" w:type="dxa"/>
            <w:tcBorders>
              <w:top w:val="nil"/>
              <w:left w:val="nil"/>
              <w:bottom w:val="nil"/>
              <w:right w:val="nil"/>
            </w:tcBorders>
            <w:shd w:val="clear" w:color="000000" w:fill="FFFFFF"/>
            <w:hideMark/>
          </w:tcPr>
          <w:p w14:paraId="6733EE91" w14:textId="77777777" w:rsidR="00FC0DB8" w:rsidRPr="00311627" w:rsidRDefault="00FC0DB8" w:rsidP="00052478">
            <w:pPr>
              <w:pStyle w:val="TableText"/>
              <w:jc w:val="center"/>
              <w:rPr>
                <w:lang w:eastAsia="en-NZ"/>
              </w:rPr>
            </w:pPr>
          </w:p>
        </w:tc>
        <w:tc>
          <w:tcPr>
            <w:tcW w:w="940" w:type="dxa"/>
            <w:tcBorders>
              <w:top w:val="nil"/>
              <w:left w:val="nil"/>
              <w:bottom w:val="nil"/>
              <w:right w:val="nil"/>
            </w:tcBorders>
            <w:shd w:val="clear" w:color="000000" w:fill="FFFFFF"/>
            <w:hideMark/>
          </w:tcPr>
          <w:p w14:paraId="4E5416F4" w14:textId="77777777" w:rsidR="00FC0DB8" w:rsidRPr="00311627" w:rsidRDefault="00FC0DB8" w:rsidP="00052478">
            <w:pPr>
              <w:pStyle w:val="TableText"/>
              <w:jc w:val="center"/>
              <w:rPr>
                <w:color w:val="808080"/>
                <w:lang w:eastAsia="en-NZ"/>
              </w:rPr>
            </w:pPr>
          </w:p>
        </w:tc>
        <w:tc>
          <w:tcPr>
            <w:tcW w:w="940" w:type="dxa"/>
            <w:tcBorders>
              <w:top w:val="nil"/>
              <w:left w:val="nil"/>
              <w:bottom w:val="nil"/>
              <w:right w:val="nil"/>
            </w:tcBorders>
            <w:shd w:val="clear" w:color="000000" w:fill="FFFFFF"/>
            <w:hideMark/>
          </w:tcPr>
          <w:p w14:paraId="0B016629" w14:textId="77777777" w:rsidR="00FC0DB8" w:rsidRPr="00311627" w:rsidRDefault="00FC0DB8" w:rsidP="00052478">
            <w:pPr>
              <w:pStyle w:val="TableText"/>
              <w:jc w:val="center"/>
              <w:rPr>
                <w:color w:val="808080"/>
                <w:lang w:eastAsia="en-NZ"/>
              </w:rPr>
            </w:pPr>
          </w:p>
        </w:tc>
        <w:tc>
          <w:tcPr>
            <w:tcW w:w="1278" w:type="dxa"/>
            <w:tcBorders>
              <w:top w:val="nil"/>
              <w:left w:val="nil"/>
              <w:bottom w:val="nil"/>
              <w:right w:val="nil"/>
            </w:tcBorders>
            <w:shd w:val="clear" w:color="000000" w:fill="FFFFFF"/>
            <w:hideMark/>
          </w:tcPr>
          <w:p w14:paraId="4FB8EC5D" w14:textId="77777777" w:rsidR="00FC0DB8" w:rsidRPr="00311627" w:rsidRDefault="00FC0DB8" w:rsidP="00052478">
            <w:pPr>
              <w:pStyle w:val="TableText"/>
              <w:jc w:val="center"/>
              <w:rPr>
                <w:color w:val="4F81BD"/>
                <w:lang w:eastAsia="en-NZ"/>
              </w:rPr>
            </w:pPr>
          </w:p>
        </w:tc>
        <w:tc>
          <w:tcPr>
            <w:tcW w:w="1278" w:type="dxa"/>
            <w:gridSpan w:val="2"/>
            <w:tcBorders>
              <w:top w:val="nil"/>
              <w:left w:val="nil"/>
              <w:bottom w:val="nil"/>
              <w:right w:val="nil"/>
            </w:tcBorders>
            <w:shd w:val="clear" w:color="000000" w:fill="FFFFFF"/>
            <w:hideMark/>
          </w:tcPr>
          <w:p w14:paraId="045091D7" w14:textId="77777777" w:rsidR="00FC0DB8" w:rsidRPr="00311627" w:rsidRDefault="00FC0DB8" w:rsidP="00052478">
            <w:pPr>
              <w:pStyle w:val="TableText"/>
              <w:jc w:val="center"/>
              <w:rPr>
                <w:color w:val="4F81BD"/>
                <w:lang w:eastAsia="en-NZ"/>
              </w:rPr>
            </w:pPr>
          </w:p>
        </w:tc>
      </w:tr>
      <w:tr w:rsidR="00FC0DB8" w:rsidRPr="00311627" w14:paraId="6D341F18" w14:textId="77777777" w:rsidTr="00052478">
        <w:trPr>
          <w:cantSplit/>
        </w:trPr>
        <w:tc>
          <w:tcPr>
            <w:tcW w:w="4020" w:type="dxa"/>
            <w:tcBorders>
              <w:top w:val="nil"/>
              <w:left w:val="nil"/>
              <w:bottom w:val="nil"/>
              <w:right w:val="nil"/>
            </w:tcBorders>
            <w:shd w:val="clear" w:color="000000" w:fill="FFFFFF"/>
            <w:hideMark/>
          </w:tcPr>
          <w:p w14:paraId="34EA03AE" w14:textId="77777777" w:rsidR="00FC0DB8" w:rsidRPr="00311627" w:rsidRDefault="00FC0DB8" w:rsidP="00052478">
            <w:pPr>
              <w:pStyle w:val="TableText"/>
              <w:rPr>
                <w:lang w:eastAsia="en-NZ"/>
              </w:rPr>
            </w:pPr>
            <w:r w:rsidRPr="00311627">
              <w:rPr>
                <w:lang w:eastAsia="en-NZ"/>
              </w:rPr>
              <w:t>Dental health care worker visit in the past 12</w:t>
            </w:r>
            <w:r w:rsidR="00052478">
              <w:rPr>
                <w:lang w:eastAsia="en-NZ"/>
              </w:rPr>
              <w:t> </w:t>
            </w:r>
            <w:r w:rsidRPr="00311627">
              <w:rPr>
                <w:lang w:eastAsia="en-NZ"/>
              </w:rPr>
              <w:t>months (1–14 years)</w:t>
            </w:r>
          </w:p>
        </w:tc>
        <w:tc>
          <w:tcPr>
            <w:tcW w:w="900" w:type="dxa"/>
            <w:tcBorders>
              <w:top w:val="nil"/>
              <w:left w:val="nil"/>
              <w:bottom w:val="nil"/>
              <w:right w:val="nil"/>
            </w:tcBorders>
            <w:shd w:val="clear" w:color="000000" w:fill="FFFFFF"/>
            <w:hideMark/>
          </w:tcPr>
          <w:p w14:paraId="109BE8C7" w14:textId="77777777" w:rsidR="00FC0DB8" w:rsidRPr="00311627" w:rsidRDefault="00FC0DB8" w:rsidP="00052478">
            <w:pPr>
              <w:pStyle w:val="TableText"/>
              <w:jc w:val="center"/>
              <w:rPr>
                <w:lang w:eastAsia="en-NZ"/>
              </w:rPr>
            </w:pPr>
            <w:r w:rsidRPr="00311627">
              <w:rPr>
                <w:lang w:eastAsia="en-NZ"/>
              </w:rPr>
              <w:t>75.8</w:t>
            </w:r>
          </w:p>
        </w:tc>
        <w:tc>
          <w:tcPr>
            <w:tcW w:w="940" w:type="dxa"/>
            <w:tcBorders>
              <w:top w:val="nil"/>
              <w:left w:val="nil"/>
              <w:bottom w:val="nil"/>
              <w:right w:val="nil"/>
            </w:tcBorders>
            <w:shd w:val="clear" w:color="000000" w:fill="FFFFFF"/>
            <w:hideMark/>
          </w:tcPr>
          <w:p w14:paraId="483DE778" w14:textId="77777777" w:rsidR="00FC0DB8" w:rsidRPr="00311627" w:rsidRDefault="00FC0DB8" w:rsidP="00052478">
            <w:pPr>
              <w:pStyle w:val="TableText"/>
              <w:jc w:val="center"/>
              <w:rPr>
                <w:color w:val="808080"/>
                <w:lang w:eastAsia="en-NZ"/>
              </w:rPr>
            </w:pPr>
            <w:r w:rsidRPr="00311627">
              <w:rPr>
                <w:color w:val="808080"/>
                <w:lang w:eastAsia="en-NZ"/>
              </w:rPr>
              <w:t>72.8</w:t>
            </w:r>
          </w:p>
        </w:tc>
        <w:tc>
          <w:tcPr>
            <w:tcW w:w="940" w:type="dxa"/>
            <w:tcBorders>
              <w:top w:val="nil"/>
              <w:left w:val="nil"/>
              <w:bottom w:val="nil"/>
              <w:right w:val="nil"/>
            </w:tcBorders>
            <w:shd w:val="clear" w:color="000000" w:fill="FFFFFF"/>
            <w:hideMark/>
          </w:tcPr>
          <w:p w14:paraId="09E5C3E2" w14:textId="77777777" w:rsidR="00FC0DB8" w:rsidRPr="00311627" w:rsidRDefault="00FC0DB8" w:rsidP="00052478">
            <w:pPr>
              <w:pStyle w:val="TableText"/>
              <w:jc w:val="center"/>
              <w:rPr>
                <w:color w:val="808080"/>
                <w:lang w:eastAsia="en-NZ"/>
              </w:rPr>
            </w:pPr>
            <w:r w:rsidRPr="00311627">
              <w:rPr>
                <w:color w:val="808080"/>
                <w:lang w:eastAsia="en-NZ"/>
              </w:rPr>
              <w:t>69.2</w:t>
            </w:r>
          </w:p>
        </w:tc>
        <w:tc>
          <w:tcPr>
            <w:tcW w:w="1278" w:type="dxa"/>
            <w:tcBorders>
              <w:top w:val="nil"/>
              <w:left w:val="nil"/>
              <w:bottom w:val="nil"/>
              <w:right w:val="nil"/>
            </w:tcBorders>
            <w:shd w:val="clear" w:color="000000" w:fill="FFFFFF"/>
            <w:hideMark/>
          </w:tcPr>
          <w:p w14:paraId="4E986E0C"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nil"/>
              <w:right w:val="nil"/>
            </w:tcBorders>
            <w:shd w:val="clear" w:color="000000" w:fill="FFFFFF"/>
            <w:hideMark/>
          </w:tcPr>
          <w:p w14:paraId="48C29DFF"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7016964B" w14:textId="77777777" w:rsidTr="00052478">
        <w:trPr>
          <w:cantSplit/>
        </w:trPr>
        <w:tc>
          <w:tcPr>
            <w:tcW w:w="4020" w:type="dxa"/>
            <w:tcBorders>
              <w:top w:val="nil"/>
              <w:left w:val="nil"/>
              <w:bottom w:val="single" w:sz="4" w:space="0" w:color="auto"/>
              <w:right w:val="nil"/>
            </w:tcBorders>
            <w:shd w:val="clear" w:color="000000" w:fill="FFFFFF"/>
            <w:hideMark/>
          </w:tcPr>
          <w:p w14:paraId="0399C54C" w14:textId="77777777" w:rsidR="00FC0DB8" w:rsidRPr="00311627" w:rsidRDefault="00FC0DB8" w:rsidP="00052478">
            <w:pPr>
              <w:pStyle w:val="TableText"/>
              <w:rPr>
                <w:lang w:eastAsia="en-NZ"/>
              </w:rPr>
            </w:pPr>
            <w:r w:rsidRPr="00311627">
              <w:rPr>
                <w:lang w:eastAsia="en-NZ"/>
              </w:rPr>
              <w:t>Teeth removed due to decay in the past 12</w:t>
            </w:r>
            <w:r w:rsidR="00052478">
              <w:rPr>
                <w:lang w:eastAsia="en-NZ"/>
              </w:rPr>
              <w:t> </w:t>
            </w:r>
            <w:r w:rsidRPr="00311627">
              <w:rPr>
                <w:lang w:eastAsia="en-NZ"/>
              </w:rPr>
              <w:t>months (1–14 years)</w:t>
            </w:r>
          </w:p>
        </w:tc>
        <w:tc>
          <w:tcPr>
            <w:tcW w:w="900" w:type="dxa"/>
            <w:tcBorders>
              <w:top w:val="nil"/>
              <w:left w:val="nil"/>
              <w:bottom w:val="single" w:sz="4" w:space="0" w:color="808080"/>
              <w:right w:val="nil"/>
            </w:tcBorders>
            <w:shd w:val="clear" w:color="000000" w:fill="FFFFFF"/>
            <w:hideMark/>
          </w:tcPr>
          <w:p w14:paraId="3D32A58A" w14:textId="77777777" w:rsidR="00FC0DB8" w:rsidRPr="00311627" w:rsidRDefault="00FC0DB8" w:rsidP="00052478">
            <w:pPr>
              <w:pStyle w:val="TableText"/>
              <w:jc w:val="center"/>
              <w:rPr>
                <w:lang w:eastAsia="en-NZ"/>
              </w:rPr>
            </w:pPr>
            <w:r w:rsidRPr="00311627">
              <w:rPr>
                <w:lang w:eastAsia="en-NZ"/>
              </w:rPr>
              <w:t>7.1</w:t>
            </w:r>
          </w:p>
        </w:tc>
        <w:tc>
          <w:tcPr>
            <w:tcW w:w="940" w:type="dxa"/>
            <w:tcBorders>
              <w:top w:val="nil"/>
              <w:left w:val="nil"/>
              <w:bottom w:val="single" w:sz="4" w:space="0" w:color="808080"/>
              <w:right w:val="nil"/>
            </w:tcBorders>
            <w:shd w:val="clear" w:color="000000" w:fill="FFFFFF"/>
            <w:hideMark/>
          </w:tcPr>
          <w:p w14:paraId="5B056A0F" w14:textId="77777777" w:rsidR="00FC0DB8" w:rsidRPr="00311627" w:rsidRDefault="00FC0DB8" w:rsidP="00052478">
            <w:pPr>
              <w:pStyle w:val="TableText"/>
              <w:jc w:val="center"/>
              <w:rPr>
                <w:color w:val="808080"/>
                <w:lang w:eastAsia="en-NZ"/>
              </w:rPr>
            </w:pPr>
            <w:r w:rsidRPr="00311627">
              <w:rPr>
                <w:color w:val="808080"/>
                <w:lang w:eastAsia="en-NZ"/>
              </w:rPr>
              <w:t>5.8</w:t>
            </w:r>
          </w:p>
        </w:tc>
        <w:tc>
          <w:tcPr>
            <w:tcW w:w="940" w:type="dxa"/>
            <w:tcBorders>
              <w:top w:val="nil"/>
              <w:left w:val="nil"/>
              <w:bottom w:val="single" w:sz="4" w:space="0" w:color="808080"/>
              <w:right w:val="nil"/>
            </w:tcBorders>
            <w:shd w:val="clear" w:color="000000" w:fill="FFFFFF"/>
            <w:hideMark/>
          </w:tcPr>
          <w:p w14:paraId="79C2B3DD" w14:textId="77777777" w:rsidR="00FC0DB8" w:rsidRPr="00311627" w:rsidRDefault="00FC0DB8" w:rsidP="00052478">
            <w:pPr>
              <w:pStyle w:val="TableText"/>
              <w:jc w:val="center"/>
              <w:rPr>
                <w:color w:val="808080"/>
                <w:lang w:eastAsia="en-NZ"/>
              </w:rPr>
            </w:pPr>
            <w:r w:rsidRPr="00311627">
              <w:rPr>
                <w:color w:val="808080"/>
                <w:lang w:eastAsia="en-NZ"/>
              </w:rPr>
              <w:t>.</w:t>
            </w:r>
          </w:p>
        </w:tc>
        <w:tc>
          <w:tcPr>
            <w:tcW w:w="1278" w:type="dxa"/>
            <w:tcBorders>
              <w:top w:val="nil"/>
              <w:left w:val="nil"/>
              <w:bottom w:val="single" w:sz="4" w:space="0" w:color="808080"/>
              <w:right w:val="nil"/>
            </w:tcBorders>
            <w:shd w:val="clear" w:color="000000" w:fill="FFFFFF"/>
            <w:hideMark/>
          </w:tcPr>
          <w:p w14:paraId="3D7B0D23" w14:textId="77777777" w:rsidR="00FC0DB8" w:rsidRPr="00311627" w:rsidRDefault="00FC0DB8" w:rsidP="00052478">
            <w:pPr>
              <w:pStyle w:val="TableText"/>
              <w:jc w:val="center"/>
              <w:rPr>
                <w:color w:val="4F81BD"/>
                <w:lang w:eastAsia="en-NZ"/>
              </w:rPr>
            </w:pPr>
            <w:r w:rsidRPr="00311627">
              <w:rPr>
                <w:color w:val="4F81BD"/>
                <w:lang w:eastAsia="en-NZ"/>
              </w:rPr>
              <w:t>=</w:t>
            </w:r>
          </w:p>
        </w:tc>
        <w:tc>
          <w:tcPr>
            <w:tcW w:w="1278" w:type="dxa"/>
            <w:gridSpan w:val="2"/>
            <w:tcBorders>
              <w:top w:val="nil"/>
              <w:left w:val="nil"/>
              <w:bottom w:val="single" w:sz="4" w:space="0" w:color="808080"/>
              <w:right w:val="nil"/>
            </w:tcBorders>
            <w:shd w:val="clear" w:color="000000" w:fill="FFFFFF"/>
            <w:hideMark/>
          </w:tcPr>
          <w:p w14:paraId="34B3C844" w14:textId="77777777" w:rsidR="00FC0DB8" w:rsidRPr="00311627" w:rsidRDefault="00FC0DB8" w:rsidP="00052478">
            <w:pPr>
              <w:pStyle w:val="TableText"/>
              <w:jc w:val="center"/>
              <w:rPr>
                <w:color w:val="4F81BD"/>
                <w:lang w:eastAsia="en-NZ"/>
              </w:rPr>
            </w:pPr>
            <w:r w:rsidRPr="00311627">
              <w:rPr>
                <w:color w:val="4F81BD"/>
                <w:lang w:eastAsia="en-NZ"/>
              </w:rPr>
              <w:t>.</w:t>
            </w:r>
          </w:p>
        </w:tc>
      </w:tr>
      <w:tr w:rsidR="00FC0DB8" w:rsidRPr="00311627" w14:paraId="0EFB3EF6" w14:textId="77777777" w:rsidTr="00052478">
        <w:trPr>
          <w:cantSplit/>
        </w:trPr>
        <w:tc>
          <w:tcPr>
            <w:tcW w:w="4920" w:type="dxa"/>
            <w:gridSpan w:val="2"/>
            <w:tcBorders>
              <w:top w:val="single" w:sz="4" w:space="0" w:color="auto"/>
              <w:left w:val="nil"/>
              <w:bottom w:val="nil"/>
              <w:right w:val="nil"/>
            </w:tcBorders>
            <w:shd w:val="clear" w:color="000000" w:fill="FFFFFF"/>
            <w:noWrap/>
            <w:hideMark/>
          </w:tcPr>
          <w:p w14:paraId="2D90A0ED" w14:textId="77777777" w:rsidR="00FC0DB8" w:rsidRPr="00311627" w:rsidRDefault="00FC0DB8" w:rsidP="00052478">
            <w:pPr>
              <w:pStyle w:val="TableText"/>
              <w:rPr>
                <w:lang w:eastAsia="en-NZ"/>
              </w:rPr>
            </w:pPr>
            <w:r w:rsidRPr="00311627">
              <w:rPr>
                <w:lang w:eastAsia="en-NZ"/>
              </w:rPr>
              <w:t>Key:</w:t>
            </w:r>
            <w:r w:rsidR="00052478">
              <w:rPr>
                <w:lang w:eastAsia="en-NZ"/>
              </w:rPr>
              <w:tab/>
            </w:r>
            <w:r w:rsidRPr="00311627">
              <w:rPr>
                <w:color w:val="4F81BD"/>
                <w:lang w:eastAsia="en-NZ"/>
              </w:rPr>
              <w:t>▲</w:t>
            </w:r>
            <w:r w:rsidRPr="00311627">
              <w:rPr>
                <w:lang w:eastAsia="en-NZ"/>
              </w:rPr>
              <w:t xml:space="preserve"> Statistically significant increase</w:t>
            </w:r>
            <w:r>
              <w:rPr>
                <w:vertAlign w:val="superscript"/>
                <w:lang w:eastAsia="en-NZ"/>
              </w:rPr>
              <w:t>1</w:t>
            </w:r>
          </w:p>
        </w:tc>
        <w:tc>
          <w:tcPr>
            <w:tcW w:w="3360" w:type="dxa"/>
            <w:gridSpan w:val="4"/>
            <w:tcBorders>
              <w:top w:val="single" w:sz="4" w:space="0" w:color="auto"/>
              <w:left w:val="nil"/>
              <w:bottom w:val="nil"/>
              <w:right w:val="nil"/>
            </w:tcBorders>
            <w:shd w:val="clear" w:color="000000" w:fill="FFFFFF"/>
            <w:noWrap/>
            <w:hideMark/>
          </w:tcPr>
          <w:p w14:paraId="207A6A4F" w14:textId="77777777" w:rsidR="00FC0DB8" w:rsidRPr="00311627" w:rsidRDefault="00FC0DB8" w:rsidP="00052478">
            <w:pPr>
              <w:pStyle w:val="TableText"/>
              <w:rPr>
                <w:lang w:eastAsia="en-NZ"/>
              </w:rPr>
            </w:pPr>
            <w:r w:rsidRPr="00311627">
              <w:rPr>
                <w:color w:val="4F81BD"/>
                <w:lang w:eastAsia="en-NZ"/>
              </w:rPr>
              <w:t>=</w:t>
            </w:r>
            <w:r w:rsidRPr="00311627">
              <w:rPr>
                <w:lang w:eastAsia="en-NZ"/>
              </w:rPr>
              <w:t xml:space="preserve"> No statistically significant change</w:t>
            </w:r>
          </w:p>
        </w:tc>
        <w:tc>
          <w:tcPr>
            <w:tcW w:w="1076" w:type="dxa"/>
            <w:tcBorders>
              <w:top w:val="single" w:sz="4" w:space="0" w:color="auto"/>
              <w:left w:val="nil"/>
              <w:bottom w:val="nil"/>
              <w:right w:val="nil"/>
            </w:tcBorders>
            <w:shd w:val="clear" w:color="000000" w:fill="FFFFFF"/>
            <w:noWrap/>
          </w:tcPr>
          <w:p w14:paraId="134D13BF" w14:textId="77777777" w:rsidR="00FC0DB8" w:rsidRPr="00311627" w:rsidRDefault="00FC0DB8" w:rsidP="00052478">
            <w:pPr>
              <w:pStyle w:val="TableText"/>
              <w:rPr>
                <w:lang w:eastAsia="en-NZ"/>
              </w:rPr>
            </w:pPr>
          </w:p>
        </w:tc>
      </w:tr>
      <w:tr w:rsidR="00FC0DB8" w:rsidRPr="00311627" w14:paraId="66CE983D" w14:textId="77777777" w:rsidTr="00052478">
        <w:trPr>
          <w:cantSplit/>
        </w:trPr>
        <w:tc>
          <w:tcPr>
            <w:tcW w:w="4920" w:type="dxa"/>
            <w:gridSpan w:val="2"/>
            <w:tcBorders>
              <w:top w:val="nil"/>
              <w:left w:val="nil"/>
              <w:bottom w:val="nil"/>
              <w:right w:val="nil"/>
            </w:tcBorders>
            <w:shd w:val="clear" w:color="000000" w:fill="FFFFFF"/>
            <w:noWrap/>
            <w:hideMark/>
          </w:tcPr>
          <w:p w14:paraId="57AB1C29" w14:textId="77777777" w:rsidR="00FC0DB8" w:rsidRPr="00311627" w:rsidRDefault="00FC0DB8" w:rsidP="00052478">
            <w:pPr>
              <w:pStyle w:val="TableText"/>
              <w:ind w:left="567"/>
              <w:rPr>
                <w:lang w:eastAsia="en-NZ"/>
              </w:rPr>
            </w:pPr>
            <w:r w:rsidRPr="00311627">
              <w:rPr>
                <w:color w:val="4F81BD"/>
                <w:lang w:eastAsia="en-NZ"/>
              </w:rPr>
              <w:t>▼</w:t>
            </w:r>
            <w:r w:rsidRPr="00311627">
              <w:rPr>
                <w:lang w:eastAsia="en-NZ"/>
              </w:rPr>
              <w:t xml:space="preserve"> Statistically significant decrease</w:t>
            </w:r>
            <w:r>
              <w:rPr>
                <w:vertAlign w:val="superscript"/>
                <w:lang w:eastAsia="en-NZ"/>
              </w:rPr>
              <w:t>1</w:t>
            </w:r>
          </w:p>
        </w:tc>
        <w:tc>
          <w:tcPr>
            <w:tcW w:w="1880" w:type="dxa"/>
            <w:gridSpan w:val="2"/>
            <w:tcBorders>
              <w:top w:val="nil"/>
              <w:left w:val="nil"/>
              <w:bottom w:val="nil"/>
              <w:right w:val="nil"/>
            </w:tcBorders>
            <w:shd w:val="clear" w:color="000000" w:fill="FFFFFF"/>
            <w:noWrap/>
            <w:hideMark/>
          </w:tcPr>
          <w:p w14:paraId="5A6444F5" w14:textId="77777777" w:rsidR="00FC0DB8" w:rsidRPr="00311627" w:rsidRDefault="00FC0DB8" w:rsidP="00052478">
            <w:pPr>
              <w:pStyle w:val="TableText"/>
              <w:rPr>
                <w:lang w:eastAsia="en-NZ"/>
              </w:rPr>
            </w:pPr>
            <w:r w:rsidRPr="00311627">
              <w:rPr>
                <w:lang w:eastAsia="en-NZ"/>
              </w:rPr>
              <w:t xml:space="preserve"> </w:t>
            </w:r>
            <w:r w:rsidRPr="00311627">
              <w:rPr>
                <w:color w:val="4F81BD"/>
                <w:lang w:eastAsia="en-NZ"/>
              </w:rPr>
              <w:t xml:space="preserve">. </w:t>
            </w:r>
            <w:r w:rsidRPr="00311627">
              <w:rPr>
                <w:lang w:eastAsia="en-NZ"/>
              </w:rPr>
              <w:t>Data not available</w:t>
            </w:r>
          </w:p>
        </w:tc>
        <w:tc>
          <w:tcPr>
            <w:tcW w:w="1480" w:type="dxa"/>
            <w:gridSpan w:val="2"/>
            <w:tcBorders>
              <w:top w:val="nil"/>
              <w:left w:val="nil"/>
              <w:bottom w:val="nil"/>
              <w:right w:val="nil"/>
            </w:tcBorders>
            <w:shd w:val="clear" w:color="000000" w:fill="FFFFFF"/>
            <w:noWrap/>
            <w:hideMark/>
          </w:tcPr>
          <w:p w14:paraId="53B652B4" w14:textId="77777777" w:rsidR="00FC0DB8" w:rsidRPr="00311627" w:rsidRDefault="00FC0DB8" w:rsidP="00052478">
            <w:pPr>
              <w:pStyle w:val="TableText"/>
              <w:rPr>
                <w:lang w:eastAsia="en-NZ"/>
              </w:rPr>
            </w:pPr>
          </w:p>
        </w:tc>
        <w:tc>
          <w:tcPr>
            <w:tcW w:w="1076" w:type="dxa"/>
            <w:tcBorders>
              <w:top w:val="nil"/>
              <w:left w:val="nil"/>
              <w:bottom w:val="nil"/>
              <w:right w:val="nil"/>
            </w:tcBorders>
            <w:shd w:val="clear" w:color="000000" w:fill="FFFFFF"/>
            <w:noWrap/>
          </w:tcPr>
          <w:p w14:paraId="148FAC38" w14:textId="77777777" w:rsidR="00FC0DB8" w:rsidRPr="00311627" w:rsidRDefault="00FC0DB8" w:rsidP="00052478">
            <w:pPr>
              <w:pStyle w:val="TableText"/>
              <w:rPr>
                <w:lang w:eastAsia="en-NZ"/>
              </w:rPr>
            </w:pPr>
          </w:p>
        </w:tc>
      </w:tr>
      <w:tr w:rsidR="00FC0DB8" w:rsidRPr="00311627" w14:paraId="2C5EAAAB" w14:textId="77777777" w:rsidTr="00052478">
        <w:trPr>
          <w:cantSplit/>
        </w:trPr>
        <w:tc>
          <w:tcPr>
            <w:tcW w:w="8280" w:type="dxa"/>
            <w:gridSpan w:val="6"/>
            <w:tcBorders>
              <w:top w:val="nil"/>
              <w:left w:val="nil"/>
              <w:bottom w:val="single" w:sz="4" w:space="0" w:color="auto"/>
              <w:right w:val="nil"/>
            </w:tcBorders>
            <w:shd w:val="clear" w:color="000000" w:fill="FFFFFF"/>
            <w:noWrap/>
            <w:hideMark/>
          </w:tcPr>
          <w:p w14:paraId="1EB34955" w14:textId="77777777" w:rsidR="00FC0DB8" w:rsidRPr="00311627" w:rsidRDefault="00FC0DB8" w:rsidP="00052478">
            <w:pPr>
              <w:pStyle w:val="TableText"/>
              <w:ind w:left="284" w:hanging="284"/>
              <w:rPr>
                <w:lang w:eastAsia="en-NZ"/>
              </w:rPr>
            </w:pPr>
            <w:r w:rsidRPr="00311627">
              <w:rPr>
                <w:lang w:eastAsia="en-NZ"/>
              </w:rPr>
              <w:t>1</w:t>
            </w:r>
            <w:r w:rsidR="00052478">
              <w:rPr>
                <w:lang w:eastAsia="en-NZ"/>
              </w:rPr>
              <w:tab/>
            </w:r>
            <w:r w:rsidRPr="00311627">
              <w:rPr>
                <w:lang w:eastAsia="en-NZ"/>
              </w:rPr>
              <w:t>The significance (</w:t>
            </w:r>
            <w:r w:rsidRPr="00FD13C8">
              <w:rPr>
                <w:i/>
                <w:lang w:eastAsia="en-NZ"/>
              </w:rPr>
              <w:t>p</w:t>
            </w:r>
            <w:r w:rsidRPr="00311627">
              <w:rPr>
                <w:lang w:eastAsia="en-NZ"/>
              </w:rPr>
              <w:t>-values) of differences between years is based on age-standardised rates</w:t>
            </w:r>
            <w:r>
              <w:rPr>
                <w:lang w:eastAsia="en-NZ"/>
              </w:rPr>
              <w:t>.</w:t>
            </w:r>
          </w:p>
        </w:tc>
        <w:tc>
          <w:tcPr>
            <w:tcW w:w="1076" w:type="dxa"/>
            <w:tcBorders>
              <w:top w:val="nil"/>
              <w:left w:val="nil"/>
              <w:bottom w:val="single" w:sz="4" w:space="0" w:color="auto"/>
              <w:right w:val="nil"/>
            </w:tcBorders>
            <w:shd w:val="clear" w:color="000000" w:fill="FFFFFF"/>
            <w:noWrap/>
          </w:tcPr>
          <w:p w14:paraId="5F110E4E" w14:textId="77777777" w:rsidR="00FC0DB8" w:rsidRPr="00311627" w:rsidRDefault="00FC0DB8" w:rsidP="00052478">
            <w:pPr>
              <w:pStyle w:val="TableText"/>
              <w:rPr>
                <w:lang w:eastAsia="en-NZ"/>
              </w:rPr>
            </w:pPr>
          </w:p>
        </w:tc>
      </w:tr>
    </w:tbl>
    <w:p w14:paraId="46C61DEA" w14:textId="77777777" w:rsidR="00FC0DB8" w:rsidRDefault="00FC0DB8" w:rsidP="00052478"/>
    <w:p w14:paraId="397671E6" w14:textId="77777777" w:rsidR="00FC0DB8" w:rsidRPr="008C5A1E" w:rsidRDefault="00FC0DB8" w:rsidP="004C6336">
      <w:pPr>
        <w:pStyle w:val="Heading2"/>
      </w:pPr>
      <w:bookmarkStart w:id="99" w:name="_Toc373153658"/>
      <w:bookmarkStart w:id="100" w:name="_Toc404618285"/>
      <w:bookmarkStart w:id="101" w:name="_Toc435784742"/>
      <w:bookmarkStart w:id="102" w:name="_Toc436730776"/>
      <w:bookmarkStart w:id="103" w:name="_Toc467831538"/>
      <w:r w:rsidRPr="008C5A1E">
        <w:lastRenderedPageBreak/>
        <w:t xml:space="preserve">Health </w:t>
      </w:r>
      <w:r>
        <w:t>s</w:t>
      </w:r>
      <w:r w:rsidRPr="008C5A1E">
        <w:t xml:space="preserve">tatus, </w:t>
      </w:r>
      <w:r>
        <w:t>h</w:t>
      </w:r>
      <w:r w:rsidRPr="008C5A1E">
        <w:t xml:space="preserve">ealth </w:t>
      </w:r>
      <w:r>
        <w:t>b</w:t>
      </w:r>
      <w:r w:rsidRPr="008C5A1E">
        <w:t xml:space="preserve">ehaviours and </w:t>
      </w:r>
      <w:r>
        <w:t>r</w:t>
      </w:r>
      <w:r w:rsidRPr="008C5A1E">
        <w:t xml:space="preserve">isk </w:t>
      </w:r>
      <w:r>
        <w:t>f</w:t>
      </w:r>
      <w:r w:rsidRPr="008C5A1E">
        <w:t>actors</w:t>
      </w:r>
      <w:bookmarkEnd w:id="99"/>
      <w:bookmarkEnd w:id="100"/>
      <w:bookmarkEnd w:id="101"/>
      <w:bookmarkEnd w:id="102"/>
      <w:r>
        <w:t xml:space="preserve"> of children</w:t>
      </w:r>
      <w:bookmarkEnd w:id="103"/>
    </w:p>
    <w:p w14:paraId="0FFC60DF" w14:textId="77777777" w:rsidR="00FC0DB8" w:rsidRDefault="00FC0DB8" w:rsidP="004C6336">
      <w:pPr>
        <w:pStyle w:val="Heading3"/>
        <w:rPr>
          <w:u w:val="single"/>
        </w:rPr>
      </w:pPr>
      <w:r>
        <w:t xml:space="preserve">Almost all parents considered their children to be in </w:t>
      </w:r>
      <w:r w:rsidRPr="006E0D0C">
        <w:t>good health</w:t>
      </w:r>
    </w:p>
    <w:p w14:paraId="601CF618" w14:textId="77777777" w:rsidR="00FC0DB8" w:rsidRDefault="00FC0DB8" w:rsidP="004C6336">
      <w:pPr>
        <w:pStyle w:val="Box"/>
        <w:jc w:val="center"/>
      </w:pPr>
      <w:r w:rsidRPr="00374648">
        <w:rPr>
          <w:noProof/>
          <w:lang w:eastAsia="en-NZ"/>
        </w:rPr>
        <w:drawing>
          <wp:inline distT="0" distB="0" distL="0" distR="0" wp14:anchorId="5DF17960" wp14:editId="13CA469F">
            <wp:extent cx="5600700" cy="31432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5219E191" w14:textId="77777777" w:rsidR="00FC0DB8" w:rsidRPr="008C5A1E" w:rsidRDefault="00FC0DB8" w:rsidP="004C6336"/>
    <w:p w14:paraId="45EF5244" w14:textId="77777777" w:rsidR="00FC0DB8" w:rsidRPr="0007586A" w:rsidRDefault="00FC0DB8" w:rsidP="004C6336">
      <w:r>
        <w:t>Interviewer</w:t>
      </w:r>
      <w:r w:rsidRPr="0007586A">
        <w:t xml:space="preserve">s asked the parents </w:t>
      </w:r>
      <w:r>
        <w:t xml:space="preserve">or primary caregivers </w:t>
      </w:r>
      <w:r w:rsidRPr="0007586A">
        <w:t>of all children participating in the survey whether they considered their child</w:t>
      </w:r>
      <w:r w:rsidR="00FD6712">
        <w:t>’</w:t>
      </w:r>
      <w:r w:rsidRPr="0007586A">
        <w:t xml:space="preserve">s health to be </w:t>
      </w:r>
      <w:r w:rsidR="00FD6712">
        <w:t>‘</w:t>
      </w:r>
      <w:r w:rsidRPr="0007586A">
        <w:t>excellent, very good, good, fair or poor</w:t>
      </w:r>
      <w:r w:rsidR="00FD6712">
        <w:t>’</w:t>
      </w:r>
      <w:r w:rsidRPr="0007586A">
        <w:t xml:space="preserve">. In this report, </w:t>
      </w:r>
      <w:r w:rsidR="00FD6712">
        <w:t>‘</w:t>
      </w:r>
      <w:r w:rsidRPr="0007586A">
        <w:t>good health</w:t>
      </w:r>
      <w:r w:rsidR="00FD6712">
        <w:t>’</w:t>
      </w:r>
      <w:r w:rsidRPr="0007586A">
        <w:t xml:space="preserve"> means good, very good or excellent health, as reported by a parent.</w:t>
      </w:r>
    </w:p>
    <w:p w14:paraId="0933C556" w14:textId="77777777" w:rsidR="00FC0DB8" w:rsidRPr="0007586A" w:rsidRDefault="00FC0DB8" w:rsidP="004C6336"/>
    <w:p w14:paraId="2226246C" w14:textId="77777777" w:rsidR="00FC0DB8" w:rsidRPr="0007586A" w:rsidRDefault="00FC0DB8" w:rsidP="004C6336">
      <w:r w:rsidRPr="0007586A">
        <w:t>The majority of parents (</w:t>
      </w:r>
      <w:r>
        <w:t>97.7</w:t>
      </w:r>
      <w:r w:rsidRPr="0007586A">
        <w:t xml:space="preserve">%) </w:t>
      </w:r>
      <w:r>
        <w:t>reported that their child was in good health</w:t>
      </w:r>
      <w:r w:rsidRPr="0007586A">
        <w:t>.</w:t>
      </w:r>
      <w:r>
        <w:t xml:space="preserve"> About 21,000 children</w:t>
      </w:r>
      <w:r w:rsidR="00FD6712">
        <w:t>’</w:t>
      </w:r>
      <w:r>
        <w:t>s parents rated their child</w:t>
      </w:r>
      <w:r w:rsidR="00FD6712">
        <w:t>’</w:t>
      </w:r>
      <w:r>
        <w:t>s health as fair or poor (2.3%). There has been no change in p</w:t>
      </w:r>
      <w:r w:rsidRPr="0007586A">
        <w:t xml:space="preserve">arent-rated </w:t>
      </w:r>
      <w:r>
        <w:t xml:space="preserve">child </w:t>
      </w:r>
      <w:r w:rsidRPr="0007586A">
        <w:t>health status</w:t>
      </w:r>
      <w:r>
        <w:t xml:space="preserve"> since 2006/07, when 97.6% of parents reported that their child was in good health.</w:t>
      </w:r>
    </w:p>
    <w:p w14:paraId="2C501535" w14:textId="77777777" w:rsidR="00FC0DB8" w:rsidRPr="0007586A" w:rsidRDefault="00FC0DB8" w:rsidP="004C6336">
      <w:pPr>
        <w:rPr>
          <w:highlight w:val="yellow"/>
        </w:rPr>
      </w:pPr>
    </w:p>
    <w:p w14:paraId="174A6128" w14:textId="2A31CA33" w:rsidR="00FC0DB8" w:rsidRDefault="00FC0DB8" w:rsidP="004C6336">
      <w:r w:rsidRPr="0007586A">
        <w:t xml:space="preserve">Parent-rated </w:t>
      </w:r>
      <w:r>
        <w:t xml:space="preserve">child </w:t>
      </w:r>
      <w:r w:rsidRPr="0007586A">
        <w:t xml:space="preserve">health status </w:t>
      </w:r>
      <w:r w:rsidRPr="00A05544">
        <w:t>was similar for all age</w:t>
      </w:r>
      <w:r w:rsidRPr="0007586A">
        <w:t xml:space="preserve"> groups</w:t>
      </w:r>
      <w:r>
        <w:t xml:space="preserve">. </w:t>
      </w:r>
      <w:r w:rsidRPr="0007586A">
        <w:t xml:space="preserve">Parent-rated </w:t>
      </w:r>
      <w:r>
        <w:t xml:space="preserve">child </w:t>
      </w:r>
      <w:r w:rsidRPr="0007586A">
        <w:t>health status did not differ by ethnic group</w:t>
      </w:r>
      <w:r>
        <w:t xml:space="preserve">, unlike adult self-rated health (see </w:t>
      </w:r>
      <w:r w:rsidRPr="00C622F6">
        <w:t>page 1</w:t>
      </w:r>
      <w:r w:rsidR="00A53B51">
        <w:t>2</w:t>
      </w:r>
      <w:r w:rsidRPr="00C622F6">
        <w:t>).</w:t>
      </w:r>
    </w:p>
    <w:p w14:paraId="1B7DF946" w14:textId="77777777" w:rsidR="00FC0DB8" w:rsidRDefault="00FC0DB8" w:rsidP="004C6336"/>
    <w:p w14:paraId="4AD0BFAE" w14:textId="77777777" w:rsidR="00FC0DB8" w:rsidRDefault="00FC0DB8" w:rsidP="004C6336">
      <w:r>
        <w:t>Parents of children living in the most deprived areas were slightly less likely to report that their child was in good health (96%) than those living in the least deprived areas (99%). Parents of children living in the most deprived areas were more than five times as likely to report that their child was in fair or poor health, compared with parents living in the least deprived areas, after adjusting for age, sex and ethnic differences (4.0% and 0.7% respectively).</w:t>
      </w:r>
    </w:p>
    <w:p w14:paraId="45565A77" w14:textId="77777777" w:rsidR="00FC0DB8" w:rsidRDefault="00FC0DB8" w:rsidP="004C6336"/>
    <w:p w14:paraId="1CD9626C" w14:textId="77777777" w:rsidR="00FC0DB8" w:rsidRDefault="00FC0DB8" w:rsidP="004C6336">
      <w:pPr>
        <w:pStyle w:val="Heading3"/>
      </w:pPr>
      <w:r>
        <w:lastRenderedPageBreak/>
        <w:t>The percentage of Māori infants introduced to solid foods before four months of age has decreased</w:t>
      </w:r>
    </w:p>
    <w:p w14:paraId="5AA17EE2" w14:textId="77777777" w:rsidR="00FC0DB8" w:rsidRDefault="00FC0DB8" w:rsidP="004C6336">
      <w:pPr>
        <w:pStyle w:val="Box"/>
        <w:jc w:val="center"/>
      </w:pPr>
      <w:r w:rsidRPr="0098150A">
        <w:rPr>
          <w:noProof/>
          <w:lang w:eastAsia="en-NZ"/>
        </w:rPr>
        <w:drawing>
          <wp:inline distT="0" distB="0" distL="0" distR="0" wp14:anchorId="52040712" wp14:editId="7F90180D">
            <wp:extent cx="5600700" cy="31432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008D800B" w14:textId="77777777" w:rsidR="00FC0DB8" w:rsidRPr="002152E1" w:rsidRDefault="00FC0DB8" w:rsidP="004C6336"/>
    <w:p w14:paraId="4F75D49A" w14:textId="77777777" w:rsidR="00FC0DB8" w:rsidRPr="0007586A" w:rsidRDefault="00FC0DB8" w:rsidP="004C6336">
      <w:r w:rsidRPr="0007586A">
        <w:t>The Ministry</w:t>
      </w:r>
      <w:r w:rsidR="00FD6712">
        <w:t>’</w:t>
      </w:r>
      <w:r>
        <w:t>s</w:t>
      </w:r>
      <w:r w:rsidRPr="0007586A">
        <w:t xml:space="preserve"> nutrition guidelines for infants and toddlers changed in 2008 to recommend exclusive breastfeeding until around the age of six months, when the </w:t>
      </w:r>
      <w:r>
        <w:t>infants show signs of being developmentally ready to start solids (Ministry of Health 2012)</w:t>
      </w:r>
      <w:r w:rsidRPr="0007586A">
        <w:t>. Introducing solid food before four months of age may be associated with an increased risk of a number of health conditions, such as eczema, asthma, respiratory disease and gut infections. Introducing solid food later than six months of age may be associated with an increased risk of iron deficiency, malnutrition and delays in oral motor development.</w:t>
      </w:r>
    </w:p>
    <w:p w14:paraId="7669F109" w14:textId="77777777" w:rsidR="00FC0DB8" w:rsidRPr="0007586A" w:rsidRDefault="00FC0DB8" w:rsidP="004C6336"/>
    <w:p w14:paraId="5950CA73" w14:textId="77777777" w:rsidR="00FC0DB8" w:rsidRPr="0007586A" w:rsidRDefault="00FC0DB8" w:rsidP="004C6336">
      <w:r w:rsidRPr="0007586A">
        <w:t xml:space="preserve">The </w:t>
      </w:r>
      <w:r>
        <w:t>interviewers</w:t>
      </w:r>
      <w:r w:rsidRPr="0007586A">
        <w:t xml:space="preserve"> asked </w:t>
      </w:r>
      <w:r>
        <w:t xml:space="preserve">the </w:t>
      </w:r>
      <w:r w:rsidRPr="0007586A">
        <w:t xml:space="preserve">parents </w:t>
      </w:r>
      <w:r>
        <w:t xml:space="preserve">or primary caregivers </w:t>
      </w:r>
      <w:r w:rsidRPr="0007586A">
        <w:t>of children aged four months to four years at what age their child was first given solid food.</w:t>
      </w:r>
    </w:p>
    <w:p w14:paraId="0B737213" w14:textId="77777777" w:rsidR="00FC0DB8" w:rsidRPr="0007586A" w:rsidRDefault="00FC0DB8" w:rsidP="004C6336"/>
    <w:p w14:paraId="66EC03A3" w14:textId="77777777" w:rsidR="00FC0DB8" w:rsidRPr="0007586A" w:rsidRDefault="00FC0DB8" w:rsidP="004C6336">
      <w:r>
        <w:t>Only 7% of infants were</w:t>
      </w:r>
      <w:r w:rsidRPr="0007586A">
        <w:t xml:space="preserve"> given solid foods before four months of age, down from </w:t>
      </w:r>
      <w:r>
        <w:t>11</w:t>
      </w:r>
      <w:r w:rsidRPr="0007586A">
        <w:t>% in 2006/07.</w:t>
      </w:r>
    </w:p>
    <w:p w14:paraId="07548206" w14:textId="77777777" w:rsidR="00FC0DB8" w:rsidRPr="0007586A" w:rsidRDefault="00FC0DB8" w:rsidP="004C6336"/>
    <w:p w14:paraId="500CD2AE" w14:textId="77777777" w:rsidR="00FC0DB8" w:rsidRDefault="00FC0DB8" w:rsidP="004C6336">
      <w:r>
        <w:t xml:space="preserve">One in nine </w:t>
      </w:r>
      <w:r w:rsidRPr="0007586A">
        <w:t xml:space="preserve">Māori </w:t>
      </w:r>
      <w:r>
        <w:t>infants</w:t>
      </w:r>
      <w:r w:rsidRPr="0007586A">
        <w:t xml:space="preserve"> (</w:t>
      </w:r>
      <w:r>
        <w:t>11%) were</w:t>
      </w:r>
      <w:r w:rsidRPr="0007586A">
        <w:t xml:space="preserve"> given solid food before four months of age, </w:t>
      </w:r>
      <w:r>
        <w:t xml:space="preserve">representing </w:t>
      </w:r>
      <w:r w:rsidRPr="0007586A">
        <w:t xml:space="preserve">an improvement </w:t>
      </w:r>
      <w:r>
        <w:t>on 2006/07 (when the rate was 17</w:t>
      </w:r>
      <w:r w:rsidRPr="0007586A">
        <w:t>%).</w:t>
      </w:r>
      <w:r w:rsidR="004C6336">
        <w:rPr>
          <w:rStyle w:val="FootnoteReference"/>
        </w:rPr>
        <w:footnoteReference w:id="37"/>
      </w:r>
      <w:r w:rsidR="004C6336">
        <w:t xml:space="preserve"> </w:t>
      </w:r>
      <w:r w:rsidRPr="0007586A">
        <w:t xml:space="preserve">After adjusting for age and sex differences, Māori </w:t>
      </w:r>
      <w:r>
        <w:t>infants</w:t>
      </w:r>
      <w:r w:rsidRPr="0007586A">
        <w:t xml:space="preserve"> were </w:t>
      </w:r>
      <w:r>
        <w:t>nearly twice</w:t>
      </w:r>
      <w:r w:rsidRPr="0007586A">
        <w:t xml:space="preserve"> as likely to have been given solid food before four months of age as non-Māori </w:t>
      </w:r>
      <w:r>
        <w:t>infants</w:t>
      </w:r>
      <w:r w:rsidRPr="0007586A">
        <w:t>.</w:t>
      </w:r>
      <w:r>
        <w:t xml:space="preserve"> In contrast, 2.2% of Asian infants were given solid food before four months of age.</w:t>
      </w:r>
    </w:p>
    <w:p w14:paraId="16FB4763" w14:textId="77777777" w:rsidR="00FC0DB8" w:rsidRDefault="00FC0DB8" w:rsidP="004C6336"/>
    <w:p w14:paraId="40EE6334" w14:textId="77777777" w:rsidR="00FC0DB8" w:rsidRDefault="00FC0DB8" w:rsidP="004C6336">
      <w:pPr>
        <w:pStyle w:val="Heading3"/>
      </w:pPr>
      <w:r>
        <w:lastRenderedPageBreak/>
        <w:t>Eighty-five percent of children ate</w:t>
      </w:r>
      <w:r w:rsidRPr="006E0D0C">
        <w:t xml:space="preserve"> breakfast at home</w:t>
      </w:r>
      <w:r>
        <w:t xml:space="preserve"> every day in the past week</w:t>
      </w:r>
    </w:p>
    <w:p w14:paraId="14608B40" w14:textId="1D1E56B2" w:rsidR="00FC0DB8" w:rsidRPr="002152E1" w:rsidRDefault="00864470" w:rsidP="004C6336">
      <w:pPr>
        <w:pStyle w:val="Box"/>
        <w:jc w:val="center"/>
        <w:rPr>
          <w:lang w:eastAsia="en-NZ"/>
        </w:rPr>
      </w:pPr>
      <w:r w:rsidRPr="00864470">
        <w:rPr>
          <w:noProof/>
          <w:lang w:eastAsia="en-NZ"/>
        </w:rPr>
        <w:drawing>
          <wp:inline distT="0" distB="0" distL="0" distR="0" wp14:anchorId="4C32FA1D" wp14:editId="273E53B7">
            <wp:extent cx="5600700" cy="3143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56CAC30E" w14:textId="77777777" w:rsidR="00FC0DB8" w:rsidRDefault="00FC0DB8" w:rsidP="004C6336"/>
    <w:p w14:paraId="3BA9E1C1" w14:textId="77777777" w:rsidR="00FC0DB8" w:rsidRDefault="00FC0DB8" w:rsidP="004C6336">
      <w:r w:rsidRPr="0007586A">
        <w:t>Eating breakfast at home every day is an indicator of a nutritious diet and healthy eating behaviours.</w:t>
      </w:r>
      <w:r>
        <w:t xml:space="preserve"> </w:t>
      </w:r>
      <w:r w:rsidRPr="002B49A3">
        <w:t xml:space="preserve">The </w:t>
      </w:r>
      <w:r>
        <w:t>interviewers</w:t>
      </w:r>
      <w:r w:rsidRPr="002B49A3">
        <w:t xml:space="preserve"> asked </w:t>
      </w:r>
      <w:r>
        <w:t xml:space="preserve">the </w:t>
      </w:r>
      <w:r w:rsidRPr="002B49A3">
        <w:t xml:space="preserve">parents </w:t>
      </w:r>
      <w:r>
        <w:t xml:space="preserve">or primary caregivers </w:t>
      </w:r>
      <w:r w:rsidRPr="002B49A3">
        <w:t xml:space="preserve">of children aged </w:t>
      </w:r>
      <w:r w:rsidRPr="0007586A">
        <w:t>2–</w:t>
      </w:r>
      <w:r>
        <w:t>1</w:t>
      </w:r>
      <w:r w:rsidRPr="0007586A">
        <w:t xml:space="preserve">4 </w:t>
      </w:r>
      <w:r>
        <w:t>years about their child</w:t>
      </w:r>
      <w:r w:rsidR="00FD6712">
        <w:t>’</w:t>
      </w:r>
      <w:r>
        <w:t>s consumption of breakfast at home in the past week</w:t>
      </w:r>
      <w:r w:rsidRPr="002B49A3">
        <w:t>.</w:t>
      </w:r>
    </w:p>
    <w:p w14:paraId="7F4671A4" w14:textId="77777777" w:rsidR="00FC0DB8" w:rsidRDefault="00FC0DB8" w:rsidP="004C6336"/>
    <w:p w14:paraId="4C829A30" w14:textId="77777777" w:rsidR="00FC0DB8" w:rsidRPr="00F569D2" w:rsidRDefault="00FC0DB8" w:rsidP="004C6336">
      <w:r>
        <w:t>This indicator focuses only on breakfast at home. Some children may be participating in breakfast in school programmes.</w:t>
      </w:r>
    </w:p>
    <w:p w14:paraId="4961F5C9" w14:textId="77777777" w:rsidR="00FC0DB8" w:rsidRPr="0007586A" w:rsidRDefault="00FC0DB8" w:rsidP="004C6336"/>
    <w:p w14:paraId="4E1EEB66" w14:textId="77777777" w:rsidR="00FC0DB8" w:rsidRPr="0007586A" w:rsidRDefault="00FC0DB8" w:rsidP="004C6336">
      <w:r w:rsidRPr="0007586A">
        <w:t>The major</w:t>
      </w:r>
      <w:r w:rsidRPr="004C6336">
        <w:t>i</w:t>
      </w:r>
      <w:r w:rsidRPr="0007586A">
        <w:t xml:space="preserve">ty of children </w:t>
      </w:r>
      <w:r>
        <w:t xml:space="preserve">aged </w:t>
      </w:r>
      <w:r w:rsidRPr="0007586A">
        <w:t>2–</w:t>
      </w:r>
      <w:r>
        <w:t>1</w:t>
      </w:r>
      <w:r w:rsidRPr="0007586A">
        <w:t xml:space="preserve">4 </w:t>
      </w:r>
      <w:r>
        <w:t>years</w:t>
      </w:r>
      <w:r w:rsidRPr="0007586A">
        <w:t xml:space="preserve"> (</w:t>
      </w:r>
      <w:r>
        <w:t>85</w:t>
      </w:r>
      <w:r w:rsidRPr="0007586A">
        <w:t xml:space="preserve">%) had eaten breakfast at home every day in the </w:t>
      </w:r>
      <w:r>
        <w:t>past week, down from 87% in 2011/12 and 88% in 2006/07.</w:t>
      </w:r>
    </w:p>
    <w:p w14:paraId="1339778F" w14:textId="77777777" w:rsidR="00FC0DB8" w:rsidRPr="0007586A" w:rsidRDefault="00FC0DB8" w:rsidP="004C6336">
      <w:pPr>
        <w:rPr>
          <w:highlight w:val="yellow"/>
        </w:rPr>
      </w:pPr>
    </w:p>
    <w:p w14:paraId="1EAC51B6" w14:textId="77777777" w:rsidR="00FC0DB8" w:rsidRPr="0007586A" w:rsidRDefault="00FC0DB8" w:rsidP="004C6336">
      <w:r w:rsidRPr="0007586A">
        <w:t xml:space="preserve">Children aged 10–14 years were less likely to have eaten breakfast at home every day than those under 10 years (the rates were </w:t>
      </w:r>
      <w:r>
        <w:t>78</w:t>
      </w:r>
      <w:r w:rsidRPr="0007586A">
        <w:t xml:space="preserve">% for 10–14 years, </w:t>
      </w:r>
      <w:r>
        <w:t>88</w:t>
      </w:r>
      <w:r w:rsidRPr="0007586A">
        <w:t xml:space="preserve">% for 5–9 years and </w:t>
      </w:r>
      <w:r>
        <w:t>91</w:t>
      </w:r>
      <w:r w:rsidRPr="0007586A">
        <w:t>% for 2–4 years).</w:t>
      </w:r>
    </w:p>
    <w:p w14:paraId="53C785C3" w14:textId="77777777" w:rsidR="00FC0DB8" w:rsidRPr="0007586A" w:rsidRDefault="00FC0DB8" w:rsidP="004C6336"/>
    <w:p w14:paraId="28637118" w14:textId="77777777" w:rsidR="00FC0DB8" w:rsidRPr="0007586A" w:rsidRDefault="00FC0DB8" w:rsidP="004C6336">
      <w:r w:rsidRPr="0007586A">
        <w:t xml:space="preserve">Māori and Pacific children </w:t>
      </w:r>
      <w:r>
        <w:t xml:space="preserve">were </w:t>
      </w:r>
      <w:r w:rsidRPr="0007586A">
        <w:t xml:space="preserve">less likely to eat breakfast at home each day than non-Māori and non-Pacific children </w:t>
      </w:r>
      <w:r w:rsidRPr="00916CAB">
        <w:t>respectively</w:t>
      </w:r>
      <w:r>
        <w:t xml:space="preserve">, after </w:t>
      </w:r>
      <w:r w:rsidRPr="0007586A">
        <w:t>adjusting for age and sex differences</w:t>
      </w:r>
      <w:r w:rsidRPr="00916CAB">
        <w:t>.</w:t>
      </w:r>
      <w:r>
        <w:t xml:space="preserve"> In contrast, Asian children were more likely to eat breakfast at home every day than non-Asian children, after adjusting for age and sex differences. About nine in ten Asian children (89%) ate breakfast at home every day.</w:t>
      </w:r>
    </w:p>
    <w:p w14:paraId="09F664BD" w14:textId="77777777" w:rsidR="00FC0DB8" w:rsidRPr="0007586A" w:rsidRDefault="00FC0DB8" w:rsidP="004C6336"/>
    <w:p w14:paraId="4C8350EB" w14:textId="77777777" w:rsidR="00FC0DB8" w:rsidRDefault="00FC0DB8" w:rsidP="004C6336">
      <w:r w:rsidRPr="0007586A">
        <w:t xml:space="preserve">Children living in the most </w:t>
      </w:r>
      <w:r>
        <w:t xml:space="preserve">socioeconomically </w:t>
      </w:r>
      <w:r w:rsidRPr="0007586A">
        <w:t xml:space="preserve">deprived areas </w:t>
      </w:r>
      <w:r>
        <w:t>were less likely</w:t>
      </w:r>
      <w:r w:rsidRPr="0007586A">
        <w:t xml:space="preserve"> to eat breakfast at home every day than children living in the least deprived areas, after adjusting for age, sex and ethnic differences.</w:t>
      </w:r>
      <w:r>
        <w:t xml:space="preserve"> The rates were 77% and 90%, respectively.</w:t>
      </w:r>
    </w:p>
    <w:p w14:paraId="64C4324B" w14:textId="77777777" w:rsidR="004C6336" w:rsidRPr="0007586A" w:rsidRDefault="004C6336" w:rsidP="004C6336"/>
    <w:p w14:paraId="55CA48CD" w14:textId="77777777" w:rsidR="00FC0DB8" w:rsidRPr="008C5A1E" w:rsidRDefault="00FC0DB8" w:rsidP="004C6336">
      <w:pPr>
        <w:pStyle w:val="Heading3"/>
      </w:pPr>
      <w:r>
        <w:lastRenderedPageBreak/>
        <w:t xml:space="preserve">Children aged </w:t>
      </w:r>
      <w:r w:rsidRPr="0007586A">
        <w:t xml:space="preserve">2–4 </w:t>
      </w:r>
      <w:r>
        <w:t>years were less likely than older children to have drunk at least three fizzy drinks in the past week</w:t>
      </w:r>
    </w:p>
    <w:p w14:paraId="4C57CD58" w14:textId="28AAC4D8" w:rsidR="00FC0DB8" w:rsidRPr="008C5A1E" w:rsidRDefault="00864470" w:rsidP="00FC0DB8">
      <w:pPr>
        <w:pStyle w:val="Box"/>
      </w:pPr>
      <w:r w:rsidRPr="00864470">
        <w:rPr>
          <w:noProof/>
          <w:lang w:eastAsia="en-NZ"/>
        </w:rPr>
        <w:drawing>
          <wp:inline distT="0" distB="0" distL="0" distR="0" wp14:anchorId="3A4E5AA0" wp14:editId="6AF782E4">
            <wp:extent cx="5600700" cy="3143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5F6D7FE2" w14:textId="77777777" w:rsidR="00FC0DB8" w:rsidRPr="008C5A1E" w:rsidRDefault="00FC0DB8" w:rsidP="004C6336"/>
    <w:p w14:paraId="06CFF5EB" w14:textId="7D16E6CC" w:rsidR="00FC0DB8" w:rsidRDefault="00FC0DB8" w:rsidP="00FC0DB8">
      <w:r>
        <w:rPr>
          <w:rFonts w:cs="Georgia"/>
          <w:color w:val="000000"/>
          <w:szCs w:val="22"/>
          <w:lang w:eastAsia="en-NZ"/>
        </w:rPr>
        <w:t>There is increasing evidence that intake of free sugars leads to weight gain and tooth decay (</w:t>
      </w:r>
      <w:r w:rsidRPr="00F07999">
        <w:t>WHO 2015</w:t>
      </w:r>
      <w:r>
        <w:rPr>
          <w:rFonts w:cs="Georgia"/>
          <w:color w:val="000000"/>
          <w:szCs w:val="22"/>
          <w:lang w:eastAsia="en-NZ"/>
        </w:rPr>
        <w:t>). Sugary drinks, including fizzy drinks, are the main source of sugars in the diets of New Zealand children (</w:t>
      </w:r>
      <w:r w:rsidRPr="00F07999">
        <w:t>Ministry of Health 2003</w:t>
      </w:r>
      <w:r>
        <w:rPr>
          <w:rFonts w:cs="Georgia"/>
          <w:color w:val="000000"/>
          <w:szCs w:val="22"/>
          <w:lang w:eastAsia="en-NZ"/>
        </w:rPr>
        <w:t xml:space="preserve">). In addition, fizzy drinks contain acids that can dissolve tooth enamel, contributing to poor oral health </w:t>
      </w:r>
      <w:r>
        <w:t>(</w:t>
      </w:r>
      <w:r w:rsidRPr="00F07999">
        <w:t>Ministry of Health 2015</w:t>
      </w:r>
      <w:r w:rsidRPr="004C6336">
        <w:rPr>
          <w:rStyle w:val="Hyperlink"/>
        </w:rPr>
        <w:t>d</w:t>
      </w:r>
      <w:r>
        <w:t>).</w:t>
      </w:r>
    </w:p>
    <w:p w14:paraId="7319F2AA" w14:textId="77777777" w:rsidR="00FC0DB8" w:rsidRDefault="00FC0DB8" w:rsidP="004C6336"/>
    <w:p w14:paraId="457F49BC" w14:textId="77777777" w:rsidR="00FC0DB8" w:rsidRDefault="00FC0DB8" w:rsidP="004C6336">
      <w:r w:rsidRPr="002B49A3">
        <w:t xml:space="preserve">The </w:t>
      </w:r>
      <w:r>
        <w:t>interviewers</w:t>
      </w:r>
      <w:r w:rsidRPr="002B49A3">
        <w:t xml:space="preserve"> asked </w:t>
      </w:r>
      <w:r>
        <w:t xml:space="preserve">the </w:t>
      </w:r>
      <w:r w:rsidRPr="002B49A3">
        <w:t xml:space="preserve">parents </w:t>
      </w:r>
      <w:r>
        <w:t xml:space="preserve">or primary caregivers </w:t>
      </w:r>
      <w:r w:rsidRPr="002B49A3">
        <w:t xml:space="preserve">of children aged </w:t>
      </w:r>
      <w:r w:rsidRPr="0007586A">
        <w:t>2–</w:t>
      </w:r>
      <w:r>
        <w:t>1</w:t>
      </w:r>
      <w:r w:rsidRPr="0007586A">
        <w:t xml:space="preserve">4 </w:t>
      </w:r>
      <w:r>
        <w:t>years how many times their child had drunk a fizzy drink, such as cola or lemonade, in the past week. The respondents were directed to include energy drinks and diet fizzy drinks in their answers.</w:t>
      </w:r>
      <w:r w:rsidRPr="001D0156">
        <w:t xml:space="preserve"> </w:t>
      </w:r>
      <w:r>
        <w:t>Although fruit juices also contain large amounts of sugar, the relationship between fruit juice intake and weight gain in children is weak (Taylor et al 2005).</w:t>
      </w:r>
    </w:p>
    <w:p w14:paraId="3F3C9361" w14:textId="77777777" w:rsidR="00FC0DB8" w:rsidRPr="0007586A" w:rsidRDefault="00FC0DB8" w:rsidP="004C6336"/>
    <w:p w14:paraId="11EEC12A" w14:textId="5AEE5EF7" w:rsidR="00FC0DB8" w:rsidRPr="0007586A" w:rsidRDefault="00902CCC" w:rsidP="004C6336">
      <w:r>
        <w:t>Seven</w:t>
      </w:r>
      <w:r w:rsidR="00FC0DB8">
        <w:t>teen percent of</w:t>
      </w:r>
      <w:r w:rsidR="00FC0DB8" w:rsidRPr="0007586A">
        <w:t xml:space="preserve"> children </w:t>
      </w:r>
      <w:r w:rsidR="00FC0DB8">
        <w:t>had drunk at least three fizzy drinks in the past week</w:t>
      </w:r>
      <w:r w:rsidR="00FC0DB8" w:rsidRPr="0007586A">
        <w:t>.</w:t>
      </w:r>
      <w:r w:rsidR="00FC0DB8">
        <w:t xml:space="preserve"> </w:t>
      </w:r>
      <w:r w:rsidR="00FC0DB8" w:rsidRPr="0007586A">
        <w:t xml:space="preserve">Māori </w:t>
      </w:r>
      <w:r w:rsidR="00FC0DB8">
        <w:t>children (23%) and Pacific children (31%) were more likely to have drunk at least three fizzy drinks in the past week than non-</w:t>
      </w:r>
      <w:r w:rsidR="00FC0DB8" w:rsidRPr="0007586A">
        <w:t xml:space="preserve">Māori </w:t>
      </w:r>
      <w:r w:rsidR="00FC0DB8">
        <w:t>and non-Pacific children respectively, after adjusting for age and sex differences.</w:t>
      </w:r>
      <w:r w:rsidR="004C6336">
        <w:rPr>
          <w:rStyle w:val="FootnoteReference"/>
        </w:rPr>
        <w:footnoteReference w:id="38"/>
      </w:r>
    </w:p>
    <w:p w14:paraId="0F752255" w14:textId="77777777" w:rsidR="00FC0DB8" w:rsidRPr="0007586A" w:rsidRDefault="00FC0DB8" w:rsidP="004C6336">
      <w:pPr>
        <w:rPr>
          <w:highlight w:val="yellow"/>
        </w:rPr>
      </w:pPr>
    </w:p>
    <w:p w14:paraId="1BB2C197" w14:textId="249E081E" w:rsidR="00FC0DB8" w:rsidRDefault="00FC0DB8" w:rsidP="004C6336">
      <w:r w:rsidRPr="0007586A">
        <w:t>Children living in the most</w:t>
      </w:r>
      <w:r>
        <w:t xml:space="preserve"> socioeconomically</w:t>
      </w:r>
      <w:r w:rsidRPr="0007586A">
        <w:t xml:space="preserve"> deprived areas were </w:t>
      </w:r>
      <w:r>
        <w:t xml:space="preserve">3.5 times more </w:t>
      </w:r>
      <w:r w:rsidRPr="0007586A">
        <w:t xml:space="preserve">likely to </w:t>
      </w:r>
      <w:r>
        <w:t xml:space="preserve">have drunk at least three fizzy drinks in the past week </w:t>
      </w:r>
      <w:r w:rsidRPr="0007586A">
        <w:t>than children living in the least deprived areas</w:t>
      </w:r>
      <w:r>
        <w:t>, after adjusting for age, sex and ethnic differences</w:t>
      </w:r>
      <w:r w:rsidRPr="0007586A">
        <w:t xml:space="preserve"> (the rates were </w:t>
      </w:r>
      <w:r>
        <w:t>30</w:t>
      </w:r>
      <w:r w:rsidRPr="0007586A">
        <w:t xml:space="preserve">% and </w:t>
      </w:r>
      <w:r w:rsidR="00883787">
        <w:t>9</w:t>
      </w:r>
      <w:r>
        <w:t>% respectively).</w:t>
      </w:r>
      <w:r w:rsidR="004C6336">
        <w:rPr>
          <w:vertAlign w:val="superscript"/>
        </w:rPr>
        <w:t>38</w:t>
      </w:r>
    </w:p>
    <w:p w14:paraId="33B985DD" w14:textId="77777777" w:rsidR="00FC0DB8" w:rsidRDefault="00FC0DB8" w:rsidP="004C6336"/>
    <w:p w14:paraId="6F51381D" w14:textId="77777777" w:rsidR="00FC0DB8" w:rsidRDefault="00FC0DB8" w:rsidP="004C6336">
      <w:r>
        <w:t>The same ethnic and socioeconomic deprivation disparities were seen for food purchased from a fast food outlet or takeaway shop, such as fish and chips, burgers, fried chicken or pizza. Overall, 8% of children had eaten fast food as a meal or snack at least three times in the past week. In contrast, the rates were 17% for Pacific children, 14% for children living in the most deprived neighbourhoods and 12% for Māori children.</w:t>
      </w:r>
    </w:p>
    <w:p w14:paraId="19E29FA8" w14:textId="77777777" w:rsidR="00FC0DB8" w:rsidRDefault="00FC0DB8" w:rsidP="004C6336"/>
    <w:p w14:paraId="2613B1E5" w14:textId="77777777" w:rsidR="00FC0DB8" w:rsidRDefault="00FC0DB8" w:rsidP="004C6336">
      <w:r>
        <w:t xml:space="preserve">Children aged </w:t>
      </w:r>
      <w:r w:rsidRPr="0007586A">
        <w:t xml:space="preserve">2–4 </w:t>
      </w:r>
      <w:r>
        <w:t>years were less likely to have drunk fizzy drinks (10%) or to have eaten fast food (3.7%) at least three times in the past week</w:t>
      </w:r>
      <w:r w:rsidRPr="006E496D">
        <w:t xml:space="preserve"> </w:t>
      </w:r>
      <w:r>
        <w:t>than older children.</w:t>
      </w:r>
    </w:p>
    <w:p w14:paraId="5C9C6B11" w14:textId="77777777" w:rsidR="004C6336" w:rsidRPr="0007586A" w:rsidRDefault="004C6336" w:rsidP="004C6336"/>
    <w:p w14:paraId="77C452F3" w14:textId="77777777" w:rsidR="00FC0DB8" w:rsidRDefault="00FC0DB8" w:rsidP="004C6336">
      <w:pPr>
        <w:pStyle w:val="Heading3"/>
      </w:pPr>
      <w:r>
        <w:lastRenderedPageBreak/>
        <w:t>Child obesity rates have been stable since 2011/12</w:t>
      </w:r>
    </w:p>
    <w:p w14:paraId="41AF2412" w14:textId="31CB2863" w:rsidR="00FC0DB8" w:rsidRPr="008C5A1E" w:rsidRDefault="00864470" w:rsidP="004C6336">
      <w:pPr>
        <w:pStyle w:val="Box"/>
        <w:jc w:val="center"/>
      </w:pPr>
      <w:r w:rsidRPr="00864470">
        <w:rPr>
          <w:noProof/>
          <w:lang w:eastAsia="en-NZ"/>
        </w:rPr>
        <w:drawing>
          <wp:inline distT="0" distB="0" distL="0" distR="0" wp14:anchorId="61E8742C" wp14:editId="77FFF79D">
            <wp:extent cx="5600700" cy="3143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7707A0AD" w14:textId="77777777" w:rsidR="00FC0DB8" w:rsidRPr="008C5A1E" w:rsidRDefault="00FC0DB8" w:rsidP="004C6336"/>
    <w:p w14:paraId="7AABFA64" w14:textId="77777777" w:rsidR="00FC0DB8" w:rsidRPr="0007586A" w:rsidRDefault="00FC0DB8" w:rsidP="004C6336">
      <w:r w:rsidRPr="0007586A">
        <w:t xml:space="preserve">A healthy body size is important for good health and wellbeing. Overweight and obese children are more likely to be obese </w:t>
      </w:r>
      <w:r>
        <w:t>when they are</w:t>
      </w:r>
      <w:r w:rsidRPr="0007586A">
        <w:t xml:space="preserve"> adults. In addition, they are more likely to have abnormal cholesterol and blood pressure levels at a younger age than children who are within a normal weight range. Being overweight or obese in childhood is also associated with social and mental health problems, including low self-esteem.</w:t>
      </w:r>
    </w:p>
    <w:p w14:paraId="32B1BDBF" w14:textId="77777777" w:rsidR="00FC0DB8" w:rsidRPr="0007586A" w:rsidRDefault="00FC0DB8" w:rsidP="004C6336"/>
    <w:p w14:paraId="67C9261F" w14:textId="77777777" w:rsidR="00FC0DB8" w:rsidRDefault="00FC0DB8" w:rsidP="004C6336">
      <w:r w:rsidRPr="0007586A">
        <w:t>This report uses the revised International Obesity TaskForce (IOTF) BMI reference values to classify overweight and obes</w:t>
      </w:r>
      <w:r>
        <w:t xml:space="preserve">e </w:t>
      </w:r>
      <w:r w:rsidRPr="0007586A">
        <w:t>children and adolescents aged 2–14 years (Cole and Lobstein 2012). The IOTF cut-off points are sex- and age-specific and are designed to coincide with the World Health Organization</w:t>
      </w:r>
      <w:r w:rsidR="00FD6712">
        <w:t>’</w:t>
      </w:r>
      <w:r w:rsidRPr="0007586A">
        <w:t xml:space="preserve">s adult BMI cut-off points at </w:t>
      </w:r>
      <w:r>
        <w:t xml:space="preserve">the </w:t>
      </w:r>
      <w:r w:rsidRPr="0007586A">
        <w:t xml:space="preserve">age </w:t>
      </w:r>
      <w:r>
        <w:t xml:space="preserve">of </w:t>
      </w:r>
      <w:r w:rsidRPr="0007586A">
        <w:t>18 years.</w:t>
      </w:r>
      <w:r>
        <w:t xml:space="preserve"> Interviewers</w:t>
      </w:r>
      <w:r w:rsidRPr="00BE235A">
        <w:t xml:space="preserve"> measured respondents</w:t>
      </w:r>
      <w:r w:rsidR="00FD6712">
        <w:t>’</w:t>
      </w:r>
      <w:r w:rsidRPr="00BE235A">
        <w:t xml:space="preserve"> height and weight, from which BMI is calculated</w:t>
      </w:r>
      <w:r>
        <w:t>. H</w:t>
      </w:r>
      <w:r w:rsidRPr="00BE235A">
        <w:t xml:space="preserve">eight and weight were measured for </w:t>
      </w:r>
      <w:r w:rsidRPr="00E5590F">
        <w:t>91</w:t>
      </w:r>
      <w:r>
        <w:t>%</w:t>
      </w:r>
      <w:r w:rsidRPr="00BE235A">
        <w:t xml:space="preserve"> of children aged 2–14 years.</w:t>
      </w:r>
    </w:p>
    <w:p w14:paraId="2AC85605" w14:textId="77777777" w:rsidR="00FC0DB8" w:rsidRPr="0007586A" w:rsidRDefault="00FC0DB8" w:rsidP="004C6336"/>
    <w:p w14:paraId="6298C0BA" w14:textId="77777777" w:rsidR="00FC0DB8" w:rsidRPr="0007586A" w:rsidRDefault="00FC0DB8" w:rsidP="004C6336">
      <w:pPr>
        <w:rPr>
          <w:highlight w:val="yellow"/>
        </w:rPr>
      </w:pPr>
      <w:r>
        <w:t>One in nine</w:t>
      </w:r>
      <w:r w:rsidRPr="0007586A">
        <w:t xml:space="preserve"> children aged 2–14 years (</w:t>
      </w:r>
      <w:r>
        <w:t>11</w:t>
      </w:r>
      <w:r w:rsidRPr="0007586A">
        <w:t xml:space="preserve">%) </w:t>
      </w:r>
      <w:r>
        <w:t>was</w:t>
      </w:r>
      <w:r w:rsidRPr="0007586A">
        <w:t xml:space="preserve"> obese. </w:t>
      </w:r>
      <w:r>
        <w:t>T</w:t>
      </w:r>
      <w:r w:rsidRPr="002A0A5E">
        <w:t>he child obesity</w:t>
      </w:r>
      <w:r w:rsidRPr="0007586A">
        <w:t xml:space="preserve"> rate</w:t>
      </w:r>
      <w:r>
        <w:t xml:space="preserve"> has not changed significantly</w:t>
      </w:r>
      <w:r w:rsidRPr="0007586A">
        <w:t xml:space="preserve"> since 2011/12 (when it was 11%)</w:t>
      </w:r>
      <w:r>
        <w:t>, although it has increased since 2006/07 (8%)</w:t>
      </w:r>
      <w:r w:rsidRPr="0007586A">
        <w:t>.</w:t>
      </w:r>
      <w:r w:rsidR="004C6336">
        <w:rPr>
          <w:rStyle w:val="FootnoteReference"/>
        </w:rPr>
        <w:footnoteReference w:id="39"/>
      </w:r>
    </w:p>
    <w:p w14:paraId="19268148" w14:textId="77777777" w:rsidR="00FC0DB8" w:rsidRPr="0007586A" w:rsidRDefault="00FC0DB8" w:rsidP="004C6336">
      <w:pPr>
        <w:rPr>
          <w:highlight w:val="yellow"/>
        </w:rPr>
      </w:pPr>
    </w:p>
    <w:p w14:paraId="753A553C" w14:textId="77777777" w:rsidR="00FC0DB8" w:rsidRPr="0007586A" w:rsidRDefault="00FC0DB8" w:rsidP="004C6336">
      <w:r w:rsidRPr="0007586A">
        <w:t xml:space="preserve">Pacific </w:t>
      </w:r>
      <w:r>
        <w:t xml:space="preserve">children were nearly four times as likely and </w:t>
      </w:r>
      <w:r w:rsidRPr="0007586A">
        <w:t xml:space="preserve">Māori children </w:t>
      </w:r>
      <w:r>
        <w:t xml:space="preserve">1.6 times as </w:t>
      </w:r>
      <w:r w:rsidRPr="0007586A">
        <w:t>likely to b</w:t>
      </w:r>
      <w:r>
        <w:t xml:space="preserve">e obese than non-Pacific and non-Māori children respectively, after </w:t>
      </w:r>
      <w:r w:rsidRPr="0007586A">
        <w:t>adjusting for age and sex differences</w:t>
      </w:r>
      <w:r>
        <w:t>.</w:t>
      </w:r>
    </w:p>
    <w:p w14:paraId="59E4D3D5" w14:textId="77777777" w:rsidR="00FC0DB8" w:rsidRPr="0007586A" w:rsidRDefault="00FC0DB8" w:rsidP="004C6336">
      <w:pPr>
        <w:rPr>
          <w:highlight w:val="yellow"/>
        </w:rPr>
      </w:pPr>
    </w:p>
    <w:p w14:paraId="3A9F8818" w14:textId="77777777" w:rsidR="00FC0DB8" w:rsidRDefault="00FC0DB8" w:rsidP="004C6336">
      <w:r>
        <w:t>Twenty percent of children living in the most socioeconomically deprived areas were obese, compared with 4% living in the least deprived areas. Ten percent of children living in the most deprived areas were extremely obese (that is, in obese class 2 or 3, with a BMI equivalent to an adult BMI of 35.0 or more), compared with 1% living in the least deprived areas. The socioeconomic inequality</w:t>
      </w:r>
      <w:r w:rsidRPr="00D3418D">
        <w:t xml:space="preserve"> </w:t>
      </w:r>
      <w:r>
        <w:t>was greater for extreme obesity rates (adjusted rate ratio of 5.5) than for obesity rates (adjusted rate ratio of 3.0). Half of all extremely obese children live in the most deprived fifth of New Zealand.</w:t>
      </w:r>
    </w:p>
    <w:p w14:paraId="1534C1E9" w14:textId="77777777" w:rsidR="004C6336" w:rsidRDefault="004C6336" w:rsidP="004C6336"/>
    <w:p w14:paraId="23FFBC2C" w14:textId="77777777" w:rsidR="00FD6712" w:rsidRDefault="00FC0DB8" w:rsidP="004C6336">
      <w:pPr>
        <w:pStyle w:val="Heading3"/>
      </w:pPr>
      <w:r>
        <w:lastRenderedPageBreak/>
        <w:t>Child physical punishment rates continued to decline</w:t>
      </w:r>
    </w:p>
    <w:p w14:paraId="24E2A420" w14:textId="77777777" w:rsidR="00FC0DB8" w:rsidRPr="008C5A1E" w:rsidRDefault="00FC0DB8" w:rsidP="004C6336">
      <w:pPr>
        <w:pStyle w:val="Box"/>
        <w:jc w:val="center"/>
      </w:pPr>
      <w:r w:rsidRPr="00A44DAF">
        <w:rPr>
          <w:noProof/>
          <w:lang w:eastAsia="en-NZ"/>
        </w:rPr>
        <w:drawing>
          <wp:inline distT="0" distB="0" distL="0" distR="0" wp14:anchorId="6D6C5E93" wp14:editId="717524E9">
            <wp:extent cx="5600700" cy="31432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25BF25AF" w14:textId="77777777" w:rsidR="00FC0DB8" w:rsidRDefault="00FC0DB8" w:rsidP="004C6336">
      <w:pPr>
        <w:spacing w:before="200"/>
      </w:pPr>
      <w:r w:rsidRPr="000053BE">
        <w:t xml:space="preserve">Physical punishment </w:t>
      </w:r>
      <w:r>
        <w:t>is</w:t>
      </w:r>
      <w:r w:rsidRPr="000053BE">
        <w:t xml:space="preserve"> a predictor of negative developmental outcomes</w:t>
      </w:r>
      <w:r>
        <w:t>,</w:t>
      </w:r>
      <w:r w:rsidRPr="000053BE">
        <w:t xml:space="preserve"> including increased child aggression, antisocial behaviour, poorer cognitive development,</w:t>
      </w:r>
      <w:r>
        <w:t xml:space="preserve"> </w:t>
      </w:r>
      <w:r w:rsidRPr="000053BE">
        <w:t xml:space="preserve">poorer quality of parent–child relationships and mental health problems </w:t>
      </w:r>
      <w:r>
        <w:t>(Smith 2006)</w:t>
      </w:r>
      <w:r w:rsidRPr="00A27F21">
        <w:t>.</w:t>
      </w:r>
      <w:r w:rsidRPr="000053BE">
        <w:t xml:space="preserve"> It is important to support parents </w:t>
      </w:r>
      <w:r>
        <w:t xml:space="preserve">and primary caregivers </w:t>
      </w:r>
      <w:r w:rsidRPr="000053BE">
        <w:t>to use more positive methods of parenting.</w:t>
      </w:r>
      <w:r>
        <w:t xml:space="preserve"> In 2007, the law was changed in New Zealand, making it illegal to physically punish children. </w:t>
      </w:r>
      <w:r w:rsidRPr="00D161C5">
        <w:t xml:space="preserve">The </w:t>
      </w:r>
      <w:r>
        <w:t>interviewers</w:t>
      </w:r>
      <w:r w:rsidRPr="00D161C5">
        <w:t xml:space="preserve"> asked </w:t>
      </w:r>
      <w:r>
        <w:t>parents or primary caregivers if they had physically punished (such as smacked) their child in the past four weeks for misbehaviour.</w:t>
      </w:r>
    </w:p>
    <w:p w14:paraId="31157E0C" w14:textId="77777777" w:rsidR="00FC0DB8" w:rsidRPr="004C6336" w:rsidRDefault="00FC0DB8" w:rsidP="004C6336">
      <w:pPr>
        <w:spacing w:before="200"/>
        <w:rPr>
          <w:spacing w:val="-4"/>
        </w:rPr>
      </w:pPr>
      <w:bookmarkStart w:id="104" w:name="_Toc373153659"/>
      <w:bookmarkStart w:id="105" w:name="_Toc404618286"/>
      <w:r w:rsidRPr="004C6336">
        <w:rPr>
          <w:spacing w:val="-4"/>
        </w:rPr>
        <w:t>Six percent of children were physically punished in the past four weeks, down from 10% in 2006/07.</w:t>
      </w:r>
    </w:p>
    <w:p w14:paraId="2091532D" w14:textId="77777777" w:rsidR="00FC0DB8" w:rsidRDefault="00FC0DB8" w:rsidP="004C6336">
      <w:pPr>
        <w:spacing w:before="200"/>
      </w:pPr>
      <w:r>
        <w:t xml:space="preserve">The percentage of children who were physically punished in the past four weeks </w:t>
      </w:r>
      <w:r w:rsidRPr="0007586A">
        <w:t xml:space="preserve">varied by age, ethnic group and </w:t>
      </w:r>
      <w:r>
        <w:t>neighbourhood</w:t>
      </w:r>
      <w:r w:rsidRPr="0007586A" w:rsidDel="00E5487B">
        <w:t xml:space="preserve"> </w:t>
      </w:r>
      <w:r w:rsidRPr="0007586A">
        <w:t>deprivation, as follows.</w:t>
      </w:r>
      <w:r w:rsidR="004C6336">
        <w:rPr>
          <w:rStyle w:val="FootnoteReference"/>
        </w:rPr>
        <w:footnoteReference w:id="40"/>
      </w:r>
    </w:p>
    <w:p w14:paraId="02309D66" w14:textId="77777777" w:rsidR="00FC0DB8" w:rsidRDefault="00FC0DB8" w:rsidP="004C6336">
      <w:pPr>
        <w:pStyle w:val="Bullet"/>
      </w:pPr>
      <w:r>
        <w:t>Young children were more likely to have been physically punished than older children (7% of children aged 0–9 years compared with 2.8% of children aged 10–14 years).</w:t>
      </w:r>
    </w:p>
    <w:p w14:paraId="1E130070" w14:textId="77777777" w:rsidR="00FC0DB8" w:rsidRPr="00CA0B4A" w:rsidRDefault="00FC0DB8" w:rsidP="004C6336">
      <w:pPr>
        <w:pStyle w:val="Bullet"/>
        <w:rPr>
          <w:spacing w:val="-2"/>
        </w:rPr>
      </w:pPr>
      <w:r>
        <w:rPr>
          <w:spacing w:val="-2"/>
        </w:rPr>
        <w:t>Nine percent</w:t>
      </w:r>
      <w:r w:rsidRPr="00CA0B4A">
        <w:rPr>
          <w:spacing w:val="-2"/>
        </w:rPr>
        <w:t xml:space="preserve"> of </w:t>
      </w:r>
      <w:r>
        <w:rPr>
          <w:spacing w:val="-2"/>
        </w:rPr>
        <w:t xml:space="preserve">both Māori and Pacific </w:t>
      </w:r>
      <w:r w:rsidRPr="00CA0B4A">
        <w:rPr>
          <w:spacing w:val="-2"/>
        </w:rPr>
        <w:t xml:space="preserve">children had been physically punished in in the past four weeks. Māori </w:t>
      </w:r>
      <w:r>
        <w:rPr>
          <w:spacing w:val="-2"/>
        </w:rPr>
        <w:t xml:space="preserve">and Pacific children were about twice as likely </w:t>
      </w:r>
      <w:r w:rsidRPr="00CA0B4A">
        <w:rPr>
          <w:spacing w:val="-2"/>
        </w:rPr>
        <w:t>to have been physically punished as non-Māori and non-Pacific children respectively, after adjusting for age and sex differences.</w:t>
      </w:r>
      <w:r>
        <w:rPr>
          <w:spacing w:val="-2"/>
        </w:rPr>
        <w:t xml:space="preserve"> </w:t>
      </w:r>
      <w:r w:rsidRPr="00CA0B4A">
        <w:rPr>
          <w:spacing w:val="-2"/>
        </w:rPr>
        <w:t xml:space="preserve">In contrast, only </w:t>
      </w:r>
      <w:r>
        <w:rPr>
          <w:spacing w:val="-2"/>
        </w:rPr>
        <w:t>1.6</w:t>
      </w:r>
      <w:r w:rsidRPr="00CA0B4A">
        <w:rPr>
          <w:spacing w:val="-2"/>
        </w:rPr>
        <w:t>% of Asian children had been physically punished.</w:t>
      </w:r>
    </w:p>
    <w:p w14:paraId="5A048CE0" w14:textId="77777777" w:rsidR="00FC0DB8" w:rsidRDefault="00FC0DB8" w:rsidP="004C6336">
      <w:pPr>
        <w:pStyle w:val="Bullet"/>
      </w:pPr>
      <w:r w:rsidRPr="00B76871">
        <w:t xml:space="preserve">Children living in the most deprived areas </w:t>
      </w:r>
      <w:r>
        <w:t xml:space="preserve">were three times as likely to have been physically punished as </w:t>
      </w:r>
      <w:r w:rsidRPr="00B76871">
        <w:t>those in the l</w:t>
      </w:r>
      <w:r>
        <w:t>east deprived areas</w:t>
      </w:r>
      <w:r w:rsidRPr="00B76871">
        <w:t>.</w:t>
      </w:r>
      <w:r>
        <w:t xml:space="preserve"> Rates of physical punishment have decreased from 9.2% in 2006/07 to 2.4% for children in the least deprived areas but have not changed significantly for children in the most deprived areas (10% in 2015/16 and 13% in 2006/07).</w:t>
      </w:r>
    </w:p>
    <w:p w14:paraId="7B9D4317" w14:textId="77777777" w:rsidR="00FC0DB8" w:rsidRDefault="00FC0DB8" w:rsidP="004C6336">
      <w:pPr>
        <w:spacing w:before="200"/>
      </w:pPr>
      <w:r w:rsidRPr="00926CF2">
        <w:t>According to the Youth 2012 survey, 14% of school children (majority aged 13–17 years) reported that they were hit or physically harmed in the past 12 months in their home by an adult (Clark et al 2013). The Youth 2012 survey found no significant change since 2001 in the percentage of children who witnessed an adult physically hurting a child in their own home in the past 12 months (16% in 2001 and 14% in 2012). The child-reported rates of violence in the Youth 2012 survey were higher than those reported by parents in th</w:t>
      </w:r>
      <w:r>
        <w:t>is</w:t>
      </w:r>
      <w:r w:rsidRPr="00926CF2">
        <w:t xml:space="preserve"> </w:t>
      </w:r>
      <w:r>
        <w:t>survey</w:t>
      </w:r>
      <w:r w:rsidRPr="00926CF2">
        <w:t xml:space="preserve"> despite the younger age group in </w:t>
      </w:r>
      <w:r>
        <w:t>the survey</w:t>
      </w:r>
      <w:r w:rsidRPr="00926CF2">
        <w:t>. (Note: The surveys used different violence definitions.)</w:t>
      </w:r>
    </w:p>
    <w:p w14:paraId="5B23C1C4" w14:textId="77777777" w:rsidR="00FC0DB8" w:rsidRDefault="00FC0DB8" w:rsidP="004C6336">
      <w:pPr>
        <w:pStyle w:val="Heading2"/>
        <w:spacing w:before="360"/>
      </w:pPr>
      <w:bookmarkStart w:id="106" w:name="_Toc435784743"/>
      <w:bookmarkStart w:id="107" w:name="_Toc436730777"/>
      <w:bookmarkStart w:id="108" w:name="_Toc467831539"/>
      <w:r w:rsidRPr="008C5A1E">
        <w:lastRenderedPageBreak/>
        <w:t xml:space="preserve">Health </w:t>
      </w:r>
      <w:r>
        <w:t>c</w:t>
      </w:r>
      <w:r w:rsidRPr="008C5A1E">
        <w:t>onditions</w:t>
      </w:r>
      <w:bookmarkEnd w:id="104"/>
      <w:bookmarkEnd w:id="105"/>
      <w:bookmarkEnd w:id="106"/>
      <w:bookmarkEnd w:id="107"/>
      <w:r>
        <w:t xml:space="preserve"> of children</w:t>
      </w:r>
      <w:bookmarkEnd w:id="108"/>
    </w:p>
    <w:p w14:paraId="05CD5226" w14:textId="77777777" w:rsidR="00FD6712" w:rsidRDefault="00FC0DB8" w:rsidP="004C6336">
      <w:pPr>
        <w:pStyle w:val="Heading3"/>
      </w:pPr>
      <w:r>
        <w:t xml:space="preserve">About 34,000 children </w:t>
      </w:r>
      <w:r w:rsidRPr="0007586A">
        <w:t>had been diagnosed with emotional and/or behaviour</w:t>
      </w:r>
      <w:r>
        <w:t>al problems at some time in their lives</w:t>
      </w:r>
    </w:p>
    <w:p w14:paraId="30D53C65" w14:textId="77777777" w:rsidR="00FC0DB8" w:rsidRDefault="00FC0DB8" w:rsidP="004C6336">
      <w:pPr>
        <w:pStyle w:val="Box"/>
        <w:jc w:val="center"/>
      </w:pPr>
      <w:r w:rsidRPr="003D35F6">
        <w:rPr>
          <w:noProof/>
          <w:lang w:eastAsia="en-NZ"/>
        </w:rPr>
        <w:drawing>
          <wp:inline distT="0" distB="0" distL="0" distR="0" wp14:anchorId="3615F40F" wp14:editId="0340AF35">
            <wp:extent cx="5600700" cy="31432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7F7AB831" w14:textId="77777777" w:rsidR="004C6336" w:rsidRDefault="004C6336" w:rsidP="004C6336"/>
    <w:p w14:paraId="21F93746" w14:textId="77777777" w:rsidR="00FC0DB8" w:rsidRDefault="00FC0DB8" w:rsidP="004C6336">
      <w:r w:rsidRPr="0007586A">
        <w:t xml:space="preserve">In this report, </w:t>
      </w:r>
      <w:r w:rsidR="00FD6712">
        <w:t>‘</w:t>
      </w:r>
      <w:r w:rsidRPr="0007586A">
        <w:t>emotional and/or behavioural problems</w:t>
      </w:r>
      <w:r w:rsidR="00FD6712">
        <w:t>’</w:t>
      </w:r>
      <w:r w:rsidRPr="0007586A">
        <w:t xml:space="preserve"> refers to depression, an anxiety disorder, </w:t>
      </w:r>
      <w:r>
        <w:t xml:space="preserve">and/or </w:t>
      </w:r>
      <w:r w:rsidRPr="0007586A">
        <w:t xml:space="preserve">attention deficit </w:t>
      </w:r>
      <w:r>
        <w:t xml:space="preserve">and hyperactivity </w:t>
      </w:r>
      <w:r w:rsidRPr="0007586A">
        <w:t>disorder (AD</w:t>
      </w:r>
      <w:r>
        <w:t>H</w:t>
      </w:r>
      <w:r w:rsidRPr="0007586A">
        <w:t>D</w:t>
      </w:r>
      <w:r>
        <w:t>, previously known as attention deficit disorder or AD</w:t>
      </w:r>
      <w:r w:rsidRPr="0007586A">
        <w:t xml:space="preserve">D). </w:t>
      </w:r>
      <w:r>
        <w:t>Interviewer</w:t>
      </w:r>
      <w:r w:rsidRPr="0007586A">
        <w:t>s recorded children as having been diagnosed with emotional and/or behavioural problems if their parents indicated that they had been told by a doctor at some time in their child</w:t>
      </w:r>
      <w:r w:rsidR="00FD6712">
        <w:t>’</w:t>
      </w:r>
      <w:r w:rsidRPr="0007586A">
        <w:t>s life that the child had one of the</w:t>
      </w:r>
      <w:r>
        <w:t xml:space="preserve"> above</w:t>
      </w:r>
      <w:r w:rsidRPr="0007586A">
        <w:t xml:space="preserve"> conditions.</w:t>
      </w:r>
    </w:p>
    <w:p w14:paraId="70CA3B7D" w14:textId="77777777" w:rsidR="00FC0DB8" w:rsidRPr="0007586A" w:rsidRDefault="00FC0DB8" w:rsidP="004C6336"/>
    <w:p w14:paraId="19591A0E" w14:textId="77777777" w:rsidR="00FC0DB8" w:rsidRDefault="00FC0DB8" w:rsidP="004C6336">
      <w:r>
        <w:t>About</w:t>
      </w:r>
      <w:r w:rsidRPr="0007586A">
        <w:t xml:space="preserve"> </w:t>
      </w:r>
      <w:r>
        <w:t xml:space="preserve">34,000 </w:t>
      </w:r>
      <w:r w:rsidRPr="0007586A">
        <w:t>children (</w:t>
      </w:r>
      <w:r>
        <w:t>4.3</w:t>
      </w:r>
      <w:r w:rsidRPr="0007586A">
        <w:t>%) aged 2–14 years had been diagnosed with emotional and/or behavioural problems at some time in their life</w:t>
      </w:r>
      <w:r>
        <w:t>, up from 1.8% in 2006/07</w:t>
      </w:r>
      <w:r w:rsidRPr="0007586A">
        <w:t>.</w:t>
      </w:r>
      <w:r>
        <w:t xml:space="preserve"> The number of children diagnosed with emotional and/or behavioural problems has more than doubled since 2006/07, when it was about 14,000 children.</w:t>
      </w:r>
    </w:p>
    <w:p w14:paraId="0A495771" w14:textId="77777777" w:rsidR="00FC0DB8" w:rsidRDefault="00FC0DB8" w:rsidP="004C6336"/>
    <w:p w14:paraId="3AAC410C" w14:textId="77777777" w:rsidR="00FC0DB8" w:rsidRDefault="00FC0DB8" w:rsidP="004C6336">
      <w:r>
        <w:t xml:space="preserve">The percentage of children with diagnosed </w:t>
      </w:r>
      <w:r w:rsidRPr="0007586A">
        <w:t>emotional and/or behavioural problems</w:t>
      </w:r>
      <w:r>
        <w:t xml:space="preserve"> increased with age, from 0.6% of those aged 2–</w:t>
      </w:r>
      <w:r w:rsidRPr="0007586A">
        <w:t xml:space="preserve">4 </w:t>
      </w:r>
      <w:r>
        <w:t>years to 7.0% of those aged 10–1</w:t>
      </w:r>
      <w:r w:rsidRPr="0007586A">
        <w:t xml:space="preserve">4 </w:t>
      </w:r>
      <w:r>
        <w:t>years.</w:t>
      </w:r>
    </w:p>
    <w:p w14:paraId="7D484FA2" w14:textId="77777777" w:rsidR="00FC0DB8" w:rsidRDefault="00FC0DB8" w:rsidP="004C6336"/>
    <w:p w14:paraId="5A23F7BB" w14:textId="77777777" w:rsidR="00FC0DB8" w:rsidRDefault="00FC0DB8" w:rsidP="004C6336">
      <w:r w:rsidRPr="007D0F09">
        <w:t>Pacific and Asian children were less likely to have been diagnosed with emotional and/or behavioural problems than non-Pacific and non-Asian children respectively, after adjusting for age and sex differences. The rates were 1.4% for Pacific children and 0.5% for Asian children.</w:t>
      </w:r>
    </w:p>
    <w:p w14:paraId="30E3A0C5" w14:textId="77777777" w:rsidR="00FC0DB8" w:rsidRPr="007D0F09" w:rsidRDefault="00FC0DB8" w:rsidP="004C6336"/>
    <w:p w14:paraId="279B6542" w14:textId="77777777" w:rsidR="00FC0DB8" w:rsidRDefault="00FC0DB8" w:rsidP="004C6336">
      <w:r w:rsidRPr="000B5EFD">
        <w:t xml:space="preserve">The most common </w:t>
      </w:r>
      <w:r>
        <w:t>types of emotional and behavioural problems were anxiety disorder (2.7%), followed by ADHD (1.8</w:t>
      </w:r>
      <w:r w:rsidRPr="000B5EFD">
        <w:t>%</w:t>
      </w:r>
      <w:r>
        <w:t>) and depression (0.3</w:t>
      </w:r>
      <w:r w:rsidRPr="000B5EFD">
        <w:t>%).</w:t>
      </w:r>
      <w:r w:rsidR="00891FF7">
        <w:rPr>
          <w:rStyle w:val="FootnoteReference"/>
        </w:rPr>
        <w:footnoteReference w:id="41"/>
      </w:r>
      <w:r>
        <w:t xml:space="preserve"> Boys were more likely to have </w:t>
      </w:r>
      <w:r w:rsidRPr="000B5EFD">
        <w:t>AD</w:t>
      </w:r>
      <w:r>
        <w:t>H</w:t>
      </w:r>
      <w:r w:rsidRPr="000B5EFD">
        <w:t>D</w:t>
      </w:r>
      <w:r>
        <w:t xml:space="preserve"> than girls (with rates of 2.7% and 0.8% respectively).</w:t>
      </w:r>
    </w:p>
    <w:p w14:paraId="0F885797" w14:textId="77777777" w:rsidR="00FC0DB8" w:rsidRPr="003D35F6" w:rsidRDefault="00FC0DB8" w:rsidP="00891FF7"/>
    <w:p w14:paraId="7C9501AF" w14:textId="77777777" w:rsidR="00FC0DB8" w:rsidRDefault="00FC0DB8" w:rsidP="00891FF7">
      <w:r w:rsidRPr="000B5EFD">
        <w:t xml:space="preserve">The online data tables include statistics on </w:t>
      </w:r>
      <w:r>
        <w:t>a</w:t>
      </w:r>
      <w:r w:rsidRPr="000B5EFD">
        <w:t xml:space="preserve">utism spectrum disorder (ASD, including Asperger </w:t>
      </w:r>
      <w:r>
        <w:t>s</w:t>
      </w:r>
      <w:r w:rsidRPr="000B5EFD">
        <w:t>yndrome)</w:t>
      </w:r>
      <w:r>
        <w:t>,</w:t>
      </w:r>
      <w:r w:rsidRPr="000B5EFD">
        <w:t xml:space="preserve"> which is a pervasive developmental disorder typified by emotional and behavioural problems.</w:t>
      </w:r>
      <w:r>
        <w:t xml:space="preserve"> </w:t>
      </w:r>
      <w:r w:rsidRPr="000B5EFD">
        <w:t>About one in a hundred children (1.</w:t>
      </w:r>
      <w:r>
        <w:t>4</w:t>
      </w:r>
      <w:r w:rsidRPr="000B5EFD">
        <w:t>%) ha</w:t>
      </w:r>
      <w:r>
        <w:t>d</w:t>
      </w:r>
      <w:r w:rsidRPr="000B5EFD">
        <w:t xml:space="preserve"> ASD.</w:t>
      </w:r>
      <w:r w:rsidR="00891FF7">
        <w:rPr>
          <w:vertAlign w:val="superscript"/>
        </w:rPr>
        <w:t>41</w:t>
      </w:r>
    </w:p>
    <w:p w14:paraId="7B6EA1DD" w14:textId="77777777" w:rsidR="00891FF7" w:rsidRPr="00891FF7" w:rsidRDefault="00891FF7" w:rsidP="00891FF7"/>
    <w:p w14:paraId="5E448EE6" w14:textId="77777777" w:rsidR="00FC0DB8" w:rsidRDefault="00FC0DB8" w:rsidP="00891FF7">
      <w:pPr>
        <w:pStyle w:val="Heading3"/>
        <w:rPr>
          <w:u w:val="single"/>
        </w:rPr>
      </w:pPr>
      <w:r>
        <w:lastRenderedPageBreak/>
        <w:t xml:space="preserve">Nearly one-quarter of </w:t>
      </w:r>
      <w:r w:rsidRPr="000B5EFD">
        <w:t xml:space="preserve">Māori children </w:t>
      </w:r>
      <w:r>
        <w:t>had asthma (medicated)</w:t>
      </w:r>
    </w:p>
    <w:p w14:paraId="072AF1E3" w14:textId="77777777" w:rsidR="00FC0DB8" w:rsidRPr="001311FB" w:rsidRDefault="00FC0DB8" w:rsidP="00891FF7">
      <w:pPr>
        <w:pStyle w:val="Box"/>
        <w:jc w:val="center"/>
      </w:pPr>
      <w:r w:rsidRPr="003D35F6">
        <w:rPr>
          <w:noProof/>
          <w:lang w:eastAsia="en-NZ"/>
        </w:rPr>
        <w:drawing>
          <wp:inline distT="0" distB="0" distL="0" distR="0" wp14:anchorId="638E29DE" wp14:editId="5FE90A88">
            <wp:extent cx="5600700" cy="31432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158E4D43" w14:textId="77777777" w:rsidR="00FC0DB8" w:rsidRPr="008C5A1E" w:rsidRDefault="00FC0DB8" w:rsidP="00891FF7"/>
    <w:p w14:paraId="0F36B4DF" w14:textId="77777777" w:rsidR="00FC0DB8" w:rsidRDefault="00FC0DB8" w:rsidP="00891FF7">
      <w:r>
        <w:t>Asthma is</w:t>
      </w:r>
      <w:r w:rsidRPr="0007586A">
        <w:t xml:space="preserve"> one of the three leading causes of potentially avoidable hospitalisations among children </w:t>
      </w:r>
      <w:r>
        <w:t>(aged 0</w:t>
      </w:r>
      <w:r w:rsidRPr="0007586A">
        <w:t>–4 years</w:t>
      </w:r>
      <w:r>
        <w:t>)</w:t>
      </w:r>
      <w:r w:rsidRPr="0007586A">
        <w:t xml:space="preserve"> in New Zealand</w:t>
      </w:r>
      <w:r>
        <w:t xml:space="preserve"> (Craig et al 2013).</w:t>
      </w:r>
    </w:p>
    <w:p w14:paraId="40C584F6" w14:textId="77777777" w:rsidR="00FC0DB8" w:rsidRDefault="00FC0DB8" w:rsidP="00891FF7"/>
    <w:p w14:paraId="748AA2D0" w14:textId="77777777" w:rsidR="00FC0DB8" w:rsidRPr="0007586A" w:rsidRDefault="00FC0DB8" w:rsidP="00891FF7">
      <w:r w:rsidRPr="0007586A">
        <w:t>This</w:t>
      </w:r>
      <w:r w:rsidRPr="00820121">
        <w:t xml:space="preserve"> </w:t>
      </w:r>
      <w:r>
        <w:t>asthma (medicated)</w:t>
      </w:r>
      <w:r w:rsidRPr="0007586A">
        <w:t xml:space="preserve"> indicator focuses on children aged 2–14 years who have been told by a doctor that they have asthma and who currently take medication to treat it. </w:t>
      </w:r>
      <w:r>
        <w:t>They may be taking m</w:t>
      </w:r>
      <w:r w:rsidRPr="0007586A">
        <w:t>edication daily to prevent symptoms or only when needed to relieve symptoms.</w:t>
      </w:r>
    </w:p>
    <w:p w14:paraId="0594F06A" w14:textId="77777777" w:rsidR="00FC0DB8" w:rsidRDefault="00FC0DB8" w:rsidP="00891FF7"/>
    <w:p w14:paraId="3DD7C6E2" w14:textId="77777777" w:rsidR="00FC0DB8" w:rsidRPr="0007586A" w:rsidRDefault="00FC0DB8" w:rsidP="00891FF7">
      <w:r>
        <w:t>About</w:t>
      </w:r>
      <w:r w:rsidRPr="0007586A">
        <w:t xml:space="preserve"> </w:t>
      </w:r>
      <w:r>
        <w:t>132,000</w:t>
      </w:r>
      <w:r w:rsidRPr="0007586A">
        <w:t xml:space="preserve"> children aged 2–14 years (</w:t>
      </w:r>
      <w:r>
        <w:t>17</w:t>
      </w:r>
      <w:r w:rsidRPr="0007586A">
        <w:t xml:space="preserve">%) had asthma (medicated); </w:t>
      </w:r>
      <w:r>
        <w:t>up from 14% in 2011/12</w:t>
      </w:r>
      <w:r w:rsidRPr="0091589D">
        <w:t>.</w:t>
      </w:r>
    </w:p>
    <w:p w14:paraId="19F5A4AB" w14:textId="77777777" w:rsidR="00FC0DB8" w:rsidRPr="004F072E" w:rsidRDefault="00FC0DB8" w:rsidP="00891FF7"/>
    <w:p w14:paraId="7FBB026B" w14:textId="692E2AC2" w:rsidR="00FC0DB8" w:rsidRPr="004F072E" w:rsidRDefault="00FC0DB8" w:rsidP="00891FF7">
      <w:r w:rsidRPr="004F072E">
        <w:t>B</w:t>
      </w:r>
      <w:r>
        <w:t xml:space="preserve">oys </w:t>
      </w:r>
      <w:r w:rsidRPr="004F072E">
        <w:t>were 1.3 times as likely as girls</w:t>
      </w:r>
      <w:r>
        <w:t xml:space="preserve"> </w:t>
      </w:r>
      <w:r w:rsidRPr="004F072E">
        <w:t>to have asthma (medicated)</w:t>
      </w:r>
      <w:r w:rsidR="005219F7">
        <w:t>; the rates were 18</w:t>
      </w:r>
      <w:r>
        <w:t>% and 15% respectively.</w:t>
      </w:r>
    </w:p>
    <w:p w14:paraId="4458BBF5" w14:textId="77777777" w:rsidR="00FC0DB8" w:rsidRPr="0007586A" w:rsidRDefault="00FC0DB8" w:rsidP="00891FF7">
      <w:pPr>
        <w:rPr>
          <w:highlight w:val="yellow"/>
        </w:rPr>
      </w:pPr>
    </w:p>
    <w:p w14:paraId="1B2F6DDD" w14:textId="77777777" w:rsidR="00FC0DB8" w:rsidRDefault="00FC0DB8" w:rsidP="00891FF7">
      <w:r>
        <w:t>Nearly</w:t>
      </w:r>
      <w:r w:rsidRPr="0007586A">
        <w:t xml:space="preserve"> </w:t>
      </w:r>
      <w:r>
        <w:t xml:space="preserve">one-quarter of </w:t>
      </w:r>
      <w:r w:rsidRPr="0007586A">
        <w:t>Māori children (</w:t>
      </w:r>
      <w:r>
        <w:t>24</w:t>
      </w:r>
      <w:r w:rsidRPr="0007586A">
        <w:t>%) ha</w:t>
      </w:r>
      <w:r>
        <w:t>d</w:t>
      </w:r>
      <w:r w:rsidRPr="0007586A">
        <w:t xml:space="preserve"> asthma (medicated).</w:t>
      </w:r>
      <w:r w:rsidR="00891FF7">
        <w:rPr>
          <w:rStyle w:val="FootnoteReference"/>
        </w:rPr>
        <w:footnoteReference w:id="42"/>
      </w:r>
      <w:r w:rsidRPr="0007586A">
        <w:t xml:space="preserve"> After adjusting for age and sex differences, Māori children were </w:t>
      </w:r>
      <w:r>
        <w:t>1.7</w:t>
      </w:r>
      <w:r w:rsidRPr="0007586A">
        <w:t xml:space="preserve"> times as likely to have asthma (medicated) as non-Māori children.</w:t>
      </w:r>
    </w:p>
    <w:p w14:paraId="0596722F" w14:textId="77777777" w:rsidR="00FC0DB8" w:rsidRDefault="00FC0DB8" w:rsidP="00891FF7"/>
    <w:p w14:paraId="77A71FB5" w14:textId="77777777" w:rsidR="00FC0DB8" w:rsidRPr="0007586A" w:rsidRDefault="00FC0DB8" w:rsidP="00891FF7">
      <w:r>
        <w:t>One in five children living in the most deprived areas (22%) had asthma (medicated), compared with 15% of children living in the least deprived areas. Children living in the most deprived areas were 1.5 times more likely to have asthma (medicated) than children living in the least deprived areas.</w:t>
      </w:r>
    </w:p>
    <w:p w14:paraId="61784A27" w14:textId="77777777" w:rsidR="00FC0DB8" w:rsidRPr="0007586A" w:rsidRDefault="00FC0DB8" w:rsidP="00891FF7"/>
    <w:p w14:paraId="5EC1AD7B" w14:textId="737C6008" w:rsidR="00FC0DB8" w:rsidRPr="0007586A" w:rsidRDefault="00FC0DB8" w:rsidP="00891FF7">
      <w:r w:rsidRPr="0007586A">
        <w:t>Asthma (medicated) was more common in children than in adults (</w:t>
      </w:r>
      <w:r>
        <w:t>the rates were 17% and</w:t>
      </w:r>
      <w:r w:rsidRPr="0007586A">
        <w:t xml:space="preserve"> </w:t>
      </w:r>
      <w:r>
        <w:t>11</w:t>
      </w:r>
      <w:r w:rsidRPr="0007586A">
        <w:t>%</w:t>
      </w:r>
      <w:r>
        <w:t xml:space="preserve"> respectively</w:t>
      </w:r>
      <w:r w:rsidRPr="0007586A">
        <w:t>).</w:t>
      </w:r>
      <w:r>
        <w:t xml:space="preserve"> Among adults, women were more likely to have asthma (medicated). This is a reversal of the sex trends seen in children, where boys are more likely to have asthma than girls.</w:t>
      </w:r>
      <w:r w:rsidRPr="0007586A">
        <w:t xml:space="preserve"> For more information</w:t>
      </w:r>
      <w:r>
        <w:t xml:space="preserve"> on asthma in adults</w:t>
      </w:r>
      <w:r w:rsidRPr="0007586A">
        <w:t xml:space="preserve">, see </w:t>
      </w:r>
      <w:r w:rsidRPr="00C622F6">
        <w:t xml:space="preserve">page </w:t>
      </w:r>
      <w:r w:rsidR="00EA2EE6">
        <w:t>33</w:t>
      </w:r>
      <w:r w:rsidRPr="00784A6E">
        <w:t>.</w:t>
      </w:r>
    </w:p>
    <w:p w14:paraId="4729366D" w14:textId="77777777" w:rsidR="00FC0DB8" w:rsidRPr="0007586A" w:rsidRDefault="00FC0DB8" w:rsidP="00891FF7"/>
    <w:p w14:paraId="1319DF46" w14:textId="77777777" w:rsidR="00FC0DB8" w:rsidRPr="008C5A1E" w:rsidRDefault="00FC0DB8" w:rsidP="00891FF7">
      <w:pPr>
        <w:pStyle w:val="Heading2"/>
      </w:pPr>
      <w:bookmarkStart w:id="109" w:name="_Toc373153660"/>
      <w:bookmarkStart w:id="110" w:name="_Toc404618287"/>
      <w:bookmarkStart w:id="111" w:name="_Toc435784744"/>
      <w:bookmarkStart w:id="112" w:name="_Toc436730778"/>
      <w:bookmarkStart w:id="113" w:name="_Toc467831540"/>
      <w:r>
        <w:lastRenderedPageBreak/>
        <w:t>Children</w:t>
      </w:r>
      <w:r w:rsidR="00FD6712">
        <w:t>’</w:t>
      </w:r>
      <w:r>
        <w:t>s a</w:t>
      </w:r>
      <w:r w:rsidRPr="008C5A1E">
        <w:t xml:space="preserve">ccess to </w:t>
      </w:r>
      <w:r>
        <w:t>h</w:t>
      </w:r>
      <w:r w:rsidRPr="008C5A1E">
        <w:t xml:space="preserve">ealth </w:t>
      </w:r>
      <w:r>
        <w:t>c</w:t>
      </w:r>
      <w:r w:rsidRPr="008C5A1E">
        <w:t>are</w:t>
      </w:r>
      <w:bookmarkEnd w:id="109"/>
      <w:bookmarkEnd w:id="110"/>
      <w:bookmarkEnd w:id="111"/>
      <w:bookmarkEnd w:id="112"/>
      <w:bookmarkEnd w:id="113"/>
    </w:p>
    <w:p w14:paraId="62973494" w14:textId="77777777" w:rsidR="00FC0DB8" w:rsidRDefault="00FC0DB8" w:rsidP="00891FF7">
      <w:pPr>
        <w:pStyle w:val="Heading3"/>
      </w:pPr>
      <w:r>
        <w:t>Four in five children had their last GP visit for free</w:t>
      </w:r>
    </w:p>
    <w:p w14:paraId="5DC8FBCA" w14:textId="77777777" w:rsidR="00FC0DB8" w:rsidRPr="001311FB" w:rsidRDefault="00FC0DB8" w:rsidP="00891FF7">
      <w:pPr>
        <w:pStyle w:val="Box"/>
        <w:jc w:val="center"/>
        <w:rPr>
          <w:lang w:eastAsia="en-NZ"/>
        </w:rPr>
      </w:pPr>
      <w:r w:rsidRPr="00DE52DA">
        <w:rPr>
          <w:noProof/>
          <w:lang w:eastAsia="en-NZ"/>
        </w:rPr>
        <w:drawing>
          <wp:inline distT="0" distB="0" distL="0" distR="0" wp14:anchorId="0A45EEEF" wp14:editId="37EBED0A">
            <wp:extent cx="5600700" cy="31432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02704F0D" w14:textId="77777777" w:rsidR="00FC0DB8" w:rsidRDefault="00FC0DB8" w:rsidP="00891FF7">
      <w:pPr>
        <w:spacing w:before="200"/>
      </w:pPr>
      <w:r w:rsidRPr="00AA1E47">
        <w:t xml:space="preserve">As at July 2016, </w:t>
      </w:r>
      <w:r>
        <w:t xml:space="preserve">about </w:t>
      </w:r>
      <w:r w:rsidRPr="00AA1E47">
        <w:t xml:space="preserve">97% of children (0.9 million) under 15 years </w:t>
      </w:r>
      <w:r>
        <w:t xml:space="preserve">of age </w:t>
      </w:r>
      <w:r w:rsidRPr="00AA1E47">
        <w:t xml:space="preserve">were enrolled with a </w:t>
      </w:r>
      <w:r>
        <w:t>PHO</w:t>
      </w:r>
      <w:r w:rsidRPr="00AA1E47">
        <w:t xml:space="preserve"> funded by their local DHB to provide general practice and other primary </w:t>
      </w:r>
      <w:r>
        <w:t xml:space="preserve">health </w:t>
      </w:r>
      <w:r w:rsidRPr="00AA1E47">
        <w:t xml:space="preserve">care services. The Ministry provides additional funding to encourage free GP consultations for children under </w:t>
      </w:r>
      <w:r>
        <w:t>13</w:t>
      </w:r>
      <w:r w:rsidRPr="00AA1E47">
        <w:t xml:space="preserve"> years of age (</w:t>
      </w:r>
      <w:r>
        <w:t xml:space="preserve">the </w:t>
      </w:r>
      <w:r w:rsidRPr="00AA1E47">
        <w:t>Zero Fees for Under 6s initiative started in January 2008 and was extended to Zero Fees for Under 13s in July 2015). As at July 2016, over 99% of children aged 0–5 years and over 99% of children aged 6–12 years were enrolled at a general practice that has committed to providing free visits for children during the daytime.</w:t>
      </w:r>
    </w:p>
    <w:p w14:paraId="299550F5" w14:textId="77777777" w:rsidR="00FC0DB8" w:rsidRDefault="00FC0DB8" w:rsidP="00891FF7">
      <w:pPr>
        <w:spacing w:before="200"/>
      </w:pPr>
      <w:r w:rsidRPr="0007586A">
        <w:t xml:space="preserve">This indicator reports on the percentage of children aged 0–14 years who had visited a GP at their usual medical centre, or somewhere else, in the </w:t>
      </w:r>
      <w:r>
        <w:t>past</w:t>
      </w:r>
      <w:r w:rsidRPr="0007586A">
        <w:t xml:space="preserve"> 12 months. For age</w:t>
      </w:r>
      <w:r>
        <w:t xml:space="preserve"> group analyses, children aged 6</w:t>
      </w:r>
      <w:r w:rsidRPr="0007586A">
        <w:t>–</w:t>
      </w:r>
      <w:r>
        <w:t>12</w:t>
      </w:r>
      <w:r w:rsidRPr="0007586A">
        <w:t xml:space="preserve"> years have been grouped together, </w:t>
      </w:r>
      <w:r>
        <w:t>to reflect the increase in levels of subsidies in place for this group from July 2015</w:t>
      </w:r>
      <w:r w:rsidRPr="00703812">
        <w:t>.</w:t>
      </w:r>
      <w:r>
        <w:t xml:space="preserve"> The 2015/16 data (July 2014</w:t>
      </w:r>
      <w:r w:rsidRPr="0007586A">
        <w:t>–</w:t>
      </w:r>
      <w:r>
        <w:t>June 2016 because the survey question asked for information about the previous 12 months) includes both GP visits before the funding change and GP visits after the funding change.</w:t>
      </w:r>
    </w:p>
    <w:p w14:paraId="604F996D" w14:textId="77777777" w:rsidR="00FC0DB8" w:rsidRDefault="00FC0DB8" w:rsidP="00891FF7">
      <w:pPr>
        <w:spacing w:before="200"/>
      </w:pPr>
      <w:r>
        <w:t>Three in four children</w:t>
      </w:r>
      <w:r w:rsidRPr="0007586A">
        <w:t xml:space="preserve"> </w:t>
      </w:r>
      <w:r>
        <w:t xml:space="preserve">(76%) </w:t>
      </w:r>
      <w:r w:rsidRPr="0007586A">
        <w:t xml:space="preserve">had visited a GP in the </w:t>
      </w:r>
      <w:r>
        <w:t>past</w:t>
      </w:r>
      <w:r w:rsidRPr="0007586A">
        <w:t xml:space="preserve"> 12 months.</w:t>
      </w:r>
      <w:r>
        <w:t xml:space="preserve"> </w:t>
      </w:r>
      <w:r w:rsidRPr="0007586A">
        <w:t xml:space="preserve">Children younger than six years were more likely to have visited a GP in the </w:t>
      </w:r>
      <w:r>
        <w:t>past</w:t>
      </w:r>
      <w:r w:rsidRPr="0007586A">
        <w:t xml:space="preserve"> 12 months than older children (the rate</w:t>
      </w:r>
      <w:r>
        <w:t>s</w:t>
      </w:r>
      <w:r w:rsidRPr="0007586A">
        <w:t xml:space="preserve"> w</w:t>
      </w:r>
      <w:r>
        <w:t>ere</w:t>
      </w:r>
      <w:r w:rsidRPr="0007586A">
        <w:t xml:space="preserve"> </w:t>
      </w:r>
      <w:r>
        <w:t>87</w:t>
      </w:r>
      <w:r w:rsidRPr="0007586A">
        <w:t>%</w:t>
      </w:r>
      <w:r>
        <w:t xml:space="preserve"> for 0–5 years, 71% for 6–12 years and 61% for 13–14 years). </w:t>
      </w:r>
      <w:r w:rsidRPr="0007586A">
        <w:t xml:space="preserve">There </w:t>
      </w:r>
      <w:r>
        <w:t xml:space="preserve">was little or no </w:t>
      </w:r>
      <w:r w:rsidRPr="00BB2DA2">
        <w:t>variation in the percentage of children who visited a GP by sex, ethnic group or neighbourhood deprivation level.</w:t>
      </w:r>
    </w:p>
    <w:p w14:paraId="68BDD3F2" w14:textId="77777777" w:rsidR="00FC0DB8" w:rsidRDefault="00FC0DB8" w:rsidP="00891FF7">
      <w:pPr>
        <w:spacing w:before="200"/>
      </w:pPr>
      <w:r w:rsidRPr="00F2505D">
        <w:t>On average</w:t>
      </w:r>
      <w:r>
        <w:t>, children visited a GP 3.0</w:t>
      </w:r>
      <w:r w:rsidRPr="00F2505D">
        <w:t xml:space="preserve"> times</w:t>
      </w:r>
      <w:r>
        <w:t xml:space="preserve"> </w:t>
      </w:r>
      <w:r w:rsidRPr="00F2505D">
        <w:t>in the past 12 months</w:t>
      </w:r>
      <w:r>
        <w:t>. T</w:t>
      </w:r>
      <w:r w:rsidRPr="00F2505D">
        <w:t xml:space="preserve">he younger </w:t>
      </w:r>
      <w:r>
        <w:t xml:space="preserve">the child, the more visits they made (4.1 for </w:t>
      </w:r>
      <w:r w:rsidRPr="00F2505D">
        <w:t>0–5 years</w:t>
      </w:r>
      <w:r>
        <w:t>, 2.3 for 6</w:t>
      </w:r>
      <w:r w:rsidRPr="00F2505D">
        <w:t>–1</w:t>
      </w:r>
      <w:r>
        <w:t>2</w:t>
      </w:r>
      <w:r w:rsidRPr="00F2505D">
        <w:t xml:space="preserve"> years</w:t>
      </w:r>
      <w:r>
        <w:t xml:space="preserve"> and 2.0 for 13</w:t>
      </w:r>
      <w:r w:rsidRPr="00F2505D">
        <w:t>–1</w:t>
      </w:r>
      <w:r>
        <w:t>4</w:t>
      </w:r>
      <w:r w:rsidRPr="00F2505D">
        <w:t xml:space="preserve"> years</w:t>
      </w:r>
      <w:r>
        <w:t>)</w:t>
      </w:r>
      <w:r w:rsidRPr="00F2505D">
        <w:t>.</w:t>
      </w:r>
      <w:r w:rsidR="00891FF7">
        <w:rPr>
          <w:rStyle w:val="FootnoteReference"/>
        </w:rPr>
        <w:footnoteReference w:id="43"/>
      </w:r>
    </w:p>
    <w:p w14:paraId="5578D397" w14:textId="77777777" w:rsidR="00FC0DB8" w:rsidRDefault="00FC0DB8" w:rsidP="00891FF7">
      <w:pPr>
        <w:spacing w:before="200"/>
      </w:pPr>
      <w:r w:rsidRPr="00A601EF">
        <w:t xml:space="preserve">A greater percentage of children received their </w:t>
      </w:r>
      <w:r>
        <w:t>last</w:t>
      </w:r>
      <w:r w:rsidRPr="00A601EF">
        <w:t xml:space="preserve"> </w:t>
      </w:r>
      <w:r>
        <w:t>GP visit (anywhere) free in 2015/16 (82</w:t>
      </w:r>
      <w:r w:rsidRPr="00A601EF">
        <w:t xml:space="preserve">%) than in </w:t>
      </w:r>
      <w:r>
        <w:t>any previous year of the survey (rates ranged from 42% in 2006/07 to 57% in 2014/15)</w:t>
      </w:r>
      <w:r w:rsidRPr="00A601EF">
        <w:t>.</w:t>
      </w:r>
      <w:r w:rsidR="00891FF7">
        <w:rPr>
          <w:vertAlign w:val="superscript"/>
        </w:rPr>
        <w:t>43</w:t>
      </w:r>
      <w:r>
        <w:t xml:space="preserve"> Children aged 6</w:t>
      </w:r>
      <w:r w:rsidRPr="00F2505D">
        <w:t>–1</w:t>
      </w:r>
      <w:r>
        <w:t>2</w:t>
      </w:r>
      <w:r w:rsidRPr="00F2505D">
        <w:t xml:space="preserve"> years</w:t>
      </w:r>
      <w:r>
        <w:t xml:space="preserve"> are of particular interest because Zero Fees for Under 13s was introduced in July 2015. For three-quarters of children aged 6</w:t>
      </w:r>
      <w:r w:rsidRPr="00F2505D">
        <w:t>–1</w:t>
      </w:r>
      <w:r>
        <w:t>2</w:t>
      </w:r>
      <w:r w:rsidRPr="00F2505D">
        <w:t xml:space="preserve"> years</w:t>
      </w:r>
      <w:r>
        <w:t xml:space="preserve"> (77%), their last visit to a GP was free, up from one-quarter in 2014/15 (26%).</w:t>
      </w:r>
    </w:p>
    <w:p w14:paraId="175A182E" w14:textId="7DF6A33A" w:rsidR="00FC0DB8" w:rsidRDefault="00864470" w:rsidP="00891FF7">
      <w:pPr>
        <w:pStyle w:val="Heading3"/>
        <w:spacing w:before="360"/>
      </w:pPr>
      <w:r>
        <w:lastRenderedPageBreak/>
        <w:t>More than f</w:t>
      </w:r>
      <w:r w:rsidR="00FC0DB8">
        <w:t>our in five children had their last visit with a practice nurse only for free</w:t>
      </w:r>
    </w:p>
    <w:p w14:paraId="765E6BC2" w14:textId="77777777" w:rsidR="00FC0DB8" w:rsidRPr="001311FB" w:rsidRDefault="00FC0DB8" w:rsidP="00891FF7">
      <w:pPr>
        <w:pStyle w:val="Box"/>
        <w:jc w:val="center"/>
        <w:rPr>
          <w:lang w:eastAsia="en-NZ"/>
        </w:rPr>
      </w:pPr>
      <w:r w:rsidRPr="00DE52DA">
        <w:rPr>
          <w:noProof/>
          <w:lang w:eastAsia="en-NZ"/>
        </w:rPr>
        <w:drawing>
          <wp:inline distT="0" distB="0" distL="0" distR="0" wp14:anchorId="70F16488" wp14:editId="77AAB5AE">
            <wp:extent cx="5600700" cy="3143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1F58E385" w14:textId="77777777" w:rsidR="00FC0DB8" w:rsidRDefault="00FC0DB8" w:rsidP="00891FF7"/>
    <w:p w14:paraId="301D2A7A" w14:textId="77777777" w:rsidR="00FC0DB8" w:rsidRPr="0007586A" w:rsidRDefault="00FC0DB8" w:rsidP="00891FF7">
      <w:r w:rsidRPr="0007586A">
        <w:t xml:space="preserve">Practice nurses work within a general practice setting, providing a comprehensive range of primary health care services. They are a key part of the general practice team. Practice nurses focus on health promotion, disease prevention, wellness, first-point-of-contact care and disease management across </w:t>
      </w:r>
      <w:r>
        <w:t>a patient</w:t>
      </w:r>
      <w:r w:rsidR="00FD6712">
        <w:t>’</w:t>
      </w:r>
      <w:r>
        <w:t>s</w:t>
      </w:r>
      <w:r w:rsidRPr="0007586A">
        <w:t xml:space="preserve"> lifespan. They run screening and preventative programmes, such as immunisations, and have an important role in care coordination for patients and their families. </w:t>
      </w:r>
      <w:r w:rsidRPr="007F116E">
        <w:t xml:space="preserve">As with GP visits, the Ministry provides additional funding to encourage free practice nurse consultations for children under </w:t>
      </w:r>
      <w:r>
        <w:t>13</w:t>
      </w:r>
      <w:r w:rsidRPr="007F116E">
        <w:t xml:space="preserve"> years </w:t>
      </w:r>
      <w:r>
        <w:t>old</w:t>
      </w:r>
      <w:r w:rsidRPr="007F116E">
        <w:t xml:space="preserve"> (</w:t>
      </w:r>
      <w:r>
        <w:t xml:space="preserve">part of the </w:t>
      </w:r>
      <w:r w:rsidRPr="007F116E">
        <w:t>Zero Fees for Under 13s initiative).</w:t>
      </w:r>
    </w:p>
    <w:p w14:paraId="69F356E5" w14:textId="77777777" w:rsidR="00FC0DB8" w:rsidRPr="0007586A" w:rsidRDefault="00FC0DB8" w:rsidP="00891FF7"/>
    <w:p w14:paraId="37598175" w14:textId="44E24FAD" w:rsidR="00FC0DB8" w:rsidRPr="0007586A" w:rsidRDefault="00864470" w:rsidP="00891FF7">
      <w:r>
        <w:t>More than o</w:t>
      </w:r>
      <w:r w:rsidR="00FC0DB8">
        <w:t>ne in four</w:t>
      </w:r>
      <w:r w:rsidR="00FC0DB8" w:rsidRPr="0007586A">
        <w:t xml:space="preserve"> children (</w:t>
      </w:r>
      <w:r w:rsidR="00FC0DB8">
        <w:t>27</w:t>
      </w:r>
      <w:r w:rsidR="00FC0DB8" w:rsidRPr="0007586A">
        <w:t xml:space="preserve">%) had visited a practice nurse during the </w:t>
      </w:r>
      <w:r w:rsidR="00FC0DB8">
        <w:t>past</w:t>
      </w:r>
      <w:r w:rsidR="00FC0DB8" w:rsidRPr="0007586A">
        <w:t xml:space="preserve"> 12 months without seeing a GP at the same visit.</w:t>
      </w:r>
    </w:p>
    <w:p w14:paraId="7FC83F6A" w14:textId="77777777" w:rsidR="00FC0DB8" w:rsidRPr="0007586A" w:rsidRDefault="00FC0DB8" w:rsidP="00891FF7">
      <w:pPr>
        <w:rPr>
          <w:highlight w:val="yellow"/>
        </w:rPr>
      </w:pPr>
    </w:p>
    <w:p w14:paraId="4035C483" w14:textId="77777777" w:rsidR="00FC0DB8" w:rsidRPr="0007586A" w:rsidRDefault="00FC0DB8" w:rsidP="00891FF7">
      <w:r w:rsidRPr="0007586A">
        <w:t xml:space="preserve">Children younger than six years were much more likely than older children to have visited a practice nurse in the </w:t>
      </w:r>
      <w:r>
        <w:t>past</w:t>
      </w:r>
      <w:r w:rsidRPr="0007586A">
        <w:t xml:space="preserve"> 12 months without seeing a GP at the same visit (the rate</w:t>
      </w:r>
      <w:r>
        <w:t>s</w:t>
      </w:r>
      <w:r w:rsidRPr="0007586A">
        <w:t xml:space="preserve"> </w:t>
      </w:r>
      <w:r>
        <w:t>were</w:t>
      </w:r>
      <w:r w:rsidRPr="0007586A">
        <w:t xml:space="preserve"> </w:t>
      </w:r>
      <w:r>
        <w:t>39</w:t>
      </w:r>
      <w:r w:rsidRPr="0007586A">
        <w:t>%</w:t>
      </w:r>
      <w:r>
        <w:t xml:space="preserve"> for 0–5 years, 18% for 6–12 years and 20% for 13–14 years</w:t>
      </w:r>
      <w:r w:rsidRPr="0007586A">
        <w:t>).</w:t>
      </w:r>
    </w:p>
    <w:p w14:paraId="69C0AAEE" w14:textId="77777777" w:rsidR="00FC0DB8" w:rsidRDefault="00FC0DB8" w:rsidP="00891FF7"/>
    <w:p w14:paraId="1F6A6865" w14:textId="77777777" w:rsidR="00FC0DB8" w:rsidRDefault="00FC0DB8" w:rsidP="00891FF7">
      <w:r>
        <w:t>About o</w:t>
      </w:r>
      <w:r w:rsidRPr="00BF7EDD">
        <w:t>ne in five Asian children</w:t>
      </w:r>
      <w:r>
        <w:t xml:space="preserve"> (20</w:t>
      </w:r>
      <w:r w:rsidRPr="00BF7EDD">
        <w:t xml:space="preserve">%) </w:t>
      </w:r>
      <w:r>
        <w:t>had</w:t>
      </w:r>
      <w:r w:rsidRPr="00BF7EDD">
        <w:t xml:space="preserve"> visited a practice nurse in the </w:t>
      </w:r>
      <w:r>
        <w:t>past</w:t>
      </w:r>
      <w:r w:rsidRPr="00BF7EDD">
        <w:t xml:space="preserve"> 12 months without seeing a GP at the same visit.</w:t>
      </w:r>
      <w:r w:rsidR="00891FF7">
        <w:rPr>
          <w:rStyle w:val="FootnoteReference"/>
        </w:rPr>
        <w:footnoteReference w:id="44"/>
      </w:r>
      <w:r w:rsidRPr="00BF7EDD">
        <w:t xml:space="preserve"> </w:t>
      </w:r>
      <w:r>
        <w:t>Asian children were less likely to have visited a practice nurse than non-Asian children, after adjusting for age and sex differences.</w:t>
      </w:r>
    </w:p>
    <w:p w14:paraId="5033AECD" w14:textId="77777777" w:rsidR="00FC0DB8" w:rsidRDefault="00FC0DB8" w:rsidP="00891FF7"/>
    <w:p w14:paraId="69C5CC95" w14:textId="77777777" w:rsidR="00FC0DB8" w:rsidRPr="00891FF7" w:rsidRDefault="00FC0DB8" w:rsidP="00891FF7">
      <w:r w:rsidRPr="00867A9D">
        <w:t>On average</w:t>
      </w:r>
      <w:r>
        <w:t>,</w:t>
      </w:r>
      <w:r w:rsidRPr="00867A9D">
        <w:t xml:space="preserve"> children </w:t>
      </w:r>
      <w:r>
        <w:t xml:space="preserve">had </w:t>
      </w:r>
      <w:r w:rsidRPr="00867A9D">
        <w:t xml:space="preserve">visited a practice nurse without </w:t>
      </w:r>
      <w:r>
        <w:t xml:space="preserve">seeing a GP at the same visit </w:t>
      </w:r>
      <w:r w:rsidRPr="00867A9D">
        <w:t>0.5 times in the past 12 months</w:t>
      </w:r>
      <w:r>
        <w:t>. T</w:t>
      </w:r>
      <w:r w:rsidRPr="00867A9D">
        <w:t>he younger the child, the more visits</w:t>
      </w:r>
      <w:r>
        <w:t xml:space="preserve"> they made: on average, </w:t>
      </w:r>
      <w:r w:rsidRPr="00867A9D">
        <w:t>children aged 0–5 years</w:t>
      </w:r>
      <w:r w:rsidRPr="00B06830">
        <w:t xml:space="preserve"> </w:t>
      </w:r>
      <w:r>
        <w:t>made</w:t>
      </w:r>
      <w:r w:rsidRPr="00867A9D">
        <w:t xml:space="preserve"> 0.7 visits, compared </w:t>
      </w:r>
      <w:r>
        <w:t>with 0.4</w:t>
      </w:r>
      <w:r w:rsidRPr="00867A9D">
        <w:t xml:space="preserve"> visits for children aged </w:t>
      </w:r>
      <w:r>
        <w:t>6–12 and 13</w:t>
      </w:r>
      <w:r w:rsidRPr="00867A9D">
        <w:t>–14 years.</w:t>
      </w:r>
      <w:r w:rsidR="00891FF7">
        <w:rPr>
          <w:vertAlign w:val="superscript"/>
        </w:rPr>
        <w:t>44</w:t>
      </w:r>
    </w:p>
    <w:p w14:paraId="64464F5C" w14:textId="77777777" w:rsidR="00FC0DB8" w:rsidRDefault="00FC0DB8" w:rsidP="00891FF7"/>
    <w:p w14:paraId="785F7773" w14:textId="77777777" w:rsidR="00FC0DB8" w:rsidRDefault="00FC0DB8" w:rsidP="00891FF7">
      <w:r>
        <w:t>For most children (84</w:t>
      </w:r>
      <w:r w:rsidRPr="00867A9D">
        <w:t xml:space="preserve">%) </w:t>
      </w:r>
      <w:r>
        <w:t xml:space="preserve">who visited </w:t>
      </w:r>
      <w:r w:rsidRPr="00867A9D">
        <w:t>a practice nurse without seeing a GP at the same visit in 201</w:t>
      </w:r>
      <w:r>
        <w:t>5</w:t>
      </w:r>
      <w:r w:rsidRPr="00867A9D">
        <w:t>/1</w:t>
      </w:r>
      <w:r>
        <w:t>6, their last visit was free. This proportion was higher for children under six years (95%).</w:t>
      </w:r>
      <w:r w:rsidR="00891FF7">
        <w:rPr>
          <w:vertAlign w:val="superscript"/>
        </w:rPr>
        <w:t>44</w:t>
      </w:r>
    </w:p>
    <w:p w14:paraId="017680B9" w14:textId="77777777" w:rsidR="00FC0DB8" w:rsidRDefault="00FC0DB8" w:rsidP="00CD0B5E">
      <w:pPr>
        <w:pStyle w:val="Heading3"/>
      </w:pPr>
      <w:r>
        <w:lastRenderedPageBreak/>
        <w:t>Two-thirds of children had their last visit to an after</w:t>
      </w:r>
      <w:r w:rsidRPr="00C2591F">
        <w:t xml:space="preserve">-hours medical centre </w:t>
      </w:r>
      <w:r>
        <w:t>for free</w:t>
      </w:r>
    </w:p>
    <w:p w14:paraId="3A34FC1E" w14:textId="77777777" w:rsidR="00FC0DB8" w:rsidRPr="001311FB" w:rsidRDefault="00FC0DB8" w:rsidP="00CD0B5E">
      <w:pPr>
        <w:pStyle w:val="Box"/>
        <w:jc w:val="center"/>
        <w:rPr>
          <w:lang w:eastAsia="en-NZ"/>
        </w:rPr>
      </w:pPr>
      <w:r w:rsidRPr="00DE52DA">
        <w:rPr>
          <w:noProof/>
          <w:lang w:eastAsia="en-NZ"/>
        </w:rPr>
        <w:drawing>
          <wp:inline distT="0" distB="0" distL="0" distR="0" wp14:anchorId="6B08D336" wp14:editId="4C9BBA53">
            <wp:extent cx="5600700" cy="31432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1DB8EC9C" w14:textId="77777777" w:rsidR="00FC0DB8" w:rsidRDefault="00FC0DB8" w:rsidP="00CD0B5E"/>
    <w:p w14:paraId="5A59D637" w14:textId="3BCD586F" w:rsidR="00FC0DB8" w:rsidRDefault="00FC0DB8" w:rsidP="00CD0B5E">
      <w:r w:rsidRPr="0007586A">
        <w:t>After-hours medical centres provide primary health care outside usual business hours. The</w:t>
      </w:r>
      <w:r>
        <w:t>ir</w:t>
      </w:r>
      <w:r w:rsidRPr="0007586A">
        <w:t xml:space="preserve"> cost of care is higher than </w:t>
      </w:r>
      <w:r>
        <w:t xml:space="preserve">it is </w:t>
      </w:r>
      <w:r w:rsidRPr="0007586A">
        <w:t xml:space="preserve">for services during usual business hours, particularly for people who are not enrolled with a </w:t>
      </w:r>
      <w:r>
        <w:t>PHO</w:t>
      </w:r>
      <w:r w:rsidRPr="0007586A">
        <w:t xml:space="preserve">. </w:t>
      </w:r>
      <w:r w:rsidRPr="00711350">
        <w:t>The Ministry introduced funding to encourage fr</w:t>
      </w:r>
      <w:r w:rsidR="0065245C">
        <w:t>ee access to after-hours medical centre</w:t>
      </w:r>
      <w:r w:rsidRPr="00711350">
        <w:t>s for children under six in July 2012 and</w:t>
      </w:r>
      <w:r>
        <w:t>,</w:t>
      </w:r>
      <w:r w:rsidRPr="00711350">
        <w:t xml:space="preserve"> in July 2015, this was extended to children under </w:t>
      </w:r>
      <w:r>
        <w:t>13</w:t>
      </w:r>
      <w:r w:rsidRPr="00711350">
        <w:t>.</w:t>
      </w:r>
    </w:p>
    <w:p w14:paraId="437BE900" w14:textId="77777777" w:rsidR="00FC0DB8" w:rsidRPr="0007586A" w:rsidRDefault="00FC0DB8" w:rsidP="00CD0B5E"/>
    <w:p w14:paraId="03A689DC" w14:textId="77777777" w:rsidR="00FC0DB8" w:rsidRPr="0007586A" w:rsidRDefault="00FC0DB8" w:rsidP="00CD0B5E">
      <w:r w:rsidRPr="0007586A">
        <w:t xml:space="preserve">About </w:t>
      </w:r>
      <w:r>
        <w:t>236,000</w:t>
      </w:r>
      <w:r w:rsidRPr="0007586A">
        <w:t xml:space="preserve"> children (</w:t>
      </w:r>
      <w:r>
        <w:t>26</w:t>
      </w:r>
      <w:r w:rsidRPr="0007586A">
        <w:t>%)</w:t>
      </w:r>
      <w:r>
        <w:t xml:space="preserve"> had</w:t>
      </w:r>
      <w:r w:rsidRPr="0007586A">
        <w:t xml:space="preserve"> visited an aft</w:t>
      </w:r>
      <w:r>
        <w:t>er-hours medical centre in the p</w:t>
      </w:r>
      <w:r w:rsidRPr="0007586A">
        <w:t>ast 12 months.</w:t>
      </w:r>
    </w:p>
    <w:p w14:paraId="27035CC5" w14:textId="77777777" w:rsidR="00FC0DB8" w:rsidRDefault="00FC0DB8" w:rsidP="00CD0B5E"/>
    <w:p w14:paraId="470AAC9C" w14:textId="42750231" w:rsidR="00FD6712" w:rsidRDefault="00FC0DB8" w:rsidP="00CD0B5E">
      <w:r w:rsidRPr="0007586A">
        <w:t xml:space="preserve">Children aged under six </w:t>
      </w:r>
      <w:r>
        <w:t xml:space="preserve">years </w:t>
      </w:r>
      <w:r w:rsidRPr="0007586A">
        <w:t xml:space="preserve">were more likely than </w:t>
      </w:r>
      <w:r w:rsidRPr="00B531F6">
        <w:t xml:space="preserve">older children to have visited an after-hours medical centre in the </w:t>
      </w:r>
      <w:r>
        <w:t>past</w:t>
      </w:r>
      <w:r w:rsidRPr="00B531F6">
        <w:t xml:space="preserve"> 12 months (the rate</w:t>
      </w:r>
      <w:r>
        <w:t>s were</w:t>
      </w:r>
      <w:r w:rsidR="00527CD3">
        <w:t xml:space="preserve"> 33</w:t>
      </w:r>
      <w:r w:rsidRPr="00B531F6">
        <w:t>%</w:t>
      </w:r>
      <w:r>
        <w:t xml:space="preserve"> for 0–5 years, 22% for 6–12 years and 16% for 13–14 years</w:t>
      </w:r>
      <w:r w:rsidRPr="00B531F6">
        <w:t xml:space="preserve">). </w:t>
      </w:r>
      <w:r w:rsidRPr="00966E65">
        <w:t>The rate</w:t>
      </w:r>
      <w:r>
        <w:t>s</w:t>
      </w:r>
      <w:r w:rsidRPr="00966E65">
        <w:t xml:space="preserve"> </w:t>
      </w:r>
      <w:r>
        <w:t xml:space="preserve">for </w:t>
      </w:r>
      <w:r w:rsidRPr="00966E65">
        <w:t xml:space="preserve">under sixes </w:t>
      </w:r>
      <w:r>
        <w:t xml:space="preserve">and children aged 6–12 years having visited an </w:t>
      </w:r>
      <w:r w:rsidRPr="00966E65">
        <w:t xml:space="preserve">after-hours </w:t>
      </w:r>
      <w:r>
        <w:t>medical centre</w:t>
      </w:r>
      <w:r w:rsidRPr="00966E65">
        <w:t xml:space="preserve"> in the past 12 months </w:t>
      </w:r>
      <w:r>
        <w:t>have</w:t>
      </w:r>
      <w:r w:rsidRPr="00966E65">
        <w:t xml:space="preserve"> increased</w:t>
      </w:r>
      <w:r>
        <w:t xml:space="preserve"> (across the period</w:t>
      </w:r>
      <w:r w:rsidRPr="00966E65">
        <w:t xml:space="preserve"> 2011/12–2013/14</w:t>
      </w:r>
      <w:r>
        <w:t>,</w:t>
      </w:r>
      <w:r w:rsidRPr="00966E65">
        <w:t xml:space="preserve"> </w:t>
      </w:r>
      <w:r>
        <w:t>the rate for under sixes was</w:t>
      </w:r>
      <w:r w:rsidRPr="00966E65">
        <w:t xml:space="preserve"> 28% </w:t>
      </w:r>
      <w:r>
        <w:t>and the rate for children aged 6–12 years was 17%)</w:t>
      </w:r>
      <w:r w:rsidRPr="00966E65">
        <w:t>.</w:t>
      </w:r>
      <w:r w:rsidR="00CD0B5E">
        <w:rPr>
          <w:rStyle w:val="FootnoteReference"/>
        </w:rPr>
        <w:footnoteReference w:id="45"/>
      </w:r>
    </w:p>
    <w:p w14:paraId="7F8CBB9A" w14:textId="77777777" w:rsidR="00FC0DB8" w:rsidRDefault="00FC0DB8" w:rsidP="00CD0B5E"/>
    <w:p w14:paraId="55060877" w14:textId="77777777" w:rsidR="00FC0DB8" w:rsidRPr="002B4B62" w:rsidRDefault="00FC0DB8" w:rsidP="00CD0B5E">
      <w:r>
        <w:t xml:space="preserve">Children living in the most deprived areas were less likely than children living in the least deprived areas to have </w:t>
      </w:r>
      <w:r w:rsidRPr="002B4B62">
        <w:t xml:space="preserve">visited an after-hours medical </w:t>
      </w:r>
      <w:r>
        <w:t xml:space="preserve">centre in the past 12 months, after </w:t>
      </w:r>
      <w:r w:rsidRPr="0007586A">
        <w:t>adjusting for age, sex and ethnic differences.</w:t>
      </w:r>
      <w:r>
        <w:t xml:space="preserve"> The rates were 22% and 31% respectively.</w:t>
      </w:r>
    </w:p>
    <w:p w14:paraId="637FB171" w14:textId="77777777" w:rsidR="00FC0DB8" w:rsidRPr="004B06C1" w:rsidRDefault="00FC0DB8" w:rsidP="00CD0B5E">
      <w:pPr>
        <w:rPr>
          <w:highlight w:val="lightGray"/>
        </w:rPr>
      </w:pPr>
    </w:p>
    <w:p w14:paraId="34C731B0" w14:textId="5A7FB1D6" w:rsidR="00FC0DB8" w:rsidRPr="0007586A" w:rsidRDefault="00FC0DB8" w:rsidP="00CD0B5E">
      <w:r w:rsidRPr="002B4B62">
        <w:t>The last a</w:t>
      </w:r>
      <w:r w:rsidR="00782130">
        <w:t>fter-hours visit was free for 67</w:t>
      </w:r>
      <w:r w:rsidRPr="002B4B62">
        <w:t>% of those children who had visited an after-hours medical centre in the past 12 months, up from 55% in 2014/15.</w:t>
      </w:r>
      <w:r w:rsidRPr="002B4B62">
        <w:rPr>
          <w:vertAlign w:val="superscript"/>
        </w:rPr>
        <w:t>‡</w:t>
      </w:r>
      <w:r w:rsidRPr="002B4B62">
        <w:t xml:space="preserve"> Children under six years were the age group most likely to have had their last after-h</w:t>
      </w:r>
      <w:r w:rsidR="00C11000">
        <w:t>ours visit free; the rate was 84</w:t>
      </w:r>
      <w:r w:rsidRPr="002B4B62">
        <w:t xml:space="preserve">%, up from 38% </w:t>
      </w:r>
      <w:r>
        <w:t>in 2011/12</w:t>
      </w:r>
      <w:r w:rsidRPr="002B4B62">
        <w:t xml:space="preserve">. </w:t>
      </w:r>
      <w:r>
        <w:t>Children aged 6</w:t>
      </w:r>
      <w:r w:rsidRPr="00F2505D">
        <w:t>–1</w:t>
      </w:r>
      <w:r>
        <w:t>2</w:t>
      </w:r>
      <w:r w:rsidRPr="00F2505D">
        <w:t xml:space="preserve"> years</w:t>
      </w:r>
      <w:r>
        <w:t xml:space="preserve"> are of particular interest because Zero Fees for Under 13s was introduced in July 2015. </w:t>
      </w:r>
      <w:r w:rsidRPr="002B4B62">
        <w:t xml:space="preserve">Half of children aged 6–12 years (52%) had their last after-hours visit free, up </w:t>
      </w:r>
      <w:r>
        <w:t>from 18% in 2014</w:t>
      </w:r>
      <w:r w:rsidRPr="002B4B62">
        <w:t>/1</w:t>
      </w:r>
      <w:r>
        <w:t>5</w:t>
      </w:r>
      <w:r w:rsidRPr="002B4B62">
        <w:t>.</w:t>
      </w:r>
    </w:p>
    <w:p w14:paraId="58CA0D85" w14:textId="77777777" w:rsidR="00FC0DB8" w:rsidRPr="0007586A" w:rsidRDefault="00FC0DB8" w:rsidP="00CD0B5E"/>
    <w:p w14:paraId="5A758653" w14:textId="77777777" w:rsidR="00FC0DB8" w:rsidRDefault="00FC0DB8" w:rsidP="00CD0B5E">
      <w:pPr>
        <w:pStyle w:val="Heading3"/>
      </w:pPr>
      <w:r>
        <w:lastRenderedPageBreak/>
        <w:t>Nearly one-quarter of ch</w:t>
      </w:r>
      <w:r w:rsidRPr="00D354A4">
        <w:t xml:space="preserve">ildren </w:t>
      </w:r>
      <w:r>
        <w:t xml:space="preserve">experienced one or more types of </w:t>
      </w:r>
      <w:r w:rsidRPr="00D354A4">
        <w:t>unmet need for primary health care</w:t>
      </w:r>
      <w:r>
        <w:t xml:space="preserve"> in the past 12 months</w:t>
      </w:r>
    </w:p>
    <w:p w14:paraId="69AF0447" w14:textId="77F819B4" w:rsidR="00FC0DB8" w:rsidRDefault="008A05CB" w:rsidP="00CD0B5E">
      <w:pPr>
        <w:pStyle w:val="Box"/>
        <w:jc w:val="center"/>
      </w:pPr>
      <w:r w:rsidRPr="008A05CB">
        <w:rPr>
          <w:noProof/>
          <w:lang w:eastAsia="en-NZ"/>
        </w:rPr>
        <w:drawing>
          <wp:inline distT="0" distB="0" distL="0" distR="0" wp14:anchorId="00BE7D9E" wp14:editId="2A82D37D">
            <wp:extent cx="5600700" cy="3143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7A4407BC" w14:textId="77777777" w:rsidR="00CD0B5E" w:rsidRDefault="00CD0B5E" w:rsidP="00CD0B5E"/>
    <w:p w14:paraId="1EE99F60" w14:textId="77777777" w:rsidR="00FC0DB8" w:rsidRPr="0007586A" w:rsidRDefault="00FC0DB8" w:rsidP="00CD0B5E">
      <w:r w:rsidRPr="00D212E7">
        <w:t>Even though access to primary health care services is free for children under 13 years almost everywhere in New Zealand,</w:t>
      </w:r>
      <w:r w:rsidRPr="0007586A">
        <w:t xml:space="preserve"> some children experience unmet need for primary health care. </w:t>
      </w:r>
      <w:r w:rsidRPr="00711350">
        <w:t xml:space="preserve">To reduce the effect of cost </w:t>
      </w:r>
      <w:r>
        <w:t>on</w:t>
      </w:r>
      <w:r w:rsidRPr="00711350">
        <w:t xml:space="preserve"> accessing primary health care services, the Zero Fees for Under 13s initiative supports </w:t>
      </w:r>
      <w:r>
        <w:t xml:space="preserve">general </w:t>
      </w:r>
      <w:r w:rsidRPr="00711350">
        <w:t xml:space="preserve">practices to provide free primary health care to children under </w:t>
      </w:r>
      <w:r>
        <w:t>13 </w:t>
      </w:r>
      <w:r w:rsidRPr="00711350">
        <w:t xml:space="preserve">years </w:t>
      </w:r>
      <w:r>
        <w:t xml:space="preserve">old </w:t>
      </w:r>
      <w:r w:rsidRPr="00711350">
        <w:t>at any time.</w:t>
      </w:r>
    </w:p>
    <w:p w14:paraId="0393E4E5" w14:textId="77777777" w:rsidR="00CD0B5E" w:rsidRDefault="00CD0B5E" w:rsidP="00CD0B5E"/>
    <w:p w14:paraId="5BC0CF73" w14:textId="3B688898" w:rsidR="00FC0DB8" w:rsidRPr="008036FA" w:rsidRDefault="00FC0DB8" w:rsidP="00CD0B5E">
      <w:r w:rsidRPr="008036FA">
        <w:t xml:space="preserve">This indicator investigates whether children had experienced any of </w:t>
      </w:r>
      <w:r>
        <w:t>the following</w:t>
      </w:r>
      <w:r w:rsidRPr="008036FA">
        <w:t xml:space="preserve"> six barriers to accessing primary health care services in the past 12 months: unmet need for a GP due to cost; unmet need for </w:t>
      </w:r>
      <w:r w:rsidR="0065245C">
        <w:t>an after-hours centre</w:t>
      </w:r>
      <w:r w:rsidRPr="008036FA">
        <w:t xml:space="preserve"> due to cost; unmet need for a GP due to lack of transport; unmet need for </w:t>
      </w:r>
      <w:r w:rsidR="0065245C">
        <w:t>an after-hours centre</w:t>
      </w:r>
      <w:r w:rsidRPr="008036FA">
        <w:t xml:space="preserve"> due to lack of transport; unmet need for a GP due to lack of childcare for other children and inability to get an appointment at their usual medical centre within 24 hours.</w:t>
      </w:r>
    </w:p>
    <w:p w14:paraId="0EE359B4" w14:textId="77777777" w:rsidR="00CD0B5E" w:rsidRDefault="00CD0B5E" w:rsidP="00CD0B5E"/>
    <w:p w14:paraId="42F50996" w14:textId="77777777" w:rsidR="00FC0DB8" w:rsidRPr="0007586A" w:rsidRDefault="00FC0DB8" w:rsidP="00CD0B5E">
      <w:r>
        <w:t xml:space="preserve">Nearly one-quarter </w:t>
      </w:r>
      <w:r w:rsidRPr="0007586A">
        <w:t xml:space="preserve">of children </w:t>
      </w:r>
      <w:r>
        <w:t xml:space="preserve">(24%) </w:t>
      </w:r>
      <w:r w:rsidRPr="0007586A">
        <w:t xml:space="preserve">experienced one or more types of unmet need for primary </w:t>
      </w:r>
      <w:r>
        <w:t xml:space="preserve">health </w:t>
      </w:r>
      <w:r w:rsidRPr="0007586A">
        <w:t xml:space="preserve">care at some point in the </w:t>
      </w:r>
      <w:r>
        <w:t>past</w:t>
      </w:r>
      <w:r w:rsidRPr="0007586A">
        <w:t xml:space="preserve"> 12 months</w:t>
      </w:r>
      <w:r>
        <w:t>, up from 20% in 2011/12</w:t>
      </w:r>
      <w:r w:rsidRPr="0007586A">
        <w:t>. This unmet need was due to:</w:t>
      </w:r>
    </w:p>
    <w:p w14:paraId="4D7D8600" w14:textId="77777777" w:rsidR="00FC0DB8" w:rsidRPr="0007586A" w:rsidRDefault="00FC0DB8" w:rsidP="00CD0B5E">
      <w:pPr>
        <w:pStyle w:val="Bullet"/>
      </w:pPr>
      <w:r w:rsidRPr="0007586A">
        <w:t>inability to get an appointment within 24 hours (</w:t>
      </w:r>
      <w:r>
        <w:t>17.6</w:t>
      </w:r>
      <w:r w:rsidRPr="0007586A">
        <w:t>%)</w:t>
      </w:r>
    </w:p>
    <w:p w14:paraId="638A84EA" w14:textId="77777777" w:rsidR="00FC0DB8" w:rsidRPr="0007586A" w:rsidRDefault="00FC0DB8" w:rsidP="00CD0B5E">
      <w:pPr>
        <w:pStyle w:val="Bullet"/>
      </w:pPr>
      <w:r w:rsidRPr="0007586A">
        <w:t>the cost of GP services (</w:t>
      </w:r>
      <w:r>
        <w:t>4.5</w:t>
      </w:r>
      <w:r w:rsidRPr="0007586A">
        <w:t>%)</w:t>
      </w:r>
    </w:p>
    <w:p w14:paraId="5419F9D2" w14:textId="0AA65305" w:rsidR="00FC0DB8" w:rsidRPr="0007586A" w:rsidRDefault="0065245C" w:rsidP="00CD0B5E">
      <w:pPr>
        <w:pStyle w:val="Bullet"/>
      </w:pPr>
      <w:r>
        <w:t>the cost of after-hours medical centre</w:t>
      </w:r>
      <w:r w:rsidR="00FC0DB8" w:rsidRPr="0007586A">
        <w:t>s (</w:t>
      </w:r>
      <w:r w:rsidR="00FC0DB8">
        <w:t>4.0</w:t>
      </w:r>
      <w:r w:rsidR="00FC0DB8" w:rsidRPr="0007586A">
        <w:t>%)</w:t>
      </w:r>
    </w:p>
    <w:p w14:paraId="0391CDF3" w14:textId="77777777" w:rsidR="00FC0DB8" w:rsidRPr="0007586A" w:rsidRDefault="00FC0DB8" w:rsidP="00CD0B5E">
      <w:pPr>
        <w:pStyle w:val="Bullet"/>
      </w:pPr>
      <w:r w:rsidRPr="0007586A">
        <w:t>lack of child</w:t>
      </w:r>
      <w:r>
        <w:t xml:space="preserve"> </w:t>
      </w:r>
      <w:r w:rsidRPr="0007586A">
        <w:t>care (</w:t>
      </w:r>
      <w:r>
        <w:t>2.9</w:t>
      </w:r>
      <w:r w:rsidRPr="0007586A">
        <w:t>%)</w:t>
      </w:r>
    </w:p>
    <w:p w14:paraId="0B96A2E5" w14:textId="77777777" w:rsidR="00FC0DB8" w:rsidRPr="0007586A" w:rsidRDefault="00FC0DB8" w:rsidP="00CD0B5E">
      <w:pPr>
        <w:pStyle w:val="Bullet"/>
      </w:pPr>
      <w:r w:rsidRPr="0007586A">
        <w:t>lack of transport to a GP (</w:t>
      </w:r>
      <w:r>
        <w:t>2.8</w:t>
      </w:r>
      <w:r w:rsidRPr="0007586A">
        <w:t>%)</w:t>
      </w:r>
    </w:p>
    <w:p w14:paraId="2CF3E6D6" w14:textId="1581224E" w:rsidR="00FC0DB8" w:rsidRPr="0007586A" w:rsidRDefault="00FC0DB8" w:rsidP="00CD0B5E">
      <w:pPr>
        <w:pStyle w:val="Bullet"/>
      </w:pPr>
      <w:r w:rsidRPr="0007586A">
        <w:t xml:space="preserve">lack of transport to an after-hours </w:t>
      </w:r>
      <w:r w:rsidR="0065245C">
        <w:t>medical centr</w:t>
      </w:r>
      <w:r w:rsidRPr="0007586A">
        <w:t>e (</w:t>
      </w:r>
      <w:r>
        <w:t>1.3</w:t>
      </w:r>
      <w:r w:rsidRPr="0007586A">
        <w:t>%).</w:t>
      </w:r>
      <w:r w:rsidR="00CD0B5E">
        <w:rPr>
          <w:rStyle w:val="FootnoteReference"/>
        </w:rPr>
        <w:footnoteReference w:id="46"/>
      </w:r>
    </w:p>
    <w:p w14:paraId="23EB69B3" w14:textId="77777777" w:rsidR="00FC0DB8" w:rsidRDefault="00FC0DB8" w:rsidP="00CD0B5E"/>
    <w:p w14:paraId="1942B638" w14:textId="08E67690" w:rsidR="00CD0B5E" w:rsidRPr="00CD0B5E" w:rsidRDefault="00FC0DB8" w:rsidP="00CD0B5E">
      <w:r>
        <w:t xml:space="preserve">Twenty-eight percent of Māori children were unable to access primary health care when they needed it. </w:t>
      </w:r>
      <w:r w:rsidRPr="0007586A">
        <w:t xml:space="preserve">Māori </w:t>
      </w:r>
      <w:r w:rsidR="00C11000">
        <w:t>children were 1.3</w:t>
      </w:r>
      <w:r>
        <w:t xml:space="preserve"> times more</w:t>
      </w:r>
      <w:r w:rsidRPr="0007586A">
        <w:t xml:space="preserve"> likely not to have accessed primary health </w:t>
      </w:r>
      <w:r>
        <w:t xml:space="preserve">care </w:t>
      </w:r>
      <w:r w:rsidRPr="0007586A">
        <w:t xml:space="preserve">when they needed it </w:t>
      </w:r>
      <w:r>
        <w:t>than</w:t>
      </w:r>
      <w:r w:rsidRPr="0007586A">
        <w:t xml:space="preserve"> non-Māori children</w:t>
      </w:r>
      <w:r>
        <w:t>, after adjusting for age and sex differences</w:t>
      </w:r>
      <w:r w:rsidRPr="0007586A">
        <w:t>.</w:t>
      </w:r>
      <w:r w:rsidR="00CD0B5E">
        <w:rPr>
          <w:vertAlign w:val="superscript"/>
        </w:rPr>
        <w:t>46</w:t>
      </w:r>
    </w:p>
    <w:p w14:paraId="2F55530B" w14:textId="77777777" w:rsidR="00CD0B5E" w:rsidRDefault="00CD0B5E" w:rsidP="00CD0B5E"/>
    <w:p w14:paraId="775F9885" w14:textId="77777777" w:rsidR="00FC0DB8" w:rsidRPr="00A86DD2" w:rsidRDefault="00FC0DB8" w:rsidP="00CD0B5E">
      <w:pPr>
        <w:pStyle w:val="Heading3"/>
      </w:pPr>
      <w:r>
        <w:lastRenderedPageBreak/>
        <w:t xml:space="preserve">The percentage of children </w:t>
      </w:r>
      <w:r w:rsidRPr="00D532AF">
        <w:t>unable to get an appointment at their usual medical centre within 24 hours</w:t>
      </w:r>
      <w:r>
        <w:t xml:space="preserve"> over the past 12 months increased</w:t>
      </w:r>
    </w:p>
    <w:p w14:paraId="296B2A1E" w14:textId="77777777" w:rsidR="00FC0DB8" w:rsidRPr="008C5A1E" w:rsidRDefault="00FC0DB8" w:rsidP="00CD0B5E">
      <w:pPr>
        <w:pStyle w:val="Box"/>
        <w:jc w:val="center"/>
      </w:pPr>
      <w:r w:rsidRPr="00DE52DA">
        <w:rPr>
          <w:noProof/>
          <w:lang w:eastAsia="en-NZ"/>
        </w:rPr>
        <w:drawing>
          <wp:inline distT="0" distB="0" distL="0" distR="0" wp14:anchorId="49C5A36D" wp14:editId="3E1B6C35">
            <wp:extent cx="5600700" cy="31432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0F3B87DC" w14:textId="77777777" w:rsidR="00FC0DB8" w:rsidRDefault="00FC0DB8" w:rsidP="00CD0B5E"/>
    <w:p w14:paraId="79D7B6EB" w14:textId="77777777" w:rsidR="00FC0DB8" w:rsidRPr="0007586A" w:rsidRDefault="00FC0DB8" w:rsidP="00CD0B5E">
      <w:r w:rsidRPr="0007586A">
        <w:t xml:space="preserve">Timely access to care when it is needed is an important dimension of </w:t>
      </w:r>
      <w:r>
        <w:t xml:space="preserve">the </w:t>
      </w:r>
      <w:r w:rsidRPr="0007586A">
        <w:t xml:space="preserve">quality of </w:t>
      </w:r>
      <w:r>
        <w:t xml:space="preserve">health </w:t>
      </w:r>
      <w:r w:rsidRPr="0007586A">
        <w:t>care.</w:t>
      </w:r>
    </w:p>
    <w:p w14:paraId="639157D2" w14:textId="77777777" w:rsidR="00FC0DB8" w:rsidRPr="0007586A" w:rsidRDefault="00FC0DB8" w:rsidP="00CD0B5E"/>
    <w:p w14:paraId="59E2F645" w14:textId="1FD53348" w:rsidR="00FC0DB8" w:rsidRDefault="00FC0DB8" w:rsidP="00CD0B5E">
      <w:r w:rsidRPr="0007586A">
        <w:t xml:space="preserve">The </w:t>
      </w:r>
      <w:r>
        <w:t>interviewers</w:t>
      </w:r>
      <w:r w:rsidRPr="0007586A">
        <w:t xml:space="preserve"> asked parents </w:t>
      </w:r>
      <w:r>
        <w:t xml:space="preserve">or primary caregivers </w:t>
      </w:r>
      <w:r w:rsidRPr="0007586A">
        <w:t xml:space="preserve">whether there had been a time in the </w:t>
      </w:r>
      <w:r>
        <w:t>past</w:t>
      </w:r>
      <w:r w:rsidRPr="0007586A">
        <w:t xml:space="preserve"> 12</w:t>
      </w:r>
      <w:r w:rsidR="00CD0B5E">
        <w:t> </w:t>
      </w:r>
      <w:r w:rsidRPr="0007586A">
        <w:t xml:space="preserve">months when they </w:t>
      </w:r>
      <w:r>
        <w:t xml:space="preserve">had </w:t>
      </w:r>
      <w:r w:rsidRPr="0007586A">
        <w:t xml:space="preserve">wanted their child to see a GP, nurse or other health care worker at their usual medical centre within the next 24 hours, but this had not been possible. The parents of about </w:t>
      </w:r>
      <w:r>
        <w:t>158,000</w:t>
      </w:r>
      <w:r w:rsidRPr="0007586A">
        <w:t xml:space="preserve"> children (</w:t>
      </w:r>
      <w:r>
        <w:t>18</w:t>
      </w:r>
      <w:r w:rsidRPr="0007586A">
        <w:t xml:space="preserve">%) said </w:t>
      </w:r>
      <w:r w:rsidR="00FD6712">
        <w:t>‘</w:t>
      </w:r>
      <w:r w:rsidRPr="0007586A">
        <w:t>yes</w:t>
      </w:r>
      <w:r w:rsidR="00FD6712">
        <w:t>’</w:t>
      </w:r>
      <w:r w:rsidR="00782130">
        <w:t>, up from 13</w:t>
      </w:r>
      <w:r>
        <w:t>% in 2011/12</w:t>
      </w:r>
      <w:r w:rsidRPr="0007586A">
        <w:t>.</w:t>
      </w:r>
    </w:p>
    <w:p w14:paraId="730E8CE1" w14:textId="77777777" w:rsidR="00FC0DB8" w:rsidRDefault="00FC0DB8" w:rsidP="00CD0B5E"/>
    <w:p w14:paraId="103F8F73" w14:textId="77777777" w:rsidR="00FC0DB8" w:rsidRDefault="00FC0DB8" w:rsidP="00CD0B5E">
      <w:r>
        <w:t>The increase in children being unable to get an appointment at their usual medical centre within 24</w:t>
      </w:r>
      <w:r w:rsidR="00CD0B5E">
        <w:t> </w:t>
      </w:r>
      <w:r>
        <w:t>hours was seen across all age groups. The rates were:</w:t>
      </w:r>
    </w:p>
    <w:p w14:paraId="716EDE0E" w14:textId="77777777" w:rsidR="00FC0DB8" w:rsidRDefault="00FC0DB8" w:rsidP="00CD0B5E">
      <w:pPr>
        <w:pStyle w:val="Bullet"/>
      </w:pPr>
      <w:r>
        <w:t>19% of children aged 0–5 years, up from 17% in 2011/12 (not a significant increase)</w:t>
      </w:r>
    </w:p>
    <w:p w14:paraId="4549B087" w14:textId="77777777" w:rsidR="00FC0DB8" w:rsidRDefault="00FC0DB8" w:rsidP="00CD0B5E">
      <w:pPr>
        <w:pStyle w:val="Bullet"/>
      </w:pPr>
      <w:r>
        <w:t>17% of children aged 6–12 years, up from 12% in 2011/12</w:t>
      </w:r>
    </w:p>
    <w:p w14:paraId="3706052F" w14:textId="77777777" w:rsidR="00FC0DB8" w:rsidRPr="0007586A" w:rsidRDefault="00FC0DB8" w:rsidP="00CD0B5E">
      <w:pPr>
        <w:pStyle w:val="Bullet"/>
      </w:pPr>
      <w:r>
        <w:t>14% of children aged 13–14 years, up from 8% in 2011/12.</w:t>
      </w:r>
    </w:p>
    <w:p w14:paraId="7D01A341" w14:textId="77777777" w:rsidR="00FC0DB8" w:rsidRPr="0007586A" w:rsidRDefault="00FC0DB8" w:rsidP="00CD0B5E">
      <w:pPr>
        <w:rPr>
          <w:highlight w:val="yellow"/>
        </w:rPr>
      </w:pPr>
    </w:p>
    <w:p w14:paraId="42E0E3E2" w14:textId="77777777" w:rsidR="00FC0DB8" w:rsidRDefault="00FC0DB8" w:rsidP="00CD0B5E">
      <w:r>
        <w:t xml:space="preserve">There were no significant differences by sex, ethnicity or socioeconomic deprivation in the percentage of children who were unable </w:t>
      </w:r>
      <w:r w:rsidRPr="0007586A">
        <w:t>to get an appointment at their usual medical centre within 24 hours.</w:t>
      </w:r>
    </w:p>
    <w:p w14:paraId="489324E6" w14:textId="77777777" w:rsidR="00CD0B5E" w:rsidRPr="0007586A" w:rsidRDefault="00CD0B5E" w:rsidP="00CD0B5E"/>
    <w:p w14:paraId="4FFB768D" w14:textId="77777777" w:rsidR="00FC0DB8" w:rsidRPr="00A86DD2" w:rsidRDefault="00FC0DB8" w:rsidP="00CD0B5E">
      <w:pPr>
        <w:pStyle w:val="Heading3"/>
      </w:pPr>
      <w:r>
        <w:lastRenderedPageBreak/>
        <w:t>Fewer than 1 in 20</w:t>
      </w:r>
      <w:r w:rsidRPr="00B270EE">
        <w:t xml:space="preserve"> children </w:t>
      </w:r>
      <w:r>
        <w:t>were</w:t>
      </w:r>
      <w:r w:rsidRPr="00B270EE">
        <w:t xml:space="preserve"> unable to visit a GP due to cost at some time in the past 12 months</w:t>
      </w:r>
    </w:p>
    <w:p w14:paraId="7CFFE7BF" w14:textId="77777777" w:rsidR="00FC0DB8" w:rsidRDefault="00FC0DB8" w:rsidP="00CD0B5E">
      <w:pPr>
        <w:pStyle w:val="Box"/>
        <w:jc w:val="center"/>
      </w:pPr>
      <w:r w:rsidRPr="00DE52DA">
        <w:rPr>
          <w:noProof/>
          <w:lang w:eastAsia="en-NZ"/>
        </w:rPr>
        <w:drawing>
          <wp:inline distT="0" distB="0" distL="0" distR="0" wp14:anchorId="3D12FE67" wp14:editId="1CB68465">
            <wp:extent cx="5600700" cy="31432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006A7324" w14:textId="77777777" w:rsidR="00FC0DB8" w:rsidRDefault="00FC0DB8" w:rsidP="00CD0B5E"/>
    <w:p w14:paraId="0ECFDD29" w14:textId="77777777" w:rsidR="00FC0DB8" w:rsidRPr="0007586A" w:rsidRDefault="00FC0DB8" w:rsidP="00CD0B5E">
      <w:r w:rsidRPr="0007586A">
        <w:t xml:space="preserve">This indicator focuses on whether there had been an occasion in the </w:t>
      </w:r>
      <w:r>
        <w:t>past</w:t>
      </w:r>
      <w:r w:rsidRPr="0007586A">
        <w:t xml:space="preserve"> 12 months </w:t>
      </w:r>
      <w:r>
        <w:t>when</w:t>
      </w:r>
      <w:r w:rsidRPr="0007586A">
        <w:t xml:space="preserve"> </w:t>
      </w:r>
      <w:r>
        <w:t xml:space="preserve">a </w:t>
      </w:r>
      <w:r w:rsidRPr="0007586A">
        <w:t>child had a medical problem, but their parents did not take them to a GP because of cost.</w:t>
      </w:r>
    </w:p>
    <w:p w14:paraId="57642065" w14:textId="77777777" w:rsidR="00FC0DB8" w:rsidRPr="0007586A" w:rsidRDefault="00FC0DB8" w:rsidP="00CD0B5E"/>
    <w:p w14:paraId="373BB85E" w14:textId="77777777" w:rsidR="00FC0DB8" w:rsidRPr="0007586A" w:rsidRDefault="00FC0DB8" w:rsidP="00CD0B5E">
      <w:r>
        <w:t>About</w:t>
      </w:r>
      <w:r w:rsidRPr="0007586A">
        <w:t xml:space="preserve"> </w:t>
      </w:r>
      <w:r>
        <w:t>41</w:t>
      </w:r>
      <w:r w:rsidRPr="0007586A">
        <w:t>,000 children (</w:t>
      </w:r>
      <w:r>
        <w:t>4.5</w:t>
      </w:r>
      <w:r w:rsidRPr="0007586A">
        <w:t xml:space="preserve">%) </w:t>
      </w:r>
      <w:r>
        <w:t>had not</w:t>
      </w:r>
      <w:r w:rsidRPr="0007586A">
        <w:t xml:space="preserve"> visit</w:t>
      </w:r>
      <w:r>
        <w:t>ed</w:t>
      </w:r>
      <w:r w:rsidRPr="0007586A">
        <w:t xml:space="preserve"> a GP due to cost in the </w:t>
      </w:r>
      <w:r>
        <w:t>past</w:t>
      </w:r>
      <w:r w:rsidRPr="0007586A">
        <w:t xml:space="preserve"> 12 months.</w:t>
      </w:r>
    </w:p>
    <w:p w14:paraId="091CBF13" w14:textId="77777777" w:rsidR="00FC0DB8" w:rsidRPr="0007586A" w:rsidRDefault="00FC0DB8" w:rsidP="00CD0B5E">
      <w:pPr>
        <w:rPr>
          <w:highlight w:val="yellow"/>
        </w:rPr>
      </w:pPr>
    </w:p>
    <w:p w14:paraId="2EDAF5F9" w14:textId="77777777" w:rsidR="00FC0DB8" w:rsidRPr="0007586A" w:rsidRDefault="00FC0DB8" w:rsidP="00FC0DB8">
      <w:r w:rsidRPr="0007586A">
        <w:t>V</w:t>
      </w:r>
      <w:r w:rsidRPr="00CD0B5E">
        <w:t>e</w:t>
      </w:r>
      <w:r w:rsidRPr="0007586A">
        <w:t>ry few children younger than six years (</w:t>
      </w:r>
      <w:r>
        <w:t>1.4</w:t>
      </w:r>
      <w:r w:rsidRPr="0007586A">
        <w:t>%) had an unmet need for GP services due to cost</w:t>
      </w:r>
      <w:r>
        <w:t>, down from 2.6% in 2011/12. T</w:t>
      </w:r>
      <w:r w:rsidRPr="0007586A">
        <w:t xml:space="preserve">his </w:t>
      </w:r>
      <w:r>
        <w:t xml:space="preserve">finding </w:t>
      </w:r>
      <w:r w:rsidRPr="0007586A">
        <w:t>reflects higher subsidies for children in this age group.</w:t>
      </w:r>
      <w:r w:rsidR="00CD0B5E">
        <w:rPr>
          <w:rStyle w:val="FootnoteReference"/>
        </w:rPr>
        <w:footnoteReference w:id="47"/>
      </w:r>
      <w:r>
        <w:t xml:space="preserve"> One in twenty children aged 6–12</w:t>
      </w:r>
      <w:r w:rsidRPr="00867A9D">
        <w:t xml:space="preserve"> years</w:t>
      </w:r>
      <w:r>
        <w:t xml:space="preserve"> (5.8%) had not visited a GP due to cost in the past 12 months, and this was not significantly different to previous years</w:t>
      </w:r>
      <w:r w:rsidRPr="00867A9D">
        <w:t>.</w:t>
      </w:r>
      <w:r>
        <w:t xml:space="preserve"> About half of the recall period for the survey was before Zero Fees for Under 13s was introduced, because respondents are asked to recall instances in the past year. Next year</w:t>
      </w:r>
      <w:r w:rsidR="00FD6712">
        <w:t>’</w:t>
      </w:r>
      <w:r>
        <w:t>s data will be from an entire recall period after Zero Fees for Under 13s was introduced.</w:t>
      </w:r>
    </w:p>
    <w:p w14:paraId="211B2288" w14:textId="77777777" w:rsidR="00FC0DB8" w:rsidRPr="0007586A" w:rsidRDefault="00FC0DB8" w:rsidP="00CD0B5E"/>
    <w:p w14:paraId="2908836A" w14:textId="77777777" w:rsidR="00FC0DB8" w:rsidRDefault="00FC0DB8" w:rsidP="00CD0B5E">
      <w:r>
        <w:t xml:space="preserve">Seven percent of Pacific children and 6% of </w:t>
      </w:r>
      <w:r w:rsidRPr="0007586A">
        <w:t>Māori children</w:t>
      </w:r>
      <w:r>
        <w:t xml:space="preserve"> had not visited a GP due to cost in the past 12 months.</w:t>
      </w:r>
      <w:r w:rsidR="00CD0B5E">
        <w:rPr>
          <w:rStyle w:val="FootnoteReference"/>
        </w:rPr>
        <w:footnoteReference w:id="48"/>
      </w:r>
      <w:r w:rsidRPr="0007586A">
        <w:t xml:space="preserve"> </w:t>
      </w:r>
      <w:r>
        <w:t xml:space="preserve">Pacific and </w:t>
      </w:r>
      <w:r w:rsidRPr="0007586A">
        <w:t xml:space="preserve">Māori children were </w:t>
      </w:r>
      <w:r>
        <w:t>1.7</w:t>
      </w:r>
      <w:r w:rsidRPr="0007586A">
        <w:t xml:space="preserve"> times more likely </w:t>
      </w:r>
      <w:r>
        <w:t>than non-Pacific and non-Māori children</w:t>
      </w:r>
      <w:r w:rsidRPr="0007586A">
        <w:t xml:space="preserve"> </w:t>
      </w:r>
      <w:r>
        <w:t>respectively</w:t>
      </w:r>
      <w:r w:rsidRPr="008B1CA6">
        <w:t xml:space="preserve"> </w:t>
      </w:r>
      <w:r>
        <w:t>to not have</w:t>
      </w:r>
      <w:r w:rsidRPr="0007586A">
        <w:t xml:space="preserve"> visit</w:t>
      </w:r>
      <w:r>
        <w:t>ed</w:t>
      </w:r>
      <w:r w:rsidRPr="0007586A">
        <w:t xml:space="preserve"> a GP due to cost</w:t>
      </w:r>
      <w:r>
        <w:t>, after adjusting for age and sex differences</w:t>
      </w:r>
      <w:r w:rsidRPr="0007586A">
        <w:t>.</w:t>
      </w:r>
    </w:p>
    <w:p w14:paraId="46A64257" w14:textId="77777777" w:rsidR="00FC0DB8" w:rsidRDefault="00FC0DB8" w:rsidP="00CD0B5E"/>
    <w:p w14:paraId="734BCC5C" w14:textId="77777777" w:rsidR="00FD6712" w:rsidRDefault="00FC0DB8" w:rsidP="00CD0B5E">
      <w:r>
        <w:t>Other</w:t>
      </w:r>
      <w:r w:rsidRPr="0007586A">
        <w:t xml:space="preserve"> reason</w:t>
      </w:r>
      <w:r>
        <w:t>s</w:t>
      </w:r>
      <w:r w:rsidRPr="0007586A">
        <w:t xml:space="preserve"> for not visiting a GP</w:t>
      </w:r>
      <w:r>
        <w:t xml:space="preserve"> include:</w:t>
      </w:r>
      <w:r w:rsidRPr="0007586A">
        <w:t xml:space="preserve"> a lack of </w:t>
      </w:r>
      <w:r>
        <w:t>child care for other children, which</w:t>
      </w:r>
      <w:r w:rsidRPr="0007586A">
        <w:t xml:space="preserve"> </w:t>
      </w:r>
      <w:r>
        <w:t>was a barrier for</w:t>
      </w:r>
      <w:r w:rsidRPr="0007586A">
        <w:t xml:space="preserve"> </w:t>
      </w:r>
      <w:r>
        <w:t>2.9</w:t>
      </w:r>
      <w:r w:rsidRPr="0007586A">
        <w:t xml:space="preserve">% of </w:t>
      </w:r>
      <w:r>
        <w:t>children in the past 12 months, and a lack of transport (2.8%)</w:t>
      </w:r>
      <w:r w:rsidRPr="0007586A">
        <w:t>.</w:t>
      </w:r>
      <w:r w:rsidR="00CD0B5E" w:rsidRPr="00CD0B5E">
        <w:rPr>
          <w:vertAlign w:val="superscript"/>
        </w:rPr>
        <w:t>47</w:t>
      </w:r>
    </w:p>
    <w:p w14:paraId="3DEBCD93" w14:textId="77777777" w:rsidR="00FC0DB8" w:rsidRDefault="00FC0DB8" w:rsidP="00CD0B5E"/>
    <w:p w14:paraId="1A3A4677" w14:textId="77777777" w:rsidR="00FC0DB8" w:rsidRDefault="00FC0DB8" w:rsidP="00CD0B5E">
      <w:r>
        <w:t>Lack of child care varied by ethnicity; the rate was higher for Pacific (5.5%) and Māori children (4.8%).</w:t>
      </w:r>
    </w:p>
    <w:p w14:paraId="48ADF056" w14:textId="77777777" w:rsidR="00FC0DB8" w:rsidRDefault="00FC0DB8" w:rsidP="00CD0B5E"/>
    <w:p w14:paraId="53E9FA6B" w14:textId="77777777" w:rsidR="00FC0DB8" w:rsidRDefault="00FC0DB8" w:rsidP="00CD0B5E">
      <w:r w:rsidRPr="0007586A">
        <w:t xml:space="preserve">Lack of transport </w:t>
      </w:r>
      <w:r>
        <w:t>varied by deprivation; the rate was much higher for children</w:t>
      </w:r>
      <w:r w:rsidRPr="0007586A">
        <w:t xml:space="preserve"> living in the most deprived areas (</w:t>
      </w:r>
      <w:r>
        <w:t>6.7</w:t>
      </w:r>
      <w:r w:rsidRPr="0007586A">
        <w:t>%) than for thos</w:t>
      </w:r>
      <w:r>
        <w:t>e in the least deprived areas (0.2</w:t>
      </w:r>
      <w:r w:rsidRPr="0007586A">
        <w:t>%).</w:t>
      </w:r>
      <w:r>
        <w:t xml:space="preserve"> Lack of transport also varied by ethnicity; the rate was higher for Pacific (7.4%) and Māori children (5.3%).</w:t>
      </w:r>
    </w:p>
    <w:p w14:paraId="5238B948" w14:textId="77777777" w:rsidR="00CD0B5E" w:rsidRDefault="00CD0B5E" w:rsidP="00CD0B5E"/>
    <w:p w14:paraId="6528D3E6" w14:textId="085EA0FB" w:rsidR="00FC0DB8" w:rsidRDefault="00FC0DB8" w:rsidP="00CD0B5E">
      <w:pPr>
        <w:pStyle w:val="Heading3"/>
      </w:pPr>
      <w:r>
        <w:lastRenderedPageBreak/>
        <w:t xml:space="preserve">Six percent of Māori and Pacific children did not visit an </w:t>
      </w:r>
      <w:r w:rsidR="0065245C">
        <w:t>after-hours medical centre</w:t>
      </w:r>
      <w:r w:rsidRPr="00AC0723">
        <w:t xml:space="preserve"> due to cost</w:t>
      </w:r>
      <w:r>
        <w:t xml:space="preserve"> in the past 12 months</w:t>
      </w:r>
    </w:p>
    <w:p w14:paraId="6A56091A" w14:textId="77777777" w:rsidR="00FC0DB8" w:rsidRDefault="00FC0DB8" w:rsidP="00CD0B5E">
      <w:pPr>
        <w:pStyle w:val="Box"/>
        <w:jc w:val="center"/>
      </w:pPr>
      <w:r w:rsidRPr="00DE52DA">
        <w:rPr>
          <w:noProof/>
          <w:lang w:eastAsia="en-NZ"/>
        </w:rPr>
        <w:drawing>
          <wp:inline distT="0" distB="0" distL="0" distR="0" wp14:anchorId="2101DB67" wp14:editId="5F4AC78C">
            <wp:extent cx="5600700" cy="31432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01A80F87" w14:textId="77777777" w:rsidR="00FC0DB8" w:rsidRPr="008C5A1E" w:rsidRDefault="00FC0DB8" w:rsidP="00CD0B5E"/>
    <w:p w14:paraId="276862CB" w14:textId="77777777" w:rsidR="00FD6712" w:rsidRDefault="00FC0DB8" w:rsidP="00CD0B5E">
      <w:pPr>
        <w:rPr>
          <w:lang w:eastAsia="en-NZ"/>
        </w:rPr>
      </w:pPr>
      <w:r w:rsidRPr="002B0E3E">
        <w:rPr>
          <w:lang w:eastAsia="en-NZ"/>
        </w:rPr>
        <w:t>The</w:t>
      </w:r>
      <w:r>
        <w:rPr>
          <w:lang w:eastAsia="en-NZ"/>
        </w:rPr>
        <w:t xml:space="preserve"> Zero Fees for Under 6s</w:t>
      </w:r>
      <w:r w:rsidRPr="002B0E3E">
        <w:rPr>
          <w:lang w:eastAsia="en-NZ"/>
        </w:rPr>
        <w:t xml:space="preserve"> scheme includes free after-hours access to GP services and </w:t>
      </w:r>
      <w:r>
        <w:rPr>
          <w:lang w:eastAsia="en-NZ"/>
        </w:rPr>
        <w:t>was</w:t>
      </w:r>
      <w:r w:rsidRPr="002B0E3E">
        <w:rPr>
          <w:lang w:eastAsia="en-NZ"/>
        </w:rPr>
        <w:t xml:space="preserve"> expanded to include </w:t>
      </w:r>
      <w:r>
        <w:rPr>
          <w:lang w:eastAsia="en-NZ"/>
        </w:rPr>
        <w:t>children u</w:t>
      </w:r>
      <w:r w:rsidRPr="002B0E3E">
        <w:rPr>
          <w:lang w:eastAsia="en-NZ"/>
        </w:rPr>
        <w:t xml:space="preserve">nder 13 from July 2015. </w:t>
      </w:r>
      <w:r>
        <w:rPr>
          <w:lang w:eastAsia="en-NZ"/>
        </w:rPr>
        <w:t>About half of the recall period for the 2015/16 survey was before Zero Fees for Under 13s was introduced</w:t>
      </w:r>
      <w:r>
        <w:t>, because respondents were asked to recall instances in the previous year</w:t>
      </w:r>
      <w:r>
        <w:rPr>
          <w:lang w:eastAsia="en-NZ"/>
        </w:rPr>
        <w:t xml:space="preserve">. </w:t>
      </w:r>
      <w:r w:rsidRPr="00AA1E47">
        <w:rPr>
          <w:lang w:eastAsia="en-NZ"/>
        </w:rPr>
        <w:t>Most children (98% of children aged 0–5 years and 97% of children aged 6–12 years) have access to free after-hours visits within a reasonable travel time (60 minutes) based on DHB reported coverage.</w:t>
      </w:r>
    </w:p>
    <w:p w14:paraId="6AA2DACA" w14:textId="77777777" w:rsidR="00FC0DB8" w:rsidRDefault="00FC0DB8" w:rsidP="00CD0B5E"/>
    <w:p w14:paraId="04B062F2" w14:textId="77777777" w:rsidR="00FC0DB8" w:rsidRPr="0007586A" w:rsidRDefault="00FC0DB8" w:rsidP="00CD0B5E">
      <w:r w:rsidRPr="0007586A">
        <w:t xml:space="preserve">This indicator focuses on whether there had been an occasion in the </w:t>
      </w:r>
      <w:r>
        <w:t>past</w:t>
      </w:r>
      <w:r w:rsidRPr="0007586A">
        <w:t xml:space="preserve"> 12 months </w:t>
      </w:r>
      <w:r>
        <w:t>when</w:t>
      </w:r>
      <w:r w:rsidRPr="0007586A">
        <w:t xml:space="preserve"> a child had a medical problem outside regular office hours, but their parents</w:t>
      </w:r>
      <w:r>
        <w:t xml:space="preserve"> or primary caregiver</w:t>
      </w:r>
      <w:r w:rsidRPr="0007586A">
        <w:t xml:space="preserve"> did not take them to an after-hours medical centre because of cost.</w:t>
      </w:r>
    </w:p>
    <w:p w14:paraId="7DD09AC1" w14:textId="77777777" w:rsidR="00FC0DB8" w:rsidRPr="0007586A" w:rsidRDefault="00FC0DB8" w:rsidP="00CD0B5E"/>
    <w:p w14:paraId="46CDCAD6" w14:textId="3DBED90F" w:rsidR="00FC0DB8" w:rsidRDefault="00FC0DB8" w:rsidP="00CD0B5E">
      <w:r>
        <w:t>About</w:t>
      </w:r>
      <w:r w:rsidRPr="0007586A">
        <w:t xml:space="preserve"> </w:t>
      </w:r>
      <w:r>
        <w:t>36</w:t>
      </w:r>
      <w:r w:rsidRPr="0007586A">
        <w:t xml:space="preserve">,000 children </w:t>
      </w:r>
      <w:r>
        <w:t>(4.0%) had</w:t>
      </w:r>
      <w:r w:rsidRPr="0007586A">
        <w:t xml:space="preserve"> not visit</w:t>
      </w:r>
      <w:r>
        <w:t>ed</w:t>
      </w:r>
      <w:r w:rsidRPr="0007586A">
        <w:t xml:space="preserve"> an after-hours medical centre due to cost at some time in the </w:t>
      </w:r>
      <w:r>
        <w:t>past</w:t>
      </w:r>
      <w:r w:rsidRPr="0007586A">
        <w:t xml:space="preserve"> 12 months</w:t>
      </w:r>
      <w:r>
        <w:t xml:space="preserve">. </w:t>
      </w:r>
      <w:r w:rsidRPr="0007586A">
        <w:t xml:space="preserve">Unmet need for after-hours services was much less common in children compared with adults (for whom the rate was </w:t>
      </w:r>
      <w:r>
        <w:t>6.9</w:t>
      </w:r>
      <w:r w:rsidRPr="0007586A">
        <w:t>%</w:t>
      </w:r>
      <w:r>
        <w:t>;</w:t>
      </w:r>
      <w:r w:rsidRPr="0007586A">
        <w:t xml:space="preserve"> see </w:t>
      </w:r>
      <w:r w:rsidR="00385E2F">
        <w:t>page 42</w:t>
      </w:r>
      <w:r w:rsidRPr="00C622F6">
        <w:t xml:space="preserve"> for</w:t>
      </w:r>
      <w:r w:rsidRPr="00784A6E">
        <w:t xml:space="preserve"> m</w:t>
      </w:r>
      <w:r w:rsidRPr="0007586A">
        <w:t>ore information).</w:t>
      </w:r>
    </w:p>
    <w:p w14:paraId="5FEB3CCC" w14:textId="77777777" w:rsidR="00FC0DB8" w:rsidRDefault="00FC0DB8" w:rsidP="00CD0B5E"/>
    <w:p w14:paraId="5E883BC5" w14:textId="77777777" w:rsidR="00FC0DB8" w:rsidRPr="0007586A" w:rsidRDefault="00FC0DB8" w:rsidP="00CD0B5E">
      <w:r w:rsidRPr="0007586A">
        <w:t xml:space="preserve">Children aged under six </w:t>
      </w:r>
      <w:r>
        <w:t>years old were less</w:t>
      </w:r>
      <w:r w:rsidRPr="0007586A">
        <w:t xml:space="preserve"> likely than </w:t>
      </w:r>
      <w:r w:rsidRPr="00B531F6">
        <w:t xml:space="preserve">older children to have </w:t>
      </w:r>
      <w:r>
        <w:t xml:space="preserve">not </w:t>
      </w:r>
      <w:r w:rsidRPr="00B531F6">
        <w:t xml:space="preserve">visited an after-hours medical centre </w:t>
      </w:r>
      <w:r>
        <w:t xml:space="preserve">due to cost </w:t>
      </w:r>
      <w:r w:rsidRPr="00B531F6">
        <w:t xml:space="preserve">in the </w:t>
      </w:r>
      <w:r>
        <w:t>past</w:t>
      </w:r>
      <w:r w:rsidRPr="00B531F6">
        <w:t xml:space="preserve"> 12 months (the rate</w:t>
      </w:r>
      <w:r>
        <w:t>s were: 1.6</w:t>
      </w:r>
      <w:r w:rsidRPr="00B531F6">
        <w:t>%</w:t>
      </w:r>
      <w:r>
        <w:t xml:space="preserve"> for 0–5 years, 5.4% for 6–12 years and 6.3% for 13–14 years</w:t>
      </w:r>
      <w:r w:rsidRPr="00B531F6">
        <w:t xml:space="preserve">). </w:t>
      </w:r>
      <w:r>
        <w:t>For under sixes, t</w:t>
      </w:r>
      <w:r w:rsidRPr="00966E65">
        <w:t xml:space="preserve">he rate of </w:t>
      </w:r>
      <w:r>
        <w:t xml:space="preserve">not visiting an </w:t>
      </w:r>
      <w:r w:rsidRPr="00966E65">
        <w:t xml:space="preserve">after-hours </w:t>
      </w:r>
      <w:r>
        <w:t>medical centre has de</w:t>
      </w:r>
      <w:r w:rsidRPr="00966E65">
        <w:t>creased</w:t>
      </w:r>
      <w:r>
        <w:t>, down from 3.9% in 2011/12</w:t>
      </w:r>
      <w:r w:rsidRPr="00966E65">
        <w:t>.</w:t>
      </w:r>
    </w:p>
    <w:p w14:paraId="2B69D05B" w14:textId="77777777" w:rsidR="00FC0DB8" w:rsidRDefault="00FC0DB8" w:rsidP="00CD0B5E"/>
    <w:p w14:paraId="156AFA18" w14:textId="48460D42" w:rsidR="00FC0DB8" w:rsidRDefault="0065245C" w:rsidP="00CD0B5E">
      <w:r>
        <w:t>Six percent of Māori and Pacific children did not visit an after-hours medical centre due to cost in the past 12 months.</w:t>
      </w:r>
      <w:r>
        <w:rPr>
          <w:rStyle w:val="FootnoteReference"/>
        </w:rPr>
        <w:footnoteReference w:id="49"/>
      </w:r>
      <w:r>
        <w:t xml:space="preserve"> In contrast, only 0.7% of Asian children had</w:t>
      </w:r>
      <w:r w:rsidRPr="0007586A">
        <w:t xml:space="preserve"> </w:t>
      </w:r>
      <w:r>
        <w:t>not</w:t>
      </w:r>
      <w:r w:rsidRPr="0007586A">
        <w:t xml:space="preserve"> visit</w:t>
      </w:r>
      <w:r>
        <w:t>ed</w:t>
      </w:r>
      <w:r w:rsidRPr="0007586A">
        <w:t xml:space="preserve"> </w:t>
      </w:r>
      <w:r w:rsidR="00893593">
        <w:t>an after-hours medical centre</w:t>
      </w:r>
      <w:r w:rsidRPr="0007586A">
        <w:t xml:space="preserve"> due to cost</w:t>
      </w:r>
      <w:r>
        <w:t xml:space="preserve"> at some time in the past 12 months</w:t>
      </w:r>
      <w:r w:rsidRPr="0007586A">
        <w:t>.</w:t>
      </w:r>
      <w:r>
        <w:t xml:space="preserve"> </w:t>
      </w:r>
      <w:r w:rsidR="00FC0DB8">
        <w:t xml:space="preserve">Asian children were five times less likely </w:t>
      </w:r>
      <w:r>
        <w:t xml:space="preserve">than non-Asian children </w:t>
      </w:r>
      <w:r w:rsidR="00FC0DB8">
        <w:t>to not hav</w:t>
      </w:r>
      <w:r w:rsidR="00893593">
        <w:t>e visited an after-hours medical centre</w:t>
      </w:r>
      <w:r w:rsidR="00FC0DB8">
        <w:t xml:space="preserve"> due to cost in the past 12 months, after adjusting for age and sex differences.</w:t>
      </w:r>
      <w:r w:rsidR="00FC0DB8" w:rsidRPr="0007586A">
        <w:t xml:space="preserve"> </w:t>
      </w:r>
    </w:p>
    <w:p w14:paraId="440925B0" w14:textId="77777777" w:rsidR="00FC0DB8" w:rsidRDefault="00FC0DB8" w:rsidP="00CD0B5E"/>
    <w:p w14:paraId="2DF7A8E8" w14:textId="7EC222D1" w:rsidR="00FD6712" w:rsidRDefault="00FC0DB8" w:rsidP="00CD0B5E">
      <w:r w:rsidRPr="00C30D67">
        <w:t>Another reason for not visit</w:t>
      </w:r>
      <w:r w:rsidR="00893593">
        <w:t>ing an after-hours medical centre</w:t>
      </w:r>
      <w:r>
        <w:t xml:space="preserve"> is </w:t>
      </w:r>
      <w:r w:rsidRPr="00C30D67">
        <w:t xml:space="preserve">lack of transport, which was a barrier for 1.3% of </w:t>
      </w:r>
      <w:r>
        <w:t>children</w:t>
      </w:r>
      <w:r w:rsidRPr="00C30D67">
        <w:t xml:space="preserve"> in the past 12 months.</w:t>
      </w:r>
      <w:r>
        <w:t xml:space="preserve"> Lack of transport varied by ethnicity; the rate was higher for Pacific (4.3%) and Māori children (2.6%) and lower for Asian children (0.1%).</w:t>
      </w:r>
    </w:p>
    <w:p w14:paraId="11178933" w14:textId="77777777" w:rsidR="00CD0B5E" w:rsidRDefault="00CD0B5E" w:rsidP="00CD0B5E"/>
    <w:p w14:paraId="4EF736DA" w14:textId="77777777" w:rsidR="00FC0DB8" w:rsidRDefault="00FC0DB8" w:rsidP="00CD0B5E">
      <w:pPr>
        <w:pStyle w:val="Heading3"/>
      </w:pPr>
      <w:r>
        <w:t>Fewer than 2 in 50 c</w:t>
      </w:r>
      <w:r w:rsidRPr="000676AD">
        <w:t xml:space="preserve">hildren missed out on </w:t>
      </w:r>
      <w:r>
        <w:t xml:space="preserve">a </w:t>
      </w:r>
      <w:r w:rsidRPr="000676AD">
        <w:t>prescription due to cost</w:t>
      </w:r>
      <w:r>
        <w:t xml:space="preserve"> in the past 12 months</w:t>
      </w:r>
    </w:p>
    <w:p w14:paraId="7D00346A" w14:textId="77777777" w:rsidR="00FC0DB8" w:rsidRDefault="00FC0DB8" w:rsidP="00CD0B5E">
      <w:pPr>
        <w:pStyle w:val="Box"/>
        <w:jc w:val="center"/>
      </w:pPr>
      <w:r w:rsidRPr="00D20D91">
        <w:rPr>
          <w:noProof/>
          <w:lang w:eastAsia="en-NZ"/>
        </w:rPr>
        <w:drawing>
          <wp:inline distT="0" distB="0" distL="0" distR="0" wp14:anchorId="52D62A7D" wp14:editId="7D28D513">
            <wp:extent cx="5600700" cy="31432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0BE7C3F1" w14:textId="77777777" w:rsidR="00FC0DB8" w:rsidRDefault="00FC0DB8" w:rsidP="00CD0B5E"/>
    <w:p w14:paraId="5554AAB9" w14:textId="77777777" w:rsidR="00FD6712" w:rsidRDefault="00FC0DB8" w:rsidP="00CD0B5E">
      <w:r w:rsidRPr="0007586A">
        <w:t xml:space="preserve">Most prescription medicines are subsidised in New Zealand so people pay a relatively small amount for each medication. The co-payment applies to the first 2o prescriptions per family per year. The co-payment for subsidised prescription items increased from $3 to $5 on 1 January 2013 for those aged </w:t>
      </w:r>
      <w:r>
        <w:t>six</w:t>
      </w:r>
      <w:r w:rsidRPr="0007586A">
        <w:t xml:space="preserve"> years</w:t>
      </w:r>
      <w:r>
        <w:t xml:space="preserve"> and over, with free prescriptions for under sixes</w:t>
      </w:r>
      <w:r w:rsidRPr="0007586A">
        <w:t>.</w:t>
      </w:r>
      <w:r>
        <w:t xml:space="preserve"> Since 1 July 2015, free prescriptions have been extended to children under 13 years old.</w:t>
      </w:r>
    </w:p>
    <w:p w14:paraId="2C266190" w14:textId="77777777" w:rsidR="00FC0DB8" w:rsidRDefault="00FC0DB8" w:rsidP="00CD0B5E"/>
    <w:p w14:paraId="5779896F" w14:textId="77777777" w:rsidR="00FC0DB8" w:rsidRPr="0007586A" w:rsidRDefault="00FC0DB8" w:rsidP="00CD0B5E">
      <w:r>
        <w:rPr>
          <w:lang w:eastAsia="en-NZ"/>
        </w:rPr>
        <w:t>About half of the recall period for the 2015/16 survey was before the Zero Fees for Under 13s initiative was introduced.</w:t>
      </w:r>
      <w:r>
        <w:t xml:space="preserve"> </w:t>
      </w:r>
      <w:r w:rsidRPr="0007586A">
        <w:t xml:space="preserve">The </w:t>
      </w:r>
      <w:r>
        <w:t>interviewers</w:t>
      </w:r>
      <w:r w:rsidRPr="0007586A">
        <w:t xml:space="preserve"> asked parents whether there had been a time in the </w:t>
      </w:r>
      <w:r>
        <w:t>past</w:t>
      </w:r>
      <w:r w:rsidRPr="0007586A">
        <w:t xml:space="preserve"> 12 months when they had been given a prescription for their child but </w:t>
      </w:r>
      <w:r>
        <w:t>had</w:t>
      </w:r>
      <w:r w:rsidRPr="0007586A">
        <w:t xml:space="preserve"> not collect</w:t>
      </w:r>
      <w:r>
        <w:t>ed</w:t>
      </w:r>
      <w:r w:rsidRPr="0007586A">
        <w:t xml:space="preserve"> one or more items because of cost. </w:t>
      </w:r>
      <w:r w:rsidR="00FD6712">
        <w:t>‘</w:t>
      </w:r>
      <w:r>
        <w:t>The past 12 months</w:t>
      </w:r>
      <w:r w:rsidR="00FD6712">
        <w:t>’</w:t>
      </w:r>
      <w:r>
        <w:t xml:space="preserve"> could be anytime between July 2014 and June 2016, depending on when the parent was interviewed, so the 2015/16 data includes both prescriptions before the funding change and prescriptions after the funding change.</w:t>
      </w:r>
    </w:p>
    <w:p w14:paraId="6C9A4309" w14:textId="77777777" w:rsidR="00FC0DB8" w:rsidRPr="0007586A" w:rsidRDefault="00FC0DB8" w:rsidP="00CD0B5E"/>
    <w:p w14:paraId="750A96B2" w14:textId="77777777" w:rsidR="00FC0DB8" w:rsidRDefault="00FC0DB8" w:rsidP="00CD0B5E">
      <w:r>
        <w:t>About 34,000 children (3.8%) had a</w:t>
      </w:r>
      <w:r w:rsidRPr="0007586A">
        <w:t xml:space="preserve"> prescription </w:t>
      </w:r>
      <w:r>
        <w:t xml:space="preserve">that </w:t>
      </w:r>
      <w:r w:rsidRPr="0007586A">
        <w:t>was not collected due to cost</w:t>
      </w:r>
      <w:r>
        <w:t>, down from 6.6% in 2011/12</w:t>
      </w:r>
      <w:r w:rsidRPr="0007586A">
        <w:t>.</w:t>
      </w:r>
      <w:r w:rsidR="00CD0B5E">
        <w:rPr>
          <w:rStyle w:val="FootnoteReference"/>
        </w:rPr>
        <w:footnoteReference w:id="50"/>
      </w:r>
      <w:r>
        <w:t xml:space="preserve"> The rate for children aged 6–12 years is 4.0%, down from 6.4% in 2011/12.</w:t>
      </w:r>
    </w:p>
    <w:p w14:paraId="32441031" w14:textId="77777777" w:rsidR="00FC0DB8" w:rsidRDefault="00FC0DB8" w:rsidP="00CD0B5E"/>
    <w:p w14:paraId="782E066F" w14:textId="77777777" w:rsidR="00FC0DB8" w:rsidRDefault="00FC0DB8" w:rsidP="00CD0B5E">
      <w:r w:rsidRPr="0007586A">
        <w:t xml:space="preserve">Parents of Pacific </w:t>
      </w:r>
      <w:r>
        <w:t xml:space="preserve">(9.5%) </w:t>
      </w:r>
      <w:r w:rsidRPr="0007586A">
        <w:t xml:space="preserve">and Māori children </w:t>
      </w:r>
      <w:r>
        <w:t xml:space="preserve">(7.2%) </w:t>
      </w:r>
      <w:r w:rsidRPr="0007586A">
        <w:t xml:space="preserve">were more likely than parents of non-Pacific and non-Māori children </w:t>
      </w:r>
      <w:r>
        <w:t xml:space="preserve">respectively to </w:t>
      </w:r>
      <w:r w:rsidRPr="0007586A">
        <w:t>not have collected a prescription for their child</w:t>
      </w:r>
      <w:r>
        <w:t xml:space="preserve"> due to cost, after </w:t>
      </w:r>
      <w:r w:rsidRPr="0007586A">
        <w:t>adjusting for age and sex differences.</w:t>
      </w:r>
      <w:r w:rsidR="00CD0B5E">
        <w:rPr>
          <w:vertAlign w:val="superscript"/>
        </w:rPr>
        <w:t>50</w:t>
      </w:r>
      <w:r>
        <w:t xml:space="preserve"> In contrast, </w:t>
      </w:r>
      <w:r w:rsidRPr="0007586A">
        <w:t xml:space="preserve">Asian children </w:t>
      </w:r>
      <w:r>
        <w:t>(0.8%) were less likely than non-Asian children to have had an uncollected</w:t>
      </w:r>
      <w:r w:rsidRPr="0007586A">
        <w:t xml:space="preserve"> prescription</w:t>
      </w:r>
      <w:r>
        <w:t xml:space="preserve"> due to cost</w:t>
      </w:r>
      <w:r w:rsidRPr="0007586A">
        <w:t>.</w:t>
      </w:r>
    </w:p>
    <w:p w14:paraId="18B9B9FA" w14:textId="77777777" w:rsidR="00FC0DB8" w:rsidRDefault="00FC0DB8" w:rsidP="00CD0B5E"/>
    <w:p w14:paraId="282063CB" w14:textId="77777777" w:rsidR="00FC0DB8" w:rsidRDefault="00FC0DB8" w:rsidP="00CD0B5E">
      <w:r>
        <w:t xml:space="preserve">Parents of children living in the most socioeconomically deprived areas (8.8%) were 5.6 times as likely to not have collected a prescription for their child due to cost, compared with parents of children living in the least deprived areas (1.5%). This disparity remained after </w:t>
      </w:r>
      <w:r w:rsidRPr="0007586A">
        <w:t xml:space="preserve">adjusting for </w:t>
      </w:r>
      <w:r>
        <w:t>age, sex and ethnic differences.</w:t>
      </w:r>
    </w:p>
    <w:p w14:paraId="7DA13085" w14:textId="77777777" w:rsidR="00FC0DB8" w:rsidRPr="0007586A" w:rsidRDefault="00FC0DB8" w:rsidP="00CD0B5E"/>
    <w:p w14:paraId="2BCF4CFD" w14:textId="77348915" w:rsidR="00FC0DB8" w:rsidRDefault="00FC0DB8" w:rsidP="00CD0B5E">
      <w:r>
        <w:lastRenderedPageBreak/>
        <w:t>Cost prevented a smaller percentage of parents of children (3.8%) than of adults (6.3</w:t>
      </w:r>
      <w:r w:rsidRPr="00C622F6">
        <w:t xml:space="preserve">%, see page </w:t>
      </w:r>
      <w:r w:rsidR="00385E2F">
        <w:t>4</w:t>
      </w:r>
      <w:r w:rsidRPr="00C622F6">
        <w:t>3</w:t>
      </w:r>
      <w:r w:rsidRPr="00DA0F89">
        <w:t>) from collecting prescriptions.</w:t>
      </w:r>
    </w:p>
    <w:p w14:paraId="4AC94453" w14:textId="77777777" w:rsidR="00CD0B5E" w:rsidRDefault="00CD0B5E" w:rsidP="00CD0B5E"/>
    <w:p w14:paraId="264F09C2" w14:textId="77777777" w:rsidR="00FC0DB8" w:rsidRPr="00BD0B05" w:rsidRDefault="00FC0DB8" w:rsidP="00CD0B5E">
      <w:pPr>
        <w:pStyle w:val="Heading3"/>
      </w:pPr>
      <w:r>
        <w:t>Eight in ten parents had c</w:t>
      </w:r>
      <w:r w:rsidRPr="005A650F">
        <w:t xml:space="preserve">onfidence and trust in </w:t>
      </w:r>
      <w:r>
        <w:t>their child</w:t>
      </w:r>
      <w:r w:rsidR="00FD6712">
        <w:t>’</w:t>
      </w:r>
      <w:r>
        <w:t>s GP</w:t>
      </w:r>
    </w:p>
    <w:p w14:paraId="413616A4" w14:textId="77777777" w:rsidR="00FC0DB8" w:rsidRDefault="00FC0DB8" w:rsidP="00CD0B5E">
      <w:pPr>
        <w:pStyle w:val="Box"/>
        <w:jc w:val="center"/>
      </w:pPr>
      <w:r w:rsidRPr="00D20D91">
        <w:rPr>
          <w:noProof/>
          <w:lang w:eastAsia="en-NZ"/>
        </w:rPr>
        <w:drawing>
          <wp:inline distT="0" distB="0" distL="0" distR="0" wp14:anchorId="228327AD" wp14:editId="1C95CF5F">
            <wp:extent cx="5600700" cy="31432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530F7023" w14:textId="77777777" w:rsidR="00FC0DB8" w:rsidRPr="008C5A1E" w:rsidRDefault="00FC0DB8" w:rsidP="00CD0B5E"/>
    <w:p w14:paraId="124DD166" w14:textId="77777777" w:rsidR="00FC0DB8" w:rsidRPr="0007586A" w:rsidRDefault="00FC0DB8" w:rsidP="00CD0B5E">
      <w:bookmarkStart w:id="114" w:name="_Toc373153661"/>
      <w:r w:rsidRPr="0007586A">
        <w:t xml:space="preserve">As outlined </w:t>
      </w:r>
      <w:r>
        <w:t>in the adult section</w:t>
      </w:r>
      <w:r w:rsidRPr="0007586A">
        <w:t xml:space="preserve">, </w:t>
      </w:r>
      <w:r>
        <w:t xml:space="preserve">a </w:t>
      </w:r>
      <w:r w:rsidRPr="0007586A">
        <w:t>patient</w:t>
      </w:r>
      <w:r w:rsidR="00FD6712">
        <w:t>’</w:t>
      </w:r>
      <w:r>
        <w:t>s</w:t>
      </w:r>
      <w:r w:rsidRPr="0007586A">
        <w:t xml:space="preserve"> experience of medical care </w:t>
      </w:r>
      <w:r>
        <w:t>is</w:t>
      </w:r>
      <w:r w:rsidRPr="0007586A">
        <w:t xml:space="preserve"> reflected in the confidence and trust they have in their GP. Being treated with dignity and respect, having </w:t>
      </w:r>
      <w:r>
        <w:t xml:space="preserve">their </w:t>
      </w:r>
      <w:r w:rsidRPr="0007586A">
        <w:t>privacy protected and being given a clear explanation of conditions and treatment are important elements of</w:t>
      </w:r>
      <w:r>
        <w:t xml:space="preserve"> the</w:t>
      </w:r>
      <w:r w:rsidRPr="0007586A">
        <w:t xml:space="preserve"> patient</w:t>
      </w:r>
      <w:r w:rsidR="00FD6712">
        <w:t>’</w:t>
      </w:r>
      <w:r>
        <w:t>s</w:t>
      </w:r>
      <w:r w:rsidRPr="0007586A">
        <w:t xml:space="preserve"> experience.</w:t>
      </w:r>
    </w:p>
    <w:p w14:paraId="4E66F1FF" w14:textId="77777777" w:rsidR="00FC0DB8" w:rsidRPr="0007586A" w:rsidRDefault="00FC0DB8" w:rsidP="00CD0B5E"/>
    <w:p w14:paraId="5E5EA976" w14:textId="77777777" w:rsidR="00FC0DB8" w:rsidRPr="0007586A" w:rsidRDefault="00FC0DB8" w:rsidP="00CD0B5E">
      <w:r w:rsidRPr="0007586A">
        <w:t xml:space="preserve">The </w:t>
      </w:r>
      <w:r>
        <w:t>interviewers</w:t>
      </w:r>
      <w:r w:rsidRPr="0007586A">
        <w:t xml:space="preserve"> asked parents </w:t>
      </w:r>
      <w:r>
        <w:t xml:space="preserve">or primary caregivers </w:t>
      </w:r>
      <w:r w:rsidRPr="0007586A">
        <w:t xml:space="preserve">of children who had visited a GP in the </w:t>
      </w:r>
      <w:r>
        <w:t>past</w:t>
      </w:r>
      <w:r w:rsidRPr="0007586A">
        <w:t xml:space="preserve"> three months</w:t>
      </w:r>
      <w:r>
        <w:t>,</w:t>
      </w:r>
      <w:r w:rsidRPr="0007586A">
        <w:t xml:space="preserve"> </w:t>
      </w:r>
      <w:r w:rsidR="00FD6712">
        <w:t>‘</w:t>
      </w:r>
      <w:r w:rsidRPr="0007586A">
        <w:t>Did you have confidence and trust in the GP [</w:t>
      </w:r>
      <w:r>
        <w:t>child</w:t>
      </w:r>
      <w:r w:rsidR="00FD6712">
        <w:t>’</w:t>
      </w:r>
      <w:r>
        <w:t>s n</w:t>
      </w:r>
      <w:r w:rsidRPr="0007586A">
        <w:t>ame] saw? Yes, definitely / Yes, to some extent / No, not at all</w:t>
      </w:r>
      <w:r w:rsidR="00FD6712">
        <w:t>’</w:t>
      </w:r>
      <w:r w:rsidRPr="0007586A">
        <w:t>.</w:t>
      </w:r>
      <w:r>
        <w:t xml:space="preserve"> In this report, having </w:t>
      </w:r>
      <w:r w:rsidR="00FD6712">
        <w:t>‘</w:t>
      </w:r>
      <w:r>
        <w:t>confidence and trust</w:t>
      </w:r>
      <w:r w:rsidR="00FD6712">
        <w:t>’</w:t>
      </w:r>
      <w:r>
        <w:t xml:space="preserve"> means definitely having confidence and trust in the GP last visited.</w:t>
      </w:r>
    </w:p>
    <w:p w14:paraId="70980E4C" w14:textId="77777777" w:rsidR="00FC0DB8" w:rsidRPr="0007586A" w:rsidRDefault="00FC0DB8" w:rsidP="00CD0B5E"/>
    <w:p w14:paraId="1469722C" w14:textId="77777777" w:rsidR="00FC0DB8" w:rsidRPr="0007586A" w:rsidRDefault="00FC0DB8" w:rsidP="00CD0B5E">
      <w:r>
        <w:t>Eight in ten (80%) p</w:t>
      </w:r>
      <w:r w:rsidRPr="0007586A">
        <w:t>arents</w:t>
      </w:r>
      <w:r>
        <w:t xml:space="preserve"> had</w:t>
      </w:r>
      <w:r w:rsidRPr="0007586A">
        <w:t xml:space="preserve"> confidence and trust in the GP </w:t>
      </w:r>
      <w:r>
        <w:t>who</w:t>
      </w:r>
      <w:r w:rsidRPr="0007586A">
        <w:t xml:space="preserve"> their child last visited.</w:t>
      </w:r>
      <w:r w:rsidR="00CD0B5E">
        <w:rPr>
          <w:rStyle w:val="FootnoteReference"/>
        </w:rPr>
        <w:footnoteReference w:id="51"/>
      </w:r>
    </w:p>
    <w:p w14:paraId="2C4DBF81" w14:textId="77777777" w:rsidR="00FC0DB8" w:rsidRPr="0007586A" w:rsidRDefault="00FC0DB8" w:rsidP="00CD0B5E"/>
    <w:p w14:paraId="3DB87036" w14:textId="77777777" w:rsidR="00FC0DB8" w:rsidRPr="0007586A" w:rsidRDefault="00FC0DB8" w:rsidP="00CD0B5E">
      <w:r>
        <w:t xml:space="preserve">Three in four parents of </w:t>
      </w:r>
      <w:r w:rsidRPr="00B270EE">
        <w:t xml:space="preserve">Māori children </w:t>
      </w:r>
      <w:r>
        <w:t>(74%) had confidence and trust in the GP who their child last visited.</w:t>
      </w:r>
      <w:r w:rsidR="00CD0B5E">
        <w:rPr>
          <w:rStyle w:val="FootnoteReference"/>
        </w:rPr>
        <w:footnoteReference w:id="52"/>
      </w:r>
      <w:r w:rsidRPr="0007586A">
        <w:t xml:space="preserve"> </w:t>
      </w:r>
      <w:r w:rsidRPr="00B270EE">
        <w:t>Parents of Māori children were less likely to have confidence and trust in their GPs compared with parents of non-Māori, after adjusting for age and sex differences.</w:t>
      </w:r>
    </w:p>
    <w:p w14:paraId="67B591DE" w14:textId="77777777" w:rsidR="00FC0DB8" w:rsidRPr="0007586A" w:rsidRDefault="00FC0DB8" w:rsidP="00CD0B5E"/>
    <w:p w14:paraId="3BA9F213" w14:textId="77777777" w:rsidR="00FC0DB8" w:rsidRPr="0007586A" w:rsidRDefault="00FC0DB8" w:rsidP="00CD0B5E">
      <w:r>
        <w:t xml:space="preserve">Seventy-seven percent of parents of children </w:t>
      </w:r>
      <w:r w:rsidRPr="0007586A">
        <w:t>living in the most deprived areas</w:t>
      </w:r>
      <w:r>
        <w:t xml:space="preserve"> </w:t>
      </w:r>
      <w:r w:rsidRPr="0007586A">
        <w:t>ha</w:t>
      </w:r>
      <w:r>
        <w:t>d confidence and trust in the GP that their child last visited</w:t>
      </w:r>
      <w:r w:rsidRPr="0007586A">
        <w:t xml:space="preserve">, compared </w:t>
      </w:r>
      <w:r>
        <w:t>with 89% of</w:t>
      </w:r>
      <w:r w:rsidRPr="0007586A">
        <w:t xml:space="preserve"> </w:t>
      </w:r>
      <w:r>
        <w:t>parents of children</w:t>
      </w:r>
      <w:r w:rsidRPr="0007586A">
        <w:t xml:space="preserve"> in the least deprived areas. </w:t>
      </w:r>
      <w:r>
        <w:t>Parents of children</w:t>
      </w:r>
      <w:r w:rsidRPr="0007586A">
        <w:t xml:space="preserve"> living in the most deprived areas were </w:t>
      </w:r>
      <w:r>
        <w:t>less</w:t>
      </w:r>
      <w:r w:rsidRPr="0007586A">
        <w:t xml:space="preserve"> likely to have </w:t>
      </w:r>
      <w:r>
        <w:t>confidence and trust in their GPs compared with those</w:t>
      </w:r>
      <w:r w:rsidRPr="0007586A">
        <w:t xml:space="preserve"> living in the least deprived areas.</w:t>
      </w:r>
    </w:p>
    <w:p w14:paraId="01B8A97C" w14:textId="77777777" w:rsidR="00FC0DB8" w:rsidRDefault="00FC0DB8" w:rsidP="00CD0B5E"/>
    <w:p w14:paraId="244AA0B6" w14:textId="77777777" w:rsidR="00FC0DB8" w:rsidRDefault="00FC0DB8" w:rsidP="00CD0B5E">
      <w:r>
        <w:t xml:space="preserve">Parents were also asked: </w:t>
      </w:r>
      <w:r w:rsidR="00FD6712">
        <w:t>‘</w:t>
      </w:r>
      <w:r>
        <w:t>Thinking about [Name</w:t>
      </w:r>
      <w:r w:rsidR="00FD6712">
        <w:t>’</w:t>
      </w:r>
      <w:r>
        <w:t>s] last visit to a GP, how good was the doctor at explaining [Name</w:t>
      </w:r>
      <w:r w:rsidR="00FD6712">
        <w:t>’</w:t>
      </w:r>
      <w:r>
        <w:t>s] health conditions and treatments in a way that you could understand?</w:t>
      </w:r>
      <w:r w:rsidR="00FD6712">
        <w:t>’</w:t>
      </w:r>
    </w:p>
    <w:p w14:paraId="5E043578" w14:textId="77777777" w:rsidR="00FC0DB8" w:rsidRDefault="00FC0DB8" w:rsidP="00CD0B5E">
      <w:bookmarkStart w:id="115" w:name="_Toc404618288"/>
    </w:p>
    <w:p w14:paraId="628414C8" w14:textId="77777777" w:rsidR="00FC0DB8" w:rsidRDefault="00FC0DB8" w:rsidP="00CD0B5E">
      <w:r>
        <w:lastRenderedPageBreak/>
        <w:t>Nine in ten parents (89</w:t>
      </w:r>
      <w:r w:rsidRPr="0043047C">
        <w:t>%) said that their child</w:t>
      </w:r>
      <w:r w:rsidR="00FD6712">
        <w:t>’</w:t>
      </w:r>
      <w:r w:rsidRPr="0043047C">
        <w:t>s GP was very good or good at explaining their</w:t>
      </w:r>
      <w:r>
        <w:t xml:space="preserve"> child</w:t>
      </w:r>
      <w:r w:rsidR="00FD6712">
        <w:t>’</w:t>
      </w:r>
      <w:r>
        <w:t>s</w:t>
      </w:r>
      <w:r w:rsidRPr="0043047C">
        <w:t xml:space="preserve"> health conditions and treatments.</w:t>
      </w:r>
      <w:r w:rsidR="00CD0B5E">
        <w:rPr>
          <w:vertAlign w:val="superscript"/>
        </w:rPr>
        <w:t>51</w:t>
      </w:r>
      <w:r w:rsidRPr="0043047C">
        <w:t xml:space="preserve"> Again, parents of Māori children were less likely to report that their child</w:t>
      </w:r>
      <w:r w:rsidR="00FD6712">
        <w:t>’</w:t>
      </w:r>
      <w:r w:rsidRPr="0043047C">
        <w:t xml:space="preserve">s GP was very good or good at </w:t>
      </w:r>
      <w:r>
        <w:t>providing such explanations</w:t>
      </w:r>
      <w:r w:rsidRPr="0043047C">
        <w:t>,</w:t>
      </w:r>
      <w:r w:rsidRPr="00B270EE">
        <w:t xml:space="preserve"> compared with parents of non-Māori, after adjusting for age and sex differences.</w:t>
      </w:r>
    </w:p>
    <w:p w14:paraId="001E34D8" w14:textId="77777777" w:rsidR="00CD0B5E" w:rsidRDefault="00CD0B5E" w:rsidP="00CD0B5E"/>
    <w:p w14:paraId="21DE036F" w14:textId="77777777" w:rsidR="00FC0DB8" w:rsidRPr="0009125C" w:rsidRDefault="00FC0DB8" w:rsidP="00CD0B5E">
      <w:pPr>
        <w:pStyle w:val="Heading2"/>
      </w:pPr>
      <w:bookmarkStart w:id="116" w:name="_Toc435784745"/>
      <w:bookmarkStart w:id="117" w:name="_Toc436730779"/>
      <w:bookmarkStart w:id="118" w:name="_Toc467831541"/>
      <w:r w:rsidRPr="0009125C">
        <w:t>Oral health</w:t>
      </w:r>
      <w:bookmarkEnd w:id="114"/>
      <w:bookmarkEnd w:id="115"/>
      <w:bookmarkEnd w:id="116"/>
      <w:bookmarkEnd w:id="117"/>
      <w:r>
        <w:t xml:space="preserve"> of children</w:t>
      </w:r>
      <w:bookmarkEnd w:id="118"/>
    </w:p>
    <w:p w14:paraId="5D367F4F" w14:textId="77777777" w:rsidR="00FC0DB8" w:rsidRDefault="00FC0DB8" w:rsidP="00CD0B5E">
      <w:pPr>
        <w:pStyle w:val="Heading3"/>
      </w:pPr>
      <w:r>
        <w:t>The proportion of children who have visited a den</w:t>
      </w:r>
      <w:r w:rsidRPr="00EA1E03">
        <w:t>tal health care worker</w:t>
      </w:r>
      <w:r>
        <w:t xml:space="preserve"> has increased</w:t>
      </w:r>
    </w:p>
    <w:p w14:paraId="0EBED497" w14:textId="77777777" w:rsidR="00FC0DB8" w:rsidRDefault="00FC0DB8" w:rsidP="00CD0B5E">
      <w:pPr>
        <w:pStyle w:val="Box"/>
        <w:jc w:val="center"/>
      </w:pPr>
      <w:r w:rsidRPr="008D688C">
        <w:rPr>
          <w:noProof/>
          <w:lang w:eastAsia="en-NZ"/>
        </w:rPr>
        <w:drawing>
          <wp:inline distT="0" distB="0" distL="0" distR="0" wp14:anchorId="3A4139D7" wp14:editId="7354CE23">
            <wp:extent cx="5600700" cy="31432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49EE64FE" w14:textId="77777777" w:rsidR="00FC0DB8" w:rsidRDefault="00FC0DB8" w:rsidP="00CD0B5E"/>
    <w:p w14:paraId="59A550B2" w14:textId="77777777" w:rsidR="00FC0DB8" w:rsidRPr="0007586A" w:rsidRDefault="00FC0DB8" w:rsidP="00CD0B5E">
      <w:r w:rsidRPr="0007586A">
        <w:t>If children have regular dental visits, a dental health care worker</w:t>
      </w:r>
      <w:r w:rsidR="00CD0B5E">
        <w:rPr>
          <w:rStyle w:val="FootnoteReference"/>
        </w:rPr>
        <w:footnoteReference w:id="53"/>
      </w:r>
      <w:r w:rsidRPr="003479B6">
        <w:t xml:space="preserve"> </w:t>
      </w:r>
      <w:r w:rsidRPr="0007586A">
        <w:t xml:space="preserve">is more likely to detect oral health problems early. Dental health </w:t>
      </w:r>
      <w:r>
        <w:t xml:space="preserve">care </w:t>
      </w:r>
      <w:r w:rsidRPr="0007586A">
        <w:t xml:space="preserve">workers can also apply timely preventive measures and treatments </w:t>
      </w:r>
      <w:r>
        <w:t>t</w:t>
      </w:r>
      <w:r w:rsidRPr="0007586A">
        <w:t>o maintain and improve oral health.</w:t>
      </w:r>
    </w:p>
    <w:p w14:paraId="36159023" w14:textId="77777777" w:rsidR="00FC0DB8" w:rsidRPr="0007586A" w:rsidRDefault="00FC0DB8" w:rsidP="00CD0B5E"/>
    <w:p w14:paraId="74474F86" w14:textId="77777777" w:rsidR="00FC0DB8" w:rsidRPr="0007586A" w:rsidRDefault="00FC0DB8" w:rsidP="00CD0B5E">
      <w:r w:rsidRPr="0007586A">
        <w:t>New Zealand publicly funds basic oral health services for children from birth until their 18th birthday. The majority of dental services for children up to school year 8 (age 12–13 years) is provided by dental therapists within the Community Oral Health Service provided by DHBs.</w:t>
      </w:r>
      <w:r>
        <w:t xml:space="preserve"> D</w:t>
      </w:r>
      <w:r w:rsidRPr="00F00606">
        <w:t xml:space="preserve">ental services for adolescents from school year 9 </w:t>
      </w:r>
      <w:r>
        <w:t>until</w:t>
      </w:r>
      <w:r w:rsidRPr="00F00606">
        <w:t xml:space="preserve"> their 18th birthday are mainly provided by dentists contracted by DHBs under the nationally standardised Combined Dental Agreement.</w:t>
      </w:r>
    </w:p>
    <w:p w14:paraId="6EC2CC73" w14:textId="77777777" w:rsidR="00FC0DB8" w:rsidRPr="0007586A" w:rsidRDefault="00FC0DB8" w:rsidP="00CD0B5E"/>
    <w:p w14:paraId="422A52E2" w14:textId="77777777" w:rsidR="00FC0DB8" w:rsidRPr="0007586A" w:rsidRDefault="00FC0DB8" w:rsidP="00CD0B5E">
      <w:r>
        <w:t>Eighty-three percent of</w:t>
      </w:r>
      <w:r w:rsidRPr="0007586A">
        <w:t xml:space="preserve"> children visited a dental health care worker in the </w:t>
      </w:r>
      <w:r>
        <w:t>past</w:t>
      </w:r>
      <w:r w:rsidRPr="0007586A">
        <w:t xml:space="preserve"> 12 months, up from 76% in 2006/07.</w:t>
      </w:r>
    </w:p>
    <w:p w14:paraId="6CBA92B9" w14:textId="77777777" w:rsidR="00FC0DB8" w:rsidRPr="0007586A" w:rsidRDefault="00FC0DB8" w:rsidP="00CD0B5E"/>
    <w:p w14:paraId="4C9BAF41" w14:textId="77777777" w:rsidR="00FC0DB8" w:rsidRPr="0007586A" w:rsidRDefault="00FC0DB8" w:rsidP="00CD0B5E">
      <w:r w:rsidRPr="0007586A">
        <w:t>Since 2006/07</w:t>
      </w:r>
      <w:r w:rsidRPr="004C0F15">
        <w:t xml:space="preserve">, rates of visiting dental health care workers have improved for all </w:t>
      </w:r>
      <w:r>
        <w:t>child</w:t>
      </w:r>
      <w:r w:rsidRPr="004C0F15">
        <w:t xml:space="preserve"> population groups discussed in this report (girls and boys, the three age groups and the four ethnic groups).</w:t>
      </w:r>
      <w:r w:rsidR="00CD0B5E">
        <w:rPr>
          <w:rStyle w:val="FootnoteReference"/>
        </w:rPr>
        <w:footnoteReference w:id="54"/>
      </w:r>
      <w:r>
        <w:t xml:space="preserve"> Māori children had a larger relative increase than other ethnicities; 82% of Māori children had visited a dental health care worker in the past 12 months, up from 74% in 2006/07.</w:t>
      </w:r>
    </w:p>
    <w:p w14:paraId="0B9F27C2" w14:textId="77777777" w:rsidR="00FC0DB8" w:rsidRPr="0007586A" w:rsidRDefault="00FC0DB8" w:rsidP="00CD0B5E"/>
    <w:p w14:paraId="73C4FA77" w14:textId="77777777" w:rsidR="00FC0DB8" w:rsidRDefault="00FC0DB8" w:rsidP="00CD0B5E">
      <w:r w:rsidRPr="0007586A">
        <w:lastRenderedPageBreak/>
        <w:t xml:space="preserve">Children aged 1–4 years were much less likely to have visited a dental health care worker in the </w:t>
      </w:r>
      <w:r>
        <w:t>p</w:t>
      </w:r>
      <w:r w:rsidRPr="0007586A">
        <w:t>ast 12 months (</w:t>
      </w:r>
      <w:r>
        <w:t>60</w:t>
      </w:r>
      <w:r w:rsidRPr="0007586A">
        <w:t>%) than children of school age.</w:t>
      </w:r>
    </w:p>
    <w:p w14:paraId="66C9A1E3" w14:textId="77777777" w:rsidR="00FC0DB8" w:rsidRPr="0007586A" w:rsidRDefault="00FC0DB8" w:rsidP="00CD0B5E"/>
    <w:p w14:paraId="605468A4" w14:textId="77777777" w:rsidR="00FC0DB8" w:rsidRDefault="00FC0DB8" w:rsidP="00CD0B5E">
      <w:r>
        <w:t>Asian and Pacific children were less likely to have visited a dental health care worker in the past 12</w:t>
      </w:r>
      <w:r w:rsidR="00CD0B5E">
        <w:t> </w:t>
      </w:r>
      <w:r>
        <w:t>months than non-Asian and non-Pacific children respectively, after adjusting for age and sex.</w:t>
      </w:r>
    </w:p>
    <w:p w14:paraId="213F39FD" w14:textId="77777777" w:rsidR="00FC0DB8" w:rsidRPr="008C5A1E" w:rsidRDefault="00FC0DB8" w:rsidP="00CD0B5E">
      <w:pPr>
        <w:pStyle w:val="Heading3"/>
      </w:pPr>
      <w:r>
        <w:t>About</w:t>
      </w:r>
      <w:r w:rsidRPr="0089778A">
        <w:t xml:space="preserve"> </w:t>
      </w:r>
      <w:r>
        <w:t>29</w:t>
      </w:r>
      <w:r w:rsidRPr="0089778A">
        <w:t xml:space="preserve">,000 children had teeth extracted due to decay in the </w:t>
      </w:r>
      <w:r>
        <w:t>past</w:t>
      </w:r>
      <w:r w:rsidRPr="0089778A">
        <w:t xml:space="preserve"> 12 months</w:t>
      </w:r>
    </w:p>
    <w:p w14:paraId="11A073A8" w14:textId="77777777" w:rsidR="00FC0DB8" w:rsidRDefault="00FC0DB8" w:rsidP="00CD0B5E">
      <w:pPr>
        <w:pStyle w:val="Box"/>
        <w:jc w:val="center"/>
      </w:pPr>
      <w:r w:rsidRPr="00E64C9A">
        <w:rPr>
          <w:noProof/>
          <w:lang w:eastAsia="en-NZ"/>
        </w:rPr>
        <w:drawing>
          <wp:inline distT="0" distB="0" distL="0" distR="0" wp14:anchorId="1774F72C" wp14:editId="7D3B2088">
            <wp:extent cx="5600700" cy="31432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5381B837" w14:textId="77777777" w:rsidR="00FC0DB8" w:rsidRDefault="00FC0DB8" w:rsidP="00CD0B5E"/>
    <w:p w14:paraId="3284FB0F" w14:textId="77777777" w:rsidR="00FC0DB8" w:rsidRPr="0007586A" w:rsidRDefault="00FC0DB8" w:rsidP="00CD0B5E">
      <w:r w:rsidRPr="0007586A">
        <w:t xml:space="preserve">Tooth decay is the most common disease of childhood and one of the three leading causes of potentially avoidable hospitalisations among children </w:t>
      </w:r>
      <w:r>
        <w:t>(aged 0</w:t>
      </w:r>
      <w:r w:rsidRPr="0007586A">
        <w:t>–4 years</w:t>
      </w:r>
      <w:r>
        <w:t>)</w:t>
      </w:r>
      <w:r w:rsidRPr="0007586A">
        <w:t xml:space="preserve"> in New Zealand</w:t>
      </w:r>
      <w:r>
        <w:t xml:space="preserve"> (Craig et</w:t>
      </w:r>
      <w:r w:rsidR="00CD0B5E">
        <w:t> </w:t>
      </w:r>
      <w:r>
        <w:t>al 2013)</w:t>
      </w:r>
      <w:r w:rsidRPr="0007586A">
        <w:t>. When a child presents with irreversible tooth decay, the aim is to provide care and treatment to enable the child to be free of pain, infection and disease. Sometimes this</w:t>
      </w:r>
      <w:r>
        <w:t xml:space="preserve"> aim</w:t>
      </w:r>
      <w:r w:rsidRPr="0007586A">
        <w:t xml:space="preserve"> is best achieved by filling or extracting the tooth.</w:t>
      </w:r>
    </w:p>
    <w:p w14:paraId="32A04990" w14:textId="77777777" w:rsidR="00FC0DB8" w:rsidRDefault="00FC0DB8" w:rsidP="00CD0B5E"/>
    <w:p w14:paraId="4A32EE5B" w14:textId="77777777" w:rsidR="00FC0DB8" w:rsidRPr="0007586A" w:rsidRDefault="00FC0DB8" w:rsidP="00CD0B5E">
      <w:r w:rsidRPr="0007586A">
        <w:t xml:space="preserve">The </w:t>
      </w:r>
      <w:r>
        <w:t>interviewers</w:t>
      </w:r>
      <w:r w:rsidRPr="0007586A">
        <w:t xml:space="preserve"> asked</w:t>
      </w:r>
      <w:r w:rsidRPr="008D5D17">
        <w:t xml:space="preserve"> </w:t>
      </w:r>
      <w:r w:rsidRPr="0007586A">
        <w:t xml:space="preserve">parents </w:t>
      </w:r>
      <w:r>
        <w:t xml:space="preserve">or primary caregivers </w:t>
      </w:r>
      <w:r w:rsidRPr="0007586A">
        <w:t>of children aged 1–14 years</w:t>
      </w:r>
      <w:r>
        <w:t xml:space="preserve"> if their children had had one or more teeth (primary or permanent) removed due to decay, abscess or infection in the last 12 months. Note that this excludes teeth lost for other reasons, such as injury, crowded mouth or orthodontics.</w:t>
      </w:r>
    </w:p>
    <w:p w14:paraId="1EEEF91E" w14:textId="77777777" w:rsidR="00FC0DB8" w:rsidRPr="0007586A" w:rsidRDefault="00FC0DB8" w:rsidP="00CD0B5E"/>
    <w:p w14:paraId="50D7C87E" w14:textId="77777777" w:rsidR="00FD6712" w:rsidRDefault="00FC0DB8" w:rsidP="00CD0B5E">
      <w:r w:rsidRPr="0007586A">
        <w:t xml:space="preserve">Parents of </w:t>
      </w:r>
      <w:r>
        <w:t>about</w:t>
      </w:r>
      <w:r w:rsidRPr="0007586A">
        <w:t xml:space="preserve"> </w:t>
      </w:r>
      <w:r>
        <w:t>29</w:t>
      </w:r>
      <w:r w:rsidRPr="0007586A">
        <w:t>,000 children (</w:t>
      </w:r>
      <w:r>
        <w:t>3.5</w:t>
      </w:r>
      <w:r w:rsidRPr="0007586A">
        <w:t>%) reported that their child had</w:t>
      </w:r>
      <w:r>
        <w:t xml:space="preserve"> had</w:t>
      </w:r>
      <w:r w:rsidRPr="0007586A">
        <w:t xml:space="preserve"> one or more teeth removed due to decay, abscess or infection in the </w:t>
      </w:r>
      <w:r>
        <w:t>past</w:t>
      </w:r>
      <w:r w:rsidRPr="0007586A">
        <w:t xml:space="preserve"> 12 months.</w:t>
      </w:r>
    </w:p>
    <w:p w14:paraId="01336664" w14:textId="77777777" w:rsidR="00FC0DB8" w:rsidRPr="0007586A" w:rsidRDefault="00FC0DB8" w:rsidP="00CD0B5E">
      <w:pPr>
        <w:rPr>
          <w:highlight w:val="yellow"/>
        </w:rPr>
      </w:pPr>
    </w:p>
    <w:p w14:paraId="2BEBAAEC" w14:textId="77777777" w:rsidR="00FC0DB8" w:rsidRDefault="00FC0DB8" w:rsidP="00CD0B5E">
      <w:r>
        <w:t>One in twenty children (5.2%) aged 5</w:t>
      </w:r>
      <w:r w:rsidRPr="00867A9D">
        <w:t>–</w:t>
      </w:r>
      <w:r>
        <w:t>12</w:t>
      </w:r>
      <w:r w:rsidRPr="00867A9D">
        <w:t xml:space="preserve"> years</w:t>
      </w:r>
      <w:r>
        <w:t xml:space="preserve"> had had a tooth removed the past 12 months, compared with only 1.0% of those aged </w:t>
      </w:r>
      <w:r w:rsidRPr="0007586A">
        <w:t>1–4 years</w:t>
      </w:r>
      <w:r>
        <w:t>.</w:t>
      </w:r>
    </w:p>
    <w:p w14:paraId="0B08FA1A" w14:textId="77777777" w:rsidR="00FC0DB8" w:rsidRPr="0007586A" w:rsidRDefault="00FC0DB8" w:rsidP="00CD0B5E">
      <w:pPr>
        <w:rPr>
          <w:highlight w:val="yellow"/>
        </w:rPr>
      </w:pPr>
    </w:p>
    <w:p w14:paraId="726F78AB" w14:textId="77777777" w:rsidR="00FC0DB8" w:rsidRDefault="00FC0DB8" w:rsidP="00CD0B5E">
      <w:r>
        <w:t xml:space="preserve">Pacific children (7%) were 2.5 times as likely </w:t>
      </w:r>
      <w:r w:rsidRPr="0007586A">
        <w:t xml:space="preserve">to have had a tooth extracted in the </w:t>
      </w:r>
      <w:r>
        <w:t>past</w:t>
      </w:r>
      <w:r w:rsidRPr="0007586A">
        <w:t xml:space="preserve"> 12 months</w:t>
      </w:r>
      <w:r>
        <w:t xml:space="preserve"> as non-Pacific children</w:t>
      </w:r>
      <w:r w:rsidRPr="0007586A">
        <w:t>.</w:t>
      </w:r>
      <w:r>
        <w:t xml:space="preserve"> Māori children (5%) were 1.7 times as likely </w:t>
      </w:r>
      <w:r w:rsidRPr="0007586A">
        <w:t xml:space="preserve">to have had a tooth extracted in the </w:t>
      </w:r>
      <w:r>
        <w:t>past</w:t>
      </w:r>
      <w:r w:rsidRPr="0007586A">
        <w:t xml:space="preserve"> 12 months</w:t>
      </w:r>
      <w:r>
        <w:t xml:space="preserve"> as non-Māori children, after adjusting for age and sex differences.</w:t>
      </w:r>
      <w:r w:rsidR="00CD0B5E">
        <w:rPr>
          <w:rStyle w:val="FootnoteReference"/>
        </w:rPr>
        <w:footnoteReference w:id="55"/>
      </w:r>
    </w:p>
    <w:p w14:paraId="397529AD" w14:textId="77777777" w:rsidR="00CD0B5E" w:rsidRDefault="00CD0B5E" w:rsidP="00CD0B5E"/>
    <w:p w14:paraId="5ECCA325" w14:textId="77777777" w:rsidR="00FC0DB8" w:rsidRPr="0007586A" w:rsidRDefault="00FC0DB8" w:rsidP="00CD0B5E">
      <w:r>
        <w:lastRenderedPageBreak/>
        <w:t xml:space="preserve">One in twenty children </w:t>
      </w:r>
      <w:r w:rsidRPr="0007586A">
        <w:t>living in the most deprived areas</w:t>
      </w:r>
      <w:r>
        <w:t xml:space="preserve"> (5.8%)</w:t>
      </w:r>
      <w:r w:rsidRPr="0007586A">
        <w:t xml:space="preserve"> ha</w:t>
      </w:r>
      <w:r>
        <w:t>d</w:t>
      </w:r>
      <w:r w:rsidRPr="0007586A">
        <w:t xml:space="preserve"> had teeth removed in the </w:t>
      </w:r>
      <w:r>
        <w:t>past</w:t>
      </w:r>
      <w:r w:rsidRPr="0007586A">
        <w:t xml:space="preserve"> 12 months, compared </w:t>
      </w:r>
      <w:r>
        <w:t>with 1.3% of</w:t>
      </w:r>
      <w:r w:rsidRPr="0007586A">
        <w:t xml:space="preserve"> </w:t>
      </w:r>
      <w:r>
        <w:t>children</w:t>
      </w:r>
      <w:r w:rsidRPr="0007586A">
        <w:t xml:space="preserve"> in the least deprived areas. </w:t>
      </w:r>
      <w:r>
        <w:t>Children</w:t>
      </w:r>
      <w:r w:rsidRPr="0007586A">
        <w:t xml:space="preserve"> living in the most deprived areas were </w:t>
      </w:r>
      <w:r>
        <w:t xml:space="preserve">2.4 </w:t>
      </w:r>
      <w:r w:rsidRPr="0007586A">
        <w:t>times as likely to have had a tooth removed as those living in the least deprived areas, after adjusting for age, sex and ethnic differences.</w:t>
      </w:r>
    </w:p>
    <w:p w14:paraId="6B9B9F5A" w14:textId="77777777" w:rsidR="00FC0DB8" w:rsidRPr="0007586A" w:rsidRDefault="00FC0DB8" w:rsidP="00CD0B5E"/>
    <w:p w14:paraId="4C3D2286" w14:textId="77777777" w:rsidR="00FC0DB8" w:rsidRDefault="00FC0DB8" w:rsidP="00FC0DB8">
      <w:pPr>
        <w:spacing w:line="240" w:lineRule="auto"/>
        <w:rPr>
          <w:b/>
          <w:sz w:val="20"/>
          <w:lang w:eastAsia="en-NZ"/>
        </w:rPr>
      </w:pPr>
      <w:bookmarkStart w:id="119" w:name="_Toc404618207"/>
      <w:r>
        <w:rPr>
          <w:lang w:eastAsia="en-NZ"/>
        </w:rPr>
        <w:br w:type="page"/>
      </w:r>
    </w:p>
    <w:p w14:paraId="60625EFF" w14:textId="77777777" w:rsidR="00FC0DB8" w:rsidRPr="002F5046" w:rsidRDefault="00FC0DB8" w:rsidP="00CD0B5E">
      <w:pPr>
        <w:pStyle w:val="Heading1"/>
      </w:pPr>
      <w:bookmarkStart w:id="120" w:name="_Toc404618289"/>
      <w:bookmarkStart w:id="121" w:name="_Toc435784746"/>
      <w:bookmarkStart w:id="122" w:name="_Toc436730780"/>
      <w:bookmarkStart w:id="123" w:name="_Toc467831542"/>
      <w:bookmarkStart w:id="124" w:name="_Toc339969899"/>
      <w:bookmarkStart w:id="125" w:name="_Toc365464564"/>
      <w:bookmarkStart w:id="126" w:name="_Toc373153663"/>
      <w:bookmarkStart w:id="127" w:name="_Ref368056377"/>
      <w:bookmarkEnd w:id="119"/>
      <w:r w:rsidRPr="002F5046">
        <w:lastRenderedPageBreak/>
        <w:t>References</w:t>
      </w:r>
      <w:bookmarkEnd w:id="120"/>
      <w:bookmarkEnd w:id="121"/>
      <w:bookmarkEnd w:id="122"/>
      <w:bookmarkEnd w:id="123"/>
    </w:p>
    <w:p w14:paraId="38E34131" w14:textId="77777777" w:rsidR="00FC0DB8" w:rsidRDefault="00FC0DB8" w:rsidP="00CD0B5E">
      <w:pPr>
        <w:pStyle w:val="References"/>
      </w:pPr>
      <w:r w:rsidRPr="006829B3">
        <w:t xml:space="preserve">Atkinson J, Salmond C, Crampton P. 2014. </w:t>
      </w:r>
      <w:r w:rsidRPr="006829B3">
        <w:rPr>
          <w:i/>
        </w:rPr>
        <w:t>NZDep2013 Index of Deprivation</w:t>
      </w:r>
      <w:r w:rsidRPr="001B6D3B">
        <w:t>. Wellington: Department of Public Health, University of Otago.</w:t>
      </w:r>
    </w:p>
    <w:p w14:paraId="0148C581" w14:textId="77777777" w:rsidR="00FC0DB8" w:rsidRDefault="00FC0DB8" w:rsidP="00CD0B5E">
      <w:pPr>
        <w:pStyle w:val="References"/>
      </w:pPr>
      <w:r>
        <w:t xml:space="preserve">Babor T, Higgins-Biddle J, Saunders J, et al. 2001. </w:t>
      </w:r>
      <w:r w:rsidRPr="007E0E91">
        <w:t>AUDIT: The Alcohol Use Disorders Identification Test: Guidelines for use in primary health care</w:t>
      </w:r>
      <w:r>
        <w:t xml:space="preserve"> (2</w:t>
      </w:r>
      <w:r w:rsidR="00CD0B5E">
        <w:t>nd</w:t>
      </w:r>
      <w:r>
        <w:t xml:space="preserve"> </w:t>
      </w:r>
      <w:r w:rsidR="00CD0B5E">
        <w:t>e</w:t>
      </w:r>
      <w:r>
        <w:t>d</w:t>
      </w:r>
      <w:r w:rsidR="00CD0B5E">
        <w:t>ition</w:t>
      </w:r>
      <w:r>
        <w:t>)</w:t>
      </w:r>
      <w:r w:rsidRPr="007E0E91">
        <w:t>.</w:t>
      </w:r>
      <w:r>
        <w:t xml:space="preserve"> Geneva: World Health Organization.</w:t>
      </w:r>
    </w:p>
    <w:p w14:paraId="5FCD8B07" w14:textId="77777777" w:rsidR="00FC0DB8" w:rsidRDefault="00FC0DB8" w:rsidP="00CD0B5E">
      <w:pPr>
        <w:pStyle w:val="References"/>
        <w:rPr>
          <w:noProof/>
        </w:rPr>
      </w:pPr>
      <w:r w:rsidRPr="007A2882">
        <w:rPr>
          <w:noProof/>
        </w:rPr>
        <w:t>Ball J, Stanley J, Wilson N</w:t>
      </w:r>
      <w:r>
        <w:rPr>
          <w:noProof/>
        </w:rPr>
        <w:t>,</w:t>
      </w:r>
      <w:r w:rsidRPr="007A2882">
        <w:rPr>
          <w:noProof/>
        </w:rPr>
        <w:t xml:space="preserve"> et al. </w:t>
      </w:r>
      <w:r>
        <w:rPr>
          <w:noProof/>
        </w:rPr>
        <w:t xml:space="preserve">2016. </w:t>
      </w:r>
      <w:r w:rsidRPr="007A2882">
        <w:rPr>
          <w:noProof/>
        </w:rPr>
        <w:t>Smoking prevalence in New Zealand from 1996</w:t>
      </w:r>
      <w:r>
        <w:rPr>
          <w:noProof/>
        </w:rPr>
        <w:t>–</w:t>
      </w:r>
      <w:r w:rsidRPr="007A2882">
        <w:rPr>
          <w:noProof/>
        </w:rPr>
        <w:t>2</w:t>
      </w:r>
      <w:r>
        <w:rPr>
          <w:noProof/>
        </w:rPr>
        <w:t xml:space="preserve">015. </w:t>
      </w:r>
      <w:r w:rsidRPr="00352720">
        <w:rPr>
          <w:i/>
          <w:noProof/>
        </w:rPr>
        <w:t>New Zealand Medical Journal</w:t>
      </w:r>
      <w:r>
        <w:rPr>
          <w:noProof/>
        </w:rPr>
        <w:t xml:space="preserve"> 129: 11</w:t>
      </w:r>
      <w:r>
        <w:t>–</w:t>
      </w:r>
      <w:r>
        <w:rPr>
          <w:noProof/>
        </w:rPr>
        <w:t>222.</w:t>
      </w:r>
    </w:p>
    <w:p w14:paraId="6B5B68FA" w14:textId="77777777" w:rsidR="00FC0DB8" w:rsidRPr="001B6D3B" w:rsidRDefault="00FC0DB8" w:rsidP="00CD0B5E">
      <w:pPr>
        <w:pStyle w:val="References"/>
        <w:rPr>
          <w:noProof/>
        </w:rPr>
      </w:pPr>
      <w:r w:rsidRPr="00D7468B">
        <w:t xml:space="preserve">Clark TC, Fleming T, Bullen P, </w:t>
      </w:r>
      <w:r>
        <w:t>et al</w:t>
      </w:r>
      <w:r w:rsidRPr="00D7468B">
        <w:t xml:space="preserve">. 2013. </w:t>
      </w:r>
      <w:r w:rsidRPr="00D7468B">
        <w:rPr>
          <w:i/>
        </w:rPr>
        <w:t>Youth</w:t>
      </w:r>
      <w:r w:rsidR="00FD6712">
        <w:rPr>
          <w:i/>
        </w:rPr>
        <w:t>’</w:t>
      </w:r>
      <w:r w:rsidRPr="00D7468B">
        <w:rPr>
          <w:i/>
        </w:rPr>
        <w:t>12 Overview: The health and wellbeing of New Zealand secondary school students in 2012.</w:t>
      </w:r>
      <w:r w:rsidRPr="00D7468B">
        <w:t xml:space="preserve"> Auckland: The University of Auckland.</w:t>
      </w:r>
    </w:p>
    <w:p w14:paraId="2CD73788" w14:textId="77777777" w:rsidR="00FC0DB8" w:rsidRDefault="00FC0DB8" w:rsidP="00CD0B5E">
      <w:pPr>
        <w:pStyle w:val="References"/>
      </w:pPr>
      <w:r>
        <w:t>Cole</w:t>
      </w:r>
      <w:r w:rsidRPr="006C356E">
        <w:t xml:space="preserve"> T</w:t>
      </w:r>
      <w:r>
        <w:t xml:space="preserve">, </w:t>
      </w:r>
      <w:r w:rsidRPr="006C356E">
        <w:t>Lobstein</w:t>
      </w:r>
      <w:r>
        <w:t xml:space="preserve"> T. 2012. </w:t>
      </w:r>
      <w:r w:rsidRPr="006C356E">
        <w:t>Extended international (IOTF) body mass index cut-offs for thi</w:t>
      </w:r>
      <w:r>
        <w:t xml:space="preserve">nness, overweight and obesity. </w:t>
      </w:r>
      <w:r w:rsidRPr="006C356E">
        <w:rPr>
          <w:i/>
        </w:rPr>
        <w:t>Pediatric Obesity</w:t>
      </w:r>
      <w:r>
        <w:t xml:space="preserve"> 7(4): 284–</w:t>
      </w:r>
      <w:r w:rsidRPr="006C356E">
        <w:t>94.</w:t>
      </w:r>
    </w:p>
    <w:p w14:paraId="577A27DC" w14:textId="526D428D" w:rsidR="00FC0DB8" w:rsidRDefault="00FC0DB8" w:rsidP="00CD0B5E">
      <w:pPr>
        <w:pStyle w:val="References"/>
        <w:rPr>
          <w:noProof/>
        </w:rPr>
      </w:pPr>
      <w:r>
        <w:t xml:space="preserve">Craig E, Adams J, Oben G, et al. 2013. </w:t>
      </w:r>
      <w:r w:rsidRPr="0074356E">
        <w:rPr>
          <w:i/>
        </w:rPr>
        <w:t>The Health Status of Children and Young People in New Zealand.</w:t>
      </w:r>
      <w:r>
        <w:t xml:space="preserve"> Dunedin: New Zealand Child and Youth Epidemiology Service, University of Otago.</w:t>
      </w:r>
      <w:r w:rsidR="0007229A">
        <w:t xml:space="preserve"> URL: </w:t>
      </w:r>
      <w:hyperlink r:id="rId86" w:history="1">
        <w:r w:rsidR="0007229A" w:rsidRPr="00516EA9">
          <w:rPr>
            <w:rStyle w:val="Hyperlink"/>
          </w:rPr>
          <w:t>http://hdl.handle.net/10523/6129</w:t>
        </w:r>
      </w:hyperlink>
      <w:r w:rsidR="0007229A">
        <w:t xml:space="preserve"> (accessed 1 December 2016)</w:t>
      </w:r>
    </w:p>
    <w:p w14:paraId="0457F965" w14:textId="77777777" w:rsidR="00FC0DB8" w:rsidRPr="008D0899" w:rsidRDefault="00FC0DB8" w:rsidP="00CD0B5E">
      <w:pPr>
        <w:pStyle w:val="References"/>
      </w:pPr>
      <w:r>
        <w:t xml:space="preserve">Global BMI Mortality Collaboration. 2016. Body-mass index and all-cause mortality: Individual-participant-data meta-analysis of 239 prospective studies in four continents. </w:t>
      </w:r>
      <w:r>
        <w:rPr>
          <w:i/>
        </w:rPr>
        <w:t>Lancet 388:</w:t>
      </w:r>
      <w:r>
        <w:t xml:space="preserve"> 776–86.</w:t>
      </w:r>
    </w:p>
    <w:p w14:paraId="3E073C55" w14:textId="77777777" w:rsidR="00FC0DB8" w:rsidRPr="00352720" w:rsidRDefault="00FC0DB8" w:rsidP="00CD0B5E">
      <w:pPr>
        <w:pStyle w:val="References"/>
        <w:rPr>
          <w:noProof/>
        </w:rPr>
      </w:pPr>
      <w:r w:rsidRPr="007A2882">
        <w:rPr>
          <w:noProof/>
        </w:rPr>
        <w:t>Harris R, Cormack, D, Tobias M</w:t>
      </w:r>
      <w:r>
        <w:rPr>
          <w:noProof/>
        </w:rPr>
        <w:t>,</w:t>
      </w:r>
      <w:r w:rsidRPr="007A2882">
        <w:rPr>
          <w:noProof/>
        </w:rPr>
        <w:t xml:space="preserve"> et al. </w:t>
      </w:r>
      <w:r>
        <w:rPr>
          <w:noProof/>
        </w:rPr>
        <w:t xml:space="preserve">2011. </w:t>
      </w:r>
      <w:r w:rsidRPr="007A2882">
        <w:rPr>
          <w:noProof/>
        </w:rPr>
        <w:t xml:space="preserve">The pervasive effects of racism: Experiences of racial discrimination in New Zealand over time and associations with multiple health domains. </w:t>
      </w:r>
      <w:r w:rsidRPr="00766BD5">
        <w:rPr>
          <w:i/>
          <w:noProof/>
        </w:rPr>
        <w:t>Social Science &amp; Medicine</w:t>
      </w:r>
      <w:r w:rsidRPr="007A2882">
        <w:rPr>
          <w:noProof/>
        </w:rPr>
        <w:t xml:space="preserve"> 12:</w:t>
      </w:r>
      <w:r>
        <w:rPr>
          <w:noProof/>
        </w:rPr>
        <w:t xml:space="preserve"> 408</w:t>
      </w:r>
      <w:r>
        <w:t>–</w:t>
      </w:r>
      <w:r>
        <w:rPr>
          <w:noProof/>
        </w:rPr>
        <w:t>15.</w:t>
      </w:r>
    </w:p>
    <w:p w14:paraId="36A25BE6" w14:textId="77777777" w:rsidR="00FC0DB8" w:rsidRDefault="00FC0DB8" w:rsidP="00CD0B5E">
      <w:pPr>
        <w:pStyle w:val="References"/>
      </w:pPr>
      <w:r w:rsidRPr="003D3285">
        <w:t xml:space="preserve">Hayes L, Barry G. 2002. Sampling variability of the Kunst-Mackenbach relative index of inequality. </w:t>
      </w:r>
      <w:r w:rsidRPr="003D3285">
        <w:rPr>
          <w:i/>
        </w:rPr>
        <w:t xml:space="preserve">Journal of </w:t>
      </w:r>
      <w:r>
        <w:rPr>
          <w:i/>
        </w:rPr>
        <w:t>E</w:t>
      </w:r>
      <w:r w:rsidRPr="003D3285">
        <w:rPr>
          <w:i/>
        </w:rPr>
        <w:t xml:space="preserve">pidemiology and Community Health </w:t>
      </w:r>
      <w:r w:rsidRPr="00932AFB">
        <w:t>56:</w:t>
      </w:r>
      <w:r w:rsidRPr="003C069F">
        <w:t xml:space="preserve"> </w:t>
      </w:r>
      <w:r w:rsidRPr="003D3285">
        <w:t>762</w:t>
      </w:r>
      <w:r>
        <w:t>–</w:t>
      </w:r>
      <w:r w:rsidRPr="003D3285">
        <w:t>5.</w:t>
      </w:r>
    </w:p>
    <w:p w14:paraId="0DAC6A4A" w14:textId="77777777" w:rsidR="00FC0DB8" w:rsidRDefault="00FC0DB8" w:rsidP="00CD0B5E">
      <w:pPr>
        <w:pStyle w:val="References"/>
      </w:pPr>
      <w:r>
        <w:t>Idler EL, Benyamini Y</w:t>
      </w:r>
      <w:r w:rsidRPr="003B216C">
        <w:t xml:space="preserve">. </w:t>
      </w:r>
      <w:r>
        <w:t xml:space="preserve">1997. </w:t>
      </w:r>
      <w:r w:rsidRPr="003B216C">
        <w:t xml:space="preserve">Self-rated health and mortality: a review of twenty-seven community studies. </w:t>
      </w:r>
      <w:r w:rsidRPr="00932AFB">
        <w:rPr>
          <w:i/>
        </w:rPr>
        <w:t>Journal of Health Social Behavior</w:t>
      </w:r>
      <w:r w:rsidRPr="003B216C">
        <w:t xml:space="preserve"> 38:</w:t>
      </w:r>
      <w:r>
        <w:t xml:space="preserve"> </w:t>
      </w:r>
      <w:r w:rsidRPr="003B216C">
        <w:t>21–37</w:t>
      </w:r>
      <w:r>
        <w:t>.</w:t>
      </w:r>
    </w:p>
    <w:p w14:paraId="2A76434B" w14:textId="77777777" w:rsidR="00FC0DB8" w:rsidRDefault="00FC0DB8" w:rsidP="00CD0B5E">
      <w:pPr>
        <w:pStyle w:val="References"/>
      </w:pPr>
      <w:r>
        <w:t xml:space="preserve">Kessler R, Barker P, Colpe L, et al. 2003. Screening for serious mental illness in the general population. </w:t>
      </w:r>
      <w:r>
        <w:rPr>
          <w:i/>
        </w:rPr>
        <w:t>Archives of General Psychiatry</w:t>
      </w:r>
      <w:r>
        <w:t xml:space="preserve"> 60(2): 184–9.</w:t>
      </w:r>
    </w:p>
    <w:p w14:paraId="160066BF" w14:textId="77777777" w:rsidR="00FC0DB8" w:rsidRPr="003A59B2" w:rsidRDefault="00FC0DB8" w:rsidP="00CD0B5E">
      <w:pPr>
        <w:pStyle w:val="References"/>
      </w:pPr>
      <w:r>
        <w:rPr>
          <w:lang w:val="en"/>
        </w:rPr>
        <w:t xml:space="preserve">Ministry of Health. 2003. </w:t>
      </w:r>
      <w:r>
        <w:rPr>
          <w:i/>
          <w:lang w:val="en"/>
        </w:rPr>
        <w:t>NZ Food NZ Children: Key results of the 2002 National Children</w:t>
      </w:r>
      <w:r w:rsidR="00FD6712">
        <w:rPr>
          <w:i/>
          <w:lang w:val="en"/>
        </w:rPr>
        <w:t>’</w:t>
      </w:r>
      <w:r>
        <w:rPr>
          <w:i/>
          <w:lang w:val="en"/>
        </w:rPr>
        <w:t xml:space="preserve">s Nutrition Survey. </w:t>
      </w:r>
      <w:r>
        <w:rPr>
          <w:lang w:val="en"/>
        </w:rPr>
        <w:t>Wellington: Ministry of Health.</w:t>
      </w:r>
    </w:p>
    <w:p w14:paraId="28726057" w14:textId="77777777" w:rsidR="00FC0DB8" w:rsidRDefault="00FC0DB8" w:rsidP="00CD0B5E">
      <w:pPr>
        <w:pStyle w:val="References"/>
        <w:rPr>
          <w:lang w:val="en"/>
        </w:rPr>
      </w:pPr>
      <w:r w:rsidRPr="000F5F00">
        <w:rPr>
          <w:lang w:val="en"/>
        </w:rPr>
        <w:t xml:space="preserve">Ministry of Health. 2010. </w:t>
      </w:r>
      <w:r w:rsidRPr="000F5F00">
        <w:rPr>
          <w:i/>
          <w:lang w:val="en"/>
        </w:rPr>
        <w:t>Tobacco Use in New Zealand: Key findings from the 2009 New Zealand Tobacco Use Survey.</w:t>
      </w:r>
      <w:r w:rsidRPr="000F5F00">
        <w:rPr>
          <w:lang w:val="en"/>
        </w:rPr>
        <w:t xml:space="preserve"> Wellington: Ministry of Health.</w:t>
      </w:r>
    </w:p>
    <w:p w14:paraId="46E6B0DD" w14:textId="77777777" w:rsidR="00FC0DB8" w:rsidRPr="008C22DB" w:rsidRDefault="00FC0DB8" w:rsidP="00CD0B5E">
      <w:pPr>
        <w:pStyle w:val="References"/>
      </w:pPr>
      <w:r>
        <w:rPr>
          <w:noProof/>
          <w:lang w:eastAsia="en-US"/>
        </w:rPr>
        <w:t xml:space="preserve">Ministry of Health. 2012. </w:t>
      </w:r>
      <w:r>
        <w:rPr>
          <w:i/>
          <w:noProof/>
          <w:lang w:eastAsia="en-US"/>
        </w:rPr>
        <w:t>Food and Nutrition Guidelines for Health Infants and Toddlers</w:t>
      </w:r>
      <w:r w:rsidR="00BA3991">
        <w:rPr>
          <w:i/>
          <w:noProof/>
          <w:lang w:eastAsia="en-US"/>
        </w:rPr>
        <w:br/>
      </w:r>
      <w:r>
        <w:rPr>
          <w:i/>
          <w:noProof/>
          <w:lang w:eastAsia="en-US"/>
        </w:rPr>
        <w:t>(Aged 0</w:t>
      </w:r>
      <w:r w:rsidRPr="001139D8">
        <w:rPr>
          <w:i/>
        </w:rPr>
        <w:t>–</w:t>
      </w:r>
      <w:r>
        <w:rPr>
          <w:i/>
          <w:noProof/>
          <w:lang w:eastAsia="en-US"/>
        </w:rPr>
        <w:t>2): A background paper – Partially revised December 2012.</w:t>
      </w:r>
      <w:r>
        <w:rPr>
          <w:noProof/>
          <w:lang w:eastAsia="en-US"/>
        </w:rPr>
        <w:t xml:space="preserve"> Wellington: Ministry of Health.</w:t>
      </w:r>
    </w:p>
    <w:p w14:paraId="1B1BDE29" w14:textId="77777777" w:rsidR="00FC0DB8" w:rsidRDefault="00FC0DB8" w:rsidP="00CD0B5E">
      <w:pPr>
        <w:pStyle w:val="References"/>
        <w:rPr>
          <w:noProof/>
          <w:lang w:eastAsia="en-US"/>
        </w:rPr>
      </w:pPr>
      <w:r>
        <w:rPr>
          <w:noProof/>
          <w:lang w:eastAsia="en-US"/>
        </w:rPr>
        <w:t xml:space="preserve">Ministry of Health. 2013. </w:t>
      </w:r>
      <w:r w:rsidRPr="00477273">
        <w:rPr>
          <w:i/>
          <w:noProof/>
          <w:lang w:eastAsia="en-US"/>
        </w:rPr>
        <w:t>Cardio</w:t>
      </w:r>
      <w:r>
        <w:rPr>
          <w:i/>
          <w:noProof/>
          <w:lang w:eastAsia="en-US"/>
        </w:rPr>
        <w:t>vascular Disease Risk Assessment</w:t>
      </w:r>
      <w:r w:rsidRPr="00477273">
        <w:rPr>
          <w:i/>
          <w:noProof/>
          <w:lang w:eastAsia="en-US"/>
        </w:rPr>
        <w:t xml:space="preserve"> (</w:t>
      </w:r>
      <w:r>
        <w:rPr>
          <w:i/>
          <w:noProof/>
          <w:lang w:eastAsia="en-US"/>
        </w:rPr>
        <w:t>U</w:t>
      </w:r>
      <w:r w:rsidRPr="00477273">
        <w:rPr>
          <w:i/>
          <w:noProof/>
          <w:lang w:eastAsia="en-US"/>
        </w:rPr>
        <w:t>pdated 2013):</w:t>
      </w:r>
      <w:r>
        <w:rPr>
          <w:i/>
          <w:noProof/>
          <w:lang w:eastAsia="en-US"/>
        </w:rPr>
        <w:t xml:space="preserve"> </w:t>
      </w:r>
      <w:r w:rsidRPr="00477273">
        <w:rPr>
          <w:i/>
          <w:noProof/>
          <w:lang w:eastAsia="en-US"/>
        </w:rPr>
        <w:t>New Zealand Primary Care Handbook 2012</w:t>
      </w:r>
      <w:r>
        <w:rPr>
          <w:i/>
          <w:noProof/>
          <w:lang w:eastAsia="en-US"/>
        </w:rPr>
        <w:t>.</w:t>
      </w:r>
      <w:r>
        <w:rPr>
          <w:noProof/>
          <w:lang w:eastAsia="en-US"/>
        </w:rPr>
        <w:t xml:space="preserve"> Wellington: Ministry of Health.</w:t>
      </w:r>
    </w:p>
    <w:p w14:paraId="17269680" w14:textId="77777777" w:rsidR="00FC0DB8" w:rsidRDefault="00FC0DB8" w:rsidP="00CD0B5E">
      <w:pPr>
        <w:pStyle w:val="References"/>
      </w:pPr>
      <w:r w:rsidRPr="00AB3551">
        <w:t>Ministry of Health. 2015</w:t>
      </w:r>
      <w:r>
        <w:t>a</w:t>
      </w:r>
      <w:r w:rsidRPr="00AB3551">
        <w:t xml:space="preserve">. </w:t>
      </w:r>
      <w:r w:rsidRPr="00AB3551">
        <w:rPr>
          <w:i/>
        </w:rPr>
        <w:t>Eating and Activity Guidelines for New Zealand Adults.</w:t>
      </w:r>
      <w:r w:rsidRPr="00AB3551">
        <w:t xml:space="preserve"> Wellington: Ministry of Health.</w:t>
      </w:r>
    </w:p>
    <w:p w14:paraId="3E686A8B" w14:textId="77777777" w:rsidR="00FC0DB8" w:rsidRPr="00702A57" w:rsidRDefault="00FC0DB8" w:rsidP="00CD0B5E">
      <w:pPr>
        <w:pStyle w:val="References"/>
      </w:pPr>
      <w:r>
        <w:t xml:space="preserve">Ministry of Health. 2015b. </w:t>
      </w:r>
      <w:r>
        <w:rPr>
          <w:i/>
        </w:rPr>
        <w:t>Statement of Intent 2015 to 2019.</w:t>
      </w:r>
      <w:r>
        <w:t xml:space="preserve"> Wellington: Ministry of Health.</w:t>
      </w:r>
    </w:p>
    <w:p w14:paraId="46CC1942" w14:textId="77777777" w:rsidR="00FC0DB8" w:rsidRDefault="00FC0DB8" w:rsidP="00CD0B5E">
      <w:pPr>
        <w:pStyle w:val="References"/>
      </w:pPr>
      <w:r w:rsidRPr="006D3851">
        <w:t>Ministry of Health. 201</w:t>
      </w:r>
      <w:r>
        <w:t>5c.</w:t>
      </w:r>
      <w:r w:rsidRPr="006D3851">
        <w:t xml:space="preserve"> </w:t>
      </w:r>
      <w:r w:rsidRPr="006D3851">
        <w:rPr>
          <w:i/>
        </w:rPr>
        <w:t>Mor</w:t>
      </w:r>
      <w:r>
        <w:rPr>
          <w:i/>
        </w:rPr>
        <w:t>tality and Demographic Data 2012</w:t>
      </w:r>
      <w:r w:rsidRPr="006D3851">
        <w:rPr>
          <w:i/>
        </w:rPr>
        <w:t>.</w:t>
      </w:r>
      <w:r w:rsidRPr="006D3851">
        <w:t xml:space="preserve"> Wellington: Ministry of Health.</w:t>
      </w:r>
    </w:p>
    <w:p w14:paraId="1EF1CCC0" w14:textId="77777777" w:rsidR="00FC0DB8" w:rsidRPr="00BB25AD" w:rsidRDefault="00FC0DB8" w:rsidP="00CD0B5E">
      <w:pPr>
        <w:pStyle w:val="References"/>
      </w:pPr>
      <w:r>
        <w:lastRenderedPageBreak/>
        <w:t xml:space="preserve">Ministry of Health. 2015d. </w:t>
      </w:r>
      <w:r w:rsidRPr="00CC2CE4">
        <w:t>Food and drinks for healthy teeth</w:t>
      </w:r>
      <w:r>
        <w:rPr>
          <w:i/>
        </w:rPr>
        <w:t xml:space="preserve">. </w:t>
      </w:r>
      <w:hyperlink r:id="rId87" w:history="1">
        <w:r w:rsidRPr="004A1EA6">
          <w:rPr>
            <w:rStyle w:val="Hyperlink"/>
          </w:rPr>
          <w:t>URL: www.health.govt.nz/your-health/healthy-living/teeth-and-gums/keep-your-smile-looking-good-easy/food-and-drinks-healthy-teeth</w:t>
        </w:r>
      </w:hyperlink>
      <w:r>
        <w:t xml:space="preserve"> (accessed 7 November 2016).</w:t>
      </w:r>
    </w:p>
    <w:p w14:paraId="3D489813" w14:textId="77777777" w:rsidR="00FC0DB8" w:rsidRDefault="00FC0DB8" w:rsidP="00CD0B5E">
      <w:pPr>
        <w:pStyle w:val="References"/>
      </w:pPr>
      <w:r>
        <w:t xml:space="preserve">Ministry of Health. 2016a. </w:t>
      </w:r>
      <w:r>
        <w:rPr>
          <w:i/>
        </w:rPr>
        <w:t xml:space="preserve">Sample Design from 2015/16: New Zealand Health Survey. </w:t>
      </w:r>
      <w:r>
        <w:t>Wellington: Ministry of Health.</w:t>
      </w:r>
    </w:p>
    <w:p w14:paraId="24FEDED4" w14:textId="77777777" w:rsidR="00FC0DB8" w:rsidRDefault="00FC0DB8" w:rsidP="00CD0B5E">
      <w:pPr>
        <w:pStyle w:val="References"/>
        <w:rPr>
          <w:rStyle w:val="Hyperlink"/>
        </w:rPr>
      </w:pPr>
      <w:r>
        <w:t xml:space="preserve">Ministry of Health. 2016b. </w:t>
      </w:r>
      <w:hyperlink r:id="rId88" w:history="1">
        <w:r>
          <w:rPr>
            <w:rStyle w:val="Hyperlink"/>
            <w:i/>
          </w:rPr>
          <w:t>Methodology Report 2015</w:t>
        </w:r>
        <w:r w:rsidRPr="00FB2ADC">
          <w:rPr>
            <w:rStyle w:val="Hyperlink"/>
            <w:i/>
          </w:rPr>
          <w:t>/1</w:t>
        </w:r>
        <w:r>
          <w:rPr>
            <w:rStyle w:val="Hyperlink"/>
            <w:i/>
          </w:rPr>
          <w:t>6</w:t>
        </w:r>
        <w:r w:rsidRPr="00FB2ADC">
          <w:rPr>
            <w:rStyle w:val="Hyperlink"/>
            <w:i/>
          </w:rPr>
          <w:t>: New Zealand Health Survey</w:t>
        </w:r>
      </w:hyperlink>
      <w:r>
        <w:rPr>
          <w:rStyle w:val="Hyperlink"/>
          <w:i/>
        </w:rPr>
        <w:t xml:space="preserve">. </w:t>
      </w:r>
      <w:r>
        <w:rPr>
          <w:rStyle w:val="Hyperlink"/>
        </w:rPr>
        <w:t>Wellington: Ministry of Health.</w:t>
      </w:r>
    </w:p>
    <w:p w14:paraId="60B74142" w14:textId="77777777" w:rsidR="00FC0DB8" w:rsidRDefault="00FC0DB8" w:rsidP="00CD0B5E">
      <w:pPr>
        <w:pStyle w:val="References"/>
      </w:pPr>
      <w:r>
        <w:t xml:space="preserve">Ministry of Health. 2016c. </w:t>
      </w:r>
      <w:hyperlink r:id="rId89" w:history="1">
        <w:r w:rsidRPr="0053350E">
          <w:rPr>
            <w:rStyle w:val="Hyperlink"/>
            <w:i/>
          </w:rPr>
          <w:t>Indicator Interpretation</w:t>
        </w:r>
        <w:r w:rsidRPr="0053350E">
          <w:rPr>
            <w:rStyle w:val="Hyperlink"/>
          </w:rPr>
          <w:t xml:space="preserve"> </w:t>
        </w:r>
        <w:r w:rsidRPr="0053350E">
          <w:rPr>
            <w:rStyle w:val="Hyperlink"/>
            <w:i/>
          </w:rPr>
          <w:t xml:space="preserve">Guide </w:t>
        </w:r>
        <w:r>
          <w:rPr>
            <w:rStyle w:val="Hyperlink"/>
            <w:i/>
          </w:rPr>
          <w:t>2015/16</w:t>
        </w:r>
        <w:r w:rsidRPr="00BE4912">
          <w:rPr>
            <w:rStyle w:val="Hyperlink"/>
            <w:i/>
          </w:rPr>
          <w:t>:</w:t>
        </w:r>
        <w:r w:rsidRPr="0053350E">
          <w:rPr>
            <w:rStyle w:val="Hyperlink"/>
          </w:rPr>
          <w:t xml:space="preserve"> </w:t>
        </w:r>
        <w:r w:rsidRPr="0053350E">
          <w:rPr>
            <w:rStyle w:val="Hyperlink"/>
            <w:i/>
          </w:rPr>
          <w:t>New Zealand Health Survey</w:t>
        </w:r>
      </w:hyperlink>
      <w:r>
        <w:rPr>
          <w:rStyle w:val="Hyperlink"/>
          <w:i/>
        </w:rPr>
        <w:t xml:space="preserve">. </w:t>
      </w:r>
      <w:r>
        <w:rPr>
          <w:rStyle w:val="Hyperlink"/>
        </w:rPr>
        <w:t>Wellington: Ministry of Health.</w:t>
      </w:r>
    </w:p>
    <w:p w14:paraId="714F5D6F" w14:textId="77777777" w:rsidR="00FC0DB8" w:rsidRDefault="00FC0DB8" w:rsidP="00CD0B5E">
      <w:pPr>
        <w:pStyle w:val="References"/>
        <w:rPr>
          <w:rStyle w:val="Hyperlink"/>
        </w:rPr>
      </w:pPr>
      <w:r>
        <w:t xml:space="preserve">Ministry of Health. 2016d. </w:t>
      </w:r>
      <w:hyperlink r:id="rId90" w:history="1">
        <w:r w:rsidRPr="0053350E">
          <w:rPr>
            <w:rStyle w:val="Hyperlink"/>
            <w:i/>
          </w:rPr>
          <w:t>Content Guide 201</w:t>
        </w:r>
        <w:r>
          <w:rPr>
            <w:rStyle w:val="Hyperlink"/>
            <w:i/>
          </w:rPr>
          <w:t>5</w:t>
        </w:r>
        <w:r w:rsidRPr="0053350E">
          <w:rPr>
            <w:rStyle w:val="Hyperlink"/>
            <w:i/>
          </w:rPr>
          <w:t>/1</w:t>
        </w:r>
        <w:r>
          <w:rPr>
            <w:rStyle w:val="Hyperlink"/>
            <w:i/>
          </w:rPr>
          <w:t>6</w:t>
        </w:r>
        <w:r w:rsidRPr="0053350E">
          <w:rPr>
            <w:rStyle w:val="Hyperlink"/>
            <w:i/>
          </w:rPr>
          <w:t>: New Zealand Health Survey</w:t>
        </w:r>
      </w:hyperlink>
      <w:r>
        <w:rPr>
          <w:rStyle w:val="Hyperlink"/>
          <w:i/>
        </w:rPr>
        <w:t xml:space="preserve">. </w:t>
      </w:r>
      <w:r>
        <w:rPr>
          <w:rStyle w:val="Hyperlink"/>
        </w:rPr>
        <w:t>Wellington: Ministry of Health.</w:t>
      </w:r>
    </w:p>
    <w:p w14:paraId="0CC07113" w14:textId="77777777" w:rsidR="00FC0DB8" w:rsidRDefault="00FC0DB8" w:rsidP="00CD0B5E">
      <w:pPr>
        <w:pStyle w:val="References"/>
      </w:pPr>
      <w:r>
        <w:t xml:space="preserve">Ministry of Health. 2016e. </w:t>
      </w:r>
      <w:r>
        <w:rPr>
          <w:i/>
        </w:rPr>
        <w:t>Health Loss in New Zealand 1990</w:t>
      </w:r>
      <w:r w:rsidRPr="001139D8">
        <w:rPr>
          <w:i/>
        </w:rPr>
        <w:t>–</w:t>
      </w:r>
      <w:r>
        <w:rPr>
          <w:i/>
        </w:rPr>
        <w:t xml:space="preserve">2013. </w:t>
      </w:r>
      <w:r>
        <w:t>Wellington: Ministry of Health.</w:t>
      </w:r>
    </w:p>
    <w:p w14:paraId="4DBEA238" w14:textId="77777777" w:rsidR="00FC0DB8" w:rsidRPr="00754521" w:rsidRDefault="00FC0DB8" w:rsidP="00CD0B5E">
      <w:pPr>
        <w:pStyle w:val="References"/>
      </w:pPr>
      <w:r w:rsidRPr="005244C7">
        <w:t>Smith A. 2006.</w:t>
      </w:r>
      <w:r>
        <w:t xml:space="preserve"> </w:t>
      </w:r>
      <w:r w:rsidRPr="005244C7">
        <w:t xml:space="preserve">The state of research on the effects of physical punishment. </w:t>
      </w:r>
      <w:r w:rsidRPr="005244C7">
        <w:rPr>
          <w:i/>
        </w:rPr>
        <w:t>Social Policy Journal of New Zealand</w:t>
      </w:r>
      <w:r w:rsidRPr="008B0241">
        <w:t xml:space="preserve"> 27</w:t>
      </w:r>
      <w:r>
        <w:t>: 114–27</w:t>
      </w:r>
      <w:r w:rsidRPr="005244C7">
        <w:t>.</w:t>
      </w:r>
    </w:p>
    <w:p w14:paraId="256220A7" w14:textId="77777777" w:rsidR="00FC0DB8" w:rsidRDefault="00FC0DB8" w:rsidP="00CD0B5E">
      <w:pPr>
        <w:pStyle w:val="References"/>
      </w:pPr>
      <w:r w:rsidRPr="005244C7">
        <w:t>Statistics New Zealand. 201</w:t>
      </w:r>
      <w:r>
        <w:t>6</w:t>
      </w:r>
      <w:r w:rsidRPr="005244C7">
        <w:t xml:space="preserve">. </w:t>
      </w:r>
      <w:r w:rsidRPr="005244C7">
        <w:rPr>
          <w:i/>
        </w:rPr>
        <w:t>Alcohol Available for Consumption: Year ended December 201</w:t>
      </w:r>
      <w:r>
        <w:rPr>
          <w:i/>
        </w:rPr>
        <w:t>5</w:t>
      </w:r>
      <w:r w:rsidRPr="005244C7">
        <w:rPr>
          <w:i/>
        </w:rPr>
        <w:t xml:space="preserve">. </w:t>
      </w:r>
      <w:r w:rsidRPr="005244C7">
        <w:t>Wellington: Statistics New Zealand.</w:t>
      </w:r>
    </w:p>
    <w:p w14:paraId="408B6622" w14:textId="77777777" w:rsidR="00FC0DB8" w:rsidRDefault="00FC0DB8" w:rsidP="00CD0B5E">
      <w:pPr>
        <w:pStyle w:val="References"/>
      </w:pPr>
      <w:r w:rsidRPr="00CC2CE4">
        <w:t xml:space="preserve">Taylor R, Scragg R, Quigley R. 2005. </w:t>
      </w:r>
      <w:r w:rsidRPr="00CC2CE4">
        <w:rPr>
          <w:i/>
        </w:rPr>
        <w:t>Do sugary drinks contribute to obesity in children? A report prepared by the Scientific Committee of the Agencies for Nutrition Action.</w:t>
      </w:r>
      <w:r w:rsidRPr="00CC2CE4">
        <w:t xml:space="preserve"> Wellington: Agencies for Nutrition Action.</w:t>
      </w:r>
    </w:p>
    <w:p w14:paraId="3ED9FA6C" w14:textId="77777777" w:rsidR="00FC0DB8" w:rsidRDefault="00FC0DB8" w:rsidP="00CD0B5E">
      <w:pPr>
        <w:pStyle w:val="References"/>
        <w:rPr>
          <w:noProof/>
        </w:rPr>
      </w:pPr>
      <w:r w:rsidRPr="007A2882">
        <w:rPr>
          <w:noProof/>
        </w:rPr>
        <w:t>Tobias M, Cavana R, Bloomfield A.</w:t>
      </w:r>
      <w:r>
        <w:rPr>
          <w:noProof/>
        </w:rPr>
        <w:t xml:space="preserve"> 2010.</w:t>
      </w:r>
      <w:r w:rsidRPr="007A2882">
        <w:rPr>
          <w:noProof/>
        </w:rPr>
        <w:t xml:space="preserve"> </w:t>
      </w:r>
      <w:r>
        <w:rPr>
          <w:noProof/>
        </w:rPr>
        <w:t>Application of a s</w:t>
      </w:r>
      <w:r w:rsidRPr="007A2882">
        <w:rPr>
          <w:noProof/>
        </w:rPr>
        <w:t xml:space="preserve">ystem </w:t>
      </w:r>
      <w:r>
        <w:rPr>
          <w:noProof/>
        </w:rPr>
        <w:t>d</w:t>
      </w:r>
      <w:r w:rsidRPr="007A2882">
        <w:rPr>
          <w:noProof/>
        </w:rPr>
        <w:t xml:space="preserve">ynamics </w:t>
      </w:r>
      <w:r>
        <w:rPr>
          <w:noProof/>
        </w:rPr>
        <w:t>m</w:t>
      </w:r>
      <w:r w:rsidRPr="007A2882">
        <w:rPr>
          <w:noProof/>
        </w:rPr>
        <w:t xml:space="preserve">odel to </w:t>
      </w:r>
      <w:r>
        <w:rPr>
          <w:noProof/>
        </w:rPr>
        <w:t>i</w:t>
      </w:r>
      <w:r w:rsidRPr="007A2882">
        <w:rPr>
          <w:noProof/>
        </w:rPr>
        <w:t xml:space="preserve">nform </w:t>
      </w:r>
      <w:r>
        <w:rPr>
          <w:noProof/>
        </w:rPr>
        <w:t>i</w:t>
      </w:r>
      <w:r w:rsidRPr="007A2882">
        <w:rPr>
          <w:noProof/>
        </w:rPr>
        <w:t xml:space="preserve">nvestment in </w:t>
      </w:r>
      <w:r>
        <w:rPr>
          <w:noProof/>
        </w:rPr>
        <w:t>s</w:t>
      </w:r>
      <w:r w:rsidRPr="007A2882">
        <w:rPr>
          <w:noProof/>
        </w:rPr>
        <w:t xml:space="preserve">moking </w:t>
      </w:r>
      <w:r>
        <w:rPr>
          <w:noProof/>
        </w:rPr>
        <w:t>c</w:t>
      </w:r>
      <w:r w:rsidRPr="007A2882">
        <w:rPr>
          <w:noProof/>
        </w:rPr>
        <w:t xml:space="preserve">essation </w:t>
      </w:r>
      <w:r>
        <w:rPr>
          <w:noProof/>
        </w:rPr>
        <w:t>s</w:t>
      </w:r>
      <w:r w:rsidRPr="007A2882">
        <w:rPr>
          <w:noProof/>
        </w:rPr>
        <w:t xml:space="preserve">ervices in New Zealand. </w:t>
      </w:r>
      <w:r w:rsidRPr="00352720">
        <w:rPr>
          <w:i/>
          <w:noProof/>
        </w:rPr>
        <w:t>American Journal of Public Health</w:t>
      </w:r>
      <w:r w:rsidRPr="007A2882">
        <w:rPr>
          <w:noProof/>
        </w:rPr>
        <w:t xml:space="preserve"> 100</w:t>
      </w:r>
      <w:r>
        <w:rPr>
          <w:noProof/>
        </w:rPr>
        <w:t>(7)</w:t>
      </w:r>
      <w:r w:rsidRPr="007A2882">
        <w:rPr>
          <w:noProof/>
        </w:rPr>
        <w:t>:</w:t>
      </w:r>
      <w:r>
        <w:rPr>
          <w:noProof/>
        </w:rPr>
        <w:t xml:space="preserve"> </w:t>
      </w:r>
      <w:r w:rsidRPr="007A2882">
        <w:rPr>
          <w:noProof/>
        </w:rPr>
        <w:t>1274</w:t>
      </w:r>
      <w:r>
        <w:t>–</w:t>
      </w:r>
      <w:r w:rsidRPr="007A2882">
        <w:rPr>
          <w:noProof/>
        </w:rPr>
        <w:t>81.</w:t>
      </w:r>
    </w:p>
    <w:p w14:paraId="4B68D36E" w14:textId="77777777" w:rsidR="00FC0DB8" w:rsidRPr="005244C7" w:rsidRDefault="00FC0DB8" w:rsidP="00CD0B5E">
      <w:pPr>
        <w:pStyle w:val="References"/>
      </w:pPr>
      <w:r w:rsidRPr="007A2882">
        <w:t xml:space="preserve">Tobias M, Cheung J. 2001. </w:t>
      </w:r>
      <w:r w:rsidRPr="007A2882">
        <w:rPr>
          <w:i/>
        </w:rPr>
        <w:t>Inhaling Inequality: Tobacco</w:t>
      </w:r>
      <w:r w:rsidR="00FD6712">
        <w:rPr>
          <w:i/>
        </w:rPr>
        <w:t>’</w:t>
      </w:r>
      <w:r w:rsidRPr="007A2882">
        <w:rPr>
          <w:i/>
        </w:rPr>
        <w:t xml:space="preserve">s contribution to health inequality in New Zealand. </w:t>
      </w:r>
      <w:r w:rsidRPr="007A2882">
        <w:t>Ministry of Health: Wellington.</w:t>
      </w:r>
    </w:p>
    <w:p w14:paraId="0F8406C5" w14:textId="77777777" w:rsidR="00FC0DB8" w:rsidRDefault="00FC0DB8" w:rsidP="00CD0B5E">
      <w:pPr>
        <w:pStyle w:val="References"/>
        <w:rPr>
          <w:noProof/>
        </w:rPr>
      </w:pPr>
      <w:r>
        <w:rPr>
          <w:noProof/>
        </w:rPr>
        <w:t>WHO.</w:t>
      </w:r>
      <w:r w:rsidRPr="00851DEB">
        <w:rPr>
          <w:noProof/>
        </w:rPr>
        <w:t xml:space="preserve"> 2013</w:t>
      </w:r>
      <w:r>
        <w:rPr>
          <w:noProof/>
        </w:rPr>
        <w:t xml:space="preserve">. </w:t>
      </w:r>
      <w:r w:rsidRPr="00477273">
        <w:rPr>
          <w:i/>
          <w:noProof/>
        </w:rPr>
        <w:t>Global Action Plan for the Prevention and Control of Noncommunicable Diseases 2013</w:t>
      </w:r>
      <w:r>
        <w:rPr>
          <w:i/>
          <w:noProof/>
        </w:rPr>
        <w:t>–</w:t>
      </w:r>
      <w:r w:rsidRPr="00477273">
        <w:rPr>
          <w:i/>
          <w:noProof/>
        </w:rPr>
        <w:t>2020.</w:t>
      </w:r>
      <w:r w:rsidRPr="00851DEB">
        <w:rPr>
          <w:noProof/>
        </w:rPr>
        <w:t xml:space="preserve"> Geneva: </w:t>
      </w:r>
      <w:r>
        <w:rPr>
          <w:noProof/>
        </w:rPr>
        <w:t>World Health Organization.</w:t>
      </w:r>
    </w:p>
    <w:p w14:paraId="570464F1" w14:textId="77777777" w:rsidR="00FC0DB8" w:rsidRDefault="00FC0DB8" w:rsidP="00CD0B5E">
      <w:pPr>
        <w:pStyle w:val="References"/>
      </w:pPr>
      <w:r w:rsidRPr="00E52BA4">
        <w:t>WHO</w:t>
      </w:r>
      <w:r>
        <w:t>.</w:t>
      </w:r>
      <w:r w:rsidRPr="00E52BA4">
        <w:t xml:space="preserve"> 201</w:t>
      </w:r>
      <w:r>
        <w:t>4.</w:t>
      </w:r>
      <w:r w:rsidRPr="00E52BA4">
        <w:t xml:space="preserve"> </w:t>
      </w:r>
      <w:r w:rsidRPr="009754F2">
        <w:rPr>
          <w:i/>
        </w:rPr>
        <w:t>Global Status Report on Alcohol and Health</w:t>
      </w:r>
      <w:r>
        <w:rPr>
          <w:i/>
        </w:rPr>
        <w:t xml:space="preserve"> 2014</w:t>
      </w:r>
      <w:r w:rsidRPr="009754F2">
        <w:rPr>
          <w:i/>
        </w:rPr>
        <w:t>.</w:t>
      </w:r>
      <w:r>
        <w:t xml:space="preserve"> </w:t>
      </w:r>
      <w:r w:rsidRPr="00E52BA4">
        <w:t>Geneva</w:t>
      </w:r>
      <w:r>
        <w:t>: World Health Organization</w:t>
      </w:r>
      <w:r w:rsidRPr="00E52BA4">
        <w:t>.</w:t>
      </w:r>
    </w:p>
    <w:p w14:paraId="5EA1664A" w14:textId="77777777" w:rsidR="00BA3991" w:rsidRDefault="00FC0DB8" w:rsidP="00BA3991">
      <w:pPr>
        <w:pStyle w:val="References"/>
      </w:pPr>
      <w:r w:rsidRPr="00E52BA4">
        <w:t>WHO</w:t>
      </w:r>
      <w:r>
        <w:t>.</w:t>
      </w:r>
      <w:r w:rsidRPr="00E52BA4">
        <w:t xml:space="preserve"> 201</w:t>
      </w:r>
      <w:r>
        <w:t>5.</w:t>
      </w:r>
      <w:r w:rsidRPr="00E52BA4">
        <w:t xml:space="preserve"> </w:t>
      </w:r>
      <w:r>
        <w:rPr>
          <w:i/>
        </w:rPr>
        <w:t>Guideline: Sugars intake for adults and children</w:t>
      </w:r>
      <w:r w:rsidRPr="009754F2">
        <w:rPr>
          <w:i/>
        </w:rPr>
        <w:t>.</w:t>
      </w:r>
      <w:r>
        <w:t xml:space="preserve"> </w:t>
      </w:r>
      <w:r w:rsidRPr="00E52BA4">
        <w:t>Geneva</w:t>
      </w:r>
      <w:r>
        <w:t>: World Health Organization</w:t>
      </w:r>
      <w:r w:rsidRPr="00E52BA4">
        <w:t>.</w:t>
      </w:r>
      <w:bookmarkStart w:id="128" w:name="_Toc404618290"/>
      <w:bookmarkStart w:id="129" w:name="_Toc435784747"/>
      <w:bookmarkStart w:id="130" w:name="_Toc436730781"/>
    </w:p>
    <w:p w14:paraId="70DDFE92" w14:textId="77777777" w:rsidR="00FC0DB8" w:rsidRPr="008C5A1E" w:rsidRDefault="00FC0DB8" w:rsidP="00BA3991">
      <w:pPr>
        <w:pStyle w:val="Heading1"/>
      </w:pPr>
      <w:bookmarkStart w:id="131" w:name="_Toc467831543"/>
      <w:r w:rsidRPr="008C5A1E">
        <w:lastRenderedPageBreak/>
        <w:t xml:space="preserve">Appendix </w:t>
      </w:r>
      <w:r>
        <w:t>1</w:t>
      </w:r>
      <w:r w:rsidRPr="008C5A1E">
        <w:t xml:space="preserve">: </w:t>
      </w:r>
      <w:bookmarkEnd w:id="124"/>
      <w:bookmarkEnd w:id="125"/>
      <w:r>
        <w:t>Definitions and statistical methods</w:t>
      </w:r>
      <w:bookmarkEnd w:id="126"/>
      <w:bookmarkEnd w:id="128"/>
      <w:bookmarkEnd w:id="129"/>
      <w:bookmarkEnd w:id="130"/>
      <w:bookmarkEnd w:id="131"/>
    </w:p>
    <w:p w14:paraId="0F7C1124" w14:textId="77777777" w:rsidR="00FC0DB8" w:rsidRDefault="00FC0DB8" w:rsidP="004A4E25">
      <w:r w:rsidRPr="008C5A1E">
        <w:t xml:space="preserve">This section gives some key </w:t>
      </w:r>
      <w:r>
        <w:t xml:space="preserve">information to aid interpretation of the survey </w:t>
      </w:r>
      <w:r w:rsidRPr="008C5A1E">
        <w:t xml:space="preserve">results. For more details about the survey methodology, see the </w:t>
      </w:r>
      <w:r w:rsidRPr="001D038F">
        <w:rPr>
          <w:i/>
        </w:rPr>
        <w:t>Methodology Report 201</w:t>
      </w:r>
      <w:r>
        <w:rPr>
          <w:i/>
        </w:rPr>
        <w:t>5</w:t>
      </w:r>
      <w:r w:rsidRPr="001D038F">
        <w:rPr>
          <w:i/>
        </w:rPr>
        <w:t>/1</w:t>
      </w:r>
      <w:r>
        <w:rPr>
          <w:i/>
        </w:rPr>
        <w:t>6</w:t>
      </w:r>
      <w:r w:rsidRPr="001D038F">
        <w:rPr>
          <w:i/>
        </w:rPr>
        <w:t>: New Zealand Health Survey</w:t>
      </w:r>
      <w:r>
        <w:rPr>
          <w:i/>
        </w:rPr>
        <w:t xml:space="preserve"> </w:t>
      </w:r>
      <w:r>
        <w:t xml:space="preserve">(Ministry of Health 2016b) </w:t>
      </w:r>
      <w:r w:rsidRPr="00061247">
        <w:t xml:space="preserve">and </w:t>
      </w:r>
      <w:r w:rsidRPr="00486FBA">
        <w:rPr>
          <w:i/>
        </w:rPr>
        <w:t xml:space="preserve">Indicator </w:t>
      </w:r>
      <w:r>
        <w:rPr>
          <w:i/>
        </w:rPr>
        <w:t>I</w:t>
      </w:r>
      <w:r w:rsidRPr="00486FBA">
        <w:rPr>
          <w:i/>
        </w:rPr>
        <w:t>nterpretation</w:t>
      </w:r>
      <w:r w:rsidRPr="00486FBA">
        <w:t xml:space="preserve"> </w:t>
      </w:r>
      <w:r w:rsidRPr="00486FBA">
        <w:rPr>
          <w:i/>
        </w:rPr>
        <w:t>Guide</w:t>
      </w:r>
      <w:r>
        <w:rPr>
          <w:i/>
        </w:rPr>
        <w:t xml:space="preserve"> </w:t>
      </w:r>
      <w:r w:rsidRPr="008B0241">
        <w:rPr>
          <w:i/>
        </w:rPr>
        <w:t>201</w:t>
      </w:r>
      <w:r>
        <w:rPr>
          <w:i/>
        </w:rPr>
        <w:t>5</w:t>
      </w:r>
      <w:r w:rsidRPr="008B0241">
        <w:rPr>
          <w:i/>
        </w:rPr>
        <w:t>/1</w:t>
      </w:r>
      <w:r>
        <w:rPr>
          <w:i/>
        </w:rPr>
        <w:t>6</w:t>
      </w:r>
      <w:r w:rsidRPr="008B0241">
        <w:rPr>
          <w:i/>
        </w:rPr>
        <w:t xml:space="preserve">: </w:t>
      </w:r>
      <w:r w:rsidRPr="00486FBA">
        <w:rPr>
          <w:i/>
        </w:rPr>
        <w:t>New Zealand Health Su</w:t>
      </w:r>
      <w:r>
        <w:rPr>
          <w:i/>
        </w:rPr>
        <w:t xml:space="preserve">rvey </w:t>
      </w:r>
      <w:r>
        <w:t>(Ministry of Health 2016c)</w:t>
      </w:r>
      <w:r w:rsidRPr="00061247">
        <w:t>.</w:t>
      </w:r>
    </w:p>
    <w:p w14:paraId="25AA4D59" w14:textId="77777777" w:rsidR="00FC0DB8" w:rsidRDefault="00FC0DB8" w:rsidP="004A4E25"/>
    <w:p w14:paraId="11661CD0" w14:textId="77777777" w:rsidR="00FC0DB8" w:rsidRDefault="00FC0DB8" w:rsidP="004A4E25">
      <w:pPr>
        <w:pStyle w:val="Heading2"/>
        <w:rPr>
          <w:lang w:eastAsia="en-US"/>
        </w:rPr>
      </w:pPr>
      <w:bookmarkStart w:id="132" w:name="_Toc467831544"/>
      <w:r>
        <w:rPr>
          <w:lang w:eastAsia="en-US"/>
        </w:rPr>
        <w:t>Total response e</w:t>
      </w:r>
      <w:r w:rsidRPr="00C93DD4">
        <w:rPr>
          <w:lang w:eastAsia="en-US"/>
        </w:rPr>
        <w:t>thnicity</w:t>
      </w:r>
      <w:bookmarkEnd w:id="132"/>
    </w:p>
    <w:p w14:paraId="156C03FF" w14:textId="77777777" w:rsidR="00FC0DB8" w:rsidRDefault="00FC0DB8" w:rsidP="004A4E25">
      <w:pPr>
        <w:rPr>
          <w:rFonts w:eastAsia="Calibri"/>
          <w:lang w:eastAsia="en-US"/>
        </w:rPr>
      </w:pPr>
      <w:r w:rsidRPr="00C93DD4">
        <w:rPr>
          <w:rFonts w:eastAsia="Calibri"/>
          <w:lang w:eastAsia="en-US"/>
        </w:rPr>
        <w:t>This report uses total response ethnicity to define ethnic groups. Total response ethnicity classifies a person in all the ethnic groups they identify with. This means that people can appear in more than one ethnic group.</w:t>
      </w:r>
    </w:p>
    <w:p w14:paraId="6BE21C75" w14:textId="77777777" w:rsidR="00FC0DB8" w:rsidRPr="00634FB7" w:rsidRDefault="00FC0DB8" w:rsidP="004A4E25">
      <w:pPr>
        <w:rPr>
          <w:rFonts w:eastAsia="Calibri"/>
          <w:lang w:eastAsia="en-US"/>
        </w:rPr>
      </w:pPr>
    </w:p>
    <w:p w14:paraId="5C6AB800" w14:textId="77777777" w:rsidR="00FC0DB8" w:rsidRDefault="00FC0DB8" w:rsidP="004A4E25">
      <w:pPr>
        <w:pStyle w:val="Heading2"/>
      </w:pPr>
      <w:bookmarkStart w:id="133" w:name="_Toc467831545"/>
      <w:r>
        <w:t>Adjusted rate ratios</w:t>
      </w:r>
      <w:bookmarkEnd w:id="133"/>
    </w:p>
    <w:p w14:paraId="0521CFD0" w14:textId="77777777" w:rsidR="00FC0DB8" w:rsidRDefault="00FC0DB8" w:rsidP="004A4E25">
      <w:r>
        <w:t>This report uses adjusted rate ratios to compare the results for different population groups.</w:t>
      </w:r>
    </w:p>
    <w:p w14:paraId="7D2E230B" w14:textId="77777777" w:rsidR="00FC0DB8" w:rsidRDefault="00FC0DB8" w:rsidP="004A4E25"/>
    <w:p w14:paraId="6E035DF2" w14:textId="77777777" w:rsidR="00FC0DB8" w:rsidRPr="00302221" w:rsidRDefault="00FC0DB8" w:rsidP="004A4E25">
      <w:r>
        <w:t>R</w:t>
      </w:r>
      <w:r w:rsidRPr="00302221">
        <w:t xml:space="preserve">ate ratios </w:t>
      </w:r>
      <w:r>
        <w:t xml:space="preserve">are used </w:t>
      </w:r>
      <w:r w:rsidRPr="00302221">
        <w:t xml:space="preserve">for </w:t>
      </w:r>
      <w:r>
        <w:t>comparing</w:t>
      </w:r>
      <w:r w:rsidRPr="00302221">
        <w:t>:</w:t>
      </w:r>
    </w:p>
    <w:p w14:paraId="1237FDFC" w14:textId="77777777" w:rsidR="00FC0DB8" w:rsidRDefault="00FC0DB8" w:rsidP="004A4E25">
      <w:pPr>
        <w:pStyle w:val="Bullet"/>
      </w:pPr>
      <w:r w:rsidRPr="00302221">
        <w:t>m</w:t>
      </w:r>
      <w:r>
        <w:t>ales</w:t>
      </w:r>
      <w:r w:rsidRPr="00302221">
        <w:t xml:space="preserve"> and </w:t>
      </w:r>
      <w:r>
        <w:t>females</w:t>
      </w:r>
    </w:p>
    <w:p w14:paraId="091763C6" w14:textId="77777777" w:rsidR="00FC0DB8" w:rsidRPr="00302221" w:rsidRDefault="00FC0DB8" w:rsidP="004A4E25">
      <w:pPr>
        <w:pStyle w:val="Bullet"/>
      </w:pPr>
      <w:r w:rsidRPr="00302221">
        <w:t xml:space="preserve">Māori and non-Māori (for </w:t>
      </w:r>
      <w:r>
        <w:t xml:space="preserve">the </w:t>
      </w:r>
      <w:r w:rsidRPr="00302221">
        <w:t>total</w:t>
      </w:r>
      <w:r>
        <w:t xml:space="preserve"> population</w:t>
      </w:r>
      <w:r w:rsidRPr="00302221">
        <w:t>, m</w:t>
      </w:r>
      <w:r>
        <w:t>ales</w:t>
      </w:r>
      <w:r w:rsidRPr="00302221">
        <w:t xml:space="preserve"> and </w:t>
      </w:r>
      <w:r>
        <w:t>females</w:t>
      </w:r>
      <w:r w:rsidRPr="00302221">
        <w:t>)</w:t>
      </w:r>
    </w:p>
    <w:p w14:paraId="615B5162" w14:textId="77777777" w:rsidR="00FC0DB8" w:rsidRPr="00302221" w:rsidRDefault="00FC0DB8" w:rsidP="004A4E25">
      <w:pPr>
        <w:pStyle w:val="Bullet"/>
      </w:pPr>
      <w:r w:rsidRPr="00302221">
        <w:t xml:space="preserve">Pacific and non-Pacific (for </w:t>
      </w:r>
      <w:r>
        <w:t xml:space="preserve">the </w:t>
      </w:r>
      <w:r w:rsidRPr="00302221">
        <w:t>total</w:t>
      </w:r>
      <w:r>
        <w:t xml:space="preserve"> population</w:t>
      </w:r>
      <w:r w:rsidRPr="00302221">
        <w:t>, m</w:t>
      </w:r>
      <w:r>
        <w:t>ales</w:t>
      </w:r>
      <w:r w:rsidRPr="00302221">
        <w:t xml:space="preserve"> and </w:t>
      </w:r>
      <w:r>
        <w:t>females</w:t>
      </w:r>
      <w:r w:rsidRPr="00302221">
        <w:t>)</w:t>
      </w:r>
    </w:p>
    <w:p w14:paraId="074E0E1F" w14:textId="77777777" w:rsidR="00FC0DB8" w:rsidRDefault="00FC0DB8" w:rsidP="004A4E25">
      <w:pPr>
        <w:pStyle w:val="Bullet"/>
      </w:pPr>
      <w:r w:rsidRPr="00302221">
        <w:t xml:space="preserve">Asian and non-Asian (for </w:t>
      </w:r>
      <w:r>
        <w:t xml:space="preserve">the </w:t>
      </w:r>
      <w:r w:rsidRPr="00302221">
        <w:t>total</w:t>
      </w:r>
      <w:r>
        <w:t xml:space="preserve"> population</w:t>
      </w:r>
      <w:r w:rsidRPr="00302221">
        <w:t>, m</w:t>
      </w:r>
      <w:r>
        <w:t>ales</w:t>
      </w:r>
      <w:r w:rsidRPr="00302221">
        <w:t xml:space="preserve"> and </w:t>
      </w:r>
      <w:r>
        <w:t>females</w:t>
      </w:r>
      <w:r w:rsidRPr="00302221">
        <w:t>)</w:t>
      </w:r>
    </w:p>
    <w:p w14:paraId="588075DB" w14:textId="77777777" w:rsidR="00FC0DB8" w:rsidRPr="00302221" w:rsidRDefault="00FC0DB8" w:rsidP="004A4E25">
      <w:pPr>
        <w:pStyle w:val="Bullet"/>
      </w:pPr>
      <w:r w:rsidRPr="00302221">
        <w:t>people living in the most and</w:t>
      </w:r>
      <w:r>
        <w:t xml:space="preserve"> the</w:t>
      </w:r>
      <w:r w:rsidRPr="00302221">
        <w:t xml:space="preserve"> least</w:t>
      </w:r>
      <w:r>
        <w:t xml:space="preserve"> socioeconomically</w:t>
      </w:r>
      <w:r w:rsidRPr="00302221">
        <w:t xml:space="preserve"> deprived areas.</w:t>
      </w:r>
    </w:p>
    <w:p w14:paraId="53362E0C" w14:textId="77777777" w:rsidR="00FC0DB8" w:rsidRDefault="00FC0DB8" w:rsidP="004A4E25"/>
    <w:p w14:paraId="609153E1" w14:textId="77777777" w:rsidR="00FC0DB8" w:rsidRDefault="00FC0DB8" w:rsidP="004A4E25">
      <w:r>
        <w:rPr>
          <w:rFonts w:eastAsia="Cambria"/>
          <w:lang w:eastAsia="en-US"/>
        </w:rPr>
        <w:t xml:space="preserve">Total response ethnicity is used to present prevalences by ethnic group. This means that </w:t>
      </w:r>
      <w:r w:rsidRPr="00E747E0">
        <w:t xml:space="preserve">ethnic comparisons are presented </w:t>
      </w:r>
      <w:r>
        <w:t>to enable</w:t>
      </w:r>
      <w:r w:rsidRPr="00E747E0">
        <w:t xml:space="preserve"> M</w:t>
      </w:r>
      <w:r>
        <w:t>ā</w:t>
      </w:r>
      <w:r w:rsidRPr="00E747E0">
        <w:t xml:space="preserve">ori </w:t>
      </w:r>
      <w:r>
        <w:t>to be</w:t>
      </w:r>
      <w:r w:rsidRPr="00E747E0">
        <w:t xml:space="preserve"> compared with non-M</w:t>
      </w:r>
      <w:r>
        <w:t>ā</w:t>
      </w:r>
      <w:r w:rsidRPr="00E747E0">
        <w:t>ori, Pacific with non-Pacific and Asian with non-Asian</w:t>
      </w:r>
      <w:r>
        <w:t xml:space="preserve"> groups</w:t>
      </w:r>
      <w:r w:rsidRPr="00E747E0">
        <w:t xml:space="preserve">. </w:t>
      </w:r>
      <w:r>
        <w:t>This means that</w:t>
      </w:r>
      <w:r w:rsidRPr="00E747E0">
        <w:t xml:space="preserve"> all respondents who identified as M</w:t>
      </w:r>
      <w:r>
        <w:t>ā</w:t>
      </w:r>
      <w:r w:rsidRPr="00E747E0">
        <w:t>ori are included in the M</w:t>
      </w:r>
      <w:r>
        <w:t>āori group, while</w:t>
      </w:r>
      <w:r w:rsidRPr="00E747E0">
        <w:t xml:space="preserve"> all other respondents are included in the non-M</w:t>
      </w:r>
      <w:r>
        <w:t>ā</w:t>
      </w:r>
      <w:r w:rsidRPr="00E747E0">
        <w:t>ori group.</w:t>
      </w:r>
      <w:r>
        <w:t xml:space="preserve"> S</w:t>
      </w:r>
      <w:r w:rsidRPr="00E747E0">
        <w:t xml:space="preserve">imilar groups are formed for Pacific and Asian ethnic </w:t>
      </w:r>
      <w:r>
        <w:t>comparisons</w:t>
      </w:r>
      <w:r w:rsidRPr="00E747E0">
        <w:t>.</w:t>
      </w:r>
    </w:p>
    <w:p w14:paraId="424BD08E" w14:textId="77777777" w:rsidR="00FC0DB8" w:rsidRPr="00302221" w:rsidRDefault="00FC0DB8" w:rsidP="004A4E25"/>
    <w:p w14:paraId="718CAE0D" w14:textId="77777777" w:rsidR="00FC0DB8" w:rsidRDefault="00FC0DB8" w:rsidP="00FC0DB8">
      <w:r>
        <w:t>Rate rat</w:t>
      </w:r>
      <w:r w:rsidRPr="004A4E25">
        <w:t>i</w:t>
      </w:r>
      <w:r>
        <w:t xml:space="preserve">os </w:t>
      </w:r>
      <w:r w:rsidRPr="00CC7E24">
        <w:t>can be interpreted in the following way</w:t>
      </w:r>
      <w:r>
        <w:t>.</w:t>
      </w:r>
    </w:p>
    <w:p w14:paraId="3CFE1A17" w14:textId="77777777" w:rsidR="00FC0DB8" w:rsidRPr="00CC7E24" w:rsidRDefault="00FC0DB8" w:rsidP="004A4E25">
      <w:pPr>
        <w:pStyle w:val="Bullet"/>
      </w:pPr>
      <w:r w:rsidRPr="00CC7E24">
        <w:t xml:space="preserve">A </w:t>
      </w:r>
      <w:r>
        <w:t>rate ratio</w:t>
      </w:r>
      <w:r w:rsidRPr="00CC7E24">
        <w:t xml:space="preserve"> of 1 </w:t>
      </w:r>
      <w:r>
        <w:t xml:space="preserve">means </w:t>
      </w:r>
      <w:r w:rsidRPr="00CC7E24">
        <w:t>that there is no difference</w:t>
      </w:r>
      <w:r>
        <w:t xml:space="preserve"> in prevalence</w:t>
      </w:r>
      <w:r w:rsidRPr="00CC7E24">
        <w:t xml:space="preserve"> between the group of interest (eg</w:t>
      </w:r>
      <w:r>
        <w:t>,</w:t>
      </w:r>
      <w:r w:rsidRPr="00CC7E24">
        <w:t xml:space="preserve"> men) and the reference group (eg</w:t>
      </w:r>
      <w:r>
        <w:t>,</w:t>
      </w:r>
      <w:r w:rsidRPr="00CC7E24">
        <w:t xml:space="preserve"> women)</w:t>
      </w:r>
      <w:r>
        <w:t>.</w:t>
      </w:r>
    </w:p>
    <w:p w14:paraId="7B3BB773" w14:textId="77777777" w:rsidR="00FC0DB8" w:rsidRPr="00CC7E24" w:rsidRDefault="00FC0DB8" w:rsidP="004A4E25">
      <w:pPr>
        <w:pStyle w:val="Bullet"/>
      </w:pPr>
      <w:r w:rsidRPr="00CC7E24">
        <w:t xml:space="preserve">A </w:t>
      </w:r>
      <w:r>
        <w:t xml:space="preserve">rate ratio above </w:t>
      </w:r>
      <w:r w:rsidRPr="00CC7E24">
        <w:t xml:space="preserve">1 </w:t>
      </w:r>
      <w:r>
        <w:t>means</w:t>
      </w:r>
      <w:r w:rsidRPr="00CC7E24">
        <w:t xml:space="preserve"> that the </w:t>
      </w:r>
      <w:r>
        <w:t>prevalence</w:t>
      </w:r>
      <w:r w:rsidRPr="00CC7E24">
        <w:t xml:space="preserve"> is higher for the group of interest than </w:t>
      </w:r>
      <w:r>
        <w:t xml:space="preserve">for </w:t>
      </w:r>
      <w:r w:rsidRPr="00CC7E24">
        <w:t>the reference group.</w:t>
      </w:r>
    </w:p>
    <w:p w14:paraId="3CF9A17A" w14:textId="77777777" w:rsidR="00FC0DB8" w:rsidRPr="00CC7E24" w:rsidRDefault="00FC0DB8" w:rsidP="004A4E25">
      <w:pPr>
        <w:pStyle w:val="Bullet"/>
      </w:pPr>
      <w:r w:rsidRPr="00CC7E24">
        <w:t xml:space="preserve">A </w:t>
      </w:r>
      <w:r>
        <w:t>rate ratio below</w:t>
      </w:r>
      <w:r w:rsidRPr="00CC7E24">
        <w:t xml:space="preserve"> 1 </w:t>
      </w:r>
      <w:r>
        <w:t>means</w:t>
      </w:r>
      <w:r w:rsidRPr="00CC7E24">
        <w:t xml:space="preserve"> that the </w:t>
      </w:r>
      <w:r>
        <w:t>prevalence</w:t>
      </w:r>
      <w:r w:rsidRPr="00CC7E24">
        <w:t xml:space="preserve"> is lower for the group of interest than </w:t>
      </w:r>
      <w:r>
        <w:t xml:space="preserve">for </w:t>
      </w:r>
      <w:r w:rsidRPr="00CC7E24">
        <w:t>the reference group.</w:t>
      </w:r>
    </w:p>
    <w:p w14:paraId="4FB491F9" w14:textId="77777777" w:rsidR="00FC0DB8" w:rsidRDefault="00FC0DB8" w:rsidP="004A4E25"/>
    <w:p w14:paraId="5D50D054" w14:textId="77777777" w:rsidR="00FC0DB8" w:rsidRPr="001B000C" w:rsidRDefault="00FC0DB8" w:rsidP="004A4E25">
      <w:pPr>
        <w:keepNext/>
        <w:rPr>
          <w:rFonts w:eastAsia="Calibri"/>
          <w:lang w:eastAsia="en-US"/>
        </w:rPr>
      </w:pPr>
      <w:r w:rsidRPr="001B000C">
        <w:rPr>
          <w:rFonts w:eastAsia="Calibri"/>
          <w:lang w:eastAsia="en-US"/>
        </w:rPr>
        <w:lastRenderedPageBreak/>
        <w:t xml:space="preserve">The rate ratios presented </w:t>
      </w:r>
      <w:r>
        <w:rPr>
          <w:rFonts w:eastAsia="Calibri"/>
          <w:lang w:eastAsia="en-US"/>
        </w:rPr>
        <w:t xml:space="preserve">in this report have been </w:t>
      </w:r>
      <w:r w:rsidRPr="001B000C">
        <w:rPr>
          <w:rFonts w:eastAsia="Calibri"/>
          <w:lang w:eastAsia="en-US"/>
        </w:rPr>
        <w:t xml:space="preserve">adjusted for </w:t>
      </w:r>
      <w:r>
        <w:rPr>
          <w:rFonts w:eastAsia="Calibri"/>
          <w:lang w:eastAsia="en-US"/>
        </w:rPr>
        <w:t xml:space="preserve">other </w:t>
      </w:r>
      <w:r w:rsidRPr="001B000C">
        <w:rPr>
          <w:rFonts w:eastAsia="Calibri"/>
          <w:lang w:eastAsia="en-US"/>
        </w:rPr>
        <w:t xml:space="preserve">demographic factors </w:t>
      </w:r>
      <w:r>
        <w:rPr>
          <w:rFonts w:eastAsia="Calibri"/>
          <w:lang w:eastAsia="en-US"/>
        </w:rPr>
        <w:t xml:space="preserve">that may be </w:t>
      </w:r>
      <w:r w:rsidRPr="001B000C">
        <w:rPr>
          <w:rFonts w:eastAsia="Calibri"/>
          <w:lang w:eastAsia="en-US"/>
        </w:rPr>
        <w:t>influencing (confounding) the comparison</w:t>
      </w:r>
      <w:r>
        <w:rPr>
          <w:rFonts w:eastAsia="Calibri"/>
          <w:lang w:eastAsia="en-US"/>
        </w:rPr>
        <w:t>, such as age, sex and ethnic group.</w:t>
      </w:r>
    </w:p>
    <w:p w14:paraId="0054FC50" w14:textId="77777777" w:rsidR="00FC0DB8" w:rsidRPr="00D72108" w:rsidRDefault="00FC0DB8" w:rsidP="004A4E25">
      <w:pPr>
        <w:pStyle w:val="Bullet"/>
        <w:keepNext/>
        <w:rPr>
          <w:rFonts w:eastAsia="Calibri"/>
          <w:lang w:eastAsia="en-US"/>
        </w:rPr>
      </w:pPr>
      <w:r w:rsidRPr="00D72108">
        <w:rPr>
          <w:rFonts w:eastAsia="Calibri"/>
          <w:lang w:eastAsia="en-US"/>
        </w:rPr>
        <w:t>The sex comparison is adjusted for age</w:t>
      </w:r>
      <w:r>
        <w:rPr>
          <w:rFonts w:eastAsia="Calibri"/>
          <w:lang w:eastAsia="en-US"/>
        </w:rPr>
        <w:t xml:space="preserve"> differences.</w:t>
      </w:r>
    </w:p>
    <w:p w14:paraId="57603BB7" w14:textId="77777777" w:rsidR="00FC0DB8" w:rsidRPr="00D72108" w:rsidRDefault="00FC0DB8" w:rsidP="004A4E25">
      <w:pPr>
        <w:pStyle w:val="Bullet"/>
        <w:keepNext/>
        <w:rPr>
          <w:rFonts w:eastAsia="Calibri"/>
          <w:lang w:eastAsia="en-US"/>
        </w:rPr>
      </w:pPr>
      <w:r>
        <w:rPr>
          <w:rFonts w:eastAsia="Calibri"/>
          <w:lang w:eastAsia="en-US"/>
        </w:rPr>
        <w:t>E</w:t>
      </w:r>
      <w:r w:rsidRPr="00D72108">
        <w:rPr>
          <w:rFonts w:eastAsia="Calibri"/>
          <w:lang w:eastAsia="en-US"/>
        </w:rPr>
        <w:t>thnic comparisons are adjusted for age and sex</w:t>
      </w:r>
      <w:r>
        <w:rPr>
          <w:rFonts w:eastAsia="Calibri"/>
          <w:lang w:eastAsia="en-US"/>
        </w:rPr>
        <w:t xml:space="preserve"> differences.</w:t>
      </w:r>
    </w:p>
    <w:p w14:paraId="21DFAD3B" w14:textId="77777777" w:rsidR="00FC0DB8" w:rsidRDefault="00FC0DB8" w:rsidP="004A4E25">
      <w:pPr>
        <w:pStyle w:val="Bullet"/>
        <w:rPr>
          <w:rFonts w:eastAsia="Calibri"/>
          <w:lang w:eastAsia="en-US"/>
        </w:rPr>
      </w:pPr>
      <w:r>
        <w:rPr>
          <w:rFonts w:eastAsia="Calibri"/>
          <w:lang w:eastAsia="en-US"/>
        </w:rPr>
        <w:t xml:space="preserve">Socioeconomic </w:t>
      </w:r>
      <w:r w:rsidRPr="00D72108">
        <w:rPr>
          <w:rFonts w:eastAsia="Calibri"/>
          <w:lang w:eastAsia="en-US"/>
        </w:rPr>
        <w:t>deprivation comparison</w:t>
      </w:r>
      <w:r>
        <w:rPr>
          <w:rFonts w:eastAsia="Calibri"/>
          <w:lang w:eastAsia="en-US"/>
        </w:rPr>
        <w:t>s</w:t>
      </w:r>
      <w:r w:rsidRPr="00D72108">
        <w:rPr>
          <w:rFonts w:eastAsia="Calibri"/>
          <w:lang w:eastAsia="en-US"/>
        </w:rPr>
        <w:t xml:space="preserve"> </w:t>
      </w:r>
      <w:r>
        <w:rPr>
          <w:rFonts w:eastAsia="Calibri"/>
          <w:lang w:eastAsia="en-US"/>
        </w:rPr>
        <w:t xml:space="preserve">are </w:t>
      </w:r>
      <w:r w:rsidRPr="00D72108">
        <w:rPr>
          <w:rFonts w:eastAsia="Calibri"/>
          <w:lang w:eastAsia="en-US"/>
        </w:rPr>
        <w:t>adjusted for age, sex and ethnic</w:t>
      </w:r>
      <w:r>
        <w:rPr>
          <w:rFonts w:eastAsia="Calibri"/>
          <w:lang w:eastAsia="en-US"/>
        </w:rPr>
        <w:t xml:space="preserve"> differences.</w:t>
      </w:r>
    </w:p>
    <w:p w14:paraId="1D0578D1" w14:textId="77777777" w:rsidR="00FC0DB8" w:rsidRPr="00D72108" w:rsidRDefault="00FC0DB8" w:rsidP="004A4E25">
      <w:pPr>
        <w:rPr>
          <w:rFonts w:eastAsia="Calibri"/>
          <w:lang w:eastAsia="en-US"/>
        </w:rPr>
      </w:pPr>
    </w:p>
    <w:p w14:paraId="75F8AF3B" w14:textId="77777777" w:rsidR="00FC0DB8" w:rsidRDefault="00FC0DB8" w:rsidP="004A4E25">
      <w:pPr>
        <w:rPr>
          <w:rFonts w:eastAsia="Calibri"/>
          <w:lang w:eastAsia="en-US"/>
        </w:rPr>
      </w:pPr>
      <w:r w:rsidRPr="001B000C">
        <w:rPr>
          <w:rFonts w:eastAsia="Calibri"/>
          <w:lang w:eastAsia="en-US"/>
        </w:rPr>
        <w:t>Adjusting for potential</w:t>
      </w:r>
      <w:r>
        <w:rPr>
          <w:rFonts w:eastAsia="Calibri"/>
          <w:lang w:eastAsia="en-US"/>
        </w:rPr>
        <w:t>ly</w:t>
      </w:r>
      <w:r w:rsidRPr="001B000C">
        <w:rPr>
          <w:rFonts w:eastAsia="Calibri"/>
          <w:lang w:eastAsia="en-US"/>
        </w:rPr>
        <w:t xml:space="preserve"> confounding factors makes comparisons more accurate and meaningful</w:t>
      </w:r>
      <w:r>
        <w:rPr>
          <w:rFonts w:eastAsia="Calibri"/>
          <w:lang w:eastAsia="en-US"/>
        </w:rPr>
        <w:t xml:space="preserve"> because</w:t>
      </w:r>
      <w:r w:rsidRPr="001B000C">
        <w:rPr>
          <w:rFonts w:eastAsia="Calibri"/>
          <w:lang w:eastAsia="en-US"/>
        </w:rPr>
        <w:t xml:space="preserve"> the adjustment removes the effect of these confounding factors.</w:t>
      </w:r>
    </w:p>
    <w:p w14:paraId="60676B4F" w14:textId="77777777" w:rsidR="00FC0DB8" w:rsidRDefault="00FC0DB8" w:rsidP="004A4E25"/>
    <w:p w14:paraId="7A8C9FB8" w14:textId="77777777" w:rsidR="00FC0DB8" w:rsidRPr="00CC7E24" w:rsidRDefault="00FC0DB8" w:rsidP="004A4E25">
      <w:pPr>
        <w:pStyle w:val="Heading2"/>
      </w:pPr>
      <w:bookmarkStart w:id="134" w:name="_Toc467831546"/>
      <w:r w:rsidRPr="00CC7E24">
        <w:t>Neighbourhood deprivation</w:t>
      </w:r>
      <w:bookmarkEnd w:id="134"/>
    </w:p>
    <w:p w14:paraId="7FD856DE" w14:textId="77777777" w:rsidR="00FC0DB8" w:rsidRDefault="00FC0DB8" w:rsidP="004A4E25">
      <w:r w:rsidRPr="00CC7E24">
        <w:t>Neighbourhood deprivation refers to the New Z</w:t>
      </w:r>
      <w:r>
        <w:t>ealand Index of Deprivation 2013 (NZDep2013</w:t>
      </w:r>
      <w:r w:rsidRPr="00CC7E24">
        <w:t>), which measures the level of socioeconomic deprivation for each neighbourhood (</w:t>
      </w:r>
      <w:r>
        <w:t>Primary Sampling Unit, PSU</w:t>
      </w:r>
      <w:r w:rsidRPr="00CC7E24">
        <w:t>) according to a c</w:t>
      </w:r>
      <w:r>
        <w:t>ombination of the following 2013</w:t>
      </w:r>
      <w:r w:rsidRPr="00CC7E24">
        <w:t xml:space="preserve"> Census variables: income, benefit receipt, transport (access to car), household crowding, home ownership, employment status, qualifications, support (sole-parent families) and access to a telephone</w:t>
      </w:r>
      <w:r>
        <w:t xml:space="preserve"> (Atkinson et al 2014)</w:t>
      </w:r>
      <w:r w:rsidRPr="00CC7E24">
        <w:t>.</w:t>
      </w:r>
    </w:p>
    <w:p w14:paraId="29897AC3" w14:textId="77777777" w:rsidR="00FC0DB8" w:rsidRDefault="00FC0DB8" w:rsidP="004A4E25"/>
    <w:p w14:paraId="1A3744E9" w14:textId="77777777" w:rsidR="00FC0DB8" w:rsidRPr="00CC7E24" w:rsidRDefault="00FC0DB8" w:rsidP="004A4E25">
      <w:r w:rsidRPr="002D13E2">
        <w:t xml:space="preserve">In the neighbourhood deprivation comparisons, the rate ratio refers to the </w:t>
      </w:r>
      <w:r w:rsidRPr="003A2423">
        <w:rPr>
          <w:b/>
        </w:rPr>
        <w:t>relative index of inequality</w:t>
      </w:r>
      <w:r w:rsidRPr="006169F7">
        <w:t xml:space="preserve"> </w:t>
      </w:r>
      <w:r w:rsidRPr="002D13E2">
        <w:t xml:space="preserve">(Hayes and Barry 2002). This measure is used instead of simply comparing the most deprived quintile with the least deprived quintile and is calculated by first using data from all quintiles to calculate a line of best fit (regression line), adjusted for age, sex and ethnic </w:t>
      </w:r>
      <w:r>
        <w:t>differences</w:t>
      </w:r>
      <w:r w:rsidRPr="002D13E2">
        <w:t>. The points on the regression line corresponding to the most and least deprived areas are used to calculate the rate ratio that is presented in th</w:t>
      </w:r>
      <w:r>
        <w:t>is</w:t>
      </w:r>
      <w:r w:rsidRPr="002D13E2">
        <w:t xml:space="preserve"> report. This method has the advantage of using data from all the NZDep2013 quintiles to give an overall test for trend (gradient) by neighbourhood deprivation rather than only using the data from quintiles 1 and 5.</w:t>
      </w:r>
    </w:p>
    <w:p w14:paraId="555B6FB7" w14:textId="77777777" w:rsidR="00FC0DB8" w:rsidRDefault="00FC0DB8" w:rsidP="004A4E25"/>
    <w:p w14:paraId="2FD9ADDA" w14:textId="77777777" w:rsidR="00FC0DB8" w:rsidRPr="008C5A1E" w:rsidRDefault="00FC0DB8" w:rsidP="004A4E25">
      <w:pPr>
        <w:pStyle w:val="Heading2"/>
      </w:pPr>
      <w:bookmarkStart w:id="135" w:name="_Toc467831547"/>
      <w:r w:rsidRPr="008C5A1E">
        <w:t>Results are representative of the total adult or child population</w:t>
      </w:r>
      <w:bookmarkEnd w:id="135"/>
    </w:p>
    <w:p w14:paraId="4CEF4D06" w14:textId="77777777" w:rsidR="00FC0DB8" w:rsidRDefault="00FC0DB8" w:rsidP="004A4E25">
      <w:r w:rsidRPr="008C5A1E">
        <w:t>All results presented in this report are weighted so that they represent the total population of either adults (15 years and above) or children (0</w:t>
      </w:r>
      <w:r>
        <w:t>–</w:t>
      </w:r>
      <w:r w:rsidRPr="008C5A1E">
        <w:t>14 years</w:t>
      </w:r>
      <w:r>
        <w:t xml:space="preserve">). For some child indicators, the age group is a subset of the </w:t>
      </w:r>
      <w:r w:rsidRPr="008C5A1E">
        <w:t>0</w:t>
      </w:r>
      <w:r>
        <w:t>–</w:t>
      </w:r>
      <w:r w:rsidRPr="008C5A1E">
        <w:t>14 years</w:t>
      </w:r>
      <w:r>
        <w:t xml:space="preserve"> age group.</w:t>
      </w:r>
    </w:p>
    <w:p w14:paraId="136ACE4D" w14:textId="77777777" w:rsidR="00FC0DB8" w:rsidRPr="008C5A1E" w:rsidRDefault="00FC0DB8" w:rsidP="004A4E25"/>
    <w:p w14:paraId="037921C4" w14:textId="77777777" w:rsidR="00FC0DB8" w:rsidRPr="008C5A1E" w:rsidRDefault="00FC0DB8" w:rsidP="004A4E25">
      <w:pPr>
        <w:pStyle w:val="Heading2"/>
      </w:pPr>
      <w:bookmarkStart w:id="136" w:name="_Toc467831548"/>
      <w:r w:rsidRPr="008C5A1E">
        <w:t>Percentages refer to unadjusted values</w:t>
      </w:r>
      <w:bookmarkEnd w:id="136"/>
    </w:p>
    <w:p w14:paraId="5910FBBF" w14:textId="77777777" w:rsidR="00FC0DB8" w:rsidRDefault="00FC0DB8" w:rsidP="004A4E25">
      <w:r w:rsidRPr="008C5A1E">
        <w:t>Any percentage given in the text refer</w:t>
      </w:r>
      <w:r>
        <w:t>s</w:t>
      </w:r>
      <w:r w:rsidRPr="008C5A1E">
        <w:t xml:space="preserve"> to the </w:t>
      </w:r>
      <w:r w:rsidRPr="003A2423">
        <w:rPr>
          <w:b/>
        </w:rPr>
        <w:t>unadjusted prevalence</w:t>
      </w:r>
      <w:r w:rsidRPr="006A3A72">
        <w:t>;</w:t>
      </w:r>
      <w:r w:rsidRPr="008C5A1E">
        <w:rPr>
          <w:b/>
        </w:rPr>
        <w:t xml:space="preserve"> </w:t>
      </w:r>
      <w:r w:rsidRPr="008C5A1E">
        <w:t>that is, the percentage of people affected in the population group of interest.</w:t>
      </w:r>
    </w:p>
    <w:p w14:paraId="7B96BA48" w14:textId="77777777" w:rsidR="00FC0DB8" w:rsidRDefault="00FC0DB8" w:rsidP="004A4E25"/>
    <w:p w14:paraId="60754B93" w14:textId="77777777" w:rsidR="00FC0DB8" w:rsidRPr="008C5A1E" w:rsidRDefault="00FC0DB8" w:rsidP="004A4E25">
      <w:pPr>
        <w:pStyle w:val="Heading2"/>
      </w:pPr>
      <w:bookmarkStart w:id="137" w:name="_Toc467831549"/>
      <w:r w:rsidRPr="008C5A1E">
        <w:t>Statistical significance</w:t>
      </w:r>
      <w:bookmarkEnd w:id="137"/>
    </w:p>
    <w:p w14:paraId="0EE12424" w14:textId="77777777" w:rsidR="00FC0DB8" w:rsidRDefault="00FC0DB8" w:rsidP="004A4E25">
      <w:r w:rsidRPr="008C5A1E">
        <w:t>Statistical significance is measured at the 5</w:t>
      </w:r>
      <w:r>
        <w:t>%</w:t>
      </w:r>
      <w:r w:rsidRPr="008C5A1E">
        <w:t xml:space="preserve"> significance level (that is</w:t>
      </w:r>
      <w:r>
        <w:t>, a</w:t>
      </w:r>
      <w:r w:rsidRPr="008C5A1E">
        <w:t xml:space="preserve"> </w:t>
      </w:r>
      <w:r w:rsidRPr="008C5A1E">
        <w:rPr>
          <w:i/>
        </w:rPr>
        <w:t>p</w:t>
      </w:r>
      <w:r w:rsidRPr="008C5A1E">
        <w:t xml:space="preserve">-value less than 0.05). If needed, a statistical test (a </w:t>
      </w:r>
      <w:r w:rsidRPr="008C5A1E">
        <w:rPr>
          <w:i/>
        </w:rPr>
        <w:t>t</w:t>
      </w:r>
      <w:r w:rsidRPr="008C5A1E">
        <w:t xml:space="preserve">-test) </w:t>
      </w:r>
      <w:r>
        <w:t xml:space="preserve">is carried out </w:t>
      </w:r>
      <w:r w:rsidRPr="008C5A1E">
        <w:t>to confirm that the finding was statistically significant.</w:t>
      </w:r>
      <w:r>
        <w:t xml:space="preserve"> Due to the large number of results included in this report, some results identified as significant could be chance findings.</w:t>
      </w:r>
    </w:p>
    <w:p w14:paraId="6E343578" w14:textId="77777777" w:rsidR="00FC0DB8" w:rsidRDefault="00FC0DB8" w:rsidP="004A4E25"/>
    <w:p w14:paraId="63F425DE" w14:textId="77777777" w:rsidR="00FC0DB8" w:rsidRPr="004776A1" w:rsidRDefault="00FC0DB8" w:rsidP="004A4E25">
      <w:pPr>
        <w:pStyle w:val="Heading2"/>
      </w:pPr>
      <w:bookmarkStart w:id="138" w:name="_Toc467831550"/>
      <w:r w:rsidRPr="004776A1">
        <w:lastRenderedPageBreak/>
        <w:t>Time trends</w:t>
      </w:r>
      <w:bookmarkEnd w:id="138"/>
    </w:p>
    <w:p w14:paraId="285D976E" w14:textId="77777777" w:rsidR="00FC0DB8" w:rsidRDefault="00FC0DB8" w:rsidP="004A4E25">
      <w:r w:rsidRPr="004776A1">
        <w:t>The prevalence estimates used in this report reflect the actual (unadjusted) percentage of the population affected in each time period. However, the significance (</w:t>
      </w:r>
      <w:r w:rsidRPr="00137366">
        <w:rPr>
          <w:i/>
        </w:rPr>
        <w:t>p</w:t>
      </w:r>
      <w:r w:rsidRPr="004776A1">
        <w:t>-values) of differences between years has been adjusted for differences in the age structures of the underlying populations over time.</w:t>
      </w:r>
    </w:p>
    <w:p w14:paraId="29873260" w14:textId="77777777" w:rsidR="00FC0DB8" w:rsidRDefault="00FC0DB8" w:rsidP="004A4E25"/>
    <w:p w14:paraId="42A4576E" w14:textId="77777777" w:rsidR="00FC0DB8" w:rsidRDefault="00FC0DB8" w:rsidP="004A4E25">
      <w:pPr>
        <w:pStyle w:val="Heading2"/>
      </w:pPr>
      <w:bookmarkStart w:id="139" w:name="_Toc467831551"/>
      <w:r>
        <w:t>Linear regression</w:t>
      </w:r>
      <w:bookmarkEnd w:id="139"/>
    </w:p>
    <w:p w14:paraId="35BAE689" w14:textId="737E7FC2" w:rsidR="00FC0DB8" w:rsidRDefault="007F471F" w:rsidP="004A4E25">
      <w:pPr>
        <w:rPr>
          <w:lang w:eastAsia="en-NZ"/>
        </w:rPr>
      </w:pPr>
      <w:r w:rsidRPr="007F471F">
        <w:rPr>
          <w:lang w:eastAsia="en-NZ"/>
        </w:rPr>
        <w:t>The term ‘regression’ refers to a statistical technique that allows one variable to be predicted from other variables. The simplest regression equation is y = a + bx, where y is the outcome variable, x is the predictor variable, a is the intercept (the expected value of the outcome variable when the predictor variable is 0), and b is the slope (the average difference in the outcome variable when comparing observations whose predictor values differ by one unit).</w:t>
      </w:r>
    </w:p>
    <w:p w14:paraId="5E2AEBDC" w14:textId="77777777" w:rsidR="004A4E25" w:rsidRPr="00A16A55" w:rsidRDefault="004A4E25" w:rsidP="004A4E25"/>
    <w:p w14:paraId="2FA74BD0" w14:textId="77777777" w:rsidR="00FC0DB8" w:rsidRDefault="00FC0DB8" w:rsidP="004A4E25">
      <w:pPr>
        <w:pStyle w:val="Heading2"/>
      </w:pPr>
      <w:bookmarkStart w:id="140" w:name="_Toc467831552"/>
      <w:r>
        <w:t>Absolute and relative differences</w:t>
      </w:r>
      <w:bookmarkEnd w:id="140"/>
    </w:p>
    <w:p w14:paraId="40142BD3" w14:textId="77777777" w:rsidR="00FD6712" w:rsidRDefault="00FC0DB8" w:rsidP="004A4E25">
      <w:pPr>
        <w:rPr>
          <w:lang w:eastAsia="en-NZ"/>
        </w:rPr>
      </w:pPr>
      <w:r>
        <w:rPr>
          <w:lang w:eastAsia="en-NZ"/>
        </w:rPr>
        <w:t>Differences in rates can be measured on an absolute or a relative scale. Absolute change refers to the change in the rate in percentage points (ie, the rate in period 1 minus the rate in period 2). Relative change refers to the change in the rate in percentage terms (ie, the absolute change as a percentage of the value in period 1).</w:t>
      </w:r>
    </w:p>
    <w:p w14:paraId="60E21F82" w14:textId="77777777" w:rsidR="00FC0DB8" w:rsidRDefault="00FC0DB8" w:rsidP="004A4E25">
      <w:pPr>
        <w:rPr>
          <w:lang w:eastAsia="en-NZ"/>
        </w:rPr>
      </w:pPr>
    </w:p>
    <w:p w14:paraId="5DDFA09B" w14:textId="77777777" w:rsidR="00FC0DB8" w:rsidRPr="00EA6C48" w:rsidRDefault="00FC0DB8" w:rsidP="004A4E25">
      <w:r>
        <w:rPr>
          <w:lang w:eastAsia="en-NZ"/>
        </w:rPr>
        <w:t>For example, if the rate for an indicator declines from 20% in period 1 to 16% in period 2, then the relative change is 4 percentage points (20 – 16) and the relative change is 20% (4/20 x 100).</w:t>
      </w:r>
    </w:p>
    <w:p w14:paraId="6721471A" w14:textId="77777777" w:rsidR="00FC0DB8" w:rsidRPr="004776A1" w:rsidRDefault="00FC0DB8" w:rsidP="004A4E25"/>
    <w:p w14:paraId="02B1A6C3" w14:textId="77777777" w:rsidR="00FC0DB8" w:rsidRPr="008C5A1E" w:rsidRDefault="00FC0DB8" w:rsidP="004A4E25">
      <w:pPr>
        <w:pStyle w:val="Heading2"/>
      </w:pPr>
      <w:bookmarkStart w:id="141" w:name="_Toc467831553"/>
      <w:r w:rsidRPr="004776A1">
        <w:t>Survey results show</w:t>
      </w:r>
      <w:r w:rsidRPr="008C5A1E">
        <w:t xml:space="preserve"> associations </w:t>
      </w:r>
      <w:r>
        <w:t>rather than</w:t>
      </w:r>
      <w:r w:rsidRPr="008C5A1E">
        <w:t xml:space="preserve"> cause-and-effect relationships</w:t>
      </w:r>
      <w:bookmarkEnd w:id="141"/>
    </w:p>
    <w:p w14:paraId="7457330B" w14:textId="77777777" w:rsidR="00FC0DB8" w:rsidRDefault="00FC0DB8" w:rsidP="004A4E25">
      <w:r w:rsidRPr="008C5A1E">
        <w:t xml:space="preserve">This survey presents </w:t>
      </w:r>
      <w:r>
        <w:t>a snapshot</w:t>
      </w:r>
      <w:r w:rsidRPr="008C5A1E">
        <w:t xml:space="preserve"> of the health of New Zealand adults and children at one point in time. The survey can be used to look at associations between different factors, such as health status and neighbourhood deprivation. However, we cannot conclude that the survey results show cause-and-effect relationships between these factors, in part because we do not know which factor occurred first.</w:t>
      </w:r>
    </w:p>
    <w:p w14:paraId="504E33A5" w14:textId="77777777" w:rsidR="00FC0DB8" w:rsidRPr="008C5A1E" w:rsidRDefault="00FC0DB8" w:rsidP="004A4E25"/>
    <w:p w14:paraId="63201B14" w14:textId="77777777" w:rsidR="00FC0DB8" w:rsidRDefault="00FC0DB8" w:rsidP="004A4E25">
      <w:r w:rsidRPr="008C5A1E">
        <w:t>For example, if the survey finds that a particular condition is more common in people living in deprived areas, an association has been identified. This association does not necessarily mean the condition is caused by living in deprived areas.</w:t>
      </w:r>
    </w:p>
    <w:p w14:paraId="61BBBBCF" w14:textId="77777777" w:rsidR="00FC0DB8" w:rsidRPr="008C5A1E" w:rsidRDefault="00FC0DB8" w:rsidP="004A4E25"/>
    <w:p w14:paraId="7A20E377" w14:textId="77777777" w:rsidR="00FC0DB8" w:rsidRPr="008C5A1E" w:rsidRDefault="00FC0DB8" w:rsidP="004A4E25">
      <w:pPr>
        <w:pStyle w:val="Heading2"/>
      </w:pPr>
      <w:bookmarkStart w:id="142" w:name="_Toc467831554"/>
      <w:r w:rsidRPr="008C5A1E">
        <w:t>Reliability of survey results</w:t>
      </w:r>
      <w:bookmarkEnd w:id="142"/>
    </w:p>
    <w:p w14:paraId="5AC34251" w14:textId="77777777" w:rsidR="00FD6712" w:rsidRDefault="00FC0DB8" w:rsidP="004A4E25">
      <w:r w:rsidRPr="008C5A1E">
        <w:t>The survey results are likely to underestimate or overestimate some indicators due to the nature of self-reported information.</w:t>
      </w:r>
      <w:r>
        <w:t xml:space="preserve"> </w:t>
      </w:r>
      <w:r w:rsidRPr="008C5A1E">
        <w:t xml:space="preserve">For example, many of the survey results assume that </w:t>
      </w:r>
      <w:r>
        <w:t xml:space="preserve">the </w:t>
      </w:r>
      <w:r w:rsidRPr="008C5A1E">
        <w:t>respondents c</w:t>
      </w:r>
      <w:r>
        <w:t>ould</w:t>
      </w:r>
      <w:r w:rsidRPr="008C5A1E">
        <w:t xml:space="preserve"> accurately recall previous events (such as a diagnosis by a doctor). Also, many indicators in this report are about </w:t>
      </w:r>
      <w:r w:rsidRPr="003A2423">
        <w:rPr>
          <w:b/>
        </w:rPr>
        <w:t>diagnosed</w:t>
      </w:r>
      <w:r w:rsidRPr="006A3A72">
        <w:rPr>
          <w:i/>
        </w:rPr>
        <w:t xml:space="preserve"> </w:t>
      </w:r>
      <w:r w:rsidRPr="008C5A1E">
        <w:t>conditions, and not everyone with a particular condition will have had it diagnosed by a doctor.</w:t>
      </w:r>
    </w:p>
    <w:p w14:paraId="0FD40175" w14:textId="77777777" w:rsidR="00FC0DB8" w:rsidRDefault="00FC0DB8" w:rsidP="004A4E25"/>
    <w:p w14:paraId="5348ABC9" w14:textId="77777777" w:rsidR="00FC0DB8" w:rsidRDefault="00FC0DB8" w:rsidP="004A4E25">
      <w:r w:rsidRPr="008C5A1E">
        <w:t xml:space="preserve">The amount of error will vary </w:t>
      </w:r>
      <w:r>
        <w:t>from</w:t>
      </w:r>
      <w:r w:rsidRPr="008C5A1E">
        <w:t xml:space="preserve"> indicator</w:t>
      </w:r>
      <w:r>
        <w:t xml:space="preserve"> to indicator</w:t>
      </w:r>
      <w:r w:rsidRPr="008C5A1E">
        <w:t>, depending on a number of factors</w:t>
      </w:r>
      <w:r>
        <w:t xml:space="preserve">, </w:t>
      </w:r>
      <w:r w:rsidRPr="008C5A1E">
        <w:t>including the respondent</w:t>
      </w:r>
      <w:r w:rsidR="00FD6712">
        <w:t>’</w:t>
      </w:r>
      <w:r>
        <w:t>s</w:t>
      </w:r>
      <w:r w:rsidRPr="008C5A1E">
        <w:t xml:space="preserve"> age.</w:t>
      </w:r>
      <w:r w:rsidRPr="00AB6203">
        <w:t xml:space="preserve"> </w:t>
      </w:r>
      <w:r>
        <w:t>Respondents</w:t>
      </w:r>
      <w:r w:rsidRPr="008C5A1E">
        <w:t xml:space="preserve"> may also over-report good behaviours or under-report risk behaviours based on what they consider </w:t>
      </w:r>
      <w:r>
        <w:t xml:space="preserve">to be </w:t>
      </w:r>
      <w:r w:rsidRPr="008C5A1E">
        <w:t>socially desirable.</w:t>
      </w:r>
    </w:p>
    <w:p w14:paraId="25F32666" w14:textId="77777777" w:rsidR="00FC0DB8" w:rsidRPr="008C5A1E" w:rsidRDefault="00FC0DB8" w:rsidP="004A4E25"/>
    <w:p w14:paraId="7C14CB80" w14:textId="77777777" w:rsidR="00FC0DB8" w:rsidRDefault="00FC0DB8" w:rsidP="004A4E25">
      <w:r w:rsidRPr="008C5A1E">
        <w:lastRenderedPageBreak/>
        <w:t xml:space="preserve">Indicators about body size (such as obesity) are based on height and weight measurements taken by the </w:t>
      </w:r>
      <w:r>
        <w:t>interviewer</w:t>
      </w:r>
      <w:r w:rsidRPr="008C5A1E">
        <w:t>s rather than self-reported information. These results are more reliable than self-reported information</w:t>
      </w:r>
      <w:r>
        <w:t xml:space="preserve"> because the interviewers can apply consistent measurement techniques to all respondents using standardised measuring tools</w:t>
      </w:r>
      <w:r w:rsidRPr="008C5A1E">
        <w:t>.</w:t>
      </w:r>
    </w:p>
    <w:bookmarkEnd w:id="127"/>
    <w:p w14:paraId="44CFF366" w14:textId="77777777" w:rsidR="003715DC" w:rsidRPr="003715DC" w:rsidRDefault="003715DC" w:rsidP="004A4E25"/>
    <w:sectPr w:rsidR="003715DC" w:rsidRPr="003715DC" w:rsidSect="009D5125">
      <w:headerReference w:type="default" r:id="rId91"/>
      <w:footerReference w:type="default" r:id="rId92"/>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8E45E" w14:textId="77777777" w:rsidR="00C44A04" w:rsidRDefault="00C44A04">
      <w:pPr>
        <w:spacing w:line="240" w:lineRule="auto"/>
      </w:pPr>
      <w:r>
        <w:separator/>
      </w:r>
    </w:p>
    <w:p w14:paraId="769DC1D0" w14:textId="77777777" w:rsidR="00C44A04" w:rsidRDefault="00C44A04"/>
  </w:endnote>
  <w:endnote w:type="continuationSeparator" w:id="0">
    <w:p w14:paraId="1E2E38C4" w14:textId="77777777" w:rsidR="00C44A04" w:rsidRDefault="00C44A04">
      <w:pPr>
        <w:spacing w:line="240" w:lineRule="auto"/>
      </w:pPr>
      <w:r>
        <w:continuationSeparator/>
      </w:r>
    </w:p>
    <w:p w14:paraId="6E448188" w14:textId="77777777" w:rsidR="00C44A04" w:rsidRDefault="00C44A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514F1" w14:textId="77777777" w:rsidR="00B42775" w:rsidRDefault="00B42775" w:rsidP="009567A8">
    <w:pPr>
      <w:spacing w:after="360"/>
    </w:pPr>
    <w:r>
      <w:rPr>
        <w:noProof/>
        <w:lang w:eastAsia="en-NZ"/>
      </w:rPr>
      <w:drawing>
        <wp:inline distT="0" distB="0" distL="0" distR="0" wp14:anchorId="30D9FE4B" wp14:editId="35FD4C14">
          <wp:extent cx="5400040" cy="1414780"/>
          <wp:effectExtent l="0" t="0" r="0"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414780"/>
                  </a:xfrm>
                  <a:prstGeom prst="rect">
                    <a:avLst/>
                  </a:prstGeom>
                  <a:noFill/>
                  <a:ln>
                    <a:noFill/>
                  </a:ln>
                </pic:spPr>
              </pic:pic>
            </a:graphicData>
          </a:graphic>
        </wp:inline>
      </w:drawing>
    </w:r>
  </w:p>
  <w:p w14:paraId="16312D88" w14:textId="77777777" w:rsidR="00B42775" w:rsidRPr="00581136" w:rsidRDefault="00B42775"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DF82D" w14:textId="77777777" w:rsidR="00B42775" w:rsidRDefault="00B42775"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819BD" w14:textId="77777777" w:rsidR="00B42775" w:rsidRDefault="00B427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EF972" w14:textId="77777777" w:rsidR="00B42775" w:rsidRPr="00275D08" w:rsidRDefault="00B42775"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BF481C">
      <w:rPr>
        <w:rStyle w:val="PageNumber"/>
        <w:noProof/>
      </w:rPr>
      <w:t>iv</w:t>
    </w:r>
    <w:r w:rsidRPr="00FC46E7">
      <w:rPr>
        <w:rStyle w:val="PageNumber"/>
      </w:rPr>
      <w:fldChar w:fldCharType="end"/>
    </w:r>
    <w:r>
      <w:tab/>
      <w:t>Annual Update of Key Results 2015/16: New Zealand Health Survey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94286" w14:textId="77777777" w:rsidR="00B42775" w:rsidRDefault="00B42775" w:rsidP="00533B90">
    <w:pPr>
      <w:pStyle w:val="RectoFooter"/>
    </w:pPr>
    <w:r>
      <w:tab/>
      <w:t>Annual Update of Key Results 2015/16: New Zealand Health Survey</w:t>
    </w:r>
    <w:r>
      <w:tab/>
    </w:r>
    <w:r>
      <w:rPr>
        <w:rStyle w:val="PageNumber"/>
      </w:rPr>
      <w:fldChar w:fldCharType="begin"/>
    </w:r>
    <w:r>
      <w:rPr>
        <w:rStyle w:val="PageNumber"/>
      </w:rPr>
      <w:instrText xml:space="preserve"> PAGE </w:instrText>
    </w:r>
    <w:r>
      <w:rPr>
        <w:rStyle w:val="PageNumber"/>
      </w:rPr>
      <w:fldChar w:fldCharType="separate"/>
    </w:r>
    <w:r w:rsidR="00BF481C">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10422" w14:textId="77777777" w:rsidR="00B42775" w:rsidRDefault="00B42775" w:rsidP="009E3C8C">
    <w:pPr>
      <w:pStyle w:val="RectoFooter"/>
    </w:pPr>
    <w:r>
      <w:tab/>
      <w:t>Annual Update of Key Results 2015/16: New Zealand Health Survey</w:t>
    </w:r>
    <w:r>
      <w:tab/>
    </w:r>
    <w:r>
      <w:rPr>
        <w:rStyle w:val="PageNumber"/>
      </w:rPr>
      <w:fldChar w:fldCharType="begin"/>
    </w:r>
    <w:r>
      <w:rPr>
        <w:rStyle w:val="PageNumber"/>
      </w:rPr>
      <w:instrText xml:space="preserve"> PAGE </w:instrText>
    </w:r>
    <w:r>
      <w:rPr>
        <w:rStyle w:val="PageNumber"/>
      </w:rPr>
      <w:fldChar w:fldCharType="separate"/>
    </w:r>
    <w:r w:rsidR="00BF481C">
      <w:rPr>
        <w:rStyle w:val="PageNumber"/>
        <w:noProof/>
      </w:rPr>
      <w:t>11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F42F9" w14:textId="77777777" w:rsidR="00C44A04" w:rsidRPr="00A26E6B" w:rsidRDefault="00C44A04" w:rsidP="00A26E6B"/>
  </w:footnote>
  <w:footnote w:type="continuationSeparator" w:id="0">
    <w:p w14:paraId="32EAB2FB" w14:textId="77777777" w:rsidR="00C44A04" w:rsidRDefault="00C44A04">
      <w:pPr>
        <w:spacing w:line="240" w:lineRule="auto"/>
      </w:pPr>
      <w:r>
        <w:continuationSeparator/>
      </w:r>
    </w:p>
    <w:p w14:paraId="70E122BF" w14:textId="77777777" w:rsidR="00C44A04" w:rsidRDefault="00C44A04"/>
  </w:footnote>
  <w:footnote w:id="1">
    <w:p w14:paraId="515C6405" w14:textId="77777777" w:rsidR="00B42775" w:rsidRDefault="00B42775">
      <w:pPr>
        <w:pStyle w:val="FootnoteText"/>
      </w:pPr>
      <w:r>
        <w:rPr>
          <w:rStyle w:val="FootnoteReference"/>
        </w:rPr>
        <w:footnoteRef/>
      </w:r>
      <w:r>
        <w:tab/>
        <w:t>Previous New Zealand Health Surveys were conducted for isolated years, that is, 1992/93, 1996/97, 2002/03 and 2006/07. The survey has been in continuous operation since July 2011.</w:t>
      </w:r>
    </w:p>
  </w:footnote>
  <w:footnote w:id="2">
    <w:p w14:paraId="6075FBF7" w14:textId="77777777" w:rsidR="00B42775" w:rsidRDefault="00B42775">
      <w:pPr>
        <w:pStyle w:val="FootnoteText"/>
      </w:pPr>
      <w:r>
        <w:rPr>
          <w:rStyle w:val="FootnoteReference"/>
        </w:rPr>
        <w:footnoteRef/>
      </w:r>
      <w:r>
        <w:tab/>
      </w:r>
      <w:r w:rsidRPr="006F7614">
        <w:t xml:space="preserve">Results for </w:t>
      </w:r>
      <w:r>
        <w:t>Māori</w:t>
      </w:r>
      <w:r w:rsidRPr="006F7614">
        <w:t xml:space="preserve"> and Pacific adults are provided </w:t>
      </w:r>
      <w:r>
        <w:t xml:space="preserve">in Tables 4 and 5 </w:t>
      </w:r>
      <w:r w:rsidRPr="006F7614">
        <w:t xml:space="preserve">at the </w:t>
      </w:r>
      <w:r>
        <w:t>beginning</w:t>
      </w:r>
      <w:r w:rsidRPr="006F7614">
        <w:t xml:space="preserve"> of </w:t>
      </w:r>
      <w:r>
        <w:t xml:space="preserve">this </w:t>
      </w:r>
      <w:r w:rsidRPr="006F7614">
        <w:t>section</w:t>
      </w:r>
      <w:r>
        <w:t>.</w:t>
      </w:r>
    </w:p>
  </w:footnote>
  <w:footnote w:id="3">
    <w:p w14:paraId="29501F01" w14:textId="77777777" w:rsidR="00B42775" w:rsidRDefault="00B42775">
      <w:pPr>
        <w:pStyle w:val="FootnoteText"/>
      </w:pPr>
      <w:r>
        <w:rPr>
          <w:rStyle w:val="FootnoteReference"/>
        </w:rPr>
        <w:footnoteRef/>
      </w:r>
      <w:r>
        <w:tab/>
      </w:r>
      <w:r w:rsidRPr="00D066C5">
        <w:t xml:space="preserve">Results are available in the </w:t>
      </w:r>
      <w:r>
        <w:t xml:space="preserve">online </w:t>
      </w:r>
      <w:r w:rsidRPr="00D066C5">
        <w:t>tables accompanying this report.</w:t>
      </w:r>
    </w:p>
  </w:footnote>
  <w:footnote w:id="4">
    <w:p w14:paraId="01C22EE7" w14:textId="77777777" w:rsidR="00B42775" w:rsidRDefault="00B42775">
      <w:pPr>
        <w:pStyle w:val="FootnoteText"/>
      </w:pPr>
      <w:r>
        <w:rPr>
          <w:rStyle w:val="FootnoteReference"/>
        </w:rPr>
        <w:footnoteRef/>
      </w:r>
      <w:r>
        <w:tab/>
      </w:r>
      <w:r w:rsidRPr="00D066C5">
        <w:t xml:space="preserve">Results are available in the </w:t>
      </w:r>
      <w:r>
        <w:t xml:space="preserve">online </w:t>
      </w:r>
      <w:r w:rsidRPr="00D066C5">
        <w:t>tables accompanying this report.</w:t>
      </w:r>
    </w:p>
  </w:footnote>
  <w:footnote w:id="5">
    <w:p w14:paraId="118DF69D" w14:textId="77777777" w:rsidR="00B42775" w:rsidRDefault="00B42775">
      <w:pPr>
        <w:pStyle w:val="FootnoteText"/>
      </w:pPr>
      <w:r>
        <w:rPr>
          <w:rStyle w:val="FootnoteReference"/>
        </w:rPr>
        <w:footnoteRef/>
      </w:r>
      <w:r>
        <w:tab/>
        <w:t>Estimated using Statistics New Zealand population projections (which were based on the 2013 population), excluding any impact of change in initiation rate among young adults.</w:t>
      </w:r>
    </w:p>
  </w:footnote>
  <w:footnote w:id="6">
    <w:p w14:paraId="0E3A9C57" w14:textId="77777777" w:rsidR="00B42775" w:rsidRDefault="00B42775" w:rsidP="00643898">
      <w:pPr>
        <w:pStyle w:val="FootnoteText"/>
      </w:pPr>
      <w:r w:rsidRPr="00643898">
        <w:rPr>
          <w:rStyle w:val="FootnoteReference"/>
        </w:rPr>
        <w:footnoteRef/>
      </w:r>
      <w:r>
        <w:tab/>
        <w:t>T</w:t>
      </w:r>
      <w:r w:rsidRPr="0046669C">
        <w:t xml:space="preserve">he comparative trend analysis may be confounded by </w:t>
      </w:r>
      <w:r>
        <w:t>the differences in</w:t>
      </w:r>
      <w:r w:rsidRPr="0046669C">
        <w:t xml:space="preserve"> deprivation between Māori and non-Māori youth. </w:t>
      </w:r>
      <w:r>
        <w:t>However,</w:t>
      </w:r>
      <w:r w:rsidRPr="0046669C">
        <w:t xml:space="preserve"> this is unlikely because (1) deprivation acts more as a mediator than a confounder of indigenous inequalities in health and (2) the </w:t>
      </w:r>
      <w:r>
        <w:t>‘</w:t>
      </w:r>
      <w:r w:rsidRPr="0046669C">
        <w:t>difference in differences</w:t>
      </w:r>
      <w:r>
        <w:t>’</w:t>
      </w:r>
      <w:r w:rsidRPr="0046669C">
        <w:t xml:space="preserve"> analytic approach used here would </w:t>
      </w:r>
      <w:r>
        <w:t xml:space="preserve">only </w:t>
      </w:r>
      <w:r w:rsidRPr="0046669C">
        <w:t xml:space="preserve">be sensitive to </w:t>
      </w:r>
      <w:r w:rsidRPr="0046669C">
        <w:rPr>
          <w:i/>
        </w:rPr>
        <w:t>change</w:t>
      </w:r>
      <w:r w:rsidRPr="0046669C">
        <w:t xml:space="preserve"> in ethnic deprivation distributions – N</w:t>
      </w:r>
      <w:r>
        <w:t xml:space="preserve">ew </w:t>
      </w:r>
      <w:r w:rsidRPr="0046669C">
        <w:t>Z</w:t>
      </w:r>
      <w:r>
        <w:t xml:space="preserve">ealand </w:t>
      </w:r>
      <w:r w:rsidRPr="0046669C">
        <w:t>Dep</w:t>
      </w:r>
      <w:r>
        <w:t>rivation (NZDep)</w:t>
      </w:r>
      <w:r w:rsidRPr="0046669C">
        <w:t xml:space="preserve"> distributions </w:t>
      </w:r>
      <w:r>
        <w:t xml:space="preserve">for Māori and non-Māori youth </w:t>
      </w:r>
      <w:r w:rsidRPr="0046669C">
        <w:t>have remained reasonably stable over the observation period.</w:t>
      </w:r>
    </w:p>
  </w:footnote>
  <w:footnote w:id="7">
    <w:p w14:paraId="798C5BAA" w14:textId="77777777" w:rsidR="00B42775" w:rsidRDefault="00B42775">
      <w:pPr>
        <w:pStyle w:val="FootnoteText"/>
      </w:pPr>
      <w:r>
        <w:rPr>
          <w:rStyle w:val="FootnoteReference"/>
        </w:rPr>
        <w:footnoteRef/>
      </w:r>
      <w:r>
        <w:tab/>
      </w:r>
      <w:r w:rsidRPr="00BA51DA">
        <w:t>Results are available in the online tables accompanying this report.</w:t>
      </w:r>
    </w:p>
  </w:footnote>
  <w:footnote w:id="8">
    <w:p w14:paraId="18A59374" w14:textId="77777777" w:rsidR="00B42775" w:rsidRPr="00BA51DA" w:rsidRDefault="00B42775">
      <w:pPr>
        <w:pStyle w:val="FootnoteText"/>
      </w:pPr>
      <w:r w:rsidRPr="00BA51DA">
        <w:rPr>
          <w:rStyle w:val="FootnoteReference"/>
        </w:rPr>
        <w:footnoteRef/>
      </w:r>
      <w:r w:rsidRPr="00BA51DA">
        <w:tab/>
        <w:t>Results are available in the online tables accompanying this report.</w:t>
      </w:r>
    </w:p>
  </w:footnote>
  <w:footnote w:id="9">
    <w:p w14:paraId="23168503" w14:textId="77777777" w:rsidR="00B42775" w:rsidRDefault="00B42775">
      <w:pPr>
        <w:pStyle w:val="FootnoteText"/>
      </w:pPr>
      <w:r>
        <w:rPr>
          <w:rStyle w:val="FootnoteReference"/>
        </w:rPr>
        <w:footnoteRef/>
      </w:r>
      <w:r>
        <w:tab/>
      </w:r>
      <w:r w:rsidRPr="00D066C5">
        <w:t xml:space="preserve">Results are available in the </w:t>
      </w:r>
      <w:r>
        <w:t xml:space="preserve">online </w:t>
      </w:r>
      <w:r w:rsidRPr="00D066C5">
        <w:t>tables accompanying this report.</w:t>
      </w:r>
    </w:p>
  </w:footnote>
  <w:footnote w:id="10">
    <w:p w14:paraId="31F97C96" w14:textId="77777777" w:rsidR="00B42775" w:rsidRDefault="00B42775">
      <w:pPr>
        <w:pStyle w:val="FootnoteText"/>
      </w:pPr>
      <w:r>
        <w:rPr>
          <w:rStyle w:val="FootnoteReference"/>
        </w:rPr>
        <w:footnoteRef/>
      </w:r>
      <w:r>
        <w:tab/>
      </w:r>
      <w:r w:rsidRPr="00D066C5">
        <w:t xml:space="preserve">Results are available in the </w:t>
      </w:r>
      <w:r>
        <w:t xml:space="preserve">online </w:t>
      </w:r>
      <w:r w:rsidRPr="00D066C5">
        <w:t>tables accompanying this report.</w:t>
      </w:r>
    </w:p>
  </w:footnote>
  <w:footnote w:id="11">
    <w:p w14:paraId="4B2D5EAF" w14:textId="77777777" w:rsidR="00B42775" w:rsidRDefault="00B42775">
      <w:pPr>
        <w:pStyle w:val="FootnoteText"/>
      </w:pPr>
      <w:r>
        <w:rPr>
          <w:rStyle w:val="FootnoteReference"/>
        </w:rPr>
        <w:footnoteRef/>
      </w:r>
      <w:r>
        <w:tab/>
      </w:r>
      <w:r w:rsidRPr="006F7614">
        <w:t xml:space="preserve">Results for </w:t>
      </w:r>
      <w:r>
        <w:t>Māori</w:t>
      </w:r>
      <w:r w:rsidRPr="006F7614">
        <w:t xml:space="preserve"> and Pacific adults are provided </w:t>
      </w:r>
      <w:r>
        <w:t xml:space="preserve">in Tables 4 and 5 </w:t>
      </w:r>
      <w:r w:rsidRPr="006F7614">
        <w:t xml:space="preserve">at the </w:t>
      </w:r>
      <w:r>
        <w:t>beginning</w:t>
      </w:r>
      <w:r w:rsidRPr="006F7614">
        <w:t xml:space="preserve"> of </w:t>
      </w:r>
      <w:r>
        <w:t xml:space="preserve">this </w:t>
      </w:r>
      <w:r w:rsidRPr="006F7614">
        <w:t>section</w:t>
      </w:r>
      <w:r>
        <w:t>.</w:t>
      </w:r>
    </w:p>
  </w:footnote>
  <w:footnote w:id="12">
    <w:p w14:paraId="26963166" w14:textId="77777777" w:rsidR="00B42775" w:rsidRDefault="00B42775">
      <w:pPr>
        <w:pStyle w:val="FootnoteText"/>
      </w:pPr>
      <w:r>
        <w:rPr>
          <w:rStyle w:val="FootnoteReference"/>
        </w:rPr>
        <w:footnoteRef/>
      </w:r>
      <w:r>
        <w:tab/>
      </w:r>
      <w:r w:rsidRPr="00D066C5">
        <w:t xml:space="preserve">Results are available in the </w:t>
      </w:r>
      <w:r>
        <w:t xml:space="preserve">online </w:t>
      </w:r>
      <w:r w:rsidRPr="00D066C5">
        <w:t>tables accompanying this report.</w:t>
      </w:r>
    </w:p>
  </w:footnote>
  <w:footnote w:id="13">
    <w:p w14:paraId="6AF1D704" w14:textId="77777777" w:rsidR="00B42775" w:rsidRDefault="00B42775">
      <w:pPr>
        <w:pStyle w:val="FootnoteText"/>
      </w:pPr>
      <w:r>
        <w:rPr>
          <w:rStyle w:val="FootnoteReference"/>
        </w:rPr>
        <w:footnoteRef/>
      </w:r>
      <w:r>
        <w:tab/>
      </w:r>
      <w:r w:rsidRPr="00D066C5">
        <w:t xml:space="preserve">Results are available in the </w:t>
      </w:r>
      <w:r>
        <w:t xml:space="preserve">online </w:t>
      </w:r>
      <w:r w:rsidRPr="00D066C5">
        <w:t>tables accompanying this report.</w:t>
      </w:r>
    </w:p>
  </w:footnote>
  <w:footnote w:id="14">
    <w:p w14:paraId="5AD2A0CC" w14:textId="77777777" w:rsidR="00B42775" w:rsidRDefault="00B42775">
      <w:pPr>
        <w:pStyle w:val="FootnoteText"/>
      </w:pPr>
      <w:r>
        <w:rPr>
          <w:rStyle w:val="FootnoteReference"/>
        </w:rPr>
        <w:footnoteRef/>
      </w:r>
      <w:r>
        <w:tab/>
      </w:r>
      <w:r w:rsidRPr="00D066C5">
        <w:t xml:space="preserve">Results are available in the </w:t>
      </w:r>
      <w:r>
        <w:t xml:space="preserve">online </w:t>
      </w:r>
      <w:r w:rsidRPr="00D066C5">
        <w:t>tables accompanying this report.</w:t>
      </w:r>
    </w:p>
  </w:footnote>
  <w:footnote w:id="15">
    <w:p w14:paraId="5D6FA51F" w14:textId="77777777" w:rsidR="00B42775" w:rsidRDefault="00B42775">
      <w:pPr>
        <w:pStyle w:val="FootnoteText"/>
      </w:pPr>
      <w:r>
        <w:rPr>
          <w:rStyle w:val="FootnoteReference"/>
        </w:rPr>
        <w:footnoteRef/>
      </w:r>
      <w:r>
        <w:tab/>
      </w:r>
      <w:r w:rsidRPr="004D5DFB">
        <w:t>Results are available in the online tables accompanying this report.</w:t>
      </w:r>
    </w:p>
  </w:footnote>
  <w:footnote w:id="16">
    <w:p w14:paraId="1F1E8F7F" w14:textId="77777777" w:rsidR="00B42775" w:rsidRDefault="00B42775">
      <w:pPr>
        <w:pStyle w:val="FootnoteText"/>
      </w:pPr>
      <w:r>
        <w:rPr>
          <w:rStyle w:val="FootnoteReference"/>
        </w:rPr>
        <w:footnoteRef/>
      </w:r>
      <w:r>
        <w:tab/>
      </w:r>
      <w:r w:rsidRPr="004D5DFB">
        <w:t>Systolic blood pressure is a measure of the maximum arterial blood pressure when the heart muscle contracts. Diastolic blood pressure is a measure of the minimum blood pressure when the heart relaxes between contractions.</w:t>
      </w:r>
    </w:p>
  </w:footnote>
  <w:footnote w:id="17">
    <w:p w14:paraId="7273D0ED" w14:textId="77777777" w:rsidR="00B42775" w:rsidRDefault="00B42775">
      <w:pPr>
        <w:pStyle w:val="FootnoteText"/>
      </w:pPr>
      <w:r>
        <w:rPr>
          <w:rStyle w:val="FootnoteReference"/>
        </w:rPr>
        <w:footnoteRef/>
      </w:r>
      <w:r>
        <w:tab/>
      </w:r>
      <w:r w:rsidRPr="004D5DFB">
        <w:t>This may partly reflect the introduction of the health target ‘Better diabetes and cardiovascular services’ in 2009. From 1 January 2012, the target was renamed ‘More heart and diabetes checks’.</w:t>
      </w:r>
    </w:p>
  </w:footnote>
  <w:footnote w:id="18">
    <w:p w14:paraId="60231379" w14:textId="77777777" w:rsidR="00B42775" w:rsidRDefault="00B42775">
      <w:pPr>
        <w:pStyle w:val="FootnoteText"/>
      </w:pPr>
      <w:r>
        <w:rPr>
          <w:rStyle w:val="FootnoteReference"/>
        </w:rPr>
        <w:footnoteRef/>
      </w:r>
      <w:r>
        <w:tab/>
      </w:r>
      <w:r w:rsidRPr="004D5DFB">
        <w:t>Results are available in the online tables accompanying this report.</w:t>
      </w:r>
    </w:p>
  </w:footnote>
  <w:footnote w:id="19">
    <w:p w14:paraId="3CAF0111" w14:textId="77777777" w:rsidR="00B42775" w:rsidRDefault="00B42775">
      <w:pPr>
        <w:pStyle w:val="FootnoteText"/>
      </w:pPr>
      <w:r>
        <w:rPr>
          <w:rStyle w:val="FootnoteReference"/>
        </w:rPr>
        <w:footnoteRef/>
      </w:r>
      <w:r>
        <w:tab/>
      </w:r>
      <w:r w:rsidRPr="004D5DFB">
        <w:t>Results are available in the online tables accompanying this report.</w:t>
      </w:r>
    </w:p>
  </w:footnote>
  <w:footnote w:id="20">
    <w:p w14:paraId="20C8C989" w14:textId="77777777" w:rsidR="00B42775" w:rsidRDefault="00B42775">
      <w:pPr>
        <w:pStyle w:val="FootnoteText"/>
      </w:pPr>
      <w:r>
        <w:rPr>
          <w:rStyle w:val="FootnoteReference"/>
        </w:rPr>
        <w:footnoteRef/>
      </w:r>
      <w:r>
        <w:tab/>
      </w:r>
      <w:r w:rsidRPr="004D5DFB">
        <w:t>Results are available in the online tables accompanying this report.</w:t>
      </w:r>
    </w:p>
  </w:footnote>
  <w:footnote w:id="21">
    <w:p w14:paraId="51E856DF" w14:textId="77777777" w:rsidR="00B42775" w:rsidRDefault="00B42775">
      <w:pPr>
        <w:pStyle w:val="FootnoteText"/>
      </w:pPr>
      <w:r>
        <w:rPr>
          <w:rStyle w:val="FootnoteReference"/>
        </w:rPr>
        <w:footnoteRef/>
      </w:r>
      <w:r>
        <w:tab/>
      </w:r>
      <w:r w:rsidRPr="00DD4F6C">
        <w:t>Results are available in the online tables accompanying this report.</w:t>
      </w:r>
    </w:p>
  </w:footnote>
  <w:footnote w:id="22">
    <w:p w14:paraId="59599B80" w14:textId="77777777" w:rsidR="00B42775" w:rsidRDefault="00B42775">
      <w:pPr>
        <w:pStyle w:val="FootnoteText"/>
      </w:pPr>
      <w:r>
        <w:rPr>
          <w:rStyle w:val="FootnoteReference"/>
        </w:rPr>
        <w:footnoteRef/>
      </w:r>
      <w:r>
        <w:tab/>
      </w:r>
      <w:r w:rsidRPr="00DD4F6C">
        <w:t>Results are available in the online tables accompanying this report.</w:t>
      </w:r>
    </w:p>
  </w:footnote>
  <w:footnote w:id="23">
    <w:p w14:paraId="5DAF6C51" w14:textId="77777777" w:rsidR="00B42775" w:rsidRDefault="00B42775" w:rsidP="00DD4F6C">
      <w:pPr>
        <w:pStyle w:val="FootnoteText"/>
      </w:pPr>
      <w:r>
        <w:rPr>
          <w:rStyle w:val="FootnoteReference"/>
        </w:rPr>
        <w:footnoteRef/>
      </w:r>
      <w:r>
        <w:tab/>
      </w:r>
      <w:r w:rsidRPr="00DD4F6C">
        <w:t>Results are available in the online tables accompanying this report.</w:t>
      </w:r>
    </w:p>
  </w:footnote>
  <w:footnote w:id="24">
    <w:p w14:paraId="2DDB5211" w14:textId="77777777" w:rsidR="00B42775" w:rsidRDefault="00B42775">
      <w:pPr>
        <w:pStyle w:val="FootnoteText"/>
      </w:pPr>
      <w:r>
        <w:rPr>
          <w:rStyle w:val="FootnoteReference"/>
        </w:rPr>
        <w:footnoteRef/>
      </w:r>
      <w:r>
        <w:tab/>
      </w:r>
      <w:r w:rsidRPr="00DD4F6C">
        <w:t>Results are available in the online tables accompanying this report.</w:t>
      </w:r>
    </w:p>
  </w:footnote>
  <w:footnote w:id="25">
    <w:p w14:paraId="51E82C91" w14:textId="77777777" w:rsidR="00B42775" w:rsidRDefault="00B42775">
      <w:pPr>
        <w:pStyle w:val="FootnoteText"/>
      </w:pPr>
      <w:r>
        <w:rPr>
          <w:rStyle w:val="FootnoteReference"/>
        </w:rPr>
        <w:footnoteRef/>
      </w:r>
      <w:r>
        <w:tab/>
      </w:r>
      <w:r w:rsidRPr="00DD4F6C">
        <w:t>Results are available in the online tables accompanying this report.</w:t>
      </w:r>
    </w:p>
  </w:footnote>
  <w:footnote w:id="26">
    <w:p w14:paraId="5302A113" w14:textId="77777777" w:rsidR="00B42775" w:rsidRDefault="00B42775">
      <w:pPr>
        <w:pStyle w:val="FootnoteText"/>
      </w:pPr>
      <w:r>
        <w:rPr>
          <w:rStyle w:val="FootnoteReference"/>
        </w:rPr>
        <w:footnoteRef/>
      </w:r>
      <w:r>
        <w:tab/>
      </w:r>
      <w:r w:rsidRPr="00DD4F6C">
        <w:t>Results are available in the online tables accompanying this report.</w:t>
      </w:r>
    </w:p>
  </w:footnote>
  <w:footnote w:id="27">
    <w:p w14:paraId="26EA2D0C" w14:textId="77777777" w:rsidR="00B42775" w:rsidRDefault="00B42775">
      <w:pPr>
        <w:pStyle w:val="FootnoteText"/>
      </w:pPr>
      <w:r>
        <w:rPr>
          <w:rStyle w:val="FootnoteReference"/>
        </w:rPr>
        <w:footnoteRef/>
      </w:r>
      <w:r>
        <w:tab/>
      </w:r>
      <w:r w:rsidRPr="00DD4F6C">
        <w:t>Results are available in the online tables accompanying this report.</w:t>
      </w:r>
    </w:p>
  </w:footnote>
  <w:footnote w:id="28">
    <w:p w14:paraId="00CEE25B" w14:textId="77777777" w:rsidR="00B42775" w:rsidRDefault="00B42775">
      <w:pPr>
        <w:pStyle w:val="FootnoteText"/>
      </w:pPr>
      <w:r>
        <w:rPr>
          <w:rStyle w:val="FootnoteReference"/>
        </w:rPr>
        <w:footnoteRef/>
      </w:r>
      <w:r>
        <w:tab/>
      </w:r>
      <w:r w:rsidRPr="00DD4F6C">
        <w:t>Results are available in the online tables accompanying this report.</w:t>
      </w:r>
    </w:p>
  </w:footnote>
  <w:footnote w:id="29">
    <w:p w14:paraId="1BCE6AFE" w14:textId="77777777" w:rsidR="00B42775" w:rsidRDefault="00B42775">
      <w:pPr>
        <w:pStyle w:val="FootnoteText"/>
      </w:pPr>
      <w:r>
        <w:rPr>
          <w:rStyle w:val="FootnoteReference"/>
        </w:rPr>
        <w:footnoteRef/>
      </w:r>
      <w:r>
        <w:tab/>
      </w:r>
      <w:r w:rsidRPr="00DD4F6C">
        <w:t>Results are available in the online tables accompanying this report.</w:t>
      </w:r>
    </w:p>
  </w:footnote>
  <w:footnote w:id="30">
    <w:p w14:paraId="58EB5303" w14:textId="77777777" w:rsidR="00B42775" w:rsidRDefault="00B42775">
      <w:pPr>
        <w:pStyle w:val="FootnoteText"/>
      </w:pPr>
      <w:r>
        <w:rPr>
          <w:rStyle w:val="FootnoteReference"/>
        </w:rPr>
        <w:footnoteRef/>
      </w:r>
      <w:r>
        <w:tab/>
      </w:r>
      <w:r w:rsidRPr="00137660">
        <w:t>Results are available in the online tables accompanying this report.</w:t>
      </w:r>
    </w:p>
  </w:footnote>
  <w:footnote w:id="31">
    <w:p w14:paraId="56DC7D08" w14:textId="77777777" w:rsidR="00B42775" w:rsidRDefault="00B42775">
      <w:pPr>
        <w:pStyle w:val="FootnoteText"/>
      </w:pPr>
      <w:r>
        <w:rPr>
          <w:rStyle w:val="FootnoteReference"/>
        </w:rPr>
        <w:footnoteRef/>
      </w:r>
      <w:r>
        <w:tab/>
      </w:r>
      <w:r w:rsidRPr="00137660">
        <w:t>Results are available in the online tables accompanying this report.</w:t>
      </w:r>
    </w:p>
  </w:footnote>
  <w:footnote w:id="32">
    <w:p w14:paraId="63B58375" w14:textId="77777777" w:rsidR="00B42775" w:rsidRDefault="00B42775">
      <w:pPr>
        <w:pStyle w:val="FootnoteText"/>
      </w:pPr>
      <w:r>
        <w:rPr>
          <w:rStyle w:val="FootnoteReference"/>
        </w:rPr>
        <w:footnoteRef/>
      </w:r>
      <w:r>
        <w:tab/>
      </w:r>
      <w:r w:rsidRPr="00137660">
        <w:t>The term ‘dental health care worker’ refers to dentists and other dental health care professionals, such as dental therapists and dental hygienists, as well as dental specialists, such as orthodontists.</w:t>
      </w:r>
    </w:p>
  </w:footnote>
  <w:footnote w:id="33">
    <w:p w14:paraId="4580FA64" w14:textId="77777777" w:rsidR="00B42775" w:rsidRDefault="00B42775">
      <w:pPr>
        <w:pStyle w:val="FootnoteText"/>
      </w:pPr>
      <w:r>
        <w:rPr>
          <w:rStyle w:val="FootnoteReference"/>
        </w:rPr>
        <w:footnoteRef/>
      </w:r>
      <w:r>
        <w:tab/>
      </w:r>
      <w:r w:rsidRPr="00137660">
        <w:t>Results are available in the online tables accompanying this report.</w:t>
      </w:r>
    </w:p>
  </w:footnote>
  <w:footnote w:id="34">
    <w:p w14:paraId="0012B4D6" w14:textId="77777777" w:rsidR="00B42775" w:rsidRDefault="00B42775">
      <w:pPr>
        <w:pStyle w:val="FootnoteText"/>
      </w:pPr>
      <w:r>
        <w:rPr>
          <w:rStyle w:val="FootnoteReference"/>
        </w:rPr>
        <w:footnoteRef/>
      </w:r>
      <w:r>
        <w:tab/>
      </w:r>
      <w:r w:rsidRPr="00137660">
        <w:t>Results are available in the online tables accompanying this report.</w:t>
      </w:r>
    </w:p>
  </w:footnote>
  <w:footnote w:id="35">
    <w:p w14:paraId="68B0156F" w14:textId="77777777" w:rsidR="00B42775" w:rsidRDefault="00B42775">
      <w:pPr>
        <w:pStyle w:val="FootnoteText"/>
      </w:pPr>
      <w:r>
        <w:rPr>
          <w:rStyle w:val="FootnoteReference"/>
        </w:rPr>
        <w:footnoteRef/>
      </w:r>
      <w:r>
        <w:tab/>
      </w:r>
      <w:r w:rsidRPr="00137660">
        <w:t>The term ‘dental health care worker’ refers to dentists and other dental health care workers, such as dental therapists and dental hygienists, as well as dental health specialists, such as orthodontists.</w:t>
      </w:r>
    </w:p>
  </w:footnote>
  <w:footnote w:id="36">
    <w:p w14:paraId="46333D29" w14:textId="77777777" w:rsidR="00B42775" w:rsidRDefault="00B42775">
      <w:pPr>
        <w:pStyle w:val="FootnoteText"/>
      </w:pPr>
      <w:r>
        <w:rPr>
          <w:rStyle w:val="FootnoteReference"/>
        </w:rPr>
        <w:footnoteRef/>
      </w:r>
      <w:r>
        <w:tab/>
      </w:r>
      <w:r w:rsidRPr="00D066C5">
        <w:t xml:space="preserve">Results are available in the </w:t>
      </w:r>
      <w:r>
        <w:t>online</w:t>
      </w:r>
      <w:r w:rsidRPr="00D066C5">
        <w:t xml:space="preserve"> tables accompanying this report.</w:t>
      </w:r>
    </w:p>
  </w:footnote>
  <w:footnote w:id="37">
    <w:p w14:paraId="36BE1C58" w14:textId="77777777" w:rsidR="00B42775" w:rsidRDefault="00B42775">
      <w:pPr>
        <w:pStyle w:val="FootnoteText"/>
      </w:pPr>
      <w:r>
        <w:rPr>
          <w:rStyle w:val="FootnoteReference"/>
        </w:rPr>
        <w:footnoteRef/>
      </w:r>
      <w:r>
        <w:tab/>
      </w:r>
      <w:r w:rsidRPr="004C6336">
        <w:t>Results for Māori and Pacific children are provided in Tables 8 and 9 respectively at the beginning of this section.</w:t>
      </w:r>
    </w:p>
  </w:footnote>
  <w:footnote w:id="38">
    <w:p w14:paraId="36523CA1" w14:textId="77777777" w:rsidR="00B42775" w:rsidRDefault="00B42775">
      <w:pPr>
        <w:pStyle w:val="FootnoteText"/>
      </w:pPr>
      <w:r>
        <w:rPr>
          <w:rStyle w:val="FootnoteReference"/>
        </w:rPr>
        <w:footnoteRef/>
      </w:r>
      <w:r>
        <w:tab/>
      </w:r>
      <w:r w:rsidRPr="004C6336">
        <w:rPr>
          <w:rStyle w:val="Hyperlink"/>
        </w:rPr>
        <w:t>Results for Māori and Pacific children are provided in Tables 8 and 9 respectively at the beginning of this section.</w:t>
      </w:r>
    </w:p>
  </w:footnote>
  <w:footnote w:id="39">
    <w:p w14:paraId="0BECAC1B" w14:textId="77777777" w:rsidR="00B42775" w:rsidRDefault="00B42775">
      <w:pPr>
        <w:pStyle w:val="FootnoteText"/>
      </w:pPr>
      <w:r>
        <w:rPr>
          <w:rStyle w:val="FootnoteReference"/>
        </w:rPr>
        <w:footnoteRef/>
      </w:r>
      <w:r>
        <w:tab/>
      </w:r>
      <w:r w:rsidRPr="004C6336">
        <w:t>Results are available in the online tables accompanying this report.</w:t>
      </w:r>
    </w:p>
  </w:footnote>
  <w:footnote w:id="40">
    <w:p w14:paraId="11934374" w14:textId="77777777" w:rsidR="00B42775" w:rsidRDefault="00B42775">
      <w:pPr>
        <w:pStyle w:val="FootnoteText"/>
      </w:pPr>
      <w:r>
        <w:rPr>
          <w:rStyle w:val="FootnoteReference"/>
        </w:rPr>
        <w:footnoteRef/>
      </w:r>
      <w:r>
        <w:tab/>
      </w:r>
      <w:r w:rsidRPr="004C6336">
        <w:t>Results are available in the online tables accompanying this report.</w:t>
      </w:r>
    </w:p>
  </w:footnote>
  <w:footnote w:id="41">
    <w:p w14:paraId="598F8318" w14:textId="77777777" w:rsidR="00B42775" w:rsidRDefault="00B42775">
      <w:pPr>
        <w:pStyle w:val="FootnoteText"/>
      </w:pPr>
      <w:r>
        <w:rPr>
          <w:rStyle w:val="FootnoteReference"/>
        </w:rPr>
        <w:footnoteRef/>
      </w:r>
      <w:r>
        <w:tab/>
      </w:r>
      <w:r w:rsidRPr="00891FF7">
        <w:t>Results are available in the online tables accompanying this report.</w:t>
      </w:r>
    </w:p>
  </w:footnote>
  <w:footnote w:id="42">
    <w:p w14:paraId="71A51445" w14:textId="77777777" w:rsidR="00B42775" w:rsidRDefault="00B42775">
      <w:pPr>
        <w:pStyle w:val="FootnoteText"/>
      </w:pPr>
      <w:r>
        <w:rPr>
          <w:rStyle w:val="FootnoteReference"/>
        </w:rPr>
        <w:footnoteRef/>
      </w:r>
      <w:r>
        <w:tab/>
      </w:r>
      <w:r w:rsidRPr="00891FF7">
        <w:t>Results for Māori and Pacific children are provided in Tables 8 and 9 respectively at the beginning of this section.</w:t>
      </w:r>
    </w:p>
  </w:footnote>
  <w:footnote w:id="43">
    <w:p w14:paraId="65079220" w14:textId="77777777" w:rsidR="00B42775" w:rsidRDefault="00B42775">
      <w:pPr>
        <w:pStyle w:val="FootnoteText"/>
      </w:pPr>
      <w:r>
        <w:rPr>
          <w:rStyle w:val="FootnoteReference"/>
        </w:rPr>
        <w:footnoteRef/>
      </w:r>
      <w:r>
        <w:tab/>
      </w:r>
      <w:r w:rsidRPr="00891FF7">
        <w:t>Results are available in the online tables accompanying this report.</w:t>
      </w:r>
    </w:p>
  </w:footnote>
  <w:footnote w:id="44">
    <w:p w14:paraId="6E7DC797" w14:textId="77777777" w:rsidR="00B42775" w:rsidRDefault="00B42775" w:rsidP="00891FF7">
      <w:pPr>
        <w:pStyle w:val="FootnoteText"/>
      </w:pPr>
      <w:r>
        <w:rPr>
          <w:rStyle w:val="FootnoteReference"/>
        </w:rPr>
        <w:footnoteRef/>
      </w:r>
      <w:r>
        <w:tab/>
      </w:r>
      <w:r w:rsidRPr="00891FF7">
        <w:t>Results are available in the online tables accompanying this report.</w:t>
      </w:r>
    </w:p>
  </w:footnote>
  <w:footnote w:id="45">
    <w:p w14:paraId="6A5ED042" w14:textId="77777777" w:rsidR="00B42775" w:rsidRDefault="00B42775">
      <w:pPr>
        <w:pStyle w:val="FootnoteText"/>
      </w:pPr>
      <w:r>
        <w:rPr>
          <w:rStyle w:val="FootnoteReference"/>
        </w:rPr>
        <w:footnoteRef/>
      </w:r>
      <w:r>
        <w:tab/>
      </w:r>
      <w:r w:rsidRPr="00CD0B5E">
        <w:t>Results are available in the online tables accompanying this report.</w:t>
      </w:r>
    </w:p>
  </w:footnote>
  <w:footnote w:id="46">
    <w:p w14:paraId="52685D1A" w14:textId="77777777" w:rsidR="00B42775" w:rsidRDefault="00B42775">
      <w:pPr>
        <w:pStyle w:val="FootnoteText"/>
      </w:pPr>
      <w:r>
        <w:rPr>
          <w:rStyle w:val="FootnoteReference"/>
        </w:rPr>
        <w:footnoteRef/>
      </w:r>
      <w:r>
        <w:tab/>
      </w:r>
      <w:r w:rsidRPr="00CD0B5E">
        <w:t>Results are available in the online tables accompanying this report.</w:t>
      </w:r>
    </w:p>
  </w:footnote>
  <w:footnote w:id="47">
    <w:p w14:paraId="08C88238" w14:textId="77777777" w:rsidR="00B42775" w:rsidRDefault="00B42775">
      <w:pPr>
        <w:pStyle w:val="FootnoteText"/>
      </w:pPr>
      <w:r>
        <w:rPr>
          <w:rStyle w:val="FootnoteReference"/>
        </w:rPr>
        <w:footnoteRef/>
      </w:r>
      <w:r>
        <w:tab/>
      </w:r>
      <w:r w:rsidRPr="00CD0B5E">
        <w:t>Results are available in the online tables accompanying this report.</w:t>
      </w:r>
    </w:p>
  </w:footnote>
  <w:footnote w:id="48">
    <w:p w14:paraId="0F3854AC" w14:textId="77777777" w:rsidR="00B42775" w:rsidRDefault="00B42775">
      <w:pPr>
        <w:pStyle w:val="FootnoteText"/>
      </w:pPr>
      <w:r>
        <w:rPr>
          <w:rStyle w:val="FootnoteReference"/>
        </w:rPr>
        <w:footnoteRef/>
      </w:r>
      <w:r>
        <w:tab/>
      </w:r>
      <w:r w:rsidRPr="00CD0B5E">
        <w:t>Results for Māori and Pacific children are provided in Tables 8 and 9 respectively at the beginning of this section.</w:t>
      </w:r>
    </w:p>
  </w:footnote>
  <w:footnote w:id="49">
    <w:p w14:paraId="1B3C58E2" w14:textId="77777777" w:rsidR="0065245C" w:rsidRDefault="0065245C" w:rsidP="0065245C">
      <w:pPr>
        <w:pStyle w:val="FootnoteText"/>
      </w:pPr>
      <w:r>
        <w:rPr>
          <w:rStyle w:val="FootnoteReference"/>
        </w:rPr>
        <w:footnoteRef/>
      </w:r>
      <w:r>
        <w:tab/>
      </w:r>
      <w:r w:rsidRPr="00CD0B5E">
        <w:t>Results for Māori and Pacific children are provided in Tables 8 and 9 respectively at the beginning of this section.</w:t>
      </w:r>
    </w:p>
  </w:footnote>
  <w:footnote w:id="50">
    <w:p w14:paraId="61968C9A" w14:textId="77777777" w:rsidR="00B42775" w:rsidRDefault="00B42775">
      <w:pPr>
        <w:pStyle w:val="FootnoteText"/>
      </w:pPr>
      <w:r>
        <w:rPr>
          <w:rStyle w:val="FootnoteReference"/>
        </w:rPr>
        <w:footnoteRef/>
      </w:r>
      <w:r>
        <w:tab/>
      </w:r>
      <w:r w:rsidRPr="00CD0B5E">
        <w:t>Results are available in the online tables accompanying this report.</w:t>
      </w:r>
    </w:p>
  </w:footnote>
  <w:footnote w:id="51">
    <w:p w14:paraId="679CCC7B" w14:textId="77777777" w:rsidR="00B42775" w:rsidRDefault="00B42775">
      <w:pPr>
        <w:pStyle w:val="FootnoteText"/>
      </w:pPr>
      <w:r>
        <w:rPr>
          <w:rStyle w:val="FootnoteReference"/>
        </w:rPr>
        <w:footnoteRef/>
      </w:r>
      <w:r>
        <w:tab/>
      </w:r>
      <w:r w:rsidRPr="00CD0B5E">
        <w:t>Results are available in the online tables accompanying this report.</w:t>
      </w:r>
    </w:p>
  </w:footnote>
  <w:footnote w:id="52">
    <w:p w14:paraId="055D710A" w14:textId="77777777" w:rsidR="00B42775" w:rsidRDefault="00B42775">
      <w:pPr>
        <w:pStyle w:val="FootnoteText"/>
      </w:pPr>
      <w:r>
        <w:rPr>
          <w:rStyle w:val="FootnoteReference"/>
        </w:rPr>
        <w:footnoteRef/>
      </w:r>
      <w:r>
        <w:tab/>
      </w:r>
      <w:r w:rsidRPr="00CD0B5E">
        <w:t>Results for Māori and Pacific children are provided in Tables 8 and 9 respectively at the beginning of this section.</w:t>
      </w:r>
    </w:p>
  </w:footnote>
  <w:footnote w:id="53">
    <w:p w14:paraId="6CC644C0" w14:textId="77777777" w:rsidR="00B42775" w:rsidRDefault="00B42775">
      <w:pPr>
        <w:pStyle w:val="FootnoteText"/>
      </w:pPr>
      <w:r>
        <w:rPr>
          <w:rStyle w:val="FootnoteReference"/>
        </w:rPr>
        <w:footnoteRef/>
      </w:r>
      <w:r>
        <w:tab/>
      </w:r>
      <w:r w:rsidRPr="00CD0B5E">
        <w:t>The term ‘dental health care worker’ refers to dentists and other dental health care workers, such as dental therapists and dental hygienists, as well as dental health specialists, such as orthodontists.</w:t>
      </w:r>
    </w:p>
  </w:footnote>
  <w:footnote w:id="54">
    <w:p w14:paraId="0D487BD4" w14:textId="77777777" w:rsidR="00B42775" w:rsidRDefault="00B42775">
      <w:pPr>
        <w:pStyle w:val="FootnoteText"/>
      </w:pPr>
      <w:r>
        <w:rPr>
          <w:rStyle w:val="FootnoteReference"/>
        </w:rPr>
        <w:footnoteRef/>
      </w:r>
      <w:r>
        <w:tab/>
      </w:r>
      <w:r w:rsidRPr="00CD0B5E">
        <w:t>Refer to online tables accompanying this report for more detailed results.</w:t>
      </w:r>
    </w:p>
  </w:footnote>
  <w:footnote w:id="55">
    <w:p w14:paraId="30C33415" w14:textId="77777777" w:rsidR="00B42775" w:rsidRDefault="00B42775">
      <w:pPr>
        <w:pStyle w:val="FootnoteText"/>
      </w:pPr>
      <w:r>
        <w:rPr>
          <w:rStyle w:val="FootnoteReference"/>
        </w:rPr>
        <w:footnoteRef/>
      </w:r>
      <w:r>
        <w:tab/>
      </w:r>
      <w:r w:rsidRPr="00CD0B5E">
        <w:t>Results for Māori and Pacific children are provided in Tables 7 and 8 at the beginning of this section.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F9EEE" w14:textId="77777777" w:rsidR="00B42775" w:rsidRDefault="00B42775" w:rsidP="009216CC">
    <w:pPr>
      <w:pStyle w:val="Header"/>
      <w:ind w:left="-1559"/>
    </w:pPr>
    <w:r>
      <w:rPr>
        <w:noProof/>
        <w:lang w:eastAsia="en-NZ"/>
      </w:rPr>
      <w:drawing>
        <wp:inline distT="0" distB="0" distL="0" distR="0" wp14:anchorId="5FFF7651" wp14:editId="666AF8DC">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7E394" w14:textId="77777777" w:rsidR="00B42775" w:rsidRDefault="00B42775"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176E0" w14:textId="77777777" w:rsidR="00B42775" w:rsidRDefault="00B42775"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6A596" w14:textId="77777777" w:rsidR="00B42775" w:rsidRDefault="00B427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6E32FB68"/>
    <w:lvl w:ilvl="0">
      <w:numFmt w:val="bullet"/>
      <w:lvlText w:val="*"/>
      <w:lvlJc w:val="left"/>
    </w:lvl>
  </w:abstractNum>
  <w:abstractNum w:abstractNumId="2">
    <w:nsid w:val="009C1443"/>
    <w:multiLevelType w:val="hybridMultilevel"/>
    <w:tmpl w:val="130E6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4">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7E66FAF"/>
    <w:multiLevelType w:val="hybridMultilevel"/>
    <w:tmpl w:val="1D768EA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nsid w:val="298B618F"/>
    <w:multiLevelType w:val="hybridMultilevel"/>
    <w:tmpl w:val="619ADE38"/>
    <w:lvl w:ilvl="0" w:tplc="6E32FB68">
      <w:numFmt w:val="bullet"/>
      <w:lvlText w:val=""/>
      <w:legacy w:legacy="1" w:legacySpace="0" w:legacyIndent="0"/>
      <w:lvlJc w:val="left"/>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BA92938"/>
    <w:multiLevelType w:val="hybridMultilevel"/>
    <w:tmpl w:val="244C024C"/>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0">
    <w:nsid w:val="2D060D16"/>
    <w:multiLevelType w:val="hybridMultilevel"/>
    <w:tmpl w:val="95AA31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3A947DE6"/>
    <w:multiLevelType w:val="hybridMultilevel"/>
    <w:tmpl w:val="72CECE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C0C4663"/>
    <w:multiLevelType w:val="hybridMultilevel"/>
    <w:tmpl w:val="F66400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42464842"/>
    <w:multiLevelType w:val="hybridMultilevel"/>
    <w:tmpl w:val="A970C5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D7C62B4"/>
    <w:multiLevelType w:val="hybridMultilevel"/>
    <w:tmpl w:val="5A387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59072ECE"/>
    <w:multiLevelType w:val="hybridMultilevel"/>
    <w:tmpl w:val="B218B7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07D6096"/>
    <w:multiLevelType w:val="hybridMultilevel"/>
    <w:tmpl w:val="3A460E4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1">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22">
    <w:nsid w:val="690E1509"/>
    <w:multiLevelType w:val="hybridMultilevel"/>
    <w:tmpl w:val="7F461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24">
    <w:nsid w:val="7B053001"/>
    <w:multiLevelType w:val="hybridMultilevel"/>
    <w:tmpl w:val="A4B8B258"/>
    <w:lvl w:ilvl="0" w:tplc="6E32FB68">
      <w:numFmt w:val="bullet"/>
      <w:lvlText w:val=""/>
      <w:legacy w:legacy="1" w:legacySpace="0" w:legacyIndent="0"/>
      <w:lvlJc w:val="left"/>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7B4A2359"/>
    <w:multiLevelType w:val="hybridMultilevel"/>
    <w:tmpl w:val="AFACEE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27">
    <w:nsid w:val="7D78330F"/>
    <w:multiLevelType w:val="hybridMultilevel"/>
    <w:tmpl w:val="B734C652"/>
    <w:lvl w:ilvl="0" w:tplc="6E32FB68">
      <w:numFmt w:val="bullet"/>
      <w:lvlText w:val=""/>
      <w:legacy w:legacy="1" w:legacySpace="0" w:legacyIndent="0"/>
      <w:lvlJc w:val="left"/>
      <w:rPr>
        <w:rFonts w:ascii="Symbol" w:hAnsi="Symbol"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13"/>
  </w:num>
  <w:num w:numId="4">
    <w:abstractNumId w:val="14"/>
  </w:num>
  <w:num w:numId="5">
    <w:abstractNumId w:val="3"/>
  </w:num>
  <w:num w:numId="6">
    <w:abstractNumId w:val="18"/>
  </w:num>
  <w:num w:numId="7">
    <w:abstractNumId w:val="5"/>
  </w:num>
  <w:num w:numId="8">
    <w:abstractNumId w:val="23"/>
  </w:num>
  <w:num w:numId="9">
    <w:abstractNumId w:val="4"/>
  </w:num>
  <w:num w:numId="10">
    <w:abstractNumId w:val="6"/>
  </w:num>
  <w:num w:numId="11">
    <w:abstractNumId w:val="15"/>
  </w:num>
  <w:num w:numId="12">
    <w:abstractNumId w:val="0"/>
  </w:num>
  <w:num w:numId="13">
    <w:abstractNumId w:val="9"/>
  </w:num>
  <w:num w:numId="14">
    <w:abstractNumId w:val="22"/>
  </w:num>
  <w:num w:numId="15">
    <w:abstractNumId w:val="2"/>
  </w:num>
  <w:num w:numId="16">
    <w:abstractNumId w:val="12"/>
  </w:num>
  <w:num w:numId="17">
    <w:abstractNumId w:val="20"/>
  </w:num>
  <w:num w:numId="18">
    <w:abstractNumId w:val="1"/>
    <w:lvlOverride w:ilvl="0">
      <w:lvl w:ilvl="0">
        <w:numFmt w:val="bullet"/>
        <w:lvlText w:val=""/>
        <w:legacy w:legacy="1" w:legacySpace="0" w:legacyIndent="0"/>
        <w:lvlJc w:val="left"/>
        <w:rPr>
          <w:rFonts w:ascii="Symbol" w:hAnsi="Symbol" w:hint="default"/>
          <w:sz w:val="22"/>
        </w:rPr>
      </w:lvl>
    </w:lvlOverride>
  </w:num>
  <w:num w:numId="19">
    <w:abstractNumId w:val="1"/>
    <w:lvlOverride w:ilvl="0">
      <w:lvl w:ilvl="0">
        <w:numFmt w:val="bullet"/>
        <w:lvlText w:val=""/>
        <w:legacy w:legacy="1" w:legacySpace="0" w:legacyIndent="0"/>
        <w:lvlJc w:val="left"/>
        <w:rPr>
          <w:rFonts w:ascii="Symbol" w:hAnsi="Symbol" w:hint="default"/>
          <w:sz w:val="22"/>
        </w:rPr>
      </w:lvl>
    </w:lvlOverride>
  </w:num>
  <w:num w:numId="20">
    <w:abstractNumId w:val="24"/>
  </w:num>
  <w:num w:numId="21">
    <w:abstractNumId w:val="8"/>
  </w:num>
  <w:num w:numId="22">
    <w:abstractNumId w:val="27"/>
  </w:num>
  <w:num w:numId="23">
    <w:abstractNumId w:val="19"/>
  </w:num>
  <w:num w:numId="24">
    <w:abstractNumId w:val="10"/>
  </w:num>
  <w:num w:numId="25">
    <w:abstractNumId w:val="16"/>
  </w:num>
  <w:num w:numId="26">
    <w:abstractNumId w:val="25"/>
  </w:num>
  <w:num w:numId="27">
    <w:abstractNumId w:val="11"/>
  </w:num>
  <w:num w:numId="28">
    <w:abstractNumId w:val="7"/>
  </w:num>
  <w:num w:numId="29">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01BEA"/>
    <w:rsid w:val="00003291"/>
    <w:rsid w:val="00016F90"/>
    <w:rsid w:val="0002410D"/>
    <w:rsid w:val="00030B26"/>
    <w:rsid w:val="00030D5D"/>
    <w:rsid w:val="00032C0A"/>
    <w:rsid w:val="00035257"/>
    <w:rsid w:val="0005088D"/>
    <w:rsid w:val="00052478"/>
    <w:rsid w:val="0006228D"/>
    <w:rsid w:val="0007229A"/>
    <w:rsid w:val="00072BD6"/>
    <w:rsid w:val="00075B78"/>
    <w:rsid w:val="00082CD6"/>
    <w:rsid w:val="00085AFE"/>
    <w:rsid w:val="000B0730"/>
    <w:rsid w:val="000D5FE6"/>
    <w:rsid w:val="000F2AE2"/>
    <w:rsid w:val="000F6953"/>
    <w:rsid w:val="00102063"/>
    <w:rsid w:val="0010541C"/>
    <w:rsid w:val="00106F93"/>
    <w:rsid w:val="00111D50"/>
    <w:rsid w:val="00113B8E"/>
    <w:rsid w:val="001342C7"/>
    <w:rsid w:val="0013585C"/>
    <w:rsid w:val="00137660"/>
    <w:rsid w:val="00141EFA"/>
    <w:rsid w:val="00142954"/>
    <w:rsid w:val="001460E0"/>
    <w:rsid w:val="00147F71"/>
    <w:rsid w:val="00150A6E"/>
    <w:rsid w:val="0016468A"/>
    <w:rsid w:val="00191F1E"/>
    <w:rsid w:val="00195766"/>
    <w:rsid w:val="001A21B4"/>
    <w:rsid w:val="001A5CF5"/>
    <w:rsid w:val="001B39D2"/>
    <w:rsid w:val="001B4BF8"/>
    <w:rsid w:val="001C4326"/>
    <w:rsid w:val="001D3541"/>
    <w:rsid w:val="001F45A7"/>
    <w:rsid w:val="001F5A60"/>
    <w:rsid w:val="00201A01"/>
    <w:rsid w:val="00206717"/>
    <w:rsid w:val="002104D3"/>
    <w:rsid w:val="00213A33"/>
    <w:rsid w:val="0021763B"/>
    <w:rsid w:val="00246DB1"/>
    <w:rsid w:val="002476B5"/>
    <w:rsid w:val="00247BA3"/>
    <w:rsid w:val="0025366B"/>
    <w:rsid w:val="00253ECF"/>
    <w:rsid w:val="00253F6C"/>
    <w:rsid w:val="002546A1"/>
    <w:rsid w:val="00275D08"/>
    <w:rsid w:val="00281B37"/>
    <w:rsid w:val="002858E3"/>
    <w:rsid w:val="0029190A"/>
    <w:rsid w:val="00292C5A"/>
    <w:rsid w:val="00295241"/>
    <w:rsid w:val="002A4DFC"/>
    <w:rsid w:val="002B047D"/>
    <w:rsid w:val="002B732B"/>
    <w:rsid w:val="002C2219"/>
    <w:rsid w:val="002C622B"/>
    <w:rsid w:val="002D0DF2"/>
    <w:rsid w:val="002D23BD"/>
    <w:rsid w:val="002E0B47"/>
    <w:rsid w:val="002F6669"/>
    <w:rsid w:val="002F7213"/>
    <w:rsid w:val="0030382F"/>
    <w:rsid w:val="0030408D"/>
    <w:rsid w:val="003060E4"/>
    <w:rsid w:val="003160E7"/>
    <w:rsid w:val="0031739E"/>
    <w:rsid w:val="003319F7"/>
    <w:rsid w:val="003325AB"/>
    <w:rsid w:val="003332D1"/>
    <w:rsid w:val="0033412B"/>
    <w:rsid w:val="00343365"/>
    <w:rsid w:val="00353501"/>
    <w:rsid w:val="003606F8"/>
    <w:rsid w:val="003648EF"/>
    <w:rsid w:val="00365A5D"/>
    <w:rsid w:val="003673E6"/>
    <w:rsid w:val="003709E4"/>
    <w:rsid w:val="003715DC"/>
    <w:rsid w:val="00377264"/>
    <w:rsid w:val="00385E2F"/>
    <w:rsid w:val="00387497"/>
    <w:rsid w:val="003A26A5"/>
    <w:rsid w:val="003A3761"/>
    <w:rsid w:val="003A5FEA"/>
    <w:rsid w:val="003B1D10"/>
    <w:rsid w:val="003C76D4"/>
    <w:rsid w:val="003D2CC5"/>
    <w:rsid w:val="003D5B32"/>
    <w:rsid w:val="003E7C46"/>
    <w:rsid w:val="003F26E4"/>
    <w:rsid w:val="003F52A7"/>
    <w:rsid w:val="0040240C"/>
    <w:rsid w:val="004025DE"/>
    <w:rsid w:val="00402831"/>
    <w:rsid w:val="004045D6"/>
    <w:rsid w:val="00413021"/>
    <w:rsid w:val="00440BE0"/>
    <w:rsid w:val="00442C1C"/>
    <w:rsid w:val="0044584B"/>
    <w:rsid w:val="00447527"/>
    <w:rsid w:val="00447CB7"/>
    <w:rsid w:val="00455CC9"/>
    <w:rsid w:val="00460826"/>
    <w:rsid w:val="00460EA7"/>
    <w:rsid w:val="0046195B"/>
    <w:rsid w:val="0046596D"/>
    <w:rsid w:val="0048336D"/>
    <w:rsid w:val="00487C04"/>
    <w:rsid w:val="004907E1"/>
    <w:rsid w:val="004A035B"/>
    <w:rsid w:val="004A38D7"/>
    <w:rsid w:val="004A4E25"/>
    <w:rsid w:val="004A778C"/>
    <w:rsid w:val="004C2E6A"/>
    <w:rsid w:val="004C6336"/>
    <w:rsid w:val="004C64B8"/>
    <w:rsid w:val="004D2A2D"/>
    <w:rsid w:val="004D5365"/>
    <w:rsid w:val="004D5DFB"/>
    <w:rsid w:val="004D6689"/>
    <w:rsid w:val="004E1D1D"/>
    <w:rsid w:val="004E7AC8"/>
    <w:rsid w:val="004F0C94"/>
    <w:rsid w:val="005019AE"/>
    <w:rsid w:val="00503749"/>
    <w:rsid w:val="00504CF4"/>
    <w:rsid w:val="0050635B"/>
    <w:rsid w:val="0051040E"/>
    <w:rsid w:val="005151C2"/>
    <w:rsid w:val="005219F7"/>
    <w:rsid w:val="00527CD3"/>
    <w:rsid w:val="0053199F"/>
    <w:rsid w:val="00533B90"/>
    <w:rsid w:val="005410F8"/>
    <w:rsid w:val="005448EC"/>
    <w:rsid w:val="00545963"/>
    <w:rsid w:val="00550256"/>
    <w:rsid w:val="00553958"/>
    <w:rsid w:val="0055763D"/>
    <w:rsid w:val="005621F2"/>
    <w:rsid w:val="00567B58"/>
    <w:rsid w:val="005763E0"/>
    <w:rsid w:val="0058027F"/>
    <w:rsid w:val="00581136"/>
    <w:rsid w:val="005A27CA"/>
    <w:rsid w:val="005A43BD"/>
    <w:rsid w:val="005E226E"/>
    <w:rsid w:val="005E2636"/>
    <w:rsid w:val="006015D7"/>
    <w:rsid w:val="00601B21"/>
    <w:rsid w:val="006041F0"/>
    <w:rsid w:val="006224D8"/>
    <w:rsid w:val="00626CF8"/>
    <w:rsid w:val="00634ED8"/>
    <w:rsid w:val="00636D7D"/>
    <w:rsid w:val="00637408"/>
    <w:rsid w:val="00642868"/>
    <w:rsid w:val="00643898"/>
    <w:rsid w:val="00647AFE"/>
    <w:rsid w:val="006512BC"/>
    <w:rsid w:val="0065245C"/>
    <w:rsid w:val="00653A5A"/>
    <w:rsid w:val="006575F4"/>
    <w:rsid w:val="006579E6"/>
    <w:rsid w:val="00663ECE"/>
    <w:rsid w:val="00663EDC"/>
    <w:rsid w:val="0067080F"/>
    <w:rsid w:val="00671078"/>
    <w:rsid w:val="00672DBE"/>
    <w:rsid w:val="006758CA"/>
    <w:rsid w:val="00680A04"/>
    <w:rsid w:val="00686D80"/>
    <w:rsid w:val="00694895"/>
    <w:rsid w:val="00697E2E"/>
    <w:rsid w:val="006A25A2"/>
    <w:rsid w:val="006B0E73"/>
    <w:rsid w:val="006B4A4D"/>
    <w:rsid w:val="006B5695"/>
    <w:rsid w:val="006C78EB"/>
    <w:rsid w:val="006D1660"/>
    <w:rsid w:val="006F0C9E"/>
    <w:rsid w:val="006F1B67"/>
    <w:rsid w:val="0070091D"/>
    <w:rsid w:val="007013D0"/>
    <w:rsid w:val="00702854"/>
    <w:rsid w:val="0071224A"/>
    <w:rsid w:val="0071741C"/>
    <w:rsid w:val="00734E72"/>
    <w:rsid w:val="00742B90"/>
    <w:rsid w:val="00743CE3"/>
    <w:rsid w:val="0074434D"/>
    <w:rsid w:val="00770B86"/>
    <w:rsid w:val="00771B1E"/>
    <w:rsid w:val="00773C95"/>
    <w:rsid w:val="0078171E"/>
    <w:rsid w:val="00782130"/>
    <w:rsid w:val="00795B34"/>
    <w:rsid w:val="007973E2"/>
    <w:rsid w:val="007B1770"/>
    <w:rsid w:val="007B4D3E"/>
    <w:rsid w:val="007B7C70"/>
    <w:rsid w:val="007D2151"/>
    <w:rsid w:val="007D42CC"/>
    <w:rsid w:val="007D5DE4"/>
    <w:rsid w:val="007E0777"/>
    <w:rsid w:val="007E1341"/>
    <w:rsid w:val="007E1B41"/>
    <w:rsid w:val="007E30B9"/>
    <w:rsid w:val="007E74F1"/>
    <w:rsid w:val="007F0F0C"/>
    <w:rsid w:val="007F1288"/>
    <w:rsid w:val="007F471F"/>
    <w:rsid w:val="007F5D11"/>
    <w:rsid w:val="00800A8A"/>
    <w:rsid w:val="0080155C"/>
    <w:rsid w:val="00801ACA"/>
    <w:rsid w:val="008052E1"/>
    <w:rsid w:val="00822F2C"/>
    <w:rsid w:val="008305E8"/>
    <w:rsid w:val="00860826"/>
    <w:rsid w:val="00860E21"/>
    <w:rsid w:val="00863117"/>
    <w:rsid w:val="0086388B"/>
    <w:rsid w:val="008642E5"/>
    <w:rsid w:val="00864470"/>
    <w:rsid w:val="00872D93"/>
    <w:rsid w:val="00880470"/>
    <w:rsid w:val="00880D94"/>
    <w:rsid w:val="00883787"/>
    <w:rsid w:val="00891FF7"/>
    <w:rsid w:val="008924DE"/>
    <w:rsid w:val="00893593"/>
    <w:rsid w:val="00897B78"/>
    <w:rsid w:val="008A05CB"/>
    <w:rsid w:val="008A3755"/>
    <w:rsid w:val="008B07B9"/>
    <w:rsid w:val="008B264F"/>
    <w:rsid w:val="008B4413"/>
    <w:rsid w:val="008B6F83"/>
    <w:rsid w:val="008B7FD8"/>
    <w:rsid w:val="008C2973"/>
    <w:rsid w:val="008C6324"/>
    <w:rsid w:val="008C64C4"/>
    <w:rsid w:val="008D74D5"/>
    <w:rsid w:val="008F29BE"/>
    <w:rsid w:val="008F4AE5"/>
    <w:rsid w:val="008F51EB"/>
    <w:rsid w:val="00900197"/>
    <w:rsid w:val="00902CCC"/>
    <w:rsid w:val="00902F55"/>
    <w:rsid w:val="009047FD"/>
    <w:rsid w:val="0090582B"/>
    <w:rsid w:val="009060C0"/>
    <w:rsid w:val="009133F5"/>
    <w:rsid w:val="00920A27"/>
    <w:rsid w:val="00921216"/>
    <w:rsid w:val="009216CC"/>
    <w:rsid w:val="00930D08"/>
    <w:rsid w:val="00932D69"/>
    <w:rsid w:val="00944647"/>
    <w:rsid w:val="009567A8"/>
    <w:rsid w:val="00977B8A"/>
    <w:rsid w:val="00981544"/>
    <w:rsid w:val="00982971"/>
    <w:rsid w:val="009845AD"/>
    <w:rsid w:val="00995BA0"/>
    <w:rsid w:val="009A418B"/>
    <w:rsid w:val="009A4473"/>
    <w:rsid w:val="009C151C"/>
    <w:rsid w:val="009C696B"/>
    <w:rsid w:val="009D5125"/>
    <w:rsid w:val="009D60B8"/>
    <w:rsid w:val="009D7D4B"/>
    <w:rsid w:val="009E36ED"/>
    <w:rsid w:val="009E3C8C"/>
    <w:rsid w:val="009E6B77"/>
    <w:rsid w:val="009F208D"/>
    <w:rsid w:val="009F2619"/>
    <w:rsid w:val="009F460A"/>
    <w:rsid w:val="00A043FB"/>
    <w:rsid w:val="00A0729C"/>
    <w:rsid w:val="00A07779"/>
    <w:rsid w:val="00A14488"/>
    <w:rsid w:val="00A20B2E"/>
    <w:rsid w:val="00A25069"/>
    <w:rsid w:val="00A26E6B"/>
    <w:rsid w:val="00A3068F"/>
    <w:rsid w:val="00A3145B"/>
    <w:rsid w:val="00A339D0"/>
    <w:rsid w:val="00A41002"/>
    <w:rsid w:val="00A4201A"/>
    <w:rsid w:val="00A53A4B"/>
    <w:rsid w:val="00A53B51"/>
    <w:rsid w:val="00A553CE"/>
    <w:rsid w:val="00A5677A"/>
    <w:rsid w:val="00A6490D"/>
    <w:rsid w:val="00A80363"/>
    <w:rsid w:val="00A85E26"/>
    <w:rsid w:val="00A9169D"/>
    <w:rsid w:val="00AA240C"/>
    <w:rsid w:val="00AC101C"/>
    <w:rsid w:val="00AD4CF1"/>
    <w:rsid w:val="00AD5988"/>
    <w:rsid w:val="00AF1671"/>
    <w:rsid w:val="00AF7800"/>
    <w:rsid w:val="00B040CC"/>
    <w:rsid w:val="00B072E0"/>
    <w:rsid w:val="00B24158"/>
    <w:rsid w:val="00B253F6"/>
    <w:rsid w:val="00B305DB"/>
    <w:rsid w:val="00B332F8"/>
    <w:rsid w:val="00B3492B"/>
    <w:rsid w:val="00B40FFF"/>
    <w:rsid w:val="00B42775"/>
    <w:rsid w:val="00B4646F"/>
    <w:rsid w:val="00B55C7D"/>
    <w:rsid w:val="00B57A3D"/>
    <w:rsid w:val="00B63038"/>
    <w:rsid w:val="00B64BD8"/>
    <w:rsid w:val="00B701D1"/>
    <w:rsid w:val="00B73AF2"/>
    <w:rsid w:val="00B7551A"/>
    <w:rsid w:val="00B773F1"/>
    <w:rsid w:val="00B86AB1"/>
    <w:rsid w:val="00BA3991"/>
    <w:rsid w:val="00BA51DA"/>
    <w:rsid w:val="00BA7A50"/>
    <w:rsid w:val="00BB2CBB"/>
    <w:rsid w:val="00BB389F"/>
    <w:rsid w:val="00BB5E83"/>
    <w:rsid w:val="00BC59F1"/>
    <w:rsid w:val="00BE359C"/>
    <w:rsid w:val="00BF2E4A"/>
    <w:rsid w:val="00BF3DE1"/>
    <w:rsid w:val="00BF481C"/>
    <w:rsid w:val="00BF4843"/>
    <w:rsid w:val="00BF5205"/>
    <w:rsid w:val="00C11000"/>
    <w:rsid w:val="00C12508"/>
    <w:rsid w:val="00C20528"/>
    <w:rsid w:val="00C2252C"/>
    <w:rsid w:val="00C44A04"/>
    <w:rsid w:val="00C45AA2"/>
    <w:rsid w:val="00C53CD9"/>
    <w:rsid w:val="00C55BEF"/>
    <w:rsid w:val="00C66296"/>
    <w:rsid w:val="00C77282"/>
    <w:rsid w:val="00C84DE5"/>
    <w:rsid w:val="00C86248"/>
    <w:rsid w:val="00CA4C33"/>
    <w:rsid w:val="00CA6F4A"/>
    <w:rsid w:val="00CC227A"/>
    <w:rsid w:val="00CD0B5E"/>
    <w:rsid w:val="00CD2119"/>
    <w:rsid w:val="00CD237A"/>
    <w:rsid w:val="00CD36AC"/>
    <w:rsid w:val="00CE13A3"/>
    <w:rsid w:val="00CF1747"/>
    <w:rsid w:val="00D113E0"/>
    <w:rsid w:val="00D23323"/>
    <w:rsid w:val="00D2392A"/>
    <w:rsid w:val="00D25FFE"/>
    <w:rsid w:val="00D36B4B"/>
    <w:rsid w:val="00D406B1"/>
    <w:rsid w:val="00D43E03"/>
    <w:rsid w:val="00D4476F"/>
    <w:rsid w:val="00D54D50"/>
    <w:rsid w:val="00D551C3"/>
    <w:rsid w:val="00D66797"/>
    <w:rsid w:val="00D7087C"/>
    <w:rsid w:val="00D70C3C"/>
    <w:rsid w:val="00D72BE5"/>
    <w:rsid w:val="00D82F26"/>
    <w:rsid w:val="00D863D0"/>
    <w:rsid w:val="00D87C87"/>
    <w:rsid w:val="00D90E07"/>
    <w:rsid w:val="00DB39CF"/>
    <w:rsid w:val="00DC0A66"/>
    <w:rsid w:val="00DC355D"/>
    <w:rsid w:val="00DD0BCD"/>
    <w:rsid w:val="00DD447A"/>
    <w:rsid w:val="00DD4F6C"/>
    <w:rsid w:val="00DE3B20"/>
    <w:rsid w:val="00DE6C94"/>
    <w:rsid w:val="00DE6FD7"/>
    <w:rsid w:val="00E11BD8"/>
    <w:rsid w:val="00E11C2C"/>
    <w:rsid w:val="00E17B60"/>
    <w:rsid w:val="00E23271"/>
    <w:rsid w:val="00E24F80"/>
    <w:rsid w:val="00E259F3"/>
    <w:rsid w:val="00E31A31"/>
    <w:rsid w:val="00E33238"/>
    <w:rsid w:val="00E4486C"/>
    <w:rsid w:val="00E460B6"/>
    <w:rsid w:val="00E511D5"/>
    <w:rsid w:val="00E60249"/>
    <w:rsid w:val="00E65269"/>
    <w:rsid w:val="00E76D66"/>
    <w:rsid w:val="00E94939"/>
    <w:rsid w:val="00EA2EE6"/>
    <w:rsid w:val="00EA796A"/>
    <w:rsid w:val="00EB1856"/>
    <w:rsid w:val="00EC50CE"/>
    <w:rsid w:val="00EC5B34"/>
    <w:rsid w:val="00EE2D5C"/>
    <w:rsid w:val="00EE4ADE"/>
    <w:rsid w:val="00EE5CB7"/>
    <w:rsid w:val="00F024FE"/>
    <w:rsid w:val="00F05AD4"/>
    <w:rsid w:val="00F07999"/>
    <w:rsid w:val="00F07FFD"/>
    <w:rsid w:val="00F25970"/>
    <w:rsid w:val="00F5180D"/>
    <w:rsid w:val="00F63781"/>
    <w:rsid w:val="00F67496"/>
    <w:rsid w:val="00F801BA"/>
    <w:rsid w:val="00F914A0"/>
    <w:rsid w:val="00F9366A"/>
    <w:rsid w:val="00F946C9"/>
    <w:rsid w:val="00FA74EE"/>
    <w:rsid w:val="00FC0DB8"/>
    <w:rsid w:val="00FC3711"/>
    <w:rsid w:val="00FC46E7"/>
    <w:rsid w:val="00FC5D25"/>
    <w:rsid w:val="00FD0D7E"/>
    <w:rsid w:val="00FD1143"/>
    <w:rsid w:val="00FD6712"/>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D285BDD"/>
  <w15:docId w15:val="{1954F6F8-0AF7-461D-B314-8E99968C9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035257"/>
    <w:pPr>
      <w:pageBreakBefore/>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6">
    <w:name w:val="heading 6"/>
    <w:basedOn w:val="Normal"/>
    <w:next w:val="Normal"/>
    <w:link w:val="Heading6Char"/>
    <w:uiPriority w:val="9"/>
    <w:semiHidden/>
    <w:unhideWhenUsed/>
    <w:qFormat/>
    <w:rsid w:val="00FC0DB8"/>
    <w:pPr>
      <w:keepNext/>
      <w:keepLines/>
      <w:spacing w:before="200" w:line="276" w:lineRule="auto"/>
      <w:outlineLvl w:val="5"/>
    </w:pPr>
    <w:rPr>
      <w:rFonts w:ascii="Cambria" w:hAnsi="Cambria"/>
      <w:i/>
      <w:iCs/>
      <w:color w:val="243F60"/>
      <w:szCs w:val="22"/>
      <w:lang w:eastAsia="en-US"/>
    </w:rPr>
  </w:style>
  <w:style w:type="paragraph" w:styleId="Heading7">
    <w:name w:val="heading 7"/>
    <w:basedOn w:val="Normal"/>
    <w:next w:val="Normal"/>
    <w:link w:val="Heading7Char"/>
    <w:uiPriority w:val="9"/>
    <w:semiHidden/>
    <w:unhideWhenUsed/>
    <w:qFormat/>
    <w:rsid w:val="00FC0DB8"/>
    <w:pPr>
      <w:keepNext/>
      <w:keepLines/>
      <w:spacing w:before="200" w:line="276" w:lineRule="auto"/>
      <w:outlineLvl w:val="6"/>
    </w:pPr>
    <w:rPr>
      <w:rFonts w:ascii="Cambria" w:hAnsi="Cambria"/>
      <w:i/>
      <w:iCs/>
      <w:color w:val="404040"/>
      <w:szCs w:val="22"/>
      <w:lang w:eastAsia="en-US"/>
    </w:rPr>
  </w:style>
  <w:style w:type="paragraph" w:styleId="Heading8">
    <w:name w:val="heading 8"/>
    <w:basedOn w:val="Normal"/>
    <w:next w:val="Normal"/>
    <w:link w:val="Heading8Char"/>
    <w:uiPriority w:val="9"/>
    <w:semiHidden/>
    <w:unhideWhenUsed/>
    <w:qFormat/>
    <w:rsid w:val="00FC0DB8"/>
    <w:pPr>
      <w:keepNext/>
      <w:keepLines/>
      <w:spacing w:before="200" w:line="276" w:lineRule="auto"/>
      <w:outlineLvl w:val="7"/>
    </w:pPr>
    <w:rPr>
      <w:rFonts w:ascii="Cambria" w:hAnsi="Cambria"/>
      <w:color w:val="4F81BD"/>
      <w:sz w:val="20"/>
      <w:lang w:eastAsia="en-US"/>
    </w:rPr>
  </w:style>
  <w:style w:type="paragraph" w:styleId="Heading9">
    <w:name w:val="heading 9"/>
    <w:basedOn w:val="Normal"/>
    <w:next w:val="Normal"/>
    <w:link w:val="Heading9Char"/>
    <w:uiPriority w:val="9"/>
    <w:semiHidden/>
    <w:unhideWhenUsed/>
    <w:qFormat/>
    <w:rsid w:val="00FC0DB8"/>
    <w:pPr>
      <w:keepNext/>
      <w:keepLines/>
      <w:spacing w:before="200" w:line="276" w:lineRule="auto"/>
      <w:outlineLvl w:val="8"/>
    </w:pPr>
    <w:rPr>
      <w:rFonts w:ascii="Cambria" w:hAnsi="Cambria"/>
      <w:i/>
      <w:iCs/>
      <w:color w:val="404040"/>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7013D0"/>
    <w:pPr>
      <w:tabs>
        <w:tab w:val="left" w:pos="284"/>
        <w:tab w:val="right" w:pos="9356"/>
      </w:tabs>
      <w:spacing w:before="5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link w:val="QuoteChar"/>
    <w:uiPriority w:val="29"/>
    <w:qFormat/>
    <w:pPr>
      <w:spacing w:before="120"/>
      <w:ind w:left="284" w:right="284"/>
    </w:pPr>
  </w:style>
  <w:style w:type="paragraph" w:styleId="FootnoteText">
    <w:name w:val="footnote text"/>
    <w:basedOn w:val="Normal"/>
    <w:link w:val="FootnoteTextChar"/>
    <w:uiPriority w:val="99"/>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BA51DA"/>
    <w:pPr>
      <w:pBdr>
        <w:top w:val="single" w:sz="4" w:space="6" w:color="auto"/>
        <w:left w:val="single" w:sz="4" w:space="6" w:color="auto"/>
        <w:bottom w:val="single" w:sz="4" w:space="6" w:color="auto"/>
        <w:right w:val="single" w:sz="4" w:space="6" w:color="auto"/>
      </w:pBdr>
      <w:spacing w:before="120"/>
      <w:ind w:left="142" w:right="142"/>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DC355D"/>
    <w:pPr>
      <w:ind w:left="0" w:firstLine="0"/>
    </w:pPr>
  </w:style>
  <w:style w:type="paragraph" w:customStyle="1" w:styleId="Note">
    <w:name w:val="Note"/>
    <w:basedOn w:val="Normal"/>
    <w:next w:val="Normal"/>
    <w:link w:val="NoteChar"/>
    <w:qFormat/>
    <w:rsid w:val="009047FD"/>
    <w:pPr>
      <w:spacing w:before="80"/>
      <w:ind w:left="284"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9047FD"/>
    <w:rPr>
      <w:rFonts w:ascii="Arial" w:hAnsi="Arial"/>
      <w:sz w:val="18"/>
      <w:lang w:eastAsia="en-GB"/>
    </w:rPr>
  </w:style>
  <w:style w:type="character" w:customStyle="1" w:styleId="FootnoteTextChar">
    <w:name w:val="Footnote Text Char"/>
    <w:link w:val="FootnoteText"/>
    <w:uiPriority w:val="99"/>
    <w:rsid w:val="003060E4"/>
    <w:rPr>
      <w:rFonts w:ascii="Georgia" w:hAnsi="Georgia"/>
      <w:sz w:val="18"/>
      <w:lang w:eastAsia="en-GB"/>
    </w:rPr>
  </w:style>
  <w:style w:type="table" w:styleId="TableGrid">
    <w:name w:val="Table Grid"/>
    <w:basedOn w:val="TableNormal"/>
    <w:uiPriority w:val="39"/>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035257"/>
    <w:rPr>
      <w:rFonts w:ascii="Georgia" w:hAnsi="Georgia"/>
      <w:b/>
      <w:sz w:val="60"/>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paragraph" w:customStyle="1" w:styleId="Year">
    <w:name w:val="Year"/>
    <w:basedOn w:val="Subhead"/>
    <w:next w:val="Subhead"/>
    <w:qFormat/>
    <w:rsid w:val="00F63781"/>
    <w:pPr>
      <w:pBdr>
        <w:bottom w:val="single" w:sz="48" w:space="6" w:color="auto"/>
      </w:pBdr>
    </w:pPr>
    <w:rPr>
      <w:sz w:val="56"/>
    </w:rPr>
  </w:style>
  <w:style w:type="character" w:customStyle="1" w:styleId="TitleChar">
    <w:name w:val="Title Char"/>
    <w:link w:val="Title"/>
    <w:uiPriority w:val="10"/>
    <w:rsid w:val="00DC0A66"/>
    <w:rPr>
      <w:rFonts w:ascii="Georgia" w:hAnsi="Georgia"/>
      <w:b/>
      <w:sz w:val="80"/>
      <w:lang w:eastAsia="en-GB"/>
    </w:rPr>
  </w:style>
  <w:style w:type="character" w:styleId="CommentReference">
    <w:name w:val="annotation reference"/>
    <w:basedOn w:val="DefaultParagraphFont"/>
    <w:uiPriority w:val="99"/>
    <w:semiHidden/>
    <w:unhideWhenUsed/>
    <w:rsid w:val="00FD6712"/>
    <w:rPr>
      <w:sz w:val="16"/>
      <w:szCs w:val="16"/>
    </w:rPr>
  </w:style>
  <w:style w:type="paragraph" w:styleId="CommentText">
    <w:name w:val="annotation text"/>
    <w:basedOn w:val="Normal"/>
    <w:link w:val="CommentTextChar"/>
    <w:uiPriority w:val="99"/>
    <w:semiHidden/>
    <w:unhideWhenUsed/>
    <w:rsid w:val="00FD6712"/>
    <w:pPr>
      <w:spacing w:line="240" w:lineRule="auto"/>
    </w:pPr>
    <w:rPr>
      <w:sz w:val="20"/>
    </w:rPr>
  </w:style>
  <w:style w:type="character" w:customStyle="1" w:styleId="CommentTextChar">
    <w:name w:val="Comment Text Char"/>
    <w:basedOn w:val="DefaultParagraphFont"/>
    <w:link w:val="CommentText"/>
    <w:uiPriority w:val="99"/>
    <w:semiHidden/>
    <w:rsid w:val="00FD6712"/>
    <w:rPr>
      <w:rFonts w:ascii="Georgia" w:hAnsi="Georgia"/>
      <w:lang w:eastAsia="en-GB"/>
    </w:rPr>
  </w:style>
  <w:style w:type="character" w:customStyle="1" w:styleId="Heading6Char">
    <w:name w:val="Heading 6 Char"/>
    <w:basedOn w:val="DefaultParagraphFont"/>
    <w:link w:val="Heading6"/>
    <w:uiPriority w:val="9"/>
    <w:semiHidden/>
    <w:rsid w:val="00FC0DB8"/>
    <w:rPr>
      <w:rFonts w:ascii="Cambria" w:hAnsi="Cambria"/>
      <w:i/>
      <w:iCs/>
      <w:color w:val="243F60"/>
      <w:sz w:val="22"/>
      <w:szCs w:val="22"/>
      <w:lang w:eastAsia="en-US"/>
    </w:rPr>
  </w:style>
  <w:style w:type="character" w:customStyle="1" w:styleId="Heading7Char">
    <w:name w:val="Heading 7 Char"/>
    <w:basedOn w:val="DefaultParagraphFont"/>
    <w:link w:val="Heading7"/>
    <w:uiPriority w:val="9"/>
    <w:semiHidden/>
    <w:rsid w:val="00FC0DB8"/>
    <w:rPr>
      <w:rFonts w:ascii="Cambria" w:hAnsi="Cambria"/>
      <w:i/>
      <w:iCs/>
      <w:color w:val="404040"/>
      <w:sz w:val="22"/>
      <w:szCs w:val="22"/>
      <w:lang w:eastAsia="en-US"/>
    </w:rPr>
  </w:style>
  <w:style w:type="character" w:customStyle="1" w:styleId="Heading8Char">
    <w:name w:val="Heading 8 Char"/>
    <w:basedOn w:val="DefaultParagraphFont"/>
    <w:link w:val="Heading8"/>
    <w:uiPriority w:val="9"/>
    <w:semiHidden/>
    <w:rsid w:val="00FC0DB8"/>
    <w:rPr>
      <w:rFonts w:ascii="Cambria" w:hAnsi="Cambria"/>
      <w:color w:val="4F81BD"/>
      <w:lang w:eastAsia="en-US"/>
    </w:rPr>
  </w:style>
  <w:style w:type="character" w:customStyle="1" w:styleId="Heading9Char">
    <w:name w:val="Heading 9 Char"/>
    <w:basedOn w:val="DefaultParagraphFont"/>
    <w:link w:val="Heading9"/>
    <w:uiPriority w:val="9"/>
    <w:semiHidden/>
    <w:rsid w:val="00FC0DB8"/>
    <w:rPr>
      <w:rFonts w:ascii="Cambria" w:hAnsi="Cambria"/>
      <w:i/>
      <w:iCs/>
      <w:color w:val="404040"/>
      <w:lang w:eastAsia="en-US"/>
    </w:rPr>
  </w:style>
  <w:style w:type="character" w:customStyle="1" w:styleId="Heading4Char">
    <w:name w:val="Heading 4 Char"/>
    <w:link w:val="Heading4"/>
    <w:uiPriority w:val="9"/>
    <w:rsid w:val="00FC0DB8"/>
    <w:rPr>
      <w:rFonts w:ascii="Georgia" w:hAnsi="Georgia"/>
      <w:b/>
      <w:sz w:val="22"/>
      <w:lang w:eastAsia="en-GB"/>
    </w:rPr>
  </w:style>
  <w:style w:type="character" w:customStyle="1" w:styleId="Heading5Char">
    <w:name w:val="Heading 5 Char"/>
    <w:link w:val="Heading5"/>
    <w:uiPriority w:val="9"/>
    <w:rsid w:val="00FC0DB8"/>
    <w:rPr>
      <w:rFonts w:ascii="Georgia" w:hAnsi="Georgia"/>
      <w:sz w:val="22"/>
      <w:u w:val="single"/>
      <w:lang w:eastAsia="en-GB"/>
    </w:rPr>
  </w:style>
  <w:style w:type="character" w:customStyle="1" w:styleId="QuoteChar">
    <w:name w:val="Quote Char"/>
    <w:link w:val="Quote"/>
    <w:uiPriority w:val="29"/>
    <w:rsid w:val="00FC0DB8"/>
    <w:rPr>
      <w:rFonts w:ascii="Georgia" w:hAnsi="Georgia"/>
      <w:sz w:val="22"/>
      <w:lang w:eastAsia="en-GB"/>
    </w:rPr>
  </w:style>
  <w:style w:type="paragraph" w:styleId="CommentSubject">
    <w:name w:val="annotation subject"/>
    <w:basedOn w:val="CommentText"/>
    <w:next w:val="CommentText"/>
    <w:link w:val="CommentSubjectChar"/>
    <w:uiPriority w:val="99"/>
    <w:semiHidden/>
    <w:unhideWhenUsed/>
    <w:rsid w:val="00FD6712"/>
    <w:rPr>
      <w:b/>
      <w:bCs/>
    </w:rPr>
  </w:style>
  <w:style w:type="character" w:customStyle="1" w:styleId="CommentSubjectChar">
    <w:name w:val="Comment Subject Char"/>
    <w:basedOn w:val="CommentTextChar"/>
    <w:link w:val="CommentSubject"/>
    <w:uiPriority w:val="99"/>
    <w:semiHidden/>
    <w:rsid w:val="00FD6712"/>
    <w:rPr>
      <w:rFonts w:ascii="Georgia" w:hAnsi="Georgia"/>
      <w:b/>
      <w:bCs/>
      <w:lang w:eastAsia="en-GB"/>
    </w:rPr>
  </w:style>
  <w:style w:type="paragraph" w:styleId="BalloonText">
    <w:name w:val="Balloon Text"/>
    <w:basedOn w:val="Normal"/>
    <w:link w:val="BalloonTextChar"/>
    <w:uiPriority w:val="99"/>
    <w:semiHidden/>
    <w:unhideWhenUsed/>
    <w:rsid w:val="00FD67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712"/>
    <w:rPr>
      <w:rFonts w:ascii="Tahoma" w:hAnsi="Tahoma" w:cs="Tahoma"/>
      <w:sz w:val="16"/>
      <w:szCs w:val="16"/>
      <w:lang w:eastAsia="en-GB"/>
    </w:rPr>
  </w:style>
  <w:style w:type="paragraph" w:styleId="Caption">
    <w:name w:val="caption"/>
    <w:basedOn w:val="Normal"/>
    <w:next w:val="Normal"/>
    <w:uiPriority w:val="35"/>
    <w:unhideWhenUsed/>
    <w:qFormat/>
    <w:rsid w:val="004C6336"/>
    <w:pPr>
      <w:spacing w:after="200" w:line="240" w:lineRule="auto"/>
    </w:pPr>
    <w:rPr>
      <w:b/>
      <w:bCs/>
      <w:color w:val="4F81BD" w:themeColor="accent1"/>
      <w:sz w:val="18"/>
      <w:szCs w:val="18"/>
    </w:rPr>
  </w:style>
  <w:style w:type="paragraph" w:styleId="NormalWeb">
    <w:name w:val="Normal (Web)"/>
    <w:basedOn w:val="Normal"/>
    <w:uiPriority w:val="99"/>
    <w:semiHidden/>
    <w:unhideWhenUsed/>
    <w:rsid w:val="00663ECE"/>
    <w:pPr>
      <w:spacing w:before="100" w:beforeAutospacing="1" w:after="100" w:afterAutospacing="1" w:line="240" w:lineRule="auto"/>
    </w:pPr>
    <w:rPr>
      <w:rFonts w:ascii="Times New Roman" w:eastAsiaTheme="minorEastAsia" w:hAnsi="Times New Roman"/>
      <w:sz w:val="24"/>
      <w:szCs w:val="24"/>
      <w:lang w:eastAsia="en-NZ"/>
    </w:rPr>
  </w:style>
  <w:style w:type="character" w:styleId="FollowedHyperlink">
    <w:name w:val="FollowedHyperlink"/>
    <w:basedOn w:val="DefaultParagraphFont"/>
    <w:uiPriority w:val="99"/>
    <w:semiHidden/>
    <w:unhideWhenUsed/>
    <w:rsid w:val="00CC22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58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www.health.govt.nz/publication/sample-design-report-2015-16-new-zealand-health-survey" TargetMode="External"/><Relationship Id="rId39" Type="http://schemas.openxmlformats.org/officeDocument/2006/relationships/image" Target="media/image10.png"/><Relationship Id="rId21" Type="http://schemas.openxmlformats.org/officeDocument/2006/relationships/hyperlink" Target="https://minhealthnz.shinyapps.io/nz-health-survey-2015-16-tier-1/" TargetMode="External"/><Relationship Id="rId34" Type="http://schemas.openxmlformats.org/officeDocument/2006/relationships/chart" Target="charts/chart2.xml"/><Relationship Id="rId42" Type="http://schemas.openxmlformats.org/officeDocument/2006/relationships/image" Target="media/image13.emf"/><Relationship Id="rId47" Type="http://schemas.openxmlformats.org/officeDocument/2006/relationships/chart" Target="charts/chart6.xml"/><Relationship Id="rId50" Type="http://schemas.openxmlformats.org/officeDocument/2006/relationships/image" Target="media/image19.emf"/><Relationship Id="rId55" Type="http://schemas.openxmlformats.org/officeDocument/2006/relationships/image" Target="media/image24.emf"/><Relationship Id="rId63" Type="http://schemas.openxmlformats.org/officeDocument/2006/relationships/image" Target="media/image32.emf"/><Relationship Id="rId68" Type="http://schemas.openxmlformats.org/officeDocument/2006/relationships/image" Target="media/image37.emf"/><Relationship Id="rId76" Type="http://schemas.openxmlformats.org/officeDocument/2006/relationships/image" Target="media/image45.emf"/><Relationship Id="rId84" Type="http://schemas.openxmlformats.org/officeDocument/2006/relationships/image" Target="media/image53.emf"/><Relationship Id="rId89" Type="http://schemas.openxmlformats.org/officeDocument/2006/relationships/hyperlink" Target="http://www.health.govt.nz/publication/indicator-interpretation-guide-2013-14-new-zealand-health-survey" TargetMode="External"/><Relationship Id="rId7" Type="http://schemas.openxmlformats.org/officeDocument/2006/relationships/endnotes" Target="endnotes.xml"/><Relationship Id="rId71" Type="http://schemas.openxmlformats.org/officeDocument/2006/relationships/image" Target="media/image40.emf"/><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health.govt.nz/nzhs-feedback" TargetMode="External"/><Relationship Id="rId29" Type="http://schemas.openxmlformats.org/officeDocument/2006/relationships/hyperlink" Target="http://www.health.govt.nz/publication/questionnaires-and-content-guide-2015-16-new-zealand-health-survey" TargetMode="External"/><Relationship Id="rId11" Type="http://schemas.openxmlformats.org/officeDocument/2006/relationships/image" Target="media/image4.png"/><Relationship Id="rId24" Type="http://schemas.openxmlformats.org/officeDocument/2006/relationships/hyperlink" Target="http://www.health.govt.nz/publication/indicator-interpretation-guide-2015-16-new-zealand-health-survey" TargetMode="External"/><Relationship Id="rId32" Type="http://schemas.openxmlformats.org/officeDocument/2006/relationships/image" Target="media/image7.emf"/><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image" Target="media/image22.emf"/><Relationship Id="rId58" Type="http://schemas.openxmlformats.org/officeDocument/2006/relationships/image" Target="media/image27.emf"/><Relationship Id="rId66" Type="http://schemas.openxmlformats.org/officeDocument/2006/relationships/image" Target="media/image35.emf"/><Relationship Id="rId74" Type="http://schemas.openxmlformats.org/officeDocument/2006/relationships/image" Target="media/image43.emf"/><Relationship Id="rId79" Type="http://schemas.openxmlformats.org/officeDocument/2006/relationships/image" Target="media/image48.emf"/><Relationship Id="rId87" Type="http://schemas.openxmlformats.org/officeDocument/2006/relationships/hyperlink" Target="http://URL:%20www.health.govt.nz/your-health/healthy-living/teeth-and-gums/keep-your-smile-looking-good-easy/food-and-drinks-healthy-teeth" TargetMode="External"/><Relationship Id="rId5" Type="http://schemas.openxmlformats.org/officeDocument/2006/relationships/webSettings" Target="webSettings.xml"/><Relationship Id="rId61" Type="http://schemas.openxmlformats.org/officeDocument/2006/relationships/image" Target="media/image30.emf"/><Relationship Id="rId82" Type="http://schemas.openxmlformats.org/officeDocument/2006/relationships/image" Target="media/image51.emf"/><Relationship Id="rId90" Type="http://schemas.openxmlformats.org/officeDocument/2006/relationships/hyperlink" Target="http://www.health.govt.nz/publication/content-guide-2013-14-new-zealand-health-survey" TargetMode="External"/><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hyperlink" Target="https://minhealthnz.shinyapps.io/nz-health-survey-2015-16-annual-update/" TargetMode="External"/><Relationship Id="rId27" Type="http://schemas.openxmlformats.org/officeDocument/2006/relationships/hyperlink" Target="http://www.health.govt.nz/publication/methodology-report-2015-16-new-zealand-health-survey" TargetMode="External"/><Relationship Id="rId30" Type="http://schemas.openxmlformats.org/officeDocument/2006/relationships/image" Target="media/image5.png"/><Relationship Id="rId35" Type="http://schemas.openxmlformats.org/officeDocument/2006/relationships/chart" Target="charts/chart3.xml"/><Relationship Id="rId43" Type="http://schemas.openxmlformats.org/officeDocument/2006/relationships/image" Target="media/image14.emf"/><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image" Target="media/image33.emf"/><Relationship Id="rId69" Type="http://schemas.openxmlformats.org/officeDocument/2006/relationships/image" Target="media/image38.emf"/><Relationship Id="rId77" Type="http://schemas.openxmlformats.org/officeDocument/2006/relationships/image" Target="media/image46.emf"/><Relationship Id="rId8" Type="http://schemas.openxmlformats.org/officeDocument/2006/relationships/header" Target="header1.xml"/><Relationship Id="rId51" Type="http://schemas.openxmlformats.org/officeDocument/2006/relationships/image" Target="media/image20.emf"/><Relationship Id="rId72" Type="http://schemas.openxmlformats.org/officeDocument/2006/relationships/image" Target="media/image41.emf"/><Relationship Id="rId80" Type="http://schemas.openxmlformats.org/officeDocument/2006/relationships/image" Target="media/image49.emf"/><Relationship Id="rId85" Type="http://schemas.openxmlformats.org/officeDocument/2006/relationships/image" Target="media/image54.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eader" Target="header2.xml"/><Relationship Id="rId25" Type="http://schemas.openxmlformats.org/officeDocument/2006/relationships/hyperlink" Target="http://www.health.govt.nz/publication/methodology-report-2015-16-new-zealand-health-survey" TargetMode="External"/><Relationship Id="rId33" Type="http://schemas.openxmlformats.org/officeDocument/2006/relationships/chart" Target="charts/chart1.xml"/><Relationship Id="rId38" Type="http://schemas.openxmlformats.org/officeDocument/2006/relationships/image" Target="media/image9.emf"/><Relationship Id="rId46" Type="http://schemas.openxmlformats.org/officeDocument/2006/relationships/chart" Target="charts/chart5.xml"/><Relationship Id="rId59" Type="http://schemas.openxmlformats.org/officeDocument/2006/relationships/image" Target="media/image28.emf"/><Relationship Id="rId67" Type="http://schemas.openxmlformats.org/officeDocument/2006/relationships/image" Target="media/image36.emf"/><Relationship Id="rId20" Type="http://schemas.openxmlformats.org/officeDocument/2006/relationships/footer" Target="footer5.xml"/><Relationship Id="rId41" Type="http://schemas.openxmlformats.org/officeDocument/2006/relationships/image" Target="media/image12.emf"/><Relationship Id="rId54" Type="http://schemas.openxmlformats.org/officeDocument/2006/relationships/image" Target="media/image23.emf"/><Relationship Id="rId62" Type="http://schemas.openxmlformats.org/officeDocument/2006/relationships/image" Target="media/image31.emf"/><Relationship Id="rId70" Type="http://schemas.openxmlformats.org/officeDocument/2006/relationships/image" Target="media/image39.emf"/><Relationship Id="rId75" Type="http://schemas.openxmlformats.org/officeDocument/2006/relationships/image" Target="media/image44.emf"/><Relationship Id="rId83" Type="http://schemas.openxmlformats.org/officeDocument/2006/relationships/image" Target="media/image52.emf"/><Relationship Id="rId88" Type="http://schemas.openxmlformats.org/officeDocument/2006/relationships/hyperlink" Target="http://www.health.govt.nz/publication/methodology-report-2013-14-new-zealand-health-survey" TargetMode="Externa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ealth.govt.nz/publication/annual-update-key-results-2014-15-new-zealand-health-survey" TargetMode="External"/><Relationship Id="rId23" Type="http://schemas.openxmlformats.org/officeDocument/2006/relationships/hyperlink" Target="http://www.health.govt.nz/publication/sample-design-report-2015-16-new-zealand-health-survey" TargetMode="External"/><Relationship Id="rId28" Type="http://schemas.openxmlformats.org/officeDocument/2006/relationships/hyperlink" Target="http://www.health.govt.nz/publication/indicator-interpretation-guide-2015-16-new-zealand-health-survey" TargetMode="External"/><Relationship Id="rId36" Type="http://schemas.openxmlformats.org/officeDocument/2006/relationships/chart" Target="charts/chart4.xml"/><Relationship Id="rId49" Type="http://schemas.openxmlformats.org/officeDocument/2006/relationships/image" Target="media/image18.emf"/><Relationship Id="rId57" Type="http://schemas.openxmlformats.org/officeDocument/2006/relationships/image" Target="media/image26.emf"/><Relationship Id="rId10" Type="http://schemas.openxmlformats.org/officeDocument/2006/relationships/image" Target="media/image3.png"/><Relationship Id="rId31" Type="http://schemas.openxmlformats.org/officeDocument/2006/relationships/image" Target="media/image6.emf"/><Relationship Id="rId44" Type="http://schemas.openxmlformats.org/officeDocument/2006/relationships/image" Target="media/image15.emf"/><Relationship Id="rId52" Type="http://schemas.openxmlformats.org/officeDocument/2006/relationships/image" Target="media/image21.emf"/><Relationship Id="rId60" Type="http://schemas.openxmlformats.org/officeDocument/2006/relationships/image" Target="media/image29.emf"/><Relationship Id="rId65" Type="http://schemas.openxmlformats.org/officeDocument/2006/relationships/image" Target="media/image34.emf"/><Relationship Id="rId73" Type="http://schemas.openxmlformats.org/officeDocument/2006/relationships/image" Target="media/image42.emf"/><Relationship Id="rId78" Type="http://schemas.openxmlformats.org/officeDocument/2006/relationships/image" Target="media/image47.emf"/><Relationship Id="rId81" Type="http://schemas.openxmlformats.org/officeDocument/2006/relationships/image" Target="media/image50.emf"/><Relationship Id="rId86" Type="http://schemas.openxmlformats.org/officeDocument/2006/relationships/hyperlink" Target="http://hdl.handle.net/10523/6129"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group\Public%20Health\PHI\PHI_PROJECTS\NZHS%202015_16\Daily%20Smoking\daily_sm_graph.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group\Public%20Health\PHI\PHI_PROJECTS\NZHS%202015_16\Daily%20Smoking\daily_sm_graph.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group\Public%20Health\PHI\PHI_PROJECTS\NZHS%202015_16\Daily%20Smoking\daily_sm_graph.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group\Public%20Health\PHI\PHI_PROJECTS\NZHS%202015_16\Daily%20Smoking\daily_sm_graph.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WordPRO4\Documents\Excel%20documents\Health\NZHS%20Annual%20Update%20of%20Key%20Results%202015-16.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WordPRO4\Documents\Excel%20documents\Health\NZHS%20Annual%20Update%20of%20Key%20Results%202015-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NZ" sz="1000"/>
              <a:t>Māori male youth</a:t>
            </a:r>
          </a:p>
        </c:rich>
      </c:tx>
      <c:layout>
        <c:manualLayout>
          <c:xMode val="edge"/>
          <c:yMode val="edge"/>
          <c:x val="0.33288536568064125"/>
          <c:y val="4.4924104766624461E-3"/>
        </c:manualLayout>
      </c:layout>
      <c:overlay val="0"/>
      <c:spPr>
        <a:noFill/>
        <a:ln>
          <a:noFill/>
        </a:ln>
        <a:effectLst/>
      </c:spPr>
    </c:title>
    <c:autoTitleDeleted val="0"/>
    <c:plotArea>
      <c:layout>
        <c:manualLayout>
          <c:layoutTarget val="inner"/>
          <c:xMode val="edge"/>
          <c:yMode val="edge"/>
          <c:x val="0.10011633680925019"/>
          <c:y val="0.14672253651559192"/>
          <c:w val="0.872365396892956"/>
          <c:h val="0.57088911913297824"/>
        </c:manualLayout>
      </c:layout>
      <c:areaChart>
        <c:grouping val="stacked"/>
        <c:varyColors val="0"/>
        <c:ser>
          <c:idx val="2"/>
          <c:order val="2"/>
          <c:tx>
            <c:strRef>
              <c:f>Sheet1!$D$2</c:f>
              <c:strCache>
                <c:ptCount val="1"/>
                <c:pt idx="0">
                  <c:v>LL</c:v>
                </c:pt>
              </c:strCache>
            </c:strRef>
          </c:tx>
          <c:spPr>
            <a:noFill/>
            <a:ln>
              <a:noFill/>
            </a:ln>
            <a:effectLst/>
          </c:spPr>
          <c:cat>
            <c:strRef>
              <c:f>Sheet1!$A$3:$A$12</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Sheet1!$D$3:$D$12</c:f>
              <c:numCache>
                <c:formatCode>General</c:formatCode>
                <c:ptCount val="10"/>
                <c:pt idx="0">
                  <c:v>30.9</c:v>
                </c:pt>
                <c:pt idx="1">
                  <c:v>30.8</c:v>
                </c:pt>
                <c:pt idx="2">
                  <c:v>30.6</c:v>
                </c:pt>
                <c:pt idx="3">
                  <c:v>30.4</c:v>
                </c:pt>
                <c:pt idx="4" formatCode="0.0">
                  <c:v>30</c:v>
                </c:pt>
                <c:pt idx="5">
                  <c:v>29.4</c:v>
                </c:pt>
                <c:pt idx="6">
                  <c:v>28.6</c:v>
                </c:pt>
                <c:pt idx="7">
                  <c:v>27.5</c:v>
                </c:pt>
                <c:pt idx="8">
                  <c:v>26.1</c:v>
                </c:pt>
                <c:pt idx="9">
                  <c:v>24.6</c:v>
                </c:pt>
              </c:numCache>
            </c:numRef>
          </c:val>
        </c:ser>
        <c:ser>
          <c:idx val="4"/>
          <c:order val="4"/>
          <c:tx>
            <c:strRef>
              <c:f>Sheet1!$F$2</c:f>
              <c:strCache>
                <c:ptCount val="1"/>
                <c:pt idx="0">
                  <c:v>UL-LL</c:v>
                </c:pt>
              </c:strCache>
            </c:strRef>
          </c:tx>
          <c:spPr>
            <a:solidFill>
              <a:schemeClr val="accent1">
                <a:lumMod val="20000"/>
                <a:lumOff val="80000"/>
              </a:schemeClr>
            </a:solidFill>
            <a:ln>
              <a:noFill/>
            </a:ln>
            <a:effectLst/>
          </c:spPr>
          <c:cat>
            <c:strRef>
              <c:f>Sheet1!$A$3:$A$12</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Sheet1!$F$3:$F$12</c:f>
              <c:numCache>
                <c:formatCode>General</c:formatCode>
                <c:ptCount val="10"/>
                <c:pt idx="0">
                  <c:v>12.800000000000004</c:v>
                </c:pt>
                <c:pt idx="1">
                  <c:v>11.2</c:v>
                </c:pt>
                <c:pt idx="2">
                  <c:v>9.7999999999999972</c:v>
                </c:pt>
                <c:pt idx="3">
                  <c:v>8.3999999999999986</c:v>
                </c:pt>
                <c:pt idx="4">
                  <c:v>7.3999999999999986</c:v>
                </c:pt>
                <c:pt idx="5">
                  <c:v>6.7000000000000028</c:v>
                </c:pt>
                <c:pt idx="6">
                  <c:v>6.6000000000000014</c:v>
                </c:pt>
                <c:pt idx="7">
                  <c:v>6.8999999999999986</c:v>
                </c:pt>
                <c:pt idx="8">
                  <c:v>7.8999999999999986</c:v>
                </c:pt>
                <c:pt idx="9">
                  <c:v>9.1000000000000014</c:v>
                </c:pt>
              </c:numCache>
            </c:numRef>
          </c:val>
        </c:ser>
        <c:dLbls>
          <c:showLegendKey val="0"/>
          <c:showVal val="0"/>
          <c:showCatName val="0"/>
          <c:showSerName val="0"/>
          <c:showPercent val="0"/>
          <c:showBubbleSize val="0"/>
        </c:dLbls>
        <c:axId val="243619296"/>
        <c:axId val="244506176"/>
      </c:areaChart>
      <c:lineChart>
        <c:grouping val="standard"/>
        <c:varyColors val="0"/>
        <c:ser>
          <c:idx val="0"/>
          <c:order val="0"/>
          <c:tx>
            <c:strRef>
              <c:f>Sheet1!$B$2</c:f>
              <c:strCache>
                <c:ptCount val="1"/>
                <c:pt idx="0">
                  <c:v>%Actual</c:v>
                </c:pt>
              </c:strCache>
            </c:strRef>
          </c:tx>
          <c:spPr>
            <a:ln w="28575" cap="rnd">
              <a:noFill/>
              <a:round/>
            </a:ln>
            <a:effectLst/>
          </c:spPr>
          <c:marker>
            <c:symbol val="circle"/>
            <c:size val="5"/>
            <c:spPr>
              <a:solidFill>
                <a:schemeClr val="tx1"/>
              </a:solidFill>
              <a:ln w="9525">
                <a:noFill/>
              </a:ln>
              <a:effectLst/>
            </c:spPr>
          </c:marker>
          <c:dPt>
            <c:idx val="0"/>
            <c:marker>
              <c:spPr>
                <a:solidFill>
                  <a:schemeClr val="tx1"/>
                </a:solidFill>
                <a:ln w="9525">
                  <a:solidFill>
                    <a:schemeClr val="accent1"/>
                  </a:solidFill>
                </a:ln>
                <a:effectLst/>
              </c:spPr>
            </c:marker>
            <c:bubble3D val="0"/>
            <c:spPr>
              <a:ln w="25400" cap="rnd">
                <a:noFill/>
                <a:round/>
              </a:ln>
              <a:effectLst/>
            </c:spPr>
          </c:dPt>
          <c:cat>
            <c:strRef>
              <c:f>Sheet1!$A$3:$A$12</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Sheet1!$B$3:$B$12</c:f>
              <c:numCache>
                <c:formatCode>General</c:formatCode>
                <c:ptCount val="10"/>
                <c:pt idx="0" formatCode="0.0">
                  <c:v>35.493234999999999</c:v>
                </c:pt>
                <c:pt idx="2" formatCode="0.0">
                  <c:v>38.700000000000003</c:v>
                </c:pt>
                <c:pt idx="5" formatCode="0.0">
                  <c:v>30.666843</c:v>
                </c:pt>
                <c:pt idx="6" formatCode="0.0">
                  <c:v>32.140467000000001</c:v>
                </c:pt>
                <c:pt idx="7" formatCode="0.0">
                  <c:v>35.887182000000003</c:v>
                </c:pt>
                <c:pt idx="8" formatCode="0.0">
                  <c:v>24.711324999999999</c:v>
                </c:pt>
                <c:pt idx="9" formatCode="0.0">
                  <c:v>30.44266</c:v>
                </c:pt>
              </c:numCache>
            </c:numRef>
          </c:val>
          <c:smooth val="0"/>
        </c:ser>
        <c:ser>
          <c:idx val="1"/>
          <c:order val="1"/>
          <c:tx>
            <c:strRef>
              <c:f>Sheet1!$C$2</c:f>
              <c:strCache>
                <c:ptCount val="1"/>
                <c:pt idx="0">
                  <c:v>Predicted</c:v>
                </c:pt>
              </c:strCache>
            </c:strRef>
          </c:tx>
          <c:spPr>
            <a:ln w="12700" cap="rnd">
              <a:solidFill>
                <a:schemeClr val="tx2"/>
              </a:solidFill>
              <a:round/>
            </a:ln>
            <a:effectLst/>
          </c:spPr>
          <c:marker>
            <c:symbol val="none"/>
          </c:marker>
          <c:cat>
            <c:strRef>
              <c:f>Sheet1!$A$3:$A$12</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Sheet1!$C$3:$C$12</c:f>
              <c:numCache>
                <c:formatCode>General</c:formatCode>
                <c:ptCount val="10"/>
                <c:pt idx="0">
                  <c:v>37.700000000000003</c:v>
                </c:pt>
                <c:pt idx="1">
                  <c:v>36.4</c:v>
                </c:pt>
                <c:pt idx="2">
                  <c:v>35.49</c:v>
                </c:pt>
                <c:pt idx="3">
                  <c:v>34.58</c:v>
                </c:pt>
                <c:pt idx="4">
                  <c:v>33.68</c:v>
                </c:pt>
                <c:pt idx="5">
                  <c:v>32.770000000000003</c:v>
                </c:pt>
                <c:pt idx="6">
                  <c:v>31.86</c:v>
                </c:pt>
                <c:pt idx="7">
                  <c:v>30.95</c:v>
                </c:pt>
                <c:pt idx="8">
                  <c:v>30.05</c:v>
                </c:pt>
                <c:pt idx="9">
                  <c:v>29.14</c:v>
                </c:pt>
              </c:numCache>
            </c:numRef>
          </c:val>
          <c:smooth val="0"/>
        </c:ser>
        <c:dLbls>
          <c:showLegendKey val="0"/>
          <c:showVal val="0"/>
          <c:showCatName val="0"/>
          <c:showSerName val="0"/>
          <c:showPercent val="0"/>
          <c:showBubbleSize val="0"/>
        </c:dLbls>
        <c:marker val="1"/>
        <c:smooth val="0"/>
        <c:axId val="243619296"/>
        <c:axId val="244506176"/>
        <c:extLst>
          <c:ext xmlns:c15="http://schemas.microsoft.com/office/drawing/2012/chart" uri="{02D57815-91ED-43cb-92C2-25804820EDAC}">
            <c15:filteredLineSeries>
              <c15:ser>
                <c:idx val="3"/>
                <c:order val="3"/>
                <c:tx>
                  <c:strRef>
                    <c:extLst>
                      <c:ext uri="{02D57815-91ED-43cb-92C2-25804820EDAC}">
                        <c15:formulaRef>
                          <c15:sqref>Sheet1!$E$2</c15:sqref>
                        </c15:formulaRef>
                      </c:ext>
                    </c:extLst>
                    <c:strCache>
                      <c:ptCount val="1"/>
                      <c:pt idx="0">
                        <c:v>UL</c:v>
                      </c:pt>
                    </c:strCache>
                  </c:strRef>
                </c:tx>
                <c:spPr>
                  <a:ln w="28575" cap="rnd">
                    <a:solidFill>
                      <a:schemeClr val="accent4"/>
                    </a:solidFill>
                    <a:round/>
                  </a:ln>
                  <a:effectLst/>
                </c:spPr>
                <c:marker>
                  <c:symbol val="none"/>
                </c:marker>
                <c:cat>
                  <c:strRef>
                    <c:extLst>
                      <c:ext uri="{02D57815-91ED-43cb-92C2-25804820EDAC}">
                        <c15:formulaRef>
                          <c15:sqref>Sheet1!$A$3:$A$12</c15:sqref>
                        </c15:formulaRef>
                      </c:ext>
                    </c:extLst>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extLst>
                      <c:ext uri="{02D57815-91ED-43cb-92C2-25804820EDAC}">
                        <c15:formulaRef>
                          <c15:sqref>Sheet1!$E$3:$E$12</c15:sqref>
                        </c15:formulaRef>
                      </c:ext>
                    </c:extLst>
                    <c:numCache>
                      <c:formatCode>0.0</c:formatCode>
                      <c:ptCount val="10"/>
                      <c:pt idx="0" formatCode="General">
                        <c:v>43.7</c:v>
                      </c:pt>
                      <c:pt idx="1">
                        <c:v>42</c:v>
                      </c:pt>
                      <c:pt idx="2" formatCode="General">
                        <c:v>40.4</c:v>
                      </c:pt>
                      <c:pt idx="3" formatCode="General">
                        <c:v>38.799999999999997</c:v>
                      </c:pt>
                      <c:pt idx="4" formatCode="General">
                        <c:v>37.4</c:v>
                      </c:pt>
                      <c:pt idx="5" formatCode="General">
                        <c:v>36.1</c:v>
                      </c:pt>
                      <c:pt idx="6" formatCode="General">
                        <c:v>35.200000000000003</c:v>
                      </c:pt>
                      <c:pt idx="7" formatCode="General">
                        <c:v>34.4</c:v>
                      </c:pt>
                      <c:pt idx="8">
                        <c:v>34</c:v>
                      </c:pt>
                      <c:pt idx="9" formatCode="General">
                        <c:v>33.700000000000003</c:v>
                      </c:pt>
                    </c:numCache>
                  </c:numRef>
                </c:val>
                <c:smooth val="0"/>
              </c15:ser>
            </c15:filteredLineSeries>
          </c:ext>
        </c:extLst>
      </c:lineChart>
      <c:catAx>
        <c:axId val="2436192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vert="horz"/>
          <a:lstStyle/>
          <a:p>
            <a:pPr>
              <a:defRPr sz="900"/>
            </a:pPr>
            <a:endParaRPr lang="en-US"/>
          </a:p>
        </c:txPr>
        <c:crossAx val="244506176"/>
        <c:crosses val="autoZero"/>
        <c:auto val="0"/>
        <c:lblAlgn val="ctr"/>
        <c:lblOffset val="100"/>
        <c:noMultiLvlLbl val="0"/>
      </c:catAx>
      <c:valAx>
        <c:axId val="244506176"/>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vert="horz"/>
          <a:lstStyle/>
          <a:p>
            <a:pPr>
              <a:defRPr sz="900"/>
            </a:pPr>
            <a:endParaRPr lang="en-US"/>
          </a:p>
        </c:txPr>
        <c:crossAx val="243619296"/>
        <c:crosses val="autoZero"/>
        <c:crossBetween val="between"/>
        <c:majorUnit val="10"/>
      </c:valAx>
      <c:spPr>
        <a:noFill/>
        <a:ln>
          <a:noFill/>
        </a:ln>
        <a:effectLst/>
      </c:spPr>
    </c:plotArea>
    <c:legend>
      <c:legendPos val="b"/>
      <c:legendEntry>
        <c:idx val="0"/>
        <c:delete val="1"/>
      </c:legendEntry>
      <c:legendEntry>
        <c:idx val="1"/>
        <c:delete val="1"/>
      </c:legendEntry>
      <c:layout>
        <c:manualLayout>
          <c:xMode val="edge"/>
          <c:yMode val="edge"/>
          <c:x val="0.17812467286370018"/>
          <c:y val="0.92187140943046453"/>
          <c:w val="0.64375029941288464"/>
          <c:h val="7.4290639355235041E-2"/>
        </c:manualLayout>
      </c:layout>
      <c:overlay val="0"/>
      <c:spPr>
        <a:noFill/>
        <a:ln>
          <a:noFill/>
        </a:ln>
        <a:effectLst/>
      </c:spPr>
      <c:txPr>
        <a:bodyPr rot="0" vert="horz"/>
        <a:lstStyle/>
        <a:p>
          <a:pPr>
            <a:defRPr sz="90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NZ" sz="1000" b="1" baseline="0">
                <a:solidFill>
                  <a:sysClr val="windowText" lastClr="000000"/>
                </a:solidFill>
                <a:latin typeface="Arial" panose="020B0604020202020204" pitchFamily="34" charset="0"/>
                <a:cs typeface="Arial" panose="020B0604020202020204" pitchFamily="34" charset="0"/>
              </a:rPr>
              <a:t>Non-Māori male youth</a:t>
            </a:r>
          </a:p>
        </c:rich>
      </c:tx>
      <c:layout>
        <c:manualLayout>
          <c:xMode val="edge"/>
          <c:yMode val="edge"/>
          <c:x val="0.25530874523719299"/>
          <c:y val="1.4035087719298246E-2"/>
        </c:manualLayout>
      </c:layout>
      <c:overlay val="0"/>
      <c:spPr>
        <a:noFill/>
        <a:ln>
          <a:noFill/>
        </a:ln>
        <a:effectLst/>
      </c:spPr>
    </c:title>
    <c:autoTitleDeleted val="0"/>
    <c:plotArea>
      <c:layout>
        <c:manualLayout>
          <c:layoutTarget val="inner"/>
          <c:xMode val="edge"/>
          <c:yMode val="edge"/>
          <c:x val="0.11794550933658546"/>
          <c:y val="0.16120642814385044"/>
          <c:w val="0.85957888099996926"/>
          <c:h val="0.55265827944473345"/>
        </c:manualLayout>
      </c:layout>
      <c:areaChart>
        <c:grouping val="stacked"/>
        <c:varyColors val="0"/>
        <c:ser>
          <c:idx val="2"/>
          <c:order val="2"/>
          <c:tx>
            <c:strRef>
              <c:f>Sheet1!$D$21</c:f>
              <c:strCache>
                <c:ptCount val="1"/>
                <c:pt idx="0">
                  <c:v>LL</c:v>
                </c:pt>
              </c:strCache>
            </c:strRef>
          </c:tx>
          <c:spPr>
            <a:noFill/>
            <a:ln>
              <a:noFill/>
            </a:ln>
            <a:effectLst/>
          </c:spPr>
          <c:cat>
            <c:strRef>
              <c:f>Sheet1!$A$22:$A$31</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Sheet1!$D$22:$D$31</c:f>
              <c:numCache>
                <c:formatCode>General</c:formatCode>
                <c:ptCount val="10"/>
                <c:pt idx="0">
                  <c:v>14.1</c:v>
                </c:pt>
                <c:pt idx="1">
                  <c:v>14.1</c:v>
                </c:pt>
                <c:pt idx="2">
                  <c:v>14.1</c:v>
                </c:pt>
                <c:pt idx="3" formatCode="0.0">
                  <c:v>14</c:v>
                </c:pt>
                <c:pt idx="4" formatCode="0.0">
                  <c:v>13.9</c:v>
                </c:pt>
                <c:pt idx="5">
                  <c:v>13.6</c:v>
                </c:pt>
                <c:pt idx="6">
                  <c:v>13.2</c:v>
                </c:pt>
                <c:pt idx="7">
                  <c:v>12.7</c:v>
                </c:pt>
                <c:pt idx="8" formatCode="0.0">
                  <c:v>12</c:v>
                </c:pt>
                <c:pt idx="9">
                  <c:v>11.3</c:v>
                </c:pt>
              </c:numCache>
            </c:numRef>
          </c:val>
        </c:ser>
        <c:ser>
          <c:idx val="4"/>
          <c:order val="4"/>
          <c:tx>
            <c:strRef>
              <c:f>Sheet1!$F$21</c:f>
              <c:strCache>
                <c:ptCount val="1"/>
                <c:pt idx="0">
                  <c:v>UL-LL</c:v>
                </c:pt>
              </c:strCache>
            </c:strRef>
          </c:tx>
          <c:spPr>
            <a:solidFill>
              <a:schemeClr val="accent1">
                <a:lumMod val="20000"/>
                <a:lumOff val="80000"/>
              </a:schemeClr>
            </a:solidFill>
            <a:ln>
              <a:noFill/>
            </a:ln>
            <a:effectLst/>
          </c:spPr>
          <c:cat>
            <c:strRef>
              <c:f>Sheet1!$A$22:$A$31</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Sheet1!$F$22:$F$31</c:f>
              <c:numCache>
                <c:formatCode>General</c:formatCode>
                <c:ptCount val="10"/>
                <c:pt idx="0">
                  <c:v>6.1</c:v>
                </c:pt>
                <c:pt idx="1">
                  <c:v>5.2999999999999989</c:v>
                </c:pt>
                <c:pt idx="2">
                  <c:v>4.5000000000000018</c:v>
                </c:pt>
                <c:pt idx="3">
                  <c:v>3.8999999999999986</c:v>
                </c:pt>
                <c:pt idx="4">
                  <c:v>3.2999999999999989</c:v>
                </c:pt>
                <c:pt idx="5">
                  <c:v>3.0999999999999996</c:v>
                </c:pt>
                <c:pt idx="6">
                  <c:v>3.1000000000000014</c:v>
                </c:pt>
                <c:pt idx="7">
                  <c:v>3.3000000000000007</c:v>
                </c:pt>
                <c:pt idx="8">
                  <c:v>3.9000000000000004</c:v>
                </c:pt>
                <c:pt idx="9">
                  <c:v>4.5</c:v>
                </c:pt>
              </c:numCache>
            </c:numRef>
          </c:val>
        </c:ser>
        <c:dLbls>
          <c:showLegendKey val="0"/>
          <c:showVal val="0"/>
          <c:showCatName val="0"/>
          <c:showSerName val="0"/>
          <c:showPercent val="0"/>
          <c:showBubbleSize val="0"/>
        </c:dLbls>
        <c:axId val="244503040"/>
        <c:axId val="244501080"/>
      </c:areaChart>
      <c:lineChart>
        <c:grouping val="standard"/>
        <c:varyColors val="0"/>
        <c:ser>
          <c:idx val="0"/>
          <c:order val="0"/>
          <c:tx>
            <c:strRef>
              <c:f>Sheet1!$B$21</c:f>
              <c:strCache>
                <c:ptCount val="1"/>
                <c:pt idx="0">
                  <c:v>%Actual</c:v>
                </c:pt>
              </c:strCache>
            </c:strRef>
          </c:tx>
          <c:spPr>
            <a:ln w="28575" cap="rnd">
              <a:noFill/>
              <a:round/>
            </a:ln>
            <a:effectLst/>
          </c:spPr>
          <c:marker>
            <c:symbol val="circle"/>
            <c:size val="5"/>
            <c:spPr>
              <a:solidFill>
                <a:schemeClr val="tx1"/>
              </a:solidFill>
              <a:ln w="9525">
                <a:noFill/>
              </a:ln>
              <a:effectLst/>
            </c:spPr>
          </c:marker>
          <c:cat>
            <c:strRef>
              <c:f>Sheet1!$A$22:$A$31</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Sheet1!$B$22:$B$31</c:f>
              <c:numCache>
                <c:formatCode>General</c:formatCode>
                <c:ptCount val="10"/>
                <c:pt idx="0" formatCode="0.0">
                  <c:v>18.569582</c:v>
                </c:pt>
                <c:pt idx="2" formatCode="0.0">
                  <c:v>16.040032</c:v>
                </c:pt>
                <c:pt idx="5" formatCode="0.0">
                  <c:v>14.220174</c:v>
                </c:pt>
                <c:pt idx="6" formatCode="0.0">
                  <c:v>12.041663</c:v>
                </c:pt>
                <c:pt idx="7" formatCode="0.0">
                  <c:v>14.161087</c:v>
                </c:pt>
                <c:pt idx="8" formatCode="0.0">
                  <c:v>15.684191999999999</c:v>
                </c:pt>
                <c:pt idx="9" formatCode="0.0">
                  <c:v>14.419027</c:v>
                </c:pt>
              </c:numCache>
            </c:numRef>
          </c:val>
          <c:smooth val="0"/>
        </c:ser>
        <c:ser>
          <c:idx val="1"/>
          <c:order val="1"/>
          <c:tx>
            <c:strRef>
              <c:f>Sheet1!$C$21</c:f>
              <c:strCache>
                <c:ptCount val="1"/>
                <c:pt idx="0">
                  <c:v>Predicted</c:v>
                </c:pt>
              </c:strCache>
            </c:strRef>
          </c:tx>
          <c:spPr>
            <a:ln w="12700" cap="rnd">
              <a:solidFill>
                <a:schemeClr val="tx2"/>
              </a:solidFill>
              <a:round/>
            </a:ln>
            <a:effectLst/>
          </c:spPr>
          <c:marker>
            <c:symbol val="none"/>
          </c:marker>
          <c:cat>
            <c:strRef>
              <c:f>Sheet1!$A$22:$A$31</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Sheet1!$C$22:$C$31</c:f>
              <c:numCache>
                <c:formatCode>General</c:formatCode>
                <c:ptCount val="10"/>
                <c:pt idx="0">
                  <c:v>17.16</c:v>
                </c:pt>
                <c:pt idx="1">
                  <c:v>16.760000000000002</c:v>
                </c:pt>
                <c:pt idx="2">
                  <c:v>16.350000000000001</c:v>
                </c:pt>
                <c:pt idx="3">
                  <c:v>15.95</c:v>
                </c:pt>
                <c:pt idx="4">
                  <c:v>15.55</c:v>
                </c:pt>
                <c:pt idx="5">
                  <c:v>15.15</c:v>
                </c:pt>
                <c:pt idx="6">
                  <c:v>14.75</c:v>
                </c:pt>
                <c:pt idx="7">
                  <c:v>14.34</c:v>
                </c:pt>
                <c:pt idx="8">
                  <c:v>13.94</c:v>
                </c:pt>
                <c:pt idx="9">
                  <c:v>13.54</c:v>
                </c:pt>
              </c:numCache>
            </c:numRef>
          </c:val>
          <c:smooth val="0"/>
        </c:ser>
        <c:dLbls>
          <c:showLegendKey val="0"/>
          <c:showVal val="0"/>
          <c:showCatName val="0"/>
          <c:showSerName val="0"/>
          <c:showPercent val="0"/>
          <c:showBubbleSize val="0"/>
        </c:dLbls>
        <c:marker val="1"/>
        <c:smooth val="0"/>
        <c:axId val="244503040"/>
        <c:axId val="244501080"/>
        <c:extLst>
          <c:ext xmlns:c15="http://schemas.microsoft.com/office/drawing/2012/chart" uri="{02D57815-91ED-43cb-92C2-25804820EDAC}">
            <c15:filteredLineSeries>
              <c15:ser>
                <c:idx val="3"/>
                <c:order val="3"/>
                <c:tx>
                  <c:strRef>
                    <c:extLst>
                      <c:ext uri="{02D57815-91ED-43cb-92C2-25804820EDAC}">
                        <c15:formulaRef>
                          <c15:sqref>Sheet1!$E$21</c15:sqref>
                        </c15:formulaRef>
                      </c:ext>
                    </c:extLst>
                    <c:strCache>
                      <c:ptCount val="1"/>
                      <c:pt idx="0">
                        <c:v>UL</c:v>
                      </c:pt>
                    </c:strCache>
                  </c:strRef>
                </c:tx>
                <c:spPr>
                  <a:ln w="28575" cap="rnd">
                    <a:solidFill>
                      <a:schemeClr val="accent4"/>
                    </a:solidFill>
                    <a:round/>
                  </a:ln>
                  <a:effectLst/>
                </c:spPr>
                <c:marker>
                  <c:symbol val="none"/>
                </c:marker>
                <c:cat>
                  <c:strRef>
                    <c:extLst>
                      <c:ext uri="{02D57815-91ED-43cb-92C2-25804820EDAC}">
                        <c15:formulaRef>
                          <c15:sqref>Sheet1!$A$22:$A$31</c15:sqref>
                        </c15:formulaRef>
                      </c:ext>
                    </c:extLst>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extLst>
                      <c:ext uri="{02D57815-91ED-43cb-92C2-25804820EDAC}">
                        <c15:formulaRef>
                          <c15:sqref>Sheet1!$E$22:$E$31</c15:sqref>
                        </c15:formulaRef>
                      </c:ext>
                    </c:extLst>
                    <c:numCache>
                      <c:formatCode>0.0</c:formatCode>
                      <c:ptCount val="10"/>
                      <c:pt idx="0" formatCode="General">
                        <c:v>20.2</c:v>
                      </c:pt>
                      <c:pt idx="1">
                        <c:v>19.399999999999999</c:v>
                      </c:pt>
                      <c:pt idx="2" formatCode="General">
                        <c:v>18.600000000000001</c:v>
                      </c:pt>
                      <c:pt idx="3" formatCode="General">
                        <c:v>17.899999999999999</c:v>
                      </c:pt>
                      <c:pt idx="4" formatCode="General">
                        <c:v>17.2</c:v>
                      </c:pt>
                      <c:pt idx="5" formatCode="General">
                        <c:v>16.7</c:v>
                      </c:pt>
                      <c:pt idx="6" formatCode="General">
                        <c:v>16.3</c:v>
                      </c:pt>
                      <c:pt idx="7" formatCode="General">
                        <c:v>16</c:v>
                      </c:pt>
                      <c:pt idx="8">
                        <c:v>15.9</c:v>
                      </c:pt>
                      <c:pt idx="9" formatCode="General">
                        <c:v>15.8</c:v>
                      </c:pt>
                    </c:numCache>
                  </c:numRef>
                </c:val>
                <c:smooth val="0"/>
              </c15:ser>
            </c15:filteredLineSeries>
          </c:ext>
        </c:extLst>
      </c:lineChart>
      <c:catAx>
        <c:axId val="2445030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4501080"/>
        <c:crosses val="autoZero"/>
        <c:auto val="1"/>
        <c:lblAlgn val="ctr"/>
        <c:lblOffset val="100"/>
        <c:noMultiLvlLbl val="0"/>
      </c:catAx>
      <c:valAx>
        <c:axId val="244501080"/>
        <c:scaling>
          <c:orientation val="minMax"/>
          <c:max val="50"/>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t" anchorCtr="0"/>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4503040"/>
        <c:crosses val="autoZero"/>
        <c:crossBetween val="between"/>
        <c:majorUnit val="10"/>
      </c:valAx>
      <c:spPr>
        <a:noFill/>
        <a:ln>
          <a:noFill/>
        </a:ln>
        <a:effectLst/>
      </c:spPr>
    </c:plotArea>
    <c:legend>
      <c:legendPos val="b"/>
      <c:legendEntry>
        <c:idx val="0"/>
        <c:delete val="1"/>
      </c:legendEntry>
      <c:legendEntry>
        <c:idx val="1"/>
        <c:delete val="1"/>
      </c:legendEntry>
      <c:layout>
        <c:manualLayout>
          <c:xMode val="edge"/>
          <c:yMode val="edge"/>
          <c:x val="0.17457781778258497"/>
          <c:y val="0.92548215683565871"/>
          <c:w val="0.64185708164695732"/>
          <c:h val="7.451783529328666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NZ" sz="1000"/>
              <a:t>Māori female youth</a:t>
            </a:r>
          </a:p>
        </c:rich>
      </c:tx>
      <c:layout>
        <c:manualLayout>
          <c:xMode val="edge"/>
          <c:yMode val="edge"/>
          <c:x val="0.28574510781525292"/>
          <c:y val="1.9826517967781909E-2"/>
        </c:manualLayout>
      </c:layout>
      <c:overlay val="0"/>
      <c:spPr>
        <a:noFill/>
        <a:ln>
          <a:noFill/>
        </a:ln>
        <a:effectLst/>
      </c:spPr>
    </c:title>
    <c:autoTitleDeleted val="0"/>
    <c:plotArea>
      <c:layout>
        <c:manualLayout>
          <c:layoutTarget val="inner"/>
          <c:xMode val="edge"/>
          <c:yMode val="edge"/>
          <c:x val="0.10928814641413066"/>
          <c:y val="0.18598991111241206"/>
          <c:w val="0.87268485086133329"/>
          <c:h val="0.52879483814523187"/>
        </c:manualLayout>
      </c:layout>
      <c:areaChart>
        <c:grouping val="stacked"/>
        <c:varyColors val="0"/>
        <c:ser>
          <c:idx val="2"/>
          <c:order val="2"/>
          <c:tx>
            <c:strRef>
              <c:f>Sheet1!$D$37</c:f>
              <c:strCache>
                <c:ptCount val="1"/>
                <c:pt idx="0">
                  <c:v>LL</c:v>
                </c:pt>
              </c:strCache>
            </c:strRef>
          </c:tx>
          <c:spPr>
            <a:noFill/>
            <a:ln>
              <a:noFill/>
            </a:ln>
            <a:effectLst/>
          </c:spPr>
          <c:cat>
            <c:strRef>
              <c:f>Sheet1!$A$38:$A$47</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Sheet1!$D$38:$D$47</c:f>
              <c:numCache>
                <c:formatCode>0.0</c:formatCode>
                <c:ptCount val="10"/>
                <c:pt idx="0">
                  <c:v>39.799999999999997</c:v>
                </c:pt>
                <c:pt idx="1">
                  <c:v>39.299999999999997</c:v>
                </c:pt>
                <c:pt idx="2">
                  <c:v>38.700000000000003</c:v>
                </c:pt>
                <c:pt idx="3">
                  <c:v>38.1</c:v>
                </c:pt>
                <c:pt idx="4">
                  <c:v>37.200000000000003</c:v>
                </c:pt>
                <c:pt idx="5">
                  <c:v>36</c:v>
                </c:pt>
                <c:pt idx="6">
                  <c:v>34.4</c:v>
                </c:pt>
                <c:pt idx="7">
                  <c:v>32.5</c:v>
                </c:pt>
                <c:pt idx="8">
                  <c:v>30.3</c:v>
                </c:pt>
                <c:pt idx="9">
                  <c:v>28</c:v>
                </c:pt>
              </c:numCache>
            </c:numRef>
          </c:val>
        </c:ser>
        <c:ser>
          <c:idx val="4"/>
          <c:order val="3"/>
          <c:tx>
            <c:strRef>
              <c:f>Sheet1!$F$37</c:f>
              <c:strCache>
                <c:ptCount val="1"/>
                <c:pt idx="0">
                  <c:v>UL-LL</c:v>
                </c:pt>
              </c:strCache>
            </c:strRef>
          </c:tx>
          <c:spPr>
            <a:solidFill>
              <a:srgbClr val="FFCCFF"/>
            </a:solidFill>
            <a:ln>
              <a:noFill/>
            </a:ln>
            <a:effectLst/>
          </c:spPr>
          <c:cat>
            <c:strRef>
              <c:f>Sheet1!$A$38:$A$47</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Sheet1!$F$38:$F$47</c:f>
              <c:numCache>
                <c:formatCode>0.0</c:formatCode>
                <c:ptCount val="10"/>
                <c:pt idx="0">
                  <c:v>12.100000000000001</c:v>
                </c:pt>
                <c:pt idx="1">
                  <c:v>10.300000000000004</c:v>
                </c:pt>
                <c:pt idx="2">
                  <c:v>8.5</c:v>
                </c:pt>
                <c:pt idx="3">
                  <c:v>6.8999999999999986</c:v>
                </c:pt>
                <c:pt idx="4">
                  <c:v>5.7999999999999972</c:v>
                </c:pt>
                <c:pt idx="5">
                  <c:v>5.2999999999999972</c:v>
                </c:pt>
                <c:pt idx="6">
                  <c:v>5.6000000000000014</c:v>
                </c:pt>
                <c:pt idx="7">
                  <c:v>6.5</c:v>
                </c:pt>
                <c:pt idx="8">
                  <c:v>7.9999999999999964</c:v>
                </c:pt>
                <c:pt idx="9">
                  <c:v>9.7000000000000028</c:v>
                </c:pt>
              </c:numCache>
            </c:numRef>
          </c:val>
        </c:ser>
        <c:dLbls>
          <c:showLegendKey val="0"/>
          <c:showVal val="0"/>
          <c:showCatName val="0"/>
          <c:showSerName val="0"/>
          <c:showPercent val="0"/>
          <c:showBubbleSize val="0"/>
        </c:dLbls>
        <c:axId val="244502256"/>
        <c:axId val="244503432"/>
      </c:areaChart>
      <c:lineChart>
        <c:grouping val="standard"/>
        <c:varyColors val="0"/>
        <c:ser>
          <c:idx val="0"/>
          <c:order val="0"/>
          <c:tx>
            <c:strRef>
              <c:f>Sheet1!$B$37</c:f>
              <c:strCache>
                <c:ptCount val="1"/>
                <c:pt idx="0">
                  <c:v>%Actual</c:v>
                </c:pt>
              </c:strCache>
            </c:strRef>
          </c:tx>
          <c:spPr>
            <a:ln w="28575" cap="rnd">
              <a:noFill/>
              <a:round/>
            </a:ln>
            <a:effectLst/>
          </c:spPr>
          <c:marker>
            <c:symbol val="circle"/>
            <c:size val="5"/>
            <c:spPr>
              <a:solidFill>
                <a:schemeClr val="tx1"/>
              </a:solidFill>
              <a:ln w="9525">
                <a:noFill/>
              </a:ln>
              <a:effectLst/>
            </c:spPr>
          </c:marker>
          <c:cat>
            <c:strRef>
              <c:f>Sheet1!$A$38:$A$47</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Sheet1!$B$38:$B$47</c:f>
              <c:numCache>
                <c:formatCode>General</c:formatCode>
                <c:ptCount val="10"/>
                <c:pt idx="0" formatCode="0.0">
                  <c:v>42.228482</c:v>
                </c:pt>
                <c:pt idx="2" formatCode="0.0">
                  <c:v>49.751266000000001</c:v>
                </c:pt>
                <c:pt idx="5" formatCode="0.0">
                  <c:v>38.488964000000003</c:v>
                </c:pt>
                <c:pt idx="6" formatCode="0.0">
                  <c:v>36.694682</c:v>
                </c:pt>
                <c:pt idx="7" formatCode="0.0">
                  <c:v>33.358890000000002</c:v>
                </c:pt>
                <c:pt idx="8" formatCode="0.0">
                  <c:v>33.047249000000001</c:v>
                </c:pt>
                <c:pt idx="9" formatCode="0.0">
                  <c:v>35.123322000000002</c:v>
                </c:pt>
              </c:numCache>
            </c:numRef>
          </c:val>
          <c:smooth val="0"/>
        </c:ser>
        <c:ser>
          <c:idx val="1"/>
          <c:order val="1"/>
          <c:tx>
            <c:strRef>
              <c:f>Sheet1!$C$37</c:f>
              <c:strCache>
                <c:ptCount val="1"/>
                <c:pt idx="0">
                  <c:v>Predicted</c:v>
                </c:pt>
              </c:strCache>
            </c:strRef>
          </c:tx>
          <c:spPr>
            <a:ln w="12700" cap="rnd">
              <a:solidFill>
                <a:srgbClr val="FF66CC"/>
              </a:solidFill>
              <a:round/>
            </a:ln>
            <a:effectLst/>
          </c:spPr>
          <c:marker>
            <c:symbol val="none"/>
          </c:marker>
          <c:cat>
            <c:strRef>
              <c:f>Sheet1!$A$38:$A$47</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Sheet1!$C$38:$C$47</c:f>
              <c:numCache>
                <c:formatCode>General</c:formatCode>
                <c:ptCount val="10"/>
                <c:pt idx="0">
                  <c:v>45.89</c:v>
                </c:pt>
                <c:pt idx="1">
                  <c:v>44.44</c:v>
                </c:pt>
                <c:pt idx="2">
                  <c:v>42.99</c:v>
                </c:pt>
                <c:pt idx="3">
                  <c:v>41.55</c:v>
                </c:pt>
                <c:pt idx="4">
                  <c:v>40.1</c:v>
                </c:pt>
                <c:pt idx="5">
                  <c:v>38.65</c:v>
                </c:pt>
                <c:pt idx="6">
                  <c:v>37.21</c:v>
                </c:pt>
                <c:pt idx="7">
                  <c:v>35.76</c:v>
                </c:pt>
                <c:pt idx="8">
                  <c:v>34.31</c:v>
                </c:pt>
                <c:pt idx="9">
                  <c:v>32.869999999999997</c:v>
                </c:pt>
              </c:numCache>
            </c:numRef>
          </c:val>
          <c:smooth val="0"/>
        </c:ser>
        <c:dLbls>
          <c:showLegendKey val="0"/>
          <c:showVal val="0"/>
          <c:showCatName val="0"/>
          <c:showSerName val="0"/>
          <c:showPercent val="0"/>
          <c:showBubbleSize val="0"/>
        </c:dLbls>
        <c:marker val="1"/>
        <c:smooth val="0"/>
        <c:axId val="244502256"/>
        <c:axId val="244503432"/>
      </c:lineChart>
      <c:catAx>
        <c:axId val="2445022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vert="horz"/>
          <a:lstStyle/>
          <a:p>
            <a:pPr>
              <a:defRPr/>
            </a:pPr>
            <a:endParaRPr lang="en-US"/>
          </a:p>
        </c:txPr>
        <c:crossAx val="244503432"/>
        <c:crossesAt val="0"/>
        <c:auto val="1"/>
        <c:lblAlgn val="ctr"/>
        <c:lblOffset val="100"/>
        <c:noMultiLvlLbl val="0"/>
      </c:catAx>
      <c:valAx>
        <c:axId val="244503432"/>
        <c:scaling>
          <c:orientation val="minMax"/>
          <c:max val="50"/>
        </c:scaling>
        <c:delete val="0"/>
        <c:axPos val="l"/>
        <c:numFmt formatCode="0" sourceLinked="0"/>
        <c:majorTickMark val="none"/>
        <c:minorTickMark val="none"/>
        <c:tickLblPos val="nextTo"/>
        <c:spPr>
          <a:noFill/>
          <a:ln>
            <a:solidFill>
              <a:schemeClr val="tx1"/>
            </a:solidFill>
          </a:ln>
          <a:effectLst/>
        </c:spPr>
        <c:txPr>
          <a:bodyPr rot="-60000000" vert="horz"/>
          <a:lstStyle/>
          <a:p>
            <a:pPr>
              <a:defRPr/>
            </a:pPr>
            <a:endParaRPr lang="en-US"/>
          </a:p>
        </c:txPr>
        <c:crossAx val="244502256"/>
        <c:crosses val="autoZero"/>
        <c:crossBetween val="between"/>
        <c:majorUnit val="10"/>
        <c:minorUnit val="1"/>
      </c:valAx>
      <c:spPr>
        <a:noFill/>
        <a:ln>
          <a:noFill/>
        </a:ln>
        <a:effectLst/>
      </c:spPr>
    </c:plotArea>
    <c:legend>
      <c:legendPos val="b"/>
      <c:legendEntry>
        <c:idx val="0"/>
        <c:delete val="1"/>
      </c:legendEntry>
      <c:legendEntry>
        <c:idx val="1"/>
        <c:delete val="1"/>
      </c:legendEntry>
      <c:layout>
        <c:manualLayout>
          <c:xMode val="edge"/>
          <c:yMode val="edge"/>
          <c:x val="0.17812467286370018"/>
          <c:y val="0.92020060689439842"/>
          <c:w val="0.64375029941288464"/>
          <c:h val="7.9114720034995631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NZ" sz="1000"/>
              <a:t>Non-Māori female youth</a:t>
            </a:r>
          </a:p>
        </c:rich>
      </c:tx>
      <c:layout>
        <c:manualLayout>
          <c:xMode val="edge"/>
          <c:yMode val="edge"/>
          <c:x val="0.24409702062075619"/>
          <c:y val="1.4814814814814815E-2"/>
        </c:manualLayout>
      </c:layout>
      <c:overlay val="0"/>
      <c:spPr>
        <a:noFill/>
        <a:ln>
          <a:noFill/>
        </a:ln>
        <a:effectLst/>
      </c:spPr>
    </c:title>
    <c:autoTitleDeleted val="0"/>
    <c:plotArea>
      <c:layout>
        <c:manualLayout>
          <c:layoutTarget val="inner"/>
          <c:xMode val="edge"/>
          <c:yMode val="edge"/>
          <c:x val="0.10896686759883056"/>
          <c:y val="0.17499523670652278"/>
          <c:w val="0.85956220118949778"/>
          <c:h val="0.52349351654769505"/>
        </c:manualLayout>
      </c:layout>
      <c:areaChart>
        <c:grouping val="stacked"/>
        <c:varyColors val="0"/>
        <c:ser>
          <c:idx val="2"/>
          <c:order val="2"/>
          <c:tx>
            <c:strRef>
              <c:f>Sheet1!$D$53</c:f>
              <c:strCache>
                <c:ptCount val="1"/>
                <c:pt idx="0">
                  <c:v>LL</c:v>
                </c:pt>
              </c:strCache>
            </c:strRef>
          </c:tx>
          <c:spPr>
            <a:noFill/>
            <a:ln>
              <a:noFill/>
            </a:ln>
            <a:effectLst/>
          </c:spPr>
          <c:cat>
            <c:strRef>
              <c:f>Sheet1!$A$54:$A$63</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Sheet1!$D$54:$D$63</c:f>
              <c:numCache>
                <c:formatCode>0.0</c:formatCode>
                <c:ptCount val="10"/>
                <c:pt idx="0">
                  <c:v>14.2</c:v>
                </c:pt>
                <c:pt idx="1">
                  <c:v>13.6</c:v>
                </c:pt>
                <c:pt idx="2">
                  <c:v>13</c:v>
                </c:pt>
                <c:pt idx="3">
                  <c:v>12.4</c:v>
                </c:pt>
                <c:pt idx="4">
                  <c:v>11.7</c:v>
                </c:pt>
                <c:pt idx="5">
                  <c:v>11</c:v>
                </c:pt>
                <c:pt idx="6">
                  <c:v>10.199999999999999</c:v>
                </c:pt>
                <c:pt idx="7">
                  <c:v>9.1999999999999993</c:v>
                </c:pt>
                <c:pt idx="8">
                  <c:v>8.1</c:v>
                </c:pt>
                <c:pt idx="9">
                  <c:v>7</c:v>
                </c:pt>
              </c:numCache>
            </c:numRef>
          </c:val>
        </c:ser>
        <c:ser>
          <c:idx val="4"/>
          <c:order val="4"/>
          <c:tx>
            <c:strRef>
              <c:f>Sheet1!$F$53</c:f>
              <c:strCache>
                <c:ptCount val="1"/>
                <c:pt idx="0">
                  <c:v>UL-LL</c:v>
                </c:pt>
              </c:strCache>
            </c:strRef>
          </c:tx>
          <c:spPr>
            <a:solidFill>
              <a:srgbClr val="FFCCFF"/>
            </a:solidFill>
            <a:ln>
              <a:noFill/>
            </a:ln>
            <a:effectLst/>
          </c:spPr>
          <c:cat>
            <c:strRef>
              <c:f>Sheet1!$A$54:$A$63</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Sheet1!$F$54:$F$63</c:f>
              <c:numCache>
                <c:formatCode>0.0</c:formatCode>
                <c:ptCount val="10"/>
                <c:pt idx="0">
                  <c:v>5.4000000000000021</c:v>
                </c:pt>
                <c:pt idx="1">
                  <c:v>4.7000000000000011</c:v>
                </c:pt>
                <c:pt idx="2">
                  <c:v>4</c:v>
                </c:pt>
                <c:pt idx="3">
                  <c:v>3.4000000000000004</c:v>
                </c:pt>
                <c:pt idx="4">
                  <c:v>3</c:v>
                </c:pt>
                <c:pt idx="5">
                  <c:v>2.5</c:v>
                </c:pt>
                <c:pt idx="6">
                  <c:v>2.3000000000000007</c:v>
                </c:pt>
                <c:pt idx="7">
                  <c:v>2.5</c:v>
                </c:pt>
                <c:pt idx="8">
                  <c:v>2.8000000000000007</c:v>
                </c:pt>
                <c:pt idx="9">
                  <c:v>3.1999999999999993</c:v>
                </c:pt>
              </c:numCache>
            </c:numRef>
          </c:val>
        </c:ser>
        <c:dLbls>
          <c:showLegendKey val="0"/>
          <c:showVal val="0"/>
          <c:showCatName val="0"/>
          <c:showSerName val="0"/>
          <c:showPercent val="0"/>
          <c:showBubbleSize val="0"/>
        </c:dLbls>
        <c:axId val="244505000"/>
        <c:axId val="244503824"/>
      </c:areaChart>
      <c:lineChart>
        <c:grouping val="standard"/>
        <c:varyColors val="0"/>
        <c:ser>
          <c:idx val="0"/>
          <c:order val="0"/>
          <c:tx>
            <c:strRef>
              <c:f>Sheet1!$B$53</c:f>
              <c:strCache>
                <c:ptCount val="1"/>
                <c:pt idx="0">
                  <c:v>%Actual</c:v>
                </c:pt>
              </c:strCache>
            </c:strRef>
          </c:tx>
          <c:spPr>
            <a:ln w="28575" cap="rnd">
              <a:noFill/>
              <a:round/>
            </a:ln>
            <a:effectLst/>
          </c:spPr>
          <c:marker>
            <c:symbol val="circle"/>
            <c:size val="5"/>
            <c:spPr>
              <a:solidFill>
                <a:schemeClr val="tx1"/>
              </a:solidFill>
              <a:ln w="9525">
                <a:noFill/>
              </a:ln>
              <a:effectLst/>
            </c:spPr>
          </c:marker>
          <c:cat>
            <c:strRef>
              <c:f>Sheet1!$A$54:$A$63</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Sheet1!$B$54:$B$63</c:f>
              <c:numCache>
                <c:formatCode>General</c:formatCode>
                <c:ptCount val="10"/>
                <c:pt idx="0" formatCode="0.0">
                  <c:v>14.331159</c:v>
                </c:pt>
                <c:pt idx="2" formatCode="0.0">
                  <c:v>16.033367999999999</c:v>
                </c:pt>
                <c:pt idx="5" formatCode="0.0">
                  <c:v>16.151411</c:v>
                </c:pt>
                <c:pt idx="6" formatCode="0.0">
                  <c:v>11.841751</c:v>
                </c:pt>
                <c:pt idx="7" formatCode="0.0">
                  <c:v>10.251084000000001</c:v>
                </c:pt>
                <c:pt idx="8" formatCode="0.0">
                  <c:v>8.9433389999999999</c:v>
                </c:pt>
                <c:pt idx="9" formatCode="0.0">
                  <c:v>6.6346509999999999</c:v>
                </c:pt>
              </c:numCache>
            </c:numRef>
          </c:val>
          <c:smooth val="0"/>
        </c:ser>
        <c:ser>
          <c:idx val="1"/>
          <c:order val="1"/>
          <c:tx>
            <c:strRef>
              <c:f>Sheet1!$C$53</c:f>
              <c:strCache>
                <c:ptCount val="1"/>
                <c:pt idx="0">
                  <c:v>Predicted</c:v>
                </c:pt>
              </c:strCache>
            </c:strRef>
          </c:tx>
          <c:spPr>
            <a:ln w="12700" cap="rnd">
              <a:solidFill>
                <a:srgbClr val="FF66CC"/>
              </a:solidFill>
              <a:round/>
            </a:ln>
            <a:effectLst/>
          </c:spPr>
          <c:marker>
            <c:symbol val="none"/>
          </c:marker>
          <c:cat>
            <c:strRef>
              <c:f>Sheet1!$A$54:$A$63</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Sheet1!$C$54:$C$63</c:f>
              <c:numCache>
                <c:formatCode>General</c:formatCode>
                <c:ptCount val="10"/>
                <c:pt idx="0">
                  <c:v>16.87</c:v>
                </c:pt>
                <c:pt idx="1">
                  <c:v>15.95</c:v>
                </c:pt>
                <c:pt idx="2" formatCode="0.0">
                  <c:v>15</c:v>
                </c:pt>
                <c:pt idx="3">
                  <c:v>14.11</c:v>
                </c:pt>
                <c:pt idx="4">
                  <c:v>13.19</c:v>
                </c:pt>
                <c:pt idx="5">
                  <c:v>12.27</c:v>
                </c:pt>
                <c:pt idx="6">
                  <c:v>11.35</c:v>
                </c:pt>
                <c:pt idx="7">
                  <c:v>10.43</c:v>
                </c:pt>
                <c:pt idx="8">
                  <c:v>9.51</c:v>
                </c:pt>
                <c:pt idx="9">
                  <c:v>8.59</c:v>
                </c:pt>
              </c:numCache>
            </c:numRef>
          </c:val>
          <c:smooth val="0"/>
        </c:ser>
        <c:ser>
          <c:idx val="3"/>
          <c:order val="3"/>
          <c:tx>
            <c:strRef>
              <c:f>Sheet1!$E$53</c:f>
              <c:strCache>
                <c:ptCount val="1"/>
                <c:pt idx="0">
                  <c:v>UL</c:v>
                </c:pt>
              </c:strCache>
            </c:strRef>
          </c:tx>
          <c:spPr>
            <a:ln w="28575" cap="rnd">
              <a:noFill/>
              <a:round/>
            </a:ln>
            <a:effectLst/>
          </c:spPr>
          <c:marker>
            <c:symbol val="none"/>
          </c:marker>
          <c:cat>
            <c:strRef>
              <c:f>Sheet1!$A$54:$A$63</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Sheet1!$E$54:$E$63</c:f>
              <c:numCache>
                <c:formatCode>0.0</c:formatCode>
                <c:ptCount val="10"/>
                <c:pt idx="0" formatCode="General">
                  <c:v>19.600000000000001</c:v>
                </c:pt>
                <c:pt idx="1">
                  <c:v>18.3</c:v>
                </c:pt>
                <c:pt idx="2">
                  <c:v>17</c:v>
                </c:pt>
                <c:pt idx="3" formatCode="General">
                  <c:v>15.8</c:v>
                </c:pt>
                <c:pt idx="4" formatCode="General">
                  <c:v>14.7</c:v>
                </c:pt>
                <c:pt idx="5" formatCode="General">
                  <c:v>13.5</c:v>
                </c:pt>
                <c:pt idx="6" formatCode="General">
                  <c:v>12.5</c:v>
                </c:pt>
                <c:pt idx="7" formatCode="General">
                  <c:v>11.7</c:v>
                </c:pt>
                <c:pt idx="8">
                  <c:v>10.9</c:v>
                </c:pt>
                <c:pt idx="9" formatCode="General">
                  <c:v>10.199999999999999</c:v>
                </c:pt>
              </c:numCache>
            </c:numRef>
          </c:val>
          <c:smooth val="0"/>
        </c:ser>
        <c:dLbls>
          <c:showLegendKey val="0"/>
          <c:showVal val="0"/>
          <c:showCatName val="0"/>
          <c:showSerName val="0"/>
          <c:showPercent val="0"/>
          <c:showBubbleSize val="0"/>
        </c:dLbls>
        <c:marker val="1"/>
        <c:smooth val="0"/>
        <c:axId val="244505000"/>
        <c:axId val="244503824"/>
      </c:lineChart>
      <c:catAx>
        <c:axId val="24450500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vert="horz"/>
          <a:lstStyle/>
          <a:p>
            <a:pPr>
              <a:defRPr/>
            </a:pPr>
            <a:endParaRPr lang="en-US"/>
          </a:p>
        </c:txPr>
        <c:crossAx val="244503824"/>
        <c:crosses val="autoZero"/>
        <c:auto val="1"/>
        <c:lblAlgn val="ctr"/>
        <c:lblOffset val="100"/>
        <c:noMultiLvlLbl val="0"/>
      </c:catAx>
      <c:valAx>
        <c:axId val="244503824"/>
        <c:scaling>
          <c:orientation val="minMax"/>
          <c:max val="50"/>
        </c:scaling>
        <c:delete val="0"/>
        <c:axPos val="l"/>
        <c:numFmt formatCode="0" sourceLinked="0"/>
        <c:majorTickMark val="none"/>
        <c:minorTickMark val="none"/>
        <c:tickLblPos val="nextTo"/>
        <c:spPr>
          <a:noFill/>
          <a:ln>
            <a:solidFill>
              <a:schemeClr val="tx1"/>
            </a:solidFill>
          </a:ln>
          <a:effectLst/>
        </c:spPr>
        <c:txPr>
          <a:bodyPr rot="-60000000" vert="horz"/>
          <a:lstStyle/>
          <a:p>
            <a:pPr>
              <a:defRPr/>
            </a:pPr>
            <a:endParaRPr lang="en-US"/>
          </a:p>
        </c:txPr>
        <c:crossAx val="244505000"/>
        <c:crosses val="autoZero"/>
        <c:crossBetween val="between"/>
        <c:majorUnit val="10"/>
      </c:valAx>
      <c:spPr>
        <a:noFill/>
        <a:ln>
          <a:noFill/>
        </a:ln>
        <a:effectLst/>
      </c:spPr>
    </c:plotArea>
    <c:legend>
      <c:legendPos val="b"/>
      <c:legendEntry>
        <c:idx val="0"/>
        <c:delete val="1"/>
      </c:legendEntry>
      <c:legendEntry>
        <c:idx val="1"/>
        <c:delete val="1"/>
      </c:legendEntry>
      <c:legendEntry>
        <c:idx val="4"/>
        <c:delete val="1"/>
      </c:legendEntry>
      <c:layout>
        <c:manualLayout>
          <c:xMode val="edge"/>
          <c:yMode val="edge"/>
          <c:x val="0.17907128226847072"/>
          <c:y val="0.91338038300767954"/>
          <c:w val="0.64185708164695732"/>
          <c:h val="7.8604316351338507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663099804832095E-2"/>
          <c:y val="0.11052154489099586"/>
          <c:w val="0.92497860001599208"/>
          <c:h val="0.73331127879793034"/>
        </c:manualLayout>
      </c:layout>
      <c:barChart>
        <c:barDir val="col"/>
        <c:grouping val="clustered"/>
        <c:varyColors val="0"/>
        <c:ser>
          <c:idx val="0"/>
          <c:order val="0"/>
          <c:spPr>
            <a:solidFill>
              <a:srgbClr val="5B57A6"/>
            </a:solidFill>
            <a:ln w="9525">
              <a:solidFill>
                <a:srgbClr val="5B57A6"/>
              </a:solidFill>
              <a:prstDash val="solid"/>
            </a:ln>
          </c:spPr>
          <c:invertIfNegative val="0"/>
          <c:cat>
            <c:strRef>
              <c:f>Data!$A$3:$A$9</c:f>
              <c:strCache>
                <c:ptCount val="7"/>
                <c:pt idx="0">
                  <c:v>15–24</c:v>
                </c:pt>
                <c:pt idx="1">
                  <c:v>25–34</c:v>
                </c:pt>
                <c:pt idx="2">
                  <c:v>35–44</c:v>
                </c:pt>
                <c:pt idx="3">
                  <c:v>45–54</c:v>
                </c:pt>
                <c:pt idx="4">
                  <c:v>55–64</c:v>
                </c:pt>
                <c:pt idx="5">
                  <c:v>65–74</c:v>
                </c:pt>
                <c:pt idx="6">
                  <c:v>75+</c:v>
                </c:pt>
              </c:strCache>
            </c:strRef>
          </c:cat>
          <c:val>
            <c:numRef>
              <c:f>Data!$B$3:$B$9</c:f>
              <c:numCache>
                <c:formatCode>0.0</c:formatCode>
                <c:ptCount val="7"/>
                <c:pt idx="0">
                  <c:v>6.3</c:v>
                </c:pt>
                <c:pt idx="1">
                  <c:v>10.5</c:v>
                </c:pt>
                <c:pt idx="2">
                  <c:v>18.100000000000001</c:v>
                </c:pt>
                <c:pt idx="3">
                  <c:v>32.700000000000003</c:v>
                </c:pt>
                <c:pt idx="4">
                  <c:v>48.5</c:v>
                </c:pt>
                <c:pt idx="5">
                  <c:v>65.400000000000006</c:v>
                </c:pt>
                <c:pt idx="6">
                  <c:v>74</c:v>
                </c:pt>
              </c:numCache>
            </c:numRef>
          </c:val>
        </c:ser>
        <c:dLbls>
          <c:showLegendKey val="0"/>
          <c:showVal val="0"/>
          <c:showCatName val="0"/>
          <c:showSerName val="0"/>
          <c:showPercent val="0"/>
          <c:showBubbleSize val="0"/>
        </c:dLbls>
        <c:gapWidth val="50"/>
        <c:axId val="244501864"/>
        <c:axId val="244505784"/>
      </c:barChart>
      <c:catAx>
        <c:axId val="244501864"/>
        <c:scaling>
          <c:orientation val="minMax"/>
        </c:scaling>
        <c:delete val="0"/>
        <c:axPos val="b"/>
        <c:title>
          <c:tx>
            <c:rich>
              <a:bodyPr/>
              <a:lstStyle/>
              <a:p>
                <a:pPr>
                  <a:defRPr/>
                </a:pPr>
                <a:r>
                  <a:rPr lang="en-NZ"/>
                  <a:t>Age group (years)</a:t>
                </a:r>
              </a:p>
            </c:rich>
          </c:tx>
          <c:layout>
            <c:manualLayout>
              <c:xMode val="edge"/>
              <c:yMode val="edge"/>
              <c:x val="0.41950652803015009"/>
              <c:y val="0.9330646574382337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a:pPr>
            <a:endParaRPr lang="en-US"/>
          </a:p>
        </c:txPr>
        <c:crossAx val="244505784"/>
        <c:crosses val="autoZero"/>
        <c:auto val="1"/>
        <c:lblAlgn val="ctr"/>
        <c:lblOffset val="100"/>
        <c:noMultiLvlLbl val="0"/>
      </c:catAx>
      <c:valAx>
        <c:axId val="244505784"/>
        <c:scaling>
          <c:orientation val="minMax"/>
          <c:max val="100"/>
        </c:scaling>
        <c:delete val="0"/>
        <c:axPos val="l"/>
        <c:numFmt formatCode="0" sourceLinked="0"/>
        <c:majorTickMark val="out"/>
        <c:minorTickMark val="none"/>
        <c:tickLblPos val="nextTo"/>
        <c:spPr>
          <a:ln w="12700">
            <a:solidFill>
              <a:srgbClr val="000000"/>
            </a:solidFill>
            <a:prstDash val="solid"/>
          </a:ln>
        </c:spPr>
        <c:txPr>
          <a:bodyPr rot="0" vert="horz"/>
          <a:lstStyle/>
          <a:p>
            <a:pPr>
              <a:defRPr/>
            </a:pPr>
            <a:endParaRPr lang="en-US"/>
          </a:p>
        </c:txPr>
        <c:crossAx val="244501864"/>
        <c:crosses val="autoZero"/>
        <c:crossBetween val="between"/>
      </c:valAx>
      <c:spPr>
        <a:noFill/>
        <a:ln w="25400">
          <a:noFill/>
        </a:ln>
      </c:spPr>
    </c:plotArea>
    <c:plotVisOnly val="1"/>
    <c:dispBlanksAs val="gap"/>
    <c:showDLblsOverMax val="0"/>
  </c:chart>
  <c:spPr>
    <a:no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273814818251337E-2"/>
          <c:y val="9.5813234363030256E-2"/>
          <c:w val="0.92276788237715712"/>
          <c:h val="0.77255218338084031"/>
        </c:manualLayout>
      </c:layout>
      <c:barChart>
        <c:barDir val="col"/>
        <c:grouping val="clustered"/>
        <c:varyColors val="0"/>
        <c:ser>
          <c:idx val="0"/>
          <c:order val="0"/>
          <c:tx>
            <c:strRef>
              <c:f>Data!$B$14</c:f>
              <c:strCache>
                <c:ptCount val="1"/>
                <c:pt idx="0">
                  <c:v>Men</c:v>
                </c:pt>
              </c:strCache>
            </c:strRef>
          </c:tx>
          <c:spPr>
            <a:solidFill>
              <a:srgbClr val="5B57A6"/>
            </a:solidFill>
            <a:ln w="9525">
              <a:solidFill>
                <a:srgbClr val="5B57A6"/>
              </a:solidFill>
              <a:prstDash val="solid"/>
            </a:ln>
          </c:spPr>
          <c:invertIfNegative val="0"/>
          <c:cat>
            <c:strRef>
              <c:f>Data!$A$15:$A$20</c:f>
              <c:strCache>
                <c:ptCount val="6"/>
                <c:pt idx="0">
                  <c:v>25–34</c:v>
                </c:pt>
                <c:pt idx="1">
                  <c:v>35–44</c:v>
                </c:pt>
                <c:pt idx="2">
                  <c:v>45–54</c:v>
                </c:pt>
                <c:pt idx="3">
                  <c:v>55–64</c:v>
                </c:pt>
                <c:pt idx="4">
                  <c:v>65–74</c:v>
                </c:pt>
                <c:pt idx="5">
                  <c:v>75+</c:v>
                </c:pt>
              </c:strCache>
            </c:strRef>
          </c:cat>
          <c:val>
            <c:numRef>
              <c:f>Data!$B$15:$B$20</c:f>
              <c:numCache>
                <c:formatCode>0.0</c:formatCode>
                <c:ptCount val="6"/>
                <c:pt idx="0">
                  <c:v>64.8</c:v>
                </c:pt>
                <c:pt idx="1">
                  <c:v>50</c:v>
                </c:pt>
                <c:pt idx="2">
                  <c:v>50.3</c:v>
                </c:pt>
                <c:pt idx="3">
                  <c:v>48.2</c:v>
                </c:pt>
                <c:pt idx="4">
                  <c:v>55.1</c:v>
                </c:pt>
                <c:pt idx="5">
                  <c:v>48.8</c:v>
                </c:pt>
              </c:numCache>
            </c:numRef>
          </c:val>
        </c:ser>
        <c:ser>
          <c:idx val="1"/>
          <c:order val="1"/>
          <c:tx>
            <c:strRef>
              <c:f>Data!$C$14</c:f>
              <c:strCache>
                <c:ptCount val="1"/>
                <c:pt idx="0">
                  <c:v>Women</c:v>
                </c:pt>
              </c:strCache>
            </c:strRef>
          </c:tx>
          <c:spPr>
            <a:solidFill>
              <a:srgbClr val="CCC1DA"/>
            </a:solidFill>
            <a:ln>
              <a:solidFill>
                <a:srgbClr val="CCC1DA"/>
              </a:solidFill>
            </a:ln>
          </c:spPr>
          <c:invertIfNegative val="0"/>
          <c:cat>
            <c:strRef>
              <c:f>Data!$A$15:$A$20</c:f>
              <c:strCache>
                <c:ptCount val="6"/>
                <c:pt idx="0">
                  <c:v>25–34</c:v>
                </c:pt>
                <c:pt idx="1">
                  <c:v>35–44</c:v>
                </c:pt>
                <c:pt idx="2">
                  <c:v>45–54</c:v>
                </c:pt>
                <c:pt idx="3">
                  <c:v>55–64</c:v>
                </c:pt>
                <c:pt idx="4">
                  <c:v>65–74</c:v>
                </c:pt>
                <c:pt idx="5">
                  <c:v>75+</c:v>
                </c:pt>
              </c:strCache>
            </c:strRef>
          </c:cat>
          <c:val>
            <c:numRef>
              <c:f>Data!$C$15:$C$20</c:f>
              <c:numCache>
                <c:formatCode>0.0</c:formatCode>
                <c:ptCount val="6"/>
                <c:pt idx="0">
                  <c:v>62.3</c:v>
                </c:pt>
                <c:pt idx="1">
                  <c:v>56.6</c:v>
                </c:pt>
                <c:pt idx="2">
                  <c:v>59.1</c:v>
                </c:pt>
                <c:pt idx="3">
                  <c:v>58</c:v>
                </c:pt>
                <c:pt idx="4">
                  <c:v>57.7</c:v>
                </c:pt>
                <c:pt idx="5">
                  <c:v>48.1</c:v>
                </c:pt>
              </c:numCache>
            </c:numRef>
          </c:val>
        </c:ser>
        <c:dLbls>
          <c:showLegendKey val="0"/>
          <c:showVal val="0"/>
          <c:showCatName val="0"/>
          <c:showSerName val="0"/>
          <c:showPercent val="0"/>
          <c:showBubbleSize val="0"/>
        </c:dLbls>
        <c:gapWidth val="50"/>
        <c:axId val="244507744"/>
        <c:axId val="244508136"/>
      </c:barChart>
      <c:catAx>
        <c:axId val="244507744"/>
        <c:scaling>
          <c:orientation val="minMax"/>
        </c:scaling>
        <c:delete val="0"/>
        <c:axPos val="b"/>
        <c:title>
          <c:tx>
            <c:rich>
              <a:bodyPr/>
              <a:lstStyle/>
              <a:p>
                <a:pPr>
                  <a:defRPr/>
                </a:pPr>
                <a:r>
                  <a:rPr lang="en-NZ"/>
                  <a:t>Age group (years)</a:t>
                </a:r>
              </a:p>
            </c:rich>
          </c:tx>
          <c:layout>
            <c:manualLayout>
              <c:xMode val="edge"/>
              <c:yMode val="edge"/>
              <c:x val="0.4180592947070394"/>
              <c:y val="0.94071506277175154"/>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a:pPr>
            <a:endParaRPr lang="en-US"/>
          </a:p>
        </c:txPr>
        <c:crossAx val="244508136"/>
        <c:crosses val="autoZero"/>
        <c:auto val="1"/>
        <c:lblAlgn val="ctr"/>
        <c:lblOffset val="100"/>
        <c:noMultiLvlLbl val="0"/>
      </c:catAx>
      <c:valAx>
        <c:axId val="244508136"/>
        <c:scaling>
          <c:orientation val="minMax"/>
          <c:max val="100"/>
        </c:scaling>
        <c:delete val="0"/>
        <c:axPos val="l"/>
        <c:numFmt formatCode="0" sourceLinked="0"/>
        <c:majorTickMark val="out"/>
        <c:minorTickMark val="none"/>
        <c:tickLblPos val="nextTo"/>
        <c:spPr>
          <a:ln w="12700">
            <a:solidFill>
              <a:srgbClr val="000000"/>
            </a:solidFill>
            <a:prstDash val="solid"/>
          </a:ln>
        </c:spPr>
        <c:txPr>
          <a:bodyPr rot="0" vert="horz"/>
          <a:lstStyle/>
          <a:p>
            <a:pPr>
              <a:defRPr/>
            </a:pPr>
            <a:endParaRPr lang="en-US"/>
          </a:p>
        </c:txPr>
        <c:crossAx val="244507744"/>
        <c:crosses val="autoZero"/>
        <c:crossBetween val="between"/>
      </c:valAx>
      <c:spPr>
        <a:noFill/>
        <a:ln w="25400">
          <a:noFill/>
        </a:ln>
      </c:spPr>
    </c:plotArea>
    <c:legend>
      <c:legendPos val="t"/>
      <c:layout>
        <c:manualLayout>
          <c:xMode val="edge"/>
          <c:yMode val="edge"/>
          <c:x val="0.67024543508656309"/>
          <c:y val="2.0338983050847456E-2"/>
          <c:w val="0.30688355138053902"/>
          <c:h val="7.0756569411091638E-2"/>
        </c:manualLayout>
      </c:layout>
      <c:overlay val="0"/>
    </c:legend>
    <c:plotVisOnly val="1"/>
    <c:dispBlanksAs val="gap"/>
    <c:showDLblsOverMax val="0"/>
  </c:chart>
  <c:spPr>
    <a:no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0.03662</cdr:y>
    </cdr:from>
    <cdr:to>
      <cdr:x>0.29779</cdr:x>
      <cdr:y>0.11596</cdr:y>
    </cdr:to>
    <cdr:sp macro="" textlink="">
      <cdr:nvSpPr>
        <cdr:cNvPr id="2" name="Text Box 1"/>
        <cdr:cNvSpPr txBox="1"/>
      </cdr:nvSpPr>
      <cdr:spPr>
        <a:xfrm xmlns:a="http://schemas.openxmlformats.org/drawingml/2006/main">
          <a:off x="0" y="99753"/>
          <a:ext cx="839586" cy="216131"/>
        </a:xfrm>
        <a:prstGeom xmlns:a="http://schemas.openxmlformats.org/drawingml/2006/main" prst="rect">
          <a:avLst/>
        </a:prstGeom>
      </cdr:spPr>
      <cdr:txBody>
        <a:bodyPr xmlns:a="http://schemas.openxmlformats.org/drawingml/2006/main" vertOverflow="clip" wrap="square" lIns="36000" rIns="0" rtlCol="0"/>
        <a:lstStyle xmlns:a="http://schemas.openxmlformats.org/drawingml/2006/main"/>
        <a:p xmlns:a="http://schemas.openxmlformats.org/drawingml/2006/main">
          <a:r>
            <a:rPr lang="en-NZ" sz="900">
              <a:latin typeface="Arial" panose="020B0604020202020204" pitchFamily="34" charset="0"/>
              <a:cs typeface="Arial" panose="020B0604020202020204" pitchFamily="34" charset="0"/>
            </a:rPr>
            <a:t>Rate per 100</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0.06737</cdr:y>
    </cdr:from>
    <cdr:to>
      <cdr:x>0.32911</cdr:x>
      <cdr:y>0.14086</cdr:y>
    </cdr:to>
    <cdr:sp macro="" textlink="">
      <cdr:nvSpPr>
        <cdr:cNvPr id="3" name="Text Box 2"/>
        <cdr:cNvSpPr txBox="1"/>
      </cdr:nvSpPr>
      <cdr:spPr>
        <a:xfrm xmlns:a="http://schemas.openxmlformats.org/drawingml/2006/main">
          <a:off x="0" y="182881"/>
          <a:ext cx="931026" cy="199506"/>
        </a:xfrm>
        <a:prstGeom xmlns:a="http://schemas.openxmlformats.org/drawingml/2006/main" prst="rect">
          <a:avLst/>
        </a:prstGeom>
      </cdr:spPr>
      <cdr:txBody>
        <a:bodyPr xmlns:a="http://schemas.openxmlformats.org/drawingml/2006/main" vertOverflow="clip" wrap="square" lIns="36000" rIns="0" rtlCol="0"/>
        <a:lstStyle xmlns:a="http://schemas.openxmlformats.org/drawingml/2006/main"/>
        <a:p xmlns:a="http://schemas.openxmlformats.org/drawingml/2006/main">
          <a:r>
            <a:rPr lang="en-NZ" sz="900">
              <a:latin typeface="Arial" panose="020B0604020202020204" pitchFamily="34" charset="0"/>
              <a:cs typeface="Arial" panose="020B0604020202020204" pitchFamily="34" charset="0"/>
            </a:rPr>
            <a:t>Rate per 100</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0.07138</cdr:y>
    </cdr:from>
    <cdr:to>
      <cdr:x>0.2742</cdr:x>
      <cdr:y>0.16546</cdr:y>
    </cdr:to>
    <cdr:sp macro="" textlink="">
      <cdr:nvSpPr>
        <cdr:cNvPr id="2" name="Text Box 1"/>
        <cdr:cNvSpPr txBox="1"/>
      </cdr:nvSpPr>
      <cdr:spPr>
        <a:xfrm xmlns:a="http://schemas.openxmlformats.org/drawingml/2006/main">
          <a:off x="0" y="182880"/>
          <a:ext cx="773084" cy="241070"/>
        </a:xfrm>
        <a:prstGeom xmlns:a="http://schemas.openxmlformats.org/drawingml/2006/main" prst="rect">
          <a:avLst/>
        </a:prstGeom>
      </cdr:spPr>
      <cdr:txBody>
        <a:bodyPr xmlns:a="http://schemas.openxmlformats.org/drawingml/2006/main" vertOverflow="clip" wrap="square" lIns="36000" rIns="0" rtlCol="0"/>
        <a:lstStyle xmlns:a="http://schemas.openxmlformats.org/drawingml/2006/main"/>
        <a:p xmlns:a="http://schemas.openxmlformats.org/drawingml/2006/main">
          <a:r>
            <a:rPr lang="en-NZ" sz="900">
              <a:latin typeface="Arial" panose="020B0604020202020204" pitchFamily="34" charset="0"/>
              <a:cs typeface="Arial" panose="020B0604020202020204" pitchFamily="34" charset="0"/>
            </a:rPr>
            <a:t>Rate per 100</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0.07111</cdr:y>
    </cdr:from>
    <cdr:to>
      <cdr:x>0.28503</cdr:x>
      <cdr:y>0.15192</cdr:y>
    </cdr:to>
    <cdr:sp macro="" textlink="">
      <cdr:nvSpPr>
        <cdr:cNvPr id="2" name="Text Box 1"/>
        <cdr:cNvSpPr txBox="1"/>
      </cdr:nvSpPr>
      <cdr:spPr>
        <a:xfrm xmlns:a="http://schemas.openxmlformats.org/drawingml/2006/main">
          <a:off x="0" y="182881"/>
          <a:ext cx="806334" cy="207818"/>
        </a:xfrm>
        <a:prstGeom xmlns:a="http://schemas.openxmlformats.org/drawingml/2006/main" prst="rect">
          <a:avLst/>
        </a:prstGeom>
      </cdr:spPr>
      <cdr:txBody>
        <a:bodyPr xmlns:a="http://schemas.openxmlformats.org/drawingml/2006/main" vertOverflow="clip" wrap="square" lIns="36000" rIns="0" rtlCol="0"/>
        <a:lstStyle xmlns:a="http://schemas.openxmlformats.org/drawingml/2006/main"/>
        <a:p xmlns:a="http://schemas.openxmlformats.org/drawingml/2006/main">
          <a:r>
            <a:rPr lang="en-NZ" sz="900">
              <a:latin typeface="Arial" panose="020B0604020202020204" pitchFamily="34" charset="0"/>
              <a:cs typeface="Arial" panose="020B0604020202020204" pitchFamily="34" charset="0"/>
            </a:rPr>
            <a:t>Rate per 100</a:t>
          </a:r>
        </a:p>
      </cdr:txBody>
    </cdr:sp>
  </cdr:relSizeAnchor>
</c:userShapes>
</file>

<file path=word/drawings/drawing5.xml><?xml version="1.0" encoding="utf-8"?>
<c:userShapes xmlns:c="http://schemas.openxmlformats.org/drawingml/2006/chart">
  <cdr:relSizeAnchor xmlns:cdr="http://schemas.openxmlformats.org/drawingml/2006/chartDrawing">
    <cdr:from>
      <cdr:x>0.00931</cdr:x>
      <cdr:y>0.01582</cdr:y>
    </cdr:from>
    <cdr:to>
      <cdr:x>0.22854</cdr:x>
      <cdr:y>0.09</cdr:y>
    </cdr:to>
    <cdr:sp macro="" textlink="">
      <cdr:nvSpPr>
        <cdr:cNvPr id="10" name="TextBox 1"/>
        <cdr:cNvSpPr txBox="1"/>
      </cdr:nvSpPr>
      <cdr:spPr>
        <a:xfrm xmlns:a="http://schemas.openxmlformats.org/drawingml/2006/main">
          <a:off x="43801" y="45296"/>
          <a:ext cx="1031415" cy="212398"/>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NZ" sz="900">
              <a:latin typeface="Arial" pitchFamily="34" charset="0"/>
              <a:cs typeface="Arial" pitchFamily="34" charset="0"/>
            </a:rPr>
            <a:t>Percent</a:t>
          </a:r>
        </a:p>
      </cdr:txBody>
    </cdr:sp>
  </cdr:relSizeAnchor>
</c:userShapes>
</file>

<file path=word/drawings/drawing6.xml><?xml version="1.0" encoding="utf-8"?>
<c:userShapes xmlns:c="http://schemas.openxmlformats.org/drawingml/2006/chart">
  <cdr:relSizeAnchor xmlns:cdr="http://schemas.openxmlformats.org/drawingml/2006/chartDrawing">
    <cdr:from>
      <cdr:x>0.00931</cdr:x>
      <cdr:y>0.01582</cdr:y>
    </cdr:from>
    <cdr:to>
      <cdr:x>0.22854</cdr:x>
      <cdr:y>0.07269</cdr:y>
    </cdr:to>
    <cdr:sp macro="" textlink="">
      <cdr:nvSpPr>
        <cdr:cNvPr id="10" name="TextBox 1"/>
        <cdr:cNvSpPr txBox="1"/>
      </cdr:nvSpPr>
      <cdr:spPr>
        <a:xfrm xmlns:a="http://schemas.openxmlformats.org/drawingml/2006/main">
          <a:off x="43647" y="45225"/>
          <a:ext cx="1027795" cy="162593"/>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NZ" sz="900">
              <a:latin typeface="Arial" pitchFamily="34" charset="0"/>
              <a:cs typeface="Arial" pitchFamily="34" charset="0"/>
            </a:rPr>
            <a:t>Percent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18167-9859-4B6D-B881-D201C003A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1088</TotalTime>
  <Pages>87</Pages>
  <Words>24097</Words>
  <Characters>137355</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Annual Update of Key Results 2015/16 New Zealand Health Survey</vt:lpstr>
    </vt:vector>
  </TitlesOfParts>
  <Company>Microsoft</Company>
  <LinksUpToDate>false</LinksUpToDate>
  <CharactersWithSpaces>161130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Update of Key Results 2015/16 New Zealand Health Survey</dc:title>
  <dc:creator>Ministry of Health</dc:creator>
  <cp:lastModifiedBy>Sharon Cox</cp:lastModifiedBy>
  <cp:revision>27</cp:revision>
  <cp:lastPrinted>2016-12-06T20:46:00Z</cp:lastPrinted>
  <dcterms:created xsi:type="dcterms:W3CDTF">2016-11-27T23:02:00Z</dcterms:created>
  <dcterms:modified xsi:type="dcterms:W3CDTF">2016-12-19T01:58:00Z</dcterms:modified>
</cp:coreProperties>
</file>