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C320" w14:textId="77777777" w:rsidR="00817A32" w:rsidRDefault="006F532C" w:rsidP="00817A32">
      <w:pPr>
        <w:jc w:val="right"/>
      </w:pPr>
      <w:r>
        <w:rPr>
          <w:noProof/>
          <w:lang w:eastAsia="en-NZ"/>
        </w:rPr>
        <w:drawing>
          <wp:anchor distT="0" distB="0" distL="114300" distR="114300" simplePos="0" relativeHeight="251658240" behindDoc="1" locked="0" layoutInCell="1" allowOverlap="1" wp14:anchorId="00D92BF9" wp14:editId="57594E81">
            <wp:simplePos x="0" y="0"/>
            <wp:positionH relativeFrom="page">
              <wp:align>left</wp:align>
            </wp:positionH>
            <wp:positionV relativeFrom="paragraph">
              <wp:posOffset>-730250</wp:posOffset>
            </wp:positionV>
            <wp:extent cx="7559674" cy="10690494"/>
            <wp:effectExtent l="0" t="0" r="3810" b="0"/>
            <wp:wrapNone/>
            <wp:docPr id="108063169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31694"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9674" cy="10690494"/>
                    </a:xfrm>
                    <a:prstGeom prst="rect">
                      <a:avLst/>
                    </a:prstGeom>
                  </pic:spPr>
                </pic:pic>
              </a:graphicData>
            </a:graphic>
            <wp14:sizeRelH relativeFrom="page">
              <wp14:pctWidth>0</wp14:pctWidth>
            </wp14:sizeRelH>
            <wp14:sizeRelV relativeFrom="page">
              <wp14:pctHeight>0</wp14:pctHeight>
            </wp14:sizeRelV>
          </wp:anchor>
        </w:drawing>
      </w:r>
    </w:p>
    <w:p w14:paraId="278203A3" w14:textId="77777777" w:rsidR="00480FAE" w:rsidRDefault="00480FAE" w:rsidP="00E50795">
      <w:pPr>
        <w:pStyle w:val="Subtitle"/>
        <w:jc w:val="center"/>
        <w:rPr>
          <w:rFonts w:asciiTheme="majorHAnsi" w:eastAsiaTheme="majorEastAsia" w:hAnsiTheme="majorHAnsi" w:cstheme="majorBidi"/>
          <w:spacing w:val="-10"/>
          <w:kern w:val="28"/>
          <w:sz w:val="88"/>
          <w:szCs w:val="88"/>
        </w:rPr>
      </w:pPr>
    </w:p>
    <w:p w14:paraId="617D670C" w14:textId="6931687A" w:rsidR="006E49BD" w:rsidRPr="00480FAE" w:rsidRDefault="006E49BD" w:rsidP="008A4BA4">
      <w:pPr>
        <w:pStyle w:val="Subtitle"/>
        <w:rPr>
          <w:rFonts w:asciiTheme="majorHAnsi" w:eastAsiaTheme="majorEastAsia" w:hAnsiTheme="majorHAnsi" w:cstheme="majorBidi"/>
          <w:spacing w:val="-10"/>
          <w:kern w:val="28"/>
          <w:sz w:val="88"/>
          <w:szCs w:val="88"/>
        </w:rPr>
      </w:pPr>
      <w:r w:rsidRPr="00480FAE">
        <w:rPr>
          <w:rFonts w:asciiTheme="majorHAnsi" w:eastAsiaTheme="majorEastAsia" w:hAnsiTheme="majorHAnsi" w:cstheme="majorBidi"/>
          <w:spacing w:val="-10"/>
          <w:kern w:val="28"/>
          <w:sz w:val="88"/>
          <w:szCs w:val="88"/>
        </w:rPr>
        <w:t>Assisted Dying</w:t>
      </w:r>
      <w:r w:rsidR="00480FAE" w:rsidRPr="00480FAE">
        <w:rPr>
          <w:rFonts w:asciiTheme="majorHAnsi" w:eastAsiaTheme="majorEastAsia" w:hAnsiTheme="majorHAnsi" w:cstheme="majorBidi"/>
          <w:spacing w:val="-10"/>
          <w:kern w:val="28"/>
          <w:sz w:val="88"/>
          <w:szCs w:val="88"/>
        </w:rPr>
        <w:t xml:space="preserve"> </w:t>
      </w:r>
      <w:r w:rsidRPr="00480FAE">
        <w:rPr>
          <w:rFonts w:asciiTheme="majorHAnsi" w:eastAsiaTheme="majorEastAsia" w:hAnsiTheme="majorHAnsi" w:cstheme="majorBidi"/>
          <w:spacing w:val="-10"/>
          <w:kern w:val="28"/>
          <w:sz w:val="88"/>
          <w:szCs w:val="88"/>
        </w:rPr>
        <w:t>Service</w:t>
      </w:r>
    </w:p>
    <w:p w14:paraId="0758E719" w14:textId="6D6A244C" w:rsidR="00817A32" w:rsidRPr="001C0C31" w:rsidRDefault="006E49BD" w:rsidP="008A4BA4">
      <w:pPr>
        <w:pStyle w:val="Subtitle"/>
        <w:rPr>
          <w:sz w:val="52"/>
          <w:szCs w:val="52"/>
        </w:rPr>
      </w:pPr>
      <w:r w:rsidRPr="001C0C31">
        <w:rPr>
          <w:sz w:val="52"/>
          <w:szCs w:val="52"/>
        </w:rPr>
        <w:t>Quarterly Report</w:t>
      </w:r>
      <w:r w:rsidR="0074695D" w:rsidRPr="001C0C31">
        <w:rPr>
          <w:sz w:val="52"/>
          <w:szCs w:val="52"/>
        </w:rPr>
        <w:t xml:space="preserve">, Quarter </w:t>
      </w:r>
      <w:r w:rsidR="00C63EA5">
        <w:rPr>
          <w:sz w:val="52"/>
          <w:szCs w:val="52"/>
        </w:rPr>
        <w:t>1</w:t>
      </w:r>
      <w:r w:rsidR="001F7AB1" w:rsidRPr="001C0C31">
        <w:rPr>
          <w:sz w:val="52"/>
          <w:szCs w:val="52"/>
        </w:rPr>
        <w:t xml:space="preserve"> 20</w:t>
      </w:r>
      <w:r w:rsidR="0009746A">
        <w:rPr>
          <w:sz w:val="52"/>
          <w:szCs w:val="52"/>
        </w:rPr>
        <w:t>2</w:t>
      </w:r>
      <w:r w:rsidR="002D72EA">
        <w:rPr>
          <w:sz w:val="52"/>
          <w:szCs w:val="52"/>
        </w:rPr>
        <w:t>5</w:t>
      </w:r>
      <w:r w:rsidR="001F7AB1" w:rsidRPr="001C0C31">
        <w:rPr>
          <w:sz w:val="52"/>
          <w:szCs w:val="52"/>
        </w:rPr>
        <w:t>/2</w:t>
      </w:r>
      <w:r w:rsidR="002D72EA">
        <w:rPr>
          <w:sz w:val="52"/>
          <w:szCs w:val="52"/>
        </w:rPr>
        <w:t>6</w:t>
      </w:r>
      <w:r w:rsidR="00817A32" w:rsidRPr="00480FAE">
        <w:rPr>
          <w:b w:val="0"/>
          <w:bCs/>
          <w:sz w:val="56"/>
          <w:szCs w:val="56"/>
        </w:rPr>
        <w:br w:type="page"/>
      </w:r>
    </w:p>
    <w:p w14:paraId="78A65C48" w14:textId="5EB5D609" w:rsidR="004C2E5B" w:rsidRDefault="004C2E5B" w:rsidP="006E49BD">
      <w:r>
        <w:lastRenderedPageBreak/>
        <w:t xml:space="preserve">Citation: </w:t>
      </w:r>
      <w:r w:rsidR="00ED4008">
        <w:t>Health New Zealand</w:t>
      </w:r>
      <w:r w:rsidR="00EE5E59">
        <w:t xml:space="preserve"> | Te Whatu Ora</w:t>
      </w:r>
      <w:r>
        <w:t xml:space="preserve">. </w:t>
      </w:r>
      <w:r w:rsidR="006E49BD">
        <w:t>2025</w:t>
      </w:r>
      <w:r>
        <w:t xml:space="preserve">. </w:t>
      </w:r>
      <w:r w:rsidR="006E49BD" w:rsidRPr="006E49BD">
        <w:rPr>
          <w:i/>
          <w:iCs/>
        </w:rPr>
        <w:t>Assisted Dying Service Quarterly Report</w:t>
      </w:r>
      <w:r w:rsidR="00647B38">
        <w:rPr>
          <w:i/>
          <w:iCs/>
        </w:rPr>
        <w:t xml:space="preserve">, Quarter </w:t>
      </w:r>
      <w:r w:rsidR="00E84910">
        <w:rPr>
          <w:i/>
          <w:iCs/>
        </w:rPr>
        <w:t>01</w:t>
      </w:r>
      <w:r w:rsidR="00647B38">
        <w:rPr>
          <w:i/>
          <w:iCs/>
        </w:rPr>
        <w:t xml:space="preserve"> 202</w:t>
      </w:r>
      <w:r w:rsidR="002D72EA">
        <w:rPr>
          <w:i/>
          <w:iCs/>
        </w:rPr>
        <w:t>5</w:t>
      </w:r>
      <w:r w:rsidR="00647B38">
        <w:rPr>
          <w:i/>
          <w:iCs/>
        </w:rPr>
        <w:t>/2</w:t>
      </w:r>
      <w:r w:rsidR="002D72EA">
        <w:rPr>
          <w:i/>
          <w:iCs/>
        </w:rPr>
        <w:t>6</w:t>
      </w:r>
      <w:r w:rsidR="008B70E0">
        <w:t xml:space="preserve">. </w:t>
      </w:r>
      <w:r>
        <w:t xml:space="preserve">Wellington: </w:t>
      </w:r>
      <w:r w:rsidR="00ED4008">
        <w:t>Health New Zealand</w:t>
      </w:r>
      <w:r w:rsidR="00AC2F6F">
        <w:t xml:space="preserve"> | Te Whatu Ora</w:t>
      </w:r>
      <w:r>
        <w:t>.</w:t>
      </w:r>
    </w:p>
    <w:p w14:paraId="212F2AD2" w14:textId="4627C872" w:rsidR="004C2E5B" w:rsidRDefault="004C2E5B" w:rsidP="004C2E5B">
      <w:r>
        <w:t xml:space="preserve">Published in </w:t>
      </w:r>
      <w:r w:rsidR="00BE0055">
        <w:t>Oct</w:t>
      </w:r>
      <w:r w:rsidR="00BE7F0F">
        <w:t>ober</w:t>
      </w:r>
      <w:r w:rsidR="006E49BD">
        <w:t xml:space="preserve"> 20</w:t>
      </w:r>
      <w:r w:rsidR="00BE0055">
        <w:t>25</w:t>
      </w:r>
      <w:r>
        <w:t xml:space="preserve"> by </w:t>
      </w:r>
      <w:r w:rsidR="00ED4008">
        <w:t>Health New Zealand</w:t>
      </w:r>
      <w:r w:rsidR="00EE5E59">
        <w:t xml:space="preserve"> | Te Whatu Ora</w:t>
      </w:r>
      <w:r>
        <w:br/>
        <w:t xml:space="preserve">PO Box </w:t>
      </w:r>
      <w:r w:rsidR="00F10DE1">
        <w:t>793</w:t>
      </w:r>
      <w:r>
        <w:t>, Wellington 6140, New Zealand</w:t>
      </w:r>
    </w:p>
    <w:p w14:paraId="298A8D16" w14:textId="5CEAE273" w:rsidR="004C2E5B" w:rsidRDefault="004C2E5B" w:rsidP="004C2E5B">
      <w:r w:rsidRPr="00252C0B">
        <w:t>IS</w:t>
      </w:r>
      <w:r w:rsidR="0011620E" w:rsidRPr="00252C0B">
        <w:t>S</w:t>
      </w:r>
      <w:r w:rsidRPr="00252C0B">
        <w:t xml:space="preserve">N </w:t>
      </w:r>
      <w:r w:rsidR="00BE7F0F" w:rsidRPr="00252C0B">
        <w:rPr>
          <w:lang w:val="en-AU"/>
        </w:rPr>
        <w:t>3021-3657</w:t>
      </w:r>
      <w:r w:rsidR="00BE7F0F">
        <w:rPr>
          <w:lang w:val="en-AU"/>
        </w:rPr>
        <w:t xml:space="preserve"> </w:t>
      </w:r>
      <w:r>
        <w:t>(</w:t>
      </w:r>
      <w:r w:rsidR="0011620E">
        <w:t>online</w:t>
      </w:r>
      <w:r>
        <w:t>)</w:t>
      </w:r>
    </w:p>
    <w:p w14:paraId="435353D1" w14:textId="77777777" w:rsidR="00B75F7F" w:rsidRDefault="00EE5E59" w:rsidP="004C2E5B">
      <w:r>
        <w:rPr>
          <w:noProof/>
          <w:lang w:eastAsia="en-NZ"/>
        </w:rPr>
        <w:drawing>
          <wp:inline distT="0" distB="0" distL="0" distR="0" wp14:anchorId="79DF2139" wp14:editId="000A8015">
            <wp:extent cx="1838325" cy="323850"/>
            <wp:effectExtent l="0" t="0" r="9525" b="0"/>
            <wp:docPr id="4" name="Picture 4" descr="Health New Zealand Te Whatu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alth New Zealand Te Whatu Or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323850"/>
                    </a:xfrm>
                    <a:prstGeom prst="rect">
                      <a:avLst/>
                    </a:prstGeom>
                    <a:noFill/>
                    <a:ln>
                      <a:noFill/>
                    </a:ln>
                  </pic:spPr>
                </pic:pic>
              </a:graphicData>
            </a:graphic>
          </wp:inline>
        </w:drawing>
      </w:r>
    </w:p>
    <w:p w14:paraId="6EC3560F" w14:textId="77777777" w:rsidR="00B75F7F" w:rsidRDefault="00B75F7F" w:rsidP="00C033FA">
      <w:r w:rsidRPr="00B75F7F">
        <w:t>This document is available at</w:t>
      </w:r>
      <w:r w:rsidR="00ED4008">
        <w:t xml:space="preserve"> </w:t>
      </w:r>
      <w:hyperlink r:id="rId10" w:history="1">
        <w:r w:rsidR="00ED4008" w:rsidRPr="00ED4008">
          <w:rPr>
            <w:rStyle w:val="Hyperlink"/>
            <w:bCs/>
          </w:rPr>
          <w:t>tewhatuora.govt.nz</w:t>
        </w:r>
      </w:hyperlink>
      <w:r w:rsidRPr="00B75F7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96"/>
        <w:gridCol w:w="7932"/>
      </w:tblGrid>
      <w:tr w:rsidR="00B75F7F" w14:paraId="1C09127C" w14:textId="77777777" w:rsidTr="00B75F7F">
        <w:tc>
          <w:tcPr>
            <w:tcW w:w="1696" w:type="dxa"/>
            <w:vAlign w:val="center"/>
          </w:tcPr>
          <w:p w14:paraId="56C9752F" w14:textId="77777777" w:rsidR="00B75F7F" w:rsidRDefault="00B75F7F" w:rsidP="00B75F7F">
            <w:r w:rsidRPr="00EF30CD">
              <w:rPr>
                <w:rFonts w:cs="Segoe UI"/>
                <w:b/>
                <w:noProof/>
                <w:sz w:val="15"/>
                <w:szCs w:val="15"/>
                <w:lang w:eastAsia="en-NZ"/>
              </w:rPr>
              <w:drawing>
                <wp:anchor distT="0" distB="0" distL="114300" distR="114300" simplePos="0" relativeHeight="251658241" behindDoc="1" locked="0" layoutInCell="1" allowOverlap="1" wp14:anchorId="2DE064F2" wp14:editId="148D5E0D">
                  <wp:simplePos x="0" y="0"/>
                  <wp:positionH relativeFrom="column">
                    <wp:posOffset>-1905</wp:posOffset>
                  </wp:positionH>
                  <wp:positionV relativeFrom="paragraph">
                    <wp:posOffset>-1783080</wp:posOffset>
                  </wp:positionV>
                  <wp:extent cx="809625" cy="285750"/>
                  <wp:effectExtent l="0" t="0" r="952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2" w:type="dxa"/>
          </w:tcPr>
          <w:p w14:paraId="09A1701B" w14:textId="77777777" w:rsidR="00B75F7F" w:rsidRDefault="00B75F7F" w:rsidP="00B75F7F">
            <w:r w:rsidRPr="00B75F7F">
              <w:t xml:space="preserve">This work is licensed under the Creative Commons Attribution 4.0 International licence. In essence, you are free to: share </w:t>
            </w:r>
            <w:r w:rsidR="00841B11" w:rsidRPr="00B75F7F">
              <w:t>i.e.</w:t>
            </w:r>
            <w:r w:rsidRPr="00B75F7F">
              <w:t xml:space="preserve">, copy and redistribute the material in any medium or format; adapt </w:t>
            </w:r>
            <w:r w:rsidR="00841B11" w:rsidRPr="00B75F7F">
              <w:t>i.e.</w:t>
            </w:r>
            <w:r w:rsidRPr="00B75F7F">
              <w:t>, remix, transform and build upon the material. You must give appropriate credit, provide a link to the licence and indicate if changes were made.</w:t>
            </w:r>
          </w:p>
          <w:p w14:paraId="11568218" w14:textId="77777777" w:rsidR="00A637A6" w:rsidRDefault="00A637A6" w:rsidP="00B75F7F"/>
          <w:p w14:paraId="3EC994BB" w14:textId="77777777" w:rsidR="00A637A6" w:rsidRDefault="00A637A6" w:rsidP="00B75F7F"/>
          <w:p w14:paraId="565BA4BF" w14:textId="77777777" w:rsidR="00A637A6" w:rsidRDefault="00A637A6" w:rsidP="00B75F7F"/>
          <w:p w14:paraId="14CC12EC" w14:textId="77777777" w:rsidR="00A637A6" w:rsidRDefault="00A637A6" w:rsidP="00B75F7F"/>
          <w:p w14:paraId="73FEB1E9" w14:textId="77777777" w:rsidR="00A637A6" w:rsidRDefault="00A637A6" w:rsidP="00B75F7F"/>
          <w:p w14:paraId="0CFC311B" w14:textId="77777777" w:rsidR="00A637A6" w:rsidRDefault="00A637A6" w:rsidP="00B75F7F"/>
          <w:p w14:paraId="41F49D38" w14:textId="77777777" w:rsidR="00A637A6" w:rsidRDefault="00A637A6" w:rsidP="00B75F7F"/>
          <w:p w14:paraId="604040F6" w14:textId="77777777" w:rsidR="00A637A6" w:rsidRDefault="00A637A6" w:rsidP="00B75F7F"/>
        </w:tc>
      </w:tr>
    </w:tbl>
    <w:p w14:paraId="2316CEDA" w14:textId="77777777" w:rsidR="006E1AF8" w:rsidRDefault="006E1AF8" w:rsidP="006E1AF8">
      <w:pPr>
        <w:spacing w:before="0" w:after="160" w:line="259" w:lineRule="auto"/>
      </w:pPr>
    </w:p>
    <w:p w14:paraId="3D0A56B0" w14:textId="77777777" w:rsidR="006E1AF8" w:rsidRDefault="006E1AF8">
      <w:pPr>
        <w:spacing w:before="0" w:after="160" w:line="259" w:lineRule="auto"/>
      </w:pPr>
      <w:r>
        <w:br w:type="page"/>
      </w:r>
    </w:p>
    <w:p w14:paraId="50AC8171" w14:textId="77777777" w:rsidR="006E1AF8" w:rsidRDefault="006E1AF8" w:rsidP="006E1AF8">
      <w:pPr>
        <w:pStyle w:val="Heading1"/>
      </w:pPr>
      <w:bookmarkStart w:id="0" w:name="_Toc211329304"/>
      <w:r>
        <w:lastRenderedPageBreak/>
        <w:t>Foreword</w:t>
      </w:r>
      <w:bookmarkEnd w:id="0"/>
    </w:p>
    <w:p w14:paraId="3B0E7A05" w14:textId="01488E76" w:rsidR="006E49BD" w:rsidRPr="006E49BD" w:rsidRDefault="00553CEA" w:rsidP="006E49BD">
      <w:pPr>
        <w:shd w:val="clear" w:color="auto" w:fill="FFFFFF" w:themeFill="background1"/>
        <w:spacing w:before="20" w:after="120" w:line="264" w:lineRule="auto"/>
        <w:jc w:val="both"/>
        <w:rPr>
          <w:rFonts w:ascii="Arial" w:eastAsia="Times New Roman" w:hAnsi="Arial" w:cs="Arial"/>
          <w:szCs w:val="24"/>
          <w:lang w:eastAsia="en-NZ"/>
        </w:rPr>
      </w:pPr>
      <w:r>
        <w:rPr>
          <w:rFonts w:ascii="Arial" w:eastAsia="Times New Roman" w:hAnsi="Arial" w:cs="Arial"/>
          <w:szCs w:val="24"/>
          <w:lang w:eastAsia="en-NZ"/>
        </w:rPr>
        <w:t>Health New Zealand</w:t>
      </w:r>
      <w:r w:rsidR="001C0C31">
        <w:rPr>
          <w:rFonts w:ascii="Arial" w:eastAsia="Times New Roman" w:hAnsi="Arial" w:cs="Arial"/>
          <w:szCs w:val="24"/>
          <w:lang w:eastAsia="en-NZ"/>
        </w:rPr>
        <w:t xml:space="preserve"> </w:t>
      </w:r>
      <w:r>
        <w:rPr>
          <w:rFonts w:ascii="Arial" w:eastAsia="Times New Roman" w:hAnsi="Arial" w:cs="Arial"/>
          <w:szCs w:val="24"/>
          <w:lang w:eastAsia="en-NZ"/>
        </w:rPr>
        <w:t>|</w:t>
      </w:r>
      <w:r w:rsidR="001C0C31">
        <w:rPr>
          <w:rFonts w:ascii="Arial" w:eastAsia="Times New Roman" w:hAnsi="Arial" w:cs="Arial"/>
          <w:szCs w:val="24"/>
          <w:lang w:eastAsia="en-NZ"/>
        </w:rPr>
        <w:t xml:space="preserve"> </w:t>
      </w:r>
      <w:r w:rsidR="006E49BD" w:rsidRPr="006E49BD">
        <w:rPr>
          <w:rFonts w:ascii="Arial" w:eastAsia="Times New Roman" w:hAnsi="Arial" w:cs="Arial"/>
          <w:szCs w:val="24"/>
          <w:lang w:eastAsia="en-NZ"/>
        </w:rPr>
        <w:t xml:space="preserve">Te Whatu Ora </w:t>
      </w:r>
      <w:r w:rsidR="00C846BE">
        <w:rPr>
          <w:rFonts w:ascii="Arial" w:eastAsia="Times New Roman" w:hAnsi="Arial" w:cs="Arial"/>
          <w:szCs w:val="24"/>
          <w:lang w:eastAsia="en-NZ"/>
        </w:rPr>
        <w:t xml:space="preserve">(Health NZ) </w:t>
      </w:r>
      <w:r w:rsidR="006E49BD" w:rsidRPr="006E49BD">
        <w:rPr>
          <w:rFonts w:ascii="Arial" w:eastAsia="Times New Roman" w:hAnsi="Arial" w:cs="Arial"/>
          <w:szCs w:val="24"/>
          <w:lang w:eastAsia="en-NZ"/>
        </w:rPr>
        <w:t>is responsible for overseeing and monitoring all operational aspects of the Assisted Dying Service, including collecting data and generating summary reports. Information continues to be released quarterly, in line with the calendar year.</w:t>
      </w:r>
    </w:p>
    <w:p w14:paraId="356BE523" w14:textId="77777777" w:rsidR="006E49BD" w:rsidRPr="006E49BD" w:rsidRDefault="006E49BD" w:rsidP="006E49BD">
      <w:pPr>
        <w:shd w:val="clear" w:color="auto" w:fill="FFFFFF" w:themeFill="background1"/>
        <w:spacing w:before="20" w:after="120" w:line="264" w:lineRule="auto"/>
        <w:jc w:val="both"/>
        <w:rPr>
          <w:rFonts w:ascii="Arial" w:eastAsia="Times New Roman" w:hAnsi="Arial" w:cs="Arial"/>
          <w:szCs w:val="24"/>
          <w:lang w:eastAsia="en-NZ"/>
        </w:rPr>
      </w:pPr>
      <w:bookmarkStart w:id="1" w:name="_Hlk211516538"/>
      <w:r w:rsidRPr="006E49BD">
        <w:rPr>
          <w:rFonts w:ascii="Arial" w:eastAsia="Times New Roman" w:hAnsi="Arial" w:cs="Arial"/>
          <w:szCs w:val="24"/>
          <w:lang w:eastAsia="en-NZ"/>
        </w:rPr>
        <w:t>Due to low numbers, some quarterly data (such as the number of applications by month and region) cannot be reported to protect the privacy of the people engaging with the service.</w:t>
      </w:r>
    </w:p>
    <w:bookmarkEnd w:id="1"/>
    <w:p w14:paraId="074248F5" w14:textId="5ED6D51B" w:rsidR="006E49BD" w:rsidRPr="006E49BD" w:rsidRDefault="006E49BD" w:rsidP="006E49BD">
      <w:pPr>
        <w:shd w:val="clear" w:color="auto" w:fill="FFFFFF" w:themeFill="background1"/>
        <w:spacing w:before="20" w:after="120" w:line="264" w:lineRule="auto"/>
        <w:jc w:val="both"/>
        <w:rPr>
          <w:rFonts w:ascii="Arial" w:eastAsia="Times New Roman" w:hAnsi="Arial" w:cs="Arial"/>
          <w:szCs w:val="24"/>
          <w:lang w:eastAsia="en-NZ"/>
        </w:rPr>
      </w:pPr>
      <w:r w:rsidRPr="006E49BD">
        <w:rPr>
          <w:rFonts w:ascii="Arial" w:eastAsia="Times New Roman" w:hAnsi="Arial" w:cs="Arial"/>
          <w:szCs w:val="24"/>
          <w:lang w:eastAsia="en-NZ"/>
        </w:rPr>
        <w:t xml:space="preserve">Please note that the current report reflects a summary of individuals’ interactions with the Assisted Dying Service within </w:t>
      </w:r>
      <w:r w:rsidR="008D551C">
        <w:rPr>
          <w:rFonts w:ascii="Arial" w:eastAsia="Times New Roman" w:hAnsi="Arial" w:cs="Arial"/>
          <w:szCs w:val="24"/>
          <w:lang w:eastAsia="en-NZ"/>
        </w:rPr>
        <w:t>the three months</w:t>
      </w:r>
      <w:r w:rsidR="0078722A">
        <w:rPr>
          <w:rFonts w:ascii="Arial" w:eastAsia="Times New Roman" w:hAnsi="Arial" w:cs="Arial"/>
          <w:szCs w:val="24"/>
          <w:lang w:eastAsia="en-NZ"/>
        </w:rPr>
        <w:t xml:space="preserve"> from </w:t>
      </w:r>
      <w:r w:rsidR="0078722A" w:rsidRPr="00DC0042">
        <w:rPr>
          <w:rFonts w:ascii="Arial" w:eastAsia="Times New Roman" w:hAnsi="Arial" w:cs="Arial"/>
          <w:b/>
          <w:bCs/>
          <w:szCs w:val="24"/>
          <w:lang w:eastAsia="en-NZ"/>
        </w:rPr>
        <w:t xml:space="preserve">1 </w:t>
      </w:r>
      <w:r w:rsidR="009E2097" w:rsidRPr="00DC0042">
        <w:rPr>
          <w:rFonts w:ascii="Arial" w:eastAsia="Times New Roman" w:hAnsi="Arial" w:cs="Arial"/>
          <w:b/>
          <w:bCs/>
          <w:szCs w:val="24"/>
          <w:lang w:eastAsia="en-NZ"/>
        </w:rPr>
        <w:t xml:space="preserve">July </w:t>
      </w:r>
      <w:r w:rsidR="0078722A" w:rsidRPr="00DC0042">
        <w:rPr>
          <w:rFonts w:ascii="Arial" w:eastAsia="Times New Roman" w:hAnsi="Arial" w:cs="Arial"/>
          <w:b/>
          <w:bCs/>
          <w:szCs w:val="24"/>
          <w:lang w:eastAsia="en-NZ"/>
        </w:rPr>
        <w:t xml:space="preserve">to </w:t>
      </w:r>
      <w:r w:rsidRPr="00DC0042">
        <w:rPr>
          <w:rFonts w:ascii="Arial" w:eastAsia="Times New Roman" w:hAnsi="Arial" w:cs="Arial"/>
          <w:b/>
          <w:bCs/>
          <w:szCs w:val="24"/>
          <w:lang w:eastAsia="en-NZ"/>
        </w:rPr>
        <w:t>3</w:t>
      </w:r>
      <w:r w:rsidR="009E2097" w:rsidRPr="00DC0042">
        <w:rPr>
          <w:rFonts w:ascii="Arial" w:eastAsia="Times New Roman" w:hAnsi="Arial" w:cs="Arial"/>
          <w:b/>
          <w:bCs/>
          <w:szCs w:val="24"/>
          <w:lang w:eastAsia="en-NZ"/>
        </w:rPr>
        <w:t>0</w:t>
      </w:r>
      <w:r w:rsidRPr="00DC0042">
        <w:rPr>
          <w:rFonts w:ascii="Arial" w:eastAsia="Times New Roman" w:hAnsi="Arial" w:cs="Arial"/>
          <w:b/>
          <w:bCs/>
          <w:szCs w:val="24"/>
          <w:lang w:eastAsia="en-NZ"/>
        </w:rPr>
        <w:t xml:space="preserve"> </w:t>
      </w:r>
      <w:r w:rsidR="009E2097" w:rsidRPr="00DC0042">
        <w:rPr>
          <w:rFonts w:ascii="Arial" w:eastAsia="Times New Roman" w:hAnsi="Arial" w:cs="Arial"/>
          <w:b/>
          <w:bCs/>
          <w:szCs w:val="24"/>
          <w:lang w:eastAsia="en-NZ"/>
        </w:rPr>
        <w:t xml:space="preserve">September </w:t>
      </w:r>
      <w:r w:rsidRPr="00DC0042">
        <w:rPr>
          <w:rFonts w:ascii="Arial" w:eastAsia="Times New Roman" w:hAnsi="Arial" w:cs="Arial"/>
          <w:b/>
          <w:bCs/>
          <w:szCs w:val="24"/>
          <w:lang w:eastAsia="en-NZ"/>
        </w:rPr>
        <w:t>202</w:t>
      </w:r>
      <w:r w:rsidR="009E2097" w:rsidRPr="00DC0042">
        <w:rPr>
          <w:rFonts w:ascii="Arial" w:eastAsia="Times New Roman" w:hAnsi="Arial" w:cs="Arial"/>
          <w:b/>
          <w:bCs/>
          <w:szCs w:val="24"/>
          <w:lang w:eastAsia="en-NZ"/>
        </w:rPr>
        <w:t>5</w:t>
      </w:r>
      <w:r w:rsidRPr="006E49BD">
        <w:rPr>
          <w:rFonts w:ascii="Arial" w:eastAsia="Times New Roman" w:hAnsi="Arial" w:cs="Arial"/>
          <w:szCs w:val="24"/>
          <w:lang w:eastAsia="en-NZ"/>
        </w:rPr>
        <w:t>. Accordingly, medical assessments and outcomes may refer to applications initiated in a prior quarter.</w:t>
      </w:r>
    </w:p>
    <w:p w14:paraId="14F59F4C" w14:textId="69DBBD82" w:rsidR="006E49BD" w:rsidRPr="006E49BD" w:rsidRDefault="00F2769F" w:rsidP="006E49BD">
      <w:pPr>
        <w:shd w:val="clear" w:color="auto" w:fill="FFFFFF" w:themeFill="background1"/>
        <w:spacing w:before="20" w:after="120" w:line="264" w:lineRule="auto"/>
        <w:jc w:val="both"/>
        <w:rPr>
          <w:rFonts w:ascii="Arial" w:eastAsia="Times New Roman" w:hAnsi="Arial" w:cs="Arial"/>
          <w:szCs w:val="24"/>
          <w:lang w:eastAsia="en-NZ"/>
        </w:rPr>
      </w:pPr>
      <w:bookmarkStart w:id="2" w:name="_Hlk211516550"/>
      <w:r>
        <w:rPr>
          <w:rFonts w:ascii="Arial" w:eastAsia="Times New Roman" w:hAnsi="Arial" w:cs="Arial"/>
          <w:szCs w:val="24"/>
          <w:lang w:eastAsia="en-NZ"/>
        </w:rPr>
        <w:t>D</w:t>
      </w:r>
      <w:r w:rsidR="006E49BD" w:rsidRPr="006E49BD">
        <w:rPr>
          <w:rFonts w:ascii="Arial" w:eastAsia="Times New Roman" w:hAnsi="Arial" w:cs="Arial"/>
          <w:szCs w:val="24"/>
          <w:lang w:eastAsia="en-NZ"/>
        </w:rPr>
        <w:t>etailed report</w:t>
      </w:r>
      <w:r>
        <w:rPr>
          <w:rFonts w:ascii="Arial" w:eastAsia="Times New Roman" w:hAnsi="Arial" w:cs="Arial"/>
          <w:szCs w:val="24"/>
          <w:lang w:eastAsia="en-NZ"/>
        </w:rPr>
        <w:t>ing</w:t>
      </w:r>
      <w:r w:rsidR="006E49BD" w:rsidRPr="006E49BD">
        <w:rPr>
          <w:rFonts w:ascii="Arial" w:eastAsia="Times New Roman" w:hAnsi="Arial" w:cs="Arial"/>
          <w:szCs w:val="24"/>
          <w:lang w:eastAsia="en-NZ"/>
        </w:rPr>
        <w:t xml:space="preserve"> of the cumulative data </w:t>
      </w:r>
      <w:r>
        <w:rPr>
          <w:rFonts w:ascii="Arial" w:eastAsia="Times New Roman" w:hAnsi="Arial" w:cs="Arial"/>
          <w:szCs w:val="24"/>
          <w:lang w:eastAsia="en-NZ"/>
        </w:rPr>
        <w:t>since</w:t>
      </w:r>
      <w:r w:rsidRPr="006E49BD">
        <w:rPr>
          <w:rFonts w:ascii="Arial" w:eastAsia="Times New Roman" w:hAnsi="Arial" w:cs="Arial"/>
          <w:szCs w:val="24"/>
          <w:lang w:eastAsia="en-NZ"/>
        </w:rPr>
        <w:t xml:space="preserve"> </w:t>
      </w:r>
      <w:r w:rsidR="006E49BD" w:rsidRPr="006E49BD">
        <w:rPr>
          <w:rFonts w:ascii="Arial" w:eastAsia="Times New Roman" w:hAnsi="Arial" w:cs="Arial"/>
          <w:szCs w:val="24"/>
          <w:lang w:eastAsia="en-NZ"/>
        </w:rPr>
        <w:t xml:space="preserve">the first year of service (November 2021 – November 2022) is available on the </w:t>
      </w:r>
      <w:r w:rsidR="00553CEA">
        <w:rPr>
          <w:rFonts w:ascii="Arial" w:eastAsia="Times New Roman" w:hAnsi="Arial" w:cs="Arial"/>
          <w:szCs w:val="24"/>
          <w:lang w:eastAsia="en-NZ"/>
        </w:rPr>
        <w:t xml:space="preserve">Health NZ </w:t>
      </w:r>
      <w:r w:rsidR="006E49BD" w:rsidRPr="006E49BD">
        <w:rPr>
          <w:rFonts w:ascii="Arial" w:eastAsia="Times New Roman" w:hAnsi="Arial" w:cs="Arial"/>
          <w:szCs w:val="24"/>
          <w:lang w:eastAsia="en-NZ"/>
        </w:rPr>
        <w:t>website:</w:t>
      </w:r>
      <w:r w:rsidR="00020998">
        <w:rPr>
          <w:rFonts w:ascii="Arial" w:eastAsia="Times New Roman" w:hAnsi="Arial" w:cs="Arial"/>
          <w:szCs w:val="24"/>
          <w:lang w:eastAsia="en-NZ"/>
        </w:rPr>
        <w:t xml:space="preserve"> </w:t>
      </w:r>
      <w:hyperlink r:id="rId12">
        <w:r w:rsidR="006E49BD" w:rsidRPr="00020998">
          <w:rPr>
            <w:rStyle w:val="Hyperlink"/>
            <w:rFonts w:ascii="Arial" w:eastAsia="Times New Roman" w:hAnsi="Arial" w:cs="Arial"/>
            <w:szCs w:val="24"/>
            <w:lang w:eastAsia="en-NZ"/>
          </w:rPr>
          <w:t>Assisted Dying Service yearly reporting</w:t>
        </w:r>
      </w:hyperlink>
      <w:r w:rsidR="00480FAE">
        <w:rPr>
          <w:rFonts w:ascii="Arial" w:eastAsia="Times New Roman" w:hAnsi="Arial" w:cs="Arial"/>
          <w:szCs w:val="24"/>
          <w:lang w:eastAsia="en-NZ"/>
        </w:rPr>
        <w:t xml:space="preserve">. </w:t>
      </w:r>
    </w:p>
    <w:p w14:paraId="449E46F7" w14:textId="77777777" w:rsidR="00026AE0" w:rsidRDefault="00F60D5D">
      <w:pPr>
        <w:spacing w:before="0" w:after="160" w:line="259" w:lineRule="auto"/>
      </w:pPr>
      <w:r w:rsidRPr="00F60D5D">
        <w:t xml:space="preserve">More information on assisted dying can </w:t>
      </w:r>
      <w:r>
        <w:t xml:space="preserve">also </w:t>
      </w:r>
      <w:r w:rsidRPr="00F60D5D">
        <w:t xml:space="preserve">be found in the Registrar's report. The Registrar (Assisted Dying) serves as a safeguard under the End of Life Choice Act 2019 and submits an annual report to the Minister of Health on the Assisted Dying Service's operations. Their latest report is available on the </w:t>
      </w:r>
      <w:hyperlink r:id="rId13" w:history="1">
        <w:r w:rsidR="00026AE0">
          <w:rPr>
            <w:rStyle w:val="Hyperlink"/>
          </w:rPr>
          <w:t>Ministry of Health</w:t>
        </w:r>
      </w:hyperlink>
      <w:r w:rsidR="00026AE0">
        <w:t xml:space="preserve"> </w:t>
      </w:r>
      <w:r w:rsidR="00026AE0" w:rsidRPr="00026AE0">
        <w:t>website</w:t>
      </w:r>
      <w:hyperlink r:id="rId14" w:history="1">
        <w:r w:rsidRPr="00026AE0">
          <w:rPr>
            <w:rStyle w:val="Hyperlink"/>
            <w:b w:val="0"/>
            <w:bCs/>
            <w:u w:val="none"/>
          </w:rPr>
          <w:t xml:space="preserve">: </w:t>
        </w:r>
        <w:r w:rsidRPr="00026AE0">
          <w:rPr>
            <w:rStyle w:val="Hyperlink"/>
          </w:rPr>
          <w:t>Assisted Dying - Regulation &amp; Reporting</w:t>
        </w:r>
      </w:hyperlink>
      <w:r w:rsidRPr="00F60D5D">
        <w:t xml:space="preserve">. </w:t>
      </w:r>
    </w:p>
    <w:bookmarkEnd w:id="2"/>
    <w:p w14:paraId="53A0DF04" w14:textId="6078B062" w:rsidR="006E1AF8" w:rsidRDefault="00F60D5D">
      <w:pPr>
        <w:spacing w:before="0" w:after="160" w:line="259" w:lineRule="auto"/>
      </w:pPr>
      <w:r w:rsidRPr="00F60D5D">
        <w:t xml:space="preserve">For the complete text of the Assisted Dying legislation, please follow this link: </w:t>
      </w:r>
      <w:hyperlink r:id="rId15" w:history="1">
        <w:r w:rsidRPr="008D551C">
          <w:rPr>
            <w:rStyle w:val="Hyperlink"/>
          </w:rPr>
          <w:t>End of Life Choice Act 2019</w:t>
        </w:r>
      </w:hyperlink>
      <w:r w:rsidR="008D551C">
        <w:t>.</w:t>
      </w:r>
    </w:p>
    <w:p w14:paraId="33631302" w14:textId="5CF3CA01" w:rsidR="00D23FE8" w:rsidRDefault="00D23FE8">
      <w:pPr>
        <w:spacing w:before="0" w:after="160" w:line="259" w:lineRule="auto"/>
      </w:pPr>
      <w:r>
        <w:br w:type="page"/>
      </w:r>
    </w:p>
    <w:p w14:paraId="5D9874A4" w14:textId="77777777" w:rsidR="00DF19E5" w:rsidRPr="00020998" w:rsidRDefault="00DF19E5" w:rsidP="00020998">
      <w:pPr>
        <w:pStyle w:val="Subtitle"/>
        <w:rPr>
          <w:sz w:val="52"/>
          <w:szCs w:val="52"/>
        </w:rPr>
      </w:pPr>
      <w:r w:rsidRPr="00020998">
        <w:rPr>
          <w:sz w:val="52"/>
          <w:szCs w:val="52"/>
        </w:rPr>
        <w:lastRenderedPageBreak/>
        <w:t>Contents</w:t>
      </w:r>
    </w:p>
    <w:p w14:paraId="540C5846" w14:textId="7BB61066" w:rsidR="008038B8" w:rsidRDefault="00DF19E5">
      <w:pPr>
        <w:pStyle w:val="TOC1"/>
        <w:rPr>
          <w:rFonts w:eastAsiaTheme="minorEastAsia"/>
          <w:b w:val="0"/>
          <w:kern w:val="2"/>
          <w:szCs w:val="24"/>
          <w:lang w:eastAsia="en-NZ"/>
          <w14:ligatures w14:val="standardContextual"/>
        </w:rPr>
      </w:pPr>
      <w:r>
        <w:fldChar w:fldCharType="begin"/>
      </w:r>
      <w:r>
        <w:instrText xml:space="preserve"> TOC \o "1-3" \h \z \u </w:instrText>
      </w:r>
      <w:r>
        <w:fldChar w:fldCharType="separate"/>
      </w:r>
      <w:hyperlink w:anchor="_Toc211329304" w:history="1">
        <w:r w:rsidR="008038B8" w:rsidRPr="00C17084">
          <w:rPr>
            <w:rStyle w:val="Hyperlink"/>
          </w:rPr>
          <w:t>Foreword</w:t>
        </w:r>
        <w:r w:rsidR="008038B8">
          <w:rPr>
            <w:webHidden/>
          </w:rPr>
          <w:tab/>
        </w:r>
        <w:r w:rsidR="008038B8">
          <w:rPr>
            <w:webHidden/>
          </w:rPr>
          <w:fldChar w:fldCharType="begin"/>
        </w:r>
        <w:r w:rsidR="008038B8">
          <w:rPr>
            <w:webHidden/>
          </w:rPr>
          <w:instrText xml:space="preserve"> PAGEREF _Toc211329304 \h </w:instrText>
        </w:r>
        <w:r w:rsidR="008038B8">
          <w:rPr>
            <w:webHidden/>
          </w:rPr>
        </w:r>
        <w:r w:rsidR="008038B8">
          <w:rPr>
            <w:webHidden/>
          </w:rPr>
          <w:fldChar w:fldCharType="separate"/>
        </w:r>
        <w:r w:rsidR="00145415">
          <w:rPr>
            <w:webHidden/>
          </w:rPr>
          <w:t>3</w:t>
        </w:r>
        <w:r w:rsidR="008038B8">
          <w:rPr>
            <w:webHidden/>
          </w:rPr>
          <w:fldChar w:fldCharType="end"/>
        </w:r>
      </w:hyperlink>
    </w:p>
    <w:p w14:paraId="78A36598" w14:textId="7D64CB81" w:rsidR="008038B8" w:rsidRDefault="008038B8">
      <w:pPr>
        <w:pStyle w:val="TOC1"/>
        <w:rPr>
          <w:rFonts w:eastAsiaTheme="minorEastAsia"/>
          <w:b w:val="0"/>
          <w:kern w:val="2"/>
          <w:szCs w:val="24"/>
          <w:lang w:eastAsia="en-NZ"/>
          <w14:ligatures w14:val="standardContextual"/>
        </w:rPr>
      </w:pPr>
      <w:hyperlink w:anchor="_Toc211329305" w:history="1">
        <w:r w:rsidRPr="00C17084">
          <w:rPr>
            <w:rStyle w:val="Hyperlink"/>
          </w:rPr>
          <w:t>Assisted dying service activities this quarter</w:t>
        </w:r>
        <w:r>
          <w:rPr>
            <w:webHidden/>
          </w:rPr>
          <w:tab/>
        </w:r>
        <w:r>
          <w:rPr>
            <w:webHidden/>
          </w:rPr>
          <w:fldChar w:fldCharType="begin"/>
        </w:r>
        <w:r>
          <w:rPr>
            <w:webHidden/>
          </w:rPr>
          <w:instrText xml:space="preserve"> PAGEREF _Toc211329305 \h </w:instrText>
        </w:r>
        <w:r>
          <w:rPr>
            <w:webHidden/>
          </w:rPr>
        </w:r>
        <w:r>
          <w:rPr>
            <w:webHidden/>
          </w:rPr>
          <w:fldChar w:fldCharType="separate"/>
        </w:r>
        <w:r w:rsidR="00145415">
          <w:rPr>
            <w:webHidden/>
          </w:rPr>
          <w:t>5</w:t>
        </w:r>
        <w:r>
          <w:rPr>
            <w:webHidden/>
          </w:rPr>
          <w:fldChar w:fldCharType="end"/>
        </w:r>
      </w:hyperlink>
    </w:p>
    <w:p w14:paraId="2F7D7533" w14:textId="12EABEE5" w:rsidR="008038B8" w:rsidRDefault="008038B8">
      <w:pPr>
        <w:pStyle w:val="TOC2"/>
        <w:tabs>
          <w:tab w:val="right" w:leader="dot" w:pos="9628"/>
        </w:tabs>
        <w:rPr>
          <w:rFonts w:eastAsiaTheme="minorEastAsia"/>
          <w:noProof/>
          <w:kern w:val="2"/>
          <w:szCs w:val="24"/>
          <w:lang w:eastAsia="en-NZ"/>
          <w14:ligatures w14:val="standardContextual"/>
        </w:rPr>
      </w:pPr>
      <w:hyperlink w:anchor="_Toc211329306" w:history="1">
        <w:r w:rsidRPr="00C17084">
          <w:rPr>
            <w:rStyle w:val="Hyperlink"/>
            <w:noProof/>
          </w:rPr>
          <w:t>Overview of assisted dying service</w:t>
        </w:r>
        <w:r>
          <w:rPr>
            <w:noProof/>
            <w:webHidden/>
          </w:rPr>
          <w:tab/>
        </w:r>
        <w:r>
          <w:rPr>
            <w:noProof/>
            <w:webHidden/>
          </w:rPr>
          <w:fldChar w:fldCharType="begin"/>
        </w:r>
        <w:r>
          <w:rPr>
            <w:noProof/>
            <w:webHidden/>
          </w:rPr>
          <w:instrText xml:space="preserve"> PAGEREF _Toc211329306 \h </w:instrText>
        </w:r>
        <w:r>
          <w:rPr>
            <w:noProof/>
            <w:webHidden/>
          </w:rPr>
        </w:r>
        <w:r>
          <w:rPr>
            <w:noProof/>
            <w:webHidden/>
          </w:rPr>
          <w:fldChar w:fldCharType="separate"/>
        </w:r>
        <w:r w:rsidR="00145415">
          <w:rPr>
            <w:noProof/>
            <w:webHidden/>
          </w:rPr>
          <w:t>5</w:t>
        </w:r>
        <w:r>
          <w:rPr>
            <w:noProof/>
            <w:webHidden/>
          </w:rPr>
          <w:fldChar w:fldCharType="end"/>
        </w:r>
      </w:hyperlink>
    </w:p>
    <w:p w14:paraId="7B05FE77" w14:textId="61BE2467" w:rsidR="008038B8" w:rsidRDefault="008038B8">
      <w:pPr>
        <w:pStyle w:val="TOC2"/>
        <w:tabs>
          <w:tab w:val="right" w:leader="dot" w:pos="9628"/>
        </w:tabs>
        <w:rPr>
          <w:rFonts w:eastAsiaTheme="minorEastAsia"/>
          <w:noProof/>
          <w:kern w:val="2"/>
          <w:szCs w:val="24"/>
          <w:lang w:eastAsia="en-NZ"/>
          <w14:ligatures w14:val="standardContextual"/>
        </w:rPr>
      </w:pPr>
      <w:hyperlink w:anchor="_Toc211329307" w:history="1">
        <w:r w:rsidRPr="00C17084">
          <w:rPr>
            <w:rStyle w:val="Hyperlink"/>
            <w:noProof/>
          </w:rPr>
          <w:t>Demographic summary of applications</w:t>
        </w:r>
        <w:r>
          <w:rPr>
            <w:noProof/>
            <w:webHidden/>
          </w:rPr>
          <w:tab/>
        </w:r>
        <w:r>
          <w:rPr>
            <w:noProof/>
            <w:webHidden/>
          </w:rPr>
          <w:fldChar w:fldCharType="begin"/>
        </w:r>
        <w:r>
          <w:rPr>
            <w:noProof/>
            <w:webHidden/>
          </w:rPr>
          <w:instrText xml:space="preserve"> PAGEREF _Toc211329307 \h </w:instrText>
        </w:r>
        <w:r>
          <w:rPr>
            <w:noProof/>
            <w:webHidden/>
          </w:rPr>
        </w:r>
        <w:r>
          <w:rPr>
            <w:noProof/>
            <w:webHidden/>
          </w:rPr>
          <w:fldChar w:fldCharType="separate"/>
        </w:r>
        <w:r w:rsidR="00145415">
          <w:rPr>
            <w:noProof/>
            <w:webHidden/>
          </w:rPr>
          <w:t>6</w:t>
        </w:r>
        <w:r>
          <w:rPr>
            <w:noProof/>
            <w:webHidden/>
          </w:rPr>
          <w:fldChar w:fldCharType="end"/>
        </w:r>
      </w:hyperlink>
    </w:p>
    <w:p w14:paraId="30000C60" w14:textId="233F5112" w:rsidR="008038B8" w:rsidRDefault="008038B8">
      <w:pPr>
        <w:pStyle w:val="TOC2"/>
        <w:tabs>
          <w:tab w:val="right" w:leader="dot" w:pos="9628"/>
        </w:tabs>
        <w:rPr>
          <w:rFonts w:eastAsiaTheme="minorEastAsia"/>
          <w:noProof/>
          <w:kern w:val="2"/>
          <w:szCs w:val="24"/>
          <w:lang w:eastAsia="en-NZ"/>
          <w14:ligatures w14:val="standardContextual"/>
        </w:rPr>
      </w:pPr>
      <w:hyperlink w:anchor="_Toc211329308" w:history="1">
        <w:r w:rsidRPr="00C17084">
          <w:rPr>
            <w:rStyle w:val="Hyperlink"/>
            <w:noProof/>
          </w:rPr>
          <w:t>Applications by region</w:t>
        </w:r>
        <w:r>
          <w:rPr>
            <w:noProof/>
            <w:webHidden/>
          </w:rPr>
          <w:tab/>
        </w:r>
        <w:r>
          <w:rPr>
            <w:noProof/>
            <w:webHidden/>
          </w:rPr>
          <w:fldChar w:fldCharType="begin"/>
        </w:r>
        <w:r>
          <w:rPr>
            <w:noProof/>
            <w:webHidden/>
          </w:rPr>
          <w:instrText xml:space="preserve"> PAGEREF _Toc211329308 \h </w:instrText>
        </w:r>
        <w:r>
          <w:rPr>
            <w:noProof/>
            <w:webHidden/>
          </w:rPr>
        </w:r>
        <w:r>
          <w:rPr>
            <w:noProof/>
            <w:webHidden/>
          </w:rPr>
          <w:fldChar w:fldCharType="separate"/>
        </w:r>
        <w:r w:rsidR="00145415">
          <w:rPr>
            <w:noProof/>
            <w:webHidden/>
          </w:rPr>
          <w:t>7</w:t>
        </w:r>
        <w:r>
          <w:rPr>
            <w:noProof/>
            <w:webHidden/>
          </w:rPr>
          <w:fldChar w:fldCharType="end"/>
        </w:r>
      </w:hyperlink>
    </w:p>
    <w:p w14:paraId="0CE77D25" w14:textId="1760832F" w:rsidR="008038B8" w:rsidRDefault="008038B8">
      <w:pPr>
        <w:pStyle w:val="TOC2"/>
        <w:tabs>
          <w:tab w:val="right" w:leader="dot" w:pos="9628"/>
        </w:tabs>
        <w:rPr>
          <w:rFonts w:eastAsiaTheme="minorEastAsia"/>
          <w:noProof/>
          <w:kern w:val="2"/>
          <w:szCs w:val="24"/>
          <w:lang w:eastAsia="en-NZ"/>
          <w14:ligatures w14:val="standardContextual"/>
        </w:rPr>
      </w:pPr>
      <w:hyperlink w:anchor="_Toc211329309" w:history="1">
        <w:r w:rsidRPr="00C17084">
          <w:rPr>
            <w:rStyle w:val="Hyperlink"/>
            <w:noProof/>
          </w:rPr>
          <w:t>Number of re-applications</w:t>
        </w:r>
        <w:r>
          <w:rPr>
            <w:noProof/>
            <w:webHidden/>
          </w:rPr>
          <w:tab/>
        </w:r>
        <w:r>
          <w:rPr>
            <w:noProof/>
            <w:webHidden/>
          </w:rPr>
          <w:fldChar w:fldCharType="begin"/>
        </w:r>
        <w:r>
          <w:rPr>
            <w:noProof/>
            <w:webHidden/>
          </w:rPr>
          <w:instrText xml:space="preserve"> PAGEREF _Toc211329309 \h </w:instrText>
        </w:r>
        <w:r>
          <w:rPr>
            <w:noProof/>
            <w:webHidden/>
          </w:rPr>
        </w:r>
        <w:r>
          <w:rPr>
            <w:noProof/>
            <w:webHidden/>
          </w:rPr>
          <w:fldChar w:fldCharType="separate"/>
        </w:r>
        <w:r w:rsidR="00145415">
          <w:rPr>
            <w:noProof/>
            <w:webHidden/>
          </w:rPr>
          <w:t>7</w:t>
        </w:r>
        <w:r>
          <w:rPr>
            <w:noProof/>
            <w:webHidden/>
          </w:rPr>
          <w:fldChar w:fldCharType="end"/>
        </w:r>
      </w:hyperlink>
    </w:p>
    <w:p w14:paraId="27B8A5BF" w14:textId="37F73449" w:rsidR="008038B8" w:rsidRDefault="008038B8">
      <w:pPr>
        <w:pStyle w:val="TOC2"/>
        <w:tabs>
          <w:tab w:val="right" w:leader="dot" w:pos="9628"/>
        </w:tabs>
        <w:rPr>
          <w:rFonts w:eastAsiaTheme="minorEastAsia"/>
          <w:noProof/>
          <w:kern w:val="2"/>
          <w:szCs w:val="24"/>
          <w:lang w:eastAsia="en-NZ"/>
          <w14:ligatures w14:val="standardContextual"/>
        </w:rPr>
      </w:pPr>
      <w:hyperlink w:anchor="_Toc211329310" w:history="1">
        <w:r w:rsidRPr="00C17084">
          <w:rPr>
            <w:rStyle w:val="Hyperlink"/>
            <w:noProof/>
          </w:rPr>
          <w:t>Assisted deaths by location</w:t>
        </w:r>
        <w:r>
          <w:rPr>
            <w:noProof/>
            <w:webHidden/>
          </w:rPr>
          <w:tab/>
        </w:r>
        <w:r>
          <w:rPr>
            <w:noProof/>
            <w:webHidden/>
          </w:rPr>
          <w:fldChar w:fldCharType="begin"/>
        </w:r>
        <w:r>
          <w:rPr>
            <w:noProof/>
            <w:webHidden/>
          </w:rPr>
          <w:instrText xml:space="preserve"> PAGEREF _Toc211329310 \h </w:instrText>
        </w:r>
        <w:r>
          <w:rPr>
            <w:noProof/>
            <w:webHidden/>
          </w:rPr>
        </w:r>
        <w:r>
          <w:rPr>
            <w:noProof/>
            <w:webHidden/>
          </w:rPr>
          <w:fldChar w:fldCharType="separate"/>
        </w:r>
        <w:r w:rsidR="00145415">
          <w:rPr>
            <w:noProof/>
            <w:webHidden/>
          </w:rPr>
          <w:t>7</w:t>
        </w:r>
        <w:r>
          <w:rPr>
            <w:noProof/>
            <w:webHidden/>
          </w:rPr>
          <w:fldChar w:fldCharType="end"/>
        </w:r>
      </w:hyperlink>
    </w:p>
    <w:p w14:paraId="74930A06" w14:textId="71BB57CA" w:rsidR="006E1AF8" w:rsidRDefault="00DF19E5">
      <w:pPr>
        <w:spacing w:before="0" w:after="160" w:line="259" w:lineRule="auto"/>
      </w:pPr>
      <w:r>
        <w:fldChar w:fldCharType="end"/>
      </w:r>
      <w:r w:rsidR="006E1AF8">
        <w:br w:type="page"/>
      </w:r>
    </w:p>
    <w:p w14:paraId="46C0949A" w14:textId="77777777" w:rsidR="006E49BD" w:rsidRDefault="006E49BD" w:rsidP="00020998">
      <w:pPr>
        <w:pStyle w:val="Heading1"/>
      </w:pPr>
      <w:bookmarkStart w:id="3" w:name="_Toc211329305"/>
      <w:r w:rsidRPr="006E49BD">
        <w:lastRenderedPageBreak/>
        <w:t>Assisted dying service activities this quarter</w:t>
      </w:r>
      <w:bookmarkEnd w:id="3"/>
    </w:p>
    <w:p w14:paraId="0B51C714" w14:textId="795C7DAB" w:rsidR="006E1AF8" w:rsidRDefault="006E49BD" w:rsidP="006E1AF8">
      <w:pPr>
        <w:pStyle w:val="Heading2"/>
      </w:pPr>
      <w:bookmarkStart w:id="4" w:name="_Toc211329306"/>
      <w:r w:rsidRPr="006E49BD">
        <w:t>Overview of assisted dying service</w:t>
      </w:r>
      <w:bookmarkEnd w:id="4"/>
    </w:p>
    <w:p w14:paraId="4A927822" w14:textId="0D5CDE29" w:rsidR="006E49BD" w:rsidRPr="002C29C9" w:rsidRDefault="006E49BD" w:rsidP="006E49BD">
      <w:pPr>
        <w:shd w:val="clear" w:color="auto" w:fill="FFFFFF" w:themeFill="background1"/>
        <w:spacing w:before="20" w:after="120" w:line="264" w:lineRule="auto"/>
        <w:rPr>
          <w:rFonts w:ascii="Arial" w:eastAsia="Times New Roman" w:hAnsi="Arial" w:cs="Arial"/>
          <w:lang w:eastAsia="en-NZ"/>
        </w:rPr>
      </w:pPr>
      <w:r w:rsidRPr="4E6FDCC7">
        <w:rPr>
          <w:rFonts w:ascii="Arial" w:eastAsia="Times New Roman" w:hAnsi="Arial" w:cs="Arial"/>
          <w:lang w:eastAsia="en-NZ"/>
        </w:rPr>
        <w:t xml:space="preserve">Between </w:t>
      </w:r>
      <w:r w:rsidR="00802ED3">
        <w:rPr>
          <w:rFonts w:ascii="Arial" w:eastAsia="Times New Roman" w:hAnsi="Arial" w:cs="Arial"/>
          <w:lang w:eastAsia="en-NZ"/>
        </w:rPr>
        <w:t>1 July</w:t>
      </w:r>
      <w:r>
        <w:rPr>
          <w:rFonts w:ascii="Arial" w:eastAsia="Times New Roman" w:hAnsi="Arial" w:cs="Arial"/>
          <w:lang w:eastAsia="en-NZ"/>
        </w:rPr>
        <w:t xml:space="preserve"> a</w:t>
      </w:r>
      <w:r w:rsidRPr="4E6FDCC7">
        <w:rPr>
          <w:rFonts w:ascii="Arial" w:eastAsia="Times New Roman" w:hAnsi="Arial" w:cs="Arial"/>
          <w:lang w:eastAsia="en-NZ"/>
        </w:rPr>
        <w:t xml:space="preserve">nd </w:t>
      </w:r>
      <w:r w:rsidR="004F2645">
        <w:rPr>
          <w:rFonts w:ascii="Arial" w:eastAsia="Times New Roman" w:hAnsi="Arial" w:cs="Arial"/>
          <w:lang w:eastAsia="en-NZ"/>
        </w:rPr>
        <w:t>30</w:t>
      </w:r>
      <w:r w:rsidR="00802ED3">
        <w:rPr>
          <w:rFonts w:ascii="Arial" w:eastAsia="Times New Roman" w:hAnsi="Arial" w:cs="Arial"/>
          <w:lang w:eastAsia="en-NZ"/>
        </w:rPr>
        <w:t xml:space="preserve"> September </w:t>
      </w:r>
      <w:r w:rsidR="004F2645">
        <w:rPr>
          <w:rFonts w:ascii="Arial" w:eastAsia="Times New Roman" w:hAnsi="Arial" w:cs="Arial"/>
          <w:lang w:eastAsia="en-NZ"/>
        </w:rPr>
        <w:t>2025</w:t>
      </w:r>
      <w:r w:rsidR="00440267">
        <w:rPr>
          <w:rFonts w:ascii="Arial" w:eastAsia="Times New Roman" w:hAnsi="Arial" w:cs="Arial"/>
          <w:lang w:eastAsia="en-NZ"/>
        </w:rPr>
        <w:t>,</w:t>
      </w:r>
      <w:r w:rsidRPr="4E6FDCC7">
        <w:rPr>
          <w:rFonts w:ascii="Arial" w:eastAsia="Times New Roman" w:hAnsi="Arial" w:cs="Arial"/>
          <w:lang w:eastAsia="en-NZ"/>
        </w:rPr>
        <w:t xml:space="preserve"> the service received </w:t>
      </w:r>
      <w:r w:rsidR="00093D1A" w:rsidRPr="00622C74">
        <w:rPr>
          <w:rFonts w:ascii="Arial" w:eastAsia="Times New Roman" w:hAnsi="Arial" w:cs="Arial"/>
          <w:lang w:eastAsia="en-NZ"/>
        </w:rPr>
        <w:t>286</w:t>
      </w:r>
      <w:r w:rsidRPr="00622C74">
        <w:rPr>
          <w:rFonts w:ascii="Arial" w:eastAsia="Times New Roman" w:hAnsi="Arial" w:cs="Arial"/>
          <w:lang w:eastAsia="en-NZ"/>
        </w:rPr>
        <w:t xml:space="preserve"> </w:t>
      </w:r>
      <w:r w:rsidRPr="4E6FDCC7">
        <w:rPr>
          <w:rFonts w:ascii="Arial" w:eastAsia="Times New Roman" w:hAnsi="Arial" w:cs="Arial"/>
          <w:lang w:eastAsia="en-NZ"/>
        </w:rPr>
        <w:t xml:space="preserve">applications for assisted dying. There were also </w:t>
      </w:r>
      <w:r w:rsidR="00DC28DE">
        <w:rPr>
          <w:rFonts w:ascii="Arial" w:eastAsia="Times New Roman" w:hAnsi="Arial" w:cs="Arial"/>
          <w:lang w:eastAsia="en-NZ"/>
        </w:rPr>
        <w:t>141</w:t>
      </w:r>
      <w:r w:rsidRPr="4E6FDCC7">
        <w:rPr>
          <w:rFonts w:ascii="Arial" w:eastAsia="Times New Roman" w:hAnsi="Arial" w:cs="Arial"/>
          <w:lang w:eastAsia="en-NZ"/>
        </w:rPr>
        <w:t xml:space="preserve"> applications active that had been initiated before this quarterly reporting period. </w:t>
      </w:r>
    </w:p>
    <w:p w14:paraId="701791FB" w14:textId="6ED1D79D" w:rsidR="006E49BD" w:rsidRPr="002C29C9" w:rsidRDefault="006E49BD" w:rsidP="006E49BD">
      <w:pPr>
        <w:spacing w:before="20" w:after="120" w:line="264" w:lineRule="auto"/>
        <w:rPr>
          <w:rFonts w:ascii="Arial" w:eastAsia="Times New Roman" w:hAnsi="Arial" w:cs="Arial"/>
          <w:lang w:eastAsia="en-NZ"/>
        </w:rPr>
      </w:pPr>
      <w:r w:rsidRPr="4E6FDCC7">
        <w:rPr>
          <w:rFonts w:ascii="Arial" w:eastAsia="Times New Roman" w:hAnsi="Arial" w:cs="Arial"/>
          <w:lang w:eastAsia="en-NZ"/>
        </w:rPr>
        <w:t xml:space="preserve">Attending medical practitioners (AMPs) completed </w:t>
      </w:r>
      <w:r w:rsidR="00DC28DE" w:rsidRPr="00622C74">
        <w:rPr>
          <w:rFonts w:ascii="Arial" w:eastAsia="Times New Roman" w:hAnsi="Arial" w:cs="Arial"/>
          <w:lang w:eastAsia="en-NZ"/>
        </w:rPr>
        <w:t>277</w:t>
      </w:r>
      <w:r w:rsidRPr="00622C74">
        <w:rPr>
          <w:rFonts w:ascii="Arial" w:eastAsia="Times New Roman" w:hAnsi="Arial" w:cs="Arial"/>
          <w:lang w:eastAsia="en-NZ"/>
        </w:rPr>
        <w:t xml:space="preserve"> assessments and </w:t>
      </w:r>
      <w:r w:rsidR="00DC28DE" w:rsidRPr="00622C74">
        <w:rPr>
          <w:rFonts w:ascii="Arial" w:eastAsia="Times New Roman" w:hAnsi="Arial" w:cs="Arial"/>
          <w:lang w:eastAsia="en-NZ"/>
        </w:rPr>
        <w:t>i</w:t>
      </w:r>
      <w:r w:rsidRPr="00622C74">
        <w:rPr>
          <w:rFonts w:ascii="Arial" w:eastAsia="Times New Roman" w:hAnsi="Arial" w:cs="Arial"/>
          <w:lang w:eastAsia="en-NZ"/>
        </w:rPr>
        <w:t xml:space="preserve">ndependent medical practitioners (IMPs) completed </w:t>
      </w:r>
      <w:r w:rsidR="00CF38C7" w:rsidRPr="00622C74">
        <w:rPr>
          <w:rFonts w:ascii="Arial" w:eastAsia="Times New Roman" w:hAnsi="Arial" w:cs="Arial"/>
          <w:lang w:eastAsia="en-NZ"/>
        </w:rPr>
        <w:t>220</w:t>
      </w:r>
      <w:r w:rsidRPr="00622C74">
        <w:rPr>
          <w:rFonts w:ascii="Arial" w:eastAsia="Times New Roman" w:hAnsi="Arial" w:cs="Arial"/>
          <w:lang w:eastAsia="en-NZ"/>
        </w:rPr>
        <w:t xml:space="preserve"> assessments. Psychiatrists also completed some assessments (numbers withheld due to low numbers) in this period. In total, </w:t>
      </w:r>
      <w:r w:rsidR="00BB1587" w:rsidRPr="00622C74">
        <w:rPr>
          <w:rFonts w:ascii="Arial" w:eastAsia="Times New Roman" w:hAnsi="Arial" w:cs="Arial"/>
          <w:lang w:eastAsia="en-NZ"/>
        </w:rPr>
        <w:t>193</w:t>
      </w:r>
      <w:r w:rsidRPr="00622C74">
        <w:rPr>
          <w:rFonts w:ascii="Arial" w:eastAsia="Times New Roman" w:hAnsi="Arial" w:cs="Arial"/>
          <w:lang w:eastAsia="en-NZ"/>
        </w:rPr>
        <w:t xml:space="preserve"> </w:t>
      </w:r>
      <w:r w:rsidRPr="00A4001E">
        <w:rPr>
          <w:rFonts w:ascii="Arial" w:eastAsia="Times New Roman" w:hAnsi="Arial" w:cs="Arial"/>
          <w:lang w:eastAsia="en-NZ"/>
        </w:rPr>
        <w:t>applications were confirmed as eligible.</w:t>
      </w:r>
      <w:r w:rsidRPr="4E6FDCC7">
        <w:rPr>
          <w:rFonts w:ascii="Arial" w:eastAsia="Times New Roman" w:hAnsi="Arial" w:cs="Arial"/>
          <w:lang w:eastAsia="en-NZ"/>
        </w:rPr>
        <w:t xml:space="preserve"> </w:t>
      </w:r>
    </w:p>
    <w:p w14:paraId="53483E06" w14:textId="3A50F9DD" w:rsidR="006E49BD" w:rsidRPr="002C29C9" w:rsidRDefault="006E49BD" w:rsidP="006E49BD">
      <w:pPr>
        <w:shd w:val="clear" w:color="auto" w:fill="FFFFFF" w:themeFill="background1"/>
        <w:spacing w:before="20" w:after="120" w:line="264" w:lineRule="auto"/>
        <w:rPr>
          <w:rFonts w:ascii="Arial" w:eastAsia="Times New Roman" w:hAnsi="Arial" w:cs="Arial"/>
          <w:lang w:eastAsia="en-NZ"/>
        </w:rPr>
      </w:pPr>
      <w:r w:rsidRPr="4E6FDCC7">
        <w:rPr>
          <w:rFonts w:ascii="Arial" w:eastAsia="Times New Roman" w:hAnsi="Arial" w:cs="Arial"/>
          <w:lang w:eastAsia="en-NZ"/>
        </w:rPr>
        <w:t xml:space="preserve">AMPs facilitated </w:t>
      </w:r>
      <w:r w:rsidR="00026F9B">
        <w:rPr>
          <w:rFonts w:ascii="Arial" w:eastAsia="Times New Roman" w:hAnsi="Arial" w:cs="Arial"/>
          <w:lang w:eastAsia="en-NZ"/>
        </w:rPr>
        <w:t>127</w:t>
      </w:r>
      <w:r w:rsidR="002D72EA">
        <w:rPr>
          <w:rFonts w:ascii="Arial" w:eastAsia="Times New Roman" w:hAnsi="Arial" w:cs="Arial"/>
          <w:lang w:eastAsia="en-NZ"/>
        </w:rPr>
        <w:t xml:space="preserve"> </w:t>
      </w:r>
      <w:r w:rsidRPr="4E6FDCC7">
        <w:rPr>
          <w:rFonts w:ascii="Arial" w:eastAsia="Times New Roman" w:hAnsi="Arial" w:cs="Arial"/>
          <w:lang w:eastAsia="en-NZ"/>
        </w:rPr>
        <w:t xml:space="preserve">assisted deaths during this quarter. </w:t>
      </w:r>
    </w:p>
    <w:p w14:paraId="15803F21" w14:textId="3EC38ACF" w:rsidR="006E49BD" w:rsidRPr="002C29C9" w:rsidRDefault="006E49BD" w:rsidP="006E49BD">
      <w:pPr>
        <w:shd w:val="clear" w:color="auto" w:fill="FFFFFF" w:themeFill="background1"/>
        <w:spacing w:before="20" w:after="120" w:line="264" w:lineRule="auto"/>
        <w:rPr>
          <w:rFonts w:ascii="Arial" w:eastAsia="Times New Roman" w:hAnsi="Arial" w:cs="Arial"/>
          <w:lang w:eastAsia="en-NZ"/>
        </w:rPr>
      </w:pPr>
      <w:r w:rsidRPr="4E6FDCC7">
        <w:rPr>
          <w:rFonts w:ascii="Arial" w:eastAsia="Times New Roman" w:hAnsi="Arial" w:cs="Arial"/>
          <w:lang w:eastAsia="en-NZ"/>
        </w:rPr>
        <w:t xml:space="preserve">Of the applications reviewed during this </w:t>
      </w:r>
      <w:r w:rsidRPr="00622C74">
        <w:rPr>
          <w:rFonts w:ascii="Arial" w:eastAsia="Times New Roman" w:hAnsi="Arial" w:cs="Arial"/>
          <w:lang w:eastAsia="en-NZ"/>
        </w:rPr>
        <w:t xml:space="preserve">period, </w:t>
      </w:r>
      <w:r w:rsidR="00CA3028" w:rsidRPr="00622C74">
        <w:rPr>
          <w:rFonts w:ascii="Arial" w:eastAsia="Times New Roman" w:hAnsi="Arial" w:cs="Arial"/>
          <w:lang w:eastAsia="en-NZ"/>
        </w:rPr>
        <w:t>97</w:t>
      </w:r>
      <w:r w:rsidRPr="00622C74">
        <w:rPr>
          <w:rFonts w:ascii="Arial" w:eastAsia="Times New Roman" w:hAnsi="Arial" w:cs="Arial"/>
          <w:lang w:eastAsia="en-NZ"/>
        </w:rPr>
        <w:t xml:space="preserve"> were still in progress</w:t>
      </w:r>
      <w:r w:rsidRPr="4E6FDCC7">
        <w:rPr>
          <w:rFonts w:ascii="Arial" w:eastAsia="Times New Roman" w:hAnsi="Arial" w:cs="Arial"/>
          <w:lang w:eastAsia="en-NZ"/>
        </w:rPr>
        <w:t xml:space="preserve"> as of </w:t>
      </w:r>
      <w:r w:rsidR="00EA6430" w:rsidRPr="00EA6430">
        <w:rPr>
          <w:rFonts w:ascii="Arial" w:eastAsia="Times New Roman" w:hAnsi="Arial" w:cs="Arial"/>
          <w:lang w:eastAsia="en-NZ"/>
        </w:rPr>
        <w:t>30</w:t>
      </w:r>
      <w:r w:rsidR="00802ED3">
        <w:rPr>
          <w:rFonts w:ascii="Arial" w:eastAsia="Times New Roman" w:hAnsi="Arial" w:cs="Arial"/>
          <w:lang w:eastAsia="en-NZ"/>
        </w:rPr>
        <w:t xml:space="preserve"> September </w:t>
      </w:r>
      <w:r w:rsidR="00EA6430" w:rsidRPr="00EA6430">
        <w:rPr>
          <w:rFonts w:ascii="Arial" w:eastAsia="Times New Roman" w:hAnsi="Arial" w:cs="Arial"/>
          <w:lang w:eastAsia="en-NZ"/>
        </w:rPr>
        <w:t>2025</w:t>
      </w:r>
      <w:r w:rsidR="003A4E37">
        <w:rPr>
          <w:rFonts w:ascii="Arial" w:eastAsia="Times New Roman" w:hAnsi="Arial" w:cs="Arial"/>
          <w:lang w:eastAsia="en-NZ"/>
        </w:rPr>
        <w:t>.</w:t>
      </w:r>
    </w:p>
    <w:p w14:paraId="74028B62" w14:textId="5DB89702" w:rsidR="006E49BD" w:rsidRPr="003C0BAF" w:rsidRDefault="006E49BD" w:rsidP="00802ED3">
      <w:pPr>
        <w:shd w:val="clear" w:color="auto" w:fill="FFFFFF" w:themeFill="background1"/>
        <w:spacing w:before="20" w:after="60" w:line="264" w:lineRule="auto"/>
        <w:rPr>
          <w:rFonts w:ascii="Arial" w:eastAsia="Times New Roman" w:hAnsi="Arial" w:cs="Arial"/>
          <w:lang w:eastAsia="en-NZ"/>
        </w:rPr>
      </w:pPr>
      <w:r w:rsidRPr="4E6FDCC7">
        <w:rPr>
          <w:rFonts w:ascii="Arial" w:eastAsia="Times New Roman" w:hAnsi="Arial" w:cs="Arial"/>
          <w:lang w:eastAsia="en-NZ"/>
        </w:rPr>
        <w:t xml:space="preserve">During this quarter, </w:t>
      </w:r>
      <w:r w:rsidR="0031630C" w:rsidRPr="003C0BAF">
        <w:rPr>
          <w:rFonts w:ascii="Arial" w:eastAsia="Times New Roman" w:hAnsi="Arial" w:cs="Arial"/>
          <w:lang w:eastAsia="en-NZ"/>
        </w:rPr>
        <w:t>112</w:t>
      </w:r>
      <w:r w:rsidRPr="003C0BAF">
        <w:rPr>
          <w:rFonts w:ascii="Arial" w:eastAsia="Times New Roman" w:hAnsi="Arial" w:cs="Arial"/>
          <w:lang w:eastAsia="en-NZ"/>
        </w:rPr>
        <w:t xml:space="preserve"> applications did not proceed to an assisted death due to:</w:t>
      </w:r>
    </w:p>
    <w:p w14:paraId="20AA29DC" w14:textId="77777777" w:rsidR="006E49BD" w:rsidRPr="003C0BAF" w:rsidRDefault="006E49BD"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3C0BAF">
        <w:rPr>
          <w:rFonts w:ascii="Arial" w:eastAsia="Times New Roman" w:hAnsi="Arial" w:cs="Arial"/>
          <w:lang w:eastAsia="en-NZ"/>
        </w:rPr>
        <w:t xml:space="preserve">the application being found to not comply with The </w:t>
      </w:r>
      <w:bookmarkStart w:id="5" w:name="_Int_pbSSLXA9"/>
      <w:r w:rsidRPr="003C0BAF">
        <w:rPr>
          <w:rFonts w:ascii="Arial" w:eastAsia="Times New Roman" w:hAnsi="Arial" w:cs="Arial"/>
          <w:lang w:eastAsia="en-NZ"/>
        </w:rPr>
        <w:t>End of Life</w:t>
      </w:r>
      <w:bookmarkEnd w:id="5"/>
      <w:r w:rsidRPr="003C0BAF">
        <w:rPr>
          <w:rFonts w:ascii="Arial" w:eastAsia="Times New Roman" w:hAnsi="Arial" w:cs="Arial"/>
          <w:lang w:eastAsia="en-NZ"/>
        </w:rPr>
        <w:t xml:space="preserve"> Choice Act 2019</w:t>
      </w:r>
    </w:p>
    <w:p w14:paraId="3B14AF1E" w14:textId="77777777" w:rsidR="006E49BD" w:rsidRPr="003C0BAF" w:rsidRDefault="006E49BD"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3C0BAF">
        <w:rPr>
          <w:rFonts w:ascii="Arial" w:eastAsia="Times New Roman" w:hAnsi="Arial" w:cs="Arial"/>
          <w:lang w:eastAsia="en-NZ"/>
        </w:rPr>
        <w:t>the applicant withdrawing their application</w:t>
      </w:r>
    </w:p>
    <w:p w14:paraId="238EF5B4" w14:textId="77777777" w:rsidR="006E49BD" w:rsidRPr="003C0BAF" w:rsidRDefault="006E49BD"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3C0BAF">
        <w:rPr>
          <w:rFonts w:ascii="Arial" w:hAnsi="Arial" w:cs="Arial"/>
        </w:rPr>
        <w:t xml:space="preserve">the applicant is found non-eligible or not competent to give consent at, or following, </w:t>
      </w:r>
      <w:r w:rsidRPr="003C0BAF">
        <w:rPr>
          <w:rFonts w:ascii="Arial" w:eastAsia="Times New Roman" w:hAnsi="Arial" w:cs="Arial"/>
          <w:lang w:eastAsia="en-NZ"/>
        </w:rPr>
        <w:t>assessment</w:t>
      </w:r>
    </w:p>
    <w:p w14:paraId="3E74D222" w14:textId="77777777" w:rsidR="006E49BD" w:rsidRPr="003C0BAF" w:rsidRDefault="006E49BD" w:rsidP="00802ED3">
      <w:pPr>
        <w:pStyle w:val="ListParagraph"/>
        <w:numPr>
          <w:ilvl w:val="0"/>
          <w:numId w:val="32"/>
        </w:numPr>
        <w:shd w:val="clear" w:color="auto" w:fill="FFFFFF" w:themeFill="background1"/>
        <w:spacing w:before="60" w:after="120" w:line="264" w:lineRule="auto"/>
        <w:ind w:left="567" w:hanging="357"/>
        <w:contextualSpacing w:val="0"/>
        <w:rPr>
          <w:rFonts w:ascii="Arial" w:hAnsi="Arial" w:cs="Arial"/>
        </w:rPr>
      </w:pPr>
      <w:r w:rsidRPr="003C0BAF">
        <w:rPr>
          <w:rFonts w:ascii="Arial" w:hAnsi="Arial" w:cs="Arial"/>
        </w:rPr>
        <w:t>the applicant dying due to underlying conditions.</w:t>
      </w:r>
    </w:p>
    <w:p w14:paraId="22AE30BB" w14:textId="0EAD5E69" w:rsidR="006E49BD" w:rsidRPr="002C29C9" w:rsidRDefault="006E49BD" w:rsidP="00802ED3">
      <w:pPr>
        <w:shd w:val="clear" w:color="auto" w:fill="FFFFFF" w:themeFill="background1"/>
        <w:spacing w:before="20" w:after="60" w:line="264" w:lineRule="auto"/>
        <w:rPr>
          <w:rFonts w:ascii="Arial" w:eastAsia="Times New Roman" w:hAnsi="Arial" w:cs="Arial"/>
          <w:lang w:eastAsia="en-NZ"/>
        </w:rPr>
      </w:pPr>
      <w:r w:rsidRPr="003C0BAF">
        <w:rPr>
          <w:rFonts w:ascii="Arial" w:eastAsia="Times New Roman" w:hAnsi="Arial" w:cs="Arial"/>
          <w:lang w:eastAsia="en-NZ"/>
        </w:rPr>
        <w:t xml:space="preserve">Of the </w:t>
      </w:r>
      <w:r w:rsidR="00E878F5" w:rsidRPr="003C0BAF">
        <w:rPr>
          <w:rFonts w:ascii="Arial" w:eastAsia="Times New Roman" w:hAnsi="Arial" w:cs="Arial"/>
          <w:lang w:eastAsia="en-NZ"/>
        </w:rPr>
        <w:t>286</w:t>
      </w:r>
      <w:r w:rsidR="002D72EA" w:rsidRPr="003C0BAF">
        <w:rPr>
          <w:rFonts w:ascii="Arial" w:eastAsia="Times New Roman" w:hAnsi="Arial" w:cs="Arial"/>
          <w:lang w:eastAsia="en-NZ"/>
        </w:rPr>
        <w:t xml:space="preserve"> </w:t>
      </w:r>
      <w:r w:rsidRPr="003C0BAF">
        <w:rPr>
          <w:rFonts w:ascii="Arial" w:eastAsia="Times New Roman" w:hAnsi="Arial" w:cs="Arial"/>
          <w:lang w:eastAsia="en-NZ"/>
        </w:rPr>
        <w:t>applications</w:t>
      </w:r>
      <w:r w:rsidRPr="4E6FDCC7">
        <w:rPr>
          <w:rFonts w:ascii="Arial" w:eastAsia="Times New Roman" w:hAnsi="Arial" w:cs="Arial"/>
          <w:lang w:eastAsia="en-NZ"/>
        </w:rPr>
        <w:t xml:space="preserve"> received during this quarter:</w:t>
      </w:r>
    </w:p>
    <w:p w14:paraId="0F902943" w14:textId="75E00584" w:rsidR="006E49BD" w:rsidRPr="00622C74" w:rsidRDefault="006E49BD"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bookmarkStart w:id="6" w:name="_Hlk211516682"/>
      <w:r w:rsidRPr="00622C74">
        <w:rPr>
          <w:rFonts w:ascii="Arial" w:eastAsia="Times New Roman" w:hAnsi="Arial" w:cs="Arial"/>
          <w:lang w:eastAsia="en-NZ"/>
        </w:rPr>
        <w:t>7</w:t>
      </w:r>
      <w:r w:rsidR="004872CE" w:rsidRPr="00622C74">
        <w:rPr>
          <w:rFonts w:ascii="Arial" w:eastAsia="Times New Roman" w:hAnsi="Arial" w:cs="Arial"/>
          <w:lang w:eastAsia="en-NZ"/>
        </w:rPr>
        <w:t>9.7</w:t>
      </w:r>
      <w:r w:rsidRPr="00622C74">
        <w:rPr>
          <w:rFonts w:ascii="Arial" w:eastAsia="Times New Roman" w:hAnsi="Arial" w:cs="Arial"/>
          <w:lang w:eastAsia="en-NZ"/>
        </w:rPr>
        <w:t xml:space="preserve">% were Pākehā </w:t>
      </w:r>
    </w:p>
    <w:p w14:paraId="288BB314" w14:textId="0D216D83" w:rsidR="006E49BD" w:rsidRPr="00622C74" w:rsidRDefault="00BC72BC"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622C74">
        <w:rPr>
          <w:rFonts w:ascii="Arial" w:eastAsia="Times New Roman" w:hAnsi="Arial" w:cs="Arial"/>
          <w:lang w:eastAsia="en-NZ"/>
        </w:rPr>
        <w:t>3.1</w:t>
      </w:r>
      <w:r w:rsidR="006E49BD" w:rsidRPr="00622C74">
        <w:rPr>
          <w:rFonts w:ascii="Arial" w:eastAsia="Times New Roman" w:hAnsi="Arial" w:cs="Arial"/>
          <w:lang w:eastAsia="en-NZ"/>
        </w:rPr>
        <w:t>% were Māori</w:t>
      </w:r>
    </w:p>
    <w:p w14:paraId="1261C189" w14:textId="4F099F90" w:rsidR="006E49BD" w:rsidRPr="00622C74" w:rsidRDefault="006E49BD"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622C74">
        <w:rPr>
          <w:rFonts w:ascii="Arial" w:eastAsia="Times New Roman" w:hAnsi="Arial" w:cs="Arial"/>
          <w:lang w:eastAsia="en-NZ"/>
        </w:rPr>
        <w:t>4</w:t>
      </w:r>
      <w:r w:rsidR="00BC72BC" w:rsidRPr="00622C74">
        <w:rPr>
          <w:rFonts w:ascii="Arial" w:eastAsia="Times New Roman" w:hAnsi="Arial" w:cs="Arial"/>
          <w:lang w:eastAsia="en-NZ"/>
        </w:rPr>
        <w:t>8.3</w:t>
      </w:r>
      <w:r w:rsidRPr="00622C74">
        <w:rPr>
          <w:rFonts w:ascii="Arial" w:eastAsia="Times New Roman" w:hAnsi="Arial" w:cs="Arial"/>
          <w:lang w:eastAsia="en-NZ"/>
        </w:rPr>
        <w:t>% were Female/ Wāhine; 5</w:t>
      </w:r>
      <w:r w:rsidR="00BC72BC" w:rsidRPr="00622C74">
        <w:rPr>
          <w:rFonts w:ascii="Arial" w:eastAsia="Times New Roman" w:hAnsi="Arial" w:cs="Arial"/>
          <w:lang w:eastAsia="en-NZ"/>
        </w:rPr>
        <w:t>1.7</w:t>
      </w:r>
      <w:r w:rsidRPr="00622C74">
        <w:rPr>
          <w:rFonts w:ascii="Arial" w:eastAsia="Times New Roman" w:hAnsi="Arial" w:cs="Arial"/>
          <w:lang w:eastAsia="en-NZ"/>
        </w:rPr>
        <w:t>% were Male/Tāne</w:t>
      </w:r>
    </w:p>
    <w:p w14:paraId="4B4A723F" w14:textId="66437C8A" w:rsidR="006E49BD" w:rsidRPr="00622C74" w:rsidRDefault="006E49BD"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622C74">
        <w:rPr>
          <w:rFonts w:ascii="Arial" w:eastAsia="Times New Roman" w:hAnsi="Arial" w:cs="Arial"/>
          <w:lang w:eastAsia="en-NZ"/>
        </w:rPr>
        <w:t>7</w:t>
      </w:r>
      <w:r w:rsidR="008D62CE" w:rsidRPr="00622C74">
        <w:rPr>
          <w:rFonts w:ascii="Arial" w:eastAsia="Times New Roman" w:hAnsi="Arial" w:cs="Arial"/>
          <w:lang w:eastAsia="en-NZ"/>
        </w:rPr>
        <w:t>8.3</w:t>
      </w:r>
      <w:r w:rsidRPr="00622C74">
        <w:rPr>
          <w:rFonts w:ascii="Arial" w:eastAsia="Times New Roman" w:hAnsi="Arial" w:cs="Arial"/>
          <w:lang w:eastAsia="en-NZ"/>
        </w:rPr>
        <w:t>% were aged 65 years or older</w:t>
      </w:r>
    </w:p>
    <w:p w14:paraId="020DADB0" w14:textId="397067C2" w:rsidR="006E49BD" w:rsidRPr="00622C74" w:rsidRDefault="008D62CE"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622C74">
        <w:rPr>
          <w:rFonts w:ascii="Arial" w:eastAsia="Times New Roman" w:hAnsi="Arial" w:cs="Arial"/>
          <w:lang w:eastAsia="en-NZ"/>
        </w:rPr>
        <w:t>80.4</w:t>
      </w:r>
      <w:r w:rsidR="006E49BD" w:rsidRPr="00622C74">
        <w:rPr>
          <w:rFonts w:ascii="Arial" w:eastAsia="Times New Roman" w:hAnsi="Arial" w:cs="Arial"/>
          <w:lang w:eastAsia="en-NZ"/>
        </w:rPr>
        <w:t>% were receiving palliative care at the time of the application</w:t>
      </w:r>
    </w:p>
    <w:p w14:paraId="61CCE166" w14:textId="57AC95F4" w:rsidR="006E49BD" w:rsidRPr="00622C74" w:rsidRDefault="005809FD" w:rsidP="00802ED3">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622C74">
        <w:rPr>
          <w:rFonts w:ascii="Arial" w:eastAsia="Times New Roman" w:hAnsi="Arial" w:cs="Arial"/>
          <w:lang w:eastAsia="en-NZ"/>
        </w:rPr>
        <w:t>62.3</w:t>
      </w:r>
      <w:r w:rsidR="006E49BD" w:rsidRPr="00622C74">
        <w:rPr>
          <w:rFonts w:ascii="Arial" w:eastAsia="Times New Roman" w:hAnsi="Arial" w:cs="Arial"/>
          <w:lang w:eastAsia="en-NZ"/>
        </w:rPr>
        <w:t>% had a diagnosis of cancer</w:t>
      </w:r>
      <w:r w:rsidR="00802ED3">
        <w:rPr>
          <w:rFonts w:ascii="Arial" w:eastAsia="Times New Roman" w:hAnsi="Arial" w:cs="Arial"/>
          <w:lang w:eastAsia="en-NZ"/>
        </w:rPr>
        <w:t>.</w:t>
      </w:r>
    </w:p>
    <w:bookmarkEnd w:id="6"/>
    <w:p w14:paraId="00CEC7F3" w14:textId="77777777" w:rsidR="006E1AF8" w:rsidRDefault="006E1AF8">
      <w:pPr>
        <w:spacing w:before="0" w:after="160" w:line="259" w:lineRule="auto"/>
      </w:pPr>
      <w:r>
        <w:br w:type="page"/>
      </w:r>
    </w:p>
    <w:p w14:paraId="2CC30441" w14:textId="77777777" w:rsidR="006E49BD" w:rsidRPr="002C29C9" w:rsidRDefault="006E49BD" w:rsidP="006E49BD">
      <w:pPr>
        <w:pStyle w:val="Heading2"/>
      </w:pPr>
      <w:bookmarkStart w:id="7" w:name="_Toc211329307"/>
      <w:r w:rsidRPr="002C29C9">
        <w:lastRenderedPageBreak/>
        <w:t>Demographic summary of applications</w:t>
      </w:r>
      <w:bookmarkEnd w:id="7"/>
    </w:p>
    <w:p w14:paraId="4F123530" w14:textId="333FD91F" w:rsidR="006E49BD" w:rsidRPr="002C29C9" w:rsidRDefault="006E49BD" w:rsidP="006E49BD">
      <w:pPr>
        <w:shd w:val="clear" w:color="auto" w:fill="FFFFFF"/>
        <w:spacing w:after="0" w:line="240" w:lineRule="auto"/>
        <w:rPr>
          <w:rFonts w:ascii="Arial" w:hAnsi="Arial" w:cs="Arial"/>
        </w:rPr>
      </w:pPr>
      <w:r w:rsidRPr="002C29C9">
        <w:rPr>
          <w:rFonts w:ascii="Arial" w:hAnsi="Arial" w:cs="Arial"/>
        </w:rPr>
        <w:t xml:space="preserve">A demographic summary of the </w:t>
      </w:r>
      <w:r w:rsidR="008038B8" w:rsidRPr="00622C74">
        <w:rPr>
          <w:rFonts w:ascii="Arial" w:hAnsi="Arial" w:cs="Arial"/>
        </w:rPr>
        <w:t>286</w:t>
      </w:r>
      <w:r w:rsidRPr="002C29C9">
        <w:rPr>
          <w:rFonts w:ascii="Arial" w:hAnsi="Arial" w:cs="Arial"/>
        </w:rPr>
        <w:t xml:space="preserve"> applications received this quarter is presented in Table1 below.</w:t>
      </w:r>
    </w:p>
    <w:tbl>
      <w:tblPr>
        <w:tblW w:w="907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10"/>
        <w:gridCol w:w="3260"/>
        <w:gridCol w:w="1701"/>
        <w:gridCol w:w="1701"/>
      </w:tblGrid>
      <w:tr w:rsidR="006E49BD" w:rsidRPr="002C29C9" w14:paraId="0639B1BF" w14:textId="77777777" w:rsidTr="00BE3F8C">
        <w:tc>
          <w:tcPr>
            <w:tcW w:w="9072" w:type="dxa"/>
            <w:gridSpan w:val="4"/>
            <w:tcBorders>
              <w:top w:val="nil"/>
              <w:left w:val="nil"/>
              <w:bottom w:val="nil"/>
              <w:right w:val="nil"/>
            </w:tcBorders>
            <w:shd w:val="clear" w:color="auto" w:fill="FFFFFF" w:themeFill="background1"/>
            <w:vAlign w:val="center"/>
            <w:hideMark/>
          </w:tcPr>
          <w:p w14:paraId="7BCD18B4" w14:textId="77777777" w:rsidR="006E49BD" w:rsidRPr="00117329" w:rsidRDefault="006E49BD" w:rsidP="00802ED3">
            <w:pPr>
              <w:spacing w:after="120" w:line="240" w:lineRule="auto"/>
              <w:rPr>
                <w:rFonts w:ascii="Arial" w:eastAsia="Times New Roman" w:hAnsi="Arial" w:cs="Arial"/>
                <w:b/>
                <w:bCs/>
                <w:szCs w:val="24"/>
                <w:lang w:eastAsia="en-NZ"/>
              </w:rPr>
            </w:pPr>
            <w:r w:rsidRPr="00117329">
              <w:rPr>
                <w:rFonts w:ascii="Arial" w:eastAsia="Times New Roman" w:hAnsi="Arial" w:cs="Arial"/>
                <w:b/>
                <w:bCs/>
                <w:szCs w:val="24"/>
                <w:lang w:eastAsia="en-NZ"/>
              </w:rPr>
              <w:t>Table 1: Demographics of people that have applied for assisted dying services in the period</w:t>
            </w:r>
          </w:p>
        </w:tc>
      </w:tr>
      <w:tr w:rsidR="006E49BD" w:rsidRPr="002C29C9" w14:paraId="4A4E630C" w14:textId="77777777" w:rsidTr="00117329">
        <w:trPr>
          <w:trHeight w:val="288"/>
        </w:trPr>
        <w:tc>
          <w:tcPr>
            <w:tcW w:w="5670"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7D337DDD" w14:textId="77777777" w:rsidR="006E49BD" w:rsidRPr="00117329" w:rsidRDefault="006E49BD" w:rsidP="00802ED3">
            <w:pPr>
              <w:spacing w:before="60" w:after="60" w:line="240" w:lineRule="auto"/>
              <w:rPr>
                <w:rFonts w:ascii="Arial" w:eastAsia="Times New Roman" w:hAnsi="Arial" w:cs="Arial"/>
                <w:b/>
                <w:bCs/>
                <w:szCs w:val="24"/>
                <w:lang w:eastAsia="en-NZ"/>
              </w:rPr>
            </w:pPr>
            <w:r w:rsidRPr="00117329">
              <w:rPr>
                <w:rFonts w:ascii="Arial" w:eastAsia="Times New Roman" w:hAnsi="Arial" w:cs="Arial"/>
                <w:b/>
                <w:bCs/>
                <w:szCs w:val="24"/>
                <w:lang w:eastAsia="en-NZ"/>
              </w:rPr>
              <w:t>Demographic summary</w:t>
            </w:r>
          </w:p>
        </w:tc>
        <w:tc>
          <w:tcPr>
            <w:tcW w:w="1701" w:type="dxa"/>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3B7072BC" w14:textId="77777777" w:rsidR="006E49BD" w:rsidRPr="00117329" w:rsidRDefault="006E49BD" w:rsidP="00802ED3">
            <w:pPr>
              <w:spacing w:before="60" w:after="60" w:line="240" w:lineRule="auto"/>
              <w:jc w:val="center"/>
              <w:rPr>
                <w:rFonts w:ascii="Arial" w:eastAsia="Times New Roman" w:hAnsi="Arial" w:cs="Arial"/>
                <w:b/>
                <w:szCs w:val="24"/>
                <w:vertAlign w:val="superscript"/>
                <w:lang w:eastAsia="en-NZ"/>
              </w:rPr>
            </w:pPr>
            <w:r w:rsidRPr="00117329">
              <w:rPr>
                <w:rFonts w:ascii="Arial" w:eastAsia="Times New Roman" w:hAnsi="Arial" w:cs="Arial"/>
                <w:b/>
                <w:szCs w:val="24"/>
                <w:lang w:eastAsia="en-NZ"/>
              </w:rPr>
              <w:t>Applications</w:t>
            </w:r>
            <w:r w:rsidRPr="00117329">
              <w:rPr>
                <w:rFonts w:ascii="Arial" w:eastAsia="Times New Roman" w:hAnsi="Arial" w:cs="Arial"/>
                <w:b/>
                <w:bCs/>
                <w:szCs w:val="24"/>
                <w:vertAlign w:val="superscript"/>
                <w:lang w:eastAsia="en-NZ"/>
              </w:rPr>
              <w:t>3</w:t>
            </w:r>
          </w:p>
        </w:tc>
        <w:tc>
          <w:tcPr>
            <w:tcW w:w="1701" w:type="dxa"/>
            <w:tcBorders>
              <w:left w:val="single" w:sz="4" w:space="0" w:color="auto"/>
              <w:bottom w:val="single" w:sz="4" w:space="0" w:color="auto"/>
            </w:tcBorders>
            <w:shd w:val="clear" w:color="auto" w:fill="F2F2F2" w:themeFill="background1" w:themeFillShade="F2"/>
            <w:noWrap/>
            <w:vAlign w:val="center"/>
            <w:hideMark/>
          </w:tcPr>
          <w:p w14:paraId="63EE5C0E" w14:textId="77777777" w:rsidR="006E49BD" w:rsidRPr="00117329" w:rsidRDefault="006E49BD" w:rsidP="00802ED3">
            <w:pPr>
              <w:spacing w:before="60" w:after="60" w:line="240" w:lineRule="auto"/>
              <w:jc w:val="center"/>
              <w:rPr>
                <w:rFonts w:ascii="Arial" w:eastAsia="Times New Roman" w:hAnsi="Arial" w:cs="Arial"/>
                <w:b/>
                <w:bCs/>
                <w:szCs w:val="24"/>
                <w:lang w:eastAsia="en-NZ"/>
              </w:rPr>
            </w:pPr>
            <w:r w:rsidRPr="00117329">
              <w:rPr>
                <w:rFonts w:ascii="Arial" w:eastAsia="Times New Roman" w:hAnsi="Arial" w:cs="Arial"/>
                <w:b/>
                <w:bCs/>
                <w:szCs w:val="24"/>
                <w:lang w:eastAsia="en-NZ"/>
              </w:rPr>
              <w:t>% of applications</w:t>
            </w:r>
          </w:p>
        </w:tc>
      </w:tr>
      <w:tr w:rsidR="006E49BD" w:rsidRPr="002C29C9" w14:paraId="75AE4244" w14:textId="77777777" w:rsidTr="00054B7B">
        <w:trPr>
          <w:trHeight w:val="288"/>
        </w:trPr>
        <w:tc>
          <w:tcPr>
            <w:tcW w:w="2410" w:type="dxa"/>
            <w:vMerge w:val="restart"/>
            <w:tcBorders>
              <w:top w:val="single" w:sz="4" w:space="0" w:color="auto"/>
              <w:left w:val="nil"/>
              <w:right w:val="single" w:sz="4" w:space="0" w:color="auto"/>
            </w:tcBorders>
            <w:noWrap/>
          </w:tcPr>
          <w:p w14:paraId="3C3A94A8" w14:textId="77777777" w:rsidR="006E49BD" w:rsidRPr="00117329" w:rsidRDefault="006E49BD" w:rsidP="00802ED3">
            <w:pPr>
              <w:spacing w:before="60" w:after="60" w:line="240" w:lineRule="auto"/>
              <w:rPr>
                <w:rFonts w:ascii="Arial" w:eastAsia="Times New Roman" w:hAnsi="Arial" w:cs="Arial"/>
                <w:szCs w:val="24"/>
                <w:vertAlign w:val="superscript"/>
                <w:lang w:eastAsia="en-NZ"/>
              </w:rPr>
            </w:pPr>
            <w:r w:rsidRPr="00117329">
              <w:rPr>
                <w:rFonts w:ascii="Arial" w:eastAsia="Times New Roman" w:hAnsi="Arial" w:cs="Arial"/>
                <w:szCs w:val="24"/>
                <w:lang w:eastAsia="en-NZ"/>
              </w:rPr>
              <w:t>Ethnic group</w:t>
            </w:r>
            <w:r w:rsidRPr="00117329">
              <w:rPr>
                <w:rFonts w:ascii="Arial" w:eastAsia="Times New Roman" w:hAnsi="Arial" w:cs="Arial"/>
                <w:szCs w:val="24"/>
                <w:vertAlign w:val="superscript"/>
                <w:lang w:eastAsia="en-NZ"/>
              </w:rPr>
              <w:t>1</w:t>
            </w:r>
          </w:p>
        </w:tc>
        <w:tc>
          <w:tcPr>
            <w:tcW w:w="3260" w:type="dxa"/>
            <w:tcBorders>
              <w:top w:val="single" w:sz="4" w:space="0" w:color="auto"/>
              <w:left w:val="single" w:sz="4" w:space="0" w:color="auto"/>
              <w:bottom w:val="nil"/>
              <w:right w:val="single" w:sz="4" w:space="0" w:color="auto"/>
            </w:tcBorders>
            <w:noWrap/>
          </w:tcPr>
          <w:p w14:paraId="2E65CDF2"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Māori</w:t>
            </w:r>
          </w:p>
        </w:tc>
        <w:tc>
          <w:tcPr>
            <w:tcW w:w="1701" w:type="dxa"/>
            <w:tcBorders>
              <w:top w:val="single" w:sz="4" w:space="0" w:color="auto"/>
              <w:left w:val="single" w:sz="4" w:space="0" w:color="auto"/>
              <w:bottom w:val="nil"/>
              <w:right w:val="single" w:sz="4" w:space="0" w:color="auto"/>
            </w:tcBorders>
            <w:noWrap/>
            <w:hideMark/>
          </w:tcPr>
          <w:p w14:paraId="129A7962" w14:textId="6C12C35A" w:rsidR="006E49BD" w:rsidRPr="00622C74" w:rsidRDefault="00C6700B" w:rsidP="00802ED3">
            <w:pPr>
              <w:spacing w:before="60" w:after="60" w:line="240" w:lineRule="auto"/>
              <w:ind w:right="765"/>
              <w:jc w:val="right"/>
              <w:rPr>
                <w:rFonts w:ascii="Arial" w:eastAsia="Times New Roman" w:hAnsi="Arial" w:cs="Arial"/>
                <w:szCs w:val="24"/>
                <w:lang w:eastAsia="en-NZ"/>
              </w:rPr>
            </w:pPr>
            <w:r w:rsidRPr="00622C74">
              <w:rPr>
                <w:rFonts w:ascii="Arial" w:eastAsia="Times New Roman" w:hAnsi="Arial" w:cs="Arial"/>
                <w:szCs w:val="24"/>
                <w:lang w:eastAsia="en-NZ"/>
              </w:rPr>
              <w:t>9</w:t>
            </w:r>
          </w:p>
        </w:tc>
        <w:tc>
          <w:tcPr>
            <w:tcW w:w="1701" w:type="dxa"/>
            <w:tcBorders>
              <w:top w:val="single" w:sz="4" w:space="0" w:color="auto"/>
              <w:left w:val="single" w:sz="4" w:space="0" w:color="auto"/>
              <w:bottom w:val="nil"/>
              <w:right w:val="nil"/>
            </w:tcBorders>
            <w:noWrap/>
            <w:hideMark/>
          </w:tcPr>
          <w:p w14:paraId="4B2F6E7B" w14:textId="4B6AF6B9" w:rsidR="006E49BD" w:rsidRPr="00622C74" w:rsidRDefault="00C6700B" w:rsidP="00802ED3">
            <w:pPr>
              <w:spacing w:before="60" w:after="60" w:line="240" w:lineRule="auto"/>
              <w:ind w:right="556"/>
              <w:jc w:val="right"/>
              <w:rPr>
                <w:rFonts w:ascii="Arial" w:eastAsia="Times New Roman" w:hAnsi="Arial" w:cs="Arial"/>
                <w:szCs w:val="24"/>
                <w:lang w:eastAsia="en-NZ"/>
              </w:rPr>
            </w:pPr>
            <w:r w:rsidRPr="00622C74">
              <w:rPr>
                <w:rFonts w:ascii="Arial" w:eastAsia="Times New Roman" w:hAnsi="Arial" w:cs="Arial"/>
                <w:szCs w:val="24"/>
                <w:lang w:eastAsia="en-NZ"/>
              </w:rPr>
              <w:t>3.1</w:t>
            </w:r>
            <w:r w:rsidR="006E49BD" w:rsidRPr="00622C74">
              <w:rPr>
                <w:rFonts w:ascii="Arial" w:eastAsia="Times New Roman" w:hAnsi="Arial" w:cs="Arial"/>
                <w:szCs w:val="24"/>
                <w:lang w:eastAsia="en-NZ"/>
              </w:rPr>
              <w:t>%</w:t>
            </w:r>
          </w:p>
        </w:tc>
      </w:tr>
      <w:tr w:rsidR="006E49BD" w:rsidRPr="002C29C9" w14:paraId="6EA35061" w14:textId="77777777" w:rsidTr="00054B7B">
        <w:trPr>
          <w:trHeight w:val="288"/>
        </w:trPr>
        <w:tc>
          <w:tcPr>
            <w:tcW w:w="2410" w:type="dxa"/>
            <w:vMerge/>
            <w:noWrap/>
            <w:vAlign w:val="bottom"/>
            <w:hideMark/>
          </w:tcPr>
          <w:p w14:paraId="393125E3"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right w:val="single" w:sz="4" w:space="0" w:color="auto"/>
            </w:tcBorders>
            <w:noWrap/>
            <w:hideMark/>
          </w:tcPr>
          <w:p w14:paraId="2D87409F"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European</w:t>
            </w:r>
          </w:p>
        </w:tc>
        <w:tc>
          <w:tcPr>
            <w:tcW w:w="1701" w:type="dxa"/>
            <w:tcBorders>
              <w:top w:val="nil"/>
              <w:left w:val="single" w:sz="4" w:space="0" w:color="auto"/>
              <w:right w:val="single" w:sz="4" w:space="0" w:color="auto"/>
            </w:tcBorders>
            <w:noWrap/>
            <w:hideMark/>
          </w:tcPr>
          <w:p w14:paraId="38C6CE5B" w14:textId="2A2F7820" w:rsidR="006E49BD" w:rsidRPr="00622C74" w:rsidRDefault="00573474" w:rsidP="00802ED3">
            <w:pPr>
              <w:spacing w:before="60" w:after="60" w:line="240" w:lineRule="auto"/>
              <w:ind w:right="765"/>
              <w:jc w:val="right"/>
              <w:rPr>
                <w:rFonts w:ascii="Arial" w:eastAsia="Times New Roman" w:hAnsi="Arial" w:cs="Arial"/>
                <w:szCs w:val="24"/>
                <w:lang w:eastAsia="en-NZ"/>
              </w:rPr>
            </w:pPr>
            <w:r w:rsidRPr="00622C74">
              <w:rPr>
                <w:rFonts w:ascii="Arial" w:eastAsia="Times New Roman" w:hAnsi="Arial" w:cs="Arial"/>
                <w:szCs w:val="24"/>
                <w:lang w:eastAsia="en-NZ"/>
              </w:rPr>
              <w:t>231</w:t>
            </w:r>
          </w:p>
        </w:tc>
        <w:tc>
          <w:tcPr>
            <w:tcW w:w="1701" w:type="dxa"/>
            <w:tcBorders>
              <w:top w:val="nil"/>
              <w:left w:val="single" w:sz="4" w:space="0" w:color="auto"/>
              <w:right w:val="nil"/>
            </w:tcBorders>
            <w:noWrap/>
            <w:hideMark/>
          </w:tcPr>
          <w:p w14:paraId="3DE7548C" w14:textId="124E3BEB" w:rsidR="006E49BD" w:rsidRPr="00622C74" w:rsidRDefault="00573474" w:rsidP="00802ED3">
            <w:pPr>
              <w:spacing w:before="60" w:after="60" w:line="240" w:lineRule="auto"/>
              <w:ind w:right="556"/>
              <w:jc w:val="right"/>
              <w:rPr>
                <w:rFonts w:ascii="Arial" w:eastAsia="Times New Roman" w:hAnsi="Arial" w:cs="Arial"/>
                <w:szCs w:val="24"/>
                <w:lang w:eastAsia="en-NZ"/>
              </w:rPr>
            </w:pPr>
            <w:r w:rsidRPr="00622C74">
              <w:rPr>
                <w:rFonts w:ascii="Arial" w:eastAsia="Times New Roman" w:hAnsi="Arial" w:cs="Arial"/>
                <w:szCs w:val="24"/>
                <w:lang w:eastAsia="en-NZ"/>
              </w:rPr>
              <w:t>79.7%</w:t>
            </w:r>
          </w:p>
        </w:tc>
      </w:tr>
      <w:tr w:rsidR="006E49BD" w:rsidRPr="002C29C9" w14:paraId="1B57D44F" w14:textId="77777777" w:rsidTr="00054B7B">
        <w:trPr>
          <w:trHeight w:val="288"/>
        </w:trPr>
        <w:tc>
          <w:tcPr>
            <w:tcW w:w="2410" w:type="dxa"/>
            <w:vMerge/>
            <w:noWrap/>
            <w:vAlign w:val="bottom"/>
          </w:tcPr>
          <w:p w14:paraId="0A4F8B0F"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right w:val="single" w:sz="4" w:space="0" w:color="auto"/>
            </w:tcBorders>
            <w:noWrap/>
          </w:tcPr>
          <w:p w14:paraId="28966EA1"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Asian</w:t>
            </w:r>
          </w:p>
        </w:tc>
        <w:tc>
          <w:tcPr>
            <w:tcW w:w="1701" w:type="dxa"/>
            <w:tcBorders>
              <w:top w:val="nil"/>
              <w:left w:val="single" w:sz="4" w:space="0" w:color="auto"/>
              <w:right w:val="single" w:sz="4" w:space="0" w:color="auto"/>
            </w:tcBorders>
            <w:noWrap/>
          </w:tcPr>
          <w:p w14:paraId="2E1EE876" w14:textId="380ECAF0" w:rsidR="006E49BD" w:rsidRPr="00622C74" w:rsidRDefault="00573474" w:rsidP="00802ED3">
            <w:pPr>
              <w:spacing w:before="60" w:after="60" w:line="240" w:lineRule="auto"/>
              <w:ind w:right="765"/>
              <w:jc w:val="right"/>
              <w:rPr>
                <w:rFonts w:ascii="Arial" w:eastAsia="Times New Roman" w:hAnsi="Arial" w:cs="Arial"/>
                <w:szCs w:val="24"/>
                <w:lang w:eastAsia="en-NZ"/>
              </w:rPr>
            </w:pPr>
            <w:r w:rsidRPr="00622C74">
              <w:rPr>
                <w:rFonts w:ascii="Arial" w:eastAsia="Times New Roman" w:hAnsi="Arial" w:cs="Arial"/>
                <w:szCs w:val="24"/>
                <w:lang w:eastAsia="en-NZ"/>
              </w:rPr>
              <w:t>9</w:t>
            </w:r>
          </w:p>
        </w:tc>
        <w:tc>
          <w:tcPr>
            <w:tcW w:w="1701" w:type="dxa"/>
            <w:tcBorders>
              <w:top w:val="nil"/>
              <w:left w:val="single" w:sz="4" w:space="0" w:color="auto"/>
              <w:right w:val="nil"/>
            </w:tcBorders>
            <w:noWrap/>
          </w:tcPr>
          <w:p w14:paraId="72C8C5C4" w14:textId="54A36334" w:rsidR="006E49BD" w:rsidRPr="00622C74" w:rsidRDefault="00573474" w:rsidP="00802ED3">
            <w:pPr>
              <w:spacing w:before="60" w:after="60" w:line="240" w:lineRule="auto"/>
              <w:ind w:right="556"/>
              <w:jc w:val="right"/>
              <w:rPr>
                <w:rFonts w:ascii="Arial" w:eastAsia="Times New Roman" w:hAnsi="Arial" w:cs="Arial"/>
                <w:szCs w:val="24"/>
                <w:lang w:eastAsia="en-NZ"/>
              </w:rPr>
            </w:pPr>
            <w:r w:rsidRPr="00622C74">
              <w:rPr>
                <w:rFonts w:ascii="Arial" w:eastAsia="Times New Roman" w:hAnsi="Arial" w:cs="Arial"/>
                <w:szCs w:val="24"/>
                <w:lang w:eastAsia="en-NZ"/>
              </w:rPr>
              <w:t>3.1%</w:t>
            </w:r>
          </w:p>
        </w:tc>
      </w:tr>
      <w:tr w:rsidR="006E49BD" w:rsidRPr="002C29C9" w14:paraId="0335E360" w14:textId="77777777" w:rsidTr="00054B7B">
        <w:trPr>
          <w:trHeight w:val="288"/>
        </w:trPr>
        <w:tc>
          <w:tcPr>
            <w:tcW w:w="2410" w:type="dxa"/>
            <w:vMerge/>
            <w:noWrap/>
            <w:vAlign w:val="bottom"/>
            <w:hideMark/>
          </w:tcPr>
          <w:p w14:paraId="1378A7F4"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left w:val="single" w:sz="4" w:space="0" w:color="auto"/>
              <w:bottom w:val="single" w:sz="4" w:space="0" w:color="auto"/>
              <w:right w:val="single" w:sz="4" w:space="0" w:color="auto"/>
            </w:tcBorders>
            <w:noWrap/>
            <w:hideMark/>
          </w:tcPr>
          <w:p w14:paraId="16CFF989"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Other, incl. Pacific</w:t>
            </w:r>
          </w:p>
        </w:tc>
        <w:tc>
          <w:tcPr>
            <w:tcW w:w="1701" w:type="dxa"/>
            <w:tcBorders>
              <w:left w:val="single" w:sz="4" w:space="0" w:color="auto"/>
              <w:bottom w:val="single" w:sz="4" w:space="0" w:color="auto"/>
              <w:right w:val="single" w:sz="4" w:space="0" w:color="auto"/>
            </w:tcBorders>
            <w:noWrap/>
            <w:hideMark/>
          </w:tcPr>
          <w:p w14:paraId="43A4B198" w14:textId="413A7DF2" w:rsidR="006E49BD" w:rsidRPr="00622C74" w:rsidRDefault="0024755A" w:rsidP="00802ED3">
            <w:pPr>
              <w:spacing w:before="60" w:after="60" w:line="240" w:lineRule="auto"/>
              <w:ind w:right="765"/>
              <w:jc w:val="right"/>
              <w:rPr>
                <w:rFonts w:ascii="Arial" w:eastAsia="Times New Roman" w:hAnsi="Arial" w:cs="Arial"/>
                <w:szCs w:val="24"/>
                <w:lang w:eastAsia="en-NZ"/>
              </w:rPr>
            </w:pPr>
            <w:r w:rsidRPr="00622C74">
              <w:rPr>
                <w:rFonts w:ascii="Arial" w:eastAsia="Times New Roman" w:hAnsi="Arial" w:cs="Arial"/>
                <w:szCs w:val="24"/>
                <w:lang w:eastAsia="en-NZ"/>
              </w:rPr>
              <w:t>41</w:t>
            </w:r>
          </w:p>
        </w:tc>
        <w:tc>
          <w:tcPr>
            <w:tcW w:w="1701" w:type="dxa"/>
            <w:tcBorders>
              <w:left w:val="single" w:sz="4" w:space="0" w:color="auto"/>
              <w:bottom w:val="single" w:sz="4" w:space="0" w:color="auto"/>
              <w:right w:val="nil"/>
            </w:tcBorders>
            <w:noWrap/>
            <w:hideMark/>
          </w:tcPr>
          <w:p w14:paraId="203DF03C" w14:textId="2809CDBE" w:rsidR="006E49BD" w:rsidRPr="00622C74" w:rsidRDefault="0024755A" w:rsidP="00802ED3">
            <w:pPr>
              <w:spacing w:before="60" w:after="60" w:line="240" w:lineRule="auto"/>
              <w:ind w:right="556"/>
              <w:jc w:val="right"/>
              <w:rPr>
                <w:rFonts w:ascii="Arial" w:eastAsia="Times New Roman" w:hAnsi="Arial" w:cs="Arial"/>
                <w:szCs w:val="24"/>
                <w:lang w:eastAsia="en-NZ"/>
              </w:rPr>
            </w:pPr>
            <w:r w:rsidRPr="00622C74">
              <w:rPr>
                <w:rFonts w:ascii="Arial" w:eastAsia="Times New Roman" w:hAnsi="Arial" w:cs="Arial"/>
                <w:szCs w:val="24"/>
                <w:lang w:eastAsia="en-NZ"/>
              </w:rPr>
              <w:t>14.1%</w:t>
            </w:r>
          </w:p>
        </w:tc>
      </w:tr>
      <w:tr w:rsidR="006E49BD" w:rsidRPr="002C29C9" w14:paraId="74E1389F" w14:textId="77777777" w:rsidTr="00054B7B">
        <w:trPr>
          <w:trHeight w:val="288"/>
        </w:trPr>
        <w:tc>
          <w:tcPr>
            <w:tcW w:w="2410" w:type="dxa"/>
            <w:vMerge w:val="restart"/>
            <w:tcBorders>
              <w:top w:val="single" w:sz="4" w:space="0" w:color="auto"/>
              <w:left w:val="nil"/>
              <w:right w:val="single" w:sz="4" w:space="0" w:color="auto"/>
            </w:tcBorders>
            <w:noWrap/>
            <w:hideMark/>
          </w:tcPr>
          <w:p w14:paraId="4560887B" w14:textId="77777777" w:rsidR="006E49BD" w:rsidRPr="00117329" w:rsidRDefault="006E49BD" w:rsidP="00802ED3">
            <w:pPr>
              <w:spacing w:before="60" w:after="60" w:line="240" w:lineRule="auto"/>
              <w:rPr>
                <w:rFonts w:ascii="Arial" w:eastAsia="Times New Roman" w:hAnsi="Arial" w:cs="Arial"/>
                <w:szCs w:val="24"/>
                <w:lang w:eastAsia="en-NZ"/>
              </w:rPr>
            </w:pPr>
            <w:r w:rsidRPr="00117329">
              <w:rPr>
                <w:rFonts w:ascii="Arial" w:eastAsia="Times New Roman" w:hAnsi="Arial" w:cs="Arial"/>
                <w:szCs w:val="24"/>
                <w:lang w:eastAsia="en-NZ"/>
              </w:rPr>
              <w:t>Sex</w:t>
            </w:r>
          </w:p>
        </w:tc>
        <w:tc>
          <w:tcPr>
            <w:tcW w:w="3260" w:type="dxa"/>
            <w:tcBorders>
              <w:top w:val="single" w:sz="4" w:space="0" w:color="auto"/>
              <w:left w:val="single" w:sz="4" w:space="0" w:color="auto"/>
              <w:bottom w:val="nil"/>
              <w:right w:val="single" w:sz="4" w:space="0" w:color="auto"/>
            </w:tcBorders>
            <w:noWrap/>
            <w:hideMark/>
          </w:tcPr>
          <w:p w14:paraId="2360AFC7"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Female/Wāhine</w:t>
            </w:r>
          </w:p>
        </w:tc>
        <w:tc>
          <w:tcPr>
            <w:tcW w:w="1701" w:type="dxa"/>
            <w:tcBorders>
              <w:top w:val="single" w:sz="4" w:space="0" w:color="auto"/>
              <w:left w:val="single" w:sz="4" w:space="0" w:color="auto"/>
              <w:bottom w:val="nil"/>
              <w:right w:val="single" w:sz="4" w:space="0" w:color="auto"/>
            </w:tcBorders>
            <w:noWrap/>
            <w:hideMark/>
          </w:tcPr>
          <w:p w14:paraId="4F442EA6" w14:textId="5DF41167" w:rsidR="006E49BD" w:rsidRPr="00D410BE" w:rsidRDefault="009B14B3" w:rsidP="00802ED3">
            <w:pPr>
              <w:spacing w:before="60" w:after="60" w:line="240" w:lineRule="auto"/>
              <w:ind w:right="765"/>
              <w:jc w:val="right"/>
              <w:rPr>
                <w:rFonts w:ascii="Arial" w:eastAsia="Times New Roman" w:hAnsi="Arial" w:cs="Arial"/>
                <w:szCs w:val="24"/>
                <w:lang w:eastAsia="en-NZ"/>
              </w:rPr>
            </w:pPr>
            <w:r w:rsidRPr="00D410BE">
              <w:rPr>
                <w:rFonts w:ascii="Arial" w:eastAsia="Times New Roman" w:hAnsi="Arial" w:cs="Arial"/>
                <w:szCs w:val="24"/>
                <w:lang w:eastAsia="en-NZ"/>
              </w:rPr>
              <w:t>138</w:t>
            </w:r>
          </w:p>
        </w:tc>
        <w:tc>
          <w:tcPr>
            <w:tcW w:w="1701" w:type="dxa"/>
            <w:tcBorders>
              <w:top w:val="single" w:sz="4" w:space="0" w:color="auto"/>
              <w:left w:val="single" w:sz="4" w:space="0" w:color="auto"/>
              <w:bottom w:val="nil"/>
              <w:right w:val="nil"/>
            </w:tcBorders>
            <w:noWrap/>
            <w:hideMark/>
          </w:tcPr>
          <w:p w14:paraId="05BE697B" w14:textId="2BC2BB46" w:rsidR="006E49BD" w:rsidRPr="00D410BE" w:rsidRDefault="009B14B3" w:rsidP="00802ED3">
            <w:pPr>
              <w:spacing w:before="60" w:after="60" w:line="240" w:lineRule="auto"/>
              <w:ind w:right="556"/>
              <w:jc w:val="right"/>
              <w:rPr>
                <w:rFonts w:ascii="Arial" w:eastAsia="Times New Roman" w:hAnsi="Arial" w:cs="Arial"/>
                <w:szCs w:val="24"/>
                <w:lang w:eastAsia="en-NZ"/>
              </w:rPr>
            </w:pPr>
            <w:r w:rsidRPr="00D410BE">
              <w:rPr>
                <w:rFonts w:ascii="Arial" w:eastAsia="Times New Roman" w:hAnsi="Arial" w:cs="Arial"/>
                <w:szCs w:val="24"/>
                <w:lang w:eastAsia="en-NZ"/>
              </w:rPr>
              <w:t>48.3%</w:t>
            </w:r>
          </w:p>
        </w:tc>
      </w:tr>
      <w:tr w:rsidR="006E49BD" w:rsidRPr="002C29C9" w14:paraId="59D2A800" w14:textId="77777777" w:rsidTr="00054B7B">
        <w:trPr>
          <w:trHeight w:val="288"/>
        </w:trPr>
        <w:tc>
          <w:tcPr>
            <w:tcW w:w="2410" w:type="dxa"/>
            <w:vMerge/>
            <w:noWrap/>
            <w:hideMark/>
          </w:tcPr>
          <w:p w14:paraId="7F461AA7"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right w:val="single" w:sz="4" w:space="0" w:color="auto"/>
            </w:tcBorders>
            <w:noWrap/>
            <w:hideMark/>
          </w:tcPr>
          <w:p w14:paraId="3F797247"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Male/Tāne</w:t>
            </w:r>
          </w:p>
        </w:tc>
        <w:tc>
          <w:tcPr>
            <w:tcW w:w="1701" w:type="dxa"/>
            <w:tcBorders>
              <w:top w:val="nil"/>
              <w:left w:val="single" w:sz="4" w:space="0" w:color="auto"/>
              <w:right w:val="single" w:sz="4" w:space="0" w:color="auto"/>
            </w:tcBorders>
            <w:noWrap/>
            <w:hideMark/>
          </w:tcPr>
          <w:p w14:paraId="3121E024" w14:textId="2E7D91B4" w:rsidR="006E49BD" w:rsidRPr="00D410BE" w:rsidRDefault="009B14B3" w:rsidP="00802ED3">
            <w:pPr>
              <w:spacing w:before="60" w:after="60" w:line="240" w:lineRule="auto"/>
              <w:ind w:right="765"/>
              <w:jc w:val="right"/>
              <w:rPr>
                <w:rFonts w:ascii="Arial" w:eastAsia="Times New Roman" w:hAnsi="Arial" w:cs="Arial"/>
                <w:szCs w:val="24"/>
                <w:lang w:eastAsia="en-NZ"/>
              </w:rPr>
            </w:pPr>
            <w:r w:rsidRPr="00D410BE">
              <w:rPr>
                <w:rFonts w:ascii="Arial" w:eastAsia="Times New Roman" w:hAnsi="Arial" w:cs="Arial"/>
                <w:szCs w:val="24"/>
                <w:lang w:eastAsia="en-NZ"/>
              </w:rPr>
              <w:t>148</w:t>
            </w:r>
          </w:p>
        </w:tc>
        <w:tc>
          <w:tcPr>
            <w:tcW w:w="1701" w:type="dxa"/>
            <w:tcBorders>
              <w:top w:val="nil"/>
              <w:left w:val="single" w:sz="4" w:space="0" w:color="auto"/>
              <w:right w:val="nil"/>
            </w:tcBorders>
            <w:noWrap/>
            <w:hideMark/>
          </w:tcPr>
          <w:p w14:paraId="7BA09074" w14:textId="1292171D" w:rsidR="006E49BD" w:rsidRPr="00D410BE" w:rsidRDefault="009B14B3" w:rsidP="00802ED3">
            <w:pPr>
              <w:spacing w:before="60" w:after="60" w:line="240" w:lineRule="auto"/>
              <w:ind w:right="556"/>
              <w:jc w:val="right"/>
              <w:rPr>
                <w:rFonts w:ascii="Arial" w:eastAsia="Times New Roman" w:hAnsi="Arial" w:cs="Arial"/>
                <w:szCs w:val="24"/>
                <w:lang w:eastAsia="en-NZ"/>
              </w:rPr>
            </w:pPr>
            <w:r w:rsidRPr="00D410BE">
              <w:rPr>
                <w:rFonts w:ascii="Arial" w:eastAsia="Times New Roman" w:hAnsi="Arial" w:cs="Arial"/>
                <w:szCs w:val="24"/>
                <w:lang w:eastAsia="en-NZ"/>
              </w:rPr>
              <w:t>51.7%</w:t>
            </w:r>
          </w:p>
        </w:tc>
      </w:tr>
      <w:tr w:rsidR="006E49BD" w:rsidRPr="002C29C9" w14:paraId="516C430A" w14:textId="77777777" w:rsidTr="00054B7B">
        <w:trPr>
          <w:trHeight w:val="288"/>
        </w:trPr>
        <w:tc>
          <w:tcPr>
            <w:tcW w:w="2410" w:type="dxa"/>
            <w:vMerge/>
            <w:noWrap/>
            <w:hideMark/>
          </w:tcPr>
          <w:p w14:paraId="0183FD91"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bottom w:val="single" w:sz="4" w:space="0" w:color="auto"/>
              <w:right w:val="single" w:sz="4" w:space="0" w:color="auto"/>
            </w:tcBorders>
            <w:noWrap/>
            <w:hideMark/>
          </w:tcPr>
          <w:p w14:paraId="3FA356ED"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Gender diverse</w:t>
            </w:r>
          </w:p>
        </w:tc>
        <w:tc>
          <w:tcPr>
            <w:tcW w:w="1701" w:type="dxa"/>
            <w:tcBorders>
              <w:top w:val="nil"/>
              <w:left w:val="single" w:sz="4" w:space="0" w:color="auto"/>
              <w:bottom w:val="single" w:sz="4" w:space="0" w:color="auto"/>
              <w:right w:val="single" w:sz="4" w:space="0" w:color="auto"/>
            </w:tcBorders>
            <w:noWrap/>
            <w:hideMark/>
          </w:tcPr>
          <w:p w14:paraId="784AA53A" w14:textId="77777777" w:rsidR="006E49BD" w:rsidRPr="00D410BE" w:rsidRDefault="006E49BD" w:rsidP="00802ED3">
            <w:pPr>
              <w:spacing w:before="60" w:after="60" w:line="240" w:lineRule="auto"/>
              <w:ind w:right="765"/>
              <w:jc w:val="right"/>
              <w:rPr>
                <w:rFonts w:ascii="Arial" w:eastAsia="Times New Roman" w:hAnsi="Arial" w:cs="Arial"/>
                <w:szCs w:val="24"/>
                <w:lang w:eastAsia="en-NZ"/>
              </w:rPr>
            </w:pPr>
            <w:r w:rsidRPr="00D410BE">
              <w:rPr>
                <w:rFonts w:ascii="Arial" w:eastAsia="Times New Roman" w:hAnsi="Arial" w:cs="Arial"/>
                <w:szCs w:val="24"/>
                <w:lang w:eastAsia="en-NZ"/>
              </w:rPr>
              <w:t>0</w:t>
            </w:r>
          </w:p>
        </w:tc>
        <w:tc>
          <w:tcPr>
            <w:tcW w:w="1701" w:type="dxa"/>
            <w:tcBorders>
              <w:top w:val="nil"/>
              <w:left w:val="single" w:sz="4" w:space="0" w:color="auto"/>
              <w:bottom w:val="single" w:sz="4" w:space="0" w:color="auto"/>
              <w:right w:val="nil"/>
            </w:tcBorders>
            <w:noWrap/>
            <w:hideMark/>
          </w:tcPr>
          <w:p w14:paraId="62B19349" w14:textId="77777777" w:rsidR="006E49BD" w:rsidRPr="00D410BE" w:rsidRDefault="006E49BD" w:rsidP="00802ED3">
            <w:pPr>
              <w:spacing w:before="60" w:after="60" w:line="240" w:lineRule="auto"/>
              <w:ind w:right="556"/>
              <w:jc w:val="right"/>
              <w:rPr>
                <w:rFonts w:ascii="Arial" w:eastAsia="Times New Roman" w:hAnsi="Arial" w:cs="Arial"/>
                <w:szCs w:val="24"/>
                <w:lang w:eastAsia="en-NZ"/>
              </w:rPr>
            </w:pPr>
            <w:r w:rsidRPr="00D410BE">
              <w:rPr>
                <w:rFonts w:ascii="Arial" w:eastAsia="Times New Roman" w:hAnsi="Arial" w:cs="Arial"/>
                <w:szCs w:val="24"/>
                <w:lang w:eastAsia="en-NZ"/>
              </w:rPr>
              <w:t>0.0%</w:t>
            </w:r>
          </w:p>
        </w:tc>
      </w:tr>
      <w:tr w:rsidR="006E49BD" w:rsidRPr="002C29C9" w14:paraId="5992E52C" w14:textId="77777777" w:rsidTr="00054B7B">
        <w:trPr>
          <w:trHeight w:val="288"/>
        </w:trPr>
        <w:tc>
          <w:tcPr>
            <w:tcW w:w="2410" w:type="dxa"/>
            <w:vMerge w:val="restart"/>
            <w:tcBorders>
              <w:top w:val="single" w:sz="4" w:space="0" w:color="auto"/>
              <w:left w:val="nil"/>
              <w:right w:val="single" w:sz="4" w:space="0" w:color="auto"/>
            </w:tcBorders>
            <w:noWrap/>
            <w:hideMark/>
          </w:tcPr>
          <w:p w14:paraId="4154C993" w14:textId="77777777" w:rsidR="006E49BD" w:rsidRPr="00117329" w:rsidRDefault="006E49BD" w:rsidP="00802ED3">
            <w:pPr>
              <w:spacing w:before="60" w:after="60" w:line="240" w:lineRule="auto"/>
              <w:rPr>
                <w:rFonts w:ascii="Arial" w:eastAsia="Times New Roman" w:hAnsi="Arial" w:cs="Arial"/>
                <w:szCs w:val="24"/>
                <w:lang w:eastAsia="en-NZ"/>
              </w:rPr>
            </w:pPr>
            <w:r w:rsidRPr="00117329">
              <w:rPr>
                <w:rFonts w:ascii="Arial" w:eastAsia="Times New Roman" w:hAnsi="Arial" w:cs="Arial"/>
                <w:szCs w:val="24"/>
                <w:lang w:eastAsia="en-NZ"/>
              </w:rPr>
              <w:t>Age Group</w:t>
            </w:r>
          </w:p>
        </w:tc>
        <w:tc>
          <w:tcPr>
            <w:tcW w:w="3260" w:type="dxa"/>
            <w:tcBorders>
              <w:top w:val="single" w:sz="4" w:space="0" w:color="auto"/>
              <w:left w:val="single" w:sz="4" w:space="0" w:color="auto"/>
              <w:bottom w:val="nil"/>
              <w:right w:val="single" w:sz="4" w:space="0" w:color="auto"/>
            </w:tcBorders>
            <w:noWrap/>
            <w:hideMark/>
          </w:tcPr>
          <w:p w14:paraId="6CC5D84D"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18-44 years</w:t>
            </w:r>
          </w:p>
        </w:tc>
        <w:tc>
          <w:tcPr>
            <w:tcW w:w="1701" w:type="dxa"/>
            <w:tcBorders>
              <w:top w:val="single" w:sz="4" w:space="0" w:color="auto"/>
              <w:left w:val="single" w:sz="4" w:space="0" w:color="auto"/>
              <w:bottom w:val="nil"/>
              <w:right w:val="single" w:sz="4" w:space="0" w:color="auto"/>
            </w:tcBorders>
            <w:noWrap/>
            <w:hideMark/>
          </w:tcPr>
          <w:p w14:paraId="7D08023F" w14:textId="082E046E" w:rsidR="006E49BD" w:rsidRPr="00545C5C" w:rsidRDefault="001D30E8" w:rsidP="00802ED3">
            <w:pPr>
              <w:spacing w:before="60" w:after="60" w:line="240" w:lineRule="auto"/>
              <w:ind w:right="765"/>
              <w:jc w:val="right"/>
              <w:rPr>
                <w:rFonts w:ascii="Arial" w:eastAsia="Times New Roman" w:hAnsi="Arial" w:cs="Arial"/>
                <w:szCs w:val="24"/>
                <w:lang w:eastAsia="en-NZ"/>
              </w:rPr>
            </w:pPr>
            <w:r w:rsidRPr="00545C5C">
              <w:rPr>
                <w:rFonts w:ascii="Arial" w:eastAsia="Times New Roman" w:hAnsi="Arial" w:cs="Arial"/>
                <w:szCs w:val="24"/>
                <w:lang w:eastAsia="en-NZ"/>
              </w:rPr>
              <w:t>9</w:t>
            </w:r>
          </w:p>
        </w:tc>
        <w:tc>
          <w:tcPr>
            <w:tcW w:w="1701" w:type="dxa"/>
            <w:tcBorders>
              <w:top w:val="single" w:sz="4" w:space="0" w:color="auto"/>
              <w:left w:val="single" w:sz="4" w:space="0" w:color="auto"/>
              <w:bottom w:val="nil"/>
              <w:right w:val="nil"/>
            </w:tcBorders>
            <w:noWrap/>
            <w:hideMark/>
          </w:tcPr>
          <w:p w14:paraId="374B29E4" w14:textId="2116027A" w:rsidR="006E49BD" w:rsidRPr="00545C5C" w:rsidRDefault="001D30E8" w:rsidP="00802ED3">
            <w:pPr>
              <w:spacing w:before="60" w:after="60" w:line="240" w:lineRule="auto"/>
              <w:ind w:right="556"/>
              <w:jc w:val="right"/>
              <w:rPr>
                <w:rFonts w:ascii="Arial" w:eastAsia="Times New Roman" w:hAnsi="Arial" w:cs="Arial"/>
                <w:szCs w:val="24"/>
                <w:lang w:eastAsia="en-NZ"/>
              </w:rPr>
            </w:pPr>
            <w:r w:rsidRPr="00545C5C">
              <w:rPr>
                <w:rFonts w:ascii="Arial" w:eastAsia="Times New Roman" w:hAnsi="Arial" w:cs="Arial"/>
                <w:szCs w:val="24"/>
                <w:lang w:eastAsia="en-NZ"/>
              </w:rPr>
              <w:t>3.1%</w:t>
            </w:r>
          </w:p>
        </w:tc>
      </w:tr>
      <w:tr w:rsidR="006E49BD" w:rsidRPr="002C29C9" w14:paraId="618377B0" w14:textId="77777777" w:rsidTr="00054B7B">
        <w:trPr>
          <w:trHeight w:val="288"/>
        </w:trPr>
        <w:tc>
          <w:tcPr>
            <w:tcW w:w="2410" w:type="dxa"/>
            <w:vMerge/>
            <w:noWrap/>
            <w:hideMark/>
          </w:tcPr>
          <w:p w14:paraId="736E9E8D"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bottom w:val="nil"/>
              <w:right w:val="single" w:sz="4" w:space="0" w:color="auto"/>
            </w:tcBorders>
            <w:noWrap/>
            <w:hideMark/>
          </w:tcPr>
          <w:p w14:paraId="75C571B1"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45-64 years</w:t>
            </w:r>
          </w:p>
        </w:tc>
        <w:tc>
          <w:tcPr>
            <w:tcW w:w="1701" w:type="dxa"/>
            <w:tcBorders>
              <w:top w:val="nil"/>
              <w:left w:val="single" w:sz="4" w:space="0" w:color="auto"/>
              <w:bottom w:val="nil"/>
              <w:right w:val="single" w:sz="4" w:space="0" w:color="auto"/>
            </w:tcBorders>
            <w:noWrap/>
            <w:hideMark/>
          </w:tcPr>
          <w:p w14:paraId="32A797DA" w14:textId="78DCDA56" w:rsidR="006E49BD" w:rsidRPr="00545C5C" w:rsidRDefault="006E49BD" w:rsidP="00802ED3">
            <w:pPr>
              <w:spacing w:before="60" w:after="60" w:line="240" w:lineRule="auto"/>
              <w:ind w:right="765"/>
              <w:jc w:val="right"/>
              <w:rPr>
                <w:rFonts w:ascii="Arial" w:eastAsia="Times New Roman" w:hAnsi="Arial" w:cs="Arial"/>
                <w:szCs w:val="24"/>
                <w:lang w:eastAsia="en-NZ"/>
              </w:rPr>
            </w:pPr>
            <w:r w:rsidRPr="00545C5C">
              <w:rPr>
                <w:rFonts w:ascii="Arial" w:eastAsia="Times New Roman" w:hAnsi="Arial" w:cs="Arial"/>
                <w:szCs w:val="24"/>
                <w:lang w:eastAsia="en-NZ"/>
              </w:rPr>
              <w:t>5</w:t>
            </w:r>
            <w:r w:rsidR="001D30E8" w:rsidRPr="00545C5C">
              <w:rPr>
                <w:rFonts w:ascii="Arial" w:eastAsia="Times New Roman" w:hAnsi="Arial" w:cs="Arial"/>
                <w:szCs w:val="24"/>
                <w:lang w:eastAsia="en-NZ"/>
              </w:rPr>
              <w:t>3</w:t>
            </w:r>
          </w:p>
        </w:tc>
        <w:tc>
          <w:tcPr>
            <w:tcW w:w="1701" w:type="dxa"/>
            <w:tcBorders>
              <w:top w:val="nil"/>
              <w:left w:val="single" w:sz="4" w:space="0" w:color="auto"/>
              <w:bottom w:val="nil"/>
              <w:right w:val="nil"/>
            </w:tcBorders>
            <w:noWrap/>
            <w:hideMark/>
          </w:tcPr>
          <w:p w14:paraId="6279461B" w14:textId="333767DE" w:rsidR="006E49BD" w:rsidRPr="00545C5C" w:rsidRDefault="001D30E8" w:rsidP="00802ED3">
            <w:pPr>
              <w:spacing w:before="60" w:after="60" w:line="240" w:lineRule="auto"/>
              <w:ind w:right="556"/>
              <w:jc w:val="right"/>
              <w:rPr>
                <w:rFonts w:ascii="Arial" w:eastAsia="Times New Roman" w:hAnsi="Arial" w:cs="Arial"/>
                <w:szCs w:val="24"/>
                <w:lang w:eastAsia="en-NZ"/>
              </w:rPr>
            </w:pPr>
            <w:r w:rsidRPr="00545C5C">
              <w:rPr>
                <w:rFonts w:ascii="Arial" w:eastAsia="Times New Roman" w:hAnsi="Arial" w:cs="Arial"/>
                <w:szCs w:val="24"/>
                <w:lang w:eastAsia="en-NZ"/>
              </w:rPr>
              <w:t>18.5%</w:t>
            </w:r>
          </w:p>
        </w:tc>
      </w:tr>
      <w:tr w:rsidR="006E49BD" w:rsidRPr="002C29C9" w14:paraId="1E5603AF" w14:textId="77777777" w:rsidTr="00054B7B">
        <w:trPr>
          <w:trHeight w:val="288"/>
        </w:trPr>
        <w:tc>
          <w:tcPr>
            <w:tcW w:w="2410" w:type="dxa"/>
            <w:vMerge/>
            <w:noWrap/>
            <w:hideMark/>
          </w:tcPr>
          <w:p w14:paraId="0B937AC6"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right w:val="single" w:sz="4" w:space="0" w:color="auto"/>
            </w:tcBorders>
            <w:noWrap/>
            <w:hideMark/>
          </w:tcPr>
          <w:p w14:paraId="33D9BD9F"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65-84 years</w:t>
            </w:r>
          </w:p>
        </w:tc>
        <w:tc>
          <w:tcPr>
            <w:tcW w:w="1701" w:type="dxa"/>
            <w:tcBorders>
              <w:top w:val="nil"/>
              <w:left w:val="single" w:sz="4" w:space="0" w:color="auto"/>
              <w:right w:val="single" w:sz="4" w:space="0" w:color="auto"/>
            </w:tcBorders>
            <w:noWrap/>
            <w:hideMark/>
          </w:tcPr>
          <w:p w14:paraId="434C3F60" w14:textId="7F620582" w:rsidR="006E49BD" w:rsidRPr="00545C5C" w:rsidRDefault="001D30E8" w:rsidP="00802ED3">
            <w:pPr>
              <w:spacing w:before="60" w:after="60" w:line="240" w:lineRule="auto"/>
              <w:ind w:right="765"/>
              <w:jc w:val="right"/>
              <w:rPr>
                <w:rFonts w:ascii="Arial" w:eastAsia="Times New Roman" w:hAnsi="Arial" w:cs="Arial"/>
                <w:szCs w:val="24"/>
                <w:lang w:eastAsia="en-NZ"/>
              </w:rPr>
            </w:pPr>
            <w:r w:rsidRPr="00545C5C">
              <w:rPr>
                <w:rFonts w:ascii="Arial" w:eastAsia="Times New Roman" w:hAnsi="Arial" w:cs="Arial"/>
                <w:szCs w:val="24"/>
                <w:lang w:eastAsia="en-NZ"/>
              </w:rPr>
              <w:t>169</w:t>
            </w:r>
          </w:p>
        </w:tc>
        <w:tc>
          <w:tcPr>
            <w:tcW w:w="1701" w:type="dxa"/>
            <w:tcBorders>
              <w:top w:val="nil"/>
              <w:left w:val="single" w:sz="4" w:space="0" w:color="auto"/>
              <w:right w:val="nil"/>
            </w:tcBorders>
            <w:noWrap/>
            <w:hideMark/>
          </w:tcPr>
          <w:p w14:paraId="5F280BB5" w14:textId="1DD8B246" w:rsidR="006E49BD" w:rsidRPr="00545C5C" w:rsidRDefault="001D30E8" w:rsidP="00802ED3">
            <w:pPr>
              <w:spacing w:before="60" w:after="60" w:line="240" w:lineRule="auto"/>
              <w:ind w:right="556"/>
              <w:jc w:val="right"/>
              <w:rPr>
                <w:rFonts w:ascii="Arial" w:eastAsia="Times New Roman" w:hAnsi="Arial" w:cs="Arial"/>
                <w:szCs w:val="24"/>
                <w:lang w:eastAsia="en-NZ"/>
              </w:rPr>
            </w:pPr>
            <w:r w:rsidRPr="00545C5C">
              <w:rPr>
                <w:rFonts w:ascii="Arial" w:eastAsia="Times New Roman" w:hAnsi="Arial" w:cs="Arial"/>
                <w:szCs w:val="24"/>
                <w:lang w:eastAsia="en-NZ"/>
              </w:rPr>
              <w:t>59.1%</w:t>
            </w:r>
          </w:p>
        </w:tc>
      </w:tr>
      <w:tr w:rsidR="006E49BD" w:rsidRPr="002C29C9" w14:paraId="7FF167E0" w14:textId="77777777" w:rsidTr="00054B7B">
        <w:trPr>
          <w:trHeight w:val="288"/>
        </w:trPr>
        <w:tc>
          <w:tcPr>
            <w:tcW w:w="2410" w:type="dxa"/>
            <w:vMerge/>
            <w:noWrap/>
            <w:hideMark/>
          </w:tcPr>
          <w:p w14:paraId="64D81DC0"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bottom w:val="single" w:sz="4" w:space="0" w:color="auto"/>
              <w:right w:val="single" w:sz="4" w:space="0" w:color="auto"/>
            </w:tcBorders>
            <w:noWrap/>
            <w:hideMark/>
          </w:tcPr>
          <w:p w14:paraId="51FA2C09"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85+ years</w:t>
            </w:r>
          </w:p>
        </w:tc>
        <w:tc>
          <w:tcPr>
            <w:tcW w:w="1701" w:type="dxa"/>
            <w:tcBorders>
              <w:top w:val="nil"/>
              <w:left w:val="single" w:sz="4" w:space="0" w:color="auto"/>
              <w:bottom w:val="single" w:sz="4" w:space="0" w:color="auto"/>
              <w:right w:val="single" w:sz="4" w:space="0" w:color="auto"/>
            </w:tcBorders>
            <w:noWrap/>
            <w:hideMark/>
          </w:tcPr>
          <w:p w14:paraId="05783495" w14:textId="34A19623" w:rsidR="006E49BD" w:rsidRPr="00545C5C" w:rsidRDefault="0000246A" w:rsidP="00802ED3">
            <w:pPr>
              <w:spacing w:before="60" w:after="60" w:line="240" w:lineRule="auto"/>
              <w:ind w:right="765"/>
              <w:jc w:val="right"/>
              <w:rPr>
                <w:rFonts w:ascii="Arial" w:eastAsia="Times New Roman" w:hAnsi="Arial" w:cs="Arial"/>
                <w:szCs w:val="24"/>
                <w:lang w:eastAsia="en-NZ"/>
              </w:rPr>
            </w:pPr>
            <w:r w:rsidRPr="00545C5C">
              <w:rPr>
                <w:rFonts w:ascii="Arial" w:eastAsia="Times New Roman" w:hAnsi="Arial" w:cs="Arial"/>
                <w:szCs w:val="24"/>
                <w:lang w:eastAsia="en-NZ"/>
              </w:rPr>
              <w:t>55</w:t>
            </w:r>
          </w:p>
        </w:tc>
        <w:tc>
          <w:tcPr>
            <w:tcW w:w="1701" w:type="dxa"/>
            <w:tcBorders>
              <w:top w:val="nil"/>
              <w:left w:val="single" w:sz="4" w:space="0" w:color="auto"/>
              <w:bottom w:val="single" w:sz="4" w:space="0" w:color="auto"/>
              <w:right w:val="nil"/>
            </w:tcBorders>
            <w:noWrap/>
            <w:hideMark/>
          </w:tcPr>
          <w:p w14:paraId="6F85ED66" w14:textId="1942C130" w:rsidR="006E49BD" w:rsidRPr="00545C5C" w:rsidRDefault="0000246A" w:rsidP="00802ED3">
            <w:pPr>
              <w:spacing w:before="60" w:after="60" w:line="240" w:lineRule="auto"/>
              <w:ind w:right="556"/>
              <w:jc w:val="right"/>
              <w:rPr>
                <w:rFonts w:ascii="Arial" w:eastAsia="Times New Roman" w:hAnsi="Arial" w:cs="Arial"/>
                <w:szCs w:val="24"/>
                <w:lang w:eastAsia="en-NZ"/>
              </w:rPr>
            </w:pPr>
            <w:r w:rsidRPr="00545C5C">
              <w:rPr>
                <w:rFonts w:ascii="Arial" w:eastAsia="Times New Roman" w:hAnsi="Arial" w:cs="Arial"/>
                <w:szCs w:val="24"/>
                <w:lang w:eastAsia="en-NZ"/>
              </w:rPr>
              <w:t>19.2%</w:t>
            </w:r>
          </w:p>
        </w:tc>
      </w:tr>
      <w:tr w:rsidR="006E49BD" w:rsidRPr="002C29C9" w14:paraId="53A266EB" w14:textId="77777777" w:rsidTr="00054B7B">
        <w:trPr>
          <w:trHeight w:val="288"/>
        </w:trPr>
        <w:tc>
          <w:tcPr>
            <w:tcW w:w="2410" w:type="dxa"/>
            <w:vMerge w:val="restart"/>
            <w:tcBorders>
              <w:top w:val="single" w:sz="4" w:space="0" w:color="auto"/>
              <w:left w:val="nil"/>
              <w:right w:val="single" w:sz="4" w:space="0" w:color="auto"/>
            </w:tcBorders>
            <w:noWrap/>
            <w:hideMark/>
          </w:tcPr>
          <w:p w14:paraId="6B2AE619" w14:textId="77777777" w:rsidR="006E49BD" w:rsidRPr="00117329" w:rsidRDefault="006E49BD" w:rsidP="00802ED3">
            <w:pPr>
              <w:spacing w:before="60" w:after="60" w:line="240" w:lineRule="auto"/>
              <w:rPr>
                <w:rFonts w:ascii="Arial" w:hAnsi="Arial" w:cs="Arial"/>
                <w:szCs w:val="24"/>
                <w:vertAlign w:val="superscript"/>
              </w:rPr>
            </w:pPr>
            <w:r w:rsidRPr="00117329">
              <w:rPr>
                <w:rFonts w:ascii="Arial" w:hAnsi="Arial" w:cs="Arial"/>
                <w:szCs w:val="24"/>
              </w:rPr>
              <w:t>Diagnosis</w:t>
            </w:r>
            <w:r w:rsidRPr="00117329">
              <w:rPr>
                <w:rFonts w:ascii="Arial" w:hAnsi="Arial" w:cs="Arial"/>
                <w:szCs w:val="24"/>
                <w:vertAlign w:val="superscript"/>
              </w:rPr>
              <w:t>2</w:t>
            </w:r>
          </w:p>
        </w:tc>
        <w:tc>
          <w:tcPr>
            <w:tcW w:w="3260" w:type="dxa"/>
            <w:tcBorders>
              <w:top w:val="single" w:sz="4" w:space="0" w:color="auto"/>
              <w:left w:val="single" w:sz="4" w:space="0" w:color="auto"/>
              <w:bottom w:val="nil"/>
              <w:right w:val="single" w:sz="4" w:space="0" w:color="auto"/>
            </w:tcBorders>
            <w:noWrap/>
            <w:hideMark/>
          </w:tcPr>
          <w:p w14:paraId="67CA324F" w14:textId="77777777" w:rsidR="006E49BD" w:rsidRPr="00117329" w:rsidRDefault="006E49BD" w:rsidP="00802ED3">
            <w:pPr>
              <w:spacing w:before="60" w:after="60" w:line="240" w:lineRule="auto"/>
              <w:ind w:firstLine="124"/>
              <w:rPr>
                <w:rFonts w:ascii="Arial" w:hAnsi="Arial" w:cs="Arial"/>
                <w:szCs w:val="24"/>
              </w:rPr>
            </w:pPr>
            <w:r w:rsidRPr="00117329">
              <w:rPr>
                <w:rFonts w:ascii="Arial" w:hAnsi="Arial" w:cs="Arial"/>
                <w:szCs w:val="24"/>
              </w:rPr>
              <w:t>Cancer</w:t>
            </w:r>
          </w:p>
        </w:tc>
        <w:tc>
          <w:tcPr>
            <w:tcW w:w="1701" w:type="dxa"/>
            <w:tcBorders>
              <w:top w:val="single" w:sz="4" w:space="0" w:color="auto"/>
              <w:left w:val="single" w:sz="4" w:space="0" w:color="auto"/>
              <w:bottom w:val="nil"/>
              <w:right w:val="single" w:sz="4" w:space="0" w:color="auto"/>
            </w:tcBorders>
            <w:noWrap/>
            <w:hideMark/>
          </w:tcPr>
          <w:p w14:paraId="52F8E9D3" w14:textId="1FDC0E68" w:rsidR="006E49BD" w:rsidRPr="002A0D13" w:rsidRDefault="00D23FE8" w:rsidP="00802ED3">
            <w:pPr>
              <w:spacing w:before="60" w:after="60" w:line="240" w:lineRule="auto"/>
              <w:ind w:right="765"/>
              <w:jc w:val="right"/>
              <w:rPr>
                <w:rFonts w:ascii="Arial" w:hAnsi="Arial" w:cs="Arial"/>
                <w:b/>
                <w:bCs/>
                <w:szCs w:val="24"/>
              </w:rPr>
            </w:pPr>
            <w:r w:rsidRPr="00802ED3">
              <w:rPr>
                <w:rFonts w:ascii="Arial" w:hAnsi="Arial" w:cs="Arial"/>
                <w:szCs w:val="24"/>
              </w:rPr>
              <w:t>177</w:t>
            </w:r>
          </w:p>
        </w:tc>
        <w:tc>
          <w:tcPr>
            <w:tcW w:w="1701" w:type="dxa"/>
            <w:tcBorders>
              <w:top w:val="single" w:sz="4" w:space="0" w:color="auto"/>
              <w:left w:val="single" w:sz="4" w:space="0" w:color="auto"/>
              <w:bottom w:val="nil"/>
              <w:right w:val="nil"/>
            </w:tcBorders>
            <w:noWrap/>
            <w:hideMark/>
          </w:tcPr>
          <w:p w14:paraId="322F176C" w14:textId="2FE15DBD" w:rsidR="006E49BD" w:rsidRPr="00E828E2" w:rsidRDefault="0000246A" w:rsidP="00802ED3">
            <w:pPr>
              <w:spacing w:before="60" w:after="60" w:line="240" w:lineRule="auto"/>
              <w:ind w:right="556"/>
              <w:jc w:val="right"/>
              <w:rPr>
                <w:rFonts w:ascii="Arial" w:hAnsi="Arial" w:cs="Arial"/>
                <w:szCs w:val="24"/>
              </w:rPr>
            </w:pPr>
            <w:r w:rsidRPr="00E828E2">
              <w:rPr>
                <w:rFonts w:ascii="Arial" w:hAnsi="Arial" w:cs="Arial"/>
                <w:szCs w:val="24"/>
              </w:rPr>
              <w:t>62.3%</w:t>
            </w:r>
          </w:p>
        </w:tc>
      </w:tr>
      <w:tr w:rsidR="006E49BD" w:rsidRPr="002C29C9" w14:paraId="23487D0B" w14:textId="77777777" w:rsidTr="00054B7B">
        <w:trPr>
          <w:trHeight w:val="288"/>
        </w:trPr>
        <w:tc>
          <w:tcPr>
            <w:tcW w:w="2410" w:type="dxa"/>
            <w:vMerge/>
            <w:noWrap/>
            <w:hideMark/>
          </w:tcPr>
          <w:p w14:paraId="185339AA" w14:textId="77777777" w:rsidR="006E49BD" w:rsidRPr="00117329" w:rsidRDefault="006E49BD" w:rsidP="00802ED3">
            <w:pPr>
              <w:spacing w:before="60" w:after="60" w:line="240" w:lineRule="auto"/>
              <w:rPr>
                <w:rFonts w:ascii="Arial" w:hAnsi="Arial" w:cs="Arial"/>
                <w:szCs w:val="24"/>
              </w:rPr>
            </w:pPr>
          </w:p>
        </w:tc>
        <w:tc>
          <w:tcPr>
            <w:tcW w:w="3260" w:type="dxa"/>
            <w:tcBorders>
              <w:top w:val="nil"/>
              <w:left w:val="single" w:sz="4" w:space="0" w:color="auto"/>
              <w:bottom w:val="nil"/>
              <w:right w:val="single" w:sz="4" w:space="0" w:color="auto"/>
            </w:tcBorders>
            <w:noWrap/>
            <w:hideMark/>
          </w:tcPr>
          <w:p w14:paraId="4BD7DEA3" w14:textId="77777777" w:rsidR="006E49BD" w:rsidRPr="00117329" w:rsidRDefault="006E49BD" w:rsidP="00802ED3">
            <w:pPr>
              <w:spacing w:before="60" w:after="60" w:line="240" w:lineRule="auto"/>
              <w:ind w:firstLine="124"/>
              <w:rPr>
                <w:rFonts w:ascii="Arial" w:hAnsi="Arial" w:cs="Arial"/>
                <w:szCs w:val="24"/>
              </w:rPr>
            </w:pPr>
            <w:r w:rsidRPr="00117329">
              <w:rPr>
                <w:rFonts w:ascii="Arial" w:hAnsi="Arial" w:cs="Arial"/>
                <w:szCs w:val="24"/>
              </w:rPr>
              <w:t>Neurological condition</w:t>
            </w:r>
          </w:p>
        </w:tc>
        <w:tc>
          <w:tcPr>
            <w:tcW w:w="1701" w:type="dxa"/>
            <w:tcBorders>
              <w:top w:val="nil"/>
              <w:left w:val="single" w:sz="4" w:space="0" w:color="auto"/>
              <w:bottom w:val="nil"/>
              <w:right w:val="single" w:sz="4" w:space="0" w:color="auto"/>
            </w:tcBorders>
            <w:noWrap/>
            <w:hideMark/>
          </w:tcPr>
          <w:p w14:paraId="3384EFAD" w14:textId="5E4BFA0E" w:rsidR="006E49BD" w:rsidRPr="00E828E2" w:rsidRDefault="00325C0A" w:rsidP="00802ED3">
            <w:pPr>
              <w:spacing w:before="60" w:after="60" w:line="240" w:lineRule="auto"/>
              <w:ind w:right="765"/>
              <w:jc w:val="right"/>
              <w:rPr>
                <w:rFonts w:ascii="Arial" w:hAnsi="Arial" w:cs="Arial"/>
                <w:szCs w:val="24"/>
              </w:rPr>
            </w:pPr>
            <w:r w:rsidRPr="00E828E2">
              <w:rPr>
                <w:rFonts w:ascii="Arial" w:hAnsi="Arial" w:cs="Arial"/>
                <w:szCs w:val="24"/>
              </w:rPr>
              <w:t>26</w:t>
            </w:r>
          </w:p>
        </w:tc>
        <w:tc>
          <w:tcPr>
            <w:tcW w:w="1701" w:type="dxa"/>
            <w:tcBorders>
              <w:top w:val="nil"/>
              <w:left w:val="single" w:sz="4" w:space="0" w:color="auto"/>
              <w:bottom w:val="nil"/>
              <w:right w:val="nil"/>
            </w:tcBorders>
            <w:noWrap/>
            <w:hideMark/>
          </w:tcPr>
          <w:p w14:paraId="0DEB9F3C" w14:textId="746BDD9A" w:rsidR="006E49BD" w:rsidRPr="00E828E2" w:rsidRDefault="00325C0A" w:rsidP="00802ED3">
            <w:pPr>
              <w:spacing w:before="60" w:after="60" w:line="240" w:lineRule="auto"/>
              <w:ind w:right="556"/>
              <w:jc w:val="right"/>
              <w:rPr>
                <w:rFonts w:ascii="Arial" w:hAnsi="Arial" w:cs="Arial"/>
                <w:szCs w:val="24"/>
              </w:rPr>
            </w:pPr>
            <w:r w:rsidRPr="00E828E2">
              <w:rPr>
                <w:rFonts w:ascii="Arial" w:hAnsi="Arial" w:cs="Arial"/>
                <w:szCs w:val="24"/>
              </w:rPr>
              <w:t>9.2%</w:t>
            </w:r>
          </w:p>
        </w:tc>
      </w:tr>
      <w:tr w:rsidR="006E49BD" w:rsidRPr="002C29C9" w14:paraId="212395DD" w14:textId="77777777" w:rsidTr="00054B7B">
        <w:trPr>
          <w:trHeight w:val="288"/>
        </w:trPr>
        <w:tc>
          <w:tcPr>
            <w:tcW w:w="2410" w:type="dxa"/>
            <w:vMerge/>
            <w:noWrap/>
          </w:tcPr>
          <w:p w14:paraId="2EF1C3F9" w14:textId="77777777" w:rsidR="006E49BD" w:rsidRPr="00117329" w:rsidRDefault="006E49BD" w:rsidP="00802ED3">
            <w:pPr>
              <w:spacing w:before="60" w:after="60" w:line="240" w:lineRule="auto"/>
              <w:rPr>
                <w:rFonts w:ascii="Arial" w:hAnsi="Arial" w:cs="Arial"/>
                <w:szCs w:val="24"/>
              </w:rPr>
            </w:pPr>
          </w:p>
        </w:tc>
        <w:tc>
          <w:tcPr>
            <w:tcW w:w="3260" w:type="dxa"/>
            <w:tcBorders>
              <w:top w:val="nil"/>
              <w:left w:val="single" w:sz="4" w:space="0" w:color="auto"/>
              <w:bottom w:val="nil"/>
              <w:right w:val="single" w:sz="4" w:space="0" w:color="auto"/>
            </w:tcBorders>
            <w:noWrap/>
          </w:tcPr>
          <w:p w14:paraId="0BF7EB0C" w14:textId="77777777" w:rsidR="006E49BD" w:rsidRPr="00117329" w:rsidRDefault="006E49BD" w:rsidP="00802ED3">
            <w:pPr>
              <w:spacing w:before="60" w:after="60" w:line="240" w:lineRule="auto"/>
              <w:ind w:firstLine="124"/>
              <w:rPr>
                <w:rFonts w:ascii="Arial" w:hAnsi="Arial" w:cs="Arial"/>
                <w:szCs w:val="24"/>
              </w:rPr>
            </w:pPr>
            <w:r w:rsidRPr="00117329">
              <w:rPr>
                <w:rFonts w:ascii="Arial" w:hAnsi="Arial" w:cs="Arial"/>
                <w:szCs w:val="24"/>
              </w:rPr>
              <w:t>Chronic Respiratory Disease</w:t>
            </w:r>
          </w:p>
        </w:tc>
        <w:tc>
          <w:tcPr>
            <w:tcW w:w="1701" w:type="dxa"/>
            <w:tcBorders>
              <w:top w:val="nil"/>
              <w:left w:val="single" w:sz="4" w:space="0" w:color="auto"/>
              <w:bottom w:val="nil"/>
              <w:right w:val="single" w:sz="4" w:space="0" w:color="auto"/>
            </w:tcBorders>
            <w:noWrap/>
          </w:tcPr>
          <w:p w14:paraId="4100D8B1" w14:textId="27697DD3" w:rsidR="006E49BD" w:rsidRPr="00E828E2" w:rsidRDefault="00325C0A" w:rsidP="00802ED3">
            <w:pPr>
              <w:spacing w:before="60" w:after="60" w:line="240" w:lineRule="auto"/>
              <w:ind w:right="765"/>
              <w:jc w:val="right"/>
              <w:rPr>
                <w:rFonts w:ascii="Arial" w:hAnsi="Arial" w:cs="Arial"/>
                <w:szCs w:val="24"/>
              </w:rPr>
            </w:pPr>
            <w:r w:rsidRPr="00E828E2">
              <w:rPr>
                <w:rFonts w:ascii="Arial" w:hAnsi="Arial" w:cs="Arial"/>
                <w:szCs w:val="24"/>
              </w:rPr>
              <w:t>25</w:t>
            </w:r>
          </w:p>
        </w:tc>
        <w:tc>
          <w:tcPr>
            <w:tcW w:w="1701" w:type="dxa"/>
            <w:tcBorders>
              <w:top w:val="nil"/>
              <w:left w:val="single" w:sz="4" w:space="0" w:color="auto"/>
              <w:bottom w:val="nil"/>
              <w:right w:val="nil"/>
            </w:tcBorders>
            <w:noWrap/>
          </w:tcPr>
          <w:p w14:paraId="5885D404" w14:textId="30E5A44B" w:rsidR="006E49BD" w:rsidRPr="00E828E2" w:rsidRDefault="00AB0FC8" w:rsidP="00802ED3">
            <w:pPr>
              <w:spacing w:before="60" w:after="60" w:line="240" w:lineRule="auto"/>
              <w:ind w:right="556"/>
              <w:jc w:val="right"/>
              <w:rPr>
                <w:rFonts w:ascii="Arial" w:hAnsi="Arial" w:cs="Arial"/>
                <w:szCs w:val="24"/>
              </w:rPr>
            </w:pPr>
            <w:r w:rsidRPr="00E828E2">
              <w:rPr>
                <w:rFonts w:ascii="Arial" w:hAnsi="Arial" w:cs="Arial"/>
                <w:szCs w:val="24"/>
              </w:rPr>
              <w:t>8.8%</w:t>
            </w:r>
          </w:p>
        </w:tc>
      </w:tr>
      <w:tr w:rsidR="006E49BD" w:rsidRPr="002C29C9" w14:paraId="08078529" w14:textId="77777777" w:rsidTr="00054B7B">
        <w:trPr>
          <w:trHeight w:val="288"/>
        </w:trPr>
        <w:tc>
          <w:tcPr>
            <w:tcW w:w="2410" w:type="dxa"/>
            <w:vMerge/>
            <w:noWrap/>
          </w:tcPr>
          <w:p w14:paraId="6D391527" w14:textId="77777777" w:rsidR="006E49BD" w:rsidRPr="00117329" w:rsidRDefault="006E49BD" w:rsidP="00802ED3">
            <w:pPr>
              <w:spacing w:before="60" w:after="60" w:line="240" w:lineRule="auto"/>
              <w:rPr>
                <w:rFonts w:ascii="Arial" w:hAnsi="Arial" w:cs="Arial"/>
                <w:szCs w:val="24"/>
              </w:rPr>
            </w:pPr>
          </w:p>
        </w:tc>
        <w:tc>
          <w:tcPr>
            <w:tcW w:w="3260" w:type="dxa"/>
            <w:tcBorders>
              <w:top w:val="nil"/>
              <w:left w:val="single" w:sz="4" w:space="0" w:color="auto"/>
              <w:bottom w:val="nil"/>
              <w:right w:val="single" w:sz="4" w:space="0" w:color="auto"/>
            </w:tcBorders>
            <w:noWrap/>
          </w:tcPr>
          <w:p w14:paraId="41ED5927" w14:textId="77777777" w:rsidR="006E49BD" w:rsidRPr="00117329" w:rsidRDefault="006E49BD" w:rsidP="00802ED3">
            <w:pPr>
              <w:spacing w:before="60" w:after="60" w:line="240" w:lineRule="auto"/>
              <w:ind w:firstLine="124"/>
              <w:rPr>
                <w:rFonts w:ascii="Arial" w:hAnsi="Arial" w:cs="Arial"/>
                <w:szCs w:val="24"/>
              </w:rPr>
            </w:pPr>
            <w:r w:rsidRPr="00117329">
              <w:rPr>
                <w:rFonts w:ascii="Arial" w:hAnsi="Arial" w:cs="Arial"/>
                <w:szCs w:val="24"/>
              </w:rPr>
              <w:t>Cardio-vascular condition</w:t>
            </w:r>
          </w:p>
        </w:tc>
        <w:tc>
          <w:tcPr>
            <w:tcW w:w="1701" w:type="dxa"/>
            <w:tcBorders>
              <w:top w:val="nil"/>
              <w:left w:val="single" w:sz="4" w:space="0" w:color="auto"/>
              <w:bottom w:val="nil"/>
              <w:right w:val="single" w:sz="4" w:space="0" w:color="auto"/>
            </w:tcBorders>
            <w:noWrap/>
          </w:tcPr>
          <w:p w14:paraId="4981FADE" w14:textId="4EA4755A" w:rsidR="006E49BD" w:rsidRPr="00E828E2" w:rsidRDefault="00AB0FC8" w:rsidP="00802ED3">
            <w:pPr>
              <w:spacing w:before="60" w:after="60" w:line="240" w:lineRule="auto"/>
              <w:ind w:right="765"/>
              <w:jc w:val="right"/>
              <w:rPr>
                <w:rFonts w:ascii="Arial" w:hAnsi="Arial" w:cs="Arial"/>
                <w:szCs w:val="24"/>
              </w:rPr>
            </w:pPr>
            <w:r w:rsidRPr="00E828E2">
              <w:rPr>
                <w:rFonts w:ascii="Arial" w:hAnsi="Arial" w:cs="Arial"/>
                <w:szCs w:val="24"/>
              </w:rPr>
              <w:t>11</w:t>
            </w:r>
          </w:p>
        </w:tc>
        <w:tc>
          <w:tcPr>
            <w:tcW w:w="1701" w:type="dxa"/>
            <w:tcBorders>
              <w:top w:val="nil"/>
              <w:left w:val="single" w:sz="4" w:space="0" w:color="auto"/>
              <w:bottom w:val="nil"/>
              <w:right w:val="nil"/>
            </w:tcBorders>
            <w:noWrap/>
          </w:tcPr>
          <w:p w14:paraId="1A81FE5A" w14:textId="6C3343E4" w:rsidR="006E49BD" w:rsidRPr="00E828E2" w:rsidRDefault="00AB0FC8" w:rsidP="00802ED3">
            <w:pPr>
              <w:spacing w:before="60" w:after="60" w:line="240" w:lineRule="auto"/>
              <w:ind w:right="556"/>
              <w:jc w:val="right"/>
              <w:rPr>
                <w:rFonts w:ascii="Arial" w:hAnsi="Arial" w:cs="Arial"/>
                <w:szCs w:val="24"/>
              </w:rPr>
            </w:pPr>
            <w:r w:rsidRPr="00E828E2">
              <w:rPr>
                <w:rFonts w:ascii="Arial" w:hAnsi="Arial" w:cs="Arial"/>
                <w:szCs w:val="24"/>
              </w:rPr>
              <w:t>3.9%</w:t>
            </w:r>
          </w:p>
        </w:tc>
      </w:tr>
      <w:tr w:rsidR="006E49BD" w:rsidRPr="002C29C9" w14:paraId="54D8F107" w14:textId="77777777" w:rsidTr="00054B7B">
        <w:trPr>
          <w:trHeight w:val="288"/>
        </w:trPr>
        <w:tc>
          <w:tcPr>
            <w:tcW w:w="2410" w:type="dxa"/>
            <w:vMerge/>
            <w:noWrap/>
          </w:tcPr>
          <w:p w14:paraId="238C2DCB" w14:textId="77777777" w:rsidR="006E49BD" w:rsidRPr="00117329" w:rsidRDefault="006E49BD" w:rsidP="00802ED3">
            <w:pPr>
              <w:spacing w:before="60" w:after="60" w:line="240" w:lineRule="auto"/>
              <w:rPr>
                <w:rFonts w:ascii="Arial" w:hAnsi="Arial" w:cs="Arial"/>
                <w:szCs w:val="24"/>
              </w:rPr>
            </w:pPr>
          </w:p>
        </w:tc>
        <w:tc>
          <w:tcPr>
            <w:tcW w:w="3260" w:type="dxa"/>
            <w:tcBorders>
              <w:top w:val="nil"/>
              <w:left w:val="single" w:sz="4" w:space="0" w:color="auto"/>
              <w:bottom w:val="nil"/>
              <w:right w:val="single" w:sz="4" w:space="0" w:color="auto"/>
            </w:tcBorders>
            <w:noWrap/>
          </w:tcPr>
          <w:p w14:paraId="53C58B8D" w14:textId="77777777" w:rsidR="006E49BD" w:rsidRPr="00117329" w:rsidRDefault="006E49BD" w:rsidP="00802ED3">
            <w:pPr>
              <w:spacing w:before="60" w:after="60" w:line="240" w:lineRule="auto"/>
              <w:ind w:firstLine="124"/>
              <w:rPr>
                <w:rFonts w:ascii="Arial" w:hAnsi="Arial" w:cs="Arial"/>
                <w:szCs w:val="24"/>
              </w:rPr>
            </w:pPr>
            <w:r w:rsidRPr="00117329">
              <w:rPr>
                <w:rFonts w:ascii="Arial" w:hAnsi="Arial" w:cs="Arial"/>
                <w:szCs w:val="24"/>
              </w:rPr>
              <w:t>Other organ failures</w:t>
            </w:r>
          </w:p>
        </w:tc>
        <w:tc>
          <w:tcPr>
            <w:tcW w:w="1701" w:type="dxa"/>
            <w:tcBorders>
              <w:top w:val="nil"/>
              <w:left w:val="single" w:sz="4" w:space="0" w:color="auto"/>
              <w:bottom w:val="nil"/>
              <w:right w:val="single" w:sz="4" w:space="0" w:color="auto"/>
            </w:tcBorders>
            <w:noWrap/>
          </w:tcPr>
          <w:p w14:paraId="5C879303" w14:textId="427A9EFC" w:rsidR="006E49BD" w:rsidRPr="00E828E2" w:rsidRDefault="00AB0FC8" w:rsidP="00802ED3">
            <w:pPr>
              <w:spacing w:before="60" w:after="60" w:line="240" w:lineRule="auto"/>
              <w:ind w:right="765"/>
              <w:jc w:val="right"/>
              <w:rPr>
                <w:rFonts w:ascii="Arial" w:hAnsi="Arial" w:cs="Arial"/>
                <w:szCs w:val="24"/>
              </w:rPr>
            </w:pPr>
            <w:r w:rsidRPr="00E828E2">
              <w:rPr>
                <w:rFonts w:ascii="Arial" w:hAnsi="Arial" w:cs="Arial"/>
                <w:szCs w:val="24"/>
              </w:rPr>
              <w:t>4</w:t>
            </w:r>
          </w:p>
        </w:tc>
        <w:tc>
          <w:tcPr>
            <w:tcW w:w="1701" w:type="dxa"/>
            <w:tcBorders>
              <w:top w:val="nil"/>
              <w:left w:val="single" w:sz="4" w:space="0" w:color="auto"/>
              <w:bottom w:val="nil"/>
              <w:right w:val="nil"/>
            </w:tcBorders>
            <w:noWrap/>
          </w:tcPr>
          <w:p w14:paraId="581FBE6B" w14:textId="17D74136" w:rsidR="006E49BD" w:rsidRPr="00E828E2" w:rsidRDefault="00AB0FC8" w:rsidP="00802ED3">
            <w:pPr>
              <w:spacing w:before="60" w:after="60" w:line="240" w:lineRule="auto"/>
              <w:ind w:right="556"/>
              <w:jc w:val="right"/>
              <w:rPr>
                <w:rFonts w:ascii="Arial" w:hAnsi="Arial" w:cs="Arial"/>
                <w:szCs w:val="24"/>
              </w:rPr>
            </w:pPr>
            <w:r w:rsidRPr="00E828E2">
              <w:rPr>
                <w:rFonts w:ascii="Arial" w:hAnsi="Arial" w:cs="Arial"/>
                <w:szCs w:val="24"/>
              </w:rPr>
              <w:t>1.4%</w:t>
            </w:r>
          </w:p>
        </w:tc>
      </w:tr>
      <w:tr w:rsidR="006E49BD" w:rsidRPr="002C29C9" w14:paraId="7B1C101C" w14:textId="77777777" w:rsidTr="00054B7B">
        <w:trPr>
          <w:trHeight w:val="288"/>
        </w:trPr>
        <w:tc>
          <w:tcPr>
            <w:tcW w:w="2410" w:type="dxa"/>
            <w:vMerge/>
            <w:noWrap/>
            <w:hideMark/>
          </w:tcPr>
          <w:p w14:paraId="21A37170" w14:textId="77777777" w:rsidR="006E49BD" w:rsidRPr="00117329" w:rsidRDefault="006E49BD" w:rsidP="00802ED3">
            <w:pPr>
              <w:spacing w:before="60" w:after="60" w:line="240" w:lineRule="auto"/>
              <w:rPr>
                <w:rFonts w:ascii="Arial" w:hAnsi="Arial" w:cs="Arial"/>
                <w:szCs w:val="24"/>
              </w:rPr>
            </w:pPr>
          </w:p>
        </w:tc>
        <w:tc>
          <w:tcPr>
            <w:tcW w:w="3260" w:type="dxa"/>
            <w:tcBorders>
              <w:top w:val="nil"/>
              <w:left w:val="single" w:sz="4" w:space="0" w:color="auto"/>
              <w:right w:val="single" w:sz="4" w:space="0" w:color="auto"/>
            </w:tcBorders>
            <w:noWrap/>
            <w:hideMark/>
          </w:tcPr>
          <w:p w14:paraId="16438BA4" w14:textId="77777777" w:rsidR="006E49BD" w:rsidRPr="00117329" w:rsidRDefault="006E49BD" w:rsidP="00802ED3">
            <w:pPr>
              <w:spacing w:before="60" w:after="60" w:line="240" w:lineRule="auto"/>
              <w:ind w:firstLine="124"/>
              <w:rPr>
                <w:rFonts w:ascii="Arial" w:hAnsi="Arial" w:cs="Arial"/>
                <w:szCs w:val="24"/>
              </w:rPr>
            </w:pPr>
            <w:r w:rsidRPr="00117329">
              <w:rPr>
                <w:rFonts w:ascii="Arial" w:hAnsi="Arial" w:cs="Arial"/>
                <w:szCs w:val="24"/>
              </w:rPr>
              <w:t>Multiple/Co-Morbidities</w:t>
            </w:r>
          </w:p>
        </w:tc>
        <w:tc>
          <w:tcPr>
            <w:tcW w:w="1701" w:type="dxa"/>
            <w:tcBorders>
              <w:top w:val="nil"/>
              <w:left w:val="single" w:sz="4" w:space="0" w:color="auto"/>
              <w:right w:val="single" w:sz="4" w:space="0" w:color="auto"/>
            </w:tcBorders>
            <w:noWrap/>
            <w:hideMark/>
          </w:tcPr>
          <w:p w14:paraId="3850BDAA" w14:textId="77777777" w:rsidR="006E49BD" w:rsidRPr="00E828E2" w:rsidRDefault="006E49BD" w:rsidP="00802ED3">
            <w:pPr>
              <w:spacing w:before="60" w:after="60" w:line="240" w:lineRule="auto"/>
              <w:ind w:right="765"/>
              <w:jc w:val="right"/>
              <w:rPr>
                <w:rFonts w:ascii="Arial" w:hAnsi="Arial" w:cs="Arial"/>
                <w:szCs w:val="24"/>
              </w:rPr>
            </w:pPr>
            <w:r w:rsidRPr="00E828E2">
              <w:rPr>
                <w:rFonts w:ascii="Arial" w:hAnsi="Arial" w:cs="Arial"/>
                <w:szCs w:val="24"/>
              </w:rPr>
              <w:t>9</w:t>
            </w:r>
          </w:p>
        </w:tc>
        <w:tc>
          <w:tcPr>
            <w:tcW w:w="1701" w:type="dxa"/>
            <w:tcBorders>
              <w:top w:val="nil"/>
              <w:left w:val="single" w:sz="4" w:space="0" w:color="auto"/>
              <w:right w:val="nil"/>
            </w:tcBorders>
            <w:noWrap/>
            <w:hideMark/>
          </w:tcPr>
          <w:p w14:paraId="0C88E73F" w14:textId="6D43F445" w:rsidR="006E49BD" w:rsidRPr="00E828E2" w:rsidRDefault="00AB0FC8" w:rsidP="00802ED3">
            <w:pPr>
              <w:spacing w:before="60" w:after="60" w:line="240" w:lineRule="auto"/>
              <w:ind w:right="556"/>
              <w:jc w:val="right"/>
              <w:rPr>
                <w:rFonts w:ascii="Arial" w:hAnsi="Arial" w:cs="Arial"/>
                <w:szCs w:val="24"/>
              </w:rPr>
            </w:pPr>
            <w:r w:rsidRPr="00E828E2">
              <w:rPr>
                <w:rFonts w:ascii="Arial" w:hAnsi="Arial" w:cs="Arial"/>
                <w:szCs w:val="24"/>
              </w:rPr>
              <w:t>3.</w:t>
            </w:r>
            <w:r w:rsidR="00DD5C57" w:rsidRPr="00E828E2">
              <w:rPr>
                <w:rFonts w:ascii="Arial" w:hAnsi="Arial" w:cs="Arial"/>
                <w:szCs w:val="24"/>
              </w:rPr>
              <w:t>1</w:t>
            </w:r>
            <w:r w:rsidR="00915026" w:rsidRPr="00E828E2">
              <w:rPr>
                <w:rFonts w:ascii="Arial" w:hAnsi="Arial" w:cs="Arial"/>
                <w:szCs w:val="24"/>
              </w:rPr>
              <w:t>%</w:t>
            </w:r>
          </w:p>
        </w:tc>
      </w:tr>
      <w:tr w:rsidR="006E49BD" w:rsidRPr="002C29C9" w14:paraId="4219810F" w14:textId="77777777" w:rsidTr="00054B7B">
        <w:trPr>
          <w:trHeight w:val="288"/>
        </w:trPr>
        <w:tc>
          <w:tcPr>
            <w:tcW w:w="2410" w:type="dxa"/>
            <w:vMerge/>
            <w:noWrap/>
          </w:tcPr>
          <w:p w14:paraId="7EA2F329" w14:textId="77777777" w:rsidR="006E49BD" w:rsidRPr="00117329" w:rsidRDefault="006E49BD" w:rsidP="00802ED3">
            <w:pPr>
              <w:spacing w:before="60" w:after="60" w:line="240" w:lineRule="auto"/>
              <w:rPr>
                <w:rFonts w:ascii="Arial" w:hAnsi="Arial" w:cs="Arial"/>
                <w:szCs w:val="24"/>
              </w:rPr>
            </w:pPr>
          </w:p>
        </w:tc>
        <w:tc>
          <w:tcPr>
            <w:tcW w:w="3260" w:type="dxa"/>
            <w:tcBorders>
              <w:top w:val="nil"/>
              <w:left w:val="single" w:sz="4" w:space="0" w:color="auto"/>
              <w:right w:val="single" w:sz="4" w:space="0" w:color="auto"/>
            </w:tcBorders>
            <w:noWrap/>
          </w:tcPr>
          <w:p w14:paraId="4C5768CD" w14:textId="77777777" w:rsidR="006E49BD" w:rsidRPr="00117329" w:rsidRDefault="006E49BD" w:rsidP="00802ED3">
            <w:pPr>
              <w:spacing w:before="60" w:after="60" w:line="240" w:lineRule="auto"/>
              <w:ind w:firstLine="124"/>
              <w:rPr>
                <w:rFonts w:ascii="Arial" w:hAnsi="Arial" w:cs="Arial"/>
                <w:szCs w:val="24"/>
                <w:vertAlign w:val="superscript"/>
              </w:rPr>
            </w:pPr>
            <w:r w:rsidRPr="00117329">
              <w:rPr>
                <w:rFonts w:ascii="Arial" w:hAnsi="Arial" w:cs="Arial"/>
                <w:szCs w:val="24"/>
              </w:rPr>
              <w:t>Not known</w:t>
            </w:r>
            <w:r w:rsidRPr="00117329">
              <w:rPr>
                <w:rFonts w:ascii="Arial" w:hAnsi="Arial" w:cs="Arial"/>
                <w:szCs w:val="24"/>
                <w:vertAlign w:val="superscript"/>
              </w:rPr>
              <w:t>4</w:t>
            </w:r>
          </w:p>
        </w:tc>
        <w:tc>
          <w:tcPr>
            <w:tcW w:w="1701" w:type="dxa"/>
            <w:tcBorders>
              <w:top w:val="nil"/>
              <w:left w:val="single" w:sz="4" w:space="0" w:color="auto"/>
              <w:right w:val="single" w:sz="4" w:space="0" w:color="auto"/>
            </w:tcBorders>
            <w:noWrap/>
          </w:tcPr>
          <w:p w14:paraId="505C5285" w14:textId="6BC8C3D2" w:rsidR="006E49BD" w:rsidRPr="00E828E2" w:rsidRDefault="00915026" w:rsidP="00802ED3">
            <w:pPr>
              <w:spacing w:before="60" w:after="60" w:line="240" w:lineRule="auto"/>
              <w:ind w:right="765"/>
              <w:jc w:val="right"/>
              <w:rPr>
                <w:rFonts w:ascii="Arial" w:hAnsi="Arial" w:cs="Arial"/>
                <w:szCs w:val="24"/>
              </w:rPr>
            </w:pPr>
            <w:r w:rsidRPr="00E828E2">
              <w:rPr>
                <w:rFonts w:ascii="Arial" w:hAnsi="Arial" w:cs="Arial"/>
                <w:szCs w:val="24"/>
              </w:rPr>
              <w:t>32</w:t>
            </w:r>
          </w:p>
        </w:tc>
        <w:tc>
          <w:tcPr>
            <w:tcW w:w="1701" w:type="dxa"/>
            <w:tcBorders>
              <w:top w:val="nil"/>
              <w:left w:val="single" w:sz="4" w:space="0" w:color="auto"/>
              <w:right w:val="nil"/>
            </w:tcBorders>
            <w:noWrap/>
          </w:tcPr>
          <w:p w14:paraId="00D68E30" w14:textId="39327607" w:rsidR="006E49BD" w:rsidRPr="00E828E2" w:rsidRDefault="00915026" w:rsidP="00802ED3">
            <w:pPr>
              <w:spacing w:before="60" w:after="60" w:line="240" w:lineRule="auto"/>
              <w:ind w:right="556"/>
              <w:jc w:val="right"/>
              <w:rPr>
                <w:rFonts w:ascii="Arial" w:hAnsi="Arial" w:cs="Arial"/>
                <w:szCs w:val="24"/>
              </w:rPr>
            </w:pPr>
            <w:r w:rsidRPr="00E828E2">
              <w:rPr>
                <w:rFonts w:ascii="Arial" w:hAnsi="Arial" w:cs="Arial"/>
                <w:szCs w:val="24"/>
              </w:rPr>
              <w:t>11.3%</w:t>
            </w:r>
          </w:p>
        </w:tc>
      </w:tr>
      <w:tr w:rsidR="006E49BD" w:rsidRPr="002C29C9" w14:paraId="639FF4FD" w14:textId="77777777" w:rsidTr="00054B7B">
        <w:trPr>
          <w:trHeight w:val="288"/>
        </w:trPr>
        <w:tc>
          <w:tcPr>
            <w:tcW w:w="2410" w:type="dxa"/>
            <w:vMerge w:val="restart"/>
            <w:tcBorders>
              <w:top w:val="single" w:sz="4" w:space="0" w:color="auto"/>
              <w:left w:val="nil"/>
              <w:right w:val="single" w:sz="4" w:space="0" w:color="auto"/>
            </w:tcBorders>
            <w:noWrap/>
            <w:hideMark/>
          </w:tcPr>
          <w:p w14:paraId="6778EA13" w14:textId="77777777" w:rsidR="006E49BD" w:rsidRPr="00117329" w:rsidRDefault="006E49BD" w:rsidP="00802ED3">
            <w:pPr>
              <w:spacing w:before="60" w:after="60" w:line="240" w:lineRule="auto"/>
              <w:rPr>
                <w:rFonts w:ascii="Arial" w:eastAsia="Times New Roman" w:hAnsi="Arial" w:cs="Arial"/>
                <w:szCs w:val="24"/>
                <w:lang w:eastAsia="en-NZ"/>
              </w:rPr>
            </w:pPr>
            <w:r w:rsidRPr="00117329">
              <w:rPr>
                <w:rFonts w:ascii="Arial" w:eastAsia="Times New Roman" w:hAnsi="Arial" w:cs="Arial"/>
                <w:szCs w:val="24"/>
                <w:lang w:eastAsia="en-NZ"/>
              </w:rPr>
              <w:t>Receiving palliative care at the time of application?</w:t>
            </w:r>
          </w:p>
        </w:tc>
        <w:tc>
          <w:tcPr>
            <w:tcW w:w="3260" w:type="dxa"/>
            <w:tcBorders>
              <w:top w:val="single" w:sz="4" w:space="0" w:color="auto"/>
              <w:left w:val="single" w:sz="4" w:space="0" w:color="auto"/>
              <w:bottom w:val="nil"/>
              <w:right w:val="single" w:sz="4" w:space="0" w:color="auto"/>
            </w:tcBorders>
            <w:noWrap/>
            <w:hideMark/>
          </w:tcPr>
          <w:p w14:paraId="24B8C71A"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 xml:space="preserve">Yes </w:t>
            </w:r>
          </w:p>
        </w:tc>
        <w:tc>
          <w:tcPr>
            <w:tcW w:w="1701" w:type="dxa"/>
            <w:tcBorders>
              <w:top w:val="single" w:sz="4" w:space="0" w:color="auto"/>
              <w:left w:val="single" w:sz="4" w:space="0" w:color="auto"/>
              <w:bottom w:val="nil"/>
              <w:right w:val="single" w:sz="4" w:space="0" w:color="auto"/>
            </w:tcBorders>
            <w:noWrap/>
            <w:hideMark/>
          </w:tcPr>
          <w:p w14:paraId="5FBAEF02" w14:textId="1D5C4E14" w:rsidR="006E49BD" w:rsidRPr="00197BBF" w:rsidRDefault="00846D03" w:rsidP="00802ED3">
            <w:pPr>
              <w:spacing w:before="60" w:after="60" w:line="240" w:lineRule="auto"/>
              <w:ind w:right="765"/>
              <w:jc w:val="right"/>
              <w:rPr>
                <w:rFonts w:ascii="Arial" w:eastAsia="Times New Roman" w:hAnsi="Arial" w:cs="Arial"/>
                <w:szCs w:val="24"/>
                <w:lang w:eastAsia="en-NZ"/>
              </w:rPr>
            </w:pPr>
            <w:r w:rsidRPr="00197BBF">
              <w:rPr>
                <w:rFonts w:ascii="Arial" w:eastAsia="Times New Roman" w:hAnsi="Arial" w:cs="Arial"/>
                <w:szCs w:val="24"/>
                <w:lang w:eastAsia="en-NZ"/>
              </w:rPr>
              <w:t>230</w:t>
            </w:r>
          </w:p>
        </w:tc>
        <w:tc>
          <w:tcPr>
            <w:tcW w:w="1701" w:type="dxa"/>
            <w:tcBorders>
              <w:top w:val="single" w:sz="4" w:space="0" w:color="auto"/>
              <w:left w:val="single" w:sz="4" w:space="0" w:color="auto"/>
              <w:bottom w:val="nil"/>
              <w:right w:val="nil"/>
            </w:tcBorders>
            <w:noWrap/>
            <w:hideMark/>
          </w:tcPr>
          <w:p w14:paraId="21701345" w14:textId="491AFBEA" w:rsidR="006E49BD" w:rsidRPr="00197BBF" w:rsidRDefault="00846D03" w:rsidP="00802ED3">
            <w:pPr>
              <w:spacing w:before="60" w:after="60" w:line="240" w:lineRule="auto"/>
              <w:ind w:right="556"/>
              <w:jc w:val="right"/>
              <w:rPr>
                <w:rFonts w:ascii="Arial" w:eastAsia="Times New Roman" w:hAnsi="Arial" w:cs="Arial"/>
                <w:szCs w:val="24"/>
                <w:lang w:eastAsia="en-NZ"/>
              </w:rPr>
            </w:pPr>
            <w:r w:rsidRPr="00197BBF">
              <w:rPr>
                <w:rFonts w:ascii="Arial" w:eastAsia="Times New Roman" w:hAnsi="Arial" w:cs="Arial"/>
                <w:szCs w:val="24"/>
                <w:lang w:eastAsia="en-NZ"/>
              </w:rPr>
              <w:t>80.4%</w:t>
            </w:r>
          </w:p>
        </w:tc>
      </w:tr>
      <w:tr w:rsidR="006E49BD" w:rsidRPr="002C29C9" w14:paraId="07AAAC77" w14:textId="77777777" w:rsidTr="00054B7B">
        <w:trPr>
          <w:trHeight w:val="288"/>
        </w:trPr>
        <w:tc>
          <w:tcPr>
            <w:tcW w:w="2410" w:type="dxa"/>
            <w:vMerge/>
            <w:noWrap/>
            <w:hideMark/>
          </w:tcPr>
          <w:p w14:paraId="0A866D39"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right w:val="single" w:sz="4" w:space="0" w:color="auto"/>
            </w:tcBorders>
            <w:noWrap/>
            <w:hideMark/>
          </w:tcPr>
          <w:p w14:paraId="6218D8FB"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No</w:t>
            </w:r>
          </w:p>
        </w:tc>
        <w:tc>
          <w:tcPr>
            <w:tcW w:w="1701" w:type="dxa"/>
            <w:tcBorders>
              <w:top w:val="nil"/>
              <w:left w:val="single" w:sz="4" w:space="0" w:color="auto"/>
              <w:right w:val="single" w:sz="4" w:space="0" w:color="auto"/>
            </w:tcBorders>
            <w:noWrap/>
            <w:hideMark/>
          </w:tcPr>
          <w:p w14:paraId="6E48F4A4" w14:textId="602AECA2" w:rsidR="006E49BD" w:rsidRPr="00197BBF" w:rsidRDefault="00846D03" w:rsidP="00802ED3">
            <w:pPr>
              <w:spacing w:before="60" w:after="60" w:line="240" w:lineRule="auto"/>
              <w:ind w:right="765"/>
              <w:jc w:val="right"/>
              <w:rPr>
                <w:rFonts w:ascii="Arial" w:eastAsia="Times New Roman" w:hAnsi="Arial" w:cs="Arial"/>
                <w:szCs w:val="24"/>
                <w:lang w:eastAsia="en-NZ"/>
              </w:rPr>
            </w:pPr>
            <w:r w:rsidRPr="00197BBF">
              <w:rPr>
                <w:rFonts w:ascii="Arial" w:eastAsia="Times New Roman" w:hAnsi="Arial" w:cs="Arial"/>
                <w:szCs w:val="24"/>
                <w:lang w:eastAsia="en-NZ"/>
              </w:rPr>
              <w:t>56</w:t>
            </w:r>
          </w:p>
        </w:tc>
        <w:tc>
          <w:tcPr>
            <w:tcW w:w="1701" w:type="dxa"/>
            <w:tcBorders>
              <w:top w:val="nil"/>
              <w:left w:val="single" w:sz="4" w:space="0" w:color="auto"/>
              <w:right w:val="nil"/>
            </w:tcBorders>
            <w:noWrap/>
            <w:hideMark/>
          </w:tcPr>
          <w:p w14:paraId="7FDE2126" w14:textId="19228F2B" w:rsidR="006E49BD" w:rsidRPr="00197BBF" w:rsidRDefault="00846D03" w:rsidP="00802ED3">
            <w:pPr>
              <w:spacing w:before="60" w:after="60" w:line="240" w:lineRule="auto"/>
              <w:ind w:right="556"/>
              <w:jc w:val="right"/>
              <w:rPr>
                <w:rFonts w:ascii="Arial" w:eastAsia="Times New Roman" w:hAnsi="Arial" w:cs="Arial"/>
                <w:szCs w:val="24"/>
                <w:lang w:eastAsia="en-NZ"/>
              </w:rPr>
            </w:pPr>
            <w:r w:rsidRPr="00197BBF">
              <w:rPr>
                <w:rFonts w:ascii="Arial" w:eastAsia="Times New Roman" w:hAnsi="Arial" w:cs="Arial"/>
                <w:szCs w:val="24"/>
                <w:lang w:eastAsia="en-NZ"/>
              </w:rPr>
              <w:t>19.6%</w:t>
            </w:r>
          </w:p>
        </w:tc>
      </w:tr>
      <w:tr w:rsidR="006E49BD" w:rsidRPr="002C29C9" w14:paraId="2D4D6668" w14:textId="77777777" w:rsidTr="00054B7B">
        <w:trPr>
          <w:trHeight w:val="288"/>
        </w:trPr>
        <w:tc>
          <w:tcPr>
            <w:tcW w:w="2410" w:type="dxa"/>
            <w:vMerge/>
            <w:noWrap/>
            <w:hideMark/>
          </w:tcPr>
          <w:p w14:paraId="39A6F5DF"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top w:val="nil"/>
              <w:left w:val="single" w:sz="4" w:space="0" w:color="auto"/>
              <w:bottom w:val="single" w:sz="4" w:space="0" w:color="auto"/>
              <w:right w:val="single" w:sz="4" w:space="0" w:color="auto"/>
            </w:tcBorders>
            <w:noWrap/>
            <w:hideMark/>
          </w:tcPr>
          <w:p w14:paraId="55333F08"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Not stated</w:t>
            </w:r>
          </w:p>
        </w:tc>
        <w:tc>
          <w:tcPr>
            <w:tcW w:w="1701" w:type="dxa"/>
            <w:tcBorders>
              <w:top w:val="nil"/>
              <w:left w:val="single" w:sz="4" w:space="0" w:color="auto"/>
              <w:bottom w:val="single" w:sz="4" w:space="0" w:color="auto"/>
              <w:right w:val="single" w:sz="4" w:space="0" w:color="auto"/>
            </w:tcBorders>
            <w:noWrap/>
            <w:hideMark/>
          </w:tcPr>
          <w:p w14:paraId="2A05F9A3" w14:textId="77777777" w:rsidR="006E49BD" w:rsidRPr="00197BBF" w:rsidRDefault="006E49BD" w:rsidP="00802ED3">
            <w:pPr>
              <w:spacing w:before="60" w:after="60" w:line="240" w:lineRule="auto"/>
              <w:ind w:right="765"/>
              <w:jc w:val="right"/>
              <w:rPr>
                <w:rFonts w:ascii="Arial" w:eastAsia="Times New Roman" w:hAnsi="Arial" w:cs="Arial"/>
                <w:szCs w:val="24"/>
                <w:lang w:eastAsia="en-NZ"/>
              </w:rPr>
            </w:pPr>
            <w:r w:rsidRPr="00197BBF">
              <w:rPr>
                <w:rFonts w:ascii="Arial" w:eastAsia="Times New Roman" w:hAnsi="Arial" w:cs="Arial"/>
                <w:szCs w:val="24"/>
                <w:lang w:eastAsia="en-NZ"/>
              </w:rPr>
              <w:t>0</w:t>
            </w:r>
          </w:p>
        </w:tc>
        <w:tc>
          <w:tcPr>
            <w:tcW w:w="1701" w:type="dxa"/>
            <w:tcBorders>
              <w:top w:val="nil"/>
              <w:left w:val="single" w:sz="4" w:space="0" w:color="auto"/>
              <w:bottom w:val="single" w:sz="4" w:space="0" w:color="auto"/>
              <w:right w:val="nil"/>
            </w:tcBorders>
            <w:noWrap/>
            <w:hideMark/>
          </w:tcPr>
          <w:p w14:paraId="4246B2FD" w14:textId="77777777" w:rsidR="006E49BD" w:rsidRPr="00197BBF" w:rsidRDefault="006E49BD" w:rsidP="00802ED3">
            <w:pPr>
              <w:spacing w:before="60" w:after="60" w:line="240" w:lineRule="auto"/>
              <w:ind w:right="556"/>
              <w:jc w:val="right"/>
              <w:rPr>
                <w:rFonts w:ascii="Arial" w:eastAsia="Times New Roman" w:hAnsi="Arial" w:cs="Arial"/>
                <w:szCs w:val="24"/>
                <w:lang w:eastAsia="en-NZ"/>
              </w:rPr>
            </w:pPr>
            <w:r w:rsidRPr="00197BBF">
              <w:rPr>
                <w:rFonts w:ascii="Arial" w:eastAsia="Times New Roman" w:hAnsi="Arial" w:cs="Arial"/>
                <w:szCs w:val="24"/>
                <w:lang w:eastAsia="en-NZ"/>
              </w:rPr>
              <w:t>0.0%</w:t>
            </w:r>
          </w:p>
        </w:tc>
      </w:tr>
      <w:tr w:rsidR="006E49BD" w:rsidRPr="002C29C9" w14:paraId="4C03B2AA" w14:textId="77777777" w:rsidTr="00054B7B">
        <w:trPr>
          <w:trHeight w:val="288"/>
        </w:trPr>
        <w:tc>
          <w:tcPr>
            <w:tcW w:w="2410" w:type="dxa"/>
            <w:vMerge w:val="restart"/>
            <w:tcBorders>
              <w:top w:val="single" w:sz="4" w:space="0" w:color="auto"/>
              <w:left w:val="nil"/>
              <w:right w:val="single" w:sz="4" w:space="0" w:color="auto"/>
            </w:tcBorders>
            <w:noWrap/>
          </w:tcPr>
          <w:p w14:paraId="0D5E7D19" w14:textId="77777777" w:rsidR="006E49BD" w:rsidRPr="00117329" w:rsidRDefault="006E49BD" w:rsidP="00802ED3">
            <w:pPr>
              <w:spacing w:before="60" w:after="60" w:line="240" w:lineRule="auto"/>
              <w:rPr>
                <w:rFonts w:ascii="Arial" w:eastAsia="Times New Roman" w:hAnsi="Arial" w:cs="Arial"/>
                <w:szCs w:val="24"/>
                <w:lang w:eastAsia="en-NZ"/>
              </w:rPr>
            </w:pPr>
            <w:r w:rsidRPr="00117329">
              <w:rPr>
                <w:rFonts w:ascii="Arial" w:eastAsia="Times New Roman" w:hAnsi="Arial" w:cs="Arial"/>
                <w:szCs w:val="24"/>
                <w:lang w:eastAsia="en-NZ"/>
              </w:rPr>
              <w:t>Reported a disability at the time of application?</w:t>
            </w:r>
          </w:p>
        </w:tc>
        <w:tc>
          <w:tcPr>
            <w:tcW w:w="3260" w:type="dxa"/>
            <w:tcBorders>
              <w:top w:val="single" w:sz="4" w:space="0" w:color="auto"/>
              <w:left w:val="single" w:sz="4" w:space="0" w:color="auto"/>
              <w:right w:val="single" w:sz="4" w:space="0" w:color="auto"/>
            </w:tcBorders>
            <w:noWrap/>
          </w:tcPr>
          <w:p w14:paraId="7CF1EF56"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Yes</w:t>
            </w:r>
          </w:p>
        </w:tc>
        <w:tc>
          <w:tcPr>
            <w:tcW w:w="1701" w:type="dxa"/>
            <w:tcBorders>
              <w:top w:val="single" w:sz="4" w:space="0" w:color="auto"/>
              <w:left w:val="single" w:sz="4" w:space="0" w:color="auto"/>
              <w:right w:val="single" w:sz="4" w:space="0" w:color="auto"/>
            </w:tcBorders>
            <w:noWrap/>
          </w:tcPr>
          <w:p w14:paraId="6877AC7A" w14:textId="4A7FC4DF" w:rsidR="006E49BD" w:rsidRPr="00197BBF" w:rsidRDefault="00074C9D" w:rsidP="00802ED3">
            <w:pPr>
              <w:spacing w:before="60" w:after="60" w:line="240" w:lineRule="auto"/>
              <w:ind w:right="765"/>
              <w:jc w:val="right"/>
              <w:rPr>
                <w:rFonts w:ascii="Arial" w:eastAsia="Arial" w:hAnsi="Arial" w:cs="Arial"/>
                <w:szCs w:val="24"/>
              </w:rPr>
            </w:pPr>
            <w:r w:rsidRPr="00197BBF">
              <w:rPr>
                <w:rFonts w:ascii="Arial" w:eastAsia="Times New Roman" w:hAnsi="Arial" w:cs="Arial"/>
                <w:szCs w:val="24"/>
                <w:lang w:eastAsia="en-NZ"/>
              </w:rPr>
              <w:t>21</w:t>
            </w:r>
          </w:p>
        </w:tc>
        <w:tc>
          <w:tcPr>
            <w:tcW w:w="1701" w:type="dxa"/>
            <w:tcBorders>
              <w:top w:val="single" w:sz="4" w:space="0" w:color="auto"/>
              <w:left w:val="single" w:sz="4" w:space="0" w:color="auto"/>
              <w:right w:val="nil"/>
            </w:tcBorders>
            <w:noWrap/>
          </w:tcPr>
          <w:p w14:paraId="5220B66F" w14:textId="41719E79" w:rsidR="006E49BD" w:rsidRPr="00197BBF" w:rsidRDefault="00074C9D" w:rsidP="00802ED3">
            <w:pPr>
              <w:spacing w:before="60" w:after="60" w:line="240" w:lineRule="auto"/>
              <w:ind w:right="556"/>
              <w:jc w:val="right"/>
              <w:rPr>
                <w:rFonts w:ascii="Arial" w:eastAsia="Times New Roman" w:hAnsi="Arial" w:cs="Arial"/>
                <w:szCs w:val="24"/>
                <w:lang w:eastAsia="en-NZ"/>
              </w:rPr>
            </w:pPr>
            <w:r w:rsidRPr="00197BBF">
              <w:rPr>
                <w:rFonts w:ascii="Arial" w:eastAsia="Times New Roman" w:hAnsi="Arial" w:cs="Arial"/>
                <w:szCs w:val="24"/>
                <w:lang w:eastAsia="en-NZ"/>
              </w:rPr>
              <w:t>7.3%</w:t>
            </w:r>
          </w:p>
        </w:tc>
      </w:tr>
      <w:tr w:rsidR="006E49BD" w:rsidRPr="002C29C9" w14:paraId="4F13FC4B" w14:textId="77777777" w:rsidTr="00054B7B">
        <w:trPr>
          <w:trHeight w:val="288"/>
        </w:trPr>
        <w:tc>
          <w:tcPr>
            <w:tcW w:w="2410" w:type="dxa"/>
            <w:vMerge/>
            <w:noWrap/>
            <w:vAlign w:val="bottom"/>
          </w:tcPr>
          <w:p w14:paraId="44EA04A4"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left w:val="single" w:sz="4" w:space="0" w:color="auto"/>
              <w:right w:val="single" w:sz="4" w:space="0" w:color="auto"/>
            </w:tcBorders>
            <w:noWrap/>
          </w:tcPr>
          <w:p w14:paraId="60C0DC18"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No</w:t>
            </w:r>
          </w:p>
        </w:tc>
        <w:tc>
          <w:tcPr>
            <w:tcW w:w="1701" w:type="dxa"/>
            <w:tcBorders>
              <w:left w:val="single" w:sz="4" w:space="0" w:color="auto"/>
              <w:right w:val="single" w:sz="4" w:space="0" w:color="auto"/>
            </w:tcBorders>
            <w:noWrap/>
          </w:tcPr>
          <w:p w14:paraId="61C880B9" w14:textId="7F43D2CB" w:rsidR="006E49BD" w:rsidRPr="00802ED3" w:rsidRDefault="00074C9D" w:rsidP="00802ED3">
            <w:pPr>
              <w:spacing w:before="60" w:after="60" w:line="240" w:lineRule="auto"/>
              <w:ind w:right="765"/>
              <w:jc w:val="right"/>
              <w:rPr>
                <w:rFonts w:ascii="Arial" w:eastAsia="Times New Roman" w:hAnsi="Arial" w:cs="Arial"/>
                <w:szCs w:val="24"/>
                <w:lang w:eastAsia="en-NZ"/>
              </w:rPr>
            </w:pPr>
            <w:r w:rsidRPr="00802ED3">
              <w:rPr>
                <w:rFonts w:ascii="Arial" w:eastAsia="Times New Roman" w:hAnsi="Arial" w:cs="Arial"/>
                <w:szCs w:val="24"/>
                <w:lang w:eastAsia="en-NZ"/>
              </w:rPr>
              <w:t>2</w:t>
            </w:r>
            <w:r w:rsidR="00D23FE8" w:rsidRPr="00802ED3">
              <w:rPr>
                <w:rFonts w:ascii="Arial" w:eastAsia="Times New Roman" w:hAnsi="Arial" w:cs="Arial"/>
                <w:szCs w:val="24"/>
                <w:lang w:eastAsia="en-NZ"/>
              </w:rPr>
              <w:t>65</w:t>
            </w:r>
          </w:p>
        </w:tc>
        <w:tc>
          <w:tcPr>
            <w:tcW w:w="1701" w:type="dxa"/>
            <w:tcBorders>
              <w:left w:val="single" w:sz="4" w:space="0" w:color="auto"/>
              <w:right w:val="nil"/>
            </w:tcBorders>
            <w:noWrap/>
          </w:tcPr>
          <w:p w14:paraId="63FF2AA6" w14:textId="41FBA19D" w:rsidR="006E49BD" w:rsidRPr="00197BBF" w:rsidRDefault="00074C9D" w:rsidP="00802ED3">
            <w:pPr>
              <w:spacing w:before="60" w:after="60" w:line="240" w:lineRule="auto"/>
              <w:ind w:right="556"/>
              <w:jc w:val="right"/>
              <w:rPr>
                <w:rFonts w:ascii="Arial" w:eastAsia="Times New Roman" w:hAnsi="Arial" w:cs="Arial"/>
                <w:szCs w:val="24"/>
                <w:lang w:eastAsia="en-NZ"/>
              </w:rPr>
            </w:pPr>
            <w:r w:rsidRPr="00197BBF">
              <w:rPr>
                <w:rFonts w:ascii="Arial" w:eastAsia="Times New Roman" w:hAnsi="Arial" w:cs="Arial"/>
                <w:szCs w:val="24"/>
                <w:lang w:eastAsia="en-NZ"/>
              </w:rPr>
              <w:t>92.7%</w:t>
            </w:r>
          </w:p>
        </w:tc>
      </w:tr>
      <w:tr w:rsidR="006E49BD" w:rsidRPr="002C29C9" w14:paraId="16FA1513" w14:textId="77777777" w:rsidTr="00054B7B">
        <w:trPr>
          <w:trHeight w:val="288"/>
        </w:trPr>
        <w:tc>
          <w:tcPr>
            <w:tcW w:w="2410" w:type="dxa"/>
            <w:vMerge/>
            <w:noWrap/>
            <w:vAlign w:val="bottom"/>
          </w:tcPr>
          <w:p w14:paraId="4CC2A8DB" w14:textId="77777777" w:rsidR="006E49BD" w:rsidRPr="00117329" w:rsidRDefault="006E49BD" w:rsidP="00802ED3">
            <w:pPr>
              <w:spacing w:before="60" w:after="60" w:line="240" w:lineRule="auto"/>
              <w:rPr>
                <w:rFonts w:ascii="Arial" w:eastAsia="Times New Roman" w:hAnsi="Arial" w:cs="Arial"/>
                <w:szCs w:val="24"/>
                <w:lang w:eastAsia="en-NZ"/>
              </w:rPr>
            </w:pPr>
          </w:p>
        </w:tc>
        <w:tc>
          <w:tcPr>
            <w:tcW w:w="3260" w:type="dxa"/>
            <w:tcBorders>
              <w:left w:val="single" w:sz="4" w:space="0" w:color="auto"/>
              <w:right w:val="single" w:sz="4" w:space="0" w:color="auto"/>
            </w:tcBorders>
            <w:noWrap/>
          </w:tcPr>
          <w:p w14:paraId="62D4AAB4" w14:textId="77777777" w:rsidR="006E49BD" w:rsidRPr="00117329" w:rsidRDefault="006E49BD" w:rsidP="00802ED3">
            <w:pPr>
              <w:spacing w:before="60" w:after="60" w:line="240" w:lineRule="auto"/>
              <w:ind w:firstLine="124"/>
              <w:rPr>
                <w:rFonts w:ascii="Arial" w:eastAsia="Times New Roman" w:hAnsi="Arial" w:cs="Arial"/>
                <w:szCs w:val="24"/>
                <w:lang w:eastAsia="en-NZ"/>
              </w:rPr>
            </w:pPr>
            <w:r w:rsidRPr="00117329">
              <w:rPr>
                <w:rFonts w:ascii="Arial" w:eastAsia="Times New Roman" w:hAnsi="Arial" w:cs="Arial"/>
                <w:szCs w:val="24"/>
                <w:lang w:eastAsia="en-NZ"/>
              </w:rPr>
              <w:t>Not stated</w:t>
            </w:r>
          </w:p>
        </w:tc>
        <w:tc>
          <w:tcPr>
            <w:tcW w:w="1701" w:type="dxa"/>
            <w:tcBorders>
              <w:left w:val="single" w:sz="4" w:space="0" w:color="auto"/>
              <w:right w:val="single" w:sz="4" w:space="0" w:color="auto"/>
            </w:tcBorders>
            <w:noWrap/>
          </w:tcPr>
          <w:p w14:paraId="13A5B0BB" w14:textId="77777777" w:rsidR="006E49BD" w:rsidRPr="0048308E" w:rsidRDefault="006E49BD" w:rsidP="00802ED3">
            <w:pPr>
              <w:spacing w:before="60" w:after="60" w:line="240" w:lineRule="auto"/>
              <w:ind w:right="765"/>
              <w:jc w:val="right"/>
              <w:rPr>
                <w:rFonts w:ascii="Arial" w:eastAsia="Times New Roman" w:hAnsi="Arial" w:cs="Arial"/>
                <w:szCs w:val="24"/>
                <w:highlight w:val="yellow"/>
                <w:lang w:eastAsia="en-NZ"/>
              </w:rPr>
            </w:pPr>
            <w:r w:rsidRPr="0048308E">
              <w:rPr>
                <w:rFonts w:ascii="Arial" w:eastAsia="Times New Roman" w:hAnsi="Arial" w:cs="Arial"/>
                <w:szCs w:val="24"/>
                <w:highlight w:val="yellow"/>
                <w:lang w:eastAsia="en-NZ"/>
              </w:rPr>
              <w:t>0</w:t>
            </w:r>
          </w:p>
        </w:tc>
        <w:tc>
          <w:tcPr>
            <w:tcW w:w="1701" w:type="dxa"/>
            <w:tcBorders>
              <w:left w:val="single" w:sz="4" w:space="0" w:color="auto"/>
              <w:right w:val="nil"/>
            </w:tcBorders>
            <w:noWrap/>
          </w:tcPr>
          <w:p w14:paraId="5679BAA4" w14:textId="77777777" w:rsidR="006E49BD" w:rsidRPr="0048308E" w:rsidRDefault="006E49BD" w:rsidP="00802ED3">
            <w:pPr>
              <w:spacing w:before="60" w:after="60" w:line="240" w:lineRule="auto"/>
              <w:ind w:right="556"/>
              <w:jc w:val="right"/>
              <w:rPr>
                <w:rFonts w:ascii="Arial" w:eastAsia="Times New Roman" w:hAnsi="Arial" w:cs="Arial"/>
                <w:szCs w:val="24"/>
                <w:highlight w:val="yellow"/>
                <w:lang w:eastAsia="en-NZ"/>
              </w:rPr>
            </w:pPr>
            <w:r w:rsidRPr="0048308E">
              <w:rPr>
                <w:rFonts w:ascii="Arial" w:eastAsia="Times New Roman" w:hAnsi="Arial" w:cs="Arial"/>
                <w:szCs w:val="24"/>
                <w:highlight w:val="yellow"/>
                <w:lang w:eastAsia="en-NZ"/>
              </w:rPr>
              <w:t>0.0%</w:t>
            </w:r>
          </w:p>
        </w:tc>
      </w:tr>
    </w:tbl>
    <w:p w14:paraId="67460F25" w14:textId="77777777" w:rsidR="00802ED3" w:rsidRDefault="00802ED3">
      <w:r>
        <w:br w:type="page"/>
      </w:r>
    </w:p>
    <w:tbl>
      <w:tblPr>
        <w:tblW w:w="907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072"/>
      </w:tblGrid>
      <w:tr w:rsidR="006E49BD" w:rsidRPr="002C29C9" w14:paraId="12D91A5E" w14:textId="77777777" w:rsidTr="00117329">
        <w:trPr>
          <w:trHeight w:val="1541"/>
        </w:trPr>
        <w:tc>
          <w:tcPr>
            <w:tcW w:w="9072" w:type="dxa"/>
            <w:tcBorders>
              <w:left w:val="nil"/>
              <w:bottom w:val="single" w:sz="4" w:space="0" w:color="auto"/>
            </w:tcBorders>
            <w:noWrap/>
            <w:vAlign w:val="bottom"/>
          </w:tcPr>
          <w:p w14:paraId="1702A14A" w14:textId="2C37A1FA" w:rsidR="006E49BD" w:rsidRPr="00117329" w:rsidRDefault="006E49BD" w:rsidP="00802ED3">
            <w:pPr>
              <w:spacing w:after="120" w:line="240" w:lineRule="auto"/>
              <w:rPr>
                <w:rFonts w:ascii="Arial" w:eastAsia="Times New Roman" w:hAnsi="Arial" w:cs="Arial"/>
                <w:b/>
                <w:bCs/>
                <w:szCs w:val="24"/>
                <w:lang w:eastAsia="en-NZ"/>
              </w:rPr>
            </w:pPr>
            <w:r w:rsidRPr="00117329">
              <w:rPr>
                <w:rFonts w:ascii="Arial" w:eastAsia="Times New Roman" w:hAnsi="Arial" w:cs="Arial"/>
                <w:b/>
                <w:szCs w:val="24"/>
                <w:lang w:eastAsia="en-NZ"/>
              </w:rPr>
              <w:lastRenderedPageBreak/>
              <w:t>Notes:</w:t>
            </w:r>
          </w:p>
          <w:p w14:paraId="5AF25B4A" w14:textId="77777777" w:rsidR="006E49BD" w:rsidRPr="00117329" w:rsidRDefault="006E49BD" w:rsidP="00802ED3">
            <w:pPr>
              <w:pStyle w:val="ListParagraph"/>
              <w:numPr>
                <w:ilvl w:val="0"/>
                <w:numId w:val="33"/>
              </w:numPr>
              <w:spacing w:after="120" w:line="240" w:lineRule="auto"/>
              <w:ind w:left="357" w:hanging="357"/>
              <w:contextualSpacing w:val="0"/>
              <w:rPr>
                <w:rFonts w:ascii="Arial" w:eastAsia="Times New Roman" w:hAnsi="Arial" w:cs="Arial"/>
                <w:szCs w:val="24"/>
                <w:lang w:eastAsia="en-NZ"/>
              </w:rPr>
            </w:pPr>
            <w:r w:rsidRPr="00117329">
              <w:rPr>
                <w:rFonts w:ascii="Arial" w:eastAsia="Times New Roman" w:hAnsi="Arial" w:cs="Arial"/>
                <w:szCs w:val="24"/>
                <w:lang w:eastAsia="en-NZ"/>
              </w:rPr>
              <w:t>Total ethnicity has been used. This means that individuals reporting more than one ethnicity are included within each category to which they identify. Ethnicity in this report is based on patient records in the health system, while in the previous reports ethnicity in the application form was used.</w:t>
            </w:r>
          </w:p>
          <w:p w14:paraId="1EA503B2" w14:textId="77777777" w:rsidR="006E49BD" w:rsidRPr="00117329" w:rsidRDefault="006E49BD" w:rsidP="00802ED3">
            <w:pPr>
              <w:pStyle w:val="ListParagraph"/>
              <w:numPr>
                <w:ilvl w:val="0"/>
                <w:numId w:val="33"/>
              </w:numPr>
              <w:spacing w:after="120" w:line="240" w:lineRule="auto"/>
              <w:ind w:left="357" w:hanging="357"/>
              <w:contextualSpacing w:val="0"/>
              <w:rPr>
                <w:rFonts w:ascii="Arial" w:eastAsia="Times New Roman" w:hAnsi="Arial" w:cs="Arial"/>
                <w:szCs w:val="24"/>
                <w:lang w:eastAsia="en-NZ"/>
              </w:rPr>
            </w:pPr>
            <w:r w:rsidRPr="00117329">
              <w:rPr>
                <w:rFonts w:ascii="Arial" w:eastAsia="Times New Roman" w:hAnsi="Arial" w:cs="Arial"/>
                <w:szCs w:val="24"/>
                <w:lang w:eastAsia="en-NZ"/>
              </w:rPr>
              <w:t xml:space="preserve">Total diagnosis has been used. This means that individuals presenting with multiple diagnoses are included within each applicable diagnostic category. </w:t>
            </w:r>
          </w:p>
          <w:p w14:paraId="3B8B8706" w14:textId="77777777" w:rsidR="006E49BD" w:rsidRPr="00117329" w:rsidRDefault="006E49BD" w:rsidP="00802ED3">
            <w:pPr>
              <w:pStyle w:val="ListParagraph"/>
              <w:numPr>
                <w:ilvl w:val="0"/>
                <w:numId w:val="33"/>
              </w:numPr>
              <w:spacing w:after="120" w:line="240" w:lineRule="auto"/>
              <w:ind w:left="357" w:hanging="357"/>
              <w:contextualSpacing w:val="0"/>
              <w:rPr>
                <w:rFonts w:ascii="Arial" w:eastAsia="Times New Roman" w:hAnsi="Arial" w:cs="Arial"/>
                <w:szCs w:val="24"/>
                <w:lang w:eastAsia="en-NZ"/>
              </w:rPr>
            </w:pPr>
            <w:r w:rsidRPr="00117329">
              <w:rPr>
                <w:rFonts w:ascii="Arial" w:eastAsia="Times New Roman" w:hAnsi="Arial" w:cs="Arial"/>
                <w:szCs w:val="24"/>
                <w:lang w:eastAsia="en-NZ"/>
              </w:rPr>
              <w:t>Valid repeat applications are included as unique instances. This means, in cases where an individual submits multiple applications during this period, their information is recorded in the demographic data each time.</w:t>
            </w:r>
          </w:p>
          <w:p w14:paraId="77765CF5" w14:textId="2B517F1C" w:rsidR="006E49BD" w:rsidRPr="00074C9D" w:rsidRDefault="006E49BD" w:rsidP="00802ED3">
            <w:pPr>
              <w:pStyle w:val="ListParagraph"/>
              <w:numPr>
                <w:ilvl w:val="0"/>
                <w:numId w:val="33"/>
              </w:numPr>
              <w:spacing w:after="120" w:line="240" w:lineRule="auto"/>
              <w:ind w:left="357" w:hanging="357"/>
              <w:contextualSpacing w:val="0"/>
              <w:rPr>
                <w:rFonts w:ascii="Arial" w:eastAsia="Times New Roman" w:hAnsi="Arial" w:cs="Arial"/>
                <w:szCs w:val="24"/>
                <w:lang w:eastAsia="en-NZ"/>
              </w:rPr>
            </w:pPr>
            <w:r w:rsidRPr="00117329">
              <w:rPr>
                <w:rFonts w:ascii="Arial" w:hAnsi="Arial" w:cs="Arial"/>
                <w:szCs w:val="24"/>
                <w:shd w:val="clear" w:color="auto" w:fill="FFFFFF"/>
              </w:rPr>
              <w:t>‘Diagnosis not known’ includes individuals who have applied but have not yet completed their first assessment with their AMP as well as those that withdrew, died before this assessment was completed, or were ineligible.</w:t>
            </w:r>
          </w:p>
        </w:tc>
      </w:tr>
    </w:tbl>
    <w:p w14:paraId="6C9FCD06" w14:textId="4568910A" w:rsidR="00B436AE" w:rsidRDefault="00B436AE" w:rsidP="008038B8">
      <w:pPr>
        <w:pStyle w:val="Heading2"/>
        <w:spacing w:before="240"/>
      </w:pPr>
      <w:bookmarkStart w:id="8" w:name="_Toc211329308"/>
      <w:r w:rsidRPr="002C29C9">
        <w:t>A</w:t>
      </w:r>
      <w:r>
        <w:t xml:space="preserve">pplications by </w:t>
      </w:r>
      <w:r w:rsidR="00EA57AF">
        <w:t>region</w:t>
      </w:r>
      <w:bookmarkEnd w:id="8"/>
    </w:p>
    <w:p w14:paraId="5D3A5B93" w14:textId="427B745E" w:rsidR="00EA57AF" w:rsidRPr="00EA57AF" w:rsidRDefault="00EA57AF" w:rsidP="003C7102">
      <w:pPr>
        <w:spacing w:after="0"/>
      </w:pPr>
      <w:r w:rsidRPr="4E6FDCC7">
        <w:rPr>
          <w:rFonts w:ascii="Arial" w:eastAsia="Times New Roman" w:hAnsi="Arial" w:cs="Arial"/>
          <w:lang w:eastAsia="en-NZ"/>
        </w:rPr>
        <w:t xml:space="preserve">Between </w:t>
      </w:r>
      <w:r>
        <w:rPr>
          <w:rFonts w:ascii="Arial" w:eastAsia="Times New Roman" w:hAnsi="Arial" w:cs="Arial"/>
          <w:lang w:eastAsia="en-NZ"/>
        </w:rPr>
        <w:t>1</w:t>
      </w:r>
      <w:r w:rsidR="00802ED3">
        <w:rPr>
          <w:rFonts w:ascii="Arial" w:eastAsia="Times New Roman" w:hAnsi="Arial" w:cs="Arial"/>
          <w:lang w:eastAsia="en-NZ"/>
        </w:rPr>
        <w:t xml:space="preserve"> July</w:t>
      </w:r>
      <w:r>
        <w:rPr>
          <w:rFonts w:ascii="Arial" w:eastAsia="Times New Roman" w:hAnsi="Arial" w:cs="Arial"/>
          <w:lang w:eastAsia="en-NZ"/>
        </w:rPr>
        <w:t xml:space="preserve"> a</w:t>
      </w:r>
      <w:r w:rsidRPr="4E6FDCC7">
        <w:rPr>
          <w:rFonts w:ascii="Arial" w:eastAsia="Times New Roman" w:hAnsi="Arial" w:cs="Arial"/>
          <w:lang w:eastAsia="en-NZ"/>
        </w:rPr>
        <w:t xml:space="preserve">nd </w:t>
      </w:r>
      <w:r>
        <w:rPr>
          <w:rFonts w:ascii="Arial" w:eastAsia="Times New Roman" w:hAnsi="Arial" w:cs="Arial"/>
          <w:lang w:eastAsia="en-NZ"/>
        </w:rPr>
        <w:t>30</w:t>
      </w:r>
      <w:r w:rsidR="00802ED3">
        <w:rPr>
          <w:rFonts w:ascii="Arial" w:eastAsia="Times New Roman" w:hAnsi="Arial" w:cs="Arial"/>
          <w:lang w:eastAsia="en-NZ"/>
        </w:rPr>
        <w:t xml:space="preserve"> September </w:t>
      </w:r>
      <w:r>
        <w:rPr>
          <w:rFonts w:ascii="Arial" w:eastAsia="Times New Roman" w:hAnsi="Arial" w:cs="Arial"/>
          <w:lang w:eastAsia="en-NZ"/>
        </w:rPr>
        <w:t>2025,</w:t>
      </w:r>
      <w:r w:rsidRPr="4E6FDCC7">
        <w:rPr>
          <w:rFonts w:ascii="Arial" w:eastAsia="Times New Roman" w:hAnsi="Arial" w:cs="Arial"/>
          <w:lang w:eastAsia="en-NZ"/>
        </w:rPr>
        <w:t xml:space="preserve"> the service received </w:t>
      </w:r>
      <w:r w:rsidRPr="00272883">
        <w:rPr>
          <w:rFonts w:ascii="Arial" w:eastAsia="Times New Roman" w:hAnsi="Arial" w:cs="Arial"/>
          <w:lang w:eastAsia="en-NZ"/>
        </w:rPr>
        <w:t>286</w:t>
      </w:r>
      <w:r w:rsidRPr="4E6FDCC7">
        <w:rPr>
          <w:rFonts w:ascii="Arial" w:eastAsia="Times New Roman" w:hAnsi="Arial" w:cs="Arial"/>
          <w:lang w:eastAsia="en-NZ"/>
        </w:rPr>
        <w:t xml:space="preserve"> applications for assisted dying.</w:t>
      </w:r>
      <w:r>
        <w:rPr>
          <w:rFonts w:ascii="Arial" w:eastAsia="Times New Roman" w:hAnsi="Arial" w:cs="Arial"/>
          <w:lang w:eastAsia="en-NZ"/>
        </w:rPr>
        <w:t xml:space="preserve"> </w:t>
      </w:r>
      <w:r w:rsidR="004731AD" w:rsidRPr="004731AD">
        <w:rPr>
          <w:rFonts w:ascii="Arial" w:eastAsia="Times New Roman" w:hAnsi="Arial" w:cs="Arial"/>
          <w:lang w:eastAsia="en-NZ"/>
        </w:rPr>
        <w:t xml:space="preserve">Reporting by individual districts is unavailable due to low </w:t>
      </w:r>
      <w:r w:rsidR="004731AD">
        <w:rPr>
          <w:rFonts w:ascii="Arial" w:eastAsia="Times New Roman" w:hAnsi="Arial" w:cs="Arial"/>
          <w:lang w:eastAsia="en-NZ"/>
        </w:rPr>
        <w:t xml:space="preserve">application </w:t>
      </w:r>
      <w:r w:rsidR="004731AD" w:rsidRPr="004731AD">
        <w:rPr>
          <w:rFonts w:ascii="Arial" w:eastAsia="Times New Roman" w:hAnsi="Arial" w:cs="Arial"/>
          <w:lang w:eastAsia="en-NZ"/>
        </w:rPr>
        <w:t>numbers in several areas, which may compromise data privacy</w:t>
      </w:r>
      <w:r w:rsidR="004731AD">
        <w:rPr>
          <w:rFonts w:ascii="Arial" w:eastAsia="Times New Roman" w:hAnsi="Arial" w:cs="Arial"/>
          <w:lang w:eastAsia="en-NZ"/>
        </w:rPr>
        <w:t xml:space="preserve">. </w:t>
      </w:r>
    </w:p>
    <w:tbl>
      <w:tblPr>
        <w:tblW w:w="4071" w:type="dxa"/>
        <w:tblLook w:val="04A0" w:firstRow="1" w:lastRow="0" w:firstColumn="1" w:lastColumn="0" w:noHBand="0" w:noVBand="1"/>
      </w:tblPr>
      <w:tblGrid>
        <w:gridCol w:w="1911"/>
        <w:gridCol w:w="1080"/>
        <w:gridCol w:w="1080"/>
      </w:tblGrid>
      <w:tr w:rsidR="00A70427" w:rsidRPr="00A70427" w14:paraId="4CF6CF12" w14:textId="77777777" w:rsidTr="00F14868">
        <w:trPr>
          <w:trHeight w:val="300"/>
        </w:trPr>
        <w:tc>
          <w:tcPr>
            <w:tcW w:w="1911" w:type="dxa"/>
            <w:tcBorders>
              <w:top w:val="nil"/>
              <w:left w:val="nil"/>
              <w:bottom w:val="nil"/>
              <w:right w:val="nil"/>
            </w:tcBorders>
            <w:noWrap/>
            <w:vAlign w:val="bottom"/>
            <w:hideMark/>
          </w:tcPr>
          <w:p w14:paraId="1659F005" w14:textId="77777777" w:rsidR="00A70427" w:rsidRPr="00272883" w:rsidRDefault="00A70427" w:rsidP="003C7102">
            <w:pPr>
              <w:pStyle w:val="ListParagraph"/>
              <w:numPr>
                <w:ilvl w:val="0"/>
                <w:numId w:val="37"/>
              </w:numPr>
              <w:spacing w:before="60" w:after="60" w:line="240" w:lineRule="auto"/>
              <w:rPr>
                <w:rFonts w:ascii="Arial" w:eastAsia="Times New Roman" w:hAnsi="Arial" w:cs="Arial"/>
                <w:color w:val="000000"/>
                <w:szCs w:val="24"/>
                <w:lang w:eastAsia="en-NZ"/>
              </w:rPr>
            </w:pPr>
            <w:bookmarkStart w:id="9" w:name="_Hlk211516768"/>
            <w:r w:rsidRPr="00272883">
              <w:rPr>
                <w:rFonts w:ascii="Arial" w:eastAsia="Times New Roman" w:hAnsi="Arial" w:cs="Arial"/>
                <w:color w:val="000000"/>
                <w:szCs w:val="24"/>
                <w:lang w:eastAsia="en-NZ"/>
              </w:rPr>
              <w:t>Northern</w:t>
            </w:r>
          </w:p>
        </w:tc>
        <w:tc>
          <w:tcPr>
            <w:tcW w:w="1080" w:type="dxa"/>
            <w:tcBorders>
              <w:top w:val="nil"/>
              <w:left w:val="nil"/>
              <w:bottom w:val="nil"/>
              <w:right w:val="nil"/>
            </w:tcBorders>
            <w:noWrap/>
            <w:vAlign w:val="bottom"/>
            <w:hideMark/>
          </w:tcPr>
          <w:p w14:paraId="1359B9B3" w14:textId="77777777" w:rsidR="00A70427" w:rsidRPr="00272883" w:rsidRDefault="00A70427" w:rsidP="003C7102">
            <w:pPr>
              <w:spacing w:before="60" w:after="60" w:line="240" w:lineRule="auto"/>
              <w:jc w:val="right"/>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79</w:t>
            </w:r>
          </w:p>
        </w:tc>
        <w:tc>
          <w:tcPr>
            <w:tcW w:w="1080" w:type="dxa"/>
            <w:tcBorders>
              <w:top w:val="nil"/>
              <w:left w:val="nil"/>
              <w:bottom w:val="nil"/>
              <w:right w:val="nil"/>
            </w:tcBorders>
            <w:noWrap/>
            <w:vAlign w:val="bottom"/>
            <w:hideMark/>
          </w:tcPr>
          <w:p w14:paraId="7435BF3F" w14:textId="77777777" w:rsidR="00A70427" w:rsidRPr="00272883" w:rsidRDefault="00A70427" w:rsidP="003C7102">
            <w:pPr>
              <w:spacing w:before="60" w:after="60" w:line="240" w:lineRule="auto"/>
              <w:jc w:val="right"/>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27.6%</w:t>
            </w:r>
          </w:p>
        </w:tc>
      </w:tr>
      <w:tr w:rsidR="00A70427" w:rsidRPr="00A70427" w14:paraId="3F7458C1" w14:textId="77777777" w:rsidTr="00F14868">
        <w:trPr>
          <w:trHeight w:val="300"/>
        </w:trPr>
        <w:tc>
          <w:tcPr>
            <w:tcW w:w="1911" w:type="dxa"/>
            <w:tcBorders>
              <w:top w:val="nil"/>
              <w:left w:val="nil"/>
              <w:bottom w:val="nil"/>
              <w:right w:val="nil"/>
            </w:tcBorders>
            <w:noWrap/>
            <w:vAlign w:val="bottom"/>
            <w:hideMark/>
          </w:tcPr>
          <w:p w14:paraId="3372B0B1" w14:textId="77777777" w:rsidR="00A70427" w:rsidRPr="00272883" w:rsidRDefault="00A70427" w:rsidP="003C7102">
            <w:pPr>
              <w:pStyle w:val="ListParagraph"/>
              <w:numPr>
                <w:ilvl w:val="0"/>
                <w:numId w:val="37"/>
              </w:numPr>
              <w:spacing w:before="60" w:after="60" w:line="240" w:lineRule="auto"/>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Midland</w:t>
            </w:r>
          </w:p>
        </w:tc>
        <w:tc>
          <w:tcPr>
            <w:tcW w:w="1080" w:type="dxa"/>
            <w:tcBorders>
              <w:top w:val="nil"/>
              <w:left w:val="nil"/>
              <w:bottom w:val="nil"/>
              <w:right w:val="nil"/>
            </w:tcBorders>
            <w:noWrap/>
            <w:vAlign w:val="bottom"/>
            <w:hideMark/>
          </w:tcPr>
          <w:p w14:paraId="51F15742" w14:textId="77777777" w:rsidR="00A70427" w:rsidRPr="00272883" w:rsidRDefault="00A70427" w:rsidP="003C7102">
            <w:pPr>
              <w:spacing w:before="60" w:after="60" w:line="240" w:lineRule="auto"/>
              <w:jc w:val="right"/>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67</w:t>
            </w:r>
          </w:p>
        </w:tc>
        <w:tc>
          <w:tcPr>
            <w:tcW w:w="1080" w:type="dxa"/>
            <w:tcBorders>
              <w:top w:val="nil"/>
              <w:left w:val="nil"/>
              <w:bottom w:val="nil"/>
              <w:right w:val="nil"/>
            </w:tcBorders>
            <w:noWrap/>
            <w:vAlign w:val="bottom"/>
            <w:hideMark/>
          </w:tcPr>
          <w:p w14:paraId="32AD5A77" w14:textId="77777777" w:rsidR="00A70427" w:rsidRPr="00272883" w:rsidRDefault="00A70427" w:rsidP="003C7102">
            <w:pPr>
              <w:spacing w:before="60" w:after="60" w:line="240" w:lineRule="auto"/>
              <w:jc w:val="right"/>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23.4%</w:t>
            </w:r>
          </w:p>
        </w:tc>
      </w:tr>
      <w:tr w:rsidR="00A70427" w:rsidRPr="00A70427" w14:paraId="3CEE2A2D" w14:textId="77777777" w:rsidTr="00F14868">
        <w:trPr>
          <w:trHeight w:val="300"/>
        </w:trPr>
        <w:tc>
          <w:tcPr>
            <w:tcW w:w="1911" w:type="dxa"/>
            <w:tcBorders>
              <w:top w:val="nil"/>
              <w:left w:val="nil"/>
              <w:bottom w:val="nil"/>
              <w:right w:val="nil"/>
            </w:tcBorders>
            <w:noWrap/>
            <w:vAlign w:val="bottom"/>
            <w:hideMark/>
          </w:tcPr>
          <w:p w14:paraId="6D7DAF90" w14:textId="77777777" w:rsidR="00A70427" w:rsidRPr="00272883" w:rsidRDefault="00A70427" w:rsidP="003C7102">
            <w:pPr>
              <w:pStyle w:val="ListParagraph"/>
              <w:numPr>
                <w:ilvl w:val="0"/>
                <w:numId w:val="37"/>
              </w:numPr>
              <w:spacing w:before="60" w:after="60" w:line="240" w:lineRule="auto"/>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Central</w:t>
            </w:r>
          </w:p>
        </w:tc>
        <w:tc>
          <w:tcPr>
            <w:tcW w:w="1080" w:type="dxa"/>
            <w:tcBorders>
              <w:top w:val="nil"/>
              <w:left w:val="nil"/>
              <w:bottom w:val="nil"/>
              <w:right w:val="nil"/>
            </w:tcBorders>
            <w:noWrap/>
            <w:vAlign w:val="bottom"/>
            <w:hideMark/>
          </w:tcPr>
          <w:p w14:paraId="09C52426" w14:textId="77777777" w:rsidR="00A70427" w:rsidRPr="00272883" w:rsidRDefault="00A70427" w:rsidP="003C7102">
            <w:pPr>
              <w:spacing w:before="60" w:after="60" w:line="240" w:lineRule="auto"/>
              <w:jc w:val="right"/>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53</w:t>
            </w:r>
          </w:p>
        </w:tc>
        <w:tc>
          <w:tcPr>
            <w:tcW w:w="1080" w:type="dxa"/>
            <w:tcBorders>
              <w:top w:val="nil"/>
              <w:left w:val="nil"/>
              <w:bottom w:val="nil"/>
              <w:right w:val="nil"/>
            </w:tcBorders>
            <w:noWrap/>
            <w:vAlign w:val="bottom"/>
            <w:hideMark/>
          </w:tcPr>
          <w:p w14:paraId="6B086A98" w14:textId="77777777" w:rsidR="00A70427" w:rsidRPr="00272883" w:rsidRDefault="00A70427" w:rsidP="003C7102">
            <w:pPr>
              <w:spacing w:before="60" w:after="60" w:line="240" w:lineRule="auto"/>
              <w:jc w:val="right"/>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18.5%</w:t>
            </w:r>
          </w:p>
        </w:tc>
      </w:tr>
      <w:tr w:rsidR="00A70427" w:rsidRPr="00A70427" w14:paraId="7C828367" w14:textId="77777777" w:rsidTr="00F14868">
        <w:trPr>
          <w:trHeight w:val="300"/>
        </w:trPr>
        <w:tc>
          <w:tcPr>
            <w:tcW w:w="1911" w:type="dxa"/>
            <w:tcBorders>
              <w:top w:val="nil"/>
              <w:left w:val="nil"/>
              <w:bottom w:val="nil"/>
              <w:right w:val="nil"/>
            </w:tcBorders>
            <w:noWrap/>
            <w:vAlign w:val="bottom"/>
            <w:hideMark/>
          </w:tcPr>
          <w:p w14:paraId="17D4DBFD" w14:textId="77777777" w:rsidR="00A70427" w:rsidRPr="00272883" w:rsidRDefault="00A70427" w:rsidP="003C7102">
            <w:pPr>
              <w:pStyle w:val="ListParagraph"/>
              <w:numPr>
                <w:ilvl w:val="0"/>
                <w:numId w:val="37"/>
              </w:numPr>
              <w:spacing w:before="60" w:after="60" w:line="240" w:lineRule="auto"/>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Southern</w:t>
            </w:r>
          </w:p>
        </w:tc>
        <w:tc>
          <w:tcPr>
            <w:tcW w:w="1080" w:type="dxa"/>
            <w:tcBorders>
              <w:top w:val="nil"/>
              <w:left w:val="nil"/>
              <w:bottom w:val="nil"/>
              <w:right w:val="nil"/>
            </w:tcBorders>
            <w:noWrap/>
            <w:vAlign w:val="bottom"/>
            <w:hideMark/>
          </w:tcPr>
          <w:p w14:paraId="5C083201" w14:textId="77777777" w:rsidR="00A70427" w:rsidRPr="00272883" w:rsidRDefault="00A70427" w:rsidP="003C7102">
            <w:pPr>
              <w:spacing w:before="60" w:after="60" w:line="240" w:lineRule="auto"/>
              <w:jc w:val="right"/>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87</w:t>
            </w:r>
          </w:p>
        </w:tc>
        <w:tc>
          <w:tcPr>
            <w:tcW w:w="1080" w:type="dxa"/>
            <w:tcBorders>
              <w:top w:val="nil"/>
              <w:left w:val="nil"/>
              <w:bottom w:val="nil"/>
              <w:right w:val="nil"/>
            </w:tcBorders>
            <w:noWrap/>
            <w:vAlign w:val="bottom"/>
            <w:hideMark/>
          </w:tcPr>
          <w:p w14:paraId="417339F0" w14:textId="77777777" w:rsidR="00A70427" w:rsidRPr="00272883" w:rsidRDefault="00A70427" w:rsidP="003C7102">
            <w:pPr>
              <w:spacing w:before="60" w:after="60" w:line="240" w:lineRule="auto"/>
              <w:jc w:val="right"/>
              <w:rPr>
                <w:rFonts w:ascii="Arial" w:eastAsia="Times New Roman" w:hAnsi="Arial" w:cs="Arial"/>
                <w:color w:val="000000"/>
                <w:szCs w:val="24"/>
                <w:lang w:eastAsia="en-NZ"/>
              </w:rPr>
            </w:pPr>
            <w:r w:rsidRPr="00272883">
              <w:rPr>
                <w:rFonts w:ascii="Arial" w:eastAsia="Times New Roman" w:hAnsi="Arial" w:cs="Arial"/>
                <w:color w:val="000000"/>
                <w:szCs w:val="24"/>
                <w:lang w:eastAsia="en-NZ"/>
              </w:rPr>
              <w:t>30.4%</w:t>
            </w:r>
          </w:p>
        </w:tc>
      </w:tr>
    </w:tbl>
    <w:p w14:paraId="0350EDE6" w14:textId="77777777" w:rsidR="009C3221" w:rsidRPr="009C3221" w:rsidRDefault="009C3221" w:rsidP="008038B8">
      <w:pPr>
        <w:pStyle w:val="Heading2"/>
        <w:spacing w:before="240"/>
      </w:pPr>
      <w:bookmarkStart w:id="10" w:name="_Toc211329309"/>
      <w:bookmarkEnd w:id="9"/>
      <w:r w:rsidRPr="009C3221">
        <w:t>Number of re-applications</w:t>
      </w:r>
      <w:bookmarkEnd w:id="10"/>
    </w:p>
    <w:p w14:paraId="52C34B73" w14:textId="1080CAA1" w:rsidR="009C3221" w:rsidRPr="008038B8" w:rsidRDefault="009C3221" w:rsidP="003C7102">
      <w:pPr>
        <w:shd w:val="clear" w:color="auto" w:fill="FFFFFF" w:themeFill="background1"/>
        <w:spacing w:before="20" w:after="60" w:line="264" w:lineRule="auto"/>
        <w:rPr>
          <w:rFonts w:ascii="Arial" w:eastAsia="Times New Roman" w:hAnsi="Arial" w:cs="Arial"/>
          <w:lang w:eastAsia="en-NZ"/>
        </w:rPr>
      </w:pPr>
      <w:r w:rsidRPr="008038B8">
        <w:rPr>
          <w:rFonts w:ascii="Arial" w:eastAsia="Times New Roman" w:hAnsi="Arial" w:cs="Arial"/>
          <w:lang w:eastAsia="en-NZ"/>
        </w:rPr>
        <w:t xml:space="preserve">During the reporting period, </w:t>
      </w:r>
      <w:r w:rsidR="008038B8" w:rsidRPr="007F1077">
        <w:rPr>
          <w:rFonts w:ascii="Arial" w:eastAsia="Times New Roman" w:hAnsi="Arial" w:cs="Arial"/>
          <w:lang w:eastAsia="en-NZ"/>
        </w:rPr>
        <w:t>38</w:t>
      </w:r>
      <w:r w:rsidRPr="007F1077">
        <w:rPr>
          <w:rFonts w:ascii="Arial" w:eastAsia="Times New Roman" w:hAnsi="Arial" w:cs="Arial"/>
          <w:lang w:eastAsia="en-NZ"/>
        </w:rPr>
        <w:t xml:space="preserve"> </w:t>
      </w:r>
      <w:r w:rsidRPr="008038B8">
        <w:rPr>
          <w:rFonts w:ascii="Arial" w:eastAsia="Times New Roman" w:hAnsi="Arial" w:cs="Arial"/>
          <w:lang w:eastAsia="en-NZ"/>
        </w:rPr>
        <w:t>individuals made more than one application for an assisted death. There are several reasons why an individual might make more than one request. This includes but is not limited to:</w:t>
      </w:r>
    </w:p>
    <w:p w14:paraId="29324BC7" w14:textId="7777F058" w:rsidR="009C3221" w:rsidRPr="008038B8" w:rsidRDefault="009C3221" w:rsidP="003C7102">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8038B8">
        <w:rPr>
          <w:rFonts w:ascii="Arial" w:eastAsia="Times New Roman" w:hAnsi="Arial" w:cs="Arial"/>
          <w:lang w:eastAsia="en-NZ"/>
        </w:rPr>
        <w:t>the applicant being assessed as ineligible at the time of the first application, and choosing to reapply</w:t>
      </w:r>
    </w:p>
    <w:p w14:paraId="0991E956" w14:textId="56B89CFA" w:rsidR="009C3221" w:rsidRPr="008038B8" w:rsidRDefault="009C3221" w:rsidP="003C7102">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8038B8">
        <w:rPr>
          <w:rFonts w:ascii="Arial" w:eastAsia="Times New Roman" w:hAnsi="Arial" w:cs="Arial"/>
          <w:lang w:eastAsia="en-NZ"/>
        </w:rPr>
        <w:t>the applicant withdrawing their original request and then deciding to reapply</w:t>
      </w:r>
    </w:p>
    <w:p w14:paraId="7F1E2FB1" w14:textId="7D1D567E" w:rsidR="00F14868" w:rsidRPr="008038B8" w:rsidRDefault="009C3221" w:rsidP="003C7102">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8038B8">
        <w:rPr>
          <w:rFonts w:ascii="Arial" w:eastAsia="Times New Roman" w:hAnsi="Arial" w:cs="Arial"/>
          <w:lang w:eastAsia="en-NZ"/>
        </w:rPr>
        <w:t>an observed change in the applicant’s circumstances which affects their eligibility (e.g., a change in prognosis</w:t>
      </w:r>
    </w:p>
    <w:p w14:paraId="0C5E71A2" w14:textId="52757534" w:rsidR="006E49BD" w:rsidRPr="002C29C9" w:rsidRDefault="006E49BD" w:rsidP="008038B8">
      <w:pPr>
        <w:pStyle w:val="Heading2"/>
        <w:spacing w:before="240"/>
      </w:pPr>
      <w:bookmarkStart w:id="11" w:name="_Toc211329310"/>
      <w:r w:rsidRPr="002C29C9">
        <w:t>Assisted deaths by location</w:t>
      </w:r>
      <w:bookmarkEnd w:id="11"/>
    </w:p>
    <w:p w14:paraId="1E3A0A8D" w14:textId="02469F50" w:rsidR="006E49BD" w:rsidRPr="002C29C9" w:rsidRDefault="006E49BD" w:rsidP="003C7102">
      <w:pPr>
        <w:pStyle w:val="NormalWeb"/>
        <w:shd w:val="clear" w:color="auto" w:fill="FFFFFF" w:themeFill="background1"/>
        <w:spacing w:before="20" w:beforeAutospacing="0" w:after="60" w:afterAutospacing="0" w:line="264" w:lineRule="auto"/>
        <w:rPr>
          <w:rFonts w:ascii="Arial" w:hAnsi="Arial" w:cs="Arial"/>
          <w:sz w:val="22"/>
          <w:szCs w:val="22"/>
        </w:rPr>
      </w:pPr>
      <w:r w:rsidRPr="4E6FDCC7">
        <w:rPr>
          <w:rFonts w:ascii="Arial" w:hAnsi="Arial" w:cs="Arial"/>
          <w:sz w:val="22"/>
          <w:szCs w:val="22"/>
        </w:rPr>
        <w:t xml:space="preserve">Between </w:t>
      </w:r>
      <w:r w:rsidR="00EA6430" w:rsidRPr="00EA6430">
        <w:rPr>
          <w:rFonts w:ascii="Arial" w:hAnsi="Arial" w:cs="Arial"/>
        </w:rPr>
        <w:t>1</w:t>
      </w:r>
      <w:r w:rsidR="00071D8B">
        <w:rPr>
          <w:rFonts w:ascii="Arial" w:hAnsi="Arial" w:cs="Arial"/>
        </w:rPr>
        <w:t xml:space="preserve"> </w:t>
      </w:r>
      <w:r w:rsidR="003C0BAF">
        <w:rPr>
          <w:rFonts w:ascii="Arial" w:hAnsi="Arial" w:cs="Arial"/>
        </w:rPr>
        <w:t xml:space="preserve">July </w:t>
      </w:r>
      <w:r w:rsidR="003C0BAF" w:rsidRPr="00EA6430">
        <w:rPr>
          <w:rFonts w:ascii="Arial" w:hAnsi="Arial" w:cs="Arial"/>
        </w:rPr>
        <w:t>and</w:t>
      </w:r>
      <w:r w:rsidR="00EA6430" w:rsidRPr="00EA6430">
        <w:rPr>
          <w:rFonts w:ascii="Arial" w:hAnsi="Arial" w:cs="Arial"/>
        </w:rPr>
        <w:t xml:space="preserve"> 30</w:t>
      </w:r>
      <w:r w:rsidR="002D6C3B">
        <w:rPr>
          <w:rFonts w:ascii="Arial" w:hAnsi="Arial" w:cs="Arial"/>
        </w:rPr>
        <w:t xml:space="preserve"> September </w:t>
      </w:r>
      <w:r w:rsidR="00EA6430" w:rsidRPr="00EA6430">
        <w:rPr>
          <w:rFonts w:ascii="Arial" w:hAnsi="Arial" w:cs="Arial"/>
        </w:rPr>
        <w:t>2025</w:t>
      </w:r>
      <w:r w:rsidRPr="4E6FDCC7">
        <w:rPr>
          <w:rFonts w:ascii="Arial" w:hAnsi="Arial" w:cs="Arial"/>
          <w:sz w:val="22"/>
          <w:szCs w:val="22"/>
        </w:rPr>
        <w:t xml:space="preserve">, </w:t>
      </w:r>
      <w:r w:rsidR="00026F9B">
        <w:rPr>
          <w:rFonts w:ascii="Arial" w:hAnsi="Arial" w:cs="Arial"/>
          <w:sz w:val="22"/>
          <w:szCs w:val="22"/>
        </w:rPr>
        <w:t>127</w:t>
      </w:r>
      <w:r w:rsidRPr="4E6FDCC7">
        <w:rPr>
          <w:rFonts w:ascii="Arial" w:hAnsi="Arial" w:cs="Arial"/>
          <w:sz w:val="22"/>
          <w:szCs w:val="22"/>
        </w:rPr>
        <w:t xml:space="preserve"> people had an assisted death. Assisted deaths can take place at the person’s home or elsewhere in the community. The summary by location is:</w:t>
      </w:r>
    </w:p>
    <w:p w14:paraId="33B38DA1" w14:textId="583982BA" w:rsidR="006E49BD" w:rsidRPr="009F75CD" w:rsidRDefault="006E49BD" w:rsidP="003C7102">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9F75CD">
        <w:rPr>
          <w:rFonts w:ascii="Arial" w:eastAsia="Times New Roman" w:hAnsi="Arial" w:cs="Arial"/>
          <w:lang w:eastAsia="en-NZ"/>
        </w:rPr>
        <w:t>8</w:t>
      </w:r>
      <w:r w:rsidR="009662F7" w:rsidRPr="009F75CD">
        <w:rPr>
          <w:rFonts w:ascii="Arial" w:eastAsia="Times New Roman" w:hAnsi="Arial" w:cs="Arial"/>
          <w:lang w:eastAsia="en-NZ"/>
        </w:rPr>
        <w:t>3</w:t>
      </w:r>
      <w:r w:rsidRPr="009F75CD">
        <w:rPr>
          <w:rFonts w:ascii="Arial" w:eastAsia="Times New Roman" w:hAnsi="Arial" w:cs="Arial"/>
          <w:lang w:eastAsia="en-NZ"/>
        </w:rPr>
        <w:t xml:space="preserve"> (or </w:t>
      </w:r>
      <w:r w:rsidR="009662F7" w:rsidRPr="009F75CD">
        <w:rPr>
          <w:rFonts w:ascii="Arial" w:eastAsia="Times New Roman" w:hAnsi="Arial" w:cs="Arial"/>
          <w:lang w:eastAsia="en-NZ"/>
        </w:rPr>
        <w:t>65.4</w:t>
      </w:r>
      <w:r w:rsidRPr="009F75CD">
        <w:rPr>
          <w:rFonts w:ascii="Arial" w:eastAsia="Times New Roman" w:hAnsi="Arial" w:cs="Arial"/>
          <w:lang w:eastAsia="en-NZ"/>
        </w:rPr>
        <w:t>%) at the person’s home</w:t>
      </w:r>
    </w:p>
    <w:p w14:paraId="0A7AD6B9" w14:textId="77777777" w:rsidR="001760C9" w:rsidRPr="009F75CD" w:rsidRDefault="009662F7" w:rsidP="003C7102">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9F75CD">
        <w:rPr>
          <w:rFonts w:ascii="Arial" w:eastAsia="Times New Roman" w:hAnsi="Arial" w:cs="Arial"/>
          <w:lang w:eastAsia="en-NZ"/>
        </w:rPr>
        <w:t>9</w:t>
      </w:r>
      <w:r w:rsidR="006E49BD" w:rsidRPr="009F75CD">
        <w:rPr>
          <w:rFonts w:ascii="Arial" w:eastAsia="Times New Roman" w:hAnsi="Arial" w:cs="Arial"/>
          <w:lang w:eastAsia="en-NZ"/>
        </w:rPr>
        <w:t xml:space="preserve"> (or 7.</w:t>
      </w:r>
      <w:r w:rsidRPr="009F75CD">
        <w:rPr>
          <w:rFonts w:ascii="Arial" w:eastAsia="Times New Roman" w:hAnsi="Arial" w:cs="Arial"/>
          <w:lang w:eastAsia="en-NZ"/>
        </w:rPr>
        <w:t>1</w:t>
      </w:r>
      <w:r w:rsidR="006E49BD" w:rsidRPr="009F75CD">
        <w:rPr>
          <w:rFonts w:ascii="Arial" w:eastAsia="Times New Roman" w:hAnsi="Arial" w:cs="Arial"/>
          <w:lang w:eastAsia="en-NZ"/>
        </w:rPr>
        <w:t>%) in a public hospital</w:t>
      </w:r>
    </w:p>
    <w:p w14:paraId="647C9305" w14:textId="143B36DA" w:rsidR="002A3949" w:rsidRPr="009F75CD" w:rsidRDefault="001760C9" w:rsidP="003C7102">
      <w:pPr>
        <w:pStyle w:val="ListParagraph"/>
        <w:numPr>
          <w:ilvl w:val="0"/>
          <w:numId w:val="32"/>
        </w:numPr>
        <w:shd w:val="clear" w:color="auto" w:fill="FFFFFF" w:themeFill="background1"/>
        <w:spacing w:before="60" w:after="60" w:line="264" w:lineRule="auto"/>
        <w:ind w:left="567" w:hanging="357"/>
        <w:contextualSpacing w:val="0"/>
        <w:rPr>
          <w:rFonts w:ascii="Arial" w:eastAsia="Times New Roman" w:hAnsi="Arial" w:cs="Arial"/>
          <w:lang w:eastAsia="en-NZ"/>
        </w:rPr>
      </w:pPr>
      <w:r w:rsidRPr="009F75CD">
        <w:rPr>
          <w:rFonts w:ascii="Arial" w:eastAsia="Times New Roman" w:hAnsi="Arial" w:cs="Arial"/>
          <w:lang w:eastAsia="en-NZ"/>
        </w:rPr>
        <w:t>3</w:t>
      </w:r>
      <w:r w:rsidR="00AB1697" w:rsidRPr="009F75CD">
        <w:rPr>
          <w:rFonts w:ascii="Arial" w:eastAsia="Times New Roman" w:hAnsi="Arial" w:cs="Arial"/>
          <w:lang w:eastAsia="en-NZ"/>
        </w:rPr>
        <w:t>5</w:t>
      </w:r>
      <w:r w:rsidRPr="009F75CD">
        <w:rPr>
          <w:rFonts w:ascii="Arial" w:eastAsia="Times New Roman" w:hAnsi="Arial" w:cs="Arial"/>
          <w:lang w:eastAsia="en-NZ"/>
        </w:rPr>
        <w:t xml:space="preserve"> </w:t>
      </w:r>
      <w:r w:rsidR="006E49BD" w:rsidRPr="009F75CD">
        <w:rPr>
          <w:rFonts w:ascii="Arial" w:eastAsia="Times New Roman" w:hAnsi="Arial" w:cs="Arial"/>
          <w:lang w:eastAsia="en-NZ"/>
        </w:rPr>
        <w:t>(or 2</w:t>
      </w:r>
      <w:r w:rsidRPr="009F75CD">
        <w:rPr>
          <w:rFonts w:ascii="Arial" w:eastAsia="Times New Roman" w:hAnsi="Arial" w:cs="Arial"/>
          <w:lang w:eastAsia="en-NZ"/>
        </w:rPr>
        <w:t>7.6</w:t>
      </w:r>
      <w:r w:rsidR="006E49BD" w:rsidRPr="009F75CD">
        <w:rPr>
          <w:rFonts w:ascii="Arial" w:eastAsia="Times New Roman" w:hAnsi="Arial" w:cs="Arial"/>
          <w:lang w:eastAsia="en-NZ"/>
        </w:rPr>
        <w:t>%) in a community facility (e.g., aged residential care, hospice, retirement home, funeral home).</w:t>
      </w:r>
    </w:p>
    <w:sectPr w:rsidR="002A3949" w:rsidRPr="009F75CD" w:rsidSect="001F3843">
      <w:footerReference w:type="default" r:id="rId16"/>
      <w:footerReference w:type="first" r:id="rId17"/>
      <w:pgSz w:w="11906" w:h="16838" w:code="9"/>
      <w:pgMar w:top="1134" w:right="1134" w:bottom="1134" w:left="1134"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739A" w14:textId="77777777" w:rsidR="00C813B8" w:rsidRDefault="00C813B8" w:rsidP="00817A32">
      <w:pPr>
        <w:spacing w:before="0" w:after="0" w:line="240" w:lineRule="auto"/>
      </w:pPr>
      <w:r>
        <w:separator/>
      </w:r>
    </w:p>
  </w:endnote>
  <w:endnote w:type="continuationSeparator" w:id="0">
    <w:p w14:paraId="0A77E2B8" w14:textId="77777777" w:rsidR="00C813B8" w:rsidRDefault="00C813B8" w:rsidP="00817A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5284C" w:themeColor="text2"/>
      </w:rPr>
      <w:id w:val="994370493"/>
      <w:docPartObj>
        <w:docPartGallery w:val="Page Numbers (Bottom of Page)"/>
        <w:docPartUnique/>
      </w:docPartObj>
    </w:sdtPr>
    <w:sdtContent>
      <w:p w14:paraId="282707AA" w14:textId="139AB2E9" w:rsidR="00532137" w:rsidRPr="00FE11FA" w:rsidRDefault="006E49BD" w:rsidP="006E49BD">
        <w:pPr>
          <w:tabs>
            <w:tab w:val="left" w:pos="8364"/>
          </w:tabs>
          <w:rPr>
            <w:color w:val="15284C" w:themeColor="text2"/>
          </w:rPr>
        </w:pPr>
        <w:r w:rsidRPr="00693800">
          <w:rPr>
            <w:szCs w:val="24"/>
          </w:rPr>
          <w:t>Assisted Dying Service Quarterly Repor</w:t>
        </w:r>
        <w:r w:rsidR="001C0C31">
          <w:rPr>
            <w:szCs w:val="24"/>
          </w:rPr>
          <w:t>t, Quarter</w:t>
        </w:r>
        <w:r w:rsidR="00B16CE2">
          <w:rPr>
            <w:szCs w:val="24"/>
          </w:rPr>
          <w:t xml:space="preserve"> 01 </w:t>
        </w:r>
        <w:r w:rsidR="001C0C31">
          <w:rPr>
            <w:szCs w:val="24"/>
          </w:rPr>
          <w:t>202</w:t>
        </w:r>
        <w:r w:rsidR="003A4E37">
          <w:rPr>
            <w:szCs w:val="24"/>
          </w:rPr>
          <w:t>5</w:t>
        </w:r>
        <w:r w:rsidR="001C0C31">
          <w:rPr>
            <w:szCs w:val="24"/>
          </w:rPr>
          <w:t>/2</w:t>
        </w:r>
        <w:r w:rsidR="003A4E37">
          <w:rPr>
            <w:szCs w:val="24"/>
          </w:rPr>
          <w:t>6</w:t>
        </w:r>
        <w:r w:rsidR="00532137" w:rsidRPr="00FE11FA">
          <w:rPr>
            <w:color w:val="15284C" w:themeColor="text2"/>
          </w:rPr>
          <w:tab/>
        </w:r>
        <w:r w:rsidR="00532137" w:rsidRPr="00FE11FA">
          <w:rPr>
            <w:b/>
            <w:color w:val="15284C" w:themeColor="text2"/>
          </w:rPr>
          <w:t xml:space="preserve">Page | </w:t>
        </w:r>
        <w:r w:rsidR="00532137" w:rsidRPr="00FE11FA">
          <w:rPr>
            <w:b/>
            <w:color w:val="15284C" w:themeColor="text2"/>
          </w:rPr>
          <w:fldChar w:fldCharType="begin"/>
        </w:r>
        <w:r w:rsidR="00532137" w:rsidRPr="00FE11FA">
          <w:rPr>
            <w:b/>
            <w:color w:val="15284C" w:themeColor="text2"/>
          </w:rPr>
          <w:instrText xml:space="preserve"> PAGE   \* MERGEFORMAT </w:instrText>
        </w:r>
        <w:r w:rsidR="00532137" w:rsidRPr="00FE11FA">
          <w:rPr>
            <w:b/>
            <w:color w:val="15284C" w:themeColor="text2"/>
          </w:rPr>
          <w:fldChar w:fldCharType="separate"/>
        </w:r>
        <w:r w:rsidR="00532137" w:rsidRPr="00FE11FA">
          <w:rPr>
            <w:b/>
            <w:noProof/>
            <w:color w:val="15284C" w:themeColor="text2"/>
          </w:rPr>
          <w:t>11</w:t>
        </w:r>
        <w:r w:rsidR="00532137" w:rsidRPr="00FE11FA">
          <w:rPr>
            <w:b/>
            <w:noProof/>
            <w:color w:val="15284C" w:themeColor="text2"/>
          </w:rPr>
          <w:fldChar w:fldCharType="end"/>
        </w:r>
        <w:r w:rsidR="00532137" w:rsidRPr="00FE11FA">
          <w:rPr>
            <w:color w:val="15284C" w:themeColor="text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5284C" w:themeColor="text2"/>
      </w:rPr>
      <w:id w:val="1124653286"/>
      <w:docPartObj>
        <w:docPartGallery w:val="Page Numbers (Bottom of Page)"/>
        <w:docPartUnique/>
      </w:docPartObj>
    </w:sdtPr>
    <w:sdtContent>
      <w:p w14:paraId="0AD6FA7D" w14:textId="77777777" w:rsidR="0024046B" w:rsidRPr="00FE11FA" w:rsidRDefault="0024046B" w:rsidP="00CC3F1C">
        <w:pPr>
          <w:tabs>
            <w:tab w:val="left" w:pos="8364"/>
          </w:tabs>
          <w:rPr>
            <w:color w:val="15284C" w:themeColor="text2"/>
          </w:rPr>
        </w:pPr>
        <w:r w:rsidRPr="00FE11FA">
          <w:rPr>
            <w:color w:val="15284C" w:themeColor="text2"/>
          </w:rPr>
          <w:tab/>
        </w:r>
        <w:r w:rsidRPr="00FE11FA">
          <w:rPr>
            <w:b/>
            <w:color w:val="15284C" w:themeColor="text2"/>
          </w:rPr>
          <w:t xml:space="preserve">Page | </w:t>
        </w:r>
        <w:r w:rsidRPr="00FE11FA">
          <w:rPr>
            <w:b/>
            <w:color w:val="15284C" w:themeColor="text2"/>
          </w:rPr>
          <w:fldChar w:fldCharType="begin"/>
        </w:r>
        <w:r w:rsidRPr="00FE11FA">
          <w:rPr>
            <w:b/>
            <w:color w:val="15284C" w:themeColor="text2"/>
          </w:rPr>
          <w:instrText xml:space="preserve"> PAGE   \* MERGEFORMAT </w:instrText>
        </w:r>
        <w:r w:rsidRPr="00FE11FA">
          <w:rPr>
            <w:b/>
            <w:color w:val="15284C" w:themeColor="text2"/>
          </w:rPr>
          <w:fldChar w:fldCharType="separate"/>
        </w:r>
        <w:r w:rsidRPr="00FE11FA">
          <w:rPr>
            <w:b/>
            <w:color w:val="15284C" w:themeColor="text2"/>
          </w:rPr>
          <w:t>13</w:t>
        </w:r>
        <w:r w:rsidRPr="00FE11FA">
          <w:rPr>
            <w:b/>
            <w:noProof/>
            <w:color w:val="15284C" w:themeColor="text2"/>
          </w:rPr>
          <w:fldChar w:fldCharType="end"/>
        </w:r>
        <w:r w:rsidRPr="00FE11FA">
          <w:rPr>
            <w:color w:val="15284C" w:themeColor="text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4098" w14:textId="77777777" w:rsidR="00C813B8" w:rsidRDefault="00C813B8" w:rsidP="00817A32">
      <w:pPr>
        <w:spacing w:before="0" w:after="0" w:line="240" w:lineRule="auto"/>
      </w:pPr>
    </w:p>
  </w:footnote>
  <w:footnote w:type="continuationSeparator" w:id="0">
    <w:p w14:paraId="061CFBB4" w14:textId="77777777" w:rsidR="00C813B8" w:rsidRDefault="00C813B8" w:rsidP="00817A3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2F2EE9C"/>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5FA4A2C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2A87B3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968229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64A808E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120F4E"/>
    <w:multiLevelType w:val="hybridMultilevel"/>
    <w:tmpl w:val="43F47CC8"/>
    <w:lvl w:ilvl="0" w:tplc="1A40728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AB43B3E"/>
    <w:multiLevelType w:val="hybridMultilevel"/>
    <w:tmpl w:val="0A9A29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F178B7"/>
    <w:multiLevelType w:val="hybridMultilevel"/>
    <w:tmpl w:val="893C384A"/>
    <w:lvl w:ilvl="0" w:tplc="F904C0F2">
      <w:start w:val="1"/>
      <w:numFmt w:val="bullet"/>
      <w:pStyle w:val="Bulletpoin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29A4751"/>
    <w:multiLevelType w:val="hybridMultilevel"/>
    <w:tmpl w:val="71D8ECB2"/>
    <w:lvl w:ilvl="0" w:tplc="C3BC7AEE">
      <w:numFmt w:val="bullet"/>
      <w:lvlText w:val="•"/>
      <w:lvlJc w:val="left"/>
      <w:pPr>
        <w:ind w:left="1440" w:hanging="720"/>
      </w:pPr>
      <w:rPr>
        <w:rFonts w:ascii="Arial" w:eastAsiaTheme="minorHAns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141F1B1F"/>
    <w:multiLevelType w:val="hybridMultilevel"/>
    <w:tmpl w:val="66BCA292"/>
    <w:lvl w:ilvl="0" w:tplc="A5A675D0">
      <w:start w:val="1"/>
      <w:numFmt w:val="bullet"/>
      <w:pStyle w:val="Box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0" w15:restartNumberingAfterBreak="0">
    <w:nsid w:val="14FF2905"/>
    <w:multiLevelType w:val="hybridMultilevel"/>
    <w:tmpl w:val="73261ACA"/>
    <w:lvl w:ilvl="0" w:tplc="5FF22E2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5256DEB"/>
    <w:multiLevelType w:val="hybridMultilevel"/>
    <w:tmpl w:val="35A8B6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0951DFA"/>
    <w:multiLevelType w:val="hybridMultilevel"/>
    <w:tmpl w:val="6D42165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218F2431"/>
    <w:multiLevelType w:val="hybridMultilevel"/>
    <w:tmpl w:val="BB4CEDF4"/>
    <w:lvl w:ilvl="0" w:tplc="ED241576">
      <w:start w:val="34"/>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4" w15:restartNumberingAfterBreak="0">
    <w:nsid w:val="22A95897"/>
    <w:multiLevelType w:val="multilevel"/>
    <w:tmpl w:val="7E784D5A"/>
    <w:lvl w:ilvl="0">
      <w:start w:val="1"/>
      <w:numFmt w:val="decimal"/>
      <w:pStyle w:val="NumberedHeading1"/>
      <w:lvlText w:val="%1"/>
      <w:lvlJc w:val="left"/>
      <w:pPr>
        <w:ind w:left="360" w:hanging="360"/>
      </w:pPr>
      <w:rPr>
        <w:rFonts w:hint="default"/>
      </w:rPr>
    </w:lvl>
    <w:lvl w:ilvl="1">
      <w:start w:val="1"/>
      <w:numFmt w:val="decimal"/>
      <w:pStyle w:val="NumberedHeading2"/>
      <w:lvlText w:val="%1.%2"/>
      <w:lvlJc w:val="left"/>
      <w:pPr>
        <w:ind w:left="720" w:hanging="360"/>
      </w:pPr>
      <w:rPr>
        <w:rFonts w:hint="default"/>
      </w:rPr>
    </w:lvl>
    <w:lvl w:ilvl="2">
      <w:start w:val="1"/>
      <w:numFmt w:val="decimal"/>
      <w:pStyle w:val="Numbered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E45DA1"/>
    <w:multiLevelType w:val="hybridMultilevel"/>
    <w:tmpl w:val="63C05B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CA4548F"/>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2E0E8E"/>
    <w:multiLevelType w:val="hybridMultilevel"/>
    <w:tmpl w:val="44969B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B5454B"/>
    <w:multiLevelType w:val="hybridMultilevel"/>
    <w:tmpl w:val="8C365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02F02BB"/>
    <w:multiLevelType w:val="hybridMultilevel"/>
    <w:tmpl w:val="CD76DA7C"/>
    <w:lvl w:ilvl="0" w:tplc="14090001">
      <w:start w:val="1"/>
      <w:numFmt w:val="bullet"/>
      <w:lvlText w:val=""/>
      <w:lvlJc w:val="left"/>
      <w:pPr>
        <w:ind w:left="360" w:hanging="360"/>
      </w:pPr>
      <w:rPr>
        <w:rFonts w:ascii="Symbol" w:hAnsi="Symbol" w:hint="default"/>
      </w:rPr>
    </w:lvl>
    <w:lvl w:ilvl="1" w:tplc="6E8212AE">
      <w:numFmt w:val="bullet"/>
      <w:lvlText w:val="·"/>
      <w:lvlJc w:val="left"/>
      <w:pPr>
        <w:ind w:left="1080" w:hanging="360"/>
      </w:pPr>
      <w:rPr>
        <w:rFonts w:ascii="Arial" w:eastAsia="Times New Roman" w:hAnsi="Arial"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7491015"/>
    <w:multiLevelType w:val="hybridMultilevel"/>
    <w:tmpl w:val="028612AA"/>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1770F21"/>
    <w:multiLevelType w:val="hybridMultilevel"/>
    <w:tmpl w:val="0B52836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54BC79C7"/>
    <w:multiLevelType w:val="hybridMultilevel"/>
    <w:tmpl w:val="718C88D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6CB7AB7"/>
    <w:multiLevelType w:val="hybridMultilevel"/>
    <w:tmpl w:val="1A242F1E"/>
    <w:lvl w:ilvl="0" w:tplc="97D8B7D6">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5657A8"/>
    <w:multiLevelType w:val="hybridMultilevel"/>
    <w:tmpl w:val="2F4250D4"/>
    <w:lvl w:ilvl="0" w:tplc="C3BC7AEE">
      <w:numFmt w:val="bullet"/>
      <w:lvlText w:val="•"/>
      <w:lvlJc w:val="left"/>
      <w:pPr>
        <w:ind w:left="720" w:hanging="72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115306E"/>
    <w:multiLevelType w:val="hybridMultilevel"/>
    <w:tmpl w:val="7B1C7D76"/>
    <w:lvl w:ilvl="0" w:tplc="C3BC7AEE">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AE156D1"/>
    <w:multiLevelType w:val="hybridMultilevel"/>
    <w:tmpl w:val="8EB899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18023993">
    <w:abstractNumId w:val="14"/>
  </w:num>
  <w:num w:numId="2" w16cid:durableId="1078211434">
    <w:abstractNumId w:val="4"/>
  </w:num>
  <w:num w:numId="3" w16cid:durableId="23943862">
    <w:abstractNumId w:val="2"/>
  </w:num>
  <w:num w:numId="4" w16cid:durableId="1132017865">
    <w:abstractNumId w:val="1"/>
  </w:num>
  <w:num w:numId="5" w16cid:durableId="232087414">
    <w:abstractNumId w:val="3"/>
  </w:num>
  <w:num w:numId="6" w16cid:durableId="1480994862">
    <w:abstractNumId w:val="0"/>
  </w:num>
  <w:num w:numId="7" w16cid:durableId="75592212">
    <w:abstractNumId w:val="9"/>
  </w:num>
  <w:num w:numId="8" w16cid:durableId="1705670236">
    <w:abstractNumId w:val="26"/>
  </w:num>
  <w:num w:numId="9" w16cid:durableId="1007906575">
    <w:abstractNumId w:val="25"/>
  </w:num>
  <w:num w:numId="10" w16cid:durableId="172375841">
    <w:abstractNumId w:val="8"/>
  </w:num>
  <w:num w:numId="11" w16cid:durableId="52394786">
    <w:abstractNumId w:val="24"/>
  </w:num>
  <w:num w:numId="12" w16cid:durableId="1897663912">
    <w:abstractNumId w:val="6"/>
  </w:num>
  <w:num w:numId="13" w16cid:durableId="1230384943">
    <w:abstractNumId w:val="3"/>
  </w:num>
  <w:num w:numId="14" w16cid:durableId="729426999">
    <w:abstractNumId w:val="0"/>
  </w:num>
  <w:num w:numId="15" w16cid:durableId="827094124">
    <w:abstractNumId w:val="3"/>
  </w:num>
  <w:num w:numId="16" w16cid:durableId="1152022216">
    <w:abstractNumId w:val="0"/>
  </w:num>
  <w:num w:numId="17" w16cid:durableId="680469424">
    <w:abstractNumId w:val="3"/>
  </w:num>
  <w:num w:numId="18" w16cid:durableId="916014914">
    <w:abstractNumId w:val="0"/>
  </w:num>
  <w:num w:numId="19" w16cid:durableId="2009163287">
    <w:abstractNumId w:val="3"/>
  </w:num>
  <w:num w:numId="20" w16cid:durableId="179514878">
    <w:abstractNumId w:val="0"/>
  </w:num>
  <w:num w:numId="21" w16cid:durableId="225803802">
    <w:abstractNumId w:val="3"/>
  </w:num>
  <w:num w:numId="22" w16cid:durableId="1370758752">
    <w:abstractNumId w:val="0"/>
  </w:num>
  <w:num w:numId="23" w16cid:durableId="1736928306">
    <w:abstractNumId w:val="7"/>
  </w:num>
  <w:num w:numId="24" w16cid:durableId="848449059">
    <w:abstractNumId w:val="23"/>
  </w:num>
  <w:num w:numId="25" w16cid:durableId="1972858497">
    <w:abstractNumId w:val="12"/>
  </w:num>
  <w:num w:numId="26" w16cid:durableId="428089028">
    <w:abstractNumId w:val="5"/>
  </w:num>
  <w:num w:numId="27" w16cid:durableId="1406881314">
    <w:abstractNumId w:val="10"/>
  </w:num>
  <w:num w:numId="28" w16cid:durableId="460806429">
    <w:abstractNumId w:val="20"/>
  </w:num>
  <w:num w:numId="29" w16cid:durableId="995458811">
    <w:abstractNumId w:val="16"/>
  </w:num>
  <w:num w:numId="30" w16cid:durableId="96948754">
    <w:abstractNumId w:val="22"/>
  </w:num>
  <w:num w:numId="31" w16cid:durableId="1991711144">
    <w:abstractNumId w:val="11"/>
  </w:num>
  <w:num w:numId="32" w16cid:durableId="1765154082">
    <w:abstractNumId w:val="19"/>
  </w:num>
  <w:num w:numId="33" w16cid:durableId="280845085">
    <w:abstractNumId w:val="21"/>
  </w:num>
  <w:num w:numId="34" w16cid:durableId="2138984673">
    <w:abstractNumId w:val="15"/>
  </w:num>
  <w:num w:numId="35" w16cid:durableId="1655526511">
    <w:abstractNumId w:val="13"/>
  </w:num>
  <w:num w:numId="36" w16cid:durableId="541751621">
    <w:abstractNumId w:val="17"/>
  </w:num>
  <w:num w:numId="37" w16cid:durableId="1314946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MDczNDWwsDQ0NbVQ0lEKTi0uzszPAykwrAUAIPm0eSwAAAA="/>
  </w:docVars>
  <w:rsids>
    <w:rsidRoot w:val="006E49BD"/>
    <w:rsid w:val="0000246A"/>
    <w:rsid w:val="00014BB0"/>
    <w:rsid w:val="00016212"/>
    <w:rsid w:val="00020998"/>
    <w:rsid w:val="0002438E"/>
    <w:rsid w:val="00026AE0"/>
    <w:rsid w:val="00026F9B"/>
    <w:rsid w:val="00035974"/>
    <w:rsid w:val="00044E68"/>
    <w:rsid w:val="00054B7B"/>
    <w:rsid w:val="00055C33"/>
    <w:rsid w:val="000579F6"/>
    <w:rsid w:val="0006041F"/>
    <w:rsid w:val="00065884"/>
    <w:rsid w:val="00071D8B"/>
    <w:rsid w:val="00074C9D"/>
    <w:rsid w:val="00091D73"/>
    <w:rsid w:val="00093D1A"/>
    <w:rsid w:val="0009746A"/>
    <w:rsid w:val="000A0561"/>
    <w:rsid w:val="000A5357"/>
    <w:rsid w:val="000B41B7"/>
    <w:rsid w:val="000B77D0"/>
    <w:rsid w:val="000C006E"/>
    <w:rsid w:val="000D0501"/>
    <w:rsid w:val="000D5081"/>
    <w:rsid w:val="00103485"/>
    <w:rsid w:val="001051A6"/>
    <w:rsid w:val="00112997"/>
    <w:rsid w:val="0011620E"/>
    <w:rsid w:val="00117329"/>
    <w:rsid w:val="001179E5"/>
    <w:rsid w:val="00124A55"/>
    <w:rsid w:val="00125D16"/>
    <w:rsid w:val="00127F6D"/>
    <w:rsid w:val="00141184"/>
    <w:rsid w:val="00145415"/>
    <w:rsid w:val="001462DF"/>
    <w:rsid w:val="00147D9F"/>
    <w:rsid w:val="001646CE"/>
    <w:rsid w:val="00173D58"/>
    <w:rsid w:val="001760C9"/>
    <w:rsid w:val="00184663"/>
    <w:rsid w:val="00184CAD"/>
    <w:rsid w:val="00197BBF"/>
    <w:rsid w:val="001B37B0"/>
    <w:rsid w:val="001C0C31"/>
    <w:rsid w:val="001C37CA"/>
    <w:rsid w:val="001C4C86"/>
    <w:rsid w:val="001C6FD8"/>
    <w:rsid w:val="001D30E8"/>
    <w:rsid w:val="001E3B6C"/>
    <w:rsid w:val="001F173F"/>
    <w:rsid w:val="001F3843"/>
    <w:rsid w:val="001F7AB1"/>
    <w:rsid w:val="001F7FFB"/>
    <w:rsid w:val="00200018"/>
    <w:rsid w:val="00200619"/>
    <w:rsid w:val="00201348"/>
    <w:rsid w:val="002030D9"/>
    <w:rsid w:val="00222274"/>
    <w:rsid w:val="002263B0"/>
    <w:rsid w:val="0024046B"/>
    <w:rsid w:val="00247027"/>
    <w:rsid w:val="0024755A"/>
    <w:rsid w:val="00252C0B"/>
    <w:rsid w:val="00272883"/>
    <w:rsid w:val="00274473"/>
    <w:rsid w:val="00280E29"/>
    <w:rsid w:val="00287343"/>
    <w:rsid w:val="002947F7"/>
    <w:rsid w:val="00296ABA"/>
    <w:rsid w:val="002A0D13"/>
    <w:rsid w:val="002A3949"/>
    <w:rsid w:val="002D6C3B"/>
    <w:rsid w:val="002D72EA"/>
    <w:rsid w:val="002E4992"/>
    <w:rsid w:val="002E5655"/>
    <w:rsid w:val="002F0C9A"/>
    <w:rsid w:val="00315DE8"/>
    <w:rsid w:val="0031630C"/>
    <w:rsid w:val="00325C0A"/>
    <w:rsid w:val="00332DA5"/>
    <w:rsid w:val="0035590B"/>
    <w:rsid w:val="00363B9E"/>
    <w:rsid w:val="0036498B"/>
    <w:rsid w:val="003657C5"/>
    <w:rsid w:val="00382DC3"/>
    <w:rsid w:val="003852DA"/>
    <w:rsid w:val="003A3674"/>
    <w:rsid w:val="003A4E37"/>
    <w:rsid w:val="003A697E"/>
    <w:rsid w:val="003B1FB8"/>
    <w:rsid w:val="003B7C8E"/>
    <w:rsid w:val="003C0BAF"/>
    <w:rsid w:val="003C7102"/>
    <w:rsid w:val="003F38EB"/>
    <w:rsid w:val="00407875"/>
    <w:rsid w:val="0042639D"/>
    <w:rsid w:val="00440267"/>
    <w:rsid w:val="00445089"/>
    <w:rsid w:val="00452644"/>
    <w:rsid w:val="00453F2A"/>
    <w:rsid w:val="0047157B"/>
    <w:rsid w:val="004731AD"/>
    <w:rsid w:val="004753F0"/>
    <w:rsid w:val="00480FAE"/>
    <w:rsid w:val="0048308E"/>
    <w:rsid w:val="004872CE"/>
    <w:rsid w:val="0049539E"/>
    <w:rsid w:val="00497904"/>
    <w:rsid w:val="004A146F"/>
    <w:rsid w:val="004A4A6A"/>
    <w:rsid w:val="004C2E5B"/>
    <w:rsid w:val="004D25D9"/>
    <w:rsid w:val="004D4B4B"/>
    <w:rsid w:val="004E5E5F"/>
    <w:rsid w:val="004F2645"/>
    <w:rsid w:val="00503C8D"/>
    <w:rsid w:val="005179F8"/>
    <w:rsid w:val="00522420"/>
    <w:rsid w:val="00532137"/>
    <w:rsid w:val="00533781"/>
    <w:rsid w:val="005353D6"/>
    <w:rsid w:val="00545C5C"/>
    <w:rsid w:val="00553CEA"/>
    <w:rsid w:val="005561E4"/>
    <w:rsid w:val="005631D0"/>
    <w:rsid w:val="00573474"/>
    <w:rsid w:val="005809FD"/>
    <w:rsid w:val="00581CC0"/>
    <w:rsid w:val="005839C2"/>
    <w:rsid w:val="005938BD"/>
    <w:rsid w:val="0059681A"/>
    <w:rsid w:val="005A1557"/>
    <w:rsid w:val="005B34EC"/>
    <w:rsid w:val="005C52C9"/>
    <w:rsid w:val="005F5D71"/>
    <w:rsid w:val="00600C89"/>
    <w:rsid w:val="0060379F"/>
    <w:rsid w:val="00620E37"/>
    <w:rsid w:val="00622C74"/>
    <w:rsid w:val="00630DE1"/>
    <w:rsid w:val="00647B38"/>
    <w:rsid w:val="00651A06"/>
    <w:rsid w:val="0066073C"/>
    <w:rsid w:val="0067530B"/>
    <w:rsid w:val="00687AB6"/>
    <w:rsid w:val="00693800"/>
    <w:rsid w:val="006A08A8"/>
    <w:rsid w:val="006D1291"/>
    <w:rsid w:val="006D3738"/>
    <w:rsid w:val="006E1AF8"/>
    <w:rsid w:val="006E49BD"/>
    <w:rsid w:val="006F0428"/>
    <w:rsid w:val="006F532C"/>
    <w:rsid w:val="00704937"/>
    <w:rsid w:val="00706901"/>
    <w:rsid w:val="00715993"/>
    <w:rsid w:val="00726C08"/>
    <w:rsid w:val="00727144"/>
    <w:rsid w:val="00736447"/>
    <w:rsid w:val="0073649E"/>
    <w:rsid w:val="0074695D"/>
    <w:rsid w:val="007505B2"/>
    <w:rsid w:val="00781F94"/>
    <w:rsid w:val="0078722A"/>
    <w:rsid w:val="007A1443"/>
    <w:rsid w:val="007A2B86"/>
    <w:rsid w:val="007D4407"/>
    <w:rsid w:val="007E513E"/>
    <w:rsid w:val="007E64E2"/>
    <w:rsid w:val="007F1077"/>
    <w:rsid w:val="00802ED3"/>
    <w:rsid w:val="008038B8"/>
    <w:rsid w:val="00817A32"/>
    <w:rsid w:val="00841B11"/>
    <w:rsid w:val="00846D03"/>
    <w:rsid w:val="00852A28"/>
    <w:rsid w:val="00865B5C"/>
    <w:rsid w:val="00867E4B"/>
    <w:rsid w:val="0087795F"/>
    <w:rsid w:val="008A07A5"/>
    <w:rsid w:val="008A17B9"/>
    <w:rsid w:val="008A4BA4"/>
    <w:rsid w:val="008B0D86"/>
    <w:rsid w:val="008B1F36"/>
    <w:rsid w:val="008B42C2"/>
    <w:rsid w:val="008B70E0"/>
    <w:rsid w:val="008D15C3"/>
    <w:rsid w:val="008D4746"/>
    <w:rsid w:val="008D551C"/>
    <w:rsid w:val="008D62CE"/>
    <w:rsid w:val="008E5E0F"/>
    <w:rsid w:val="008F24D2"/>
    <w:rsid w:val="00915026"/>
    <w:rsid w:val="0092286A"/>
    <w:rsid w:val="009556B7"/>
    <w:rsid w:val="00961C8D"/>
    <w:rsid w:val="00964E99"/>
    <w:rsid w:val="009662F7"/>
    <w:rsid w:val="00991E7F"/>
    <w:rsid w:val="009B14B3"/>
    <w:rsid w:val="009B751C"/>
    <w:rsid w:val="009C155A"/>
    <w:rsid w:val="009C3221"/>
    <w:rsid w:val="009E0119"/>
    <w:rsid w:val="009E2097"/>
    <w:rsid w:val="009E4C55"/>
    <w:rsid w:val="009F37CD"/>
    <w:rsid w:val="009F75CD"/>
    <w:rsid w:val="00A11D60"/>
    <w:rsid w:val="00A1728D"/>
    <w:rsid w:val="00A319A2"/>
    <w:rsid w:val="00A37F33"/>
    <w:rsid w:val="00A5568B"/>
    <w:rsid w:val="00A5782E"/>
    <w:rsid w:val="00A616CA"/>
    <w:rsid w:val="00A637A6"/>
    <w:rsid w:val="00A702AF"/>
    <w:rsid w:val="00A70357"/>
    <w:rsid w:val="00A70427"/>
    <w:rsid w:val="00AB0FC8"/>
    <w:rsid w:val="00AB1697"/>
    <w:rsid w:val="00AC2F6F"/>
    <w:rsid w:val="00AD1625"/>
    <w:rsid w:val="00AE3D00"/>
    <w:rsid w:val="00B16CE2"/>
    <w:rsid w:val="00B17822"/>
    <w:rsid w:val="00B26108"/>
    <w:rsid w:val="00B436AE"/>
    <w:rsid w:val="00B60509"/>
    <w:rsid w:val="00B729E0"/>
    <w:rsid w:val="00B744F7"/>
    <w:rsid w:val="00B75F7F"/>
    <w:rsid w:val="00BA7143"/>
    <w:rsid w:val="00BB1587"/>
    <w:rsid w:val="00BC72BC"/>
    <w:rsid w:val="00BC78C4"/>
    <w:rsid w:val="00BD0CFF"/>
    <w:rsid w:val="00BD0F6E"/>
    <w:rsid w:val="00BD4785"/>
    <w:rsid w:val="00BE0055"/>
    <w:rsid w:val="00BE25E5"/>
    <w:rsid w:val="00BE6A8E"/>
    <w:rsid w:val="00BE7F0F"/>
    <w:rsid w:val="00C0313E"/>
    <w:rsid w:val="00C033FA"/>
    <w:rsid w:val="00C05445"/>
    <w:rsid w:val="00C25723"/>
    <w:rsid w:val="00C34696"/>
    <w:rsid w:val="00C40952"/>
    <w:rsid w:val="00C63EA5"/>
    <w:rsid w:val="00C6700B"/>
    <w:rsid w:val="00C67DC4"/>
    <w:rsid w:val="00C813B8"/>
    <w:rsid w:val="00C846BE"/>
    <w:rsid w:val="00C84A13"/>
    <w:rsid w:val="00C852DE"/>
    <w:rsid w:val="00C85B7E"/>
    <w:rsid w:val="00CA1757"/>
    <w:rsid w:val="00CA3028"/>
    <w:rsid w:val="00CA4E90"/>
    <w:rsid w:val="00CC3346"/>
    <w:rsid w:val="00CC3F1C"/>
    <w:rsid w:val="00CC594A"/>
    <w:rsid w:val="00CD0AC1"/>
    <w:rsid w:val="00CF33A8"/>
    <w:rsid w:val="00CF38C7"/>
    <w:rsid w:val="00CF5B6F"/>
    <w:rsid w:val="00D0703D"/>
    <w:rsid w:val="00D10243"/>
    <w:rsid w:val="00D11981"/>
    <w:rsid w:val="00D170F6"/>
    <w:rsid w:val="00D23FE8"/>
    <w:rsid w:val="00D410BE"/>
    <w:rsid w:val="00D55DFB"/>
    <w:rsid w:val="00D71A41"/>
    <w:rsid w:val="00D9718C"/>
    <w:rsid w:val="00D97E20"/>
    <w:rsid w:val="00DA22C3"/>
    <w:rsid w:val="00DA2815"/>
    <w:rsid w:val="00DC0042"/>
    <w:rsid w:val="00DC28DE"/>
    <w:rsid w:val="00DD5C57"/>
    <w:rsid w:val="00DF19E5"/>
    <w:rsid w:val="00E260A4"/>
    <w:rsid w:val="00E33855"/>
    <w:rsid w:val="00E50795"/>
    <w:rsid w:val="00E545AE"/>
    <w:rsid w:val="00E60352"/>
    <w:rsid w:val="00E828E2"/>
    <w:rsid w:val="00E84910"/>
    <w:rsid w:val="00E866BB"/>
    <w:rsid w:val="00E878F5"/>
    <w:rsid w:val="00E97718"/>
    <w:rsid w:val="00EA2A96"/>
    <w:rsid w:val="00EA57AF"/>
    <w:rsid w:val="00EA6430"/>
    <w:rsid w:val="00EC595C"/>
    <w:rsid w:val="00EC7BC1"/>
    <w:rsid w:val="00ED0E3D"/>
    <w:rsid w:val="00ED4008"/>
    <w:rsid w:val="00EE5A5C"/>
    <w:rsid w:val="00EE5E59"/>
    <w:rsid w:val="00F10DE1"/>
    <w:rsid w:val="00F14868"/>
    <w:rsid w:val="00F16C65"/>
    <w:rsid w:val="00F217AA"/>
    <w:rsid w:val="00F2769F"/>
    <w:rsid w:val="00F36823"/>
    <w:rsid w:val="00F4723E"/>
    <w:rsid w:val="00F54BDE"/>
    <w:rsid w:val="00F60D5D"/>
    <w:rsid w:val="00F94184"/>
    <w:rsid w:val="00F942AF"/>
    <w:rsid w:val="00FB01A9"/>
    <w:rsid w:val="00FC4B1F"/>
    <w:rsid w:val="00FE11FA"/>
    <w:rsid w:val="00FE1AA8"/>
    <w:rsid w:val="00FE76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F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C0B"/>
    <w:pPr>
      <w:spacing w:before="120" w:after="240" w:line="288" w:lineRule="auto"/>
    </w:pPr>
    <w:rPr>
      <w:sz w:val="24"/>
    </w:rPr>
  </w:style>
  <w:style w:type="paragraph" w:styleId="Heading1">
    <w:name w:val="heading 1"/>
    <w:basedOn w:val="Normal"/>
    <w:next w:val="Normal"/>
    <w:link w:val="Heading1Char"/>
    <w:uiPriority w:val="4"/>
    <w:qFormat/>
    <w:rsid w:val="00651A06"/>
    <w:pPr>
      <w:keepNext/>
      <w:keepLines/>
      <w:spacing w:before="480" w:after="120"/>
      <w:outlineLvl w:val="0"/>
    </w:pPr>
    <w:rPr>
      <w:rFonts w:asciiTheme="majorHAnsi" w:eastAsiaTheme="majorEastAsia" w:hAnsiTheme="majorHAnsi" w:cstheme="majorBidi"/>
      <w:b/>
      <w:color w:val="15284C" w:themeColor="text2"/>
      <w:sz w:val="52"/>
      <w:szCs w:val="32"/>
    </w:rPr>
  </w:style>
  <w:style w:type="paragraph" w:styleId="Heading2">
    <w:name w:val="heading 2"/>
    <w:basedOn w:val="Normal"/>
    <w:next w:val="Normal"/>
    <w:link w:val="Heading2Char"/>
    <w:uiPriority w:val="4"/>
    <w:qFormat/>
    <w:rsid w:val="00F217AA"/>
    <w:pPr>
      <w:keepNext/>
      <w:keepLines/>
      <w:spacing w:before="360" w:after="120"/>
      <w:outlineLvl w:val="1"/>
    </w:pPr>
    <w:rPr>
      <w:rFonts w:asciiTheme="majorHAnsi" w:eastAsiaTheme="majorEastAsia" w:hAnsiTheme="majorHAnsi" w:cstheme="majorBidi"/>
      <w:b/>
      <w:color w:val="15284C"/>
      <w:sz w:val="32"/>
      <w:szCs w:val="26"/>
    </w:rPr>
  </w:style>
  <w:style w:type="paragraph" w:styleId="Heading3">
    <w:name w:val="heading 3"/>
    <w:basedOn w:val="Normal"/>
    <w:next w:val="Normal"/>
    <w:link w:val="Heading3Char"/>
    <w:uiPriority w:val="4"/>
    <w:qFormat/>
    <w:rsid w:val="00103485"/>
    <w:pPr>
      <w:keepNext/>
      <w:keepLines/>
      <w:spacing w:before="360" w:after="120"/>
      <w:outlineLvl w:val="2"/>
    </w:pPr>
    <w:rPr>
      <w:rFonts w:asciiTheme="majorHAnsi" w:eastAsiaTheme="majorEastAsia" w:hAnsiTheme="majorHAnsi" w:cstheme="majorBidi"/>
      <w:color w:val="15284C" w:themeColor="text2"/>
      <w:sz w:val="32"/>
      <w:szCs w:val="24"/>
    </w:rPr>
  </w:style>
  <w:style w:type="paragraph" w:styleId="Heading4">
    <w:name w:val="heading 4"/>
    <w:basedOn w:val="Normal"/>
    <w:next w:val="Normal"/>
    <w:link w:val="Heading4Char"/>
    <w:uiPriority w:val="4"/>
    <w:unhideWhenUsed/>
    <w:qFormat/>
    <w:rsid w:val="00AD1625"/>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A4BA4"/>
    <w:pPr>
      <w:spacing w:before="0" w:after="0" w:line="240" w:lineRule="auto"/>
      <w:contextualSpacing/>
    </w:pPr>
    <w:rPr>
      <w:rFonts w:asciiTheme="majorHAnsi" w:eastAsiaTheme="majorEastAsia" w:hAnsiTheme="majorHAnsi" w:cstheme="majorBidi"/>
      <w:b/>
      <w:color w:val="15284C" w:themeColor="text2"/>
      <w:spacing w:val="-10"/>
      <w:kern w:val="28"/>
      <w:sz w:val="110"/>
      <w:szCs w:val="56"/>
    </w:rPr>
  </w:style>
  <w:style w:type="character" w:customStyle="1" w:styleId="TitleChar">
    <w:name w:val="Title Char"/>
    <w:basedOn w:val="DefaultParagraphFont"/>
    <w:link w:val="Title"/>
    <w:uiPriority w:val="99"/>
    <w:rsid w:val="008A4BA4"/>
    <w:rPr>
      <w:rFonts w:asciiTheme="majorHAnsi" w:eastAsiaTheme="majorEastAsia" w:hAnsiTheme="majorHAnsi" w:cstheme="majorBidi"/>
      <w:b/>
      <w:color w:val="15284C" w:themeColor="text2"/>
      <w:spacing w:val="-10"/>
      <w:kern w:val="28"/>
      <w:sz w:val="110"/>
      <w:szCs w:val="56"/>
    </w:rPr>
  </w:style>
  <w:style w:type="paragraph" w:styleId="Subtitle">
    <w:name w:val="Subtitle"/>
    <w:basedOn w:val="Normal"/>
    <w:next w:val="Normal"/>
    <w:link w:val="SubtitleChar"/>
    <w:uiPriority w:val="99"/>
    <w:qFormat/>
    <w:rsid w:val="008A4BA4"/>
    <w:pPr>
      <w:numPr>
        <w:ilvl w:val="1"/>
      </w:numPr>
      <w:spacing w:before="160"/>
    </w:pPr>
    <w:rPr>
      <w:rFonts w:eastAsiaTheme="minorEastAsia"/>
      <w:b/>
      <w:color w:val="15284C" w:themeColor="text2"/>
      <w:sz w:val="64"/>
    </w:rPr>
  </w:style>
  <w:style w:type="character" w:customStyle="1" w:styleId="SubtitleChar">
    <w:name w:val="Subtitle Char"/>
    <w:basedOn w:val="DefaultParagraphFont"/>
    <w:link w:val="Subtitle"/>
    <w:uiPriority w:val="99"/>
    <w:rsid w:val="008A4BA4"/>
    <w:rPr>
      <w:rFonts w:eastAsiaTheme="minorEastAsia"/>
      <w:b/>
      <w:color w:val="15284C" w:themeColor="text2"/>
      <w:sz w:val="64"/>
    </w:rPr>
  </w:style>
  <w:style w:type="paragraph" w:styleId="Header">
    <w:name w:val="header"/>
    <w:basedOn w:val="Normal"/>
    <w:link w:val="HeaderChar"/>
    <w:uiPriority w:val="99"/>
    <w:semiHidden/>
    <w:rsid w:val="00817A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33FA"/>
    <w:rPr>
      <w:sz w:val="24"/>
    </w:rPr>
  </w:style>
  <w:style w:type="paragraph" w:styleId="Footer">
    <w:name w:val="footer"/>
    <w:basedOn w:val="Normal"/>
    <w:link w:val="FooterChar"/>
    <w:uiPriority w:val="99"/>
    <w:rsid w:val="00817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E5B"/>
    <w:rPr>
      <w:sz w:val="24"/>
    </w:rPr>
  </w:style>
  <w:style w:type="character" w:customStyle="1" w:styleId="Heading1Char">
    <w:name w:val="Heading 1 Char"/>
    <w:basedOn w:val="DefaultParagraphFont"/>
    <w:link w:val="Heading1"/>
    <w:uiPriority w:val="4"/>
    <w:rsid w:val="00715993"/>
    <w:rPr>
      <w:rFonts w:asciiTheme="majorHAnsi" w:eastAsiaTheme="majorEastAsia" w:hAnsiTheme="majorHAnsi" w:cstheme="majorBidi"/>
      <w:b/>
      <w:color w:val="15284C" w:themeColor="text2"/>
      <w:sz w:val="52"/>
      <w:szCs w:val="32"/>
    </w:rPr>
  </w:style>
  <w:style w:type="paragraph" w:customStyle="1" w:styleId="NumberedHeading1">
    <w:name w:val="Numbered Heading 1"/>
    <w:basedOn w:val="Heading1"/>
    <w:next w:val="Normal"/>
    <w:uiPriority w:val="5"/>
    <w:qFormat/>
    <w:rsid w:val="005938BD"/>
    <w:pPr>
      <w:numPr>
        <w:numId w:val="1"/>
      </w:numPr>
      <w:tabs>
        <w:tab w:val="left" w:pos="1021"/>
      </w:tabs>
      <w:ind w:left="1021" w:hanging="1021"/>
    </w:pPr>
  </w:style>
  <w:style w:type="character" w:customStyle="1" w:styleId="Heading2Char">
    <w:name w:val="Heading 2 Char"/>
    <w:basedOn w:val="DefaultParagraphFont"/>
    <w:link w:val="Heading2"/>
    <w:uiPriority w:val="4"/>
    <w:rsid w:val="00715993"/>
    <w:rPr>
      <w:rFonts w:asciiTheme="majorHAnsi" w:eastAsiaTheme="majorEastAsia" w:hAnsiTheme="majorHAnsi" w:cstheme="majorBidi"/>
      <w:b/>
      <w:color w:val="15284C"/>
      <w:sz w:val="32"/>
      <w:szCs w:val="26"/>
    </w:rPr>
  </w:style>
  <w:style w:type="character" w:customStyle="1" w:styleId="Heading3Char">
    <w:name w:val="Heading 3 Char"/>
    <w:basedOn w:val="DefaultParagraphFont"/>
    <w:link w:val="Heading3"/>
    <w:uiPriority w:val="4"/>
    <w:rsid w:val="00103485"/>
    <w:rPr>
      <w:rFonts w:asciiTheme="majorHAnsi" w:eastAsiaTheme="majorEastAsia" w:hAnsiTheme="majorHAnsi" w:cstheme="majorBidi"/>
      <w:color w:val="15284C" w:themeColor="text2"/>
      <w:sz w:val="32"/>
      <w:szCs w:val="24"/>
    </w:rPr>
  </w:style>
  <w:style w:type="paragraph" w:customStyle="1" w:styleId="NumberedHeading2">
    <w:name w:val="Numbered Heading 2"/>
    <w:basedOn w:val="Heading2"/>
    <w:next w:val="Normal"/>
    <w:uiPriority w:val="5"/>
    <w:qFormat/>
    <w:rsid w:val="005938BD"/>
    <w:pPr>
      <w:numPr>
        <w:ilvl w:val="1"/>
        <w:numId w:val="1"/>
      </w:numPr>
      <w:tabs>
        <w:tab w:val="left" w:pos="1021"/>
      </w:tabs>
      <w:ind w:left="1021" w:hanging="1021"/>
    </w:pPr>
  </w:style>
  <w:style w:type="paragraph" w:customStyle="1" w:styleId="NumberedHeading3">
    <w:name w:val="Numbered Heading 3"/>
    <w:basedOn w:val="Heading3"/>
    <w:next w:val="Normal"/>
    <w:uiPriority w:val="5"/>
    <w:qFormat/>
    <w:rsid w:val="005938BD"/>
    <w:pPr>
      <w:numPr>
        <w:ilvl w:val="2"/>
        <w:numId w:val="1"/>
      </w:numPr>
      <w:tabs>
        <w:tab w:val="left" w:pos="1021"/>
      </w:tabs>
      <w:ind w:left="1021" w:hanging="1021"/>
    </w:pPr>
  </w:style>
  <w:style w:type="paragraph" w:styleId="TOCHeading">
    <w:name w:val="TOC Heading"/>
    <w:next w:val="Normal"/>
    <w:uiPriority w:val="39"/>
    <w:semiHidden/>
    <w:qFormat/>
    <w:rsid w:val="002E4992"/>
    <w:pPr>
      <w:spacing w:before="360"/>
    </w:pPr>
    <w:rPr>
      <w:rFonts w:asciiTheme="majorHAnsi" w:eastAsiaTheme="majorEastAsia" w:hAnsiTheme="majorHAnsi" w:cstheme="majorBidi"/>
      <w:b/>
      <w:color w:val="15284C" w:themeColor="text2"/>
      <w:sz w:val="68"/>
      <w:szCs w:val="32"/>
    </w:rPr>
  </w:style>
  <w:style w:type="paragraph" w:styleId="TOC1">
    <w:name w:val="toc 1"/>
    <w:basedOn w:val="Normal"/>
    <w:next w:val="Normal"/>
    <w:autoRedefine/>
    <w:uiPriority w:val="39"/>
    <w:rsid w:val="006E49BD"/>
    <w:pPr>
      <w:tabs>
        <w:tab w:val="right" w:leader="dot" w:pos="9628"/>
      </w:tabs>
      <w:spacing w:before="300" w:after="100"/>
    </w:pPr>
    <w:rPr>
      <w:b/>
      <w:noProof/>
    </w:rPr>
  </w:style>
  <w:style w:type="paragraph" w:styleId="TOC2">
    <w:name w:val="toc 2"/>
    <w:basedOn w:val="Normal"/>
    <w:next w:val="Normal"/>
    <w:autoRedefine/>
    <w:uiPriority w:val="39"/>
    <w:rsid w:val="00630DE1"/>
    <w:pPr>
      <w:spacing w:after="100"/>
      <w:ind w:left="240"/>
    </w:pPr>
  </w:style>
  <w:style w:type="paragraph" w:styleId="TOC3">
    <w:name w:val="toc 3"/>
    <w:basedOn w:val="Normal"/>
    <w:next w:val="Normal"/>
    <w:autoRedefine/>
    <w:uiPriority w:val="39"/>
    <w:rsid w:val="00630DE1"/>
    <w:pPr>
      <w:spacing w:after="100"/>
      <w:ind w:left="480"/>
    </w:pPr>
  </w:style>
  <w:style w:type="character" w:styleId="Hyperlink">
    <w:name w:val="Hyperlink"/>
    <w:basedOn w:val="DefaultParagraphFont"/>
    <w:uiPriority w:val="99"/>
    <w:rsid w:val="00252C0B"/>
    <w:rPr>
      <w:b/>
      <w:color w:val="auto"/>
      <w:u w:val="single"/>
    </w:rPr>
  </w:style>
  <w:style w:type="character" w:customStyle="1" w:styleId="UnresolvedMention1">
    <w:name w:val="Unresolved Mention1"/>
    <w:basedOn w:val="DefaultParagraphFont"/>
    <w:uiPriority w:val="99"/>
    <w:semiHidden/>
    <w:unhideWhenUsed/>
    <w:rsid w:val="00B75F7F"/>
    <w:rPr>
      <w:color w:val="605E5C"/>
      <w:shd w:val="clear" w:color="auto" w:fill="E1DFDD"/>
    </w:rPr>
  </w:style>
  <w:style w:type="table" w:styleId="TableGrid">
    <w:name w:val="Table Grid"/>
    <w:basedOn w:val="TableNormal"/>
    <w:uiPriority w:val="39"/>
    <w:rsid w:val="00B7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6"/>
    <w:rsid w:val="00C033FA"/>
    <w:pPr>
      <w:numPr>
        <w:numId w:val="2"/>
      </w:numPr>
      <w:tabs>
        <w:tab w:val="clear" w:pos="360"/>
        <w:tab w:val="left" w:pos="425"/>
      </w:tabs>
      <w:spacing w:after="120"/>
      <w:ind w:left="425" w:hanging="425"/>
    </w:pPr>
  </w:style>
  <w:style w:type="paragraph" w:styleId="ListBullet2">
    <w:name w:val="List Bullet 2"/>
    <w:basedOn w:val="Normal"/>
    <w:uiPriority w:val="6"/>
    <w:rsid w:val="00C033FA"/>
    <w:pPr>
      <w:numPr>
        <w:numId w:val="3"/>
      </w:numPr>
      <w:tabs>
        <w:tab w:val="clear" w:pos="643"/>
        <w:tab w:val="left" w:pos="851"/>
      </w:tabs>
      <w:spacing w:after="120"/>
      <w:ind w:left="850" w:hanging="425"/>
    </w:pPr>
  </w:style>
  <w:style w:type="paragraph" w:styleId="ListBullet3">
    <w:name w:val="List Bullet 3"/>
    <w:basedOn w:val="Normal"/>
    <w:uiPriority w:val="6"/>
    <w:rsid w:val="005938BD"/>
    <w:pPr>
      <w:numPr>
        <w:numId w:val="4"/>
      </w:numPr>
      <w:tabs>
        <w:tab w:val="clear" w:pos="926"/>
        <w:tab w:val="left" w:pos="1276"/>
      </w:tabs>
      <w:spacing w:after="120"/>
      <w:ind w:left="1276" w:hanging="425"/>
    </w:pPr>
  </w:style>
  <w:style w:type="paragraph" w:styleId="ListNumber">
    <w:name w:val="List Number"/>
    <w:basedOn w:val="Normal"/>
    <w:uiPriority w:val="6"/>
    <w:rsid w:val="005938BD"/>
    <w:pPr>
      <w:numPr>
        <w:numId w:val="5"/>
      </w:numPr>
      <w:tabs>
        <w:tab w:val="clear" w:pos="360"/>
        <w:tab w:val="left" w:pos="425"/>
      </w:tabs>
      <w:spacing w:after="120"/>
      <w:ind w:left="425" w:hanging="425"/>
    </w:pPr>
  </w:style>
  <w:style w:type="paragraph" w:styleId="ListNumber2">
    <w:name w:val="List Number 2"/>
    <w:basedOn w:val="Normal"/>
    <w:uiPriority w:val="6"/>
    <w:rsid w:val="005938BD"/>
    <w:pPr>
      <w:numPr>
        <w:numId w:val="6"/>
      </w:numPr>
      <w:tabs>
        <w:tab w:val="left" w:pos="851"/>
      </w:tabs>
      <w:spacing w:after="120"/>
      <w:ind w:left="850" w:hanging="425"/>
    </w:pPr>
  </w:style>
  <w:style w:type="character" w:customStyle="1" w:styleId="Heading4Char">
    <w:name w:val="Heading 4 Char"/>
    <w:basedOn w:val="DefaultParagraphFont"/>
    <w:link w:val="Heading4"/>
    <w:uiPriority w:val="4"/>
    <w:rsid w:val="00AD1625"/>
    <w:rPr>
      <w:rFonts w:asciiTheme="majorHAnsi" w:eastAsiaTheme="majorEastAsia" w:hAnsiTheme="majorHAnsi" w:cstheme="majorBidi"/>
      <w:b/>
      <w:iCs/>
      <w:color w:val="000000" w:themeColor="text1"/>
      <w:sz w:val="24"/>
    </w:rPr>
  </w:style>
  <w:style w:type="paragraph" w:styleId="FootnoteText">
    <w:name w:val="footnote text"/>
    <w:basedOn w:val="Normal"/>
    <w:link w:val="FootnoteTextChar"/>
    <w:uiPriority w:val="99"/>
    <w:semiHidden/>
    <w:rsid w:val="004C2E5B"/>
    <w:pPr>
      <w:tabs>
        <w:tab w:val="left" w:pos="170"/>
      </w:tabs>
      <w:spacing w:before="0" w:after="0" w:line="240" w:lineRule="auto"/>
      <w:ind w:left="170" w:hanging="170"/>
    </w:pPr>
    <w:rPr>
      <w:sz w:val="20"/>
      <w:szCs w:val="20"/>
    </w:rPr>
  </w:style>
  <w:style w:type="character" w:customStyle="1" w:styleId="FootnoteTextChar">
    <w:name w:val="Footnote Text Char"/>
    <w:basedOn w:val="DefaultParagraphFont"/>
    <w:link w:val="FootnoteText"/>
    <w:uiPriority w:val="99"/>
    <w:semiHidden/>
    <w:rsid w:val="00852A28"/>
    <w:rPr>
      <w:sz w:val="20"/>
      <w:szCs w:val="20"/>
    </w:rPr>
  </w:style>
  <w:style w:type="character" w:styleId="FootnoteReference">
    <w:name w:val="footnote reference"/>
    <w:basedOn w:val="DefaultParagraphFont"/>
    <w:uiPriority w:val="99"/>
    <w:semiHidden/>
    <w:unhideWhenUsed/>
    <w:rsid w:val="004C2E5B"/>
    <w:rPr>
      <w:vertAlign w:val="superscript"/>
    </w:rPr>
  </w:style>
  <w:style w:type="table" w:customStyle="1" w:styleId="GridTable41">
    <w:name w:val="Grid Table 41"/>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eWhatuOra">
    <w:name w:val="Te Whatu Ora"/>
    <w:basedOn w:val="TableNormal"/>
    <w:uiPriority w:val="99"/>
    <w:rsid w:val="00C05445"/>
    <w:pPr>
      <w:spacing w:before="100" w:beforeAutospacing="1" w:after="100" w:afterAutospacing="1" w:line="240" w:lineRule="auto"/>
    </w:pPr>
    <w:rPr>
      <w:rFonts w:ascii="Arial" w:hAnsi="Arial"/>
      <w:sz w:val="24"/>
    </w:rPr>
    <w:tblPr>
      <w:tblBorders>
        <w:insideH w:val="single" w:sz="8" w:space="0" w:color="BFBFBF" w:themeColor="text1" w:themeTint="40"/>
        <w:insideV w:val="single" w:sz="8" w:space="0" w:color="BFBFBF" w:themeColor="text1" w:themeTint="40"/>
      </w:tblBorders>
      <w:tblCellMar>
        <w:top w:w="85" w:type="dxa"/>
        <w:left w:w="85" w:type="dxa"/>
        <w:bottom w:w="85" w:type="dxa"/>
        <w:right w:w="85" w:type="dxa"/>
      </w:tblCellMar>
    </w:tblPr>
    <w:tblStylePr w:type="firstRow">
      <w:pPr>
        <w:wordWrap/>
        <w:spacing w:beforeLines="0" w:before="100" w:beforeAutospacing="1" w:afterLines="0" w:after="100" w:afterAutospacing="1"/>
        <w:jc w:val="left"/>
      </w:pPr>
      <w:rPr>
        <w:b/>
      </w:rPr>
      <w:tblPr/>
      <w:tcPr>
        <w:tcBorders>
          <w:top w:val="single" w:sz="12" w:space="0" w:color="003399" w:themeColor="accent3"/>
          <w:bottom w:val="single" w:sz="12" w:space="0" w:color="003399" w:themeColor="accent3"/>
        </w:tcBorders>
        <w:shd w:val="clear" w:color="auto" w:fill="F6F4EC" w:themeFill="background2"/>
      </w:tcPr>
    </w:tblStylePr>
    <w:tblStylePr w:type="lastRow">
      <w:rPr>
        <w:b/>
      </w:rPr>
    </w:tblStylePr>
    <w:tblStylePr w:type="firstCol">
      <w:rPr>
        <w:b/>
      </w:rPr>
    </w:tblStylePr>
    <w:tblStylePr w:type="lastCol">
      <w:rPr>
        <w:b/>
      </w:rPr>
    </w:tblStylePr>
  </w:style>
  <w:style w:type="table" w:customStyle="1" w:styleId="ListTable41">
    <w:name w:val="List Table 41"/>
    <w:basedOn w:val="TableNormal"/>
    <w:uiPriority w:val="49"/>
    <w:rsid w:val="00C031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1">
    <w:name w:val="Table Grid 1"/>
    <w:basedOn w:val="TableNormal"/>
    <w:uiPriority w:val="99"/>
    <w:semiHidden/>
    <w:unhideWhenUsed/>
    <w:rsid w:val="00C0313E"/>
    <w:pPr>
      <w:spacing w:before="120" w:after="2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6"/>
    <w:qFormat/>
    <w:rsid w:val="00C0313E"/>
    <w:pPr>
      <w:spacing w:before="0" w:after="0"/>
    </w:pPr>
  </w:style>
  <w:style w:type="paragraph" w:customStyle="1" w:styleId="Figure">
    <w:name w:val="Figure"/>
    <w:basedOn w:val="Normal"/>
    <w:uiPriority w:val="2"/>
    <w:qFormat/>
    <w:rsid w:val="00852A28"/>
    <w:rPr>
      <w:b/>
    </w:rPr>
  </w:style>
  <w:style w:type="paragraph" w:customStyle="1" w:styleId="Box">
    <w:name w:val="Box"/>
    <w:basedOn w:val="Normal"/>
    <w:uiPriority w:val="3"/>
    <w:qFormat/>
    <w:rsid w:val="00FB01A9"/>
    <w:pPr>
      <w:pBdr>
        <w:top w:val="single" w:sz="12" w:space="8" w:color="FFFFFF" w:themeColor="background1"/>
        <w:left w:val="single" w:sz="12" w:space="8" w:color="FFFFFF" w:themeColor="background1"/>
        <w:bottom w:val="single" w:sz="12" w:space="8" w:color="FFFFFF" w:themeColor="background1"/>
        <w:right w:val="single" w:sz="12" w:space="8" w:color="FFFFFF" w:themeColor="background1"/>
      </w:pBdr>
      <w:spacing w:after="120"/>
      <w:ind w:left="170" w:right="170"/>
    </w:pPr>
  </w:style>
  <w:style w:type="paragraph" w:customStyle="1" w:styleId="BoxBullet">
    <w:name w:val="Box Bullet"/>
    <w:basedOn w:val="Box"/>
    <w:uiPriority w:val="3"/>
    <w:qFormat/>
    <w:rsid w:val="00FB01A9"/>
    <w:pPr>
      <w:numPr>
        <w:numId w:val="7"/>
      </w:numPr>
      <w:ind w:left="527" w:hanging="357"/>
    </w:pPr>
  </w:style>
  <w:style w:type="paragraph" w:styleId="BalloonText">
    <w:name w:val="Balloon Text"/>
    <w:basedOn w:val="Normal"/>
    <w:link w:val="BalloonTextChar"/>
    <w:uiPriority w:val="99"/>
    <w:semiHidden/>
    <w:unhideWhenUsed/>
    <w:rsid w:val="00F217A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7AA"/>
    <w:rPr>
      <w:rFonts w:ascii="Tahoma" w:hAnsi="Tahoma" w:cs="Tahoma"/>
      <w:sz w:val="16"/>
      <w:szCs w:val="16"/>
    </w:rPr>
  </w:style>
  <w:style w:type="paragraph" w:customStyle="1" w:styleId="Dividerheading">
    <w:name w:val="Divider heading"/>
    <w:next w:val="Normal"/>
    <w:qFormat/>
    <w:rsid w:val="00201348"/>
    <w:pPr>
      <w:spacing w:before="60" w:after="0" w:line="240" w:lineRule="auto"/>
      <w:ind w:left="1134" w:right="1134"/>
    </w:pPr>
    <w:rPr>
      <w:rFonts w:ascii="Arial" w:eastAsia="Calibri" w:hAnsi="Arial"/>
      <w:b/>
      <w:color w:val="15284C" w:themeColor="text2"/>
      <w:sz w:val="110"/>
      <w:szCs w:val="24"/>
      <w14:ligatures w14:val="standardContextual"/>
    </w:rPr>
  </w:style>
  <w:style w:type="paragraph" w:customStyle="1" w:styleId="Section3heading1">
    <w:name w:val="Section 3 heading 1"/>
    <w:basedOn w:val="Heading1"/>
    <w:next w:val="Normal"/>
    <w:link w:val="Section3heading1Char"/>
    <w:uiPriority w:val="10"/>
    <w:qFormat/>
    <w:rsid w:val="000C006E"/>
    <w:rPr>
      <w:color w:val="003399" w:themeColor="accent3"/>
    </w:rPr>
  </w:style>
  <w:style w:type="character" w:customStyle="1" w:styleId="Section3heading1Char">
    <w:name w:val="Section 3 heading 1 Char"/>
    <w:basedOn w:val="Section2Heading1Char"/>
    <w:link w:val="Section3heading1"/>
    <w:uiPriority w:val="10"/>
    <w:rsid w:val="008F24D2"/>
    <w:rPr>
      <w:rFonts w:asciiTheme="majorHAnsi" w:eastAsiaTheme="majorEastAsia" w:hAnsiTheme="majorHAnsi" w:cstheme="majorBidi"/>
      <w:b/>
      <w:color w:val="003399" w:themeColor="accent3"/>
      <w:sz w:val="52"/>
      <w:szCs w:val="32"/>
    </w:rPr>
  </w:style>
  <w:style w:type="paragraph" w:customStyle="1" w:styleId="Section3heading2">
    <w:name w:val="Section 3 heading 2"/>
    <w:basedOn w:val="Heading2"/>
    <w:next w:val="Normal"/>
    <w:uiPriority w:val="10"/>
    <w:qFormat/>
    <w:rsid w:val="000C006E"/>
    <w:rPr>
      <w:color w:val="003399" w:themeColor="accent3"/>
    </w:rPr>
  </w:style>
  <w:style w:type="paragraph" w:customStyle="1" w:styleId="Section3heading3">
    <w:name w:val="Section 3 heading 3"/>
    <w:basedOn w:val="Heading3"/>
    <w:uiPriority w:val="10"/>
    <w:qFormat/>
    <w:rsid w:val="000C006E"/>
    <w:rPr>
      <w:color w:val="003399" w:themeColor="accent3"/>
    </w:rPr>
  </w:style>
  <w:style w:type="paragraph" w:customStyle="1" w:styleId="Section4Heading1">
    <w:name w:val="Section 4 Heading 1"/>
    <w:basedOn w:val="Heading1"/>
    <w:next w:val="Normal"/>
    <w:uiPriority w:val="11"/>
    <w:qFormat/>
    <w:rsid w:val="00065884"/>
    <w:rPr>
      <w:color w:val="4D2379" w:themeColor="accent4"/>
    </w:rPr>
  </w:style>
  <w:style w:type="paragraph" w:customStyle="1" w:styleId="Section4Heading2">
    <w:name w:val="Section 4 Heading 2"/>
    <w:basedOn w:val="Heading2"/>
    <w:next w:val="Normal"/>
    <w:uiPriority w:val="11"/>
    <w:qFormat/>
    <w:rsid w:val="00065884"/>
    <w:rPr>
      <w:color w:val="4D2379" w:themeColor="accent4"/>
    </w:rPr>
  </w:style>
  <w:style w:type="paragraph" w:styleId="ListParagraph">
    <w:name w:val="List Paragraph"/>
    <w:basedOn w:val="Normal"/>
    <w:uiPriority w:val="34"/>
    <w:qFormat/>
    <w:rsid w:val="00A1728D"/>
    <w:pPr>
      <w:ind w:left="720"/>
      <w:contextualSpacing/>
    </w:pPr>
  </w:style>
  <w:style w:type="paragraph" w:customStyle="1" w:styleId="Section2Heading1">
    <w:name w:val="Section 2 Heading 1"/>
    <w:basedOn w:val="Heading1"/>
    <w:next w:val="Normal"/>
    <w:link w:val="Section2Heading1Char"/>
    <w:uiPriority w:val="9"/>
    <w:qFormat/>
    <w:rsid w:val="006F532C"/>
    <w:rPr>
      <w:color w:val="0C818E" w:themeColor="accent1"/>
    </w:rPr>
  </w:style>
  <w:style w:type="character" w:customStyle="1" w:styleId="Section2Heading1Char">
    <w:name w:val="Section 2 Heading 1 Char"/>
    <w:basedOn w:val="Heading1Char"/>
    <w:link w:val="Section2Heading1"/>
    <w:uiPriority w:val="9"/>
    <w:rsid w:val="008F24D2"/>
    <w:rPr>
      <w:rFonts w:asciiTheme="majorHAnsi" w:eastAsiaTheme="majorEastAsia" w:hAnsiTheme="majorHAnsi" w:cstheme="majorBidi"/>
      <w:b/>
      <w:color w:val="0C818E" w:themeColor="accent1"/>
      <w:sz w:val="52"/>
      <w:szCs w:val="32"/>
    </w:rPr>
  </w:style>
  <w:style w:type="paragraph" w:customStyle="1" w:styleId="Section2Heading2">
    <w:name w:val="Section 2 Heading 2"/>
    <w:basedOn w:val="Heading2"/>
    <w:next w:val="Normal"/>
    <w:link w:val="Section2Heading2Char"/>
    <w:uiPriority w:val="9"/>
    <w:qFormat/>
    <w:rsid w:val="006F532C"/>
    <w:rPr>
      <w:color w:val="0C818E" w:themeColor="accent1"/>
    </w:rPr>
  </w:style>
  <w:style w:type="character" w:customStyle="1" w:styleId="Section2Heading2Char">
    <w:name w:val="Section 2 Heading 2 Char"/>
    <w:basedOn w:val="Heading2Char"/>
    <w:link w:val="Section2Heading2"/>
    <w:uiPriority w:val="9"/>
    <w:rsid w:val="008F24D2"/>
    <w:rPr>
      <w:rFonts w:asciiTheme="majorHAnsi" w:eastAsiaTheme="majorEastAsia" w:hAnsiTheme="majorHAnsi" w:cstheme="majorBidi"/>
      <w:b/>
      <w:color w:val="0C818E" w:themeColor="accent1"/>
      <w:sz w:val="32"/>
      <w:szCs w:val="26"/>
    </w:rPr>
  </w:style>
  <w:style w:type="paragraph" w:customStyle="1" w:styleId="Section2heading3">
    <w:name w:val="Section 2 heading 3"/>
    <w:basedOn w:val="Heading3"/>
    <w:link w:val="Section2heading3Char"/>
    <w:uiPriority w:val="9"/>
    <w:qFormat/>
    <w:rsid w:val="006F532C"/>
    <w:rPr>
      <w:color w:val="0C818E" w:themeColor="accent1"/>
    </w:rPr>
  </w:style>
  <w:style w:type="character" w:customStyle="1" w:styleId="Section2heading3Char">
    <w:name w:val="Section 2 heading 3 Char"/>
    <w:basedOn w:val="Heading3Char"/>
    <w:link w:val="Section2heading3"/>
    <w:uiPriority w:val="9"/>
    <w:rsid w:val="008F24D2"/>
    <w:rPr>
      <w:rFonts w:asciiTheme="majorHAnsi" w:eastAsiaTheme="majorEastAsia" w:hAnsiTheme="majorHAnsi" w:cstheme="majorBidi"/>
      <w:color w:val="0C818E" w:themeColor="accent1"/>
      <w:sz w:val="32"/>
      <w:szCs w:val="24"/>
    </w:rPr>
  </w:style>
  <w:style w:type="paragraph" w:customStyle="1" w:styleId="Section4Heading3">
    <w:name w:val="Section 4 Heading 3"/>
    <w:basedOn w:val="Heading3"/>
    <w:next w:val="Normal"/>
    <w:uiPriority w:val="11"/>
    <w:qFormat/>
    <w:rsid w:val="00065884"/>
    <w:rPr>
      <w:color w:val="4D2379" w:themeColor="accent4"/>
    </w:rPr>
  </w:style>
  <w:style w:type="paragraph" w:customStyle="1" w:styleId="Section5Heading1">
    <w:name w:val="Section 5 Heading 1"/>
    <w:basedOn w:val="Heading1"/>
    <w:next w:val="Normal"/>
    <w:link w:val="Section5Heading1Char"/>
    <w:uiPriority w:val="12"/>
    <w:qFormat/>
    <w:rsid w:val="0049539E"/>
    <w:rPr>
      <w:color w:val="006060" w:themeColor="accent5"/>
    </w:rPr>
  </w:style>
  <w:style w:type="character" w:customStyle="1" w:styleId="Section5Heading1Char">
    <w:name w:val="Section 5 Heading 1 Char"/>
    <w:basedOn w:val="Heading1Char"/>
    <w:link w:val="Section5Heading1"/>
    <w:uiPriority w:val="12"/>
    <w:rsid w:val="008F24D2"/>
    <w:rPr>
      <w:rFonts w:asciiTheme="majorHAnsi" w:eastAsiaTheme="majorEastAsia" w:hAnsiTheme="majorHAnsi" w:cstheme="majorBidi"/>
      <w:b/>
      <w:color w:val="006060" w:themeColor="accent5"/>
      <w:sz w:val="52"/>
      <w:szCs w:val="32"/>
    </w:rPr>
  </w:style>
  <w:style w:type="paragraph" w:customStyle="1" w:styleId="Section5Heading2">
    <w:name w:val="Section 5 Heading 2"/>
    <w:basedOn w:val="Heading2"/>
    <w:link w:val="Section5Heading2Char"/>
    <w:uiPriority w:val="12"/>
    <w:qFormat/>
    <w:rsid w:val="0049539E"/>
    <w:rPr>
      <w:color w:val="006060" w:themeColor="accent5"/>
    </w:rPr>
  </w:style>
  <w:style w:type="character" w:customStyle="1" w:styleId="Section5Heading2Char">
    <w:name w:val="Section 5 Heading 2 Char"/>
    <w:basedOn w:val="Heading2Char"/>
    <w:link w:val="Section5Heading2"/>
    <w:uiPriority w:val="12"/>
    <w:rsid w:val="008F24D2"/>
    <w:rPr>
      <w:rFonts w:asciiTheme="majorHAnsi" w:eastAsiaTheme="majorEastAsia" w:hAnsiTheme="majorHAnsi" w:cstheme="majorBidi"/>
      <w:b/>
      <w:color w:val="006060" w:themeColor="accent5"/>
      <w:sz w:val="32"/>
      <w:szCs w:val="26"/>
    </w:rPr>
  </w:style>
  <w:style w:type="paragraph" w:customStyle="1" w:styleId="Section5Heading3">
    <w:name w:val="Section 5 Heading 3"/>
    <w:basedOn w:val="Heading3"/>
    <w:link w:val="Section5Heading3Char"/>
    <w:uiPriority w:val="12"/>
    <w:qFormat/>
    <w:rsid w:val="0049539E"/>
    <w:rPr>
      <w:color w:val="006060" w:themeColor="accent5"/>
    </w:rPr>
  </w:style>
  <w:style w:type="character" w:customStyle="1" w:styleId="Section5Heading3Char">
    <w:name w:val="Section 5 Heading 3 Char"/>
    <w:basedOn w:val="Heading3Char"/>
    <w:link w:val="Section5Heading3"/>
    <w:uiPriority w:val="12"/>
    <w:rsid w:val="008F24D2"/>
    <w:rPr>
      <w:rFonts w:asciiTheme="majorHAnsi" w:eastAsiaTheme="majorEastAsia" w:hAnsiTheme="majorHAnsi" w:cstheme="majorBidi"/>
      <w:color w:val="006060" w:themeColor="accent5"/>
      <w:sz w:val="32"/>
      <w:szCs w:val="24"/>
    </w:rPr>
  </w:style>
  <w:style w:type="paragraph" w:customStyle="1" w:styleId="Section6Heading1">
    <w:name w:val="Section 6 Heading 1"/>
    <w:basedOn w:val="Heading1"/>
    <w:next w:val="Normal"/>
    <w:link w:val="Section6Heading1Char"/>
    <w:uiPriority w:val="13"/>
    <w:qFormat/>
    <w:rsid w:val="0049539E"/>
    <w:rPr>
      <w:color w:val="660033" w:themeColor="accent6"/>
    </w:rPr>
  </w:style>
  <w:style w:type="character" w:customStyle="1" w:styleId="Section6Heading1Char">
    <w:name w:val="Section 6 Heading 1 Char"/>
    <w:basedOn w:val="Heading1Char"/>
    <w:link w:val="Section6Heading1"/>
    <w:uiPriority w:val="13"/>
    <w:rsid w:val="008F24D2"/>
    <w:rPr>
      <w:rFonts w:asciiTheme="majorHAnsi" w:eastAsiaTheme="majorEastAsia" w:hAnsiTheme="majorHAnsi" w:cstheme="majorBidi"/>
      <w:b/>
      <w:color w:val="660033" w:themeColor="accent6"/>
      <w:sz w:val="52"/>
      <w:szCs w:val="32"/>
    </w:rPr>
  </w:style>
  <w:style w:type="paragraph" w:customStyle="1" w:styleId="Section6Heading2">
    <w:name w:val="Section 6 Heading 2"/>
    <w:basedOn w:val="Heading2"/>
    <w:next w:val="Normal"/>
    <w:link w:val="Section6Heading2Char"/>
    <w:uiPriority w:val="13"/>
    <w:qFormat/>
    <w:rsid w:val="0049539E"/>
    <w:rPr>
      <w:color w:val="660033" w:themeColor="accent6"/>
    </w:rPr>
  </w:style>
  <w:style w:type="character" w:customStyle="1" w:styleId="Section6Heading2Char">
    <w:name w:val="Section 6 Heading 2 Char"/>
    <w:basedOn w:val="Heading2Char"/>
    <w:link w:val="Section6Heading2"/>
    <w:uiPriority w:val="13"/>
    <w:rsid w:val="008F24D2"/>
    <w:rPr>
      <w:rFonts w:asciiTheme="majorHAnsi" w:eastAsiaTheme="majorEastAsia" w:hAnsiTheme="majorHAnsi" w:cstheme="majorBidi"/>
      <w:b/>
      <w:color w:val="660033" w:themeColor="accent6"/>
      <w:sz w:val="32"/>
      <w:szCs w:val="26"/>
    </w:rPr>
  </w:style>
  <w:style w:type="paragraph" w:customStyle="1" w:styleId="Section6Heading3">
    <w:name w:val="Section 6 Heading 3"/>
    <w:basedOn w:val="Heading3"/>
    <w:next w:val="Normal"/>
    <w:link w:val="Section6Heading3Char"/>
    <w:uiPriority w:val="13"/>
    <w:qFormat/>
    <w:rsid w:val="0049539E"/>
    <w:rPr>
      <w:color w:val="660033" w:themeColor="accent6"/>
    </w:rPr>
  </w:style>
  <w:style w:type="character" w:customStyle="1" w:styleId="Section6Heading3Char">
    <w:name w:val="Section 6 Heading 3 Char"/>
    <w:basedOn w:val="Heading3Char"/>
    <w:link w:val="Section6Heading3"/>
    <w:uiPriority w:val="13"/>
    <w:rsid w:val="008F24D2"/>
    <w:rPr>
      <w:rFonts w:asciiTheme="majorHAnsi" w:eastAsiaTheme="majorEastAsia" w:hAnsiTheme="majorHAnsi" w:cstheme="majorBidi"/>
      <w:color w:val="660033" w:themeColor="accent6"/>
      <w:sz w:val="32"/>
      <w:szCs w:val="24"/>
    </w:rPr>
  </w:style>
  <w:style w:type="paragraph" w:customStyle="1" w:styleId="Bulletpoint">
    <w:name w:val="Bullet point"/>
    <w:basedOn w:val="Normal"/>
    <w:next w:val="Normal"/>
    <w:link w:val="BulletpointChar"/>
    <w:uiPriority w:val="1"/>
    <w:qFormat/>
    <w:rsid w:val="006E1AF8"/>
    <w:pPr>
      <w:numPr>
        <w:numId w:val="23"/>
      </w:numPr>
    </w:pPr>
  </w:style>
  <w:style w:type="character" w:customStyle="1" w:styleId="BulletpointChar">
    <w:name w:val="Bullet point Char"/>
    <w:basedOn w:val="DefaultParagraphFont"/>
    <w:link w:val="Bulletpoint"/>
    <w:uiPriority w:val="1"/>
    <w:rsid w:val="008F24D2"/>
    <w:rPr>
      <w:sz w:val="24"/>
    </w:rPr>
  </w:style>
  <w:style w:type="table" w:customStyle="1" w:styleId="HealthNewZealand">
    <w:name w:val="Health New Zealand"/>
    <w:basedOn w:val="TableNormal"/>
    <w:uiPriority w:val="99"/>
    <w:rsid w:val="004A146F"/>
    <w:pPr>
      <w:spacing w:after="0" w:line="240" w:lineRule="auto"/>
    </w:pPr>
    <w:tblPr/>
  </w:style>
  <w:style w:type="paragraph" w:styleId="NormalWeb">
    <w:name w:val="Normal (Web)"/>
    <w:basedOn w:val="Normal"/>
    <w:uiPriority w:val="99"/>
    <w:unhideWhenUsed/>
    <w:rsid w:val="006E49BD"/>
    <w:pPr>
      <w:spacing w:before="100" w:beforeAutospacing="1" w:after="100" w:afterAutospacing="1" w:line="240" w:lineRule="auto"/>
    </w:pPr>
    <w:rPr>
      <w:rFonts w:ascii="Times New Roman" w:eastAsia="Times New Roman" w:hAnsi="Times New Roman" w:cs="Times New Roman"/>
      <w:szCs w:val="24"/>
      <w:lang w:eastAsia="en-NZ"/>
    </w:rPr>
  </w:style>
  <w:style w:type="character" w:styleId="CommentReference">
    <w:name w:val="annotation reference"/>
    <w:basedOn w:val="DefaultParagraphFont"/>
    <w:uiPriority w:val="99"/>
    <w:semiHidden/>
    <w:unhideWhenUsed/>
    <w:rsid w:val="002D72EA"/>
    <w:rPr>
      <w:sz w:val="16"/>
      <w:szCs w:val="16"/>
    </w:rPr>
  </w:style>
  <w:style w:type="paragraph" w:styleId="CommentText">
    <w:name w:val="annotation text"/>
    <w:basedOn w:val="Normal"/>
    <w:link w:val="CommentTextChar"/>
    <w:uiPriority w:val="99"/>
    <w:unhideWhenUsed/>
    <w:rsid w:val="002D72EA"/>
    <w:pPr>
      <w:spacing w:line="240" w:lineRule="auto"/>
    </w:pPr>
    <w:rPr>
      <w:sz w:val="20"/>
      <w:szCs w:val="20"/>
    </w:rPr>
  </w:style>
  <w:style w:type="character" w:customStyle="1" w:styleId="CommentTextChar">
    <w:name w:val="Comment Text Char"/>
    <w:basedOn w:val="DefaultParagraphFont"/>
    <w:link w:val="CommentText"/>
    <w:uiPriority w:val="99"/>
    <w:rsid w:val="002D72EA"/>
    <w:rPr>
      <w:sz w:val="20"/>
      <w:szCs w:val="20"/>
    </w:rPr>
  </w:style>
  <w:style w:type="paragraph" w:styleId="CommentSubject">
    <w:name w:val="annotation subject"/>
    <w:basedOn w:val="CommentText"/>
    <w:next w:val="CommentText"/>
    <w:link w:val="CommentSubjectChar"/>
    <w:uiPriority w:val="99"/>
    <w:semiHidden/>
    <w:unhideWhenUsed/>
    <w:rsid w:val="002D72EA"/>
    <w:rPr>
      <w:b/>
      <w:bCs/>
    </w:rPr>
  </w:style>
  <w:style w:type="character" w:customStyle="1" w:styleId="CommentSubjectChar">
    <w:name w:val="Comment Subject Char"/>
    <w:basedOn w:val="CommentTextChar"/>
    <w:link w:val="CommentSubject"/>
    <w:uiPriority w:val="99"/>
    <w:semiHidden/>
    <w:rsid w:val="002D72EA"/>
    <w:rPr>
      <w:b/>
      <w:bCs/>
      <w:sz w:val="20"/>
      <w:szCs w:val="20"/>
    </w:rPr>
  </w:style>
  <w:style w:type="character" w:styleId="UnresolvedMention">
    <w:name w:val="Unresolved Mention"/>
    <w:basedOn w:val="DefaultParagraphFont"/>
    <w:uiPriority w:val="99"/>
    <w:semiHidden/>
    <w:unhideWhenUsed/>
    <w:rsid w:val="00F60D5D"/>
    <w:rPr>
      <w:color w:val="605E5C"/>
      <w:shd w:val="clear" w:color="auto" w:fill="E1DFDD"/>
    </w:rPr>
  </w:style>
  <w:style w:type="paragraph" w:styleId="Revision">
    <w:name w:val="Revision"/>
    <w:hidden/>
    <w:uiPriority w:val="99"/>
    <w:semiHidden/>
    <w:rsid w:val="00F2769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22846">
      <w:bodyDiv w:val="1"/>
      <w:marLeft w:val="0"/>
      <w:marRight w:val="0"/>
      <w:marTop w:val="0"/>
      <w:marBottom w:val="0"/>
      <w:divBdr>
        <w:top w:val="none" w:sz="0" w:space="0" w:color="auto"/>
        <w:left w:val="none" w:sz="0" w:space="0" w:color="auto"/>
        <w:bottom w:val="none" w:sz="0" w:space="0" w:color="auto"/>
        <w:right w:val="none" w:sz="0" w:space="0" w:color="auto"/>
      </w:divBdr>
    </w:div>
    <w:div w:id="411246502">
      <w:bodyDiv w:val="1"/>
      <w:marLeft w:val="0"/>
      <w:marRight w:val="0"/>
      <w:marTop w:val="0"/>
      <w:marBottom w:val="0"/>
      <w:divBdr>
        <w:top w:val="none" w:sz="0" w:space="0" w:color="auto"/>
        <w:left w:val="none" w:sz="0" w:space="0" w:color="auto"/>
        <w:bottom w:val="none" w:sz="0" w:space="0" w:color="auto"/>
        <w:right w:val="none" w:sz="0" w:space="0" w:color="auto"/>
      </w:divBdr>
    </w:div>
    <w:div w:id="603608102">
      <w:bodyDiv w:val="1"/>
      <w:marLeft w:val="0"/>
      <w:marRight w:val="0"/>
      <w:marTop w:val="0"/>
      <w:marBottom w:val="0"/>
      <w:divBdr>
        <w:top w:val="none" w:sz="0" w:space="0" w:color="auto"/>
        <w:left w:val="none" w:sz="0" w:space="0" w:color="auto"/>
        <w:bottom w:val="none" w:sz="0" w:space="0" w:color="auto"/>
        <w:right w:val="none" w:sz="0" w:space="0" w:color="auto"/>
      </w:divBdr>
      <w:divsChild>
        <w:div w:id="666326827">
          <w:marLeft w:val="0"/>
          <w:marRight w:val="0"/>
          <w:marTop w:val="60"/>
          <w:marBottom w:val="60"/>
          <w:divBdr>
            <w:top w:val="none" w:sz="0" w:space="0" w:color="auto"/>
            <w:left w:val="none" w:sz="0" w:space="0" w:color="auto"/>
            <w:bottom w:val="none" w:sz="0" w:space="0" w:color="auto"/>
            <w:right w:val="none" w:sz="0" w:space="0" w:color="auto"/>
          </w:divBdr>
        </w:div>
      </w:divsChild>
    </w:div>
    <w:div w:id="1325016073">
      <w:bodyDiv w:val="1"/>
      <w:marLeft w:val="0"/>
      <w:marRight w:val="0"/>
      <w:marTop w:val="0"/>
      <w:marBottom w:val="0"/>
      <w:divBdr>
        <w:top w:val="none" w:sz="0" w:space="0" w:color="auto"/>
        <w:left w:val="none" w:sz="0" w:space="0" w:color="auto"/>
        <w:bottom w:val="none" w:sz="0" w:space="0" w:color="auto"/>
        <w:right w:val="none" w:sz="0" w:space="0" w:color="auto"/>
      </w:divBdr>
    </w:div>
    <w:div w:id="1476531140">
      <w:bodyDiv w:val="1"/>
      <w:marLeft w:val="0"/>
      <w:marRight w:val="0"/>
      <w:marTop w:val="0"/>
      <w:marBottom w:val="0"/>
      <w:divBdr>
        <w:top w:val="none" w:sz="0" w:space="0" w:color="auto"/>
        <w:left w:val="none" w:sz="0" w:space="0" w:color="auto"/>
        <w:bottom w:val="none" w:sz="0" w:space="0" w:color="auto"/>
        <w:right w:val="none" w:sz="0" w:space="0" w:color="auto"/>
      </w:divBdr>
    </w:div>
    <w:div w:id="1682079386">
      <w:bodyDiv w:val="1"/>
      <w:marLeft w:val="0"/>
      <w:marRight w:val="0"/>
      <w:marTop w:val="0"/>
      <w:marBottom w:val="0"/>
      <w:divBdr>
        <w:top w:val="none" w:sz="0" w:space="0" w:color="auto"/>
        <w:left w:val="none" w:sz="0" w:space="0" w:color="auto"/>
        <w:bottom w:val="none" w:sz="0" w:space="0" w:color="auto"/>
        <w:right w:val="none" w:sz="0" w:space="0" w:color="auto"/>
      </w:divBdr>
    </w:div>
    <w:div w:id="1887450988">
      <w:bodyDiv w:val="1"/>
      <w:marLeft w:val="0"/>
      <w:marRight w:val="0"/>
      <w:marTop w:val="0"/>
      <w:marBottom w:val="0"/>
      <w:divBdr>
        <w:top w:val="none" w:sz="0" w:space="0" w:color="auto"/>
        <w:left w:val="none" w:sz="0" w:space="0" w:color="auto"/>
        <w:bottom w:val="none" w:sz="0" w:space="0" w:color="auto"/>
        <w:right w:val="none" w:sz="0" w:space="0" w:color="auto"/>
      </w:divBdr>
    </w:div>
    <w:div w:id="20056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health.govt.nz/regulation-legislation/assisted-dying/resources-for-health-professionals/register-for-an-assisted-dying-practitioner-li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whatuora.govt.nz/for-the-health-sector/assisted-dying-service/assisted-dying-service-data-and-report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legislation.govt.nz/act/public/2019/0067/latest/whole.html" TargetMode="External"/><Relationship Id="rId10" Type="http://schemas.openxmlformats.org/officeDocument/2006/relationships/hyperlink" Target="https://www.tewhatuora.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alth.govt.nz/regulation-legislation/assisted-dying/regulation-and-reporting" TargetMode="External"/></Relationships>
</file>

<file path=word/theme/theme1.xml><?xml version="1.0" encoding="utf-8"?>
<a:theme xmlns:a="http://schemas.openxmlformats.org/drawingml/2006/main" name="Office Theme">
  <a:themeElements>
    <a:clrScheme name="HNZ">
      <a:dk1>
        <a:sysClr val="windowText" lastClr="000000"/>
      </a:dk1>
      <a:lt1>
        <a:sysClr val="window" lastClr="FFFFFF"/>
      </a:lt1>
      <a:dk2>
        <a:srgbClr val="15284C"/>
      </a:dk2>
      <a:lt2>
        <a:srgbClr val="F6F4EC"/>
      </a:lt2>
      <a:accent1>
        <a:srgbClr val="0C818E"/>
      </a:accent1>
      <a:accent2>
        <a:srgbClr val="28A1AC"/>
      </a:accent2>
      <a:accent3>
        <a:srgbClr val="003399"/>
      </a:accent3>
      <a:accent4>
        <a:srgbClr val="4D2379"/>
      </a:accent4>
      <a:accent5>
        <a:srgbClr val="006060"/>
      </a:accent5>
      <a:accent6>
        <a:srgbClr val="660033"/>
      </a:accent6>
      <a:hlink>
        <a:srgbClr val="0072BC"/>
      </a:hlink>
      <a:folHlink>
        <a:srgbClr val="0072BC"/>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7769-C04B-4B5A-AF0B-C841613E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1230</Words>
  <Characters>6672</Characters>
  <Application>Microsoft Office Word</Application>
  <DocSecurity>0</DocSecurity>
  <Lines>278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2025-10-24T00:48:00Z</dcterms:created>
  <dcterms:modified xsi:type="dcterms:W3CDTF">2025-10-24T00:49:00Z</dcterms:modified>
</cp:coreProperties>
</file>