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76330" w14:textId="77777777" w:rsidR="00244585" w:rsidRPr="00244585" w:rsidRDefault="00244585" w:rsidP="003E4F32">
      <w:pPr>
        <w:spacing w:line="264" w:lineRule="auto"/>
        <w:jc w:val="center"/>
        <w:outlineLvl w:val="1"/>
        <w:rPr>
          <w:rFonts w:eastAsiaTheme="majorEastAsia" w:cs="Arial"/>
          <w:b/>
          <w:bCs/>
          <w:iCs/>
          <w:sz w:val="32"/>
          <w:szCs w:val="32"/>
          <w:lang w:eastAsia="en-NZ"/>
        </w:rPr>
      </w:pPr>
      <w:bookmarkStart w:id="0" w:name="_Toc85612110"/>
      <w:r w:rsidRPr="00244585">
        <w:rPr>
          <w:rFonts w:eastAsiaTheme="majorEastAsia" w:cs="Arial"/>
          <w:b/>
          <w:bCs/>
          <w:iCs/>
          <w:sz w:val="32"/>
          <w:szCs w:val="32"/>
          <w:lang w:eastAsia="en-NZ"/>
        </w:rPr>
        <w:t>National Cervical Screening Programme</w:t>
      </w:r>
    </w:p>
    <w:p w14:paraId="582A9875" w14:textId="77777777" w:rsidR="0068267F" w:rsidRDefault="00244585" w:rsidP="003E4F32">
      <w:pPr>
        <w:spacing w:line="264" w:lineRule="auto"/>
        <w:jc w:val="center"/>
        <w:outlineLvl w:val="1"/>
        <w:rPr>
          <w:rFonts w:eastAsiaTheme="majorEastAsia" w:cs="Arial"/>
          <w:b/>
          <w:bCs/>
          <w:iCs/>
          <w:sz w:val="32"/>
          <w:szCs w:val="32"/>
          <w:lang w:eastAsia="en-NZ"/>
        </w:rPr>
      </w:pPr>
      <w:r w:rsidRPr="00244585">
        <w:rPr>
          <w:rFonts w:eastAsiaTheme="majorEastAsia" w:cs="Arial"/>
          <w:b/>
          <w:bCs/>
          <w:iCs/>
          <w:sz w:val="32"/>
          <w:szCs w:val="32"/>
          <w:lang w:eastAsia="en-NZ"/>
        </w:rPr>
        <w:t xml:space="preserve">Progress </w:t>
      </w:r>
      <w:r w:rsidR="0068267F">
        <w:rPr>
          <w:rFonts w:eastAsiaTheme="majorEastAsia" w:cs="Arial"/>
          <w:b/>
          <w:bCs/>
          <w:iCs/>
          <w:sz w:val="32"/>
          <w:szCs w:val="32"/>
          <w:lang w:eastAsia="en-NZ"/>
        </w:rPr>
        <w:t>A</w:t>
      </w:r>
      <w:r w:rsidRPr="00244585">
        <w:rPr>
          <w:rFonts w:eastAsiaTheme="majorEastAsia" w:cs="Arial"/>
          <w:b/>
          <w:bCs/>
          <w:iCs/>
          <w:sz w:val="32"/>
          <w:szCs w:val="32"/>
          <w:lang w:eastAsia="en-NZ"/>
        </w:rPr>
        <w:t xml:space="preserve">gainst the </w:t>
      </w:r>
      <w:r w:rsidR="0068267F">
        <w:rPr>
          <w:rFonts w:eastAsiaTheme="majorEastAsia" w:cs="Arial"/>
          <w:b/>
          <w:bCs/>
          <w:iCs/>
          <w:sz w:val="32"/>
          <w:szCs w:val="32"/>
          <w:lang w:eastAsia="en-NZ"/>
        </w:rPr>
        <w:t xml:space="preserve">2018 </w:t>
      </w:r>
      <w:r w:rsidRPr="00244585">
        <w:rPr>
          <w:rFonts w:eastAsiaTheme="majorEastAsia" w:cs="Arial"/>
          <w:b/>
          <w:bCs/>
          <w:iCs/>
          <w:sz w:val="32"/>
          <w:szCs w:val="32"/>
          <w:lang w:eastAsia="en-NZ"/>
        </w:rPr>
        <w:t xml:space="preserve">Parliamentary Review Committee </w:t>
      </w:r>
      <w:r w:rsidR="0068267F">
        <w:rPr>
          <w:rFonts w:eastAsiaTheme="majorEastAsia" w:cs="Arial"/>
          <w:b/>
          <w:bCs/>
          <w:iCs/>
          <w:sz w:val="32"/>
          <w:szCs w:val="32"/>
          <w:lang w:eastAsia="en-NZ"/>
        </w:rPr>
        <w:t>R</w:t>
      </w:r>
      <w:r w:rsidRPr="00244585">
        <w:rPr>
          <w:rFonts w:eastAsiaTheme="majorEastAsia" w:cs="Arial"/>
          <w:b/>
          <w:bCs/>
          <w:iCs/>
          <w:sz w:val="32"/>
          <w:szCs w:val="32"/>
          <w:lang w:eastAsia="en-NZ"/>
        </w:rPr>
        <w:t xml:space="preserve">ecommendations </w:t>
      </w:r>
    </w:p>
    <w:p w14:paraId="62150B0B" w14:textId="3C9FC3E2" w:rsidR="00244585" w:rsidRPr="00244585" w:rsidRDefault="00244585" w:rsidP="003E4F32">
      <w:pPr>
        <w:spacing w:line="264" w:lineRule="auto"/>
        <w:jc w:val="center"/>
        <w:outlineLvl w:val="1"/>
        <w:rPr>
          <w:rFonts w:eastAsiaTheme="majorEastAsia" w:cs="Arial"/>
          <w:b/>
          <w:bCs/>
          <w:iCs/>
          <w:sz w:val="32"/>
          <w:szCs w:val="32"/>
          <w:lang w:eastAsia="en-NZ"/>
        </w:rPr>
      </w:pPr>
      <w:r w:rsidRPr="00244585">
        <w:rPr>
          <w:rFonts w:eastAsiaTheme="majorEastAsia" w:cs="Arial"/>
          <w:b/>
          <w:bCs/>
          <w:iCs/>
          <w:sz w:val="32"/>
          <w:szCs w:val="32"/>
          <w:lang w:eastAsia="en-NZ"/>
        </w:rPr>
        <w:t xml:space="preserve">June </w:t>
      </w:r>
      <w:r w:rsidR="00044A3D">
        <w:rPr>
          <w:rFonts w:eastAsiaTheme="majorEastAsia" w:cs="Arial"/>
          <w:b/>
          <w:bCs/>
          <w:iCs/>
          <w:sz w:val="32"/>
          <w:szCs w:val="32"/>
          <w:lang w:eastAsia="en-NZ"/>
        </w:rPr>
        <w:t>2022</w:t>
      </w:r>
    </w:p>
    <w:p w14:paraId="5C558055" w14:textId="77777777" w:rsidR="008C2973" w:rsidRDefault="005F46A9" w:rsidP="00244585">
      <w:pPr>
        <w:pStyle w:val="Heading1"/>
      </w:pPr>
      <w:r>
        <w:t>Primary recommendations (6)</w:t>
      </w:r>
      <w:bookmarkEnd w:id="0"/>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1571"/>
        <w:gridCol w:w="322"/>
        <w:gridCol w:w="4446"/>
        <w:gridCol w:w="5168"/>
        <w:gridCol w:w="3107"/>
      </w:tblGrid>
      <w:tr w:rsidR="00583D17" w:rsidRPr="00583D17" w14:paraId="4A2FD93C" w14:textId="77777777" w:rsidTr="001B0EFC">
        <w:trPr>
          <w:cantSplit/>
          <w:tblHeader/>
        </w:trPr>
        <w:tc>
          <w:tcPr>
            <w:tcW w:w="538" w:type="pct"/>
            <w:shd w:val="clear" w:color="auto" w:fill="auto"/>
          </w:tcPr>
          <w:p w14:paraId="4C06D17E" w14:textId="77777777" w:rsidR="00583D17" w:rsidRPr="00583D17" w:rsidRDefault="00583D17" w:rsidP="001B0EFC">
            <w:pPr>
              <w:pStyle w:val="TableText"/>
              <w:ind w:right="57"/>
              <w:rPr>
                <w:rFonts w:cs="Arial"/>
                <w:b/>
                <w:szCs w:val="18"/>
              </w:rPr>
            </w:pPr>
            <w:r w:rsidRPr="00583D17">
              <w:rPr>
                <w:rFonts w:cs="Arial"/>
                <w:b/>
                <w:szCs w:val="18"/>
              </w:rPr>
              <w:t>Category</w:t>
            </w:r>
          </w:p>
        </w:tc>
        <w:tc>
          <w:tcPr>
            <w:tcW w:w="110" w:type="pct"/>
            <w:shd w:val="clear" w:color="auto" w:fill="auto"/>
          </w:tcPr>
          <w:p w14:paraId="3C9FAF5B" w14:textId="77777777" w:rsidR="00583D17" w:rsidRPr="00583D17" w:rsidRDefault="00583D17" w:rsidP="001B0EFC">
            <w:pPr>
              <w:pStyle w:val="TableText"/>
              <w:jc w:val="center"/>
              <w:rPr>
                <w:rFonts w:cs="Arial"/>
                <w:b/>
                <w:szCs w:val="18"/>
              </w:rPr>
            </w:pPr>
            <w:r w:rsidRPr="00583D17">
              <w:rPr>
                <w:rFonts w:cs="Arial"/>
                <w:b/>
                <w:szCs w:val="18"/>
              </w:rPr>
              <w:t>#</w:t>
            </w:r>
          </w:p>
        </w:tc>
        <w:tc>
          <w:tcPr>
            <w:tcW w:w="1521" w:type="pct"/>
            <w:shd w:val="clear" w:color="auto" w:fill="auto"/>
          </w:tcPr>
          <w:p w14:paraId="55171511" w14:textId="77777777" w:rsidR="00583D17" w:rsidRPr="00583D17" w:rsidRDefault="00583D17" w:rsidP="001B0EFC">
            <w:pPr>
              <w:pStyle w:val="TableText"/>
              <w:ind w:left="57" w:right="57"/>
              <w:rPr>
                <w:rFonts w:cs="Arial"/>
                <w:b/>
                <w:szCs w:val="18"/>
              </w:rPr>
            </w:pPr>
            <w:r w:rsidRPr="00583D17">
              <w:rPr>
                <w:rFonts w:cs="Arial"/>
                <w:b/>
                <w:szCs w:val="18"/>
              </w:rPr>
              <w:t>Recommendation</w:t>
            </w:r>
          </w:p>
        </w:tc>
        <w:tc>
          <w:tcPr>
            <w:tcW w:w="1768" w:type="pct"/>
            <w:shd w:val="clear" w:color="auto" w:fill="auto"/>
          </w:tcPr>
          <w:p w14:paraId="7190134D" w14:textId="77777777" w:rsidR="00583D17" w:rsidRPr="00583D17" w:rsidRDefault="00583D17" w:rsidP="001B0EFC">
            <w:pPr>
              <w:pStyle w:val="TableText"/>
              <w:ind w:left="57" w:right="57"/>
              <w:rPr>
                <w:rFonts w:cs="Arial"/>
                <w:b/>
                <w:szCs w:val="18"/>
              </w:rPr>
            </w:pPr>
            <w:r w:rsidRPr="00583D17">
              <w:rPr>
                <w:rFonts w:cs="Arial"/>
                <w:b/>
                <w:szCs w:val="18"/>
              </w:rPr>
              <w:t>Progress</w:t>
            </w:r>
          </w:p>
        </w:tc>
        <w:tc>
          <w:tcPr>
            <w:tcW w:w="1063" w:type="pct"/>
            <w:shd w:val="clear" w:color="auto" w:fill="auto"/>
          </w:tcPr>
          <w:p w14:paraId="3F4160EA" w14:textId="77777777" w:rsidR="00583D17" w:rsidRPr="00583D17" w:rsidRDefault="00583D17" w:rsidP="001B0EFC">
            <w:pPr>
              <w:pStyle w:val="TableText"/>
              <w:ind w:left="57"/>
              <w:rPr>
                <w:rFonts w:cs="Arial"/>
                <w:b/>
                <w:szCs w:val="18"/>
              </w:rPr>
            </w:pPr>
            <w:r w:rsidRPr="00583D17">
              <w:rPr>
                <w:rFonts w:cs="Arial"/>
                <w:b/>
                <w:szCs w:val="18"/>
              </w:rPr>
              <w:t>Status</w:t>
            </w:r>
          </w:p>
        </w:tc>
      </w:tr>
      <w:tr w:rsidR="00583D17" w:rsidRPr="00583D17" w14:paraId="5D9E24F6" w14:textId="77777777" w:rsidTr="001B0EFC">
        <w:trPr>
          <w:cantSplit/>
        </w:trPr>
        <w:tc>
          <w:tcPr>
            <w:tcW w:w="538" w:type="pct"/>
            <w:shd w:val="clear" w:color="auto" w:fill="auto"/>
          </w:tcPr>
          <w:p w14:paraId="28AD9FAD" w14:textId="77777777" w:rsidR="00583D17" w:rsidRPr="00583D17" w:rsidRDefault="00583D17" w:rsidP="001B0EFC">
            <w:pPr>
              <w:pStyle w:val="TableText"/>
              <w:ind w:right="57"/>
              <w:rPr>
                <w:rFonts w:cs="Arial"/>
                <w:szCs w:val="18"/>
              </w:rPr>
            </w:pPr>
            <w:r w:rsidRPr="00583D17">
              <w:rPr>
                <w:rFonts w:cs="Arial"/>
                <w:szCs w:val="18"/>
              </w:rPr>
              <w:t>Primary recommendation</w:t>
            </w:r>
          </w:p>
        </w:tc>
        <w:tc>
          <w:tcPr>
            <w:tcW w:w="110" w:type="pct"/>
            <w:shd w:val="clear" w:color="auto" w:fill="auto"/>
          </w:tcPr>
          <w:p w14:paraId="27D37143" w14:textId="77777777" w:rsidR="00583D17" w:rsidRPr="00583D17" w:rsidRDefault="00583D17" w:rsidP="001B0EFC">
            <w:pPr>
              <w:pStyle w:val="TableText"/>
              <w:jc w:val="center"/>
              <w:rPr>
                <w:rFonts w:cs="Arial"/>
                <w:szCs w:val="18"/>
              </w:rPr>
            </w:pPr>
            <w:r w:rsidRPr="00583D17">
              <w:rPr>
                <w:rFonts w:cs="Arial"/>
                <w:szCs w:val="18"/>
              </w:rPr>
              <w:t>1</w:t>
            </w:r>
          </w:p>
        </w:tc>
        <w:tc>
          <w:tcPr>
            <w:tcW w:w="1521" w:type="pct"/>
            <w:shd w:val="clear" w:color="auto" w:fill="auto"/>
          </w:tcPr>
          <w:p w14:paraId="75ACE0C4" w14:textId="77777777" w:rsidR="00583D17" w:rsidRPr="00583D17" w:rsidRDefault="00583D17" w:rsidP="001B0EFC">
            <w:pPr>
              <w:pStyle w:val="TableText"/>
              <w:ind w:left="57" w:right="57"/>
              <w:rPr>
                <w:rFonts w:cs="Arial"/>
                <w:szCs w:val="18"/>
              </w:rPr>
            </w:pPr>
            <w:r w:rsidRPr="00583D17">
              <w:rPr>
                <w:rFonts w:cs="Arial"/>
                <w:szCs w:val="18"/>
              </w:rPr>
              <w:t>Primary HPV screening, including self-sampling, should be funded, and implemented as a matter of urgency. Delay in the implementation of the primary HPV screening programme will result in a significant number of preventable cervical cancers in New Zealand women and continuing inequities.</w:t>
            </w:r>
          </w:p>
        </w:tc>
        <w:tc>
          <w:tcPr>
            <w:tcW w:w="1768" w:type="pct"/>
            <w:shd w:val="clear" w:color="auto" w:fill="auto"/>
          </w:tcPr>
          <w:p w14:paraId="0437BFB6" w14:textId="77777777" w:rsidR="00583D17" w:rsidRPr="00583D17" w:rsidRDefault="00583D17" w:rsidP="001B0EFC">
            <w:pPr>
              <w:pStyle w:val="TableText"/>
              <w:ind w:left="57" w:right="57"/>
              <w:rPr>
                <w:rFonts w:cs="Arial"/>
                <w:szCs w:val="18"/>
              </w:rPr>
            </w:pPr>
            <w:r w:rsidRPr="00583D17">
              <w:rPr>
                <w:rFonts w:cs="Arial"/>
                <w:szCs w:val="18"/>
              </w:rPr>
              <w:t>Funding to implement HPV primary screening has been approved with an estimated implementation time from July 2023.</w:t>
            </w:r>
          </w:p>
        </w:tc>
        <w:tc>
          <w:tcPr>
            <w:tcW w:w="1063" w:type="pct"/>
            <w:shd w:val="clear" w:color="auto" w:fill="auto"/>
          </w:tcPr>
          <w:p w14:paraId="69C24A02" w14:textId="77777777" w:rsidR="00583D17" w:rsidRPr="00583D17" w:rsidRDefault="00583D17" w:rsidP="001B0EFC">
            <w:pPr>
              <w:pStyle w:val="TableText"/>
              <w:ind w:left="57"/>
              <w:rPr>
                <w:rFonts w:cs="Arial"/>
                <w:szCs w:val="18"/>
              </w:rPr>
            </w:pPr>
            <w:r w:rsidRPr="00583D17">
              <w:rPr>
                <w:rFonts w:cs="Arial"/>
                <w:szCs w:val="18"/>
              </w:rPr>
              <w:t>Closed: HPV primary screening will be implemented from July 2023.</w:t>
            </w:r>
          </w:p>
        </w:tc>
      </w:tr>
      <w:tr w:rsidR="00583D17" w:rsidRPr="00583D17" w14:paraId="718CF25B" w14:textId="77777777" w:rsidTr="001B0EFC">
        <w:trPr>
          <w:cantSplit/>
        </w:trPr>
        <w:tc>
          <w:tcPr>
            <w:tcW w:w="538" w:type="pct"/>
            <w:tcBorders>
              <w:bottom w:val="single" w:sz="4" w:space="0" w:color="auto"/>
            </w:tcBorders>
            <w:shd w:val="clear" w:color="auto" w:fill="auto"/>
          </w:tcPr>
          <w:p w14:paraId="16FCE356" w14:textId="77777777" w:rsidR="00583D17" w:rsidRPr="00583D17" w:rsidRDefault="00583D17" w:rsidP="001B0EFC">
            <w:pPr>
              <w:pStyle w:val="TableText"/>
              <w:ind w:right="57"/>
              <w:rPr>
                <w:rFonts w:cs="Arial"/>
                <w:szCs w:val="18"/>
              </w:rPr>
            </w:pPr>
            <w:r w:rsidRPr="00583D17">
              <w:rPr>
                <w:rFonts w:cs="Arial"/>
                <w:szCs w:val="18"/>
              </w:rPr>
              <w:t>Primary recommendation</w:t>
            </w:r>
          </w:p>
        </w:tc>
        <w:tc>
          <w:tcPr>
            <w:tcW w:w="110" w:type="pct"/>
            <w:tcBorders>
              <w:bottom w:val="single" w:sz="4" w:space="0" w:color="auto"/>
            </w:tcBorders>
            <w:shd w:val="clear" w:color="auto" w:fill="auto"/>
          </w:tcPr>
          <w:p w14:paraId="7EAA1848" w14:textId="77777777" w:rsidR="00583D17" w:rsidRPr="00583D17" w:rsidRDefault="00583D17" w:rsidP="001B0EFC">
            <w:pPr>
              <w:pStyle w:val="TableText"/>
              <w:jc w:val="center"/>
              <w:rPr>
                <w:rFonts w:cs="Arial"/>
                <w:szCs w:val="18"/>
              </w:rPr>
            </w:pPr>
            <w:r w:rsidRPr="00583D17">
              <w:rPr>
                <w:rFonts w:cs="Arial"/>
                <w:szCs w:val="18"/>
              </w:rPr>
              <w:t>2</w:t>
            </w:r>
          </w:p>
        </w:tc>
        <w:tc>
          <w:tcPr>
            <w:tcW w:w="1521" w:type="pct"/>
            <w:tcBorders>
              <w:bottom w:val="single" w:sz="4" w:space="0" w:color="auto"/>
            </w:tcBorders>
            <w:shd w:val="clear" w:color="auto" w:fill="auto"/>
          </w:tcPr>
          <w:p w14:paraId="5E726B47" w14:textId="77777777" w:rsidR="00583D17" w:rsidRPr="00583D17" w:rsidRDefault="00583D17" w:rsidP="001B0EFC">
            <w:pPr>
              <w:pStyle w:val="TableText"/>
              <w:ind w:left="57" w:right="57"/>
              <w:rPr>
                <w:rFonts w:cs="Arial"/>
                <w:szCs w:val="18"/>
              </w:rPr>
            </w:pPr>
            <w:r w:rsidRPr="00583D17">
              <w:rPr>
                <w:rFonts w:cs="Arial"/>
                <w:szCs w:val="18"/>
              </w:rPr>
              <w:t>As the cost of screening was consistently identified as a major barrier, cervical screening should be fully funded for all eligible women, to align cervical screening with all other New Zealand cancer screening programmes. Initially, priority for fully funded screening should be given to priority group women with a strategic objective of including all eligible women.</w:t>
            </w:r>
          </w:p>
        </w:tc>
        <w:tc>
          <w:tcPr>
            <w:tcW w:w="1768" w:type="pct"/>
            <w:tcBorders>
              <w:bottom w:val="single" w:sz="4" w:space="0" w:color="auto"/>
            </w:tcBorders>
            <w:shd w:val="clear" w:color="auto" w:fill="auto"/>
          </w:tcPr>
          <w:p w14:paraId="668A7D00" w14:textId="77777777" w:rsidR="00583D17" w:rsidRPr="00583D17" w:rsidRDefault="00583D17" w:rsidP="001B0EFC">
            <w:pPr>
              <w:pStyle w:val="TableText"/>
              <w:ind w:left="57" w:right="57"/>
              <w:rPr>
                <w:rFonts w:cs="Arial"/>
                <w:szCs w:val="18"/>
              </w:rPr>
            </w:pPr>
            <w:r w:rsidRPr="00583D17">
              <w:rPr>
                <w:rFonts w:cs="Arial"/>
                <w:szCs w:val="18"/>
              </w:rPr>
              <w:t>Consideration has been given to this recommendation as part of implementation of HPV primary screening with the option of self-testing and equity-supporting initiatives.</w:t>
            </w:r>
          </w:p>
          <w:p w14:paraId="69EA4CA7" w14:textId="77777777" w:rsidR="00583D17" w:rsidRPr="00583D17" w:rsidRDefault="00583D17" w:rsidP="001B0EFC">
            <w:pPr>
              <w:pStyle w:val="TableText"/>
              <w:ind w:left="57" w:right="57"/>
              <w:rPr>
                <w:rFonts w:cs="Arial"/>
                <w:szCs w:val="18"/>
              </w:rPr>
            </w:pPr>
            <w:r w:rsidRPr="00583D17">
              <w:rPr>
                <w:rFonts w:cs="Arial"/>
                <w:szCs w:val="18"/>
              </w:rPr>
              <w:t>The estimated implementation time for HPV primary screening is from July 2023.</w:t>
            </w:r>
          </w:p>
        </w:tc>
        <w:tc>
          <w:tcPr>
            <w:tcW w:w="1063" w:type="pct"/>
            <w:tcBorders>
              <w:bottom w:val="single" w:sz="4" w:space="0" w:color="auto"/>
            </w:tcBorders>
            <w:shd w:val="clear" w:color="auto" w:fill="auto"/>
          </w:tcPr>
          <w:p w14:paraId="5C8B92D6" w14:textId="77777777" w:rsidR="00583D17" w:rsidRPr="00583D17" w:rsidRDefault="00583D17" w:rsidP="001B0EFC">
            <w:pPr>
              <w:pStyle w:val="TableText"/>
              <w:ind w:left="57"/>
              <w:rPr>
                <w:rFonts w:cs="Arial"/>
                <w:szCs w:val="18"/>
              </w:rPr>
            </w:pPr>
            <w:r w:rsidRPr="00583D17">
              <w:rPr>
                <w:rFonts w:cs="Arial"/>
                <w:szCs w:val="18"/>
              </w:rPr>
              <w:t>Closed: Additional funding to support free cervical screening has not been received as part of the programme change. Reducing costs for participants will continue to be a focus of HPV primary screening implementation.</w:t>
            </w:r>
          </w:p>
        </w:tc>
      </w:tr>
      <w:tr w:rsidR="00583D17" w:rsidRPr="00583D17" w14:paraId="76ADA485" w14:textId="77777777" w:rsidTr="001B0EFC">
        <w:trPr>
          <w:cantSplit/>
        </w:trPr>
        <w:tc>
          <w:tcPr>
            <w:tcW w:w="538" w:type="pct"/>
            <w:tcBorders>
              <w:bottom w:val="single" w:sz="4" w:space="0" w:color="auto"/>
            </w:tcBorders>
            <w:shd w:val="clear" w:color="auto" w:fill="auto"/>
          </w:tcPr>
          <w:p w14:paraId="473A8C5D" w14:textId="77777777" w:rsidR="00583D17" w:rsidRPr="00583D17" w:rsidRDefault="00583D17" w:rsidP="001B0EFC">
            <w:pPr>
              <w:pStyle w:val="TableText"/>
              <w:ind w:right="57"/>
              <w:rPr>
                <w:rFonts w:cs="Arial"/>
                <w:szCs w:val="18"/>
              </w:rPr>
            </w:pPr>
            <w:r w:rsidRPr="00583D17">
              <w:rPr>
                <w:rFonts w:cs="Arial"/>
                <w:szCs w:val="18"/>
              </w:rPr>
              <w:t>Primary recommendation</w:t>
            </w:r>
          </w:p>
        </w:tc>
        <w:tc>
          <w:tcPr>
            <w:tcW w:w="110" w:type="pct"/>
            <w:tcBorders>
              <w:bottom w:val="single" w:sz="4" w:space="0" w:color="auto"/>
            </w:tcBorders>
            <w:shd w:val="clear" w:color="auto" w:fill="auto"/>
          </w:tcPr>
          <w:p w14:paraId="2C2796A4" w14:textId="77777777" w:rsidR="00583D17" w:rsidRPr="00583D17" w:rsidRDefault="00583D17" w:rsidP="001B0EFC">
            <w:pPr>
              <w:pStyle w:val="TableText"/>
              <w:jc w:val="center"/>
              <w:rPr>
                <w:rFonts w:cs="Arial"/>
                <w:szCs w:val="18"/>
              </w:rPr>
            </w:pPr>
            <w:r w:rsidRPr="00583D17">
              <w:rPr>
                <w:rFonts w:cs="Arial"/>
                <w:szCs w:val="18"/>
              </w:rPr>
              <w:t>3</w:t>
            </w:r>
          </w:p>
        </w:tc>
        <w:tc>
          <w:tcPr>
            <w:tcW w:w="1521" w:type="pct"/>
            <w:tcBorders>
              <w:bottom w:val="single" w:sz="4" w:space="0" w:color="auto"/>
            </w:tcBorders>
            <w:shd w:val="clear" w:color="auto" w:fill="auto"/>
          </w:tcPr>
          <w:p w14:paraId="05CAD6AA" w14:textId="77777777" w:rsidR="00583D17" w:rsidRPr="00583D17" w:rsidRDefault="00583D17" w:rsidP="001B0EFC">
            <w:pPr>
              <w:pStyle w:val="TableText"/>
              <w:ind w:left="57" w:right="57"/>
              <w:rPr>
                <w:rFonts w:cs="Arial"/>
                <w:szCs w:val="18"/>
              </w:rPr>
            </w:pPr>
            <w:r w:rsidRPr="00583D17">
              <w:rPr>
                <w:rFonts w:cs="Arial"/>
                <w:szCs w:val="18"/>
              </w:rPr>
              <w:t>The NCSP in its oversight and stewardship capacity, should lead district health boards (DHBs) and primary health organisations (PHOs) in monitoring, auditing and reviewing local delivery of reminder, recall and referral processes against the NCSP policy, standards and guidelines and develop a toolkit of support for providers to ensure consistent, quality practices.</w:t>
            </w:r>
          </w:p>
        </w:tc>
        <w:tc>
          <w:tcPr>
            <w:tcW w:w="1768" w:type="pct"/>
            <w:tcBorders>
              <w:bottom w:val="single" w:sz="4" w:space="0" w:color="auto"/>
            </w:tcBorders>
            <w:shd w:val="clear" w:color="auto" w:fill="auto"/>
          </w:tcPr>
          <w:p w14:paraId="5199FD5E" w14:textId="77777777" w:rsidR="00583D17" w:rsidRPr="00583D17" w:rsidRDefault="00583D17" w:rsidP="001B0EFC">
            <w:pPr>
              <w:pStyle w:val="TableText"/>
              <w:ind w:left="57" w:right="57"/>
              <w:rPr>
                <w:rFonts w:cs="Arial"/>
                <w:szCs w:val="18"/>
              </w:rPr>
            </w:pPr>
            <w:r w:rsidRPr="00583D17">
              <w:rPr>
                <w:rFonts w:cs="Arial"/>
                <w:szCs w:val="18"/>
              </w:rPr>
              <w:t>This is an ongoing process for the NSU. The NSU continues to undertake regular monitoring reporting that is published on the website. A new audit programme has commenced across the NSU and includes district colposcopy audits. The laboratory NCSP audit process has been reviewed and will re</w:t>
            </w:r>
            <w:r w:rsidRPr="00583D17">
              <w:rPr>
                <w:rFonts w:cs="Arial"/>
                <w:szCs w:val="18"/>
              </w:rPr>
              <w:noBreakHyphen/>
              <w:t>commence in 2021. The NSU is reviewing sector tool kits such as PHO coverage reporting and web-based reporting that will support quality improvement initiatives.</w:t>
            </w:r>
          </w:p>
        </w:tc>
        <w:tc>
          <w:tcPr>
            <w:tcW w:w="1063" w:type="pct"/>
            <w:tcBorders>
              <w:bottom w:val="single" w:sz="4" w:space="0" w:color="auto"/>
            </w:tcBorders>
            <w:shd w:val="clear" w:color="auto" w:fill="auto"/>
          </w:tcPr>
          <w:p w14:paraId="1B99CF2D" w14:textId="77777777" w:rsidR="00583D17" w:rsidRPr="00583D17" w:rsidRDefault="00583D17" w:rsidP="001B0EFC">
            <w:pPr>
              <w:pStyle w:val="TableText"/>
              <w:ind w:left="57"/>
              <w:rPr>
                <w:rFonts w:cs="Arial"/>
                <w:szCs w:val="18"/>
              </w:rPr>
            </w:pPr>
            <w:r w:rsidRPr="00583D17">
              <w:rPr>
                <w:rFonts w:cs="Arial"/>
                <w:szCs w:val="18"/>
              </w:rPr>
              <w:t xml:space="preserve">Closed: Audit processes have been established for contracted providers. Monitoring and reporting capability to support programme and sector quality assurance activities and clinical risk management has been established with the HPV primary screening implementation. </w:t>
            </w:r>
          </w:p>
        </w:tc>
      </w:tr>
      <w:tr w:rsidR="00583D17" w:rsidRPr="00583D17" w14:paraId="428D9ACA" w14:textId="77777777" w:rsidTr="001B0EFC">
        <w:trPr>
          <w:cantSplit/>
        </w:trPr>
        <w:tc>
          <w:tcPr>
            <w:tcW w:w="538" w:type="pct"/>
            <w:tcBorders>
              <w:top w:val="single" w:sz="4" w:space="0" w:color="auto"/>
            </w:tcBorders>
            <w:shd w:val="clear" w:color="auto" w:fill="auto"/>
          </w:tcPr>
          <w:p w14:paraId="7E8D84D7" w14:textId="77777777" w:rsidR="00583D17" w:rsidRPr="00583D17" w:rsidRDefault="00583D17" w:rsidP="001B0EFC">
            <w:pPr>
              <w:pStyle w:val="TableText"/>
              <w:ind w:right="57"/>
              <w:rPr>
                <w:rFonts w:cs="Arial"/>
                <w:szCs w:val="18"/>
              </w:rPr>
            </w:pPr>
            <w:r w:rsidRPr="00583D17">
              <w:rPr>
                <w:rFonts w:cs="Arial"/>
                <w:szCs w:val="18"/>
              </w:rPr>
              <w:lastRenderedPageBreak/>
              <w:t>Primary recommendation</w:t>
            </w:r>
          </w:p>
        </w:tc>
        <w:tc>
          <w:tcPr>
            <w:tcW w:w="110" w:type="pct"/>
            <w:tcBorders>
              <w:top w:val="single" w:sz="4" w:space="0" w:color="auto"/>
            </w:tcBorders>
            <w:shd w:val="clear" w:color="auto" w:fill="auto"/>
          </w:tcPr>
          <w:p w14:paraId="162E1622" w14:textId="77777777" w:rsidR="00583D17" w:rsidRPr="00583D17" w:rsidRDefault="00583D17" w:rsidP="001B0EFC">
            <w:pPr>
              <w:pStyle w:val="TableText"/>
              <w:jc w:val="center"/>
              <w:rPr>
                <w:rFonts w:cs="Arial"/>
                <w:szCs w:val="18"/>
              </w:rPr>
            </w:pPr>
            <w:r w:rsidRPr="00583D17">
              <w:rPr>
                <w:rFonts w:cs="Arial"/>
                <w:szCs w:val="18"/>
              </w:rPr>
              <w:t>4</w:t>
            </w:r>
          </w:p>
        </w:tc>
        <w:tc>
          <w:tcPr>
            <w:tcW w:w="1521" w:type="pct"/>
            <w:tcBorders>
              <w:top w:val="single" w:sz="4" w:space="0" w:color="auto"/>
            </w:tcBorders>
            <w:shd w:val="clear" w:color="auto" w:fill="auto"/>
          </w:tcPr>
          <w:p w14:paraId="0113CABB" w14:textId="77777777" w:rsidR="00583D17" w:rsidRPr="00583D17" w:rsidRDefault="00583D17" w:rsidP="001B0EFC">
            <w:pPr>
              <w:pStyle w:val="TableText"/>
              <w:ind w:left="57" w:right="57"/>
              <w:rPr>
                <w:rFonts w:cs="Arial"/>
                <w:szCs w:val="18"/>
              </w:rPr>
            </w:pPr>
            <w:r w:rsidRPr="00583D17">
              <w:rPr>
                <w:rFonts w:cs="Arial"/>
                <w:szCs w:val="18"/>
              </w:rPr>
              <w:t>A continuous prospective audit should be undertaken of all cervical cancer diagnoses in New Zealand, including a review of cervical screening-related tests and investigations (HPV, cytology, histopathology, and colposcopy) with audit findings translated into quality improvement initiatives.</w:t>
            </w:r>
          </w:p>
        </w:tc>
        <w:tc>
          <w:tcPr>
            <w:tcW w:w="1768" w:type="pct"/>
            <w:tcBorders>
              <w:top w:val="single" w:sz="4" w:space="0" w:color="auto"/>
            </w:tcBorders>
            <w:shd w:val="clear" w:color="auto" w:fill="auto"/>
          </w:tcPr>
          <w:p w14:paraId="6F551A22" w14:textId="77777777" w:rsidR="00583D17" w:rsidRPr="00583D17" w:rsidRDefault="00583D17" w:rsidP="001B0EFC">
            <w:pPr>
              <w:pStyle w:val="TableText"/>
              <w:ind w:left="57" w:right="57"/>
              <w:rPr>
                <w:rFonts w:cs="Arial"/>
                <w:szCs w:val="18"/>
              </w:rPr>
            </w:pPr>
            <w:r w:rsidRPr="00583D17">
              <w:rPr>
                <w:rFonts w:cs="Arial"/>
                <w:szCs w:val="18"/>
              </w:rPr>
              <w:t xml:space="preserve">The NCSP is undertaking a further retrospective audit of the 2018–2020 period. The NSU has set up a project team and has completed the business case for a prospective audit of all invasive cervical cancers. Funding for one year has been approved. The audit will examine each step of the clinical pathway from screening to treatment referral. </w:t>
            </w:r>
          </w:p>
        </w:tc>
        <w:tc>
          <w:tcPr>
            <w:tcW w:w="1063" w:type="pct"/>
            <w:tcBorders>
              <w:top w:val="single" w:sz="4" w:space="0" w:color="auto"/>
            </w:tcBorders>
            <w:shd w:val="clear" w:color="auto" w:fill="auto"/>
          </w:tcPr>
          <w:p w14:paraId="2ED87F04" w14:textId="77777777" w:rsidR="00583D17" w:rsidRPr="00583D17" w:rsidRDefault="00583D17" w:rsidP="001B0EFC">
            <w:pPr>
              <w:pStyle w:val="TableText"/>
              <w:ind w:left="57"/>
              <w:rPr>
                <w:rFonts w:cs="Arial"/>
                <w:szCs w:val="18"/>
              </w:rPr>
            </w:pPr>
            <w:r w:rsidRPr="00583D17">
              <w:rPr>
                <w:rFonts w:cs="Arial"/>
                <w:szCs w:val="18"/>
              </w:rPr>
              <w:t xml:space="preserve">In progress: A project team is in place and working on developing policies and procedures for undertaking this audit. Project work includes engagement with stakeholders and developing contracts for work sourced outside </w:t>
            </w:r>
            <w:proofErr w:type="spellStart"/>
            <w:r w:rsidRPr="00583D17">
              <w:rPr>
                <w:rFonts w:cs="Arial"/>
                <w:szCs w:val="18"/>
              </w:rPr>
              <w:t>Te</w:t>
            </w:r>
            <w:proofErr w:type="spellEnd"/>
            <w:r w:rsidRPr="00583D17">
              <w:rPr>
                <w:rFonts w:cs="Arial"/>
                <w:szCs w:val="18"/>
              </w:rPr>
              <w:t> </w:t>
            </w:r>
            <w:proofErr w:type="spellStart"/>
            <w:r w:rsidRPr="00583D17">
              <w:rPr>
                <w:rFonts w:cs="Arial"/>
                <w:szCs w:val="18"/>
              </w:rPr>
              <w:t>Whatu</w:t>
            </w:r>
            <w:proofErr w:type="spellEnd"/>
            <w:r w:rsidRPr="00583D17">
              <w:rPr>
                <w:rFonts w:cs="Arial"/>
                <w:szCs w:val="18"/>
              </w:rPr>
              <w:t xml:space="preserve"> Ora.</w:t>
            </w:r>
          </w:p>
        </w:tc>
      </w:tr>
      <w:tr w:rsidR="00583D17" w:rsidRPr="00583D17" w14:paraId="4120EDB0" w14:textId="77777777" w:rsidTr="001B0EFC">
        <w:trPr>
          <w:cantSplit/>
        </w:trPr>
        <w:tc>
          <w:tcPr>
            <w:tcW w:w="538" w:type="pct"/>
            <w:tcBorders>
              <w:bottom w:val="single" w:sz="4" w:space="0" w:color="auto"/>
            </w:tcBorders>
            <w:shd w:val="clear" w:color="auto" w:fill="auto"/>
          </w:tcPr>
          <w:p w14:paraId="4D780528" w14:textId="77777777" w:rsidR="00583D17" w:rsidRPr="00583D17" w:rsidRDefault="00583D17" w:rsidP="001B0EFC">
            <w:pPr>
              <w:pStyle w:val="TableText"/>
              <w:ind w:right="57"/>
              <w:rPr>
                <w:rFonts w:cs="Arial"/>
                <w:szCs w:val="18"/>
              </w:rPr>
            </w:pPr>
            <w:r w:rsidRPr="00583D17">
              <w:rPr>
                <w:rFonts w:cs="Arial"/>
                <w:szCs w:val="18"/>
              </w:rPr>
              <w:t xml:space="preserve">Primary recommendation </w:t>
            </w:r>
          </w:p>
        </w:tc>
        <w:tc>
          <w:tcPr>
            <w:tcW w:w="110" w:type="pct"/>
            <w:tcBorders>
              <w:bottom w:val="single" w:sz="4" w:space="0" w:color="auto"/>
            </w:tcBorders>
            <w:shd w:val="clear" w:color="auto" w:fill="auto"/>
          </w:tcPr>
          <w:p w14:paraId="106ABE34" w14:textId="77777777" w:rsidR="00583D17" w:rsidRPr="00583D17" w:rsidRDefault="00583D17" w:rsidP="001B0EFC">
            <w:pPr>
              <w:pStyle w:val="TableText"/>
              <w:jc w:val="center"/>
              <w:rPr>
                <w:rFonts w:cs="Arial"/>
                <w:szCs w:val="18"/>
              </w:rPr>
            </w:pPr>
            <w:r w:rsidRPr="00583D17">
              <w:rPr>
                <w:rFonts w:cs="Arial"/>
                <w:szCs w:val="18"/>
              </w:rPr>
              <w:t>5</w:t>
            </w:r>
          </w:p>
        </w:tc>
        <w:tc>
          <w:tcPr>
            <w:tcW w:w="1521" w:type="pct"/>
            <w:tcBorders>
              <w:bottom w:val="single" w:sz="4" w:space="0" w:color="auto"/>
            </w:tcBorders>
            <w:shd w:val="clear" w:color="auto" w:fill="auto"/>
          </w:tcPr>
          <w:p w14:paraId="6A0F8F3B" w14:textId="77777777" w:rsidR="00583D17" w:rsidRPr="00583D17" w:rsidRDefault="00583D17" w:rsidP="001B0EFC">
            <w:pPr>
              <w:pStyle w:val="TableText"/>
              <w:ind w:left="57" w:right="57"/>
              <w:rPr>
                <w:rFonts w:cs="Arial"/>
                <w:szCs w:val="18"/>
              </w:rPr>
            </w:pPr>
            <w:r w:rsidRPr="00583D17">
              <w:rPr>
                <w:rFonts w:cs="Arial"/>
                <w:szCs w:val="18"/>
              </w:rPr>
              <w:t>The National Screening Unit and Cervical Screening Team is adequately and specifically resourced (human and financial) to enable an effective and efficient transition to the new HPV screening programme, especially as the magnitude of the multiple and complex changes required should not be underestimated.</w:t>
            </w:r>
          </w:p>
        </w:tc>
        <w:tc>
          <w:tcPr>
            <w:tcW w:w="1768" w:type="pct"/>
            <w:tcBorders>
              <w:bottom w:val="single" w:sz="4" w:space="0" w:color="auto"/>
            </w:tcBorders>
            <w:shd w:val="clear" w:color="auto" w:fill="auto"/>
          </w:tcPr>
          <w:p w14:paraId="71F6A911" w14:textId="77777777" w:rsidR="00583D17" w:rsidRPr="00583D17" w:rsidRDefault="00583D17" w:rsidP="001B0EFC">
            <w:pPr>
              <w:pStyle w:val="TableText"/>
              <w:ind w:left="57" w:right="57"/>
              <w:rPr>
                <w:rFonts w:cs="Arial"/>
                <w:szCs w:val="18"/>
              </w:rPr>
            </w:pPr>
            <w:r w:rsidRPr="00583D17">
              <w:rPr>
                <w:rFonts w:cs="Arial"/>
                <w:szCs w:val="18"/>
              </w:rPr>
              <w:t>Resource requirements are included in the planning for implementing HPV primary screening.</w:t>
            </w:r>
          </w:p>
          <w:p w14:paraId="1EC0DAD4" w14:textId="77777777" w:rsidR="00583D17" w:rsidRPr="00583D17" w:rsidRDefault="00583D17" w:rsidP="001B0EFC">
            <w:pPr>
              <w:pStyle w:val="TableText"/>
              <w:ind w:left="57" w:right="57"/>
              <w:rPr>
                <w:rFonts w:cs="Arial"/>
                <w:szCs w:val="18"/>
              </w:rPr>
            </w:pPr>
          </w:p>
        </w:tc>
        <w:tc>
          <w:tcPr>
            <w:tcW w:w="1063" w:type="pct"/>
            <w:tcBorders>
              <w:bottom w:val="single" w:sz="4" w:space="0" w:color="auto"/>
            </w:tcBorders>
            <w:shd w:val="clear" w:color="auto" w:fill="auto"/>
          </w:tcPr>
          <w:p w14:paraId="6797AEFC" w14:textId="77777777" w:rsidR="00583D17" w:rsidRPr="00583D17" w:rsidRDefault="00583D17" w:rsidP="001B0EFC">
            <w:pPr>
              <w:pStyle w:val="TableText"/>
              <w:ind w:left="57"/>
              <w:rPr>
                <w:rFonts w:cs="Arial"/>
                <w:szCs w:val="18"/>
              </w:rPr>
            </w:pPr>
            <w:r w:rsidRPr="00583D17">
              <w:rPr>
                <w:rFonts w:cs="Arial"/>
                <w:szCs w:val="18"/>
              </w:rPr>
              <w:t>Closed: resourcing for HPV primary screening is funded.</w:t>
            </w:r>
          </w:p>
        </w:tc>
      </w:tr>
      <w:tr w:rsidR="00583D17" w:rsidRPr="00583D17" w14:paraId="49DE0968" w14:textId="77777777" w:rsidTr="001B0EFC">
        <w:trPr>
          <w:cantSplit/>
        </w:trPr>
        <w:tc>
          <w:tcPr>
            <w:tcW w:w="538" w:type="pct"/>
            <w:tcBorders>
              <w:bottom w:val="single" w:sz="4" w:space="0" w:color="auto"/>
            </w:tcBorders>
            <w:shd w:val="clear" w:color="auto" w:fill="auto"/>
          </w:tcPr>
          <w:p w14:paraId="274B413F" w14:textId="77777777" w:rsidR="00583D17" w:rsidRPr="00583D17" w:rsidRDefault="00583D17" w:rsidP="001B0EFC">
            <w:pPr>
              <w:pStyle w:val="TableText"/>
              <w:ind w:right="57"/>
              <w:rPr>
                <w:rFonts w:cs="Arial"/>
                <w:szCs w:val="18"/>
              </w:rPr>
            </w:pPr>
            <w:r w:rsidRPr="00583D17">
              <w:rPr>
                <w:rFonts w:cs="Arial"/>
                <w:szCs w:val="18"/>
              </w:rPr>
              <w:t>Primary recommendation</w:t>
            </w:r>
          </w:p>
        </w:tc>
        <w:tc>
          <w:tcPr>
            <w:tcW w:w="110" w:type="pct"/>
            <w:tcBorders>
              <w:bottom w:val="single" w:sz="4" w:space="0" w:color="auto"/>
            </w:tcBorders>
            <w:shd w:val="clear" w:color="auto" w:fill="auto"/>
          </w:tcPr>
          <w:p w14:paraId="0D12CC3B" w14:textId="77777777" w:rsidR="00583D17" w:rsidRPr="00583D17" w:rsidRDefault="00583D17" w:rsidP="001B0EFC">
            <w:pPr>
              <w:pStyle w:val="TableText"/>
              <w:jc w:val="center"/>
              <w:rPr>
                <w:rFonts w:cs="Arial"/>
                <w:szCs w:val="18"/>
              </w:rPr>
            </w:pPr>
            <w:r w:rsidRPr="00583D17">
              <w:rPr>
                <w:rFonts w:cs="Arial"/>
                <w:szCs w:val="18"/>
              </w:rPr>
              <w:t>6</w:t>
            </w:r>
          </w:p>
        </w:tc>
        <w:tc>
          <w:tcPr>
            <w:tcW w:w="1521" w:type="pct"/>
            <w:tcBorders>
              <w:bottom w:val="single" w:sz="4" w:space="0" w:color="auto"/>
            </w:tcBorders>
            <w:shd w:val="clear" w:color="auto" w:fill="auto"/>
          </w:tcPr>
          <w:p w14:paraId="2531ABB5" w14:textId="77777777" w:rsidR="00583D17" w:rsidRPr="00583D17" w:rsidRDefault="00583D17" w:rsidP="001B0EFC">
            <w:pPr>
              <w:pStyle w:val="TableText"/>
              <w:ind w:left="57" w:right="57"/>
              <w:rPr>
                <w:rFonts w:cs="Arial"/>
                <w:szCs w:val="18"/>
              </w:rPr>
            </w:pPr>
            <w:r w:rsidRPr="00583D17">
              <w:rPr>
                <w:rFonts w:cs="Arial"/>
                <w:szCs w:val="18"/>
              </w:rPr>
              <w:t>A comprehensive, culturally appropriate communication and education/training strategy should be developed as a key project of the primary HPV screening implementation strategy: for the public and programme providers.</w:t>
            </w:r>
          </w:p>
        </w:tc>
        <w:tc>
          <w:tcPr>
            <w:tcW w:w="1768" w:type="pct"/>
            <w:tcBorders>
              <w:bottom w:val="single" w:sz="4" w:space="0" w:color="auto"/>
            </w:tcBorders>
            <w:shd w:val="clear" w:color="auto" w:fill="auto"/>
          </w:tcPr>
          <w:p w14:paraId="7D950209" w14:textId="77777777" w:rsidR="00583D17" w:rsidRPr="00583D17" w:rsidRDefault="00583D17" w:rsidP="001B0EFC">
            <w:pPr>
              <w:pStyle w:val="TableText"/>
              <w:ind w:left="57" w:right="57"/>
              <w:rPr>
                <w:rFonts w:cs="Arial"/>
                <w:szCs w:val="18"/>
              </w:rPr>
            </w:pPr>
            <w:r w:rsidRPr="00583D17">
              <w:rPr>
                <w:rFonts w:cs="Arial"/>
                <w:szCs w:val="18"/>
              </w:rPr>
              <w:t>Communication and training requirements are included in the planning for implementing HPV primary screening.</w:t>
            </w:r>
          </w:p>
          <w:p w14:paraId="587C17D1" w14:textId="77777777" w:rsidR="00583D17" w:rsidRPr="00583D17" w:rsidRDefault="00583D17" w:rsidP="001B0EFC">
            <w:pPr>
              <w:pStyle w:val="TableText"/>
              <w:ind w:left="57" w:right="57"/>
              <w:rPr>
                <w:rFonts w:cs="Arial"/>
                <w:szCs w:val="18"/>
              </w:rPr>
            </w:pPr>
          </w:p>
        </w:tc>
        <w:tc>
          <w:tcPr>
            <w:tcW w:w="1063" w:type="pct"/>
            <w:tcBorders>
              <w:bottom w:val="single" w:sz="4" w:space="0" w:color="auto"/>
            </w:tcBorders>
            <w:shd w:val="clear" w:color="auto" w:fill="auto"/>
          </w:tcPr>
          <w:p w14:paraId="2BAA9334" w14:textId="77777777" w:rsidR="00583D17" w:rsidRPr="00583D17" w:rsidRDefault="00583D17" w:rsidP="001B0EFC">
            <w:pPr>
              <w:pStyle w:val="TableText"/>
              <w:ind w:left="57"/>
              <w:rPr>
                <w:rFonts w:cs="Arial"/>
                <w:szCs w:val="18"/>
              </w:rPr>
            </w:pPr>
            <w:r w:rsidRPr="00583D17">
              <w:rPr>
                <w:rFonts w:cs="Arial"/>
                <w:szCs w:val="18"/>
              </w:rPr>
              <w:t>Closed: this is a core workstream of HPV primary screening implementation.</w:t>
            </w:r>
          </w:p>
        </w:tc>
      </w:tr>
    </w:tbl>
    <w:p w14:paraId="617C443B" w14:textId="77777777" w:rsidR="005F46A9" w:rsidRDefault="005F46A9" w:rsidP="005F46A9"/>
    <w:p w14:paraId="775279D6" w14:textId="305F7EF3" w:rsidR="005F46A9" w:rsidRDefault="005F46A9" w:rsidP="00244585">
      <w:pPr>
        <w:pStyle w:val="Heading1"/>
        <w:keepNext w:val="0"/>
        <w:pageBreakBefore/>
        <w:spacing w:before="0"/>
      </w:pPr>
      <w:bookmarkStart w:id="1" w:name="_Toc85612111"/>
      <w:r w:rsidRPr="004F599D">
        <w:t xml:space="preserve">Open recommendations </w:t>
      </w:r>
      <w:r>
        <w:t>(</w:t>
      </w:r>
      <w:r w:rsidR="00417416">
        <w:t>4</w:t>
      </w:r>
      <w:r>
        <w:t>)</w:t>
      </w:r>
      <w:bookmarkEnd w:id="1"/>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1570"/>
        <w:gridCol w:w="426"/>
        <w:gridCol w:w="3854"/>
        <w:gridCol w:w="7864"/>
        <w:gridCol w:w="900"/>
      </w:tblGrid>
      <w:tr w:rsidR="00417416" w:rsidRPr="00417416" w14:paraId="35905038" w14:textId="77777777" w:rsidTr="001B0EFC">
        <w:trPr>
          <w:cantSplit/>
          <w:tblHeader/>
        </w:trPr>
        <w:tc>
          <w:tcPr>
            <w:tcW w:w="538" w:type="pct"/>
            <w:shd w:val="clear" w:color="auto" w:fill="auto"/>
          </w:tcPr>
          <w:p w14:paraId="1D33D463" w14:textId="77777777" w:rsidR="00417416" w:rsidRPr="00417416" w:rsidRDefault="00417416" w:rsidP="001B0EFC">
            <w:pPr>
              <w:pStyle w:val="TableText"/>
              <w:ind w:right="57"/>
              <w:rPr>
                <w:rFonts w:cs="Arial"/>
                <w:b/>
                <w:szCs w:val="18"/>
              </w:rPr>
            </w:pPr>
            <w:r w:rsidRPr="00417416">
              <w:rPr>
                <w:rFonts w:cs="Arial"/>
                <w:b/>
                <w:szCs w:val="18"/>
              </w:rPr>
              <w:t>Category</w:t>
            </w:r>
          </w:p>
        </w:tc>
        <w:tc>
          <w:tcPr>
            <w:tcW w:w="146" w:type="pct"/>
            <w:shd w:val="clear" w:color="auto" w:fill="auto"/>
          </w:tcPr>
          <w:p w14:paraId="68679F59" w14:textId="77777777" w:rsidR="00417416" w:rsidRPr="00417416" w:rsidRDefault="00417416" w:rsidP="001B0EFC">
            <w:pPr>
              <w:pStyle w:val="TableText"/>
              <w:ind w:left="57" w:right="57"/>
              <w:jc w:val="center"/>
              <w:rPr>
                <w:rFonts w:cs="Arial"/>
                <w:b/>
                <w:szCs w:val="18"/>
              </w:rPr>
            </w:pPr>
            <w:r w:rsidRPr="00417416">
              <w:rPr>
                <w:rFonts w:cs="Arial"/>
                <w:b/>
                <w:szCs w:val="18"/>
              </w:rPr>
              <w:t>#</w:t>
            </w:r>
          </w:p>
        </w:tc>
        <w:tc>
          <w:tcPr>
            <w:tcW w:w="1319" w:type="pct"/>
            <w:shd w:val="clear" w:color="auto" w:fill="auto"/>
          </w:tcPr>
          <w:p w14:paraId="6A58FAD0" w14:textId="77777777" w:rsidR="00417416" w:rsidRPr="00417416" w:rsidRDefault="00417416" w:rsidP="001B0EFC">
            <w:pPr>
              <w:pStyle w:val="TableText"/>
              <w:ind w:left="57" w:right="57"/>
              <w:rPr>
                <w:rFonts w:cs="Arial"/>
                <w:b/>
                <w:szCs w:val="18"/>
              </w:rPr>
            </w:pPr>
            <w:r w:rsidRPr="00417416">
              <w:rPr>
                <w:rFonts w:cs="Arial"/>
                <w:b/>
                <w:szCs w:val="18"/>
              </w:rPr>
              <w:t>Recommendation</w:t>
            </w:r>
          </w:p>
        </w:tc>
        <w:tc>
          <w:tcPr>
            <w:tcW w:w="2691" w:type="pct"/>
            <w:shd w:val="clear" w:color="auto" w:fill="auto"/>
          </w:tcPr>
          <w:p w14:paraId="729AE376" w14:textId="77777777" w:rsidR="00417416" w:rsidRPr="00417416" w:rsidRDefault="00417416" w:rsidP="001B0EFC">
            <w:pPr>
              <w:pStyle w:val="TableText"/>
              <w:ind w:left="57" w:right="57"/>
              <w:rPr>
                <w:rFonts w:cs="Arial"/>
                <w:b/>
                <w:szCs w:val="18"/>
              </w:rPr>
            </w:pPr>
            <w:r w:rsidRPr="00417416">
              <w:rPr>
                <w:rFonts w:cs="Arial"/>
                <w:b/>
                <w:szCs w:val="18"/>
              </w:rPr>
              <w:t>Progress</w:t>
            </w:r>
          </w:p>
        </w:tc>
        <w:tc>
          <w:tcPr>
            <w:tcW w:w="307" w:type="pct"/>
            <w:shd w:val="clear" w:color="auto" w:fill="auto"/>
          </w:tcPr>
          <w:p w14:paraId="3B152745" w14:textId="77777777" w:rsidR="00417416" w:rsidRPr="00417416" w:rsidRDefault="00417416" w:rsidP="001B0EFC">
            <w:pPr>
              <w:pStyle w:val="TableText"/>
              <w:ind w:left="57"/>
              <w:rPr>
                <w:rFonts w:cs="Arial"/>
                <w:b/>
                <w:szCs w:val="18"/>
              </w:rPr>
            </w:pPr>
            <w:r w:rsidRPr="00417416">
              <w:rPr>
                <w:rFonts w:cs="Arial"/>
                <w:b/>
                <w:szCs w:val="18"/>
              </w:rPr>
              <w:t>Status</w:t>
            </w:r>
          </w:p>
        </w:tc>
      </w:tr>
      <w:tr w:rsidR="00417416" w:rsidRPr="00417416" w14:paraId="36491AF3" w14:textId="77777777" w:rsidTr="001B0EFC">
        <w:trPr>
          <w:cantSplit/>
        </w:trPr>
        <w:tc>
          <w:tcPr>
            <w:tcW w:w="538" w:type="pct"/>
            <w:shd w:val="clear" w:color="auto" w:fill="auto"/>
          </w:tcPr>
          <w:p w14:paraId="7C623920" w14:textId="77777777" w:rsidR="00417416" w:rsidRPr="00417416" w:rsidRDefault="00417416" w:rsidP="001B0EFC">
            <w:pPr>
              <w:pStyle w:val="TableText"/>
              <w:ind w:right="57"/>
              <w:rPr>
                <w:rFonts w:cs="Arial"/>
                <w:szCs w:val="18"/>
              </w:rPr>
            </w:pPr>
            <w:r w:rsidRPr="00417416">
              <w:rPr>
                <w:rFonts w:cs="Arial"/>
                <w:szCs w:val="18"/>
              </w:rPr>
              <w:t>Equity</w:t>
            </w:r>
          </w:p>
        </w:tc>
        <w:tc>
          <w:tcPr>
            <w:tcW w:w="146" w:type="pct"/>
            <w:shd w:val="clear" w:color="auto" w:fill="auto"/>
          </w:tcPr>
          <w:p w14:paraId="5F367716" w14:textId="77777777" w:rsidR="00417416" w:rsidRPr="00417416" w:rsidRDefault="00417416" w:rsidP="001B0EFC">
            <w:pPr>
              <w:pStyle w:val="TableText"/>
              <w:ind w:left="57" w:right="57"/>
              <w:jc w:val="center"/>
              <w:rPr>
                <w:rFonts w:cs="Arial"/>
                <w:szCs w:val="18"/>
              </w:rPr>
            </w:pPr>
            <w:r w:rsidRPr="00417416">
              <w:rPr>
                <w:rFonts w:cs="Arial"/>
                <w:szCs w:val="18"/>
              </w:rPr>
              <w:t>9</w:t>
            </w:r>
          </w:p>
        </w:tc>
        <w:tc>
          <w:tcPr>
            <w:tcW w:w="1319" w:type="pct"/>
            <w:shd w:val="clear" w:color="auto" w:fill="auto"/>
          </w:tcPr>
          <w:p w14:paraId="47836793" w14:textId="77777777" w:rsidR="00417416" w:rsidRPr="00417416" w:rsidRDefault="00417416" w:rsidP="001B0EFC">
            <w:pPr>
              <w:pStyle w:val="TableText"/>
              <w:ind w:left="57" w:right="57"/>
              <w:rPr>
                <w:rFonts w:cs="Arial"/>
                <w:szCs w:val="18"/>
              </w:rPr>
            </w:pPr>
            <w:r w:rsidRPr="00417416">
              <w:rPr>
                <w:rFonts w:cs="Arial"/>
                <w:szCs w:val="18"/>
              </w:rPr>
              <w:t>Strengthening of Support to Screening Services to ensure availability across all DHBs and their effective use as standard best practice by all general practices and colposcopy services. The PRC supports the planned 2019 Support to Screening Services evaluation.</w:t>
            </w:r>
          </w:p>
        </w:tc>
        <w:tc>
          <w:tcPr>
            <w:tcW w:w="2691" w:type="pct"/>
            <w:shd w:val="clear" w:color="auto" w:fill="auto"/>
          </w:tcPr>
          <w:p w14:paraId="1729516A" w14:textId="77777777" w:rsidR="00417416" w:rsidRPr="00417416" w:rsidRDefault="00417416" w:rsidP="001B0EFC">
            <w:pPr>
              <w:pStyle w:val="TableText"/>
              <w:ind w:left="57" w:right="57"/>
              <w:rPr>
                <w:rFonts w:cs="Arial"/>
                <w:szCs w:val="18"/>
              </w:rPr>
            </w:pPr>
            <w:r w:rsidRPr="00417416">
              <w:rPr>
                <w:rFonts w:cs="Arial"/>
                <w:szCs w:val="18"/>
              </w:rPr>
              <w:t xml:space="preserve">Support to Screening Services evaluation was commissioned to inform the future direction and approach of screening support services. </w:t>
            </w:r>
          </w:p>
          <w:p w14:paraId="27250F46" w14:textId="77777777" w:rsidR="00417416" w:rsidRPr="00417416" w:rsidRDefault="00417416" w:rsidP="001B0EFC">
            <w:pPr>
              <w:pStyle w:val="TableText"/>
              <w:ind w:left="57" w:right="57"/>
              <w:rPr>
                <w:rFonts w:cs="Arial"/>
                <w:szCs w:val="18"/>
              </w:rPr>
            </w:pPr>
            <w:r w:rsidRPr="00417416">
              <w:rPr>
                <w:rFonts w:cs="Arial"/>
                <w:szCs w:val="18"/>
              </w:rPr>
              <w:t>The report was published in November 2021 and found that overall, screening support services are working well and are enabling people to access screening services. The report acknowledges that these services operate within a broader context and notes that breast and cervical screening services are not currently meeting the needs of Māori, Pacific and Asian people.</w:t>
            </w:r>
          </w:p>
          <w:p w14:paraId="53C7BA02" w14:textId="77777777" w:rsidR="00417416" w:rsidRPr="00417416" w:rsidRDefault="00417416" w:rsidP="001B0EFC">
            <w:pPr>
              <w:pStyle w:val="TableText"/>
              <w:ind w:left="57" w:right="57"/>
              <w:rPr>
                <w:rFonts w:cs="Arial"/>
                <w:szCs w:val="18"/>
              </w:rPr>
            </w:pPr>
            <w:r w:rsidRPr="00417416">
              <w:rPr>
                <w:rFonts w:cs="Arial"/>
                <w:szCs w:val="18"/>
              </w:rPr>
              <w:t xml:space="preserve">The report identifies the importance of making broader systemic changes across breast and cervical screening services to meet </w:t>
            </w:r>
            <w:proofErr w:type="spellStart"/>
            <w:r w:rsidRPr="00417416">
              <w:rPr>
                <w:rFonts w:cs="Arial"/>
                <w:szCs w:val="18"/>
              </w:rPr>
              <w:t>Te</w:t>
            </w:r>
            <w:proofErr w:type="spellEnd"/>
            <w:r w:rsidRPr="00417416">
              <w:rPr>
                <w:rFonts w:cs="Arial"/>
                <w:szCs w:val="18"/>
              </w:rPr>
              <w:t xml:space="preserve"> </w:t>
            </w:r>
            <w:proofErr w:type="spellStart"/>
            <w:r w:rsidRPr="00417416">
              <w:rPr>
                <w:rFonts w:cs="Arial"/>
                <w:szCs w:val="18"/>
              </w:rPr>
              <w:t>Tiriti</w:t>
            </w:r>
            <w:proofErr w:type="spellEnd"/>
            <w:r w:rsidRPr="00417416">
              <w:rPr>
                <w:rFonts w:cs="Arial"/>
                <w:szCs w:val="18"/>
              </w:rPr>
              <w:t xml:space="preserve"> obligations and to make services more equitable. </w:t>
            </w:r>
          </w:p>
          <w:p w14:paraId="3037C6CE" w14:textId="77777777" w:rsidR="00417416" w:rsidRPr="00417416" w:rsidRDefault="00417416" w:rsidP="001B0EFC">
            <w:pPr>
              <w:pStyle w:val="TableText"/>
              <w:ind w:left="57" w:right="57"/>
              <w:rPr>
                <w:rFonts w:cs="Arial"/>
                <w:szCs w:val="18"/>
              </w:rPr>
            </w:pPr>
            <w:r w:rsidRPr="00417416">
              <w:rPr>
                <w:rFonts w:cs="Arial"/>
                <w:szCs w:val="18"/>
              </w:rPr>
              <w:t>The NSU is working through recommendations from the review.</w:t>
            </w:r>
          </w:p>
        </w:tc>
        <w:tc>
          <w:tcPr>
            <w:tcW w:w="307" w:type="pct"/>
            <w:shd w:val="clear" w:color="auto" w:fill="auto"/>
          </w:tcPr>
          <w:p w14:paraId="66D28BC6" w14:textId="77777777" w:rsidR="00417416" w:rsidRPr="00417416" w:rsidRDefault="00417416" w:rsidP="001B0EFC">
            <w:pPr>
              <w:pStyle w:val="TableText"/>
              <w:ind w:left="57"/>
              <w:rPr>
                <w:rFonts w:cs="Arial"/>
                <w:szCs w:val="18"/>
              </w:rPr>
            </w:pPr>
            <w:r w:rsidRPr="00417416">
              <w:rPr>
                <w:rFonts w:cs="Arial"/>
                <w:szCs w:val="18"/>
              </w:rPr>
              <w:t>In progress.</w:t>
            </w:r>
          </w:p>
        </w:tc>
      </w:tr>
      <w:tr w:rsidR="00417416" w:rsidRPr="00417416" w14:paraId="4E766A92" w14:textId="77777777" w:rsidTr="001B0EFC">
        <w:trPr>
          <w:cantSplit/>
        </w:trPr>
        <w:tc>
          <w:tcPr>
            <w:tcW w:w="538" w:type="pct"/>
            <w:shd w:val="clear" w:color="auto" w:fill="auto"/>
          </w:tcPr>
          <w:p w14:paraId="2D9BA4F6" w14:textId="77777777" w:rsidR="00417416" w:rsidRPr="00417416" w:rsidRDefault="00417416" w:rsidP="001B0EFC">
            <w:pPr>
              <w:pStyle w:val="TableText"/>
              <w:ind w:right="57"/>
              <w:rPr>
                <w:rFonts w:cs="Arial"/>
                <w:szCs w:val="18"/>
              </w:rPr>
            </w:pPr>
            <w:r w:rsidRPr="00417416">
              <w:rPr>
                <w:rFonts w:cs="Arial"/>
                <w:szCs w:val="18"/>
              </w:rPr>
              <w:t>Equity</w:t>
            </w:r>
          </w:p>
        </w:tc>
        <w:tc>
          <w:tcPr>
            <w:tcW w:w="146" w:type="pct"/>
            <w:shd w:val="clear" w:color="auto" w:fill="auto"/>
          </w:tcPr>
          <w:p w14:paraId="47142C30" w14:textId="77777777" w:rsidR="00417416" w:rsidRPr="00417416" w:rsidRDefault="00417416" w:rsidP="001B0EFC">
            <w:pPr>
              <w:pStyle w:val="TableText"/>
              <w:ind w:left="57" w:right="57"/>
              <w:jc w:val="center"/>
              <w:rPr>
                <w:rFonts w:cs="Arial"/>
                <w:szCs w:val="18"/>
              </w:rPr>
            </w:pPr>
            <w:r w:rsidRPr="00417416">
              <w:rPr>
                <w:rFonts w:cs="Arial"/>
                <w:szCs w:val="18"/>
              </w:rPr>
              <w:t>10</w:t>
            </w:r>
          </w:p>
        </w:tc>
        <w:tc>
          <w:tcPr>
            <w:tcW w:w="1319" w:type="pct"/>
            <w:shd w:val="clear" w:color="auto" w:fill="auto"/>
          </w:tcPr>
          <w:p w14:paraId="6BEFF777" w14:textId="77777777" w:rsidR="00417416" w:rsidRPr="00417416" w:rsidRDefault="00417416" w:rsidP="001B0EFC">
            <w:pPr>
              <w:pStyle w:val="TableText"/>
              <w:ind w:left="57" w:right="57"/>
              <w:rPr>
                <w:rFonts w:cs="Arial"/>
                <w:szCs w:val="18"/>
              </w:rPr>
            </w:pPr>
            <w:r w:rsidRPr="00417416">
              <w:rPr>
                <w:rFonts w:cs="Arial"/>
                <w:szCs w:val="18"/>
              </w:rPr>
              <w:t>There should be a focus on investment and development of strategies to improve coverage of priority group women in metropolitan DHBs.</w:t>
            </w:r>
          </w:p>
        </w:tc>
        <w:tc>
          <w:tcPr>
            <w:tcW w:w="2691" w:type="pct"/>
            <w:shd w:val="clear" w:color="auto" w:fill="auto"/>
          </w:tcPr>
          <w:p w14:paraId="6FF57BC0" w14:textId="77777777" w:rsidR="00417416" w:rsidRPr="00417416" w:rsidRDefault="00417416" w:rsidP="001B0EFC">
            <w:pPr>
              <w:pStyle w:val="TableText"/>
              <w:ind w:left="57" w:right="57"/>
              <w:rPr>
                <w:rFonts w:cs="Arial"/>
                <w:szCs w:val="18"/>
              </w:rPr>
            </w:pPr>
            <w:r w:rsidRPr="00417416">
              <w:rPr>
                <w:rFonts w:cs="Arial"/>
                <w:szCs w:val="18"/>
              </w:rPr>
              <w:t xml:space="preserve">Support to Screening Services evaluation was commissioned to inform the future direction and approach of Screening Support Services. The report identifies the importance of making broader systemic changes across breast and cervical screening services, to meet </w:t>
            </w:r>
            <w:proofErr w:type="spellStart"/>
            <w:r w:rsidRPr="00417416">
              <w:rPr>
                <w:rFonts w:cs="Arial"/>
                <w:szCs w:val="18"/>
              </w:rPr>
              <w:t>Te</w:t>
            </w:r>
            <w:proofErr w:type="spellEnd"/>
            <w:r w:rsidRPr="00417416">
              <w:rPr>
                <w:rFonts w:cs="Arial"/>
                <w:szCs w:val="18"/>
              </w:rPr>
              <w:t xml:space="preserve"> </w:t>
            </w:r>
            <w:proofErr w:type="spellStart"/>
            <w:r w:rsidRPr="00417416">
              <w:rPr>
                <w:rFonts w:cs="Arial"/>
                <w:szCs w:val="18"/>
              </w:rPr>
              <w:t>Tiriti</w:t>
            </w:r>
            <w:proofErr w:type="spellEnd"/>
            <w:r w:rsidRPr="00417416">
              <w:rPr>
                <w:rFonts w:cs="Arial"/>
                <w:szCs w:val="18"/>
              </w:rPr>
              <w:t xml:space="preserve"> obligations and to make services more equitable. The NSU is working through recommendations from the review.</w:t>
            </w:r>
          </w:p>
          <w:p w14:paraId="379967C4" w14:textId="77777777" w:rsidR="00417416" w:rsidRPr="00417416" w:rsidRDefault="00417416" w:rsidP="001B0EFC">
            <w:pPr>
              <w:pStyle w:val="TableText"/>
              <w:ind w:left="57" w:right="57"/>
              <w:rPr>
                <w:rFonts w:cs="Arial"/>
                <w:szCs w:val="18"/>
              </w:rPr>
            </w:pPr>
            <w:r w:rsidRPr="00417416">
              <w:rPr>
                <w:rFonts w:cs="Arial"/>
                <w:szCs w:val="18"/>
              </w:rPr>
              <w:t>Social marketing campaigns are being developed, that will use a range of media, including social media, to target messages to eligible Māori and Pacific people about the importance of cervical screening for their own health and for the wellbeing of their whānau.</w:t>
            </w:r>
          </w:p>
          <w:p w14:paraId="132E9D27" w14:textId="77777777" w:rsidR="00417416" w:rsidRPr="00417416" w:rsidRDefault="00417416" w:rsidP="001B0EFC">
            <w:pPr>
              <w:pStyle w:val="TableText"/>
              <w:ind w:left="57" w:right="57"/>
              <w:rPr>
                <w:rFonts w:cs="Arial"/>
                <w:szCs w:val="18"/>
              </w:rPr>
            </w:pPr>
            <w:r w:rsidRPr="00417416">
              <w:rPr>
                <w:rFonts w:cs="Arial"/>
                <w:szCs w:val="18"/>
              </w:rPr>
              <w:t>Co-design process and implementation research is commencing in 2022, which will inform future service delivery models to improve accessibility for priority group women.</w:t>
            </w:r>
          </w:p>
        </w:tc>
        <w:tc>
          <w:tcPr>
            <w:tcW w:w="307" w:type="pct"/>
            <w:shd w:val="clear" w:color="auto" w:fill="auto"/>
          </w:tcPr>
          <w:p w14:paraId="7E4F9790" w14:textId="77777777" w:rsidR="00417416" w:rsidRPr="00417416" w:rsidRDefault="00417416" w:rsidP="001B0EFC">
            <w:pPr>
              <w:pStyle w:val="TableText"/>
              <w:ind w:left="57"/>
              <w:rPr>
                <w:rFonts w:cs="Arial"/>
                <w:szCs w:val="18"/>
              </w:rPr>
            </w:pPr>
            <w:r w:rsidRPr="00417416">
              <w:rPr>
                <w:rFonts w:cs="Arial"/>
                <w:szCs w:val="18"/>
              </w:rPr>
              <w:t>In progress.</w:t>
            </w:r>
          </w:p>
        </w:tc>
      </w:tr>
      <w:tr w:rsidR="00417416" w:rsidRPr="00417416" w14:paraId="789EB4B4" w14:textId="77777777" w:rsidTr="001B0EFC">
        <w:trPr>
          <w:cantSplit/>
        </w:trPr>
        <w:tc>
          <w:tcPr>
            <w:tcW w:w="538" w:type="pct"/>
            <w:shd w:val="clear" w:color="auto" w:fill="auto"/>
          </w:tcPr>
          <w:p w14:paraId="2FE3353D" w14:textId="77777777" w:rsidR="00417416" w:rsidRPr="00417416" w:rsidRDefault="00417416" w:rsidP="001B0EFC">
            <w:pPr>
              <w:pStyle w:val="TableText"/>
              <w:ind w:right="57"/>
              <w:rPr>
                <w:rFonts w:cs="Arial"/>
                <w:szCs w:val="18"/>
              </w:rPr>
            </w:pPr>
            <w:r w:rsidRPr="00417416">
              <w:rPr>
                <w:rFonts w:cs="Arial"/>
                <w:szCs w:val="18"/>
              </w:rPr>
              <w:t>Governance</w:t>
            </w:r>
          </w:p>
        </w:tc>
        <w:tc>
          <w:tcPr>
            <w:tcW w:w="146" w:type="pct"/>
            <w:shd w:val="clear" w:color="auto" w:fill="auto"/>
          </w:tcPr>
          <w:p w14:paraId="3A7E229A" w14:textId="77777777" w:rsidR="00417416" w:rsidRPr="00417416" w:rsidRDefault="00417416" w:rsidP="001B0EFC">
            <w:pPr>
              <w:pStyle w:val="TableText"/>
              <w:ind w:left="57" w:right="57"/>
              <w:jc w:val="center"/>
              <w:rPr>
                <w:rFonts w:cs="Arial"/>
                <w:szCs w:val="18"/>
              </w:rPr>
            </w:pPr>
            <w:r w:rsidRPr="00417416">
              <w:rPr>
                <w:rFonts w:cs="Arial"/>
                <w:szCs w:val="18"/>
              </w:rPr>
              <w:t>23</w:t>
            </w:r>
          </w:p>
        </w:tc>
        <w:tc>
          <w:tcPr>
            <w:tcW w:w="1319" w:type="pct"/>
            <w:shd w:val="clear" w:color="auto" w:fill="auto"/>
          </w:tcPr>
          <w:p w14:paraId="140245B0" w14:textId="77777777" w:rsidR="00417416" w:rsidRPr="00417416" w:rsidRDefault="00417416" w:rsidP="001B0EFC">
            <w:pPr>
              <w:pStyle w:val="TableText"/>
              <w:ind w:left="57" w:right="57"/>
              <w:rPr>
                <w:rFonts w:cs="Arial"/>
                <w:szCs w:val="18"/>
              </w:rPr>
            </w:pPr>
            <w:r w:rsidRPr="00417416">
              <w:rPr>
                <w:rFonts w:cs="Arial"/>
                <w:szCs w:val="18"/>
              </w:rPr>
              <w:t>The NSU supports and partners with the clinical leads to clearly articulate, both within the NSU and externally to the relevant sectors, the clinical leads’ responsibilities in maintaining clinical quality for the current programme and leading the clinical implementation of primary HPV screening to ensure quality and consistency of clinical practice across the country.</w:t>
            </w:r>
          </w:p>
        </w:tc>
        <w:tc>
          <w:tcPr>
            <w:tcW w:w="2691" w:type="pct"/>
            <w:shd w:val="clear" w:color="auto" w:fill="auto"/>
          </w:tcPr>
          <w:p w14:paraId="36383F50" w14:textId="77777777" w:rsidR="00417416" w:rsidRPr="00417416" w:rsidRDefault="00417416" w:rsidP="001B0EFC">
            <w:pPr>
              <w:pStyle w:val="TableText"/>
              <w:ind w:left="57" w:right="57"/>
              <w:rPr>
                <w:rFonts w:cs="Arial"/>
                <w:szCs w:val="18"/>
              </w:rPr>
            </w:pPr>
            <w:r w:rsidRPr="00417416">
              <w:rPr>
                <w:rFonts w:cs="Arial"/>
                <w:szCs w:val="18"/>
              </w:rPr>
              <w:t xml:space="preserve">The clinical leads are in consultation with colposcopy and pathology workforces to support the change process to HPV. This includes the development of standards and guidelines agreed by the sector. </w:t>
            </w:r>
          </w:p>
          <w:p w14:paraId="26E1B9C1" w14:textId="77777777" w:rsidR="00417416" w:rsidRPr="00417416" w:rsidRDefault="00417416" w:rsidP="001B0EFC">
            <w:pPr>
              <w:pStyle w:val="TableText"/>
              <w:ind w:left="57" w:right="57"/>
              <w:rPr>
                <w:rFonts w:cs="Arial"/>
                <w:szCs w:val="18"/>
              </w:rPr>
            </w:pPr>
            <w:r w:rsidRPr="00417416">
              <w:rPr>
                <w:rFonts w:cs="Arial"/>
                <w:szCs w:val="18"/>
              </w:rPr>
              <w:t xml:space="preserve">The project steering group and governance operates on a clinical and operational partnership model to ensure clinical risk management is central to the change process. </w:t>
            </w:r>
          </w:p>
          <w:p w14:paraId="3C9FE4D9" w14:textId="77777777" w:rsidR="00417416" w:rsidRPr="00417416" w:rsidRDefault="00417416" w:rsidP="001B0EFC">
            <w:pPr>
              <w:pStyle w:val="TableText"/>
              <w:ind w:left="57" w:right="57"/>
              <w:rPr>
                <w:rFonts w:cs="Arial"/>
                <w:szCs w:val="18"/>
              </w:rPr>
            </w:pPr>
            <w:r w:rsidRPr="00417416">
              <w:rPr>
                <w:rFonts w:cs="Arial"/>
                <w:szCs w:val="18"/>
              </w:rPr>
              <w:t>In the interim, audit is continuing against the previous standards and guidelines to continue to engage the sector. Readiness assessments will be undertaken prior to HPV go-live.</w:t>
            </w:r>
          </w:p>
        </w:tc>
        <w:tc>
          <w:tcPr>
            <w:tcW w:w="307" w:type="pct"/>
            <w:shd w:val="clear" w:color="auto" w:fill="auto"/>
          </w:tcPr>
          <w:p w14:paraId="5D1B3A76" w14:textId="77777777" w:rsidR="00417416" w:rsidRPr="00417416" w:rsidRDefault="00417416" w:rsidP="001B0EFC">
            <w:pPr>
              <w:pStyle w:val="TableText"/>
              <w:ind w:left="57"/>
              <w:rPr>
                <w:rFonts w:cs="Arial"/>
                <w:szCs w:val="18"/>
              </w:rPr>
            </w:pPr>
            <w:r w:rsidRPr="00417416">
              <w:rPr>
                <w:rFonts w:cs="Arial"/>
                <w:szCs w:val="18"/>
              </w:rPr>
              <w:t>In progress.</w:t>
            </w:r>
          </w:p>
        </w:tc>
      </w:tr>
      <w:tr w:rsidR="00417416" w:rsidRPr="00417416" w14:paraId="4C19D12A" w14:textId="77777777" w:rsidTr="001B0EFC">
        <w:trPr>
          <w:cantSplit/>
        </w:trPr>
        <w:tc>
          <w:tcPr>
            <w:tcW w:w="538" w:type="pct"/>
            <w:shd w:val="clear" w:color="auto" w:fill="auto"/>
          </w:tcPr>
          <w:p w14:paraId="7B87568C" w14:textId="77777777" w:rsidR="00417416" w:rsidRPr="00417416" w:rsidRDefault="00417416" w:rsidP="001B0EFC">
            <w:pPr>
              <w:pStyle w:val="TableText"/>
              <w:ind w:right="57"/>
              <w:rPr>
                <w:rFonts w:cs="Arial"/>
                <w:szCs w:val="18"/>
              </w:rPr>
            </w:pPr>
            <w:r w:rsidRPr="00417416">
              <w:rPr>
                <w:rFonts w:cs="Arial"/>
                <w:szCs w:val="18"/>
              </w:rPr>
              <w:t>Communications</w:t>
            </w:r>
          </w:p>
        </w:tc>
        <w:tc>
          <w:tcPr>
            <w:tcW w:w="146" w:type="pct"/>
            <w:shd w:val="clear" w:color="auto" w:fill="auto"/>
          </w:tcPr>
          <w:p w14:paraId="12102E20" w14:textId="77777777" w:rsidR="00417416" w:rsidRPr="00417416" w:rsidRDefault="00417416" w:rsidP="001B0EFC">
            <w:pPr>
              <w:pStyle w:val="TableText"/>
              <w:ind w:left="57" w:right="57"/>
              <w:jc w:val="center"/>
              <w:rPr>
                <w:rFonts w:cs="Arial"/>
                <w:szCs w:val="18"/>
              </w:rPr>
            </w:pPr>
            <w:r w:rsidRPr="00417416">
              <w:rPr>
                <w:rFonts w:cs="Arial"/>
                <w:szCs w:val="18"/>
              </w:rPr>
              <w:t>33</w:t>
            </w:r>
          </w:p>
        </w:tc>
        <w:tc>
          <w:tcPr>
            <w:tcW w:w="1319" w:type="pct"/>
            <w:shd w:val="clear" w:color="auto" w:fill="auto"/>
          </w:tcPr>
          <w:p w14:paraId="11C63F72" w14:textId="77777777" w:rsidR="00417416" w:rsidRPr="00417416" w:rsidRDefault="00417416" w:rsidP="001B0EFC">
            <w:pPr>
              <w:pStyle w:val="TableText"/>
              <w:ind w:left="57" w:right="57"/>
              <w:rPr>
                <w:rFonts w:cs="Arial"/>
                <w:szCs w:val="18"/>
              </w:rPr>
            </w:pPr>
            <w:r w:rsidRPr="00417416">
              <w:rPr>
                <w:rFonts w:cs="Arial"/>
                <w:szCs w:val="18"/>
              </w:rPr>
              <w:t>The NCSP complaints management processes and reporting requirements should cover the entire clinical pathway including at DHB and PHO level as well as those received by the Register. Review of complaints should include actions that result in the development and implementation of quality improvement initiatives that align with best-practice consumer-focused care.</w:t>
            </w:r>
          </w:p>
        </w:tc>
        <w:tc>
          <w:tcPr>
            <w:tcW w:w="2691" w:type="pct"/>
            <w:shd w:val="clear" w:color="auto" w:fill="auto"/>
          </w:tcPr>
          <w:p w14:paraId="7D7CA644" w14:textId="77777777" w:rsidR="00417416" w:rsidRPr="00417416" w:rsidRDefault="00417416" w:rsidP="001B0EFC">
            <w:pPr>
              <w:pStyle w:val="TableText"/>
              <w:ind w:left="57" w:right="57"/>
              <w:rPr>
                <w:rFonts w:cs="Arial"/>
                <w:szCs w:val="18"/>
              </w:rPr>
            </w:pPr>
            <w:r w:rsidRPr="00417416">
              <w:rPr>
                <w:rFonts w:cs="Arial"/>
                <w:szCs w:val="18"/>
              </w:rPr>
              <w:t>All NSU cervical screening, laboratory, and colposcopy providers are expected to adhere to the NSU Policies and Standards and the NZ Health and Disability Sector Standards (HDSS), including the regulation NZ Code of Health and Disability Consumer Rights covering the complaints process. Clear policies are in place for staff managing the NCSP Register related to the management of complaints from participants. The NSU audit programme has commenced, and the complaints process is included in the scope of the audit.</w:t>
            </w:r>
          </w:p>
        </w:tc>
        <w:tc>
          <w:tcPr>
            <w:tcW w:w="307" w:type="pct"/>
            <w:shd w:val="clear" w:color="auto" w:fill="auto"/>
          </w:tcPr>
          <w:p w14:paraId="32038533" w14:textId="77777777" w:rsidR="00417416" w:rsidRPr="00417416" w:rsidRDefault="00417416" w:rsidP="001B0EFC">
            <w:pPr>
              <w:pStyle w:val="TableText"/>
              <w:ind w:left="57"/>
              <w:rPr>
                <w:rFonts w:cs="Arial"/>
                <w:szCs w:val="18"/>
              </w:rPr>
            </w:pPr>
            <w:r w:rsidRPr="00417416">
              <w:rPr>
                <w:rFonts w:cs="Arial"/>
                <w:szCs w:val="18"/>
              </w:rPr>
              <w:t>In progress.</w:t>
            </w:r>
          </w:p>
        </w:tc>
      </w:tr>
    </w:tbl>
    <w:p w14:paraId="244ECF69" w14:textId="77777777" w:rsidR="005F46A9" w:rsidRDefault="005F46A9" w:rsidP="005F46A9">
      <w:pPr>
        <w:rPr>
          <w:rFonts w:eastAsiaTheme="majorEastAsia"/>
        </w:rPr>
      </w:pPr>
    </w:p>
    <w:p w14:paraId="7E77C502" w14:textId="31DEE2FE" w:rsidR="005F46A9" w:rsidRPr="00F25DF5" w:rsidRDefault="005F46A9" w:rsidP="00244585">
      <w:pPr>
        <w:pStyle w:val="Heading1"/>
        <w:keepNext w:val="0"/>
        <w:pageBreakBefore/>
        <w:spacing w:before="0"/>
        <w:rPr>
          <w:i/>
          <w:iCs/>
        </w:rPr>
      </w:pPr>
      <w:bookmarkStart w:id="2" w:name="_Toc85612112"/>
      <w:r w:rsidRPr="00F25DF5">
        <w:t>Closed recommendations (2</w:t>
      </w:r>
      <w:r w:rsidR="00E415DE">
        <w:t>5</w:t>
      </w:r>
      <w:r w:rsidRPr="00F25DF5">
        <w:t>)</w:t>
      </w:r>
      <w:bookmarkEnd w:id="2"/>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1545"/>
        <w:gridCol w:w="423"/>
        <w:gridCol w:w="4806"/>
        <w:gridCol w:w="6372"/>
        <w:gridCol w:w="1468"/>
      </w:tblGrid>
      <w:tr w:rsidR="00E415DE" w:rsidRPr="00E415DE" w14:paraId="40EBDB48" w14:textId="77777777" w:rsidTr="001B0EFC">
        <w:trPr>
          <w:cantSplit/>
          <w:tblHeader/>
        </w:trPr>
        <w:tc>
          <w:tcPr>
            <w:tcW w:w="538" w:type="pct"/>
            <w:shd w:val="clear" w:color="auto" w:fill="auto"/>
          </w:tcPr>
          <w:p w14:paraId="42FA33E3" w14:textId="77777777" w:rsidR="00E415DE" w:rsidRPr="00E415DE" w:rsidRDefault="00E415DE" w:rsidP="001B0EFC">
            <w:pPr>
              <w:pStyle w:val="TableText"/>
              <w:ind w:right="57"/>
              <w:rPr>
                <w:rFonts w:cs="Arial"/>
                <w:b/>
                <w:szCs w:val="18"/>
              </w:rPr>
            </w:pPr>
            <w:r w:rsidRPr="00E415DE">
              <w:rPr>
                <w:rFonts w:cs="Arial"/>
                <w:b/>
                <w:szCs w:val="18"/>
              </w:rPr>
              <w:t>Category</w:t>
            </w:r>
          </w:p>
        </w:tc>
        <w:tc>
          <w:tcPr>
            <w:tcW w:w="146" w:type="pct"/>
            <w:shd w:val="clear" w:color="auto" w:fill="auto"/>
          </w:tcPr>
          <w:p w14:paraId="13A56681" w14:textId="77777777" w:rsidR="00E415DE" w:rsidRPr="00E415DE" w:rsidRDefault="00E415DE" w:rsidP="001B0EFC">
            <w:pPr>
              <w:pStyle w:val="TableText"/>
              <w:ind w:left="57" w:right="57"/>
              <w:jc w:val="center"/>
              <w:rPr>
                <w:rFonts w:cs="Arial"/>
                <w:b/>
                <w:szCs w:val="18"/>
              </w:rPr>
            </w:pPr>
            <w:r w:rsidRPr="00E415DE">
              <w:rPr>
                <w:rFonts w:cs="Arial"/>
                <w:b/>
                <w:szCs w:val="18"/>
              </w:rPr>
              <w:t>#</w:t>
            </w:r>
          </w:p>
        </w:tc>
        <w:tc>
          <w:tcPr>
            <w:tcW w:w="1661" w:type="pct"/>
            <w:shd w:val="clear" w:color="auto" w:fill="auto"/>
          </w:tcPr>
          <w:p w14:paraId="4B5A30F0" w14:textId="77777777" w:rsidR="00E415DE" w:rsidRPr="00E415DE" w:rsidRDefault="00E415DE" w:rsidP="001B0EFC">
            <w:pPr>
              <w:pStyle w:val="TableText"/>
              <w:ind w:left="57" w:right="57"/>
              <w:rPr>
                <w:rFonts w:cs="Arial"/>
                <w:b/>
                <w:szCs w:val="18"/>
                <w:u w:val="single"/>
              </w:rPr>
            </w:pPr>
            <w:r w:rsidRPr="00E415DE">
              <w:rPr>
                <w:rFonts w:cs="Arial"/>
                <w:b/>
                <w:szCs w:val="18"/>
              </w:rPr>
              <w:t>Recommendation</w:t>
            </w:r>
          </w:p>
        </w:tc>
        <w:tc>
          <w:tcPr>
            <w:tcW w:w="2189" w:type="pct"/>
            <w:shd w:val="clear" w:color="auto" w:fill="auto"/>
          </w:tcPr>
          <w:p w14:paraId="5E144B5D" w14:textId="77777777" w:rsidR="00E415DE" w:rsidRPr="00E415DE" w:rsidRDefault="00E415DE" w:rsidP="001B0EFC">
            <w:pPr>
              <w:pStyle w:val="TableText"/>
              <w:ind w:left="57" w:right="57"/>
              <w:rPr>
                <w:rFonts w:cs="Arial"/>
                <w:b/>
                <w:szCs w:val="18"/>
              </w:rPr>
            </w:pPr>
            <w:r w:rsidRPr="00E415DE">
              <w:rPr>
                <w:rFonts w:cs="Arial"/>
                <w:b/>
                <w:szCs w:val="18"/>
              </w:rPr>
              <w:t>NSU response</w:t>
            </w:r>
          </w:p>
        </w:tc>
        <w:tc>
          <w:tcPr>
            <w:tcW w:w="467" w:type="pct"/>
            <w:shd w:val="clear" w:color="auto" w:fill="auto"/>
          </w:tcPr>
          <w:p w14:paraId="4B9C295E" w14:textId="77777777" w:rsidR="00E415DE" w:rsidRPr="00E415DE" w:rsidRDefault="00E415DE" w:rsidP="001B0EFC">
            <w:pPr>
              <w:pStyle w:val="TableText"/>
              <w:ind w:left="57"/>
              <w:rPr>
                <w:rFonts w:cs="Arial"/>
                <w:b/>
                <w:szCs w:val="18"/>
              </w:rPr>
            </w:pPr>
            <w:r w:rsidRPr="00E415DE">
              <w:rPr>
                <w:rFonts w:cs="Arial"/>
                <w:b/>
                <w:szCs w:val="18"/>
              </w:rPr>
              <w:t>Status</w:t>
            </w:r>
          </w:p>
        </w:tc>
      </w:tr>
      <w:tr w:rsidR="00E415DE" w:rsidRPr="00E415DE" w14:paraId="462871ED" w14:textId="77777777" w:rsidTr="001B0EFC">
        <w:trPr>
          <w:cantSplit/>
        </w:trPr>
        <w:tc>
          <w:tcPr>
            <w:tcW w:w="538" w:type="pct"/>
            <w:shd w:val="clear" w:color="auto" w:fill="auto"/>
          </w:tcPr>
          <w:p w14:paraId="334834B8" w14:textId="77777777" w:rsidR="00E415DE" w:rsidRPr="00E415DE" w:rsidRDefault="00E415DE" w:rsidP="001B0EFC">
            <w:pPr>
              <w:pStyle w:val="TableText"/>
              <w:ind w:right="57"/>
              <w:rPr>
                <w:rFonts w:cs="Arial"/>
                <w:szCs w:val="18"/>
              </w:rPr>
            </w:pPr>
            <w:r w:rsidRPr="00E415DE">
              <w:rPr>
                <w:rFonts w:cs="Arial"/>
                <w:szCs w:val="18"/>
              </w:rPr>
              <w:t>Equity</w:t>
            </w:r>
          </w:p>
        </w:tc>
        <w:tc>
          <w:tcPr>
            <w:tcW w:w="146" w:type="pct"/>
            <w:shd w:val="clear" w:color="auto" w:fill="auto"/>
          </w:tcPr>
          <w:p w14:paraId="741B4F55" w14:textId="77777777" w:rsidR="00E415DE" w:rsidRPr="00E415DE" w:rsidRDefault="00E415DE" w:rsidP="001B0EFC">
            <w:pPr>
              <w:pStyle w:val="TableText"/>
              <w:ind w:left="57" w:right="57"/>
              <w:jc w:val="center"/>
              <w:rPr>
                <w:rFonts w:cs="Arial"/>
                <w:szCs w:val="18"/>
              </w:rPr>
            </w:pPr>
            <w:r w:rsidRPr="00E415DE">
              <w:rPr>
                <w:rFonts w:cs="Arial"/>
                <w:szCs w:val="18"/>
              </w:rPr>
              <w:t>7</w:t>
            </w:r>
          </w:p>
        </w:tc>
        <w:tc>
          <w:tcPr>
            <w:tcW w:w="1661" w:type="pct"/>
            <w:shd w:val="clear" w:color="auto" w:fill="auto"/>
          </w:tcPr>
          <w:p w14:paraId="56BF5D93" w14:textId="77777777" w:rsidR="00E415DE" w:rsidRPr="00E415DE" w:rsidRDefault="00E415DE" w:rsidP="001B0EFC">
            <w:pPr>
              <w:pStyle w:val="TableText"/>
              <w:ind w:left="57" w:right="57"/>
              <w:rPr>
                <w:rFonts w:cs="Arial"/>
                <w:szCs w:val="18"/>
              </w:rPr>
            </w:pPr>
            <w:r w:rsidRPr="00E415DE">
              <w:rPr>
                <w:rFonts w:cs="Arial"/>
                <w:szCs w:val="18"/>
              </w:rPr>
              <w:t>A set of NCSP equity indicators should be included in the new Health Measures.</w:t>
            </w:r>
          </w:p>
        </w:tc>
        <w:tc>
          <w:tcPr>
            <w:tcW w:w="2189" w:type="pct"/>
            <w:shd w:val="clear" w:color="auto" w:fill="auto"/>
          </w:tcPr>
          <w:p w14:paraId="0675A740" w14:textId="77777777" w:rsidR="00E415DE" w:rsidRPr="00E415DE" w:rsidRDefault="00E415DE" w:rsidP="001B0EFC">
            <w:pPr>
              <w:pStyle w:val="TableText"/>
              <w:ind w:left="57" w:right="57"/>
              <w:rPr>
                <w:rFonts w:cs="Arial"/>
                <w:szCs w:val="18"/>
              </w:rPr>
            </w:pPr>
            <w:r w:rsidRPr="00E415DE">
              <w:rPr>
                <w:rFonts w:cs="Arial"/>
                <w:szCs w:val="18"/>
              </w:rPr>
              <w:t xml:space="preserve">The NCSP provides equity performance measures as part of published district reporting. Further review of the equity reporting is being undertaken as part of establishing new indicators as part of HPV primary screening implementation. </w:t>
            </w:r>
          </w:p>
        </w:tc>
        <w:tc>
          <w:tcPr>
            <w:tcW w:w="467" w:type="pct"/>
            <w:shd w:val="clear" w:color="auto" w:fill="auto"/>
          </w:tcPr>
          <w:p w14:paraId="6A9DE35E" w14:textId="77777777" w:rsidR="00E415DE" w:rsidRPr="00E415DE" w:rsidRDefault="00E415DE" w:rsidP="001B0EFC">
            <w:pPr>
              <w:pStyle w:val="TableText"/>
              <w:ind w:left="57"/>
              <w:rPr>
                <w:rFonts w:cs="Arial"/>
                <w:szCs w:val="18"/>
              </w:rPr>
            </w:pPr>
            <w:r w:rsidRPr="00E415DE">
              <w:rPr>
                <w:rFonts w:cs="Arial"/>
                <w:szCs w:val="18"/>
              </w:rPr>
              <w:t>Closed.</w:t>
            </w:r>
          </w:p>
        </w:tc>
      </w:tr>
      <w:tr w:rsidR="00E415DE" w:rsidRPr="00E415DE" w14:paraId="6C11F256" w14:textId="77777777" w:rsidTr="001B0EFC">
        <w:trPr>
          <w:cantSplit/>
        </w:trPr>
        <w:tc>
          <w:tcPr>
            <w:tcW w:w="538" w:type="pct"/>
            <w:shd w:val="clear" w:color="auto" w:fill="auto"/>
          </w:tcPr>
          <w:p w14:paraId="18A776B4" w14:textId="77777777" w:rsidR="00E415DE" w:rsidRPr="00E415DE" w:rsidRDefault="00E415DE" w:rsidP="001B0EFC">
            <w:pPr>
              <w:pStyle w:val="TableText"/>
              <w:ind w:right="57"/>
              <w:rPr>
                <w:rFonts w:cs="Arial"/>
                <w:szCs w:val="18"/>
              </w:rPr>
            </w:pPr>
            <w:r w:rsidRPr="00E415DE">
              <w:rPr>
                <w:rFonts w:cs="Arial"/>
                <w:szCs w:val="18"/>
              </w:rPr>
              <w:t>Equity</w:t>
            </w:r>
          </w:p>
        </w:tc>
        <w:tc>
          <w:tcPr>
            <w:tcW w:w="146" w:type="pct"/>
            <w:shd w:val="clear" w:color="auto" w:fill="auto"/>
          </w:tcPr>
          <w:p w14:paraId="6B81968E" w14:textId="77777777" w:rsidR="00E415DE" w:rsidRPr="00E415DE" w:rsidRDefault="00E415DE" w:rsidP="001B0EFC">
            <w:pPr>
              <w:pStyle w:val="TableText"/>
              <w:ind w:left="57" w:right="57"/>
              <w:jc w:val="center"/>
              <w:rPr>
                <w:rFonts w:cs="Arial"/>
                <w:szCs w:val="18"/>
              </w:rPr>
            </w:pPr>
            <w:r w:rsidRPr="00E415DE">
              <w:rPr>
                <w:rFonts w:cs="Arial"/>
                <w:szCs w:val="18"/>
              </w:rPr>
              <w:t>8</w:t>
            </w:r>
          </w:p>
        </w:tc>
        <w:tc>
          <w:tcPr>
            <w:tcW w:w="1661" w:type="pct"/>
            <w:shd w:val="clear" w:color="auto" w:fill="auto"/>
          </w:tcPr>
          <w:p w14:paraId="6579A425" w14:textId="77777777" w:rsidR="00E415DE" w:rsidRPr="00E415DE" w:rsidRDefault="00E415DE" w:rsidP="001B0EFC">
            <w:pPr>
              <w:pStyle w:val="TableText"/>
              <w:ind w:left="57" w:right="57"/>
              <w:rPr>
                <w:rFonts w:cs="Arial"/>
                <w:szCs w:val="18"/>
              </w:rPr>
            </w:pPr>
            <w:r w:rsidRPr="00E415DE">
              <w:rPr>
                <w:rFonts w:cs="Arial"/>
                <w:szCs w:val="18"/>
              </w:rPr>
              <w:t>Equity analysis is included in the routine NCSP Independent Monitoring Reports providing a synthesis of all NCSP equity data. This analysis should inform strategies to improve access and remove barriers to participating in the programme.</w:t>
            </w:r>
          </w:p>
        </w:tc>
        <w:tc>
          <w:tcPr>
            <w:tcW w:w="2189" w:type="pct"/>
            <w:shd w:val="clear" w:color="auto" w:fill="auto"/>
          </w:tcPr>
          <w:p w14:paraId="069B0247" w14:textId="77777777" w:rsidR="00E415DE" w:rsidRPr="00E415DE" w:rsidRDefault="00E415DE" w:rsidP="001B0EFC">
            <w:pPr>
              <w:pStyle w:val="TableText"/>
              <w:ind w:left="57" w:right="57"/>
              <w:rPr>
                <w:rFonts w:cs="Arial"/>
                <w:szCs w:val="18"/>
              </w:rPr>
            </w:pPr>
            <w:r w:rsidRPr="00E415DE">
              <w:rPr>
                <w:rFonts w:cs="Arial"/>
                <w:szCs w:val="18"/>
              </w:rPr>
              <w:t xml:space="preserve">The NCSP provides equity performance measures as part of published district reporting. </w:t>
            </w:r>
          </w:p>
          <w:p w14:paraId="03B30150" w14:textId="77777777" w:rsidR="00E415DE" w:rsidRPr="00E415DE" w:rsidRDefault="00E415DE" w:rsidP="001B0EFC">
            <w:pPr>
              <w:pStyle w:val="TableText"/>
              <w:ind w:left="57" w:right="57"/>
              <w:rPr>
                <w:rFonts w:cs="Arial"/>
                <w:szCs w:val="18"/>
              </w:rPr>
            </w:pPr>
            <w:r w:rsidRPr="00E415DE">
              <w:rPr>
                <w:rFonts w:cs="Arial"/>
                <w:szCs w:val="18"/>
              </w:rPr>
              <w:t xml:space="preserve">As part of the HPV primary screening implementation a review of all NCSP monitoring indicators will be undertaken and revised indicators will be in place from go-live. The revised indicators will be developed in partnership with a new Data Governance Group that will be established under the National Screening Unit’s </w:t>
            </w:r>
            <w:proofErr w:type="spellStart"/>
            <w:r w:rsidRPr="00E415DE">
              <w:rPr>
                <w:rFonts w:cs="Arial"/>
                <w:szCs w:val="18"/>
              </w:rPr>
              <w:t>Te</w:t>
            </w:r>
            <w:proofErr w:type="spellEnd"/>
            <w:r w:rsidRPr="00E415DE">
              <w:rPr>
                <w:rFonts w:cs="Arial"/>
                <w:szCs w:val="18"/>
              </w:rPr>
              <w:t xml:space="preserve"> </w:t>
            </w:r>
            <w:proofErr w:type="spellStart"/>
            <w:r w:rsidRPr="00E415DE">
              <w:rPr>
                <w:rFonts w:cs="Arial"/>
                <w:szCs w:val="18"/>
              </w:rPr>
              <w:t>Tiriti</w:t>
            </w:r>
            <w:proofErr w:type="spellEnd"/>
            <w:r w:rsidRPr="00E415DE">
              <w:rPr>
                <w:rFonts w:cs="Arial"/>
                <w:szCs w:val="18"/>
              </w:rPr>
              <w:t xml:space="preserve"> workstream.  </w:t>
            </w:r>
          </w:p>
        </w:tc>
        <w:tc>
          <w:tcPr>
            <w:tcW w:w="467" w:type="pct"/>
            <w:shd w:val="clear" w:color="auto" w:fill="auto"/>
          </w:tcPr>
          <w:p w14:paraId="0546114A" w14:textId="77777777" w:rsidR="00E415DE" w:rsidRPr="00E415DE" w:rsidRDefault="00E415DE" w:rsidP="001B0EFC">
            <w:pPr>
              <w:pStyle w:val="TableText"/>
              <w:ind w:left="57"/>
              <w:rPr>
                <w:rFonts w:cs="Arial"/>
                <w:szCs w:val="18"/>
              </w:rPr>
            </w:pPr>
            <w:r w:rsidRPr="00E415DE">
              <w:rPr>
                <w:rFonts w:cs="Arial"/>
                <w:szCs w:val="18"/>
              </w:rPr>
              <w:t>Closed: this will be undertaken as part of HPV primary screening implementation.</w:t>
            </w:r>
          </w:p>
        </w:tc>
      </w:tr>
      <w:tr w:rsidR="00E415DE" w:rsidRPr="00E415DE" w14:paraId="521A5108" w14:textId="77777777" w:rsidTr="001B0EFC">
        <w:trPr>
          <w:cantSplit/>
        </w:trPr>
        <w:tc>
          <w:tcPr>
            <w:tcW w:w="538" w:type="pct"/>
            <w:shd w:val="clear" w:color="auto" w:fill="auto"/>
          </w:tcPr>
          <w:p w14:paraId="078ABEC3" w14:textId="77777777" w:rsidR="00E415DE" w:rsidRPr="00E415DE" w:rsidRDefault="00E415DE" w:rsidP="001B0EFC">
            <w:pPr>
              <w:pStyle w:val="TableText"/>
              <w:ind w:right="57"/>
              <w:rPr>
                <w:rFonts w:cs="Arial"/>
                <w:szCs w:val="18"/>
              </w:rPr>
            </w:pPr>
            <w:r w:rsidRPr="00E415DE">
              <w:rPr>
                <w:rFonts w:cs="Arial"/>
                <w:szCs w:val="18"/>
              </w:rPr>
              <w:t>Equity</w:t>
            </w:r>
          </w:p>
        </w:tc>
        <w:tc>
          <w:tcPr>
            <w:tcW w:w="146" w:type="pct"/>
            <w:shd w:val="clear" w:color="auto" w:fill="auto"/>
          </w:tcPr>
          <w:p w14:paraId="70C4F982" w14:textId="77777777" w:rsidR="00E415DE" w:rsidRPr="00E415DE" w:rsidRDefault="00E415DE" w:rsidP="001B0EFC">
            <w:pPr>
              <w:pStyle w:val="TableText"/>
              <w:ind w:left="57" w:right="57"/>
              <w:jc w:val="center"/>
              <w:rPr>
                <w:rFonts w:cs="Arial"/>
                <w:szCs w:val="18"/>
              </w:rPr>
            </w:pPr>
            <w:r w:rsidRPr="00E415DE">
              <w:rPr>
                <w:rFonts w:cs="Arial"/>
                <w:szCs w:val="18"/>
              </w:rPr>
              <w:t>11</w:t>
            </w:r>
          </w:p>
        </w:tc>
        <w:tc>
          <w:tcPr>
            <w:tcW w:w="1661" w:type="pct"/>
            <w:shd w:val="clear" w:color="auto" w:fill="auto"/>
          </w:tcPr>
          <w:p w14:paraId="4FA4D2AF" w14:textId="77777777" w:rsidR="00E415DE" w:rsidRPr="00E415DE" w:rsidRDefault="00E415DE" w:rsidP="001B0EFC">
            <w:pPr>
              <w:pStyle w:val="TableText"/>
              <w:ind w:left="57" w:right="57"/>
              <w:rPr>
                <w:rFonts w:cs="Arial"/>
                <w:szCs w:val="18"/>
              </w:rPr>
            </w:pPr>
            <w:r w:rsidRPr="00E415DE">
              <w:rPr>
                <w:rFonts w:cs="Arial"/>
                <w:szCs w:val="18"/>
              </w:rPr>
              <w:t>The NCSP should provide support to DHBs and PHOs to enable a standard, best practice approach to the use of the data matching tools to ensure optimum matching of data between the NCSP-R and General Practice, Practice Management Systems (PMS).</w:t>
            </w:r>
          </w:p>
        </w:tc>
        <w:tc>
          <w:tcPr>
            <w:tcW w:w="2189" w:type="pct"/>
            <w:shd w:val="clear" w:color="auto" w:fill="auto"/>
          </w:tcPr>
          <w:p w14:paraId="01335121" w14:textId="77777777" w:rsidR="00E415DE" w:rsidRPr="00E415DE" w:rsidRDefault="00E415DE" w:rsidP="001B0EFC">
            <w:pPr>
              <w:pStyle w:val="TableText"/>
              <w:ind w:left="57" w:right="57"/>
              <w:rPr>
                <w:rFonts w:cs="Arial"/>
                <w:szCs w:val="18"/>
              </w:rPr>
            </w:pPr>
            <w:r w:rsidRPr="00E415DE">
              <w:rPr>
                <w:rFonts w:cs="Arial"/>
                <w:szCs w:val="18"/>
              </w:rPr>
              <w:t>Monitoring and reporting is a key workstream within HPV implementation, and direct look up access to the Register for providers will be enabled as part of the change.</w:t>
            </w:r>
          </w:p>
        </w:tc>
        <w:tc>
          <w:tcPr>
            <w:tcW w:w="467" w:type="pct"/>
            <w:shd w:val="clear" w:color="auto" w:fill="auto"/>
          </w:tcPr>
          <w:p w14:paraId="28BC1264" w14:textId="77777777" w:rsidR="00E415DE" w:rsidRPr="00E415DE" w:rsidRDefault="00E415DE" w:rsidP="001B0EFC">
            <w:pPr>
              <w:pStyle w:val="TableText"/>
              <w:ind w:left="57"/>
              <w:rPr>
                <w:rFonts w:cs="Arial"/>
                <w:szCs w:val="18"/>
              </w:rPr>
            </w:pPr>
            <w:r w:rsidRPr="00E415DE">
              <w:rPr>
                <w:rFonts w:cs="Arial"/>
                <w:szCs w:val="18"/>
              </w:rPr>
              <w:t>Closed: this will be undertaken as part of HPV primary screening implementation.</w:t>
            </w:r>
          </w:p>
        </w:tc>
      </w:tr>
      <w:tr w:rsidR="00E415DE" w:rsidRPr="00E415DE" w14:paraId="20816FB3" w14:textId="77777777" w:rsidTr="001B0EFC">
        <w:trPr>
          <w:cantSplit/>
        </w:trPr>
        <w:tc>
          <w:tcPr>
            <w:tcW w:w="538" w:type="pct"/>
            <w:shd w:val="clear" w:color="auto" w:fill="auto"/>
          </w:tcPr>
          <w:p w14:paraId="56A388EB" w14:textId="77777777" w:rsidR="00E415DE" w:rsidRPr="00E415DE" w:rsidRDefault="00E415DE" w:rsidP="001B0EFC">
            <w:pPr>
              <w:pStyle w:val="TableText"/>
              <w:ind w:right="57"/>
              <w:rPr>
                <w:rFonts w:cs="Arial"/>
                <w:szCs w:val="18"/>
              </w:rPr>
            </w:pPr>
            <w:r w:rsidRPr="00E415DE">
              <w:rPr>
                <w:rFonts w:cs="Arial"/>
                <w:szCs w:val="18"/>
              </w:rPr>
              <w:t>Equity</w:t>
            </w:r>
          </w:p>
        </w:tc>
        <w:tc>
          <w:tcPr>
            <w:tcW w:w="146" w:type="pct"/>
            <w:shd w:val="clear" w:color="auto" w:fill="auto"/>
          </w:tcPr>
          <w:p w14:paraId="5AC87BD5" w14:textId="77777777" w:rsidR="00E415DE" w:rsidRPr="00E415DE" w:rsidRDefault="00E415DE" w:rsidP="001B0EFC">
            <w:pPr>
              <w:pStyle w:val="TableText"/>
              <w:ind w:left="57" w:right="57"/>
              <w:jc w:val="center"/>
              <w:rPr>
                <w:rFonts w:cs="Arial"/>
                <w:szCs w:val="18"/>
              </w:rPr>
            </w:pPr>
            <w:r w:rsidRPr="00E415DE">
              <w:rPr>
                <w:rFonts w:cs="Arial"/>
                <w:szCs w:val="18"/>
              </w:rPr>
              <w:t>12</w:t>
            </w:r>
          </w:p>
        </w:tc>
        <w:tc>
          <w:tcPr>
            <w:tcW w:w="1661" w:type="pct"/>
            <w:shd w:val="clear" w:color="auto" w:fill="auto"/>
          </w:tcPr>
          <w:p w14:paraId="584379C3" w14:textId="77777777" w:rsidR="00E415DE" w:rsidRPr="00E415DE" w:rsidRDefault="00E415DE" w:rsidP="001B0EFC">
            <w:pPr>
              <w:pStyle w:val="TableText"/>
              <w:ind w:left="57" w:right="57"/>
              <w:rPr>
                <w:rFonts w:cs="Arial"/>
                <w:szCs w:val="18"/>
              </w:rPr>
            </w:pPr>
            <w:r w:rsidRPr="00E415DE">
              <w:rPr>
                <w:rFonts w:cs="Arial"/>
                <w:szCs w:val="18"/>
              </w:rPr>
              <w:t>The NSU should work with the relevant Ministry of Health Directorates to explore opportunities for measuring access to national screening services for disability and mental health service users as well as the LGBTQI community.</w:t>
            </w:r>
          </w:p>
        </w:tc>
        <w:tc>
          <w:tcPr>
            <w:tcW w:w="2189" w:type="pct"/>
            <w:shd w:val="clear" w:color="auto" w:fill="auto"/>
          </w:tcPr>
          <w:p w14:paraId="2FA31072" w14:textId="77777777" w:rsidR="00E415DE" w:rsidRPr="00E415DE" w:rsidRDefault="00E415DE" w:rsidP="001B0EFC">
            <w:pPr>
              <w:pStyle w:val="TableText"/>
              <w:ind w:left="57" w:right="57"/>
              <w:rPr>
                <w:rFonts w:cs="Arial"/>
                <w:szCs w:val="18"/>
              </w:rPr>
            </w:pPr>
            <w:r w:rsidRPr="00E415DE">
              <w:rPr>
                <w:rFonts w:cs="Arial"/>
                <w:szCs w:val="18"/>
              </w:rPr>
              <w:t>Opportunities to measure access to national screening services for specific population groups will depend on the information available via in-patient management systems and whether population groups have all necessary indicators to create a combined measure. No further actions can be taken at this point because of data quality issues in primary care patient management systems.</w:t>
            </w:r>
          </w:p>
        </w:tc>
        <w:tc>
          <w:tcPr>
            <w:tcW w:w="467" w:type="pct"/>
            <w:shd w:val="clear" w:color="auto" w:fill="auto"/>
          </w:tcPr>
          <w:p w14:paraId="1DBAC0C1" w14:textId="77777777" w:rsidR="00E415DE" w:rsidRPr="00E415DE" w:rsidRDefault="00E415DE" w:rsidP="001B0EFC">
            <w:pPr>
              <w:pStyle w:val="TableText"/>
              <w:ind w:left="57"/>
              <w:rPr>
                <w:rFonts w:cs="Arial"/>
                <w:szCs w:val="18"/>
              </w:rPr>
            </w:pPr>
            <w:r w:rsidRPr="00E415DE">
              <w:rPr>
                <w:rFonts w:cs="Arial"/>
                <w:szCs w:val="18"/>
              </w:rPr>
              <w:t>Closed.</w:t>
            </w:r>
          </w:p>
        </w:tc>
      </w:tr>
      <w:tr w:rsidR="00E415DE" w:rsidRPr="00E415DE" w14:paraId="52006F33" w14:textId="77777777" w:rsidTr="001B0EFC">
        <w:trPr>
          <w:cantSplit/>
        </w:trPr>
        <w:tc>
          <w:tcPr>
            <w:tcW w:w="538" w:type="pct"/>
            <w:shd w:val="clear" w:color="auto" w:fill="auto"/>
          </w:tcPr>
          <w:p w14:paraId="20A6F9B9" w14:textId="77777777" w:rsidR="00E415DE" w:rsidRPr="00E415DE" w:rsidRDefault="00E415DE" w:rsidP="001B0EFC">
            <w:pPr>
              <w:pStyle w:val="TableText"/>
              <w:ind w:right="57"/>
              <w:rPr>
                <w:rFonts w:cs="Arial"/>
                <w:szCs w:val="18"/>
              </w:rPr>
            </w:pPr>
            <w:r w:rsidRPr="00E415DE">
              <w:rPr>
                <w:rFonts w:cs="Arial"/>
                <w:szCs w:val="18"/>
              </w:rPr>
              <w:t>Monitoring and evaluation</w:t>
            </w:r>
          </w:p>
        </w:tc>
        <w:tc>
          <w:tcPr>
            <w:tcW w:w="146" w:type="pct"/>
            <w:shd w:val="clear" w:color="auto" w:fill="auto"/>
          </w:tcPr>
          <w:p w14:paraId="40C703ED" w14:textId="77777777" w:rsidR="00E415DE" w:rsidRPr="00E415DE" w:rsidRDefault="00E415DE" w:rsidP="001B0EFC">
            <w:pPr>
              <w:pStyle w:val="TableText"/>
              <w:ind w:left="57" w:right="57"/>
              <w:jc w:val="center"/>
              <w:rPr>
                <w:rFonts w:cs="Arial"/>
                <w:szCs w:val="18"/>
              </w:rPr>
            </w:pPr>
            <w:r w:rsidRPr="00E415DE">
              <w:rPr>
                <w:rFonts w:cs="Arial"/>
                <w:szCs w:val="18"/>
              </w:rPr>
              <w:t>13</w:t>
            </w:r>
          </w:p>
        </w:tc>
        <w:tc>
          <w:tcPr>
            <w:tcW w:w="1661" w:type="pct"/>
            <w:shd w:val="clear" w:color="auto" w:fill="auto"/>
          </w:tcPr>
          <w:p w14:paraId="2DEE6D25" w14:textId="77777777" w:rsidR="00E415DE" w:rsidRPr="00E415DE" w:rsidRDefault="00E415DE" w:rsidP="001B0EFC">
            <w:pPr>
              <w:pStyle w:val="TableText"/>
              <w:ind w:left="57" w:right="57"/>
              <w:rPr>
                <w:rFonts w:cs="Arial"/>
                <w:szCs w:val="18"/>
              </w:rPr>
            </w:pPr>
            <w:r w:rsidRPr="00E415DE">
              <w:rPr>
                <w:rFonts w:cs="Arial"/>
                <w:szCs w:val="18"/>
              </w:rPr>
              <w:t>Independent monitoring reports should be carried out annually, and not six-monthly. Interval monitoring data reports of key standards can be developed internally by the NSU.</w:t>
            </w:r>
          </w:p>
        </w:tc>
        <w:tc>
          <w:tcPr>
            <w:tcW w:w="2189" w:type="pct"/>
            <w:shd w:val="clear" w:color="auto" w:fill="auto"/>
          </w:tcPr>
          <w:p w14:paraId="2EDDFA50" w14:textId="77777777" w:rsidR="00E415DE" w:rsidRPr="00E415DE" w:rsidRDefault="00E415DE" w:rsidP="001B0EFC">
            <w:pPr>
              <w:pStyle w:val="TableText"/>
              <w:ind w:left="57" w:right="57"/>
              <w:rPr>
                <w:rFonts w:cs="Arial"/>
                <w:szCs w:val="18"/>
              </w:rPr>
            </w:pPr>
            <w:r w:rsidRPr="00E415DE">
              <w:rPr>
                <w:rFonts w:cs="Arial"/>
                <w:szCs w:val="18"/>
              </w:rPr>
              <w:t>Moving from six-monthly to annual independent monitoring was planned in 2021. Interval monitoring is already in place via a district coverage application. Work is progressing to develop an interval laboratory report and an interval colposcopy report.</w:t>
            </w:r>
          </w:p>
        </w:tc>
        <w:tc>
          <w:tcPr>
            <w:tcW w:w="467" w:type="pct"/>
            <w:shd w:val="clear" w:color="auto" w:fill="auto"/>
          </w:tcPr>
          <w:p w14:paraId="14D888AF" w14:textId="77777777" w:rsidR="00E415DE" w:rsidRPr="00E415DE" w:rsidRDefault="00E415DE" w:rsidP="001B0EFC">
            <w:pPr>
              <w:pStyle w:val="TableText"/>
              <w:ind w:left="57"/>
              <w:rPr>
                <w:rFonts w:cs="Arial"/>
                <w:szCs w:val="18"/>
              </w:rPr>
            </w:pPr>
            <w:r w:rsidRPr="00E415DE">
              <w:rPr>
                <w:rFonts w:cs="Arial"/>
                <w:szCs w:val="18"/>
              </w:rPr>
              <w:t>Closed.</w:t>
            </w:r>
          </w:p>
        </w:tc>
      </w:tr>
      <w:tr w:rsidR="00E415DE" w:rsidRPr="00E415DE" w14:paraId="69C793CE" w14:textId="77777777" w:rsidTr="001B0EFC">
        <w:trPr>
          <w:cantSplit/>
        </w:trPr>
        <w:tc>
          <w:tcPr>
            <w:tcW w:w="538" w:type="pct"/>
            <w:shd w:val="clear" w:color="auto" w:fill="auto"/>
          </w:tcPr>
          <w:p w14:paraId="75B6D842" w14:textId="77777777" w:rsidR="00E415DE" w:rsidRPr="00E415DE" w:rsidRDefault="00E415DE" w:rsidP="001B0EFC">
            <w:pPr>
              <w:pStyle w:val="TableText"/>
              <w:ind w:right="57"/>
              <w:rPr>
                <w:rFonts w:cs="Arial"/>
                <w:szCs w:val="18"/>
              </w:rPr>
            </w:pPr>
            <w:r w:rsidRPr="00E415DE">
              <w:rPr>
                <w:rFonts w:cs="Arial"/>
                <w:szCs w:val="18"/>
              </w:rPr>
              <w:t xml:space="preserve">Monitoring and evaluation </w:t>
            </w:r>
          </w:p>
        </w:tc>
        <w:tc>
          <w:tcPr>
            <w:tcW w:w="146" w:type="pct"/>
            <w:shd w:val="clear" w:color="auto" w:fill="auto"/>
          </w:tcPr>
          <w:p w14:paraId="029348ED" w14:textId="77777777" w:rsidR="00E415DE" w:rsidRPr="00E415DE" w:rsidRDefault="00E415DE" w:rsidP="001B0EFC">
            <w:pPr>
              <w:pStyle w:val="TableText"/>
              <w:ind w:left="57" w:right="57"/>
              <w:jc w:val="center"/>
              <w:rPr>
                <w:rFonts w:cs="Arial"/>
                <w:szCs w:val="18"/>
              </w:rPr>
            </w:pPr>
            <w:r w:rsidRPr="00E415DE">
              <w:rPr>
                <w:rFonts w:cs="Arial"/>
                <w:szCs w:val="18"/>
              </w:rPr>
              <w:t>14</w:t>
            </w:r>
          </w:p>
        </w:tc>
        <w:tc>
          <w:tcPr>
            <w:tcW w:w="1661" w:type="pct"/>
            <w:shd w:val="clear" w:color="auto" w:fill="auto"/>
          </w:tcPr>
          <w:p w14:paraId="676163C4" w14:textId="77777777" w:rsidR="00E415DE" w:rsidRPr="00E415DE" w:rsidRDefault="00E415DE" w:rsidP="001B0EFC">
            <w:pPr>
              <w:pStyle w:val="TableText"/>
              <w:ind w:left="57" w:right="57"/>
              <w:rPr>
                <w:rFonts w:cs="Arial"/>
                <w:szCs w:val="18"/>
              </w:rPr>
            </w:pPr>
            <w:r w:rsidRPr="00E415DE">
              <w:rPr>
                <w:rFonts w:cs="Arial"/>
                <w:szCs w:val="18"/>
              </w:rPr>
              <w:t>The NCSP Independent Monitoring Reports, provided by independent external experts, should be continued for the foreseeable future including the transition to and implementation of the new primary HPV screening programme. The NCSP will benefit by having continued independent, robust, and transparent evaluation of the programme.</w:t>
            </w:r>
          </w:p>
        </w:tc>
        <w:tc>
          <w:tcPr>
            <w:tcW w:w="2189" w:type="pct"/>
            <w:shd w:val="clear" w:color="auto" w:fill="auto"/>
          </w:tcPr>
          <w:p w14:paraId="1E3D54D6" w14:textId="77777777" w:rsidR="00E415DE" w:rsidRPr="00E415DE" w:rsidRDefault="00E415DE" w:rsidP="001B0EFC">
            <w:pPr>
              <w:pStyle w:val="TableText"/>
              <w:ind w:left="57" w:right="57"/>
              <w:rPr>
                <w:rFonts w:cs="Arial"/>
                <w:szCs w:val="18"/>
              </w:rPr>
            </w:pPr>
            <w:r w:rsidRPr="00E415DE">
              <w:rPr>
                <w:rFonts w:cs="Arial"/>
                <w:szCs w:val="18"/>
              </w:rPr>
              <w:t>Independent Monitoring Reports are in place in the current programme. Actions required to further achieve the outcome are already in scope as part of implementing HPV primary screening.</w:t>
            </w:r>
          </w:p>
          <w:p w14:paraId="31EC5F2C" w14:textId="77777777" w:rsidR="00E415DE" w:rsidRPr="00E415DE" w:rsidRDefault="00E415DE" w:rsidP="001B0EFC">
            <w:pPr>
              <w:pStyle w:val="TableText"/>
              <w:ind w:left="57" w:right="57"/>
              <w:rPr>
                <w:rFonts w:cs="Arial"/>
                <w:szCs w:val="18"/>
              </w:rPr>
            </w:pPr>
          </w:p>
        </w:tc>
        <w:tc>
          <w:tcPr>
            <w:tcW w:w="467" w:type="pct"/>
            <w:shd w:val="clear" w:color="auto" w:fill="auto"/>
          </w:tcPr>
          <w:p w14:paraId="540BF51F" w14:textId="77777777" w:rsidR="00E415DE" w:rsidRPr="00E415DE" w:rsidRDefault="00E415DE" w:rsidP="001B0EFC">
            <w:pPr>
              <w:pStyle w:val="TableText"/>
              <w:ind w:left="57"/>
              <w:rPr>
                <w:rFonts w:cs="Arial"/>
                <w:szCs w:val="18"/>
              </w:rPr>
            </w:pPr>
            <w:r w:rsidRPr="00E415DE">
              <w:rPr>
                <w:rFonts w:cs="Arial"/>
                <w:szCs w:val="18"/>
              </w:rPr>
              <w:t>Closed: this is included as a key workstream of HPV primary screening implementation.</w:t>
            </w:r>
          </w:p>
        </w:tc>
      </w:tr>
      <w:tr w:rsidR="00E415DE" w:rsidRPr="00E415DE" w14:paraId="487D3019" w14:textId="77777777" w:rsidTr="001B0EFC">
        <w:trPr>
          <w:cantSplit/>
        </w:trPr>
        <w:tc>
          <w:tcPr>
            <w:tcW w:w="538" w:type="pct"/>
            <w:shd w:val="clear" w:color="auto" w:fill="auto"/>
          </w:tcPr>
          <w:p w14:paraId="287E351B" w14:textId="77777777" w:rsidR="00E415DE" w:rsidRPr="00E415DE" w:rsidRDefault="00E415DE" w:rsidP="001B0EFC">
            <w:pPr>
              <w:pStyle w:val="TableText"/>
              <w:ind w:right="57"/>
              <w:rPr>
                <w:rFonts w:cs="Arial"/>
                <w:szCs w:val="18"/>
              </w:rPr>
            </w:pPr>
            <w:r w:rsidRPr="00E415DE">
              <w:rPr>
                <w:rFonts w:cs="Arial"/>
                <w:szCs w:val="18"/>
              </w:rPr>
              <w:t>Monitoring and evaluation</w:t>
            </w:r>
          </w:p>
        </w:tc>
        <w:tc>
          <w:tcPr>
            <w:tcW w:w="146" w:type="pct"/>
            <w:shd w:val="clear" w:color="auto" w:fill="auto"/>
          </w:tcPr>
          <w:p w14:paraId="0CC81C89" w14:textId="77777777" w:rsidR="00E415DE" w:rsidRPr="00E415DE" w:rsidRDefault="00E415DE" w:rsidP="001B0EFC">
            <w:pPr>
              <w:pStyle w:val="TableText"/>
              <w:ind w:left="57" w:right="57"/>
              <w:jc w:val="center"/>
              <w:rPr>
                <w:rFonts w:cs="Arial"/>
                <w:szCs w:val="18"/>
              </w:rPr>
            </w:pPr>
            <w:r w:rsidRPr="00E415DE">
              <w:rPr>
                <w:rFonts w:cs="Arial"/>
                <w:szCs w:val="18"/>
              </w:rPr>
              <w:t>15</w:t>
            </w:r>
          </w:p>
        </w:tc>
        <w:tc>
          <w:tcPr>
            <w:tcW w:w="1661" w:type="pct"/>
            <w:shd w:val="clear" w:color="auto" w:fill="auto"/>
          </w:tcPr>
          <w:p w14:paraId="73FB716F" w14:textId="77777777" w:rsidR="00E415DE" w:rsidRPr="00E415DE" w:rsidRDefault="00E415DE" w:rsidP="001B0EFC">
            <w:pPr>
              <w:pStyle w:val="TableText"/>
              <w:ind w:left="57" w:right="57"/>
              <w:rPr>
                <w:rFonts w:cs="Arial"/>
                <w:szCs w:val="18"/>
              </w:rPr>
            </w:pPr>
            <w:r w:rsidRPr="00E415DE">
              <w:rPr>
                <w:rFonts w:cs="Arial"/>
                <w:szCs w:val="18"/>
              </w:rPr>
              <w:t>The NCSP should implement processes to monitor – ideally monthly – the timeliness of cytology reporting in the lead-up to HPV screening so that indications and early trends of capacity constraints might be identified.</w:t>
            </w:r>
          </w:p>
        </w:tc>
        <w:tc>
          <w:tcPr>
            <w:tcW w:w="2189" w:type="pct"/>
            <w:shd w:val="clear" w:color="auto" w:fill="auto"/>
          </w:tcPr>
          <w:p w14:paraId="103B9BF9" w14:textId="77777777" w:rsidR="00E415DE" w:rsidRPr="00E415DE" w:rsidRDefault="00E415DE" w:rsidP="001B0EFC">
            <w:pPr>
              <w:pStyle w:val="TableText"/>
              <w:ind w:left="57" w:right="57"/>
              <w:rPr>
                <w:rFonts w:cs="Arial"/>
                <w:szCs w:val="18"/>
              </w:rPr>
            </w:pPr>
            <w:r w:rsidRPr="00E415DE">
              <w:rPr>
                <w:rFonts w:cs="Arial"/>
                <w:szCs w:val="18"/>
              </w:rPr>
              <w:t>This will be considered as part of HPV primary screening implementation.</w:t>
            </w:r>
          </w:p>
          <w:p w14:paraId="59DB619E" w14:textId="77777777" w:rsidR="00E415DE" w:rsidRPr="00E415DE" w:rsidRDefault="00E415DE" w:rsidP="001B0EFC">
            <w:pPr>
              <w:pStyle w:val="TableText"/>
              <w:ind w:left="57" w:right="57"/>
              <w:rPr>
                <w:rFonts w:cs="Arial"/>
                <w:szCs w:val="18"/>
              </w:rPr>
            </w:pPr>
          </w:p>
        </w:tc>
        <w:tc>
          <w:tcPr>
            <w:tcW w:w="467" w:type="pct"/>
            <w:shd w:val="clear" w:color="auto" w:fill="auto"/>
          </w:tcPr>
          <w:p w14:paraId="503CD326" w14:textId="77777777" w:rsidR="00E415DE" w:rsidRPr="00E415DE" w:rsidRDefault="00E415DE" w:rsidP="001B0EFC">
            <w:pPr>
              <w:pStyle w:val="TableText"/>
              <w:ind w:left="57"/>
              <w:rPr>
                <w:rFonts w:cs="Arial"/>
                <w:szCs w:val="18"/>
              </w:rPr>
            </w:pPr>
            <w:r w:rsidRPr="00E415DE">
              <w:rPr>
                <w:rFonts w:cs="Arial"/>
                <w:szCs w:val="18"/>
              </w:rPr>
              <w:t>Closed: monitoring is in place.</w:t>
            </w:r>
          </w:p>
        </w:tc>
      </w:tr>
      <w:tr w:rsidR="00E415DE" w:rsidRPr="00E415DE" w14:paraId="3641488E" w14:textId="77777777" w:rsidTr="001B0EFC">
        <w:trPr>
          <w:cantSplit/>
        </w:trPr>
        <w:tc>
          <w:tcPr>
            <w:tcW w:w="538" w:type="pct"/>
            <w:shd w:val="clear" w:color="auto" w:fill="auto"/>
          </w:tcPr>
          <w:p w14:paraId="05AAFA04" w14:textId="77777777" w:rsidR="00E415DE" w:rsidRPr="00E415DE" w:rsidRDefault="00E415DE" w:rsidP="001B0EFC">
            <w:pPr>
              <w:pStyle w:val="TableText"/>
              <w:keepNext/>
              <w:ind w:right="57"/>
              <w:rPr>
                <w:rFonts w:cs="Arial"/>
                <w:szCs w:val="18"/>
              </w:rPr>
            </w:pPr>
            <w:r w:rsidRPr="00E415DE">
              <w:rPr>
                <w:rFonts w:cs="Arial"/>
                <w:szCs w:val="18"/>
              </w:rPr>
              <w:t>Monitoring and evaluation</w:t>
            </w:r>
          </w:p>
        </w:tc>
        <w:tc>
          <w:tcPr>
            <w:tcW w:w="146" w:type="pct"/>
            <w:shd w:val="clear" w:color="auto" w:fill="auto"/>
          </w:tcPr>
          <w:p w14:paraId="0B461125" w14:textId="77777777" w:rsidR="00E415DE" w:rsidRPr="00E415DE" w:rsidRDefault="00E415DE" w:rsidP="001B0EFC">
            <w:pPr>
              <w:pStyle w:val="TableText"/>
              <w:keepNext/>
              <w:ind w:left="57" w:right="57"/>
              <w:jc w:val="center"/>
              <w:rPr>
                <w:rFonts w:cs="Arial"/>
                <w:szCs w:val="18"/>
              </w:rPr>
            </w:pPr>
            <w:r w:rsidRPr="00E415DE">
              <w:rPr>
                <w:rFonts w:cs="Arial"/>
                <w:szCs w:val="18"/>
              </w:rPr>
              <w:t>16</w:t>
            </w:r>
          </w:p>
        </w:tc>
        <w:tc>
          <w:tcPr>
            <w:tcW w:w="1661" w:type="pct"/>
            <w:shd w:val="clear" w:color="auto" w:fill="auto"/>
          </w:tcPr>
          <w:p w14:paraId="1A0C79EE" w14:textId="77777777" w:rsidR="00E415DE" w:rsidRPr="00E415DE" w:rsidRDefault="00E415DE" w:rsidP="001B0EFC">
            <w:pPr>
              <w:pStyle w:val="TableText"/>
              <w:keepNext/>
              <w:ind w:left="57" w:right="57"/>
              <w:rPr>
                <w:rFonts w:cs="Arial"/>
                <w:szCs w:val="18"/>
              </w:rPr>
            </w:pPr>
            <w:r w:rsidRPr="00E415DE">
              <w:rPr>
                <w:rFonts w:cs="Arial"/>
                <w:szCs w:val="18"/>
              </w:rPr>
              <w:t>The recommended timelines for ‘referral to colposcopy’ should be reviewed to ensure that they are appropriate, realistic, and safe.</w:t>
            </w:r>
          </w:p>
        </w:tc>
        <w:tc>
          <w:tcPr>
            <w:tcW w:w="2189" w:type="pct"/>
            <w:shd w:val="clear" w:color="auto" w:fill="auto"/>
          </w:tcPr>
          <w:p w14:paraId="6BAE6FDB" w14:textId="77777777" w:rsidR="00E415DE" w:rsidRPr="00E415DE" w:rsidRDefault="00E415DE" w:rsidP="001B0EFC">
            <w:pPr>
              <w:pStyle w:val="TableText"/>
              <w:keepNext/>
              <w:ind w:left="57" w:right="57"/>
              <w:rPr>
                <w:rFonts w:cs="Arial"/>
                <w:szCs w:val="18"/>
              </w:rPr>
            </w:pPr>
            <w:r w:rsidRPr="00E415DE">
              <w:rPr>
                <w:rFonts w:cs="Arial"/>
                <w:szCs w:val="18"/>
              </w:rPr>
              <w:t>This will be reviewed as part of HPV primary screening implementation.</w:t>
            </w:r>
          </w:p>
          <w:p w14:paraId="1E0620F1" w14:textId="77777777" w:rsidR="00E415DE" w:rsidRPr="00E415DE" w:rsidRDefault="00E415DE" w:rsidP="001B0EFC">
            <w:pPr>
              <w:pStyle w:val="TableText"/>
              <w:keepNext/>
              <w:ind w:left="57" w:right="57"/>
              <w:rPr>
                <w:rFonts w:cs="Arial"/>
                <w:szCs w:val="18"/>
              </w:rPr>
            </w:pPr>
          </w:p>
        </w:tc>
        <w:tc>
          <w:tcPr>
            <w:tcW w:w="467" w:type="pct"/>
            <w:shd w:val="clear" w:color="auto" w:fill="auto"/>
          </w:tcPr>
          <w:p w14:paraId="6C2A851B" w14:textId="77777777" w:rsidR="00E415DE" w:rsidRPr="00E415DE" w:rsidRDefault="00E415DE" w:rsidP="001B0EFC">
            <w:pPr>
              <w:pStyle w:val="TableText"/>
              <w:keepNext/>
              <w:ind w:left="57"/>
              <w:rPr>
                <w:rFonts w:cs="Arial"/>
                <w:szCs w:val="18"/>
              </w:rPr>
            </w:pPr>
            <w:r w:rsidRPr="00E415DE">
              <w:rPr>
                <w:rFonts w:cs="Arial"/>
                <w:szCs w:val="18"/>
              </w:rPr>
              <w:t>Closed: this will be undertaken as part of HPV primary screening implementation.</w:t>
            </w:r>
          </w:p>
        </w:tc>
      </w:tr>
      <w:tr w:rsidR="00E415DE" w:rsidRPr="00E415DE" w14:paraId="393AA767" w14:textId="77777777" w:rsidTr="001B0EFC">
        <w:trPr>
          <w:cantSplit/>
        </w:trPr>
        <w:tc>
          <w:tcPr>
            <w:tcW w:w="538" w:type="pct"/>
            <w:shd w:val="clear" w:color="auto" w:fill="auto"/>
          </w:tcPr>
          <w:p w14:paraId="01895139" w14:textId="77777777" w:rsidR="00E415DE" w:rsidRPr="00E415DE" w:rsidRDefault="00E415DE" w:rsidP="001B0EFC">
            <w:pPr>
              <w:pStyle w:val="TableText"/>
              <w:ind w:right="57"/>
              <w:rPr>
                <w:rFonts w:cs="Arial"/>
                <w:szCs w:val="18"/>
              </w:rPr>
            </w:pPr>
            <w:r w:rsidRPr="00E415DE">
              <w:rPr>
                <w:rFonts w:cs="Arial"/>
                <w:szCs w:val="18"/>
              </w:rPr>
              <w:t>Monitoring and evaluation</w:t>
            </w:r>
          </w:p>
        </w:tc>
        <w:tc>
          <w:tcPr>
            <w:tcW w:w="146" w:type="pct"/>
            <w:shd w:val="clear" w:color="auto" w:fill="auto"/>
          </w:tcPr>
          <w:p w14:paraId="0BFD9ED3" w14:textId="77777777" w:rsidR="00E415DE" w:rsidRPr="00E415DE" w:rsidRDefault="00E415DE" w:rsidP="001B0EFC">
            <w:pPr>
              <w:pStyle w:val="TableText"/>
              <w:ind w:left="57" w:right="57"/>
              <w:jc w:val="center"/>
              <w:rPr>
                <w:rFonts w:cs="Arial"/>
                <w:szCs w:val="18"/>
              </w:rPr>
            </w:pPr>
            <w:r w:rsidRPr="00E415DE">
              <w:rPr>
                <w:rFonts w:cs="Arial"/>
                <w:szCs w:val="18"/>
              </w:rPr>
              <w:t>17</w:t>
            </w:r>
          </w:p>
        </w:tc>
        <w:tc>
          <w:tcPr>
            <w:tcW w:w="1661" w:type="pct"/>
            <w:shd w:val="clear" w:color="auto" w:fill="auto"/>
          </w:tcPr>
          <w:p w14:paraId="1BC2B117" w14:textId="77777777" w:rsidR="00E415DE" w:rsidRPr="00E415DE" w:rsidRDefault="00E415DE" w:rsidP="001B0EFC">
            <w:pPr>
              <w:pStyle w:val="TableText"/>
              <w:ind w:left="57" w:right="57"/>
              <w:rPr>
                <w:rFonts w:cs="Arial"/>
                <w:szCs w:val="18"/>
              </w:rPr>
            </w:pPr>
            <w:r w:rsidRPr="00E415DE">
              <w:rPr>
                <w:rFonts w:cs="Arial"/>
                <w:szCs w:val="18"/>
              </w:rPr>
              <w:t>The targets for indicators currently included in the independent monitoring reports should be reviewed for the implementation of primary HPV screening, and some new indicators regarding HPV testing will be required.</w:t>
            </w:r>
          </w:p>
        </w:tc>
        <w:tc>
          <w:tcPr>
            <w:tcW w:w="2189" w:type="pct"/>
            <w:shd w:val="clear" w:color="auto" w:fill="auto"/>
          </w:tcPr>
          <w:p w14:paraId="17107352" w14:textId="77777777" w:rsidR="00E415DE" w:rsidRPr="00E415DE" w:rsidRDefault="00E415DE" w:rsidP="001B0EFC">
            <w:pPr>
              <w:pStyle w:val="TableText"/>
              <w:ind w:left="57" w:right="57"/>
              <w:rPr>
                <w:rFonts w:cs="Arial"/>
                <w:szCs w:val="18"/>
              </w:rPr>
            </w:pPr>
            <w:r w:rsidRPr="00E415DE">
              <w:rPr>
                <w:rFonts w:cs="Arial"/>
                <w:szCs w:val="18"/>
              </w:rPr>
              <w:t>This work has been commenced and is part of implementation for HPV primary screening.</w:t>
            </w:r>
          </w:p>
        </w:tc>
        <w:tc>
          <w:tcPr>
            <w:tcW w:w="467" w:type="pct"/>
            <w:shd w:val="clear" w:color="auto" w:fill="auto"/>
          </w:tcPr>
          <w:p w14:paraId="6D24D635" w14:textId="77777777" w:rsidR="00E415DE" w:rsidRPr="00E415DE" w:rsidRDefault="00E415DE" w:rsidP="001B0EFC">
            <w:pPr>
              <w:pStyle w:val="TableText"/>
              <w:ind w:left="57"/>
              <w:rPr>
                <w:rFonts w:cs="Arial"/>
                <w:szCs w:val="18"/>
              </w:rPr>
            </w:pPr>
            <w:r w:rsidRPr="00E415DE">
              <w:rPr>
                <w:rFonts w:cs="Arial"/>
                <w:szCs w:val="18"/>
              </w:rPr>
              <w:t>Closed: this will be undertaken as part of HPV primary screening implementation.</w:t>
            </w:r>
          </w:p>
        </w:tc>
      </w:tr>
      <w:tr w:rsidR="00E415DE" w:rsidRPr="00E415DE" w14:paraId="382BF548" w14:textId="77777777" w:rsidTr="001B0EFC">
        <w:trPr>
          <w:cantSplit/>
        </w:trPr>
        <w:tc>
          <w:tcPr>
            <w:tcW w:w="538" w:type="pct"/>
            <w:shd w:val="clear" w:color="auto" w:fill="auto"/>
          </w:tcPr>
          <w:p w14:paraId="1A34EB1E" w14:textId="77777777" w:rsidR="00E415DE" w:rsidRPr="00E415DE" w:rsidRDefault="00E415DE" w:rsidP="001B0EFC">
            <w:pPr>
              <w:pStyle w:val="TableText"/>
              <w:ind w:right="57"/>
              <w:rPr>
                <w:rFonts w:cs="Arial"/>
                <w:szCs w:val="18"/>
              </w:rPr>
            </w:pPr>
            <w:r w:rsidRPr="00E415DE">
              <w:rPr>
                <w:rFonts w:cs="Arial"/>
                <w:szCs w:val="18"/>
              </w:rPr>
              <w:t>Programme monitoring and evaluation</w:t>
            </w:r>
          </w:p>
        </w:tc>
        <w:tc>
          <w:tcPr>
            <w:tcW w:w="146" w:type="pct"/>
            <w:shd w:val="clear" w:color="auto" w:fill="auto"/>
          </w:tcPr>
          <w:p w14:paraId="7B2CA96C" w14:textId="77777777" w:rsidR="00E415DE" w:rsidRPr="00E415DE" w:rsidRDefault="00E415DE" w:rsidP="001B0EFC">
            <w:pPr>
              <w:pStyle w:val="TableText"/>
              <w:ind w:left="57" w:right="57"/>
              <w:jc w:val="center"/>
              <w:rPr>
                <w:rFonts w:cs="Arial"/>
                <w:szCs w:val="18"/>
              </w:rPr>
            </w:pPr>
            <w:r w:rsidRPr="00E415DE">
              <w:rPr>
                <w:rFonts w:cs="Arial"/>
                <w:szCs w:val="18"/>
              </w:rPr>
              <w:t>18</w:t>
            </w:r>
          </w:p>
        </w:tc>
        <w:tc>
          <w:tcPr>
            <w:tcW w:w="1661" w:type="pct"/>
            <w:shd w:val="clear" w:color="auto" w:fill="auto"/>
          </w:tcPr>
          <w:p w14:paraId="7B6C9808" w14:textId="77777777" w:rsidR="00E415DE" w:rsidRPr="00E415DE" w:rsidRDefault="00E415DE" w:rsidP="001B0EFC">
            <w:pPr>
              <w:pStyle w:val="TableText"/>
              <w:ind w:left="57" w:right="57"/>
              <w:rPr>
                <w:rFonts w:cs="Arial"/>
                <w:szCs w:val="18"/>
              </w:rPr>
            </w:pPr>
            <w:r w:rsidRPr="00E415DE">
              <w:rPr>
                <w:rFonts w:cs="Arial"/>
                <w:szCs w:val="18"/>
              </w:rPr>
              <w:t>The three-yearly audit of DHB contracted colposcopy services should continue, albeit in a modified form, with emphasis on areas not covered by e-colposcopy data reporting, such as those noted in Section B of the Audit Report. A definition of the risk matrix with identified timelines for correction should be included in any report.</w:t>
            </w:r>
          </w:p>
        </w:tc>
        <w:tc>
          <w:tcPr>
            <w:tcW w:w="2189" w:type="pct"/>
            <w:shd w:val="clear" w:color="auto" w:fill="auto"/>
          </w:tcPr>
          <w:p w14:paraId="1011583B" w14:textId="77777777" w:rsidR="00E415DE" w:rsidRPr="00E415DE" w:rsidRDefault="00E415DE" w:rsidP="001B0EFC">
            <w:pPr>
              <w:pStyle w:val="TableText"/>
              <w:ind w:left="57" w:right="57"/>
              <w:rPr>
                <w:rFonts w:cs="Arial"/>
                <w:szCs w:val="18"/>
              </w:rPr>
            </w:pPr>
            <w:r w:rsidRPr="00E415DE">
              <w:rPr>
                <w:rFonts w:cs="Arial"/>
                <w:szCs w:val="18"/>
              </w:rPr>
              <w:t>The NSU has contracted an independent quality assurance auditing agency to audit service providers contracted by the NSU. The audit programme commenced in March 2021 and includes colposcopy services. NSU induction and training on quality assurance audit for NSU staff and screening providers is continuing.</w:t>
            </w:r>
          </w:p>
        </w:tc>
        <w:tc>
          <w:tcPr>
            <w:tcW w:w="467" w:type="pct"/>
            <w:shd w:val="clear" w:color="auto" w:fill="auto"/>
          </w:tcPr>
          <w:p w14:paraId="04728383" w14:textId="77777777" w:rsidR="00E415DE" w:rsidRPr="00E415DE" w:rsidRDefault="00E415DE" w:rsidP="001B0EFC">
            <w:pPr>
              <w:pStyle w:val="TableText"/>
              <w:ind w:left="57"/>
              <w:rPr>
                <w:rFonts w:cs="Arial"/>
                <w:szCs w:val="18"/>
              </w:rPr>
            </w:pPr>
            <w:r w:rsidRPr="00E415DE">
              <w:rPr>
                <w:rFonts w:cs="Arial"/>
                <w:szCs w:val="18"/>
              </w:rPr>
              <w:t>Closed.</w:t>
            </w:r>
          </w:p>
        </w:tc>
      </w:tr>
      <w:tr w:rsidR="00E415DE" w:rsidRPr="00E415DE" w14:paraId="2BB838FB" w14:textId="77777777" w:rsidTr="001B0EFC">
        <w:trPr>
          <w:cantSplit/>
        </w:trPr>
        <w:tc>
          <w:tcPr>
            <w:tcW w:w="538" w:type="pct"/>
            <w:shd w:val="clear" w:color="auto" w:fill="auto"/>
          </w:tcPr>
          <w:p w14:paraId="096DA9F2" w14:textId="77777777" w:rsidR="00E415DE" w:rsidRPr="00E415DE" w:rsidRDefault="00E415DE" w:rsidP="001B0EFC">
            <w:pPr>
              <w:pStyle w:val="TableText"/>
              <w:ind w:right="57"/>
              <w:rPr>
                <w:rFonts w:cs="Arial"/>
                <w:szCs w:val="18"/>
              </w:rPr>
            </w:pPr>
            <w:r w:rsidRPr="00E415DE">
              <w:rPr>
                <w:rFonts w:cs="Arial"/>
                <w:szCs w:val="18"/>
              </w:rPr>
              <w:t>HPV primary screening</w:t>
            </w:r>
          </w:p>
        </w:tc>
        <w:tc>
          <w:tcPr>
            <w:tcW w:w="146" w:type="pct"/>
            <w:shd w:val="clear" w:color="auto" w:fill="auto"/>
          </w:tcPr>
          <w:p w14:paraId="4F1D53C6" w14:textId="77777777" w:rsidR="00E415DE" w:rsidRPr="00E415DE" w:rsidRDefault="00E415DE" w:rsidP="001B0EFC">
            <w:pPr>
              <w:pStyle w:val="TableText"/>
              <w:ind w:left="57" w:right="57"/>
              <w:jc w:val="center"/>
              <w:rPr>
                <w:rFonts w:cs="Arial"/>
                <w:szCs w:val="18"/>
              </w:rPr>
            </w:pPr>
            <w:r w:rsidRPr="00E415DE">
              <w:rPr>
                <w:rFonts w:cs="Arial"/>
                <w:szCs w:val="18"/>
              </w:rPr>
              <w:t>19</w:t>
            </w:r>
          </w:p>
        </w:tc>
        <w:tc>
          <w:tcPr>
            <w:tcW w:w="1661" w:type="pct"/>
            <w:shd w:val="clear" w:color="auto" w:fill="auto"/>
          </w:tcPr>
          <w:p w14:paraId="3323A8E0" w14:textId="77777777" w:rsidR="00E415DE" w:rsidRPr="00E415DE" w:rsidRDefault="00E415DE" w:rsidP="001B0EFC">
            <w:pPr>
              <w:pStyle w:val="TableText"/>
              <w:ind w:left="57" w:right="57"/>
              <w:rPr>
                <w:rFonts w:cs="Arial"/>
                <w:szCs w:val="18"/>
              </w:rPr>
            </w:pPr>
            <w:r w:rsidRPr="00E415DE">
              <w:rPr>
                <w:rFonts w:cs="Arial"/>
                <w:szCs w:val="18"/>
              </w:rPr>
              <w:t>Self-sampling should be included in the implementation of the primary HPV programme. The PRC believes it is essential that self-sampling be included in the initial implementation of the new programme, as this will lead to improved equity and increased participation for priority group women.</w:t>
            </w:r>
          </w:p>
        </w:tc>
        <w:tc>
          <w:tcPr>
            <w:tcW w:w="2189" w:type="pct"/>
            <w:shd w:val="clear" w:color="auto" w:fill="auto"/>
          </w:tcPr>
          <w:p w14:paraId="7A1259F6" w14:textId="77777777" w:rsidR="00E415DE" w:rsidRPr="00E415DE" w:rsidRDefault="00E415DE" w:rsidP="001B0EFC">
            <w:pPr>
              <w:pStyle w:val="TableText"/>
              <w:ind w:left="57" w:right="57"/>
              <w:rPr>
                <w:rFonts w:cs="Arial"/>
                <w:szCs w:val="18"/>
              </w:rPr>
            </w:pPr>
            <w:r w:rsidRPr="00E415DE">
              <w:rPr>
                <w:rFonts w:cs="Arial"/>
                <w:szCs w:val="18"/>
              </w:rPr>
              <w:t>Implementation of HPV primary screening includes the option of self-testing for all women. Funding to implement HPV primary screening has been approved with an implementation time from July 2023.</w:t>
            </w:r>
          </w:p>
        </w:tc>
        <w:tc>
          <w:tcPr>
            <w:tcW w:w="467" w:type="pct"/>
            <w:shd w:val="clear" w:color="auto" w:fill="auto"/>
          </w:tcPr>
          <w:p w14:paraId="2D12223D" w14:textId="77777777" w:rsidR="00E415DE" w:rsidRPr="00E415DE" w:rsidRDefault="00E415DE" w:rsidP="001B0EFC">
            <w:pPr>
              <w:pStyle w:val="TableText"/>
              <w:ind w:left="57"/>
              <w:rPr>
                <w:rFonts w:cs="Arial"/>
                <w:szCs w:val="18"/>
              </w:rPr>
            </w:pPr>
            <w:r w:rsidRPr="00E415DE">
              <w:rPr>
                <w:rFonts w:cs="Arial"/>
                <w:szCs w:val="18"/>
              </w:rPr>
              <w:t>Closed: this will be undertaken as part of HPV primary screening implementation.</w:t>
            </w:r>
          </w:p>
        </w:tc>
      </w:tr>
      <w:tr w:rsidR="00E415DE" w:rsidRPr="00E415DE" w14:paraId="6FDDBF50" w14:textId="77777777" w:rsidTr="001B0EFC">
        <w:trPr>
          <w:cantSplit/>
        </w:trPr>
        <w:tc>
          <w:tcPr>
            <w:tcW w:w="538" w:type="pct"/>
            <w:shd w:val="clear" w:color="auto" w:fill="auto"/>
          </w:tcPr>
          <w:p w14:paraId="556EBF36" w14:textId="77777777" w:rsidR="00E415DE" w:rsidRPr="00E415DE" w:rsidRDefault="00E415DE" w:rsidP="001B0EFC">
            <w:pPr>
              <w:pStyle w:val="TableText"/>
              <w:ind w:right="57"/>
              <w:rPr>
                <w:rFonts w:cs="Arial"/>
                <w:szCs w:val="18"/>
              </w:rPr>
            </w:pPr>
            <w:r w:rsidRPr="00E415DE">
              <w:rPr>
                <w:rFonts w:cs="Arial"/>
                <w:szCs w:val="18"/>
              </w:rPr>
              <w:t>HPV primary screening</w:t>
            </w:r>
          </w:p>
        </w:tc>
        <w:tc>
          <w:tcPr>
            <w:tcW w:w="146" w:type="pct"/>
            <w:shd w:val="clear" w:color="auto" w:fill="auto"/>
          </w:tcPr>
          <w:p w14:paraId="14AA6624" w14:textId="77777777" w:rsidR="00E415DE" w:rsidRPr="00E415DE" w:rsidRDefault="00E415DE" w:rsidP="001B0EFC">
            <w:pPr>
              <w:pStyle w:val="TableText"/>
              <w:ind w:left="57" w:right="57"/>
              <w:jc w:val="center"/>
              <w:rPr>
                <w:rFonts w:cs="Arial"/>
                <w:szCs w:val="18"/>
              </w:rPr>
            </w:pPr>
            <w:r w:rsidRPr="00E415DE">
              <w:rPr>
                <w:rFonts w:cs="Arial"/>
                <w:szCs w:val="18"/>
              </w:rPr>
              <w:t>20</w:t>
            </w:r>
          </w:p>
        </w:tc>
        <w:tc>
          <w:tcPr>
            <w:tcW w:w="1661" w:type="pct"/>
            <w:shd w:val="clear" w:color="auto" w:fill="auto"/>
          </w:tcPr>
          <w:p w14:paraId="681D3FA7" w14:textId="77777777" w:rsidR="00E415DE" w:rsidRPr="00E415DE" w:rsidRDefault="00E415DE" w:rsidP="001B0EFC">
            <w:pPr>
              <w:pStyle w:val="TableText"/>
              <w:ind w:left="57" w:right="57"/>
              <w:rPr>
                <w:rFonts w:cs="Arial"/>
                <w:szCs w:val="18"/>
              </w:rPr>
            </w:pPr>
            <w:r w:rsidRPr="00E415DE">
              <w:rPr>
                <w:rFonts w:cs="Arial"/>
                <w:szCs w:val="18"/>
              </w:rPr>
              <w:t>A pilot programme should be developed to examine the feasibility of ‘whole population self-sampling for cervical screening’.</w:t>
            </w:r>
          </w:p>
        </w:tc>
        <w:tc>
          <w:tcPr>
            <w:tcW w:w="2189" w:type="pct"/>
            <w:shd w:val="clear" w:color="auto" w:fill="auto"/>
          </w:tcPr>
          <w:p w14:paraId="451FDBEF" w14:textId="77777777" w:rsidR="00E415DE" w:rsidRPr="00E415DE" w:rsidRDefault="00E415DE" w:rsidP="001B0EFC">
            <w:pPr>
              <w:pStyle w:val="TableText"/>
              <w:ind w:left="57" w:right="57"/>
              <w:rPr>
                <w:rFonts w:cs="Arial"/>
                <w:szCs w:val="18"/>
              </w:rPr>
            </w:pPr>
            <w:r w:rsidRPr="00E415DE">
              <w:rPr>
                <w:rFonts w:cs="Arial"/>
                <w:szCs w:val="18"/>
              </w:rPr>
              <w:t>Policy decision includes self-testing as an option for all participants as part of HPV primary screening.</w:t>
            </w:r>
          </w:p>
          <w:p w14:paraId="724539BC" w14:textId="77777777" w:rsidR="00E415DE" w:rsidRPr="00E415DE" w:rsidRDefault="00E415DE" w:rsidP="001B0EFC">
            <w:pPr>
              <w:pStyle w:val="TableText"/>
              <w:ind w:left="57" w:right="57"/>
              <w:rPr>
                <w:rFonts w:cs="Arial"/>
                <w:szCs w:val="18"/>
              </w:rPr>
            </w:pPr>
          </w:p>
        </w:tc>
        <w:tc>
          <w:tcPr>
            <w:tcW w:w="467" w:type="pct"/>
            <w:shd w:val="clear" w:color="auto" w:fill="auto"/>
          </w:tcPr>
          <w:p w14:paraId="64C4E04C" w14:textId="77777777" w:rsidR="00E415DE" w:rsidRPr="00E415DE" w:rsidRDefault="00E415DE" w:rsidP="001B0EFC">
            <w:pPr>
              <w:pStyle w:val="TableText"/>
              <w:ind w:left="57"/>
              <w:rPr>
                <w:rFonts w:cs="Arial"/>
                <w:szCs w:val="18"/>
              </w:rPr>
            </w:pPr>
            <w:r w:rsidRPr="00E415DE">
              <w:rPr>
                <w:rFonts w:cs="Arial"/>
                <w:szCs w:val="18"/>
              </w:rPr>
              <w:t>Closed: this will be undertaken as part of HPV primary screening implementation.</w:t>
            </w:r>
          </w:p>
        </w:tc>
      </w:tr>
      <w:tr w:rsidR="00E415DE" w:rsidRPr="00E415DE" w14:paraId="7708CD07" w14:textId="77777777" w:rsidTr="001B0EFC">
        <w:trPr>
          <w:cantSplit/>
        </w:trPr>
        <w:tc>
          <w:tcPr>
            <w:tcW w:w="538" w:type="pct"/>
            <w:shd w:val="clear" w:color="auto" w:fill="auto"/>
          </w:tcPr>
          <w:p w14:paraId="29015BFF" w14:textId="77777777" w:rsidR="00E415DE" w:rsidRPr="00E415DE" w:rsidRDefault="00E415DE" w:rsidP="001B0EFC">
            <w:pPr>
              <w:pStyle w:val="TableText"/>
              <w:keepNext/>
              <w:ind w:right="57"/>
              <w:rPr>
                <w:rFonts w:cs="Arial"/>
                <w:szCs w:val="18"/>
              </w:rPr>
            </w:pPr>
            <w:r w:rsidRPr="00E415DE">
              <w:rPr>
                <w:rFonts w:cs="Arial"/>
                <w:szCs w:val="18"/>
              </w:rPr>
              <w:t>HPV primary screening</w:t>
            </w:r>
          </w:p>
        </w:tc>
        <w:tc>
          <w:tcPr>
            <w:tcW w:w="146" w:type="pct"/>
            <w:shd w:val="clear" w:color="auto" w:fill="auto"/>
          </w:tcPr>
          <w:p w14:paraId="343309E6" w14:textId="77777777" w:rsidR="00E415DE" w:rsidRPr="00E415DE" w:rsidRDefault="00E415DE" w:rsidP="001B0EFC">
            <w:pPr>
              <w:pStyle w:val="TableText"/>
              <w:keepNext/>
              <w:ind w:left="57" w:right="57"/>
              <w:jc w:val="center"/>
              <w:rPr>
                <w:rFonts w:cs="Arial"/>
                <w:szCs w:val="18"/>
              </w:rPr>
            </w:pPr>
            <w:r w:rsidRPr="00E415DE">
              <w:rPr>
                <w:rFonts w:cs="Arial"/>
                <w:szCs w:val="18"/>
              </w:rPr>
              <w:t>21</w:t>
            </w:r>
          </w:p>
        </w:tc>
        <w:tc>
          <w:tcPr>
            <w:tcW w:w="1661" w:type="pct"/>
            <w:shd w:val="clear" w:color="auto" w:fill="auto"/>
          </w:tcPr>
          <w:p w14:paraId="250F823D" w14:textId="77777777" w:rsidR="00E415DE" w:rsidRPr="00E415DE" w:rsidRDefault="00E415DE" w:rsidP="001B0EFC">
            <w:pPr>
              <w:pStyle w:val="TableText"/>
              <w:keepNext/>
              <w:ind w:left="57" w:right="57"/>
              <w:rPr>
                <w:rFonts w:cs="Arial"/>
                <w:szCs w:val="18"/>
              </w:rPr>
            </w:pPr>
            <w:r w:rsidRPr="00E415DE">
              <w:rPr>
                <w:rFonts w:cs="Arial"/>
                <w:szCs w:val="18"/>
              </w:rPr>
              <w:t>The ‘draft’ Clinical Practice Guidelines for Cervical Screening in New Zealand should be reviewed, including the development of a clinical management pathway for women who have HPV detected in a self-sample.</w:t>
            </w:r>
          </w:p>
        </w:tc>
        <w:tc>
          <w:tcPr>
            <w:tcW w:w="2189" w:type="pct"/>
            <w:shd w:val="clear" w:color="auto" w:fill="auto"/>
          </w:tcPr>
          <w:p w14:paraId="5F043526" w14:textId="77777777" w:rsidR="00E415DE" w:rsidRPr="00E415DE" w:rsidRDefault="00E415DE" w:rsidP="001B0EFC">
            <w:pPr>
              <w:pStyle w:val="TableText"/>
              <w:keepNext/>
              <w:ind w:left="57" w:right="57"/>
              <w:rPr>
                <w:rFonts w:cs="Arial"/>
                <w:szCs w:val="18"/>
              </w:rPr>
            </w:pPr>
            <w:r w:rsidRPr="00E415DE">
              <w:rPr>
                <w:rFonts w:cs="Arial"/>
                <w:szCs w:val="18"/>
              </w:rPr>
              <w:t xml:space="preserve">Draft guidelines for HPV primary screening have been completed. Sector consultation with pathologists, Royal Australian and New Zealand College of Obstetricians and Gynaecologists, and colposcopy clinics has been completed and the initial self-testing clinical pathway as part of HPV primary screening has had </w:t>
            </w:r>
            <w:proofErr w:type="spellStart"/>
            <w:r w:rsidRPr="00E415DE">
              <w:rPr>
                <w:rFonts w:cs="Arial"/>
                <w:szCs w:val="18"/>
              </w:rPr>
              <w:t>sectorwide</w:t>
            </w:r>
            <w:proofErr w:type="spellEnd"/>
            <w:r w:rsidRPr="00E415DE">
              <w:rPr>
                <w:rFonts w:cs="Arial"/>
                <w:szCs w:val="18"/>
              </w:rPr>
              <w:t xml:space="preserve"> and public consultation.</w:t>
            </w:r>
          </w:p>
        </w:tc>
        <w:tc>
          <w:tcPr>
            <w:tcW w:w="467" w:type="pct"/>
            <w:shd w:val="clear" w:color="auto" w:fill="auto"/>
          </w:tcPr>
          <w:p w14:paraId="3F77EE96" w14:textId="77777777" w:rsidR="00E415DE" w:rsidRPr="00E415DE" w:rsidRDefault="00E415DE" w:rsidP="001B0EFC">
            <w:pPr>
              <w:pStyle w:val="TableText"/>
              <w:keepNext/>
              <w:ind w:left="57"/>
              <w:rPr>
                <w:rFonts w:cs="Arial"/>
                <w:szCs w:val="18"/>
              </w:rPr>
            </w:pPr>
            <w:r w:rsidRPr="00E415DE">
              <w:rPr>
                <w:rFonts w:cs="Arial"/>
                <w:szCs w:val="18"/>
              </w:rPr>
              <w:t>Closed.</w:t>
            </w:r>
          </w:p>
        </w:tc>
      </w:tr>
      <w:tr w:rsidR="00E415DE" w:rsidRPr="00E415DE" w14:paraId="26698ED9" w14:textId="77777777" w:rsidTr="001B0EFC">
        <w:trPr>
          <w:cantSplit/>
        </w:trPr>
        <w:tc>
          <w:tcPr>
            <w:tcW w:w="538" w:type="pct"/>
            <w:shd w:val="clear" w:color="auto" w:fill="auto"/>
          </w:tcPr>
          <w:p w14:paraId="27AE6BE6" w14:textId="77777777" w:rsidR="00E415DE" w:rsidRPr="00E415DE" w:rsidRDefault="00E415DE" w:rsidP="001B0EFC">
            <w:pPr>
              <w:pStyle w:val="TableText"/>
              <w:ind w:right="57"/>
              <w:rPr>
                <w:rFonts w:cs="Arial"/>
                <w:szCs w:val="18"/>
              </w:rPr>
            </w:pPr>
            <w:r w:rsidRPr="00E415DE">
              <w:rPr>
                <w:rFonts w:cs="Arial"/>
                <w:szCs w:val="18"/>
              </w:rPr>
              <w:t>HPV primary screening</w:t>
            </w:r>
          </w:p>
        </w:tc>
        <w:tc>
          <w:tcPr>
            <w:tcW w:w="146" w:type="pct"/>
            <w:shd w:val="clear" w:color="auto" w:fill="auto"/>
          </w:tcPr>
          <w:p w14:paraId="696E0ED3" w14:textId="77777777" w:rsidR="00E415DE" w:rsidRPr="00E415DE" w:rsidRDefault="00E415DE" w:rsidP="001B0EFC">
            <w:pPr>
              <w:pStyle w:val="TableText"/>
              <w:ind w:left="57" w:right="57"/>
              <w:jc w:val="center"/>
              <w:rPr>
                <w:rFonts w:cs="Arial"/>
                <w:szCs w:val="18"/>
              </w:rPr>
            </w:pPr>
            <w:r w:rsidRPr="00E415DE">
              <w:rPr>
                <w:rFonts w:cs="Arial"/>
                <w:szCs w:val="18"/>
              </w:rPr>
              <w:t>22</w:t>
            </w:r>
          </w:p>
        </w:tc>
        <w:tc>
          <w:tcPr>
            <w:tcW w:w="1661" w:type="pct"/>
            <w:shd w:val="clear" w:color="auto" w:fill="auto"/>
          </w:tcPr>
          <w:p w14:paraId="3E3B9E4D" w14:textId="77777777" w:rsidR="00E415DE" w:rsidRPr="00E415DE" w:rsidRDefault="00E415DE" w:rsidP="001B0EFC">
            <w:pPr>
              <w:pStyle w:val="TableText"/>
              <w:ind w:left="57" w:right="57"/>
              <w:rPr>
                <w:rFonts w:cs="Arial"/>
                <w:szCs w:val="18"/>
              </w:rPr>
            </w:pPr>
            <w:r w:rsidRPr="00E415DE">
              <w:rPr>
                <w:rFonts w:cs="Arial"/>
                <w:szCs w:val="18"/>
              </w:rPr>
              <w:t>As part of implementing HPV primary screening, it will be important to incorporate the lead-in time required by pathology laboratories to commence HPV primary screening. The NSU should continue close collaboration and discussion with laboratories regarding the maintenance of a cytology workforce up to and after implementation of the new HPV screening programme. This includes providing early advice regarding the confirmed date of implementation of the new programme.</w:t>
            </w:r>
          </w:p>
        </w:tc>
        <w:tc>
          <w:tcPr>
            <w:tcW w:w="2189" w:type="pct"/>
            <w:shd w:val="clear" w:color="auto" w:fill="auto"/>
          </w:tcPr>
          <w:p w14:paraId="1034CE29" w14:textId="77777777" w:rsidR="00E415DE" w:rsidRPr="00E415DE" w:rsidRDefault="00E415DE" w:rsidP="001B0EFC">
            <w:pPr>
              <w:pStyle w:val="TableText"/>
              <w:ind w:left="57" w:right="57"/>
              <w:rPr>
                <w:rFonts w:cs="Arial"/>
                <w:szCs w:val="18"/>
              </w:rPr>
            </w:pPr>
            <w:r w:rsidRPr="00E415DE">
              <w:rPr>
                <w:rFonts w:cs="Arial"/>
                <w:szCs w:val="18"/>
              </w:rPr>
              <w:t>This is part of HPV primary screening implementation. The programme will continue to work closely with laboratory service providers.</w:t>
            </w:r>
          </w:p>
        </w:tc>
        <w:tc>
          <w:tcPr>
            <w:tcW w:w="467" w:type="pct"/>
            <w:shd w:val="clear" w:color="auto" w:fill="auto"/>
          </w:tcPr>
          <w:p w14:paraId="54D5BABC" w14:textId="77777777" w:rsidR="00E415DE" w:rsidRPr="00E415DE" w:rsidRDefault="00E415DE" w:rsidP="001B0EFC">
            <w:pPr>
              <w:pStyle w:val="TableText"/>
              <w:ind w:left="57"/>
              <w:rPr>
                <w:rFonts w:cs="Arial"/>
                <w:szCs w:val="18"/>
              </w:rPr>
            </w:pPr>
            <w:r w:rsidRPr="00E415DE">
              <w:rPr>
                <w:rFonts w:cs="Arial"/>
                <w:szCs w:val="18"/>
              </w:rPr>
              <w:t>Closed: this will be undertaken as part of HPV primary screening implementation.</w:t>
            </w:r>
          </w:p>
        </w:tc>
      </w:tr>
      <w:tr w:rsidR="00E415DE" w:rsidRPr="00E415DE" w14:paraId="56868B11" w14:textId="77777777" w:rsidTr="001B0EFC">
        <w:trPr>
          <w:cantSplit/>
        </w:trPr>
        <w:tc>
          <w:tcPr>
            <w:tcW w:w="538" w:type="pct"/>
            <w:shd w:val="clear" w:color="auto" w:fill="auto"/>
          </w:tcPr>
          <w:p w14:paraId="3A99D86C" w14:textId="77777777" w:rsidR="00E415DE" w:rsidRPr="00E415DE" w:rsidRDefault="00E415DE" w:rsidP="001B0EFC">
            <w:pPr>
              <w:pStyle w:val="TableText"/>
              <w:ind w:right="57"/>
              <w:rPr>
                <w:rFonts w:cs="Arial"/>
                <w:szCs w:val="18"/>
              </w:rPr>
            </w:pPr>
            <w:r w:rsidRPr="00E415DE">
              <w:rPr>
                <w:rFonts w:cs="Arial"/>
                <w:szCs w:val="18"/>
              </w:rPr>
              <w:t>Governance</w:t>
            </w:r>
          </w:p>
        </w:tc>
        <w:tc>
          <w:tcPr>
            <w:tcW w:w="146" w:type="pct"/>
            <w:shd w:val="clear" w:color="auto" w:fill="auto"/>
          </w:tcPr>
          <w:p w14:paraId="3B108CEA" w14:textId="77777777" w:rsidR="00E415DE" w:rsidRPr="00E415DE" w:rsidRDefault="00E415DE" w:rsidP="001B0EFC">
            <w:pPr>
              <w:pStyle w:val="TableText"/>
              <w:ind w:left="57" w:right="57"/>
              <w:jc w:val="center"/>
              <w:rPr>
                <w:rFonts w:cs="Arial"/>
                <w:szCs w:val="18"/>
              </w:rPr>
            </w:pPr>
            <w:r w:rsidRPr="00E415DE">
              <w:rPr>
                <w:rFonts w:cs="Arial"/>
                <w:szCs w:val="18"/>
              </w:rPr>
              <w:t>24</w:t>
            </w:r>
          </w:p>
        </w:tc>
        <w:tc>
          <w:tcPr>
            <w:tcW w:w="1661" w:type="pct"/>
            <w:shd w:val="clear" w:color="auto" w:fill="auto"/>
          </w:tcPr>
          <w:p w14:paraId="04FAB325" w14:textId="77777777" w:rsidR="00E415DE" w:rsidRPr="00E415DE" w:rsidRDefault="00E415DE" w:rsidP="001B0EFC">
            <w:pPr>
              <w:pStyle w:val="TableText"/>
              <w:ind w:left="57" w:right="57"/>
              <w:rPr>
                <w:rFonts w:cs="Arial"/>
                <w:szCs w:val="18"/>
              </w:rPr>
            </w:pPr>
            <w:r w:rsidRPr="00E415DE">
              <w:rPr>
                <w:rFonts w:cs="Arial"/>
                <w:szCs w:val="18"/>
              </w:rPr>
              <w:t>There should be a review of governance (both clinical and operational) and advisory committees to maximise efficiency of the committees and minimise potential duplication of work. There should be a focus on the multi-disciplinary requirements of committees leading this important population screening programme and the balance required between population screening and practising clinical expertise.</w:t>
            </w:r>
          </w:p>
        </w:tc>
        <w:tc>
          <w:tcPr>
            <w:tcW w:w="2189" w:type="pct"/>
            <w:shd w:val="clear" w:color="auto" w:fill="auto"/>
          </w:tcPr>
          <w:p w14:paraId="20B74685" w14:textId="77777777" w:rsidR="00E415DE" w:rsidRPr="00E415DE" w:rsidRDefault="00E415DE" w:rsidP="001B0EFC">
            <w:pPr>
              <w:pStyle w:val="TableText"/>
              <w:ind w:left="57" w:right="57"/>
              <w:rPr>
                <w:rFonts w:cs="Arial"/>
                <w:szCs w:val="18"/>
              </w:rPr>
            </w:pPr>
            <w:r w:rsidRPr="00E415DE">
              <w:rPr>
                <w:rFonts w:cs="Arial"/>
                <w:szCs w:val="18"/>
              </w:rPr>
              <w:t>Internal groups were reviewed in 2019 and include:</w:t>
            </w:r>
          </w:p>
          <w:p w14:paraId="32191902" w14:textId="77777777" w:rsidR="00E415DE" w:rsidRPr="00E415DE" w:rsidRDefault="00E415DE" w:rsidP="001B0EFC">
            <w:pPr>
              <w:pStyle w:val="TableBullet"/>
              <w:tabs>
                <w:tab w:val="clear" w:pos="284"/>
              </w:tabs>
              <w:ind w:left="341"/>
              <w:rPr>
                <w:rFonts w:ascii="Arial" w:hAnsi="Arial" w:cs="Arial"/>
                <w:szCs w:val="18"/>
              </w:rPr>
            </w:pPr>
            <w:r w:rsidRPr="00E415DE">
              <w:rPr>
                <w:rFonts w:ascii="Arial" w:hAnsi="Arial" w:cs="Arial"/>
                <w:szCs w:val="18"/>
              </w:rPr>
              <w:t>the Clinical Oversight Group (COG)</w:t>
            </w:r>
          </w:p>
          <w:p w14:paraId="07E14084" w14:textId="77777777" w:rsidR="00E415DE" w:rsidRPr="00E415DE" w:rsidRDefault="00E415DE" w:rsidP="001B0EFC">
            <w:pPr>
              <w:pStyle w:val="TableBullet"/>
              <w:tabs>
                <w:tab w:val="clear" w:pos="284"/>
              </w:tabs>
              <w:ind w:left="341"/>
              <w:rPr>
                <w:rFonts w:ascii="Arial" w:hAnsi="Arial" w:cs="Arial"/>
                <w:szCs w:val="18"/>
              </w:rPr>
            </w:pPr>
            <w:r w:rsidRPr="00E415DE">
              <w:rPr>
                <w:rFonts w:ascii="Arial" w:hAnsi="Arial" w:cs="Arial"/>
                <w:szCs w:val="18"/>
              </w:rPr>
              <w:t xml:space="preserve">the NCSP Leadership Group – this is a multi-disciplinary internal group that makes decisions on the programme </w:t>
            </w:r>
          </w:p>
          <w:p w14:paraId="6774B2CF" w14:textId="77777777" w:rsidR="00E415DE" w:rsidRPr="00E415DE" w:rsidRDefault="00E415DE" w:rsidP="001B0EFC">
            <w:pPr>
              <w:pStyle w:val="TableBullet"/>
              <w:tabs>
                <w:tab w:val="clear" w:pos="284"/>
              </w:tabs>
              <w:ind w:left="341"/>
              <w:rPr>
                <w:rFonts w:ascii="Arial" w:hAnsi="Arial" w:cs="Arial"/>
                <w:szCs w:val="18"/>
              </w:rPr>
            </w:pPr>
            <w:r w:rsidRPr="00E415DE">
              <w:rPr>
                <w:rFonts w:ascii="Arial" w:hAnsi="Arial" w:cs="Arial"/>
                <w:szCs w:val="18"/>
              </w:rPr>
              <w:t>Operational Group - to review and manage operational programme matters.</w:t>
            </w:r>
          </w:p>
          <w:p w14:paraId="02FCAB82" w14:textId="77777777" w:rsidR="00E415DE" w:rsidRPr="00E415DE" w:rsidRDefault="00E415DE" w:rsidP="001B0EFC">
            <w:pPr>
              <w:pStyle w:val="TableText"/>
              <w:ind w:left="57" w:right="57"/>
              <w:rPr>
                <w:rFonts w:cs="Arial"/>
                <w:szCs w:val="18"/>
              </w:rPr>
            </w:pPr>
            <w:r w:rsidRPr="00E415DE">
              <w:rPr>
                <w:rFonts w:cs="Arial"/>
                <w:szCs w:val="18"/>
              </w:rPr>
              <w:t>External groups are:</w:t>
            </w:r>
          </w:p>
          <w:p w14:paraId="324C5AD1" w14:textId="77777777" w:rsidR="00E415DE" w:rsidRPr="00E415DE" w:rsidRDefault="00E415DE" w:rsidP="001B0EFC">
            <w:pPr>
              <w:pStyle w:val="TableBullet"/>
              <w:tabs>
                <w:tab w:val="clear" w:pos="284"/>
              </w:tabs>
              <w:ind w:left="341"/>
              <w:rPr>
                <w:rFonts w:ascii="Arial" w:hAnsi="Arial" w:cs="Arial"/>
                <w:szCs w:val="18"/>
              </w:rPr>
            </w:pPr>
            <w:r w:rsidRPr="00E415DE">
              <w:rPr>
                <w:rFonts w:ascii="Arial" w:hAnsi="Arial" w:cs="Arial"/>
                <w:szCs w:val="18"/>
              </w:rPr>
              <w:t>the National Screening Advisory Committee</w:t>
            </w:r>
          </w:p>
          <w:p w14:paraId="3644CD6F" w14:textId="77777777" w:rsidR="00E415DE" w:rsidRPr="00E415DE" w:rsidRDefault="00E415DE" w:rsidP="001B0EFC">
            <w:pPr>
              <w:pStyle w:val="TableBullet"/>
              <w:tabs>
                <w:tab w:val="clear" w:pos="284"/>
              </w:tabs>
              <w:ind w:left="341"/>
              <w:rPr>
                <w:rFonts w:ascii="Arial" w:hAnsi="Arial" w:cs="Arial"/>
                <w:szCs w:val="18"/>
              </w:rPr>
            </w:pPr>
            <w:r w:rsidRPr="00E415DE">
              <w:rPr>
                <w:rFonts w:ascii="Arial" w:hAnsi="Arial" w:cs="Arial"/>
                <w:szCs w:val="18"/>
              </w:rPr>
              <w:t>the NSU Māori Monitoring and Equity Group</w:t>
            </w:r>
          </w:p>
          <w:p w14:paraId="0889ED13" w14:textId="77777777" w:rsidR="00E415DE" w:rsidRPr="00E415DE" w:rsidRDefault="00E415DE" w:rsidP="001B0EFC">
            <w:pPr>
              <w:pStyle w:val="TableBullet"/>
              <w:tabs>
                <w:tab w:val="clear" w:pos="284"/>
              </w:tabs>
              <w:ind w:left="341"/>
              <w:rPr>
                <w:rFonts w:ascii="Arial" w:hAnsi="Arial" w:cs="Arial"/>
                <w:szCs w:val="18"/>
              </w:rPr>
            </w:pPr>
            <w:r w:rsidRPr="00E415DE">
              <w:rPr>
                <w:rFonts w:ascii="Arial" w:hAnsi="Arial" w:cs="Arial"/>
                <w:szCs w:val="18"/>
              </w:rPr>
              <w:t>the NCSP Advisory and Action Group</w:t>
            </w:r>
          </w:p>
          <w:p w14:paraId="2E58ABE6" w14:textId="77777777" w:rsidR="00E415DE" w:rsidRPr="00E415DE" w:rsidRDefault="00E415DE" w:rsidP="001B0EFC">
            <w:pPr>
              <w:pStyle w:val="TableBullet"/>
              <w:tabs>
                <w:tab w:val="clear" w:pos="284"/>
              </w:tabs>
              <w:ind w:left="341"/>
              <w:rPr>
                <w:rFonts w:ascii="Arial" w:hAnsi="Arial" w:cs="Arial"/>
                <w:szCs w:val="18"/>
              </w:rPr>
            </w:pPr>
            <w:r w:rsidRPr="00E415DE">
              <w:rPr>
                <w:rFonts w:ascii="Arial" w:hAnsi="Arial" w:cs="Arial"/>
                <w:szCs w:val="18"/>
              </w:rPr>
              <w:t>Māori Campaign and Resource Advisory Group (CAG)</w:t>
            </w:r>
          </w:p>
          <w:p w14:paraId="1AC760A9" w14:textId="77777777" w:rsidR="00E415DE" w:rsidRPr="00E415DE" w:rsidRDefault="00E415DE" w:rsidP="001B0EFC">
            <w:pPr>
              <w:pStyle w:val="TableBullet"/>
              <w:tabs>
                <w:tab w:val="clear" w:pos="284"/>
              </w:tabs>
              <w:ind w:left="341"/>
              <w:rPr>
                <w:rFonts w:ascii="Arial" w:hAnsi="Arial" w:cs="Arial"/>
                <w:szCs w:val="18"/>
              </w:rPr>
            </w:pPr>
            <w:r w:rsidRPr="00E415DE">
              <w:rPr>
                <w:rFonts w:ascii="Arial" w:hAnsi="Arial" w:cs="Arial"/>
                <w:szCs w:val="18"/>
              </w:rPr>
              <w:t>Pacific Campaign and Resource Advisory Group (CAG).</w:t>
            </w:r>
          </w:p>
          <w:p w14:paraId="6DD3FF85" w14:textId="77777777" w:rsidR="00E415DE" w:rsidRPr="00E415DE" w:rsidRDefault="00E415DE" w:rsidP="001B0EFC">
            <w:pPr>
              <w:pStyle w:val="TableText"/>
              <w:ind w:left="57" w:right="57"/>
              <w:rPr>
                <w:rFonts w:cs="Arial"/>
                <w:szCs w:val="18"/>
              </w:rPr>
            </w:pPr>
            <w:r w:rsidRPr="00E415DE">
              <w:rPr>
                <w:rFonts w:cs="Arial"/>
                <w:szCs w:val="18"/>
              </w:rPr>
              <w:t>The NCSP Advisory Group has broad representation from across the clinical screening pathway and includes Māori and Pacific representation. The CAGs have a wide clinical representation from laboratories, universities, and colposcopy services.</w:t>
            </w:r>
          </w:p>
        </w:tc>
        <w:tc>
          <w:tcPr>
            <w:tcW w:w="467" w:type="pct"/>
            <w:shd w:val="clear" w:color="auto" w:fill="auto"/>
          </w:tcPr>
          <w:p w14:paraId="78FE8022" w14:textId="77777777" w:rsidR="00E415DE" w:rsidRPr="00E415DE" w:rsidRDefault="00E415DE" w:rsidP="001B0EFC">
            <w:pPr>
              <w:pStyle w:val="TableText"/>
              <w:ind w:left="57"/>
              <w:rPr>
                <w:rFonts w:cs="Arial"/>
                <w:szCs w:val="18"/>
              </w:rPr>
            </w:pPr>
            <w:r w:rsidRPr="00E415DE">
              <w:rPr>
                <w:rFonts w:cs="Arial"/>
                <w:szCs w:val="18"/>
              </w:rPr>
              <w:t>Closed.</w:t>
            </w:r>
          </w:p>
        </w:tc>
      </w:tr>
      <w:tr w:rsidR="00E415DE" w:rsidRPr="00E415DE" w14:paraId="60F171CC" w14:textId="77777777" w:rsidTr="001B0EFC">
        <w:trPr>
          <w:cantSplit/>
        </w:trPr>
        <w:tc>
          <w:tcPr>
            <w:tcW w:w="538" w:type="pct"/>
            <w:shd w:val="clear" w:color="auto" w:fill="auto"/>
          </w:tcPr>
          <w:p w14:paraId="0291E89E" w14:textId="77777777" w:rsidR="00E415DE" w:rsidRPr="00E415DE" w:rsidRDefault="00E415DE" w:rsidP="001B0EFC">
            <w:pPr>
              <w:pStyle w:val="TableText"/>
              <w:ind w:right="57"/>
              <w:rPr>
                <w:rFonts w:cs="Arial"/>
                <w:szCs w:val="18"/>
              </w:rPr>
            </w:pPr>
            <w:r w:rsidRPr="00E415DE">
              <w:rPr>
                <w:rFonts w:cs="Arial"/>
                <w:szCs w:val="18"/>
              </w:rPr>
              <w:t>Governance</w:t>
            </w:r>
          </w:p>
        </w:tc>
        <w:tc>
          <w:tcPr>
            <w:tcW w:w="146" w:type="pct"/>
            <w:shd w:val="clear" w:color="auto" w:fill="auto"/>
          </w:tcPr>
          <w:p w14:paraId="329595EB" w14:textId="77777777" w:rsidR="00E415DE" w:rsidRPr="00E415DE" w:rsidRDefault="00E415DE" w:rsidP="001B0EFC">
            <w:pPr>
              <w:pStyle w:val="TableText"/>
              <w:ind w:left="57" w:right="57"/>
              <w:jc w:val="center"/>
              <w:rPr>
                <w:rFonts w:cs="Arial"/>
                <w:szCs w:val="18"/>
              </w:rPr>
            </w:pPr>
            <w:r w:rsidRPr="00E415DE">
              <w:rPr>
                <w:rFonts w:cs="Arial"/>
                <w:szCs w:val="18"/>
              </w:rPr>
              <w:t>25</w:t>
            </w:r>
          </w:p>
        </w:tc>
        <w:tc>
          <w:tcPr>
            <w:tcW w:w="1661" w:type="pct"/>
            <w:shd w:val="clear" w:color="auto" w:fill="auto"/>
          </w:tcPr>
          <w:p w14:paraId="2FA52BC5" w14:textId="77777777" w:rsidR="00E415DE" w:rsidRPr="00E415DE" w:rsidRDefault="00E415DE" w:rsidP="001B0EFC">
            <w:pPr>
              <w:pStyle w:val="TableText"/>
              <w:ind w:left="57" w:right="57"/>
              <w:rPr>
                <w:rFonts w:cs="Arial"/>
                <w:szCs w:val="18"/>
              </w:rPr>
            </w:pPr>
            <w:r w:rsidRPr="00E415DE">
              <w:rPr>
                <w:rFonts w:cs="Arial"/>
                <w:szCs w:val="18"/>
              </w:rPr>
              <w:t>To facilitate the transition to the new screening pathway, it would be of benefit for the NSU to articulate its expectations of members of the NCSP Advisory Group in leading and disseminating advice to its relevant sectors in the implementation of the new screening pathway.</w:t>
            </w:r>
          </w:p>
        </w:tc>
        <w:tc>
          <w:tcPr>
            <w:tcW w:w="2189" w:type="pct"/>
            <w:shd w:val="clear" w:color="auto" w:fill="auto"/>
          </w:tcPr>
          <w:p w14:paraId="6E8CF569" w14:textId="77777777" w:rsidR="00E415DE" w:rsidRPr="00E415DE" w:rsidRDefault="00E415DE" w:rsidP="001B0EFC">
            <w:pPr>
              <w:pStyle w:val="TableText"/>
              <w:ind w:left="57" w:right="57"/>
              <w:rPr>
                <w:rFonts w:cs="Arial"/>
                <w:szCs w:val="18"/>
              </w:rPr>
            </w:pPr>
            <w:r w:rsidRPr="00E415DE">
              <w:rPr>
                <w:rFonts w:cs="Arial"/>
                <w:szCs w:val="18"/>
              </w:rPr>
              <w:t>Evaluation of the current programme's advisory groups has been undertaken to ensure representation and expectations to support the programme change to HPV primary screening.</w:t>
            </w:r>
          </w:p>
        </w:tc>
        <w:tc>
          <w:tcPr>
            <w:tcW w:w="467" w:type="pct"/>
            <w:shd w:val="clear" w:color="auto" w:fill="auto"/>
          </w:tcPr>
          <w:p w14:paraId="30AFBCF9" w14:textId="77777777" w:rsidR="00E415DE" w:rsidRPr="00E415DE" w:rsidRDefault="00E415DE" w:rsidP="001B0EFC">
            <w:pPr>
              <w:pStyle w:val="TableText"/>
              <w:ind w:left="57"/>
              <w:rPr>
                <w:rFonts w:cs="Arial"/>
                <w:szCs w:val="18"/>
              </w:rPr>
            </w:pPr>
            <w:r w:rsidRPr="00E415DE">
              <w:rPr>
                <w:rFonts w:cs="Arial"/>
                <w:szCs w:val="18"/>
              </w:rPr>
              <w:t>Closed.</w:t>
            </w:r>
          </w:p>
        </w:tc>
      </w:tr>
      <w:tr w:rsidR="00E415DE" w:rsidRPr="00E415DE" w14:paraId="00244C8E" w14:textId="77777777" w:rsidTr="001B0EFC">
        <w:trPr>
          <w:cantSplit/>
        </w:trPr>
        <w:tc>
          <w:tcPr>
            <w:tcW w:w="538" w:type="pct"/>
            <w:shd w:val="clear" w:color="auto" w:fill="auto"/>
          </w:tcPr>
          <w:p w14:paraId="29A79B0B" w14:textId="77777777" w:rsidR="00E415DE" w:rsidRPr="00E415DE" w:rsidRDefault="00E415DE" w:rsidP="001B0EFC">
            <w:pPr>
              <w:pStyle w:val="TableText"/>
              <w:ind w:right="57"/>
              <w:rPr>
                <w:rFonts w:cs="Arial"/>
                <w:szCs w:val="18"/>
              </w:rPr>
            </w:pPr>
            <w:r w:rsidRPr="00E415DE">
              <w:rPr>
                <w:rFonts w:cs="Arial"/>
                <w:szCs w:val="18"/>
              </w:rPr>
              <w:t>Programme Governance</w:t>
            </w:r>
          </w:p>
        </w:tc>
        <w:tc>
          <w:tcPr>
            <w:tcW w:w="146" w:type="pct"/>
            <w:shd w:val="clear" w:color="auto" w:fill="auto"/>
          </w:tcPr>
          <w:p w14:paraId="1DF3B91C" w14:textId="77777777" w:rsidR="00E415DE" w:rsidRPr="00E415DE" w:rsidRDefault="00E415DE" w:rsidP="001B0EFC">
            <w:pPr>
              <w:pStyle w:val="TableText"/>
              <w:ind w:left="57" w:right="57"/>
              <w:jc w:val="center"/>
              <w:rPr>
                <w:rFonts w:cs="Arial"/>
                <w:szCs w:val="18"/>
              </w:rPr>
            </w:pPr>
            <w:r w:rsidRPr="00E415DE">
              <w:rPr>
                <w:rFonts w:cs="Arial"/>
                <w:szCs w:val="18"/>
              </w:rPr>
              <w:t>26</w:t>
            </w:r>
          </w:p>
        </w:tc>
        <w:tc>
          <w:tcPr>
            <w:tcW w:w="1661" w:type="pct"/>
            <w:shd w:val="clear" w:color="auto" w:fill="auto"/>
          </w:tcPr>
          <w:p w14:paraId="2A111EEC" w14:textId="77777777" w:rsidR="00E415DE" w:rsidRPr="00E415DE" w:rsidRDefault="00E415DE" w:rsidP="001B0EFC">
            <w:pPr>
              <w:pStyle w:val="TableText"/>
              <w:ind w:left="57" w:right="57"/>
              <w:rPr>
                <w:rFonts w:cs="Arial"/>
                <w:szCs w:val="18"/>
              </w:rPr>
            </w:pPr>
            <w:r w:rsidRPr="00E415DE">
              <w:rPr>
                <w:rFonts w:cs="Arial"/>
                <w:szCs w:val="18"/>
              </w:rPr>
              <w:t xml:space="preserve">There is a need to establish a process that will ensure national quality and consistency of colposcopy performance, review processes, and clinical services across DHBs.  Development of a system, led by the NCSP, for clinical expert, consistent oversight of DHBs colposcopy clinical services including benchmarking, and the development of quality </w:t>
            </w:r>
            <w:proofErr w:type="spellStart"/>
            <w:r w:rsidRPr="00E415DE">
              <w:rPr>
                <w:rFonts w:cs="Arial"/>
                <w:szCs w:val="18"/>
              </w:rPr>
              <w:t>mprovement</w:t>
            </w:r>
            <w:proofErr w:type="spellEnd"/>
            <w:r w:rsidRPr="00E415DE">
              <w:rPr>
                <w:rFonts w:cs="Arial"/>
                <w:szCs w:val="18"/>
              </w:rPr>
              <w:t xml:space="preserve"> plans should be established to ensure appropriate and independent monitoring of clinical practice. This should include processes for identification of, and remediation for, colposcopists who are not meeting the national standard, and whose performance may be masked by the overall performance of the colposcopy service.</w:t>
            </w:r>
          </w:p>
        </w:tc>
        <w:tc>
          <w:tcPr>
            <w:tcW w:w="2189" w:type="pct"/>
            <w:shd w:val="clear" w:color="auto" w:fill="auto"/>
          </w:tcPr>
          <w:p w14:paraId="6DDBFC9A" w14:textId="77777777" w:rsidR="00E415DE" w:rsidRPr="00E415DE" w:rsidRDefault="00E415DE" w:rsidP="001B0EFC">
            <w:pPr>
              <w:pStyle w:val="TableText"/>
              <w:ind w:left="57" w:right="57"/>
              <w:rPr>
                <w:rFonts w:cs="Arial"/>
                <w:szCs w:val="18"/>
              </w:rPr>
            </w:pPr>
            <w:r w:rsidRPr="00E415DE">
              <w:rPr>
                <w:rFonts w:cs="Arial"/>
                <w:szCs w:val="18"/>
              </w:rPr>
              <w:t>The NCSP colposcopy standards are subject to audit. District service managers and lead colposcopists have access to individual performance data and this should be part of annual performance evaluation led by the districts.</w:t>
            </w:r>
          </w:p>
        </w:tc>
        <w:tc>
          <w:tcPr>
            <w:tcW w:w="467" w:type="pct"/>
            <w:shd w:val="clear" w:color="auto" w:fill="auto"/>
          </w:tcPr>
          <w:p w14:paraId="2B769AFB" w14:textId="77777777" w:rsidR="00E415DE" w:rsidRPr="00E415DE" w:rsidRDefault="00E415DE" w:rsidP="001B0EFC">
            <w:pPr>
              <w:pStyle w:val="TableText"/>
              <w:ind w:left="57"/>
              <w:rPr>
                <w:rFonts w:cs="Arial"/>
                <w:szCs w:val="18"/>
              </w:rPr>
            </w:pPr>
            <w:r w:rsidRPr="00E415DE">
              <w:rPr>
                <w:rFonts w:cs="Arial"/>
                <w:szCs w:val="18"/>
              </w:rPr>
              <w:t>Closed.</w:t>
            </w:r>
          </w:p>
        </w:tc>
      </w:tr>
      <w:tr w:rsidR="00E415DE" w:rsidRPr="00E415DE" w14:paraId="13921E85" w14:textId="77777777" w:rsidTr="001B0EFC">
        <w:trPr>
          <w:cantSplit/>
        </w:trPr>
        <w:tc>
          <w:tcPr>
            <w:tcW w:w="538" w:type="pct"/>
            <w:shd w:val="clear" w:color="auto" w:fill="auto"/>
          </w:tcPr>
          <w:p w14:paraId="0B998E00" w14:textId="77777777" w:rsidR="00E415DE" w:rsidRPr="00E415DE" w:rsidRDefault="00E415DE" w:rsidP="001B0EFC">
            <w:pPr>
              <w:pStyle w:val="TableText"/>
              <w:ind w:right="57"/>
              <w:rPr>
                <w:rFonts w:cs="Arial"/>
                <w:szCs w:val="18"/>
              </w:rPr>
            </w:pPr>
            <w:r w:rsidRPr="00E415DE">
              <w:rPr>
                <w:rFonts w:cs="Arial"/>
                <w:szCs w:val="18"/>
              </w:rPr>
              <w:t>Governance</w:t>
            </w:r>
          </w:p>
        </w:tc>
        <w:tc>
          <w:tcPr>
            <w:tcW w:w="146" w:type="pct"/>
            <w:shd w:val="clear" w:color="auto" w:fill="auto"/>
          </w:tcPr>
          <w:p w14:paraId="1CE94223" w14:textId="77777777" w:rsidR="00E415DE" w:rsidRPr="00E415DE" w:rsidRDefault="00E415DE" w:rsidP="001B0EFC">
            <w:pPr>
              <w:pStyle w:val="TableText"/>
              <w:ind w:left="57" w:right="57"/>
              <w:jc w:val="center"/>
              <w:rPr>
                <w:rFonts w:cs="Arial"/>
                <w:szCs w:val="18"/>
              </w:rPr>
            </w:pPr>
            <w:r w:rsidRPr="00E415DE">
              <w:rPr>
                <w:rFonts w:cs="Arial"/>
                <w:szCs w:val="18"/>
              </w:rPr>
              <w:t>27</w:t>
            </w:r>
          </w:p>
        </w:tc>
        <w:tc>
          <w:tcPr>
            <w:tcW w:w="1661" w:type="pct"/>
            <w:shd w:val="clear" w:color="auto" w:fill="auto"/>
          </w:tcPr>
          <w:p w14:paraId="3B9AFA0B" w14:textId="77777777" w:rsidR="00E415DE" w:rsidRPr="00E415DE" w:rsidRDefault="00E415DE" w:rsidP="001B0EFC">
            <w:pPr>
              <w:pStyle w:val="TableText"/>
              <w:ind w:left="57" w:right="57"/>
              <w:rPr>
                <w:rFonts w:cs="Arial"/>
                <w:szCs w:val="18"/>
              </w:rPr>
            </w:pPr>
            <w:r w:rsidRPr="00E415DE">
              <w:rPr>
                <w:rFonts w:cs="Arial"/>
                <w:szCs w:val="18"/>
              </w:rPr>
              <w:t>In addition to Recommendation 31, in order to facilitate quality improvement, the NCSP is encouraged to send regular benchmarked reports (suggest six-monthly) on colposcopy performance to individual colposcopists using the e-colposcopy data within the NCSP-R. The colposcopy data held in Datamart needs analysis and work to determine the best ‘fit for purpose’ reporting tool for quality improvement purposes. The PRC 2018 urges the NSU to make this a priority activity.</w:t>
            </w:r>
          </w:p>
        </w:tc>
        <w:tc>
          <w:tcPr>
            <w:tcW w:w="2189" w:type="pct"/>
            <w:shd w:val="clear" w:color="auto" w:fill="auto"/>
          </w:tcPr>
          <w:p w14:paraId="43775193" w14:textId="77777777" w:rsidR="00E415DE" w:rsidRPr="00E415DE" w:rsidRDefault="00E415DE" w:rsidP="001B0EFC">
            <w:pPr>
              <w:pStyle w:val="TableText"/>
              <w:ind w:left="57" w:right="57"/>
              <w:rPr>
                <w:rFonts w:cs="Arial"/>
                <w:szCs w:val="18"/>
              </w:rPr>
            </w:pPr>
            <w:r w:rsidRPr="00E415DE">
              <w:rPr>
                <w:rFonts w:cs="Arial"/>
                <w:szCs w:val="18"/>
              </w:rPr>
              <w:t>National benchmarking on individual colposcopist performance cannot currently be reported on with existing systems. This will be part of future IT system capability.</w:t>
            </w:r>
          </w:p>
          <w:p w14:paraId="538140D4" w14:textId="77777777" w:rsidR="00E415DE" w:rsidRPr="00E415DE" w:rsidRDefault="00E415DE" w:rsidP="001B0EFC">
            <w:pPr>
              <w:pStyle w:val="TableText"/>
              <w:ind w:left="57" w:right="57"/>
              <w:rPr>
                <w:rFonts w:cs="Arial"/>
                <w:szCs w:val="18"/>
              </w:rPr>
            </w:pPr>
            <w:r w:rsidRPr="00E415DE">
              <w:rPr>
                <w:rFonts w:cs="Arial"/>
                <w:szCs w:val="18"/>
              </w:rPr>
              <w:t>Colposcopists’ performance is measured against current standards and will continue to be measured against new standards as part of HPV screening implementation.</w:t>
            </w:r>
          </w:p>
          <w:p w14:paraId="20A0E959" w14:textId="77777777" w:rsidR="00E415DE" w:rsidRPr="00E415DE" w:rsidRDefault="00E415DE" w:rsidP="001B0EFC">
            <w:pPr>
              <w:pStyle w:val="TableText"/>
              <w:ind w:left="57" w:right="57"/>
              <w:rPr>
                <w:rFonts w:cs="Arial"/>
                <w:szCs w:val="18"/>
              </w:rPr>
            </w:pPr>
            <w:r w:rsidRPr="00E415DE">
              <w:rPr>
                <w:rFonts w:cs="Arial"/>
                <w:szCs w:val="18"/>
              </w:rPr>
              <w:t>Professional performance reviews need to be undertaken by employers as the initial step and any issues in performance found are then reported to the Ministry.</w:t>
            </w:r>
          </w:p>
        </w:tc>
        <w:tc>
          <w:tcPr>
            <w:tcW w:w="467" w:type="pct"/>
            <w:shd w:val="clear" w:color="auto" w:fill="auto"/>
          </w:tcPr>
          <w:p w14:paraId="5824B720" w14:textId="77777777" w:rsidR="00E415DE" w:rsidRPr="00E415DE" w:rsidRDefault="00E415DE" w:rsidP="001B0EFC">
            <w:pPr>
              <w:pStyle w:val="TableText"/>
              <w:ind w:left="57"/>
              <w:rPr>
                <w:rFonts w:cs="Arial"/>
                <w:szCs w:val="18"/>
              </w:rPr>
            </w:pPr>
            <w:r w:rsidRPr="00E415DE">
              <w:rPr>
                <w:rFonts w:cs="Arial"/>
                <w:szCs w:val="18"/>
              </w:rPr>
              <w:t>Closed.</w:t>
            </w:r>
          </w:p>
        </w:tc>
      </w:tr>
      <w:tr w:rsidR="00E415DE" w:rsidRPr="00E415DE" w14:paraId="5DBD33A1" w14:textId="77777777" w:rsidTr="001B0EFC">
        <w:trPr>
          <w:cantSplit/>
        </w:trPr>
        <w:tc>
          <w:tcPr>
            <w:tcW w:w="538" w:type="pct"/>
            <w:shd w:val="clear" w:color="auto" w:fill="auto"/>
          </w:tcPr>
          <w:p w14:paraId="67A98A43" w14:textId="77777777" w:rsidR="00E415DE" w:rsidRPr="00E415DE" w:rsidRDefault="00E415DE" w:rsidP="001B0EFC">
            <w:pPr>
              <w:pStyle w:val="TableText"/>
              <w:ind w:right="57"/>
              <w:rPr>
                <w:rFonts w:cs="Arial"/>
                <w:szCs w:val="18"/>
              </w:rPr>
            </w:pPr>
            <w:r w:rsidRPr="00E415DE">
              <w:rPr>
                <w:rFonts w:cs="Arial"/>
                <w:szCs w:val="18"/>
              </w:rPr>
              <w:t>Governance</w:t>
            </w:r>
          </w:p>
        </w:tc>
        <w:tc>
          <w:tcPr>
            <w:tcW w:w="146" w:type="pct"/>
            <w:shd w:val="clear" w:color="auto" w:fill="auto"/>
          </w:tcPr>
          <w:p w14:paraId="6E2A2426" w14:textId="77777777" w:rsidR="00E415DE" w:rsidRPr="00E415DE" w:rsidRDefault="00E415DE" w:rsidP="001B0EFC">
            <w:pPr>
              <w:pStyle w:val="TableText"/>
              <w:ind w:left="57" w:right="57"/>
              <w:jc w:val="center"/>
              <w:rPr>
                <w:rFonts w:cs="Arial"/>
                <w:szCs w:val="18"/>
              </w:rPr>
            </w:pPr>
            <w:r w:rsidRPr="00E415DE">
              <w:rPr>
                <w:rFonts w:cs="Arial"/>
                <w:szCs w:val="18"/>
              </w:rPr>
              <w:t>28</w:t>
            </w:r>
          </w:p>
        </w:tc>
        <w:tc>
          <w:tcPr>
            <w:tcW w:w="1661" w:type="pct"/>
            <w:shd w:val="clear" w:color="auto" w:fill="auto"/>
          </w:tcPr>
          <w:p w14:paraId="61B9B0A7" w14:textId="77777777" w:rsidR="00E415DE" w:rsidRPr="00E415DE" w:rsidRDefault="00E415DE" w:rsidP="001B0EFC">
            <w:pPr>
              <w:pStyle w:val="TableText"/>
              <w:ind w:left="57" w:right="57"/>
              <w:rPr>
                <w:rFonts w:cs="Arial"/>
                <w:szCs w:val="18"/>
              </w:rPr>
            </w:pPr>
            <w:r w:rsidRPr="00E415DE">
              <w:rPr>
                <w:rFonts w:cs="Arial"/>
                <w:szCs w:val="18"/>
              </w:rPr>
              <w:t>Work to define new standards for pathology and colposcopy should be completed well in advance of the introduction of primary HPV screening so that systems can be developed that will enable reporting against the new standards.</w:t>
            </w:r>
          </w:p>
        </w:tc>
        <w:tc>
          <w:tcPr>
            <w:tcW w:w="2189" w:type="pct"/>
            <w:shd w:val="clear" w:color="auto" w:fill="auto"/>
          </w:tcPr>
          <w:p w14:paraId="2BBAD168" w14:textId="77777777" w:rsidR="00E415DE" w:rsidRPr="00E415DE" w:rsidRDefault="00E415DE" w:rsidP="001B0EFC">
            <w:pPr>
              <w:pStyle w:val="TableText"/>
              <w:ind w:left="57" w:right="57"/>
              <w:rPr>
                <w:rFonts w:cs="Arial"/>
                <w:szCs w:val="18"/>
              </w:rPr>
            </w:pPr>
            <w:r w:rsidRPr="00E415DE">
              <w:rPr>
                <w:rFonts w:cs="Arial"/>
                <w:szCs w:val="18"/>
              </w:rPr>
              <w:t>This will be undertaken as part of HPV primary screening implementation.</w:t>
            </w:r>
          </w:p>
        </w:tc>
        <w:tc>
          <w:tcPr>
            <w:tcW w:w="467" w:type="pct"/>
            <w:shd w:val="clear" w:color="auto" w:fill="auto"/>
          </w:tcPr>
          <w:p w14:paraId="39005B59" w14:textId="77777777" w:rsidR="00E415DE" w:rsidRPr="00E415DE" w:rsidRDefault="00E415DE" w:rsidP="001B0EFC">
            <w:pPr>
              <w:pStyle w:val="TableText"/>
              <w:ind w:left="57"/>
              <w:rPr>
                <w:rFonts w:cs="Arial"/>
                <w:szCs w:val="18"/>
              </w:rPr>
            </w:pPr>
            <w:r w:rsidRPr="00E415DE">
              <w:rPr>
                <w:rFonts w:cs="Arial"/>
                <w:szCs w:val="18"/>
              </w:rPr>
              <w:t>Closed: this will be undertaken as part of HPV primary screening implementation.</w:t>
            </w:r>
          </w:p>
        </w:tc>
      </w:tr>
      <w:tr w:rsidR="00E415DE" w:rsidRPr="00E415DE" w14:paraId="6E025BC1" w14:textId="77777777" w:rsidTr="001B0EFC">
        <w:trPr>
          <w:cantSplit/>
        </w:trPr>
        <w:tc>
          <w:tcPr>
            <w:tcW w:w="538" w:type="pct"/>
            <w:shd w:val="clear" w:color="auto" w:fill="auto"/>
          </w:tcPr>
          <w:p w14:paraId="3E72A093" w14:textId="77777777" w:rsidR="00E415DE" w:rsidRPr="00E415DE" w:rsidRDefault="00E415DE" w:rsidP="001B0EFC">
            <w:pPr>
              <w:pStyle w:val="TableText"/>
              <w:ind w:right="57"/>
              <w:rPr>
                <w:rFonts w:cs="Arial"/>
                <w:szCs w:val="18"/>
              </w:rPr>
            </w:pPr>
            <w:r w:rsidRPr="00E415DE">
              <w:rPr>
                <w:rFonts w:cs="Arial"/>
                <w:szCs w:val="18"/>
              </w:rPr>
              <w:t>Governance</w:t>
            </w:r>
          </w:p>
        </w:tc>
        <w:tc>
          <w:tcPr>
            <w:tcW w:w="146" w:type="pct"/>
            <w:shd w:val="clear" w:color="auto" w:fill="auto"/>
          </w:tcPr>
          <w:p w14:paraId="4E86EF42" w14:textId="77777777" w:rsidR="00E415DE" w:rsidRPr="00E415DE" w:rsidRDefault="00E415DE" w:rsidP="001B0EFC">
            <w:pPr>
              <w:pStyle w:val="TableText"/>
              <w:ind w:left="57" w:right="57"/>
              <w:jc w:val="center"/>
              <w:rPr>
                <w:rFonts w:cs="Arial"/>
                <w:szCs w:val="18"/>
              </w:rPr>
            </w:pPr>
            <w:r w:rsidRPr="00E415DE">
              <w:rPr>
                <w:rFonts w:cs="Arial"/>
                <w:szCs w:val="18"/>
              </w:rPr>
              <w:t>29</w:t>
            </w:r>
          </w:p>
        </w:tc>
        <w:tc>
          <w:tcPr>
            <w:tcW w:w="1661" w:type="pct"/>
            <w:shd w:val="clear" w:color="auto" w:fill="auto"/>
          </w:tcPr>
          <w:p w14:paraId="2995983C" w14:textId="77777777" w:rsidR="00E415DE" w:rsidRPr="00E415DE" w:rsidRDefault="00E415DE" w:rsidP="001B0EFC">
            <w:pPr>
              <w:pStyle w:val="TableText"/>
              <w:ind w:left="57" w:right="57"/>
              <w:rPr>
                <w:rFonts w:cs="Arial"/>
                <w:szCs w:val="18"/>
              </w:rPr>
            </w:pPr>
            <w:r w:rsidRPr="00E415DE">
              <w:rPr>
                <w:rFonts w:cs="Arial"/>
                <w:szCs w:val="18"/>
              </w:rPr>
              <w:t>Funding for NCSP colposcopies should be reviewed to ensure that pricing supports the maintenance of quality services.</w:t>
            </w:r>
          </w:p>
        </w:tc>
        <w:tc>
          <w:tcPr>
            <w:tcW w:w="2189" w:type="pct"/>
            <w:shd w:val="clear" w:color="auto" w:fill="auto"/>
          </w:tcPr>
          <w:p w14:paraId="6AFE06CB" w14:textId="77777777" w:rsidR="00E415DE" w:rsidRPr="00E415DE" w:rsidRDefault="00E415DE" w:rsidP="001B0EFC">
            <w:pPr>
              <w:pStyle w:val="TableText"/>
              <w:ind w:left="57" w:right="57"/>
              <w:rPr>
                <w:rFonts w:cs="Arial"/>
                <w:szCs w:val="18"/>
              </w:rPr>
            </w:pPr>
            <w:r w:rsidRPr="00E415DE">
              <w:rPr>
                <w:rFonts w:cs="Arial"/>
                <w:szCs w:val="18"/>
              </w:rPr>
              <w:t>Cost pressure funding has been approved as part of Budget 2021 and was applied to the 2021-2022 contracts.</w:t>
            </w:r>
          </w:p>
        </w:tc>
        <w:tc>
          <w:tcPr>
            <w:tcW w:w="467" w:type="pct"/>
            <w:shd w:val="clear" w:color="auto" w:fill="auto"/>
          </w:tcPr>
          <w:p w14:paraId="2E578126" w14:textId="77777777" w:rsidR="00E415DE" w:rsidRPr="00E415DE" w:rsidRDefault="00E415DE" w:rsidP="001B0EFC">
            <w:pPr>
              <w:pStyle w:val="TableText"/>
              <w:ind w:left="57"/>
              <w:rPr>
                <w:rFonts w:cs="Arial"/>
                <w:szCs w:val="18"/>
              </w:rPr>
            </w:pPr>
            <w:r w:rsidRPr="00E415DE">
              <w:rPr>
                <w:rFonts w:cs="Arial"/>
                <w:szCs w:val="18"/>
              </w:rPr>
              <w:t>Closed.</w:t>
            </w:r>
          </w:p>
        </w:tc>
      </w:tr>
      <w:tr w:rsidR="00E415DE" w:rsidRPr="00E415DE" w14:paraId="06D2DC5A" w14:textId="77777777" w:rsidTr="001B0EFC">
        <w:trPr>
          <w:cantSplit/>
        </w:trPr>
        <w:tc>
          <w:tcPr>
            <w:tcW w:w="538" w:type="pct"/>
            <w:shd w:val="clear" w:color="auto" w:fill="auto"/>
          </w:tcPr>
          <w:p w14:paraId="6B86E9DB" w14:textId="77777777" w:rsidR="00E415DE" w:rsidRPr="00E415DE" w:rsidRDefault="00E415DE" w:rsidP="001B0EFC">
            <w:pPr>
              <w:pStyle w:val="TableText"/>
              <w:keepNext/>
              <w:ind w:right="57"/>
              <w:rPr>
                <w:rFonts w:cs="Arial"/>
                <w:szCs w:val="18"/>
              </w:rPr>
            </w:pPr>
            <w:r w:rsidRPr="00E415DE">
              <w:rPr>
                <w:rFonts w:cs="Arial"/>
                <w:szCs w:val="18"/>
              </w:rPr>
              <w:t>Governance</w:t>
            </w:r>
          </w:p>
        </w:tc>
        <w:tc>
          <w:tcPr>
            <w:tcW w:w="146" w:type="pct"/>
            <w:shd w:val="clear" w:color="auto" w:fill="auto"/>
          </w:tcPr>
          <w:p w14:paraId="31C66262" w14:textId="77777777" w:rsidR="00E415DE" w:rsidRPr="00E415DE" w:rsidRDefault="00E415DE" w:rsidP="001B0EFC">
            <w:pPr>
              <w:pStyle w:val="TableText"/>
              <w:keepNext/>
              <w:ind w:left="57" w:right="57"/>
              <w:jc w:val="center"/>
              <w:rPr>
                <w:rFonts w:cs="Arial"/>
                <w:szCs w:val="18"/>
              </w:rPr>
            </w:pPr>
            <w:r w:rsidRPr="00E415DE">
              <w:rPr>
                <w:rFonts w:cs="Arial"/>
                <w:szCs w:val="18"/>
              </w:rPr>
              <w:t>30</w:t>
            </w:r>
          </w:p>
        </w:tc>
        <w:tc>
          <w:tcPr>
            <w:tcW w:w="1661" w:type="pct"/>
            <w:shd w:val="clear" w:color="auto" w:fill="auto"/>
          </w:tcPr>
          <w:p w14:paraId="22B90BC4" w14:textId="77777777" w:rsidR="00E415DE" w:rsidRPr="00E415DE" w:rsidRDefault="00E415DE" w:rsidP="001B0EFC">
            <w:pPr>
              <w:pStyle w:val="TableText"/>
              <w:keepNext/>
              <w:ind w:left="57" w:right="57"/>
              <w:rPr>
                <w:rFonts w:cs="Arial"/>
                <w:szCs w:val="18"/>
              </w:rPr>
            </w:pPr>
            <w:r w:rsidRPr="00E415DE">
              <w:rPr>
                <w:rFonts w:cs="Arial"/>
                <w:szCs w:val="18"/>
              </w:rPr>
              <w:t>The NCSP should review contractual arrangements with DHBs. The aim of the review would be to strengthen accountability for participation and to establish nationally consistent performance measures, reporting requirements, and expected outcomes. This review should also include reporting of colposcopy performance and quality improvement initiatives implemented by DHBs.</w:t>
            </w:r>
          </w:p>
        </w:tc>
        <w:tc>
          <w:tcPr>
            <w:tcW w:w="2189" w:type="pct"/>
            <w:shd w:val="clear" w:color="auto" w:fill="auto"/>
          </w:tcPr>
          <w:p w14:paraId="30052097" w14:textId="77777777" w:rsidR="00E415DE" w:rsidRPr="00E415DE" w:rsidRDefault="00E415DE" w:rsidP="001B0EFC">
            <w:pPr>
              <w:pStyle w:val="TableText"/>
              <w:ind w:left="57" w:right="57"/>
              <w:rPr>
                <w:rFonts w:cs="Arial"/>
                <w:szCs w:val="18"/>
              </w:rPr>
            </w:pPr>
            <w:r w:rsidRPr="00E415DE">
              <w:rPr>
                <w:rFonts w:cs="Arial"/>
                <w:szCs w:val="18"/>
              </w:rPr>
              <w:t xml:space="preserve">An internal current state review was undertaken for district services in December 2021 to inform the change management plan to the implement HPV primary screening. </w:t>
            </w:r>
          </w:p>
          <w:p w14:paraId="4FC01825" w14:textId="77777777" w:rsidR="00E415DE" w:rsidRPr="00E415DE" w:rsidRDefault="00E415DE" w:rsidP="001B0EFC">
            <w:pPr>
              <w:pStyle w:val="TableText"/>
              <w:ind w:left="57" w:right="57"/>
              <w:rPr>
                <w:rFonts w:cs="Arial"/>
                <w:szCs w:val="18"/>
              </w:rPr>
            </w:pPr>
            <w:r w:rsidRPr="00E415DE">
              <w:rPr>
                <w:rFonts w:cs="Arial"/>
                <w:szCs w:val="18"/>
              </w:rPr>
              <w:t>Policy and performance measures are part of existing reporting and contracts will be reviewed to meet the new HPV requirements as part of the project change.</w:t>
            </w:r>
          </w:p>
        </w:tc>
        <w:tc>
          <w:tcPr>
            <w:tcW w:w="467" w:type="pct"/>
            <w:shd w:val="clear" w:color="auto" w:fill="auto"/>
          </w:tcPr>
          <w:p w14:paraId="176B34BC" w14:textId="77777777" w:rsidR="00E415DE" w:rsidRPr="00E415DE" w:rsidRDefault="00E415DE" w:rsidP="001B0EFC">
            <w:pPr>
              <w:pStyle w:val="TableText"/>
              <w:keepNext/>
              <w:ind w:left="57"/>
              <w:rPr>
                <w:rFonts w:cs="Arial"/>
                <w:szCs w:val="18"/>
              </w:rPr>
            </w:pPr>
            <w:r w:rsidRPr="00E415DE">
              <w:rPr>
                <w:rFonts w:cs="Arial"/>
                <w:szCs w:val="18"/>
              </w:rPr>
              <w:t>Closed: this will be undertaken as part of HPV primary screening implementation.</w:t>
            </w:r>
          </w:p>
        </w:tc>
      </w:tr>
      <w:tr w:rsidR="00E415DE" w:rsidRPr="00E415DE" w14:paraId="45F0191D" w14:textId="77777777" w:rsidTr="001B0EFC">
        <w:trPr>
          <w:cantSplit/>
        </w:trPr>
        <w:tc>
          <w:tcPr>
            <w:tcW w:w="538" w:type="pct"/>
            <w:shd w:val="clear" w:color="auto" w:fill="auto"/>
          </w:tcPr>
          <w:p w14:paraId="625C2A2E" w14:textId="77777777" w:rsidR="00E415DE" w:rsidRPr="00E415DE" w:rsidRDefault="00E415DE" w:rsidP="001B0EFC">
            <w:pPr>
              <w:pStyle w:val="TableText"/>
              <w:ind w:right="57"/>
              <w:rPr>
                <w:rFonts w:cs="Arial"/>
                <w:szCs w:val="18"/>
              </w:rPr>
            </w:pPr>
            <w:r w:rsidRPr="00E415DE">
              <w:rPr>
                <w:rFonts w:cs="Arial"/>
                <w:szCs w:val="18"/>
              </w:rPr>
              <w:t>Communications</w:t>
            </w:r>
          </w:p>
        </w:tc>
        <w:tc>
          <w:tcPr>
            <w:tcW w:w="146" w:type="pct"/>
            <w:shd w:val="clear" w:color="auto" w:fill="auto"/>
          </w:tcPr>
          <w:p w14:paraId="04CB1D7A" w14:textId="77777777" w:rsidR="00E415DE" w:rsidRPr="00E415DE" w:rsidRDefault="00E415DE" w:rsidP="001B0EFC">
            <w:pPr>
              <w:pStyle w:val="TableText"/>
              <w:ind w:left="57" w:right="57"/>
              <w:jc w:val="center"/>
              <w:rPr>
                <w:rFonts w:cs="Arial"/>
                <w:szCs w:val="18"/>
              </w:rPr>
            </w:pPr>
            <w:r w:rsidRPr="00E415DE">
              <w:rPr>
                <w:rFonts w:cs="Arial"/>
                <w:szCs w:val="18"/>
              </w:rPr>
              <w:t>31</w:t>
            </w:r>
          </w:p>
        </w:tc>
        <w:tc>
          <w:tcPr>
            <w:tcW w:w="1661" w:type="pct"/>
            <w:shd w:val="clear" w:color="auto" w:fill="auto"/>
          </w:tcPr>
          <w:p w14:paraId="7F3680F9" w14:textId="77777777" w:rsidR="00E415DE" w:rsidRPr="00E415DE" w:rsidRDefault="00E415DE" w:rsidP="001B0EFC">
            <w:pPr>
              <w:pStyle w:val="TableText"/>
              <w:ind w:left="57" w:right="57"/>
              <w:rPr>
                <w:rFonts w:cs="Arial"/>
                <w:szCs w:val="18"/>
              </w:rPr>
            </w:pPr>
            <w:r w:rsidRPr="00E415DE">
              <w:rPr>
                <w:rFonts w:cs="Arial"/>
                <w:szCs w:val="18"/>
              </w:rPr>
              <w:t>In addition to Recommendation 6, comprehensive communications for women and service providers should be developed to answer questions, allay fears and provide reassurance about the new HPV test, the later starting age (25 years) for screening, the five-year screening interval, the predicted transient early rise in cervical cancer diagnoses and the importance of examination and assessment of symptomatic women at any age. Emphasis should be given to a co-design approach with priority group women and service providers to ensure any communications reach all intended audiences.</w:t>
            </w:r>
          </w:p>
        </w:tc>
        <w:tc>
          <w:tcPr>
            <w:tcW w:w="2189" w:type="pct"/>
            <w:shd w:val="clear" w:color="auto" w:fill="auto"/>
          </w:tcPr>
          <w:p w14:paraId="68FEBE60" w14:textId="77777777" w:rsidR="00E415DE" w:rsidRPr="00E415DE" w:rsidRDefault="00E415DE" w:rsidP="001B0EFC">
            <w:pPr>
              <w:pStyle w:val="TableText"/>
              <w:ind w:left="57" w:right="57"/>
              <w:rPr>
                <w:rFonts w:cs="Arial"/>
                <w:szCs w:val="18"/>
              </w:rPr>
            </w:pPr>
            <w:r w:rsidRPr="00E415DE">
              <w:rPr>
                <w:rFonts w:cs="Arial"/>
                <w:szCs w:val="18"/>
              </w:rPr>
              <w:t>A communications plan will be developed as part of the programme change to HPV primary screening.</w:t>
            </w:r>
          </w:p>
        </w:tc>
        <w:tc>
          <w:tcPr>
            <w:tcW w:w="467" w:type="pct"/>
            <w:shd w:val="clear" w:color="auto" w:fill="auto"/>
          </w:tcPr>
          <w:p w14:paraId="0FDA54B3" w14:textId="77777777" w:rsidR="00E415DE" w:rsidRPr="00E415DE" w:rsidRDefault="00E415DE" w:rsidP="001B0EFC">
            <w:pPr>
              <w:pStyle w:val="TableText"/>
              <w:ind w:left="57"/>
              <w:rPr>
                <w:rFonts w:cs="Arial"/>
                <w:szCs w:val="18"/>
              </w:rPr>
            </w:pPr>
            <w:r w:rsidRPr="00E415DE">
              <w:rPr>
                <w:rFonts w:cs="Arial"/>
                <w:szCs w:val="18"/>
              </w:rPr>
              <w:t>Closed: this will be undertaken as part of HPV primary screening implementation.</w:t>
            </w:r>
          </w:p>
        </w:tc>
      </w:tr>
      <w:tr w:rsidR="00E415DE" w:rsidRPr="00E415DE" w14:paraId="0AA5FCB6" w14:textId="77777777" w:rsidTr="001B0EFC">
        <w:trPr>
          <w:cantSplit/>
        </w:trPr>
        <w:tc>
          <w:tcPr>
            <w:tcW w:w="538" w:type="pct"/>
            <w:shd w:val="clear" w:color="auto" w:fill="auto"/>
          </w:tcPr>
          <w:p w14:paraId="27004F52" w14:textId="77777777" w:rsidR="00E415DE" w:rsidRPr="00E415DE" w:rsidRDefault="00E415DE" w:rsidP="001B0EFC">
            <w:pPr>
              <w:pStyle w:val="TableText"/>
              <w:ind w:right="57"/>
              <w:rPr>
                <w:rFonts w:cs="Arial"/>
                <w:szCs w:val="18"/>
              </w:rPr>
            </w:pPr>
            <w:r w:rsidRPr="00E415DE">
              <w:rPr>
                <w:rFonts w:cs="Arial"/>
                <w:szCs w:val="18"/>
              </w:rPr>
              <w:t>Communications</w:t>
            </w:r>
          </w:p>
        </w:tc>
        <w:tc>
          <w:tcPr>
            <w:tcW w:w="146" w:type="pct"/>
            <w:shd w:val="clear" w:color="auto" w:fill="auto"/>
          </w:tcPr>
          <w:p w14:paraId="51EFB1D6" w14:textId="77777777" w:rsidR="00E415DE" w:rsidRPr="00E415DE" w:rsidRDefault="00E415DE" w:rsidP="001B0EFC">
            <w:pPr>
              <w:pStyle w:val="TableText"/>
              <w:ind w:left="57" w:right="57"/>
              <w:jc w:val="center"/>
              <w:rPr>
                <w:rFonts w:cs="Arial"/>
                <w:szCs w:val="18"/>
              </w:rPr>
            </w:pPr>
            <w:r w:rsidRPr="00E415DE">
              <w:rPr>
                <w:rFonts w:cs="Arial"/>
                <w:szCs w:val="18"/>
              </w:rPr>
              <w:t>32</w:t>
            </w:r>
          </w:p>
        </w:tc>
        <w:tc>
          <w:tcPr>
            <w:tcW w:w="1661" w:type="pct"/>
            <w:shd w:val="clear" w:color="auto" w:fill="auto"/>
          </w:tcPr>
          <w:p w14:paraId="73864FA8" w14:textId="77777777" w:rsidR="00E415DE" w:rsidRPr="00E415DE" w:rsidRDefault="00E415DE" w:rsidP="001B0EFC">
            <w:pPr>
              <w:pStyle w:val="TableText"/>
              <w:ind w:left="57" w:right="57"/>
              <w:rPr>
                <w:rFonts w:cs="Arial"/>
                <w:szCs w:val="18"/>
              </w:rPr>
            </w:pPr>
            <w:r w:rsidRPr="00E415DE">
              <w:rPr>
                <w:rFonts w:cs="Arial"/>
                <w:szCs w:val="18"/>
              </w:rPr>
              <w:t>A coordinated national training and education campaign regarding HPV infection, cervical cancer, HPV vaccination, and HPV cervical screening is needed for women and service providers – including colposcopists – prior to, and during the implementation of the primary HPV screening programme. Emphasis should be given to ensuring the availability of culturally appropriate information for Māori, Pacific, and Asian women.</w:t>
            </w:r>
          </w:p>
        </w:tc>
        <w:tc>
          <w:tcPr>
            <w:tcW w:w="2189" w:type="pct"/>
            <w:shd w:val="clear" w:color="auto" w:fill="auto"/>
          </w:tcPr>
          <w:p w14:paraId="02AAD5F9" w14:textId="77777777" w:rsidR="00E415DE" w:rsidRPr="00E415DE" w:rsidRDefault="00E415DE" w:rsidP="001B0EFC">
            <w:pPr>
              <w:pStyle w:val="TableText"/>
              <w:ind w:left="57" w:right="57"/>
              <w:rPr>
                <w:rFonts w:cs="Arial"/>
                <w:szCs w:val="18"/>
              </w:rPr>
            </w:pPr>
            <w:r w:rsidRPr="00E415DE">
              <w:rPr>
                <w:rFonts w:cs="Arial"/>
                <w:szCs w:val="18"/>
              </w:rPr>
              <w:t>This is planned as part of HPV primary screening implementation.</w:t>
            </w:r>
          </w:p>
        </w:tc>
        <w:tc>
          <w:tcPr>
            <w:tcW w:w="467" w:type="pct"/>
            <w:shd w:val="clear" w:color="auto" w:fill="auto"/>
          </w:tcPr>
          <w:p w14:paraId="6EDF6155" w14:textId="77777777" w:rsidR="00E415DE" w:rsidRPr="00E415DE" w:rsidRDefault="00E415DE" w:rsidP="001B0EFC">
            <w:pPr>
              <w:pStyle w:val="TableText"/>
              <w:ind w:left="57"/>
              <w:rPr>
                <w:rFonts w:cs="Arial"/>
                <w:szCs w:val="18"/>
              </w:rPr>
            </w:pPr>
            <w:r w:rsidRPr="00E415DE">
              <w:rPr>
                <w:rFonts w:cs="Arial"/>
                <w:szCs w:val="18"/>
              </w:rPr>
              <w:t>Closed: this will be undertaken as part of HPV primary screening implementation.</w:t>
            </w:r>
          </w:p>
        </w:tc>
      </w:tr>
      <w:tr w:rsidR="00E415DE" w:rsidRPr="00E415DE" w14:paraId="0DE2D3CB" w14:textId="77777777" w:rsidTr="001B0EFC">
        <w:trPr>
          <w:cantSplit/>
        </w:trPr>
        <w:tc>
          <w:tcPr>
            <w:tcW w:w="538" w:type="pct"/>
            <w:shd w:val="clear" w:color="auto" w:fill="auto"/>
          </w:tcPr>
          <w:p w14:paraId="1CDC7BDB" w14:textId="77777777" w:rsidR="00E415DE" w:rsidRPr="00E415DE" w:rsidRDefault="00E415DE" w:rsidP="001B0EFC">
            <w:pPr>
              <w:pStyle w:val="TableText"/>
              <w:ind w:right="57"/>
              <w:rPr>
                <w:rFonts w:cs="Arial"/>
                <w:szCs w:val="18"/>
              </w:rPr>
            </w:pPr>
            <w:r w:rsidRPr="00E415DE">
              <w:rPr>
                <w:rFonts w:cs="Arial"/>
                <w:szCs w:val="18"/>
              </w:rPr>
              <w:t>NCSP Register</w:t>
            </w:r>
          </w:p>
        </w:tc>
        <w:tc>
          <w:tcPr>
            <w:tcW w:w="146" w:type="pct"/>
            <w:shd w:val="clear" w:color="auto" w:fill="auto"/>
          </w:tcPr>
          <w:p w14:paraId="51883AB4" w14:textId="77777777" w:rsidR="00E415DE" w:rsidRPr="00E415DE" w:rsidRDefault="00E415DE" w:rsidP="001B0EFC">
            <w:pPr>
              <w:pStyle w:val="TableText"/>
              <w:ind w:left="57" w:right="57"/>
              <w:jc w:val="center"/>
              <w:rPr>
                <w:rFonts w:cs="Arial"/>
                <w:szCs w:val="18"/>
              </w:rPr>
            </w:pPr>
            <w:r w:rsidRPr="00E415DE">
              <w:rPr>
                <w:rFonts w:cs="Arial"/>
                <w:szCs w:val="18"/>
              </w:rPr>
              <w:t>34</w:t>
            </w:r>
          </w:p>
        </w:tc>
        <w:tc>
          <w:tcPr>
            <w:tcW w:w="1661" w:type="pct"/>
            <w:shd w:val="clear" w:color="auto" w:fill="auto"/>
          </w:tcPr>
          <w:p w14:paraId="7240E36E" w14:textId="77777777" w:rsidR="00E415DE" w:rsidRPr="00E415DE" w:rsidRDefault="00E415DE" w:rsidP="001B0EFC">
            <w:pPr>
              <w:pStyle w:val="TableText"/>
              <w:ind w:left="57" w:right="57"/>
              <w:rPr>
                <w:rFonts w:cs="Arial"/>
                <w:szCs w:val="18"/>
              </w:rPr>
            </w:pPr>
            <w:r w:rsidRPr="00E415DE">
              <w:rPr>
                <w:rFonts w:cs="Arial"/>
                <w:szCs w:val="18"/>
              </w:rPr>
              <w:t>The development of the new National Cervical Screening Programme Register (NCSP-R), as part of the National Screening Solution (NSS), should occur in parallel with the National Bowel Screening Programme Register, if this is logistically possible, and not be delayed until after the NBSP-R is developed. This would reduce the risk of unnecessary further delay to implementation of the new HPV screening programme.</w:t>
            </w:r>
          </w:p>
        </w:tc>
        <w:tc>
          <w:tcPr>
            <w:tcW w:w="2189" w:type="pct"/>
            <w:shd w:val="clear" w:color="auto" w:fill="auto"/>
          </w:tcPr>
          <w:p w14:paraId="3E61DD36" w14:textId="77777777" w:rsidR="00E415DE" w:rsidRPr="00E415DE" w:rsidRDefault="00E415DE" w:rsidP="001B0EFC">
            <w:pPr>
              <w:pStyle w:val="TableText"/>
              <w:ind w:left="57" w:right="57"/>
              <w:rPr>
                <w:rFonts w:cs="Arial"/>
                <w:szCs w:val="18"/>
              </w:rPr>
            </w:pPr>
            <w:r w:rsidRPr="00E415DE">
              <w:rPr>
                <w:rFonts w:cs="Arial"/>
                <w:szCs w:val="18"/>
              </w:rPr>
              <w:t>The National Screening Solution (NSS) for the National Bowel Screening Programme was deployed on 30 August 2020 to support the bowel screening rollout.</w:t>
            </w:r>
          </w:p>
          <w:p w14:paraId="4B7029F9" w14:textId="77777777" w:rsidR="00E415DE" w:rsidRPr="00E415DE" w:rsidRDefault="00E415DE" w:rsidP="001B0EFC">
            <w:pPr>
              <w:pStyle w:val="TableText"/>
              <w:ind w:left="57" w:right="57"/>
              <w:rPr>
                <w:rFonts w:cs="Arial"/>
                <w:szCs w:val="18"/>
              </w:rPr>
            </w:pPr>
            <w:r w:rsidRPr="00E415DE">
              <w:rPr>
                <w:rFonts w:cs="Arial"/>
                <w:szCs w:val="18"/>
              </w:rPr>
              <w:t>Funding to implement HPV primary screening was approved in Budget 21 to support implementation from July 2023. This work will be undertaken as part of programme implementation.</w:t>
            </w:r>
          </w:p>
        </w:tc>
        <w:tc>
          <w:tcPr>
            <w:tcW w:w="467" w:type="pct"/>
            <w:shd w:val="clear" w:color="auto" w:fill="auto"/>
          </w:tcPr>
          <w:p w14:paraId="290708A1" w14:textId="77777777" w:rsidR="00E415DE" w:rsidRPr="00E415DE" w:rsidRDefault="00E415DE" w:rsidP="001B0EFC">
            <w:pPr>
              <w:pStyle w:val="TableText"/>
              <w:ind w:left="57"/>
              <w:rPr>
                <w:rFonts w:cs="Arial"/>
                <w:szCs w:val="18"/>
              </w:rPr>
            </w:pPr>
            <w:r w:rsidRPr="00E415DE">
              <w:rPr>
                <w:rFonts w:cs="Arial"/>
                <w:szCs w:val="18"/>
              </w:rPr>
              <w:t>Closed: this will be undertaken as part of HPV primary screening implementation.</w:t>
            </w:r>
          </w:p>
        </w:tc>
      </w:tr>
      <w:tr w:rsidR="00E415DE" w:rsidRPr="00E415DE" w14:paraId="1EC9C47D" w14:textId="77777777" w:rsidTr="001B0EFC">
        <w:trPr>
          <w:cantSplit/>
        </w:trPr>
        <w:tc>
          <w:tcPr>
            <w:tcW w:w="538" w:type="pct"/>
            <w:shd w:val="clear" w:color="auto" w:fill="auto"/>
          </w:tcPr>
          <w:p w14:paraId="51E3DB47" w14:textId="77777777" w:rsidR="00E415DE" w:rsidRPr="00E415DE" w:rsidRDefault="00E415DE" w:rsidP="001B0EFC">
            <w:pPr>
              <w:pStyle w:val="TableText"/>
              <w:ind w:right="57"/>
              <w:rPr>
                <w:rFonts w:cs="Arial"/>
                <w:szCs w:val="18"/>
              </w:rPr>
            </w:pPr>
            <w:r w:rsidRPr="00E415DE">
              <w:rPr>
                <w:rFonts w:cs="Arial"/>
                <w:szCs w:val="18"/>
              </w:rPr>
              <w:t>NCSP Register</w:t>
            </w:r>
          </w:p>
        </w:tc>
        <w:tc>
          <w:tcPr>
            <w:tcW w:w="146" w:type="pct"/>
            <w:shd w:val="clear" w:color="auto" w:fill="auto"/>
          </w:tcPr>
          <w:p w14:paraId="2D60060A" w14:textId="77777777" w:rsidR="00E415DE" w:rsidRPr="00E415DE" w:rsidRDefault="00E415DE" w:rsidP="001B0EFC">
            <w:pPr>
              <w:pStyle w:val="TableText"/>
              <w:ind w:left="57" w:right="57"/>
              <w:jc w:val="center"/>
              <w:rPr>
                <w:rFonts w:cs="Arial"/>
                <w:szCs w:val="18"/>
              </w:rPr>
            </w:pPr>
            <w:r w:rsidRPr="00E415DE">
              <w:rPr>
                <w:rFonts w:cs="Arial"/>
                <w:szCs w:val="18"/>
              </w:rPr>
              <w:t>35</w:t>
            </w:r>
          </w:p>
        </w:tc>
        <w:tc>
          <w:tcPr>
            <w:tcW w:w="1661" w:type="pct"/>
            <w:shd w:val="clear" w:color="auto" w:fill="auto"/>
          </w:tcPr>
          <w:p w14:paraId="57D47FE7" w14:textId="77777777" w:rsidR="00E415DE" w:rsidRPr="00E415DE" w:rsidRDefault="00E415DE" w:rsidP="001B0EFC">
            <w:pPr>
              <w:pStyle w:val="TableText"/>
              <w:ind w:left="57" w:right="57"/>
              <w:rPr>
                <w:rFonts w:cs="Arial"/>
                <w:szCs w:val="18"/>
              </w:rPr>
            </w:pPr>
            <w:r w:rsidRPr="00E415DE">
              <w:rPr>
                <w:rFonts w:cs="Arial"/>
                <w:szCs w:val="18"/>
              </w:rPr>
              <w:t>Effective and appropriate integration of Practice Management Systems (PMS) must be considered as part of any design for a new technology solution for cervical screening. This will enable real-time access to cervical screening data to optimise clinical decision-making.</w:t>
            </w:r>
          </w:p>
        </w:tc>
        <w:tc>
          <w:tcPr>
            <w:tcW w:w="2189" w:type="pct"/>
            <w:shd w:val="clear" w:color="auto" w:fill="auto"/>
          </w:tcPr>
          <w:p w14:paraId="0E3BABB2" w14:textId="77777777" w:rsidR="00E415DE" w:rsidRPr="00E415DE" w:rsidRDefault="00E415DE" w:rsidP="001B0EFC">
            <w:pPr>
              <w:pStyle w:val="TableText"/>
              <w:ind w:left="57" w:right="57"/>
              <w:rPr>
                <w:rFonts w:cs="Arial"/>
                <w:szCs w:val="18"/>
              </w:rPr>
            </w:pPr>
            <w:r w:rsidRPr="00E415DE">
              <w:rPr>
                <w:rFonts w:cs="Arial"/>
                <w:szCs w:val="18"/>
              </w:rPr>
              <w:t>This will be considered as part of HPV primary screening implementation.</w:t>
            </w:r>
          </w:p>
        </w:tc>
        <w:tc>
          <w:tcPr>
            <w:tcW w:w="467" w:type="pct"/>
            <w:shd w:val="clear" w:color="auto" w:fill="auto"/>
          </w:tcPr>
          <w:p w14:paraId="223678EC" w14:textId="77777777" w:rsidR="00E415DE" w:rsidRPr="00E415DE" w:rsidRDefault="00E415DE" w:rsidP="001B0EFC">
            <w:pPr>
              <w:pStyle w:val="TableText"/>
              <w:ind w:left="57"/>
              <w:rPr>
                <w:rFonts w:cs="Arial"/>
                <w:szCs w:val="18"/>
              </w:rPr>
            </w:pPr>
            <w:r w:rsidRPr="00E415DE">
              <w:rPr>
                <w:rFonts w:cs="Arial"/>
                <w:szCs w:val="18"/>
              </w:rPr>
              <w:t>Closed: this will be undertaken as part of HPV primary screening implementation.</w:t>
            </w:r>
          </w:p>
        </w:tc>
      </w:tr>
    </w:tbl>
    <w:p w14:paraId="4E023F9A" w14:textId="77777777" w:rsidR="00D74257" w:rsidRPr="00E415DE" w:rsidRDefault="00D74257" w:rsidP="00694137">
      <w:pPr>
        <w:rPr>
          <w:b/>
          <w:bCs/>
        </w:rPr>
      </w:pPr>
    </w:p>
    <w:p w14:paraId="474EC399" w14:textId="41CD53F4" w:rsidR="00683C4C" w:rsidRPr="00DD748F" w:rsidRDefault="0068267F" w:rsidP="00683C4C">
      <w:pPr>
        <w:spacing w:before="480"/>
        <w:jc w:val="center"/>
        <w:rPr>
          <w:rFonts w:ascii="Cambria" w:hAnsi="Cambria"/>
        </w:rPr>
      </w:pPr>
      <w:r>
        <w:rPr>
          <w:rFonts w:ascii="Cambria" w:hAnsi="Cambria"/>
          <w:noProof/>
          <w:lang w:eastAsia="en-NZ"/>
        </w:rPr>
        <w:drawing>
          <wp:inline distT="0" distB="0" distL="0" distR="0" wp14:anchorId="3A34E6B3" wp14:editId="07694F3F">
            <wp:extent cx="1310640" cy="2895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10640" cy="289560"/>
                    </a:xfrm>
                    <a:prstGeom prst="rect">
                      <a:avLst/>
                    </a:prstGeom>
                    <a:noFill/>
                    <a:ln>
                      <a:noFill/>
                    </a:ln>
                  </pic:spPr>
                </pic:pic>
              </a:graphicData>
            </a:graphic>
          </wp:inline>
        </w:drawing>
      </w:r>
    </w:p>
    <w:p w14:paraId="33B29774" w14:textId="599ECCF9" w:rsidR="00683C4C" w:rsidRDefault="0068267F" w:rsidP="00683C4C">
      <w:pPr>
        <w:spacing w:before="240"/>
        <w:jc w:val="center"/>
        <w:rPr>
          <w:lang w:eastAsia="en-NZ"/>
        </w:rPr>
      </w:pPr>
      <w:r>
        <w:t>August 2022</w:t>
      </w:r>
      <w:r w:rsidR="00683C4C" w:rsidRPr="00DD748F">
        <w:br/>
      </w:r>
    </w:p>
    <w:p w14:paraId="656912EE" w14:textId="77777777" w:rsidR="00683C4C" w:rsidRDefault="00683C4C" w:rsidP="00694137"/>
    <w:sectPr w:rsidR="00683C4C" w:rsidSect="00683C4C">
      <w:headerReference w:type="default" r:id="rId10"/>
      <w:footerReference w:type="even" r:id="rId11"/>
      <w:footerReference w:type="default" r:id="rId12"/>
      <w:headerReference w:type="first" r:id="rId13"/>
      <w:footerReference w:type="first" r:id="rId14"/>
      <w:pgSz w:w="16834" w:h="11907" w:orient="landscape" w:code="9"/>
      <w:pgMar w:top="1276" w:right="1134" w:bottom="1276" w:left="1134" w:header="284" w:footer="425"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CA047" w14:textId="77777777" w:rsidR="00443A9E" w:rsidRDefault="00443A9E">
      <w:r>
        <w:separator/>
      </w:r>
    </w:p>
    <w:p w14:paraId="7F7D9D2E" w14:textId="77777777" w:rsidR="00443A9E" w:rsidRDefault="00443A9E"/>
  </w:endnote>
  <w:endnote w:type="continuationSeparator" w:id="0">
    <w:p w14:paraId="5D0D6FB9" w14:textId="77777777" w:rsidR="00443A9E" w:rsidRDefault="00443A9E">
      <w:r>
        <w:continuationSeparator/>
      </w:r>
    </w:p>
    <w:p w14:paraId="6783FE8C" w14:textId="77777777" w:rsidR="00443A9E" w:rsidRDefault="00443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566" w:type="dxa"/>
      <w:tblLayout w:type="fixed"/>
      <w:tblLook w:val="04A0" w:firstRow="1" w:lastRow="0" w:firstColumn="1" w:lastColumn="0" w:noHBand="0" w:noVBand="1"/>
    </w:tblPr>
    <w:tblGrid>
      <w:gridCol w:w="658"/>
      <w:gridCol w:w="13908"/>
    </w:tblGrid>
    <w:tr w:rsidR="00105770" w14:paraId="343BB472" w14:textId="77777777" w:rsidTr="00683C4C">
      <w:trPr>
        <w:cantSplit/>
      </w:trPr>
      <w:tc>
        <w:tcPr>
          <w:tcW w:w="675" w:type="dxa"/>
          <w:vAlign w:val="center"/>
        </w:tcPr>
        <w:p w14:paraId="6B587758" w14:textId="77777777" w:rsidR="00105770" w:rsidRPr="00931466" w:rsidRDefault="00105770"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83C4C">
            <w:rPr>
              <w:rStyle w:val="PageNumber"/>
              <w:noProof/>
            </w:rPr>
            <w:t>10</w:t>
          </w:r>
          <w:r w:rsidRPr="00931466">
            <w:rPr>
              <w:rStyle w:val="PageNumber"/>
            </w:rPr>
            <w:fldChar w:fldCharType="end"/>
          </w:r>
        </w:p>
      </w:tc>
      <w:tc>
        <w:tcPr>
          <w:tcW w:w="14459" w:type="dxa"/>
          <w:vAlign w:val="center"/>
        </w:tcPr>
        <w:p w14:paraId="3BE751D9" w14:textId="77777777" w:rsidR="00105770" w:rsidRDefault="005F46A9" w:rsidP="005F46A9">
          <w:pPr>
            <w:pStyle w:val="RectoFooter"/>
            <w:ind w:left="-108"/>
            <w:jc w:val="left"/>
          </w:pPr>
          <w:r>
            <w:t>national cervical screening programme: progress against the parliamentary review committee recommendations</w:t>
          </w:r>
        </w:p>
      </w:tc>
    </w:tr>
  </w:tbl>
  <w:p w14:paraId="71863F3F" w14:textId="77777777" w:rsidR="00105770" w:rsidRPr="00571223" w:rsidRDefault="00105770"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601" w:type="dxa"/>
      <w:tblLayout w:type="fixed"/>
      <w:tblCellMar>
        <w:left w:w="0" w:type="dxa"/>
        <w:right w:w="0" w:type="dxa"/>
      </w:tblCellMar>
      <w:tblLook w:val="04A0" w:firstRow="1" w:lastRow="0" w:firstColumn="1" w:lastColumn="0" w:noHBand="0" w:noVBand="1"/>
    </w:tblPr>
    <w:tblGrid>
      <w:gridCol w:w="13892"/>
      <w:gridCol w:w="709"/>
    </w:tblGrid>
    <w:tr w:rsidR="00105770" w14:paraId="7FA33822" w14:textId="77777777" w:rsidTr="005F46A9">
      <w:trPr>
        <w:cantSplit/>
      </w:trPr>
      <w:tc>
        <w:tcPr>
          <w:tcW w:w="13892" w:type="dxa"/>
          <w:vAlign w:val="center"/>
        </w:tcPr>
        <w:p w14:paraId="02D1772E" w14:textId="77777777" w:rsidR="00105770" w:rsidRDefault="005F46A9" w:rsidP="005F46A9">
          <w:pPr>
            <w:pStyle w:val="RectoFooter"/>
          </w:pPr>
          <w:r>
            <w:t>national cervical screening programme: progress against the parliamentary review committee recommendations</w:t>
          </w:r>
        </w:p>
      </w:tc>
      <w:tc>
        <w:tcPr>
          <w:tcW w:w="709" w:type="dxa"/>
          <w:vAlign w:val="center"/>
        </w:tcPr>
        <w:p w14:paraId="38D5DD9A"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83C4C">
            <w:rPr>
              <w:rStyle w:val="PageNumber"/>
              <w:noProof/>
            </w:rPr>
            <w:t>11</w:t>
          </w:r>
          <w:r w:rsidRPr="00931466">
            <w:rPr>
              <w:rStyle w:val="PageNumber"/>
            </w:rPr>
            <w:fldChar w:fldCharType="end"/>
          </w:r>
        </w:p>
      </w:tc>
    </w:tr>
  </w:tbl>
  <w:p w14:paraId="33AD635E" w14:textId="77777777" w:rsidR="00105770" w:rsidRPr="00581EB8" w:rsidRDefault="00105770" w:rsidP="00581EB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601" w:type="dxa"/>
      <w:tblLayout w:type="fixed"/>
      <w:tblCellMar>
        <w:left w:w="0" w:type="dxa"/>
        <w:right w:w="0" w:type="dxa"/>
      </w:tblCellMar>
      <w:tblLook w:val="04A0" w:firstRow="1" w:lastRow="0" w:firstColumn="1" w:lastColumn="0" w:noHBand="0" w:noVBand="1"/>
    </w:tblPr>
    <w:tblGrid>
      <w:gridCol w:w="13892"/>
      <w:gridCol w:w="709"/>
    </w:tblGrid>
    <w:tr w:rsidR="00683C4C" w14:paraId="347FCC03" w14:textId="77777777" w:rsidTr="00202A6E">
      <w:trPr>
        <w:cantSplit/>
      </w:trPr>
      <w:tc>
        <w:tcPr>
          <w:tcW w:w="13892" w:type="dxa"/>
          <w:vAlign w:val="center"/>
        </w:tcPr>
        <w:p w14:paraId="023418BF" w14:textId="77777777" w:rsidR="00683C4C" w:rsidRDefault="00683C4C" w:rsidP="00202A6E">
          <w:pPr>
            <w:pStyle w:val="RectoFooter"/>
          </w:pPr>
          <w:r>
            <w:t>national cervical screening programme: progress against the parliamentary review committee recommendations</w:t>
          </w:r>
        </w:p>
      </w:tc>
      <w:tc>
        <w:tcPr>
          <w:tcW w:w="709" w:type="dxa"/>
          <w:vAlign w:val="center"/>
        </w:tcPr>
        <w:p w14:paraId="23A60E50" w14:textId="77777777" w:rsidR="00683C4C" w:rsidRPr="00931466" w:rsidRDefault="00683C4C" w:rsidP="00202A6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25C25B5E" w14:textId="77777777" w:rsidR="00683C4C" w:rsidRPr="00683C4C" w:rsidRDefault="00683C4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3EF49" w14:textId="77777777" w:rsidR="00443A9E" w:rsidRPr="00A26E6B" w:rsidRDefault="00443A9E" w:rsidP="00A26E6B"/>
  </w:footnote>
  <w:footnote w:type="continuationSeparator" w:id="0">
    <w:p w14:paraId="50EEC525" w14:textId="77777777" w:rsidR="00443A9E" w:rsidRDefault="00443A9E">
      <w:r>
        <w:continuationSeparator/>
      </w:r>
    </w:p>
    <w:p w14:paraId="730DF71A" w14:textId="77777777" w:rsidR="00443A9E" w:rsidRDefault="00443A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13FAC" w14:textId="77777777" w:rsidR="00244585" w:rsidRDefault="00244585" w:rsidP="002445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6"/>
      <w:gridCol w:w="7270"/>
    </w:tblGrid>
    <w:tr w:rsidR="00683C4C" w14:paraId="36AE93E3" w14:textId="77777777" w:rsidTr="00683C4C">
      <w:tc>
        <w:tcPr>
          <w:tcW w:w="7391" w:type="dxa"/>
          <w:vAlign w:val="center"/>
        </w:tcPr>
        <w:p w14:paraId="64A6D57A" w14:textId="77777777" w:rsidR="00683C4C" w:rsidRDefault="00683C4C" w:rsidP="00683C4C">
          <w:pPr>
            <w:pStyle w:val="Header"/>
            <w:rPr>
              <w:noProof/>
              <w:lang w:eastAsia="en-NZ"/>
            </w:rPr>
          </w:pPr>
          <w:r>
            <w:rPr>
              <w:noProof/>
              <w:lang w:eastAsia="en-NZ"/>
            </w:rPr>
            <w:drawing>
              <wp:inline distT="0" distB="0" distL="0" distR="0" wp14:anchorId="4428838C" wp14:editId="70434234">
                <wp:extent cx="2003368" cy="713618"/>
                <wp:effectExtent l="0" t="0" r="0" b="0"/>
                <wp:docPr id="4" name="Picture 4"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w Zealand Government logo"/>
                        <pic:cNvPicPr/>
                      </pic:nvPicPr>
                      <pic:blipFill rotWithShape="1">
                        <a:blip r:embed="rId1" cstate="print">
                          <a:extLst>
                            <a:ext uri="{28A0092B-C50C-407E-A947-70E740481C1C}">
                              <a14:useLocalDpi xmlns:a14="http://schemas.microsoft.com/office/drawing/2010/main" val="0"/>
                            </a:ext>
                          </a:extLst>
                        </a:blip>
                        <a:srcRect l="10781" r="62514"/>
                        <a:stretch/>
                      </pic:blipFill>
                      <pic:spPr bwMode="auto">
                        <a:xfrm>
                          <a:off x="0" y="0"/>
                          <a:ext cx="2011177" cy="716400"/>
                        </a:xfrm>
                        <a:prstGeom prst="rect">
                          <a:avLst/>
                        </a:prstGeom>
                        <a:ln>
                          <a:noFill/>
                        </a:ln>
                        <a:extLst>
                          <a:ext uri="{53640926-AAD7-44D8-BBD7-CCE9431645EC}">
                            <a14:shadowObscured xmlns:a14="http://schemas.microsoft.com/office/drawing/2010/main"/>
                          </a:ext>
                        </a:extLst>
                      </pic:spPr>
                    </pic:pic>
                  </a:graphicData>
                </a:graphic>
              </wp:inline>
            </w:drawing>
          </w:r>
        </w:p>
      </w:tc>
      <w:tc>
        <w:tcPr>
          <w:tcW w:w="7391" w:type="dxa"/>
          <w:vAlign w:val="center"/>
        </w:tcPr>
        <w:p w14:paraId="6F58A493" w14:textId="6E60BBD8" w:rsidR="00683C4C" w:rsidRDefault="00DD5789" w:rsidP="00683C4C">
          <w:pPr>
            <w:pStyle w:val="Header"/>
            <w:jc w:val="right"/>
            <w:rPr>
              <w:noProof/>
              <w:lang w:eastAsia="en-NZ"/>
            </w:rPr>
          </w:pPr>
          <w:r>
            <w:rPr>
              <w:noProof/>
              <w:lang w:eastAsia="en-NZ"/>
            </w:rPr>
            <w:drawing>
              <wp:inline distT="0" distB="0" distL="0" distR="0" wp14:anchorId="29DE01E6" wp14:editId="6990AD99">
                <wp:extent cx="1310640" cy="2895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289560"/>
                        </a:xfrm>
                        <a:prstGeom prst="rect">
                          <a:avLst/>
                        </a:prstGeom>
                        <a:noFill/>
                        <a:ln>
                          <a:noFill/>
                        </a:ln>
                      </pic:spPr>
                    </pic:pic>
                  </a:graphicData>
                </a:graphic>
              </wp:inline>
            </w:drawing>
          </w:r>
        </w:p>
      </w:tc>
    </w:tr>
  </w:tbl>
  <w:p w14:paraId="626C484D" w14:textId="77777777" w:rsidR="00683C4C" w:rsidRDefault="00683C4C" w:rsidP="00683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1"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3"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6"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7" w15:restartNumberingAfterBreak="0">
    <w:nsid w:val="30FA13D9"/>
    <w:multiLevelType w:val="hybridMultilevel"/>
    <w:tmpl w:val="1F86A5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9"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372D0AED"/>
    <w:multiLevelType w:val="hybridMultilevel"/>
    <w:tmpl w:val="609A5B22"/>
    <w:lvl w:ilvl="0" w:tplc="8CA2CCC6">
      <w:start w:val="1"/>
      <w:numFmt w:val="bullet"/>
      <w:lvlText w:val=""/>
      <w:lvlJc w:val="left"/>
      <w:pPr>
        <w:tabs>
          <w:tab w:val="num" w:pos="567"/>
        </w:tabs>
        <w:ind w:left="567" w:hanging="567"/>
      </w:pPr>
      <w:rPr>
        <w:rFonts w:ascii="Symbol" w:hAnsi="Symbol" w:cs="Times New Roman" w:hint="default"/>
        <w:bCs w:val="0"/>
        <w:iCs w:val="0"/>
        <w:color w:val="auto"/>
        <w:sz w:val="20"/>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6"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7"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0133EDF"/>
    <w:multiLevelType w:val="hybridMultilevel"/>
    <w:tmpl w:val="5A06F9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4"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6"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7"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0A950C3"/>
    <w:multiLevelType w:val="hybridMultilevel"/>
    <w:tmpl w:val="0B306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4"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5"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4"/>
  </w:num>
  <w:num w:numId="2">
    <w:abstractNumId w:val="23"/>
  </w:num>
  <w:num w:numId="3">
    <w:abstractNumId w:val="24"/>
  </w:num>
  <w:num w:numId="4">
    <w:abstractNumId w:val="4"/>
  </w:num>
  <w:num w:numId="5">
    <w:abstractNumId w:val="1"/>
  </w:num>
  <w:num w:numId="6">
    <w:abstractNumId w:val="28"/>
  </w:num>
  <w:num w:numId="7">
    <w:abstractNumId w:val="37"/>
  </w:num>
  <w:num w:numId="8">
    <w:abstractNumId w:val="3"/>
  </w:num>
  <w:num w:numId="9">
    <w:abstractNumId w:val="38"/>
  </w:num>
  <w:num w:numId="10">
    <w:abstractNumId w:val="31"/>
  </w:num>
  <w:num w:numId="11">
    <w:abstractNumId w:val="15"/>
  </w:num>
  <w:num w:numId="12">
    <w:abstractNumId w:val="22"/>
  </w:num>
  <w:num w:numId="13">
    <w:abstractNumId w:val="0"/>
  </w:num>
  <w:num w:numId="14">
    <w:abstractNumId w:val="12"/>
  </w:num>
  <w:num w:numId="15">
    <w:abstractNumId w:val="19"/>
  </w:num>
  <w:num w:numId="16">
    <w:abstractNumId w:val="32"/>
  </w:num>
  <w:num w:numId="17">
    <w:abstractNumId w:val="8"/>
  </w:num>
  <w:num w:numId="18">
    <w:abstractNumId w:val="14"/>
  </w:num>
  <w:num w:numId="19">
    <w:abstractNumId w:val="9"/>
  </w:num>
  <w:num w:numId="20">
    <w:abstractNumId w:val="6"/>
  </w:num>
  <w:num w:numId="21">
    <w:abstractNumId w:val="42"/>
  </w:num>
  <w:num w:numId="22">
    <w:abstractNumId w:val="13"/>
  </w:num>
  <w:num w:numId="23">
    <w:abstractNumId w:val="39"/>
  </w:num>
  <w:num w:numId="24">
    <w:abstractNumId w:val="2"/>
  </w:num>
  <w:num w:numId="25">
    <w:abstractNumId w:val="7"/>
  </w:num>
  <w:num w:numId="26">
    <w:abstractNumId w:val="5"/>
  </w:num>
  <w:num w:numId="27">
    <w:abstractNumId w:val="34"/>
  </w:num>
  <w:num w:numId="28">
    <w:abstractNumId w:val="40"/>
  </w:num>
  <w:num w:numId="29">
    <w:abstractNumId w:val="18"/>
  </w:num>
  <w:num w:numId="30">
    <w:abstractNumId w:val="11"/>
  </w:num>
  <w:num w:numId="31">
    <w:abstractNumId w:val="29"/>
  </w:num>
  <w:num w:numId="32">
    <w:abstractNumId w:val="20"/>
  </w:num>
  <w:num w:numId="33">
    <w:abstractNumId w:val="45"/>
  </w:num>
  <w:num w:numId="34">
    <w:abstractNumId w:val="16"/>
  </w:num>
  <w:num w:numId="35">
    <w:abstractNumId w:val="36"/>
  </w:num>
  <w:num w:numId="36">
    <w:abstractNumId w:val="33"/>
  </w:num>
  <w:num w:numId="37">
    <w:abstractNumId w:val="43"/>
  </w:num>
  <w:num w:numId="38">
    <w:abstractNumId w:val="35"/>
  </w:num>
  <w:num w:numId="39">
    <w:abstractNumId w:val="25"/>
  </w:num>
  <w:num w:numId="40">
    <w:abstractNumId w:val="26"/>
  </w:num>
  <w:num w:numId="41">
    <w:abstractNumId w:val="10"/>
  </w:num>
  <w:num w:numId="42">
    <w:abstractNumId w:val="27"/>
  </w:num>
  <w:num w:numId="43">
    <w:abstractNumId w:val="21"/>
  </w:num>
  <w:num w:numId="44">
    <w:abstractNumId w:val="30"/>
  </w:num>
  <w:num w:numId="45">
    <w:abstractNumId w:val="17"/>
  </w:num>
  <w:num w:numId="46">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36027"/>
    <w:rsid w:val="000419A9"/>
    <w:rsid w:val="00044A3D"/>
    <w:rsid w:val="00045613"/>
    <w:rsid w:val="00047899"/>
    <w:rsid w:val="00053921"/>
    <w:rsid w:val="00054B44"/>
    <w:rsid w:val="0006006B"/>
    <w:rsid w:val="0006228D"/>
    <w:rsid w:val="00063C07"/>
    <w:rsid w:val="00072BD6"/>
    <w:rsid w:val="00075B78"/>
    <w:rsid w:val="000763E9"/>
    <w:rsid w:val="00082CD6"/>
    <w:rsid w:val="00084209"/>
    <w:rsid w:val="0008437D"/>
    <w:rsid w:val="00085AFE"/>
    <w:rsid w:val="00094800"/>
    <w:rsid w:val="000A0158"/>
    <w:rsid w:val="000A373D"/>
    <w:rsid w:val="000A41ED"/>
    <w:rsid w:val="000B0730"/>
    <w:rsid w:val="000D19F4"/>
    <w:rsid w:val="000D58DD"/>
    <w:rsid w:val="000F1F42"/>
    <w:rsid w:val="000F21F1"/>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1B4"/>
    <w:rsid w:val="001A5CF5"/>
    <w:rsid w:val="001B39D2"/>
    <w:rsid w:val="001B4BF8"/>
    <w:rsid w:val="001B53B4"/>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32E9F"/>
    <w:rsid w:val="00244585"/>
    <w:rsid w:val="00245748"/>
    <w:rsid w:val="00246DB1"/>
    <w:rsid w:val="002476B5"/>
    <w:rsid w:val="002520CC"/>
    <w:rsid w:val="00253331"/>
    <w:rsid w:val="00253ECF"/>
    <w:rsid w:val="00254044"/>
    <w:rsid w:val="002546A1"/>
    <w:rsid w:val="002575E8"/>
    <w:rsid w:val="00257EF1"/>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3A0D"/>
    <w:rsid w:val="002F4685"/>
    <w:rsid w:val="002F7213"/>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0A84"/>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4F32"/>
    <w:rsid w:val="003E74C8"/>
    <w:rsid w:val="003E74E2"/>
    <w:rsid w:val="003E7C46"/>
    <w:rsid w:val="003F2106"/>
    <w:rsid w:val="003F52A7"/>
    <w:rsid w:val="003F7013"/>
    <w:rsid w:val="003F7F6A"/>
    <w:rsid w:val="0040240C"/>
    <w:rsid w:val="00413021"/>
    <w:rsid w:val="00414C35"/>
    <w:rsid w:val="004171B7"/>
    <w:rsid w:val="00417416"/>
    <w:rsid w:val="004301C6"/>
    <w:rsid w:val="0043478F"/>
    <w:rsid w:val="0043602B"/>
    <w:rsid w:val="004367D2"/>
    <w:rsid w:val="00440BE0"/>
    <w:rsid w:val="00442A06"/>
    <w:rsid w:val="00442C1C"/>
    <w:rsid w:val="00443A9E"/>
    <w:rsid w:val="0044584B"/>
    <w:rsid w:val="00447CB7"/>
    <w:rsid w:val="00455CC9"/>
    <w:rsid w:val="00460826"/>
    <w:rsid w:val="00460B1E"/>
    <w:rsid w:val="00460EA7"/>
    <w:rsid w:val="0046195B"/>
    <w:rsid w:val="0046362D"/>
    <w:rsid w:val="0046596D"/>
    <w:rsid w:val="00476B21"/>
    <w:rsid w:val="004852AB"/>
    <w:rsid w:val="00487C04"/>
    <w:rsid w:val="004907E1"/>
    <w:rsid w:val="00494A3C"/>
    <w:rsid w:val="00494C8E"/>
    <w:rsid w:val="004A035B"/>
    <w:rsid w:val="004A2108"/>
    <w:rsid w:val="004A38D7"/>
    <w:rsid w:val="004A778C"/>
    <w:rsid w:val="004B14DD"/>
    <w:rsid w:val="004B48C7"/>
    <w:rsid w:val="004C2E6A"/>
    <w:rsid w:val="004C64B8"/>
    <w:rsid w:val="004D2A2D"/>
    <w:rsid w:val="004D479F"/>
    <w:rsid w:val="004D6689"/>
    <w:rsid w:val="004E1D1D"/>
    <w:rsid w:val="004E23B1"/>
    <w:rsid w:val="004E7AC8"/>
    <w:rsid w:val="004F05F4"/>
    <w:rsid w:val="004F0C94"/>
    <w:rsid w:val="004F4E9A"/>
    <w:rsid w:val="005019AE"/>
    <w:rsid w:val="00503749"/>
    <w:rsid w:val="00503D59"/>
    <w:rsid w:val="00504CF4"/>
    <w:rsid w:val="0050635B"/>
    <w:rsid w:val="005075B3"/>
    <w:rsid w:val="005151C2"/>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3D17"/>
    <w:rsid w:val="0058437F"/>
    <w:rsid w:val="005A27CA"/>
    <w:rsid w:val="005A43BD"/>
    <w:rsid w:val="005A79E5"/>
    <w:rsid w:val="005D034C"/>
    <w:rsid w:val="005E226E"/>
    <w:rsid w:val="005E2636"/>
    <w:rsid w:val="005F46A9"/>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1FDE"/>
    <w:rsid w:val="00653A5A"/>
    <w:rsid w:val="006554AC"/>
    <w:rsid w:val="00656F28"/>
    <w:rsid w:val="006575F4"/>
    <w:rsid w:val="006579E6"/>
    <w:rsid w:val="00660682"/>
    <w:rsid w:val="00660F74"/>
    <w:rsid w:val="00663EDC"/>
    <w:rsid w:val="00671078"/>
    <w:rsid w:val="006758CA"/>
    <w:rsid w:val="00680A04"/>
    <w:rsid w:val="0068267F"/>
    <w:rsid w:val="00683C4C"/>
    <w:rsid w:val="00686D80"/>
    <w:rsid w:val="00694137"/>
    <w:rsid w:val="00694895"/>
    <w:rsid w:val="00697E2E"/>
    <w:rsid w:val="006A25A2"/>
    <w:rsid w:val="006A3B87"/>
    <w:rsid w:val="006B0A88"/>
    <w:rsid w:val="006B0E73"/>
    <w:rsid w:val="006B1E3D"/>
    <w:rsid w:val="006B4A4D"/>
    <w:rsid w:val="006B5695"/>
    <w:rsid w:val="006B62E6"/>
    <w:rsid w:val="006B7B2E"/>
    <w:rsid w:val="006C2F08"/>
    <w:rsid w:val="006C78EB"/>
    <w:rsid w:val="006D1660"/>
    <w:rsid w:val="006D3291"/>
    <w:rsid w:val="006D63E5"/>
    <w:rsid w:val="006E1753"/>
    <w:rsid w:val="006E2886"/>
    <w:rsid w:val="006E3911"/>
    <w:rsid w:val="006E69F4"/>
    <w:rsid w:val="006F1B67"/>
    <w:rsid w:val="006F4D9C"/>
    <w:rsid w:val="0070091D"/>
    <w:rsid w:val="00702854"/>
    <w:rsid w:val="0071741C"/>
    <w:rsid w:val="007404C3"/>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DEE"/>
    <w:rsid w:val="008305E8"/>
    <w:rsid w:val="00836165"/>
    <w:rsid w:val="008365B2"/>
    <w:rsid w:val="0084640C"/>
    <w:rsid w:val="00856088"/>
    <w:rsid w:val="00860826"/>
    <w:rsid w:val="00860E21"/>
    <w:rsid w:val="00861B62"/>
    <w:rsid w:val="00863117"/>
    <w:rsid w:val="0086388B"/>
    <w:rsid w:val="008642E5"/>
    <w:rsid w:val="00864488"/>
    <w:rsid w:val="00870A36"/>
    <w:rsid w:val="00872D93"/>
    <w:rsid w:val="00880470"/>
    <w:rsid w:val="00880D94"/>
    <w:rsid w:val="008814E8"/>
    <w:rsid w:val="00886F64"/>
    <w:rsid w:val="008924DE"/>
    <w:rsid w:val="008956D7"/>
    <w:rsid w:val="008A0A98"/>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14D1"/>
    <w:rsid w:val="009427FA"/>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1C7F"/>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74761"/>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0F28"/>
    <w:rsid w:val="00B13D41"/>
    <w:rsid w:val="00B253F6"/>
    <w:rsid w:val="00B26675"/>
    <w:rsid w:val="00B305DB"/>
    <w:rsid w:val="00B332F8"/>
    <w:rsid w:val="00B3492B"/>
    <w:rsid w:val="00B4646F"/>
    <w:rsid w:val="00B54B5D"/>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05D06"/>
    <w:rsid w:val="00C12508"/>
    <w:rsid w:val="00C23728"/>
    <w:rsid w:val="00C3026C"/>
    <w:rsid w:val="00C313A9"/>
    <w:rsid w:val="00C347C8"/>
    <w:rsid w:val="00C358E4"/>
    <w:rsid w:val="00C418EE"/>
    <w:rsid w:val="00C441CF"/>
    <w:rsid w:val="00C45AA2"/>
    <w:rsid w:val="00C4792C"/>
    <w:rsid w:val="00C55BEF"/>
    <w:rsid w:val="00C565A3"/>
    <w:rsid w:val="00C57C00"/>
    <w:rsid w:val="00C601AF"/>
    <w:rsid w:val="00C61A63"/>
    <w:rsid w:val="00C66296"/>
    <w:rsid w:val="00C7394D"/>
    <w:rsid w:val="00C756B7"/>
    <w:rsid w:val="00C75F3A"/>
    <w:rsid w:val="00C77282"/>
    <w:rsid w:val="00C84DE5"/>
    <w:rsid w:val="00C8517A"/>
    <w:rsid w:val="00C86248"/>
    <w:rsid w:val="00C90B31"/>
    <w:rsid w:val="00CA0D6F"/>
    <w:rsid w:val="00CA4C33"/>
    <w:rsid w:val="00CA6F4A"/>
    <w:rsid w:val="00CB3483"/>
    <w:rsid w:val="00CB6427"/>
    <w:rsid w:val="00CC0FBE"/>
    <w:rsid w:val="00CD077C"/>
    <w:rsid w:val="00CD2119"/>
    <w:rsid w:val="00CD237A"/>
    <w:rsid w:val="00CD36AC"/>
    <w:rsid w:val="00CE13A3"/>
    <w:rsid w:val="00CE36BC"/>
    <w:rsid w:val="00CF1747"/>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4F88"/>
    <w:rsid w:val="00D560B4"/>
    <w:rsid w:val="00D60705"/>
    <w:rsid w:val="00D662F8"/>
    <w:rsid w:val="00D66797"/>
    <w:rsid w:val="00D7087C"/>
    <w:rsid w:val="00D70C3C"/>
    <w:rsid w:val="00D71DF7"/>
    <w:rsid w:val="00D72BE5"/>
    <w:rsid w:val="00D74257"/>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D5789"/>
    <w:rsid w:val="00DE3B20"/>
    <w:rsid w:val="00DE6C94"/>
    <w:rsid w:val="00DE6FD7"/>
    <w:rsid w:val="00DF0C7C"/>
    <w:rsid w:val="00E10B18"/>
    <w:rsid w:val="00E23271"/>
    <w:rsid w:val="00E24F80"/>
    <w:rsid w:val="00E2558B"/>
    <w:rsid w:val="00E259F3"/>
    <w:rsid w:val="00E30985"/>
    <w:rsid w:val="00E33238"/>
    <w:rsid w:val="00E33934"/>
    <w:rsid w:val="00E376B7"/>
    <w:rsid w:val="00E415DE"/>
    <w:rsid w:val="00E42F5D"/>
    <w:rsid w:val="00E4486C"/>
    <w:rsid w:val="00E460B6"/>
    <w:rsid w:val="00E511D5"/>
    <w:rsid w:val="00E53A9F"/>
    <w:rsid w:val="00E57349"/>
    <w:rsid w:val="00E60249"/>
    <w:rsid w:val="00E62238"/>
    <w:rsid w:val="00E65269"/>
    <w:rsid w:val="00E76D66"/>
    <w:rsid w:val="00EA796A"/>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5180D"/>
    <w:rsid w:val="00F54E74"/>
    <w:rsid w:val="00F63781"/>
    <w:rsid w:val="00F66CEE"/>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7F011"/>
  <w15:docId w15:val="{F523ED5A-D03F-41A6-BA7F-218DE366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244585"/>
    <w:pPr>
      <w:keepNext/>
      <w:spacing w:before="600" w:after="360"/>
      <w:jc w:val="center"/>
      <w:outlineLvl w:val="0"/>
    </w:pPr>
    <w:rPr>
      <w:b/>
      <w:color w:val="23305D"/>
      <w:sz w:val="28"/>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4585"/>
    <w:rPr>
      <w:rFonts w:ascii="Segoe UI" w:hAnsi="Segoe UI"/>
      <w:b/>
      <w:color w:val="23305D"/>
      <w:sz w:val="28"/>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C8517A"/>
    <w:pPr>
      <w:keepNext w:val="0"/>
      <w:spacing w:before="0"/>
      <w:jc w:val="left"/>
      <w:outlineLvl w:val="9"/>
    </w:pPr>
    <w:rPr>
      <w:sz w:val="72"/>
    </w:r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59"/>
    <w:rsid w:val="00683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94841-8B5C-43BC-A4A8-534880F3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TotalTime>
  <Pages>11</Pages>
  <Words>3499</Words>
  <Characters>19946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Cervical Screening Programme Progress against the Parliamentary Review Committee recommendations</dc:title>
  <dc:creator>National Screening Unit</dc:creator>
  <cp:keywords/>
  <cp:lastModifiedBy>Ava Gorzeman</cp:lastModifiedBy>
  <cp:revision>8</cp:revision>
  <cp:lastPrinted>2015-11-17T05:02:00Z</cp:lastPrinted>
  <dcterms:created xsi:type="dcterms:W3CDTF">2022-08-22T23:35:00Z</dcterms:created>
  <dcterms:modified xsi:type="dcterms:W3CDTF">2022-08-22T23:39:00Z</dcterms:modified>
</cp:coreProperties>
</file>