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3B2350" w:rsidP="00D54D50">
      <w:pPr>
        <w:pStyle w:val="Title"/>
      </w:pPr>
      <w:r>
        <w:t>Self-management Support for People with Long</w:t>
      </w:r>
      <w:r>
        <w:noBreakHyphen/>
        <w:t>term C</w:t>
      </w:r>
      <w:r w:rsidR="00752FD4">
        <w:t>onditions</w:t>
      </w:r>
    </w:p>
    <w:p w:rsidR="00C86248" w:rsidRDefault="00C86248" w:rsidP="00343365">
      <w:pPr>
        <w:pStyle w:val="Subhead"/>
      </w:pPr>
    </w:p>
    <w:p w:rsidR="00142954" w:rsidRPr="00142954" w:rsidRDefault="00142954" w:rsidP="00142954">
      <w:pPr>
        <w:sectPr w:rsidR="00142954" w:rsidRPr="00142954" w:rsidSect="000F2AE2">
          <w:headerReference w:type="even" r:id="rId9"/>
          <w:headerReference w:type="default" r:id="rId10"/>
          <w:footerReference w:type="even" r:id="rId11"/>
          <w:footerReference w:type="default" r:id="rId12"/>
          <w:headerReference w:type="first" r:id="rId13"/>
          <w:footerReference w:type="first" r:id="rId14"/>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752FD4">
        <w:t>2016</w:t>
      </w:r>
      <w:r w:rsidR="00442C1C">
        <w:t xml:space="preserve">. </w:t>
      </w:r>
      <w:r w:rsidR="003B2350">
        <w:rPr>
          <w:i/>
        </w:rPr>
        <w:t>Self-management S</w:t>
      </w:r>
      <w:r w:rsidR="00752FD4">
        <w:rPr>
          <w:i/>
        </w:rPr>
        <w:t xml:space="preserve">upport for </w:t>
      </w:r>
      <w:r w:rsidR="003B2350">
        <w:rPr>
          <w:i/>
        </w:rPr>
        <w:t>People with Long-term C</w:t>
      </w:r>
      <w:r w:rsidR="00752FD4">
        <w:rPr>
          <w:i/>
        </w:rPr>
        <w:t>onditions</w:t>
      </w:r>
      <w:r w:rsidR="00FA2913">
        <w:t xml:space="preserve"> (2nd </w:t>
      </w:r>
      <w:proofErr w:type="spellStart"/>
      <w:r w:rsidR="00FA2913">
        <w:t>edn</w:t>
      </w:r>
      <w:proofErr w:type="spellEnd"/>
      <w:r w:rsidR="00FA2913">
        <w:t>)</w:t>
      </w:r>
      <w:r w:rsidR="00442C1C">
        <w:t>. Wellington: Ministry of Health.</w:t>
      </w:r>
    </w:p>
    <w:p w:rsidR="00C86248" w:rsidRDefault="00FA2913">
      <w:pPr>
        <w:pStyle w:val="Imprint"/>
      </w:pPr>
      <w:r>
        <w:t>First p</w:t>
      </w:r>
      <w:r w:rsidR="00C86248">
        <w:t xml:space="preserve">ublished in </w:t>
      </w:r>
      <w:r>
        <w:t xml:space="preserve">November 2014, 2nd edition </w:t>
      </w:r>
      <w:r w:rsidR="00752FD4">
        <w:t>February 2016</w:t>
      </w:r>
      <w:r w:rsidR="005019AE">
        <w:br/>
      </w:r>
      <w:r w:rsidR="00C86248">
        <w:t>by the</w:t>
      </w:r>
      <w:r w:rsidR="00442C1C">
        <w:t xml:space="preserve"> </w:t>
      </w:r>
      <w:r w:rsidR="00C86248">
        <w:t>Ministry of Health</w:t>
      </w:r>
      <w:r w:rsidR="00C86248">
        <w:br/>
        <w:t>PO Box 5013, Wellington</w:t>
      </w:r>
      <w:r w:rsidR="00A80363">
        <w:t xml:space="preserve"> 6145</w:t>
      </w:r>
      <w:r w:rsidR="00C86248">
        <w:t>, New Zealand</w:t>
      </w:r>
    </w:p>
    <w:p w:rsidR="00082CD6" w:rsidRPr="009C0F2D" w:rsidRDefault="00D863D0" w:rsidP="00082CD6">
      <w:pPr>
        <w:pStyle w:val="Imprint"/>
      </w:pPr>
      <w:r>
        <w:t>ISBN</w:t>
      </w:r>
      <w:r w:rsidR="00442C1C">
        <w:t xml:space="preserve"> </w:t>
      </w:r>
      <w:r w:rsidR="008F6EB9">
        <w:t xml:space="preserve">978-0-947491-65-9 </w:t>
      </w:r>
      <w:r>
        <w:t>(</w:t>
      </w:r>
      <w:r w:rsidR="00442C1C">
        <w:t>online</w:t>
      </w:r>
      <w:proofErr w:type="gramStart"/>
      <w:r>
        <w:t>)</w:t>
      </w:r>
      <w:proofErr w:type="gramEnd"/>
      <w:r w:rsidR="00082CD6">
        <w:br/>
      </w:r>
      <w:r w:rsidR="00082CD6" w:rsidRPr="009C0F2D">
        <w:t xml:space="preserve">HP </w:t>
      </w:r>
      <w:r w:rsidR="008F6EB9">
        <w:t>6</w:t>
      </w:r>
      <w:r w:rsidR="00FA2913">
        <w:t>353</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6BB451E1" wp14:editId="7FB61C65">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086C520B" wp14:editId="3E94338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7"/>
          <w:footerReference w:type="default" r:id="rId18"/>
          <w:pgSz w:w="11907" w:h="16834" w:code="9"/>
          <w:pgMar w:top="1701" w:right="1134" w:bottom="1134" w:left="1985" w:header="0" w:footer="0" w:gutter="0"/>
          <w:cols w:space="720"/>
          <w:vAlign w:val="bottom"/>
        </w:sectPr>
      </w:pPr>
    </w:p>
    <w:p w:rsidR="00A77E34" w:rsidRDefault="00A77E34" w:rsidP="00A77E34">
      <w:pPr>
        <w:pStyle w:val="IntroHead"/>
      </w:pPr>
      <w:bookmarkStart w:id="0" w:name="_Toc405792991"/>
      <w:bookmarkStart w:id="1" w:name="_Toc405793224"/>
      <w:r>
        <w:lastRenderedPageBreak/>
        <w:t>Contents</w:t>
      </w:r>
    </w:p>
    <w:p w:rsidR="00A77E34" w:rsidRDefault="00A77E34">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Pr>
          <w:noProof/>
        </w:rPr>
        <w:t>Acknowledgements</w:t>
      </w:r>
      <w:r>
        <w:rPr>
          <w:noProof/>
        </w:rPr>
        <w:tab/>
      </w:r>
      <w:r>
        <w:rPr>
          <w:noProof/>
        </w:rPr>
        <w:fldChar w:fldCharType="begin"/>
      </w:r>
      <w:r>
        <w:rPr>
          <w:noProof/>
        </w:rPr>
        <w:instrText xml:space="preserve"> PAGEREF _Toc442253007 \h </w:instrText>
      </w:r>
      <w:r>
        <w:rPr>
          <w:noProof/>
        </w:rPr>
      </w:r>
      <w:r>
        <w:rPr>
          <w:noProof/>
        </w:rPr>
        <w:fldChar w:fldCharType="separate"/>
      </w:r>
      <w:r>
        <w:rPr>
          <w:noProof/>
        </w:rPr>
        <w:t>iv</w:t>
      </w:r>
      <w:r>
        <w:rPr>
          <w:noProof/>
        </w:rPr>
        <w:fldChar w:fldCharType="end"/>
      </w:r>
    </w:p>
    <w:p w:rsidR="00A77E34" w:rsidRDefault="00A77E34">
      <w:pPr>
        <w:pStyle w:val="TOC1"/>
        <w:rPr>
          <w:rFonts w:asciiTheme="minorHAnsi" w:eastAsiaTheme="minorEastAsia" w:hAnsiTheme="minorHAnsi" w:cstheme="minorBidi"/>
          <w:b w:val="0"/>
          <w:noProof/>
          <w:szCs w:val="22"/>
          <w:lang w:eastAsia="en-NZ"/>
        </w:rPr>
      </w:pPr>
      <w:r>
        <w:rPr>
          <w:noProof/>
        </w:rPr>
        <w:t>Overview</w:t>
      </w:r>
      <w:r>
        <w:rPr>
          <w:noProof/>
        </w:rPr>
        <w:tab/>
      </w:r>
      <w:r>
        <w:rPr>
          <w:noProof/>
        </w:rPr>
        <w:fldChar w:fldCharType="begin"/>
      </w:r>
      <w:r>
        <w:rPr>
          <w:noProof/>
        </w:rPr>
        <w:instrText xml:space="preserve"> PAGEREF _Toc442253008 \h </w:instrText>
      </w:r>
      <w:r>
        <w:rPr>
          <w:noProof/>
        </w:rPr>
      </w:r>
      <w:r>
        <w:rPr>
          <w:noProof/>
        </w:rPr>
        <w:fldChar w:fldCharType="separate"/>
      </w:r>
      <w:r>
        <w:rPr>
          <w:noProof/>
        </w:rPr>
        <w:t>1</w:t>
      </w:r>
      <w:r>
        <w:rPr>
          <w:noProof/>
        </w:rPr>
        <w:fldChar w:fldCharType="end"/>
      </w:r>
    </w:p>
    <w:p w:rsidR="00A77E34" w:rsidRDefault="00A77E34">
      <w:pPr>
        <w:pStyle w:val="TOC1"/>
        <w:rPr>
          <w:rFonts w:asciiTheme="minorHAnsi" w:eastAsiaTheme="minorEastAsia" w:hAnsiTheme="minorHAnsi" w:cstheme="minorBidi"/>
          <w:b w:val="0"/>
          <w:noProof/>
          <w:szCs w:val="22"/>
          <w:lang w:eastAsia="en-NZ"/>
        </w:rPr>
      </w:pPr>
      <w:r>
        <w:rPr>
          <w:noProof/>
        </w:rPr>
        <w:t>1</w:t>
      </w:r>
      <w:r>
        <w:rPr>
          <w:rFonts w:asciiTheme="minorHAnsi" w:eastAsiaTheme="minorEastAsia" w:hAnsiTheme="minorHAnsi" w:cstheme="minorBidi"/>
          <w:b w:val="0"/>
          <w:noProof/>
          <w:szCs w:val="22"/>
          <w:lang w:eastAsia="en-NZ"/>
        </w:rPr>
        <w:tab/>
      </w:r>
      <w:r>
        <w:rPr>
          <w:noProof/>
        </w:rPr>
        <w:t>Introduction</w:t>
      </w:r>
      <w:r>
        <w:rPr>
          <w:noProof/>
        </w:rPr>
        <w:tab/>
      </w:r>
      <w:r>
        <w:rPr>
          <w:noProof/>
        </w:rPr>
        <w:fldChar w:fldCharType="begin"/>
      </w:r>
      <w:r>
        <w:rPr>
          <w:noProof/>
        </w:rPr>
        <w:instrText xml:space="preserve"> PAGEREF _Toc442253009 \h </w:instrText>
      </w:r>
      <w:r>
        <w:rPr>
          <w:noProof/>
        </w:rPr>
      </w:r>
      <w:r>
        <w:rPr>
          <w:noProof/>
        </w:rPr>
        <w:fldChar w:fldCharType="separate"/>
      </w:r>
      <w:r>
        <w:rPr>
          <w:noProof/>
        </w:rPr>
        <w:t>2</w:t>
      </w:r>
      <w:r>
        <w:rPr>
          <w:noProof/>
        </w:rPr>
        <w:fldChar w:fldCharType="end"/>
      </w:r>
    </w:p>
    <w:p w:rsidR="00A77E34" w:rsidRDefault="00A77E34">
      <w:pPr>
        <w:pStyle w:val="TOC2"/>
        <w:rPr>
          <w:rFonts w:asciiTheme="minorHAnsi" w:eastAsiaTheme="minorEastAsia" w:hAnsiTheme="minorHAnsi" w:cstheme="minorBidi"/>
          <w:noProof/>
          <w:szCs w:val="22"/>
          <w:lang w:eastAsia="en-NZ"/>
        </w:rPr>
      </w:pPr>
      <w:r>
        <w:rPr>
          <w:noProof/>
        </w:rPr>
        <w:t>Health care priorities for self-management support</w:t>
      </w:r>
      <w:r>
        <w:rPr>
          <w:noProof/>
        </w:rPr>
        <w:tab/>
      </w:r>
      <w:r>
        <w:rPr>
          <w:noProof/>
        </w:rPr>
        <w:fldChar w:fldCharType="begin"/>
      </w:r>
      <w:r>
        <w:rPr>
          <w:noProof/>
        </w:rPr>
        <w:instrText xml:space="preserve"> PAGEREF _Toc442253010 \h </w:instrText>
      </w:r>
      <w:r>
        <w:rPr>
          <w:noProof/>
        </w:rPr>
      </w:r>
      <w:r>
        <w:rPr>
          <w:noProof/>
        </w:rPr>
        <w:fldChar w:fldCharType="separate"/>
      </w:r>
      <w:r>
        <w:rPr>
          <w:noProof/>
        </w:rPr>
        <w:t>2</w:t>
      </w:r>
      <w:r>
        <w:rPr>
          <w:noProof/>
        </w:rPr>
        <w:fldChar w:fldCharType="end"/>
      </w:r>
    </w:p>
    <w:p w:rsidR="00A77E34" w:rsidRDefault="00A77E34">
      <w:pPr>
        <w:pStyle w:val="TOC2"/>
        <w:rPr>
          <w:rFonts w:asciiTheme="minorHAnsi" w:eastAsiaTheme="minorEastAsia" w:hAnsiTheme="minorHAnsi" w:cstheme="minorBidi"/>
          <w:noProof/>
          <w:szCs w:val="22"/>
          <w:lang w:eastAsia="en-NZ"/>
        </w:rPr>
      </w:pPr>
      <w:r>
        <w:rPr>
          <w:noProof/>
        </w:rPr>
        <w:t>Chronic care model</w:t>
      </w:r>
      <w:r>
        <w:rPr>
          <w:noProof/>
        </w:rPr>
        <w:tab/>
      </w:r>
      <w:r>
        <w:rPr>
          <w:noProof/>
        </w:rPr>
        <w:fldChar w:fldCharType="begin"/>
      </w:r>
      <w:r>
        <w:rPr>
          <w:noProof/>
        </w:rPr>
        <w:instrText xml:space="preserve"> PAGEREF _Toc442253011 \h </w:instrText>
      </w:r>
      <w:r>
        <w:rPr>
          <w:noProof/>
        </w:rPr>
      </w:r>
      <w:r>
        <w:rPr>
          <w:noProof/>
        </w:rPr>
        <w:fldChar w:fldCharType="separate"/>
      </w:r>
      <w:r>
        <w:rPr>
          <w:noProof/>
        </w:rPr>
        <w:t>2</w:t>
      </w:r>
      <w:r>
        <w:rPr>
          <w:noProof/>
        </w:rPr>
        <w:fldChar w:fldCharType="end"/>
      </w:r>
    </w:p>
    <w:p w:rsidR="00A77E34" w:rsidRDefault="00A77E34">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Self-management in context</w:t>
      </w:r>
      <w:r>
        <w:rPr>
          <w:noProof/>
        </w:rPr>
        <w:tab/>
      </w:r>
      <w:r>
        <w:rPr>
          <w:noProof/>
        </w:rPr>
        <w:fldChar w:fldCharType="begin"/>
      </w:r>
      <w:r>
        <w:rPr>
          <w:noProof/>
        </w:rPr>
        <w:instrText xml:space="preserve"> PAGEREF _Toc442253012 \h </w:instrText>
      </w:r>
      <w:r>
        <w:rPr>
          <w:noProof/>
        </w:rPr>
      </w:r>
      <w:r>
        <w:rPr>
          <w:noProof/>
        </w:rPr>
        <w:fldChar w:fldCharType="separate"/>
      </w:r>
      <w:r>
        <w:rPr>
          <w:noProof/>
        </w:rPr>
        <w:t>4</w:t>
      </w:r>
      <w:r>
        <w:rPr>
          <w:noProof/>
        </w:rPr>
        <w:fldChar w:fldCharType="end"/>
      </w:r>
    </w:p>
    <w:p w:rsidR="00A77E34" w:rsidRDefault="00A77E34">
      <w:pPr>
        <w:pStyle w:val="TOC2"/>
        <w:rPr>
          <w:rFonts w:asciiTheme="minorHAnsi" w:eastAsiaTheme="minorEastAsia" w:hAnsiTheme="minorHAnsi" w:cstheme="minorBidi"/>
          <w:noProof/>
          <w:szCs w:val="22"/>
          <w:lang w:eastAsia="en-NZ"/>
        </w:rPr>
      </w:pPr>
      <w:r>
        <w:rPr>
          <w:noProof/>
        </w:rPr>
        <w:t>Multimorbidity</w:t>
      </w:r>
      <w:r>
        <w:rPr>
          <w:noProof/>
        </w:rPr>
        <w:tab/>
      </w:r>
      <w:r>
        <w:rPr>
          <w:noProof/>
        </w:rPr>
        <w:fldChar w:fldCharType="begin"/>
      </w:r>
      <w:r>
        <w:rPr>
          <w:noProof/>
        </w:rPr>
        <w:instrText xml:space="preserve"> PAGEREF _Toc442253013 \h </w:instrText>
      </w:r>
      <w:r>
        <w:rPr>
          <w:noProof/>
        </w:rPr>
      </w:r>
      <w:r>
        <w:rPr>
          <w:noProof/>
        </w:rPr>
        <w:fldChar w:fldCharType="separate"/>
      </w:r>
      <w:r>
        <w:rPr>
          <w:noProof/>
        </w:rPr>
        <w:t>4</w:t>
      </w:r>
      <w:r>
        <w:rPr>
          <w:noProof/>
        </w:rPr>
        <w:fldChar w:fldCharType="end"/>
      </w:r>
    </w:p>
    <w:p w:rsidR="00A77E34" w:rsidRDefault="00A77E34">
      <w:pPr>
        <w:pStyle w:val="TOC2"/>
        <w:rPr>
          <w:rFonts w:asciiTheme="minorHAnsi" w:eastAsiaTheme="minorEastAsia" w:hAnsiTheme="minorHAnsi" w:cstheme="minorBidi"/>
          <w:noProof/>
          <w:szCs w:val="22"/>
          <w:lang w:eastAsia="en-NZ"/>
        </w:rPr>
      </w:pPr>
      <w:r>
        <w:rPr>
          <w:noProof/>
        </w:rPr>
        <w:t>Equity</w:t>
      </w:r>
      <w:r>
        <w:rPr>
          <w:noProof/>
        </w:rPr>
        <w:tab/>
      </w:r>
      <w:r>
        <w:rPr>
          <w:noProof/>
        </w:rPr>
        <w:fldChar w:fldCharType="begin"/>
      </w:r>
      <w:r>
        <w:rPr>
          <w:noProof/>
        </w:rPr>
        <w:instrText xml:space="preserve"> PAGEREF _Toc442253014 \h </w:instrText>
      </w:r>
      <w:r>
        <w:rPr>
          <w:noProof/>
        </w:rPr>
      </w:r>
      <w:r>
        <w:rPr>
          <w:noProof/>
        </w:rPr>
        <w:fldChar w:fldCharType="separate"/>
      </w:r>
      <w:r>
        <w:rPr>
          <w:noProof/>
        </w:rPr>
        <w:t>4</w:t>
      </w:r>
      <w:r>
        <w:rPr>
          <w:noProof/>
        </w:rPr>
        <w:fldChar w:fldCharType="end"/>
      </w:r>
    </w:p>
    <w:p w:rsidR="00A77E34" w:rsidRDefault="00A77E34">
      <w:pPr>
        <w:pStyle w:val="TOC2"/>
        <w:rPr>
          <w:rFonts w:asciiTheme="minorHAnsi" w:eastAsiaTheme="minorEastAsia" w:hAnsiTheme="minorHAnsi" w:cstheme="minorBidi"/>
          <w:noProof/>
          <w:szCs w:val="22"/>
          <w:lang w:eastAsia="en-NZ"/>
        </w:rPr>
      </w:pPr>
      <w:r>
        <w:rPr>
          <w:noProof/>
        </w:rPr>
        <w:t>Self-management</w:t>
      </w:r>
      <w:r>
        <w:rPr>
          <w:noProof/>
        </w:rPr>
        <w:tab/>
      </w:r>
      <w:r>
        <w:rPr>
          <w:noProof/>
        </w:rPr>
        <w:fldChar w:fldCharType="begin"/>
      </w:r>
      <w:r>
        <w:rPr>
          <w:noProof/>
        </w:rPr>
        <w:instrText xml:space="preserve"> PAGEREF _Toc442253015 \h </w:instrText>
      </w:r>
      <w:r>
        <w:rPr>
          <w:noProof/>
        </w:rPr>
      </w:r>
      <w:r>
        <w:rPr>
          <w:noProof/>
        </w:rPr>
        <w:fldChar w:fldCharType="separate"/>
      </w:r>
      <w:r>
        <w:rPr>
          <w:noProof/>
        </w:rPr>
        <w:t>5</w:t>
      </w:r>
      <w:r>
        <w:rPr>
          <w:noProof/>
        </w:rPr>
        <w:fldChar w:fldCharType="end"/>
      </w:r>
    </w:p>
    <w:p w:rsidR="00A77E34" w:rsidRDefault="00A77E34">
      <w:pPr>
        <w:pStyle w:val="TOC2"/>
        <w:rPr>
          <w:rFonts w:asciiTheme="minorHAnsi" w:eastAsiaTheme="minorEastAsia" w:hAnsiTheme="minorHAnsi" w:cstheme="minorBidi"/>
          <w:noProof/>
          <w:szCs w:val="22"/>
          <w:lang w:eastAsia="en-NZ"/>
        </w:rPr>
      </w:pPr>
      <w:r>
        <w:rPr>
          <w:noProof/>
        </w:rPr>
        <w:t>Self-management support</w:t>
      </w:r>
      <w:r>
        <w:rPr>
          <w:noProof/>
        </w:rPr>
        <w:tab/>
      </w:r>
      <w:r>
        <w:rPr>
          <w:noProof/>
        </w:rPr>
        <w:fldChar w:fldCharType="begin"/>
      </w:r>
      <w:r>
        <w:rPr>
          <w:noProof/>
        </w:rPr>
        <w:instrText xml:space="preserve"> PAGEREF _Toc442253016 \h </w:instrText>
      </w:r>
      <w:r>
        <w:rPr>
          <w:noProof/>
        </w:rPr>
      </w:r>
      <w:r>
        <w:rPr>
          <w:noProof/>
        </w:rPr>
        <w:fldChar w:fldCharType="separate"/>
      </w:r>
      <w:r>
        <w:rPr>
          <w:noProof/>
        </w:rPr>
        <w:t>5</w:t>
      </w:r>
      <w:r>
        <w:rPr>
          <w:noProof/>
        </w:rPr>
        <w:fldChar w:fldCharType="end"/>
      </w:r>
    </w:p>
    <w:p w:rsidR="00A77E34" w:rsidRDefault="00A77E34">
      <w:pPr>
        <w:pStyle w:val="TOC2"/>
        <w:rPr>
          <w:rFonts w:asciiTheme="minorHAnsi" w:eastAsiaTheme="minorEastAsia" w:hAnsiTheme="minorHAnsi" w:cstheme="minorBidi"/>
          <w:noProof/>
          <w:szCs w:val="22"/>
          <w:lang w:eastAsia="en-NZ"/>
        </w:rPr>
      </w:pPr>
      <w:r>
        <w:rPr>
          <w:noProof/>
        </w:rPr>
        <w:t>Principles of self-management support</w:t>
      </w:r>
      <w:r>
        <w:rPr>
          <w:noProof/>
        </w:rPr>
        <w:tab/>
      </w:r>
      <w:r>
        <w:rPr>
          <w:noProof/>
        </w:rPr>
        <w:fldChar w:fldCharType="begin"/>
      </w:r>
      <w:r>
        <w:rPr>
          <w:noProof/>
        </w:rPr>
        <w:instrText xml:space="preserve"> PAGEREF _Toc442253017 \h </w:instrText>
      </w:r>
      <w:r>
        <w:rPr>
          <w:noProof/>
        </w:rPr>
      </w:r>
      <w:r>
        <w:rPr>
          <w:noProof/>
        </w:rPr>
        <w:fldChar w:fldCharType="separate"/>
      </w:r>
      <w:r>
        <w:rPr>
          <w:noProof/>
        </w:rPr>
        <w:t>5</w:t>
      </w:r>
      <w:r>
        <w:rPr>
          <w:noProof/>
        </w:rPr>
        <w:fldChar w:fldCharType="end"/>
      </w:r>
    </w:p>
    <w:p w:rsidR="00A77E34" w:rsidRDefault="00A77E34">
      <w:pPr>
        <w:pStyle w:val="TOC2"/>
        <w:rPr>
          <w:rFonts w:asciiTheme="minorHAnsi" w:eastAsiaTheme="minorEastAsia" w:hAnsiTheme="minorHAnsi" w:cstheme="minorBidi"/>
          <w:noProof/>
          <w:szCs w:val="22"/>
          <w:lang w:eastAsia="en-NZ"/>
        </w:rPr>
      </w:pPr>
      <w:r>
        <w:rPr>
          <w:noProof/>
        </w:rPr>
        <w:t>Self-management education</w:t>
      </w:r>
      <w:r>
        <w:rPr>
          <w:noProof/>
        </w:rPr>
        <w:tab/>
      </w:r>
      <w:r>
        <w:rPr>
          <w:noProof/>
        </w:rPr>
        <w:fldChar w:fldCharType="begin"/>
      </w:r>
      <w:r>
        <w:rPr>
          <w:noProof/>
        </w:rPr>
        <w:instrText xml:space="preserve"> PAGEREF _Toc442253018 \h </w:instrText>
      </w:r>
      <w:r>
        <w:rPr>
          <w:noProof/>
        </w:rPr>
      </w:r>
      <w:r>
        <w:rPr>
          <w:noProof/>
        </w:rPr>
        <w:fldChar w:fldCharType="separate"/>
      </w:r>
      <w:r>
        <w:rPr>
          <w:noProof/>
        </w:rPr>
        <w:t>6</w:t>
      </w:r>
      <w:r>
        <w:rPr>
          <w:noProof/>
        </w:rPr>
        <w:fldChar w:fldCharType="end"/>
      </w:r>
    </w:p>
    <w:p w:rsidR="00A77E34" w:rsidRDefault="00A77E34">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Self-management in practice</w:t>
      </w:r>
      <w:r>
        <w:rPr>
          <w:noProof/>
        </w:rPr>
        <w:tab/>
      </w:r>
      <w:r>
        <w:rPr>
          <w:noProof/>
        </w:rPr>
        <w:fldChar w:fldCharType="begin"/>
      </w:r>
      <w:r>
        <w:rPr>
          <w:noProof/>
        </w:rPr>
        <w:instrText xml:space="preserve"> PAGEREF _Toc442253019 \h </w:instrText>
      </w:r>
      <w:r>
        <w:rPr>
          <w:noProof/>
        </w:rPr>
      </w:r>
      <w:r>
        <w:rPr>
          <w:noProof/>
        </w:rPr>
        <w:fldChar w:fldCharType="separate"/>
      </w:r>
      <w:r>
        <w:rPr>
          <w:noProof/>
        </w:rPr>
        <w:t>7</w:t>
      </w:r>
      <w:r>
        <w:rPr>
          <w:noProof/>
        </w:rPr>
        <w:fldChar w:fldCharType="end"/>
      </w:r>
    </w:p>
    <w:p w:rsidR="00A77E34" w:rsidRDefault="00A77E34">
      <w:pPr>
        <w:pStyle w:val="TOC2"/>
        <w:rPr>
          <w:rFonts w:asciiTheme="minorHAnsi" w:eastAsiaTheme="minorEastAsia" w:hAnsiTheme="minorHAnsi" w:cstheme="minorBidi"/>
          <w:noProof/>
          <w:szCs w:val="22"/>
          <w:lang w:eastAsia="en-NZ"/>
        </w:rPr>
      </w:pPr>
      <w:r>
        <w:rPr>
          <w:noProof/>
        </w:rPr>
        <w:t>Stages of self-management support and education</w:t>
      </w:r>
      <w:r>
        <w:rPr>
          <w:noProof/>
        </w:rPr>
        <w:tab/>
      </w:r>
      <w:r>
        <w:rPr>
          <w:noProof/>
        </w:rPr>
        <w:fldChar w:fldCharType="begin"/>
      </w:r>
      <w:r>
        <w:rPr>
          <w:noProof/>
        </w:rPr>
        <w:instrText xml:space="preserve"> PAGEREF _Toc442253020 \h </w:instrText>
      </w:r>
      <w:r>
        <w:rPr>
          <w:noProof/>
        </w:rPr>
      </w:r>
      <w:r>
        <w:rPr>
          <w:noProof/>
        </w:rPr>
        <w:fldChar w:fldCharType="separate"/>
      </w:r>
      <w:r>
        <w:rPr>
          <w:noProof/>
        </w:rPr>
        <w:t>7</w:t>
      </w:r>
      <w:r>
        <w:rPr>
          <w:noProof/>
        </w:rPr>
        <w:fldChar w:fldCharType="end"/>
      </w:r>
    </w:p>
    <w:p w:rsidR="00A77E34" w:rsidRDefault="00A77E34">
      <w:pPr>
        <w:pStyle w:val="TOC2"/>
        <w:rPr>
          <w:rFonts w:asciiTheme="minorHAnsi" w:eastAsiaTheme="minorEastAsia" w:hAnsiTheme="minorHAnsi" w:cstheme="minorBidi"/>
          <w:noProof/>
          <w:szCs w:val="22"/>
          <w:lang w:eastAsia="en-NZ"/>
        </w:rPr>
      </w:pPr>
      <w:r>
        <w:rPr>
          <w:noProof/>
        </w:rPr>
        <w:t>Use of technology solutions</w:t>
      </w:r>
      <w:r>
        <w:rPr>
          <w:noProof/>
        </w:rPr>
        <w:tab/>
      </w:r>
      <w:r>
        <w:rPr>
          <w:noProof/>
        </w:rPr>
        <w:fldChar w:fldCharType="begin"/>
      </w:r>
      <w:r>
        <w:rPr>
          <w:noProof/>
        </w:rPr>
        <w:instrText xml:space="preserve"> PAGEREF _Toc442253021 \h </w:instrText>
      </w:r>
      <w:r>
        <w:rPr>
          <w:noProof/>
        </w:rPr>
      </w:r>
      <w:r>
        <w:rPr>
          <w:noProof/>
        </w:rPr>
        <w:fldChar w:fldCharType="separate"/>
      </w:r>
      <w:r>
        <w:rPr>
          <w:noProof/>
        </w:rPr>
        <w:t>8</w:t>
      </w:r>
      <w:r>
        <w:rPr>
          <w:noProof/>
        </w:rPr>
        <w:fldChar w:fldCharType="end"/>
      </w:r>
    </w:p>
    <w:p w:rsidR="00A77E34" w:rsidRDefault="00A77E34">
      <w:pPr>
        <w:pStyle w:val="TOC2"/>
        <w:rPr>
          <w:rFonts w:asciiTheme="minorHAnsi" w:eastAsiaTheme="minorEastAsia" w:hAnsiTheme="minorHAnsi" w:cstheme="minorBidi"/>
          <w:noProof/>
          <w:szCs w:val="22"/>
          <w:lang w:eastAsia="en-NZ"/>
        </w:rPr>
      </w:pPr>
      <w:r>
        <w:rPr>
          <w:noProof/>
        </w:rPr>
        <w:t>Expected outcomes of self-management programmes</w:t>
      </w:r>
      <w:r>
        <w:rPr>
          <w:noProof/>
        </w:rPr>
        <w:tab/>
      </w:r>
      <w:r>
        <w:rPr>
          <w:noProof/>
        </w:rPr>
        <w:fldChar w:fldCharType="begin"/>
      </w:r>
      <w:r>
        <w:rPr>
          <w:noProof/>
        </w:rPr>
        <w:instrText xml:space="preserve"> PAGEREF _Toc442253022 \h </w:instrText>
      </w:r>
      <w:r>
        <w:rPr>
          <w:noProof/>
        </w:rPr>
      </w:r>
      <w:r>
        <w:rPr>
          <w:noProof/>
        </w:rPr>
        <w:fldChar w:fldCharType="separate"/>
      </w:r>
      <w:r>
        <w:rPr>
          <w:noProof/>
        </w:rPr>
        <w:t>8</w:t>
      </w:r>
      <w:r>
        <w:rPr>
          <w:noProof/>
        </w:rPr>
        <w:fldChar w:fldCharType="end"/>
      </w:r>
    </w:p>
    <w:p w:rsidR="00A77E34" w:rsidRDefault="00A77E34">
      <w:pPr>
        <w:pStyle w:val="TOC2"/>
        <w:rPr>
          <w:rFonts w:asciiTheme="minorHAnsi" w:eastAsiaTheme="minorEastAsia" w:hAnsiTheme="minorHAnsi" w:cstheme="minorBidi"/>
          <w:noProof/>
          <w:szCs w:val="22"/>
          <w:lang w:eastAsia="en-NZ"/>
        </w:rPr>
      </w:pPr>
      <w:r>
        <w:rPr>
          <w:noProof/>
        </w:rPr>
        <w:t>Components of self-management support</w:t>
      </w:r>
      <w:r>
        <w:rPr>
          <w:noProof/>
        </w:rPr>
        <w:tab/>
      </w:r>
      <w:r>
        <w:rPr>
          <w:noProof/>
        </w:rPr>
        <w:fldChar w:fldCharType="begin"/>
      </w:r>
      <w:r>
        <w:rPr>
          <w:noProof/>
        </w:rPr>
        <w:instrText xml:space="preserve"> PAGEREF _Toc442253023 \h </w:instrText>
      </w:r>
      <w:r>
        <w:rPr>
          <w:noProof/>
        </w:rPr>
      </w:r>
      <w:r>
        <w:rPr>
          <w:noProof/>
        </w:rPr>
        <w:fldChar w:fldCharType="separate"/>
      </w:r>
      <w:r>
        <w:rPr>
          <w:noProof/>
        </w:rPr>
        <w:t>8</w:t>
      </w:r>
      <w:r>
        <w:rPr>
          <w:noProof/>
        </w:rPr>
        <w:fldChar w:fldCharType="end"/>
      </w:r>
    </w:p>
    <w:p w:rsidR="00A77E34" w:rsidRDefault="00A77E34">
      <w:pPr>
        <w:pStyle w:val="TOC2"/>
        <w:rPr>
          <w:rFonts w:asciiTheme="minorHAnsi" w:eastAsiaTheme="minorEastAsia" w:hAnsiTheme="minorHAnsi" w:cstheme="minorBidi"/>
          <w:noProof/>
          <w:szCs w:val="22"/>
          <w:lang w:eastAsia="en-NZ"/>
        </w:rPr>
      </w:pPr>
      <w:r>
        <w:rPr>
          <w:noProof/>
        </w:rPr>
        <w:t>Care planning</w:t>
      </w:r>
      <w:r>
        <w:rPr>
          <w:noProof/>
        </w:rPr>
        <w:tab/>
      </w:r>
      <w:r>
        <w:rPr>
          <w:noProof/>
        </w:rPr>
        <w:fldChar w:fldCharType="begin"/>
      </w:r>
      <w:r>
        <w:rPr>
          <w:noProof/>
        </w:rPr>
        <w:instrText xml:space="preserve"> PAGEREF _Toc442253024 \h </w:instrText>
      </w:r>
      <w:r>
        <w:rPr>
          <w:noProof/>
        </w:rPr>
      </w:r>
      <w:r>
        <w:rPr>
          <w:noProof/>
        </w:rPr>
        <w:fldChar w:fldCharType="separate"/>
      </w:r>
      <w:r>
        <w:rPr>
          <w:noProof/>
        </w:rPr>
        <w:t>11</w:t>
      </w:r>
      <w:r>
        <w:rPr>
          <w:noProof/>
        </w:rPr>
        <w:fldChar w:fldCharType="end"/>
      </w:r>
    </w:p>
    <w:p w:rsidR="00A77E34" w:rsidRDefault="00A77E34">
      <w:pPr>
        <w:pStyle w:val="TOC2"/>
        <w:rPr>
          <w:rFonts w:asciiTheme="minorHAnsi" w:eastAsiaTheme="minorEastAsia" w:hAnsiTheme="minorHAnsi" w:cstheme="minorBidi"/>
          <w:noProof/>
          <w:szCs w:val="22"/>
          <w:lang w:eastAsia="en-NZ"/>
        </w:rPr>
      </w:pPr>
      <w:r>
        <w:rPr>
          <w:noProof/>
        </w:rPr>
        <w:t>Measuring outcomes</w:t>
      </w:r>
      <w:r>
        <w:rPr>
          <w:noProof/>
        </w:rPr>
        <w:tab/>
      </w:r>
      <w:r>
        <w:rPr>
          <w:noProof/>
        </w:rPr>
        <w:fldChar w:fldCharType="begin"/>
      </w:r>
      <w:r>
        <w:rPr>
          <w:noProof/>
        </w:rPr>
        <w:instrText xml:space="preserve"> PAGEREF _Toc442253025 \h </w:instrText>
      </w:r>
      <w:r>
        <w:rPr>
          <w:noProof/>
        </w:rPr>
      </w:r>
      <w:r>
        <w:rPr>
          <w:noProof/>
        </w:rPr>
        <w:fldChar w:fldCharType="separate"/>
      </w:r>
      <w:r>
        <w:rPr>
          <w:noProof/>
        </w:rPr>
        <w:t>13</w:t>
      </w:r>
      <w:r>
        <w:rPr>
          <w:noProof/>
        </w:rPr>
        <w:fldChar w:fldCharType="end"/>
      </w:r>
    </w:p>
    <w:p w:rsidR="00A77E34" w:rsidRDefault="00A77E34">
      <w:pPr>
        <w:pStyle w:val="TOC1"/>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Conclusion</w:t>
      </w:r>
      <w:r>
        <w:rPr>
          <w:noProof/>
        </w:rPr>
        <w:tab/>
      </w:r>
      <w:r>
        <w:rPr>
          <w:noProof/>
        </w:rPr>
        <w:fldChar w:fldCharType="begin"/>
      </w:r>
      <w:r>
        <w:rPr>
          <w:noProof/>
        </w:rPr>
        <w:instrText xml:space="preserve"> PAGEREF _Toc442253026 \h </w:instrText>
      </w:r>
      <w:r>
        <w:rPr>
          <w:noProof/>
        </w:rPr>
      </w:r>
      <w:r>
        <w:rPr>
          <w:noProof/>
        </w:rPr>
        <w:fldChar w:fldCharType="separate"/>
      </w:r>
      <w:r>
        <w:rPr>
          <w:noProof/>
        </w:rPr>
        <w:t>14</w:t>
      </w:r>
      <w:r>
        <w:rPr>
          <w:noProof/>
        </w:rPr>
        <w:fldChar w:fldCharType="end"/>
      </w:r>
    </w:p>
    <w:p w:rsidR="00A77E34" w:rsidRDefault="00A77E34">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_Toc442253027 \h </w:instrText>
      </w:r>
      <w:r>
        <w:rPr>
          <w:noProof/>
        </w:rPr>
      </w:r>
      <w:r>
        <w:rPr>
          <w:noProof/>
        </w:rPr>
        <w:fldChar w:fldCharType="separate"/>
      </w:r>
      <w:r>
        <w:rPr>
          <w:noProof/>
        </w:rPr>
        <w:t>15</w:t>
      </w:r>
      <w:r>
        <w:rPr>
          <w:noProof/>
        </w:rPr>
        <w:fldChar w:fldCharType="end"/>
      </w:r>
    </w:p>
    <w:p w:rsidR="00A77E34" w:rsidRDefault="00A77E34">
      <w:pPr>
        <w:pStyle w:val="TOC1"/>
        <w:rPr>
          <w:rFonts w:asciiTheme="minorHAnsi" w:eastAsiaTheme="minorEastAsia" w:hAnsiTheme="minorHAnsi" w:cstheme="minorBidi"/>
          <w:b w:val="0"/>
          <w:noProof/>
          <w:szCs w:val="22"/>
          <w:lang w:eastAsia="en-NZ"/>
        </w:rPr>
      </w:pPr>
      <w:r>
        <w:rPr>
          <w:noProof/>
        </w:rPr>
        <w:t>Appendix 1: A population approach to planning care for LTCs</w:t>
      </w:r>
      <w:r>
        <w:rPr>
          <w:noProof/>
        </w:rPr>
        <w:tab/>
      </w:r>
      <w:r>
        <w:rPr>
          <w:noProof/>
        </w:rPr>
        <w:fldChar w:fldCharType="begin"/>
      </w:r>
      <w:r>
        <w:rPr>
          <w:noProof/>
        </w:rPr>
        <w:instrText xml:space="preserve"> PAGEREF _Toc442253028 \h </w:instrText>
      </w:r>
      <w:r>
        <w:rPr>
          <w:noProof/>
        </w:rPr>
      </w:r>
      <w:r>
        <w:rPr>
          <w:noProof/>
        </w:rPr>
        <w:fldChar w:fldCharType="separate"/>
      </w:r>
      <w:r>
        <w:rPr>
          <w:noProof/>
        </w:rPr>
        <w:t>17</w:t>
      </w:r>
      <w:r>
        <w:rPr>
          <w:noProof/>
        </w:rPr>
        <w:fldChar w:fldCharType="end"/>
      </w:r>
    </w:p>
    <w:p w:rsidR="00A77E34" w:rsidRDefault="00A77E34">
      <w:pPr>
        <w:pStyle w:val="TOC1"/>
        <w:rPr>
          <w:rFonts w:asciiTheme="minorHAnsi" w:eastAsiaTheme="minorEastAsia" w:hAnsiTheme="minorHAnsi" w:cstheme="minorBidi"/>
          <w:b w:val="0"/>
          <w:noProof/>
          <w:szCs w:val="22"/>
          <w:lang w:eastAsia="en-NZ"/>
        </w:rPr>
      </w:pPr>
      <w:r>
        <w:rPr>
          <w:noProof/>
        </w:rPr>
        <w:t>Appendix 2: Examples of current programmes and approaches</w:t>
      </w:r>
      <w:r>
        <w:rPr>
          <w:noProof/>
        </w:rPr>
        <w:tab/>
      </w:r>
      <w:r>
        <w:rPr>
          <w:noProof/>
        </w:rPr>
        <w:fldChar w:fldCharType="begin"/>
      </w:r>
      <w:r>
        <w:rPr>
          <w:noProof/>
        </w:rPr>
        <w:instrText xml:space="preserve"> PAGEREF _Toc442253029 \h </w:instrText>
      </w:r>
      <w:r>
        <w:rPr>
          <w:noProof/>
        </w:rPr>
      </w:r>
      <w:r>
        <w:rPr>
          <w:noProof/>
        </w:rPr>
        <w:fldChar w:fldCharType="separate"/>
      </w:r>
      <w:r>
        <w:rPr>
          <w:noProof/>
        </w:rPr>
        <w:t>18</w:t>
      </w:r>
      <w:r>
        <w:rPr>
          <w:noProof/>
        </w:rPr>
        <w:fldChar w:fldCharType="end"/>
      </w:r>
    </w:p>
    <w:p w:rsidR="00A77E34" w:rsidRDefault="00A77E34">
      <w:pPr>
        <w:pStyle w:val="TOC1"/>
        <w:rPr>
          <w:rFonts w:asciiTheme="minorHAnsi" w:eastAsiaTheme="minorEastAsia" w:hAnsiTheme="minorHAnsi" w:cstheme="minorBidi"/>
          <w:b w:val="0"/>
          <w:noProof/>
          <w:szCs w:val="22"/>
          <w:lang w:eastAsia="en-NZ"/>
        </w:rPr>
      </w:pPr>
      <w:r>
        <w:rPr>
          <w:noProof/>
        </w:rPr>
        <w:t>Appendix 3: Diabetes-specific self</w:t>
      </w:r>
      <w:r>
        <w:rPr>
          <w:noProof/>
        </w:rPr>
        <w:noBreakHyphen/>
        <w:t>management support</w:t>
      </w:r>
      <w:r>
        <w:rPr>
          <w:noProof/>
        </w:rPr>
        <w:tab/>
      </w:r>
      <w:r>
        <w:rPr>
          <w:noProof/>
        </w:rPr>
        <w:fldChar w:fldCharType="begin"/>
      </w:r>
      <w:r>
        <w:rPr>
          <w:noProof/>
        </w:rPr>
        <w:instrText xml:space="preserve"> PAGEREF _Toc442253030 \h </w:instrText>
      </w:r>
      <w:r>
        <w:rPr>
          <w:noProof/>
        </w:rPr>
      </w:r>
      <w:r>
        <w:rPr>
          <w:noProof/>
        </w:rPr>
        <w:fldChar w:fldCharType="separate"/>
      </w:r>
      <w:r>
        <w:rPr>
          <w:noProof/>
        </w:rPr>
        <w:t>20</w:t>
      </w:r>
      <w:r>
        <w:rPr>
          <w:noProof/>
        </w:rPr>
        <w:fldChar w:fldCharType="end"/>
      </w:r>
    </w:p>
    <w:p w:rsidR="00A77E34" w:rsidRDefault="00A77E34" w:rsidP="00A77E34">
      <w:r>
        <w:rPr>
          <w:b/>
        </w:rPr>
        <w:fldChar w:fldCharType="end"/>
      </w:r>
    </w:p>
    <w:p w:rsidR="00A77E34" w:rsidRDefault="00A77E34" w:rsidP="00A77E34">
      <w:pPr>
        <w:pStyle w:val="TOC1"/>
        <w:keepNext/>
      </w:pPr>
      <w:r>
        <w:t>List of Tables</w:t>
      </w:r>
    </w:p>
    <w:p w:rsidR="00A77E34" w:rsidRDefault="00A77E34" w:rsidP="00A77E34">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Pr>
          <w:noProof/>
        </w:rPr>
        <w:t>Table 1:</w:t>
      </w:r>
      <w:r>
        <w:rPr>
          <w:noProof/>
        </w:rPr>
        <w:tab/>
        <w:t>Key stages for support</w:t>
      </w:r>
      <w:r>
        <w:rPr>
          <w:noProof/>
        </w:rPr>
        <w:tab/>
      </w:r>
      <w:r>
        <w:rPr>
          <w:noProof/>
        </w:rPr>
        <w:fldChar w:fldCharType="begin"/>
      </w:r>
      <w:r>
        <w:rPr>
          <w:noProof/>
        </w:rPr>
        <w:instrText xml:space="preserve"> PAGEREF _Toc441854828 \h </w:instrText>
      </w:r>
      <w:r>
        <w:rPr>
          <w:noProof/>
        </w:rPr>
      </w:r>
      <w:r>
        <w:rPr>
          <w:noProof/>
        </w:rPr>
        <w:fldChar w:fldCharType="separate"/>
      </w:r>
      <w:r>
        <w:rPr>
          <w:noProof/>
        </w:rPr>
        <w:t>7</w:t>
      </w:r>
      <w:r>
        <w:rPr>
          <w:noProof/>
        </w:rPr>
        <w:fldChar w:fldCharType="end"/>
      </w:r>
    </w:p>
    <w:p w:rsidR="00A77E34" w:rsidRDefault="00A77E34" w:rsidP="00A77E34">
      <w:pPr>
        <w:pStyle w:val="TOC3"/>
        <w:rPr>
          <w:rFonts w:asciiTheme="minorHAnsi" w:eastAsiaTheme="minorEastAsia" w:hAnsiTheme="minorHAnsi" w:cstheme="minorBidi"/>
          <w:noProof/>
          <w:szCs w:val="22"/>
          <w:lang w:eastAsia="en-NZ"/>
        </w:rPr>
      </w:pPr>
      <w:r>
        <w:rPr>
          <w:noProof/>
        </w:rPr>
        <w:t>Table 2:</w:t>
      </w:r>
      <w:r>
        <w:rPr>
          <w:noProof/>
        </w:rPr>
        <w:tab/>
        <w:t>ABCs of care planning for optimising care</w:t>
      </w:r>
      <w:r>
        <w:rPr>
          <w:noProof/>
        </w:rPr>
        <w:tab/>
      </w:r>
      <w:r>
        <w:rPr>
          <w:noProof/>
        </w:rPr>
        <w:fldChar w:fldCharType="begin"/>
      </w:r>
      <w:r>
        <w:rPr>
          <w:noProof/>
        </w:rPr>
        <w:instrText xml:space="preserve"> PAGEREF _Toc441854829 \h </w:instrText>
      </w:r>
      <w:r>
        <w:rPr>
          <w:noProof/>
        </w:rPr>
      </w:r>
      <w:r>
        <w:rPr>
          <w:noProof/>
        </w:rPr>
        <w:fldChar w:fldCharType="separate"/>
      </w:r>
      <w:r>
        <w:rPr>
          <w:noProof/>
        </w:rPr>
        <w:t>12</w:t>
      </w:r>
      <w:r>
        <w:rPr>
          <w:noProof/>
        </w:rPr>
        <w:fldChar w:fldCharType="end"/>
      </w:r>
    </w:p>
    <w:p w:rsidR="00A77E34" w:rsidRDefault="00A77E34" w:rsidP="00A77E34">
      <w:pPr>
        <w:pStyle w:val="TOC3"/>
        <w:rPr>
          <w:rFonts w:asciiTheme="minorHAnsi" w:eastAsiaTheme="minorEastAsia" w:hAnsiTheme="minorHAnsi" w:cstheme="minorBidi"/>
          <w:noProof/>
          <w:szCs w:val="22"/>
          <w:lang w:eastAsia="en-NZ"/>
        </w:rPr>
      </w:pPr>
      <w:r>
        <w:rPr>
          <w:noProof/>
        </w:rPr>
        <w:t>Table 3:</w:t>
      </w:r>
      <w:r>
        <w:rPr>
          <w:noProof/>
        </w:rPr>
        <w:tab/>
        <w:t>Some measures for LTC outcomes</w:t>
      </w:r>
      <w:r>
        <w:rPr>
          <w:noProof/>
        </w:rPr>
        <w:tab/>
      </w:r>
      <w:r>
        <w:rPr>
          <w:noProof/>
        </w:rPr>
        <w:fldChar w:fldCharType="begin"/>
      </w:r>
      <w:r>
        <w:rPr>
          <w:noProof/>
        </w:rPr>
        <w:instrText xml:space="preserve"> PAGEREF _Toc441854830 \h </w:instrText>
      </w:r>
      <w:r>
        <w:rPr>
          <w:noProof/>
        </w:rPr>
      </w:r>
      <w:r>
        <w:rPr>
          <w:noProof/>
        </w:rPr>
        <w:fldChar w:fldCharType="separate"/>
      </w:r>
      <w:r>
        <w:rPr>
          <w:noProof/>
        </w:rPr>
        <w:t>13</w:t>
      </w:r>
      <w:r>
        <w:rPr>
          <w:noProof/>
        </w:rPr>
        <w:fldChar w:fldCharType="end"/>
      </w:r>
    </w:p>
    <w:p w:rsidR="00A77E34" w:rsidRDefault="00A77E34" w:rsidP="00A77E34">
      <w:r>
        <w:fldChar w:fldCharType="end"/>
      </w:r>
    </w:p>
    <w:p w:rsidR="00A77E34" w:rsidRDefault="00A77E34" w:rsidP="00A77E34">
      <w:pPr>
        <w:pStyle w:val="TOC1"/>
      </w:pPr>
      <w:r>
        <w:t>List of Figures</w:t>
      </w:r>
    </w:p>
    <w:p w:rsidR="00A77E34" w:rsidRDefault="00A77E34" w:rsidP="00A77E34">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Pr>
          <w:noProof/>
        </w:rPr>
        <w:t>Figure 1:</w:t>
      </w:r>
      <w:r>
        <w:rPr>
          <w:noProof/>
        </w:rPr>
        <w:tab/>
        <w:t>Alliance Health Plus Self-management Practice Model 2013</w:t>
      </w:r>
      <w:r>
        <w:rPr>
          <w:noProof/>
        </w:rPr>
        <w:tab/>
      </w:r>
      <w:r>
        <w:rPr>
          <w:noProof/>
        </w:rPr>
        <w:fldChar w:fldCharType="begin"/>
      </w:r>
      <w:r>
        <w:rPr>
          <w:noProof/>
        </w:rPr>
        <w:instrText xml:space="preserve"> PAGEREF _Toc441854837 \h </w:instrText>
      </w:r>
      <w:r>
        <w:rPr>
          <w:noProof/>
        </w:rPr>
      </w:r>
      <w:r>
        <w:rPr>
          <w:noProof/>
        </w:rPr>
        <w:fldChar w:fldCharType="separate"/>
      </w:r>
      <w:r>
        <w:rPr>
          <w:noProof/>
        </w:rPr>
        <w:t>11</w:t>
      </w:r>
      <w:r>
        <w:rPr>
          <w:noProof/>
        </w:rPr>
        <w:fldChar w:fldCharType="end"/>
      </w:r>
    </w:p>
    <w:p w:rsidR="00A77E34" w:rsidRDefault="00A77E34" w:rsidP="00A77E34">
      <w:pPr>
        <w:pStyle w:val="TOC3"/>
        <w:rPr>
          <w:rFonts w:asciiTheme="minorHAnsi" w:eastAsiaTheme="minorEastAsia" w:hAnsiTheme="minorHAnsi" w:cstheme="minorBidi"/>
          <w:noProof/>
          <w:szCs w:val="22"/>
          <w:lang w:eastAsia="en-NZ"/>
        </w:rPr>
      </w:pPr>
      <w:r>
        <w:rPr>
          <w:noProof/>
        </w:rPr>
        <w:t>Figure 2:</w:t>
      </w:r>
      <w:r>
        <w:rPr>
          <w:noProof/>
        </w:rPr>
        <w:tab/>
        <w:t>Six steps in care planning</w:t>
      </w:r>
      <w:r>
        <w:rPr>
          <w:noProof/>
        </w:rPr>
        <w:tab/>
      </w:r>
      <w:r>
        <w:rPr>
          <w:noProof/>
        </w:rPr>
        <w:fldChar w:fldCharType="begin"/>
      </w:r>
      <w:r>
        <w:rPr>
          <w:noProof/>
        </w:rPr>
        <w:instrText xml:space="preserve"> PAGEREF _Toc441854838 \h </w:instrText>
      </w:r>
      <w:r>
        <w:rPr>
          <w:noProof/>
        </w:rPr>
      </w:r>
      <w:r>
        <w:rPr>
          <w:noProof/>
        </w:rPr>
        <w:fldChar w:fldCharType="separate"/>
      </w:r>
      <w:r>
        <w:rPr>
          <w:noProof/>
        </w:rPr>
        <w:t>11</w:t>
      </w:r>
      <w:r>
        <w:rPr>
          <w:noProof/>
        </w:rPr>
        <w:fldChar w:fldCharType="end"/>
      </w:r>
    </w:p>
    <w:p w:rsidR="00A77E34" w:rsidRDefault="00A77E34" w:rsidP="00A77E34">
      <w:r>
        <w:fldChar w:fldCharType="end"/>
      </w:r>
    </w:p>
    <w:p w:rsidR="00392223" w:rsidRDefault="00392223" w:rsidP="00392223">
      <w:pPr>
        <w:pStyle w:val="Heading1"/>
      </w:pPr>
      <w:bookmarkStart w:id="2" w:name="_Toc442253007"/>
      <w:r>
        <w:lastRenderedPageBreak/>
        <w:t>Acknowledgements</w:t>
      </w:r>
      <w:bookmarkEnd w:id="2"/>
    </w:p>
    <w:p w:rsidR="00392223" w:rsidRPr="00576571" w:rsidRDefault="00392223" w:rsidP="00392223">
      <w:r>
        <w:t>The Ministry of Health would like to acknowledge Dr Janine Bycroft and Pat Flanagan for sharing their skills and knowledge both during the 2015 workshop series and in the review of this paper.</w:t>
      </w:r>
    </w:p>
    <w:p w:rsidR="00392223" w:rsidRDefault="00392223" w:rsidP="00392223"/>
    <w:p w:rsidR="00392223" w:rsidRDefault="00392223" w:rsidP="00392223">
      <w:pPr>
        <w:sectPr w:rsidR="00392223" w:rsidSect="009D5125">
          <w:headerReference w:type="even" r:id="rId19"/>
          <w:headerReference w:type="default" r:id="rId20"/>
          <w:footerReference w:type="even" r:id="rId21"/>
          <w:footerReference w:type="default" r:id="rId22"/>
          <w:pgSz w:w="11907" w:h="16840" w:code="9"/>
          <w:pgMar w:top="851" w:right="1134" w:bottom="1134" w:left="1134" w:header="284" w:footer="567" w:gutter="284"/>
          <w:pgNumType w:fmt="lowerRoman"/>
          <w:cols w:space="720"/>
        </w:sectPr>
      </w:pPr>
    </w:p>
    <w:p w:rsidR="008C2973" w:rsidRDefault="00752FD4" w:rsidP="0086388B">
      <w:pPr>
        <w:pStyle w:val="Heading1"/>
      </w:pPr>
      <w:bookmarkStart w:id="3" w:name="_Toc442253008"/>
      <w:bookmarkEnd w:id="0"/>
      <w:bookmarkEnd w:id="1"/>
      <w:r>
        <w:lastRenderedPageBreak/>
        <w:t>Overview</w:t>
      </w:r>
      <w:bookmarkEnd w:id="3"/>
    </w:p>
    <w:p w:rsidR="0030207B" w:rsidRDefault="0030207B" w:rsidP="003109B5">
      <w:pPr>
        <w:rPr>
          <w:rFonts w:cs="Minion Pro"/>
          <w:color w:val="000000"/>
        </w:rPr>
      </w:pPr>
      <w:r>
        <w:t xml:space="preserve">Long-term conditions (LTC) are any ongoing, long-term or recurring conditions that can have a significant impact on people’s lives (NHC 2007). Supporting people with LTCs to manage their conditions becomes more important as the population ages and people are increasingly managing more than one condition. </w:t>
      </w:r>
      <w:r w:rsidRPr="00440C29">
        <w:rPr>
          <w:rFonts w:cs="Minion Pro"/>
          <w:color w:val="000000"/>
        </w:rPr>
        <w:t>Self-management support can be viewed in two ways: as a portfolio of techniques and tools that help patients choose healthy behaviours; and</w:t>
      </w:r>
      <w:r>
        <w:rPr>
          <w:rFonts w:cs="Minion Pro"/>
          <w:color w:val="000000"/>
        </w:rPr>
        <w:t xml:space="preserve"> as</w:t>
      </w:r>
      <w:r w:rsidRPr="00440C29">
        <w:rPr>
          <w:rFonts w:cs="Minion Pro"/>
          <w:color w:val="000000"/>
        </w:rPr>
        <w:t xml:space="preserve"> a fundamental transformation of the patient–caregiver relationship into a collaborative partnership</w:t>
      </w:r>
      <w:r>
        <w:rPr>
          <w:rFonts w:cs="Minion Pro"/>
          <w:color w:val="000000"/>
        </w:rPr>
        <w:t xml:space="preserve"> (Health Foundation 2011).</w:t>
      </w:r>
    </w:p>
    <w:p w:rsidR="003109B5" w:rsidRDefault="003109B5" w:rsidP="003109B5"/>
    <w:p w:rsidR="0030207B" w:rsidRPr="00A0463C" w:rsidRDefault="0030207B" w:rsidP="003109B5">
      <w:r w:rsidRPr="00A0463C">
        <w:t>Any self</w:t>
      </w:r>
      <w:r>
        <w:t>-</w:t>
      </w:r>
      <w:r w:rsidRPr="00A0463C">
        <w:t>management support</w:t>
      </w:r>
      <w:r>
        <w:t xml:space="preserve"> must</w:t>
      </w:r>
      <w:r w:rsidRPr="00A0463C">
        <w:t>:</w:t>
      </w:r>
    </w:p>
    <w:p w:rsidR="0030207B" w:rsidRPr="00A0463C" w:rsidRDefault="0030207B" w:rsidP="003109B5">
      <w:pPr>
        <w:pStyle w:val="Bullet"/>
      </w:pPr>
      <w:r w:rsidRPr="00A0463C">
        <w:t xml:space="preserve">be appropriate for </w:t>
      </w:r>
      <w:r>
        <w:t xml:space="preserve">the </w:t>
      </w:r>
      <w:r w:rsidRPr="00A0463C">
        <w:t xml:space="preserve">person </w:t>
      </w:r>
      <w:r>
        <w:t xml:space="preserve">with the LTC </w:t>
      </w:r>
      <w:r w:rsidRPr="00A0463C">
        <w:t xml:space="preserve">and </w:t>
      </w:r>
      <w:r>
        <w:t xml:space="preserve">their </w:t>
      </w:r>
      <w:r w:rsidRPr="00A0463C">
        <w:t>family</w:t>
      </w:r>
      <w:r>
        <w:t xml:space="preserve"> and </w:t>
      </w:r>
      <w:r w:rsidRPr="00A0463C">
        <w:t>wh</w:t>
      </w:r>
      <w:r>
        <w:rPr>
          <w:rFonts w:cs="Arial"/>
        </w:rPr>
        <w:t>ā</w:t>
      </w:r>
      <w:r w:rsidRPr="00A0463C">
        <w:t>nau</w:t>
      </w:r>
    </w:p>
    <w:p w:rsidR="0030207B" w:rsidRDefault="0030207B" w:rsidP="003109B5">
      <w:pPr>
        <w:pStyle w:val="Bullet"/>
      </w:pPr>
      <w:r>
        <w:t xml:space="preserve">be </w:t>
      </w:r>
      <w:r w:rsidRPr="00A0463C">
        <w:t xml:space="preserve">developed in partnership with the person with </w:t>
      </w:r>
      <w:r>
        <w:t xml:space="preserve">the </w:t>
      </w:r>
      <w:r w:rsidRPr="00A0463C">
        <w:t>LTC</w:t>
      </w:r>
    </w:p>
    <w:p w:rsidR="0030207B" w:rsidRPr="00A0463C" w:rsidRDefault="0030207B" w:rsidP="003109B5">
      <w:pPr>
        <w:pStyle w:val="Bullet"/>
      </w:pPr>
      <w:proofErr w:type="gramStart"/>
      <w:r>
        <w:t>focus</w:t>
      </w:r>
      <w:proofErr w:type="gramEnd"/>
      <w:r>
        <w:t xml:space="preserve"> on reducing inequities in health.</w:t>
      </w:r>
    </w:p>
    <w:p w:rsidR="0030207B" w:rsidRDefault="0030207B" w:rsidP="003109B5"/>
    <w:p w:rsidR="0030207B" w:rsidRPr="00A0463C" w:rsidRDefault="0030207B" w:rsidP="003109B5">
      <w:r>
        <w:t>This paper was developed as the result of three sector workshops in 2015 to share best practice and innovation for the primary and community health sectors. It includes definitions of key terms related to LTCs, as well as links to examples of current work in New Zealand. It has been written as a background paper for funders, planners and practitioners in New Zealand. Appendix 3 contains diabetes specific additional information.</w:t>
      </w:r>
    </w:p>
    <w:p w:rsidR="0030207B" w:rsidRPr="00440C29" w:rsidRDefault="0030207B" w:rsidP="003109B5"/>
    <w:p w:rsidR="003109B5" w:rsidRDefault="003109B5" w:rsidP="003109B5">
      <w:r>
        <w:br w:type="page"/>
      </w:r>
    </w:p>
    <w:p w:rsidR="0030207B" w:rsidRDefault="0030207B" w:rsidP="003109B5">
      <w:pPr>
        <w:pStyle w:val="Heading1"/>
      </w:pPr>
      <w:bookmarkStart w:id="4" w:name="_Toc442253009"/>
      <w:r>
        <w:lastRenderedPageBreak/>
        <w:t>1</w:t>
      </w:r>
      <w:r w:rsidR="003109B5">
        <w:tab/>
      </w:r>
      <w:r w:rsidRPr="00440C29">
        <w:t>Introduction</w:t>
      </w:r>
      <w:bookmarkEnd w:id="4"/>
    </w:p>
    <w:p w:rsidR="0030207B" w:rsidRPr="005A43D5" w:rsidRDefault="0030207B" w:rsidP="003109B5">
      <w:r w:rsidRPr="005A43D5">
        <w:t>The prevalence of long</w:t>
      </w:r>
      <w:r>
        <w:t>-</w:t>
      </w:r>
      <w:r w:rsidRPr="005A43D5">
        <w:t xml:space="preserve">term conditions (LTCs) is rising in New Zealand </w:t>
      </w:r>
      <w:r>
        <w:t>and</w:t>
      </w:r>
      <w:r w:rsidRPr="005A43D5">
        <w:t xml:space="preserve"> many people hav</w:t>
      </w:r>
      <w:r>
        <w:t>e</w:t>
      </w:r>
      <w:r w:rsidRPr="005A43D5">
        <w:t xml:space="preserve"> several LTCs. Related terms for LTCs are </w:t>
      </w:r>
      <w:r>
        <w:t>‘</w:t>
      </w:r>
      <w:r w:rsidRPr="005A43D5">
        <w:t>non-communicable diseases</w:t>
      </w:r>
      <w:r>
        <w:t xml:space="preserve"> (NCDs)’</w:t>
      </w:r>
      <w:r w:rsidRPr="003109B5">
        <w:rPr>
          <w:rStyle w:val="FootnoteReference"/>
        </w:rPr>
        <w:footnoteReference w:id="1"/>
      </w:r>
      <w:r w:rsidRPr="005A43D5">
        <w:t xml:space="preserve"> and </w:t>
      </w:r>
      <w:r>
        <w:t>‘</w:t>
      </w:r>
      <w:r w:rsidRPr="005A43D5">
        <w:t>chronic conditions</w:t>
      </w:r>
      <w:r>
        <w:t>’</w:t>
      </w:r>
      <w:r w:rsidRPr="005A43D5">
        <w:t xml:space="preserve">. LTCs include diabetes, cancers, cardiovascular diseases, respiratory diseases, mental illness, chronic pain, chronic kidney disease, dementia and others. </w:t>
      </w:r>
      <w:r>
        <w:t>Supporting people to self-manage is a critical part of coping with the growing burden of long-term conditions.</w:t>
      </w:r>
    </w:p>
    <w:p w:rsidR="0030207B" w:rsidRDefault="0030207B" w:rsidP="003109B5"/>
    <w:p w:rsidR="0030207B" w:rsidRPr="00051D99" w:rsidRDefault="0030207B" w:rsidP="003109B5">
      <w:pPr>
        <w:pStyle w:val="Heading2"/>
      </w:pPr>
      <w:bookmarkStart w:id="5" w:name="_Toc442253010"/>
      <w:r>
        <w:t>Health care priorities for</w:t>
      </w:r>
      <w:r w:rsidRPr="00051D99">
        <w:t xml:space="preserve"> self-management support</w:t>
      </w:r>
      <w:bookmarkEnd w:id="5"/>
    </w:p>
    <w:p w:rsidR="0030207B" w:rsidRPr="002439DF" w:rsidRDefault="0030207B" w:rsidP="003109B5">
      <w:r>
        <w:t>Although t</w:t>
      </w:r>
      <w:r w:rsidRPr="002439DF">
        <w:t xml:space="preserve">here </w:t>
      </w:r>
      <w:r>
        <w:t xml:space="preserve">is </w:t>
      </w:r>
      <w:r w:rsidRPr="002439DF">
        <w:t>a wide range of self-management approaches</w:t>
      </w:r>
      <w:r>
        <w:t>,</w:t>
      </w:r>
      <w:r w:rsidRPr="002439DF">
        <w:t xml:space="preserve"> some </w:t>
      </w:r>
      <w:r>
        <w:t xml:space="preserve">overarching </w:t>
      </w:r>
      <w:r w:rsidRPr="002439DF">
        <w:t>principles</w:t>
      </w:r>
      <w:r>
        <w:t xml:space="preserve"> apply to all of them.</w:t>
      </w:r>
    </w:p>
    <w:p w:rsidR="0030207B" w:rsidRDefault="0030207B" w:rsidP="003109B5">
      <w:pPr>
        <w:pStyle w:val="Bullet"/>
      </w:pPr>
      <w:r w:rsidRPr="00AB4569">
        <w:rPr>
          <w:b/>
        </w:rPr>
        <w:t>Patient centred:</w:t>
      </w:r>
      <w:r w:rsidRPr="00F866DC">
        <w:t xml:space="preserve"> </w:t>
      </w:r>
      <w:r>
        <w:t>S</w:t>
      </w:r>
      <w:r w:rsidRPr="00F866DC">
        <w:t>elf-management support programmes should empower people with LTC</w:t>
      </w:r>
      <w:r>
        <w:t>s</w:t>
      </w:r>
      <w:r w:rsidRPr="00F866DC">
        <w:t xml:space="preserve"> to take a leading role in their care planning </w:t>
      </w:r>
      <w:r w:rsidRPr="0076298B">
        <w:t>(as they are able to) and support them to work in partnership with their health care professional</w:t>
      </w:r>
      <w:r>
        <w:t>s</w:t>
      </w:r>
      <w:r w:rsidRPr="0076298B">
        <w:t xml:space="preserve"> to set goals and action plans</w:t>
      </w:r>
      <w:r>
        <w:t>.</w:t>
      </w:r>
    </w:p>
    <w:p w:rsidR="0030207B" w:rsidRDefault="0030207B" w:rsidP="003109B5">
      <w:pPr>
        <w:pStyle w:val="Bullet"/>
      </w:pPr>
      <w:r w:rsidRPr="00AB4569">
        <w:rPr>
          <w:b/>
        </w:rPr>
        <w:t>Psychological support</w:t>
      </w:r>
      <w:r>
        <w:t>: It may be necessary to provide psychological support so that people can self-manage.</w:t>
      </w:r>
    </w:p>
    <w:p w:rsidR="0030207B" w:rsidRPr="00F866DC" w:rsidRDefault="0030207B" w:rsidP="003109B5">
      <w:pPr>
        <w:pStyle w:val="Bullet"/>
      </w:pPr>
      <w:r w:rsidRPr="00AB4569">
        <w:rPr>
          <w:b/>
        </w:rPr>
        <w:t>Cultural relevance</w:t>
      </w:r>
      <w:r>
        <w:t>:</w:t>
      </w:r>
      <w:r w:rsidRPr="00F866DC">
        <w:t xml:space="preserve"> </w:t>
      </w:r>
      <w:r>
        <w:t>P</w:t>
      </w:r>
      <w:r w:rsidRPr="00F866DC">
        <w:t>rogrammes should be culturally sensitive and appropriate for diverse ethnic groups</w:t>
      </w:r>
      <w:r>
        <w:t>.</w:t>
      </w:r>
    </w:p>
    <w:p w:rsidR="0030207B" w:rsidRPr="00F866DC" w:rsidRDefault="0030207B" w:rsidP="003109B5">
      <w:pPr>
        <w:pStyle w:val="Bullet"/>
      </w:pPr>
      <w:r w:rsidRPr="00AB4569">
        <w:rPr>
          <w:b/>
        </w:rPr>
        <w:t>Systematic follow</w:t>
      </w:r>
      <w:r>
        <w:rPr>
          <w:b/>
        </w:rPr>
        <w:t>-</w:t>
      </w:r>
      <w:r w:rsidRPr="00AB4569">
        <w:rPr>
          <w:b/>
        </w:rPr>
        <w:t>up</w:t>
      </w:r>
      <w:r>
        <w:t>:</w:t>
      </w:r>
      <w:r w:rsidRPr="00F866DC">
        <w:t xml:space="preserve"> </w:t>
      </w:r>
      <w:r>
        <w:t>P</w:t>
      </w:r>
      <w:r w:rsidRPr="00F866DC">
        <w:t>rimary care</w:t>
      </w:r>
      <w:r>
        <w:t xml:space="preserve"> providers should undertake</w:t>
      </w:r>
      <w:r w:rsidRPr="00F866DC">
        <w:t xml:space="preserve"> clinical assessment and follow</w:t>
      </w:r>
      <w:r>
        <w:t>-</w:t>
      </w:r>
      <w:r w:rsidRPr="00F866DC">
        <w:t>up care</w:t>
      </w:r>
      <w:r>
        <w:t>.</w:t>
      </w:r>
    </w:p>
    <w:p w:rsidR="0030207B" w:rsidRDefault="0030207B" w:rsidP="003109B5"/>
    <w:p w:rsidR="0030207B" w:rsidRPr="00440C29" w:rsidRDefault="0030207B" w:rsidP="003109B5">
      <w:pPr>
        <w:pStyle w:val="Heading2"/>
      </w:pPr>
      <w:bookmarkStart w:id="6" w:name="_Toc442253011"/>
      <w:r w:rsidRPr="00440C29">
        <w:t>Chronic care model</w:t>
      </w:r>
      <w:bookmarkEnd w:id="6"/>
    </w:p>
    <w:p w:rsidR="0030207B" w:rsidRDefault="0030207B" w:rsidP="003109B5">
      <w:r w:rsidRPr="005A43D5">
        <w:t xml:space="preserve">The </w:t>
      </w:r>
      <w:r>
        <w:t xml:space="preserve">chronic care </w:t>
      </w:r>
      <w:proofErr w:type="gramStart"/>
      <w:r>
        <w:t>model,</w:t>
      </w:r>
      <w:proofErr w:type="gramEnd"/>
      <w:r>
        <w:t xml:space="preserve"> developed in the United States by Ed Wagner (Wagner et al 1996) </w:t>
      </w:r>
      <w:r w:rsidRPr="005A43D5">
        <w:t xml:space="preserve">forms the basis </w:t>
      </w:r>
      <w:r>
        <w:t xml:space="preserve">of </w:t>
      </w:r>
      <w:r w:rsidRPr="005A43D5">
        <w:t xml:space="preserve">a model </w:t>
      </w:r>
      <w:r>
        <w:t>to</w:t>
      </w:r>
      <w:r w:rsidRPr="005A43D5">
        <w:t xml:space="preserve"> deliver health care for people with long</w:t>
      </w:r>
      <w:r>
        <w:t>-</w:t>
      </w:r>
      <w:r w:rsidRPr="005A43D5">
        <w:t>term conditions.</w:t>
      </w:r>
      <w:r w:rsidRPr="005A43D5" w:rsidDel="00A858AF">
        <w:t xml:space="preserve"> </w:t>
      </w:r>
      <w:r>
        <w:t>It</w:t>
      </w:r>
      <w:r w:rsidRPr="005A43D5">
        <w:t xml:space="preserve"> describes care for people with long</w:t>
      </w:r>
      <w:r>
        <w:t>-</w:t>
      </w:r>
      <w:r w:rsidRPr="005A43D5">
        <w:t>term and chronic conditions in the community, with six key interdependent components</w:t>
      </w:r>
      <w:r>
        <w:t>:</w:t>
      </w:r>
      <w:r w:rsidRPr="005A43D5">
        <w:t xml:space="preserve"> </w:t>
      </w:r>
      <w:r>
        <w:t>c</w:t>
      </w:r>
      <w:r w:rsidRPr="005A43D5">
        <w:t>ommunity resources, health system support, self</w:t>
      </w:r>
      <w:r>
        <w:t>-</w:t>
      </w:r>
      <w:r w:rsidRPr="005A43D5">
        <w:t>management support, delivery system design, decision support and clinical information systems.</w:t>
      </w:r>
    </w:p>
    <w:p w:rsidR="0030207B" w:rsidRPr="005A43D5" w:rsidRDefault="0030207B" w:rsidP="003109B5"/>
    <w:p w:rsidR="0030207B" w:rsidRDefault="0030207B" w:rsidP="003109B5">
      <w:pPr>
        <w:rPr>
          <w:rFonts w:cs="Arial"/>
        </w:rPr>
      </w:pPr>
      <w:r w:rsidRPr="005A43D5">
        <w:t xml:space="preserve">At the heart of the model is an informed, active patient supported by a proactive primary care team working together to develop and implement a personalised care plan. </w:t>
      </w:r>
      <w:r>
        <w:t xml:space="preserve">Patient activation is </w:t>
      </w:r>
      <w:r>
        <w:rPr>
          <w:rFonts w:cs="Arial"/>
        </w:rPr>
        <w:t>‘an individual’s knowledge, skill, and confidence for managing their health care’ (Hibbard et al 2005).</w:t>
      </w:r>
      <w:r w:rsidRPr="00E26093">
        <w:rPr>
          <w:rFonts w:cs="Arial"/>
        </w:rPr>
        <w:t xml:space="preserve"> </w:t>
      </w:r>
      <w:r>
        <w:rPr>
          <w:rFonts w:cs="Arial"/>
        </w:rPr>
        <w:t>It is closely related to health outcomes. When people with long-term conditions are more highly activated, they are more likely to engage in positive health behaviours and to manage their health conditions more effectively. Interventions such as self-management education programmes have been shown to improve patient activation (Hibbard and Gilburt 2014).</w:t>
      </w:r>
    </w:p>
    <w:p w:rsidR="0030207B" w:rsidRPr="005A43D5" w:rsidRDefault="0030207B" w:rsidP="003109B5"/>
    <w:p w:rsidR="0030207B" w:rsidRDefault="0030207B" w:rsidP="003109B5">
      <w:r w:rsidRPr="005A43D5">
        <w:lastRenderedPageBreak/>
        <w:t xml:space="preserve">Recent versions of the </w:t>
      </w:r>
      <w:r>
        <w:t xml:space="preserve">chronic care </w:t>
      </w:r>
      <w:r w:rsidRPr="005A43D5">
        <w:t>model have acknowledged the increasing use and importance of eHealth such as mobile technology, electronic records</w:t>
      </w:r>
      <w:r>
        <w:t xml:space="preserve"> and</w:t>
      </w:r>
      <w:r w:rsidRPr="005A43D5">
        <w:t xml:space="preserve"> virtual communities</w:t>
      </w:r>
      <w:r>
        <w:t xml:space="preserve"> (Gee et al 2015).</w:t>
      </w:r>
    </w:p>
    <w:p w:rsidR="0030207B" w:rsidRPr="005A43D5" w:rsidRDefault="0030207B" w:rsidP="003109B5"/>
    <w:p w:rsidR="0030207B" w:rsidRDefault="0030207B" w:rsidP="003109B5">
      <w:r w:rsidRPr="00051D99">
        <w:t>Internationally, self-management is recognised as one of the critical components in improving health care for people with LTCs (Singh 2005; Tsai et al 2005; Zwar et al 2006). It is fundamental to the health and wellbeing of people with LTCs, and enables the health system to make the best use of increasingly scarce resources.</w:t>
      </w:r>
    </w:p>
    <w:p w:rsidR="0030207B" w:rsidRPr="00051D99" w:rsidRDefault="0030207B" w:rsidP="003109B5"/>
    <w:p w:rsidR="0030207B" w:rsidRPr="00215B5A" w:rsidRDefault="0030207B" w:rsidP="003109B5">
      <w:r>
        <w:t xml:space="preserve">People with long-term conditions spend only a few hours each year in contact with health services. For the rest of the time, they are ‘self-managing’ their conditions (Lhussier et al 2013). </w:t>
      </w:r>
      <w:r w:rsidRPr="00835059">
        <w:t xml:space="preserve">Appendix 1 summarises </w:t>
      </w:r>
      <w:r>
        <w:t xml:space="preserve">a possible population approach to planning care for LTCs, which identifies different </w:t>
      </w:r>
      <w:r w:rsidRPr="00835059">
        <w:t xml:space="preserve">levels of health need and </w:t>
      </w:r>
      <w:r>
        <w:t>the appropriate</w:t>
      </w:r>
      <w:r w:rsidRPr="00835059">
        <w:t xml:space="preserve"> care response</w:t>
      </w:r>
      <w:r>
        <w:t xml:space="preserve"> for each level.</w:t>
      </w:r>
    </w:p>
    <w:p w:rsidR="0030207B" w:rsidRPr="005A43D5" w:rsidRDefault="0030207B" w:rsidP="003109B5"/>
    <w:p w:rsidR="003109B5" w:rsidRDefault="003109B5" w:rsidP="003109B5">
      <w:r>
        <w:br w:type="page"/>
      </w:r>
    </w:p>
    <w:p w:rsidR="0030207B" w:rsidRPr="00440C29" w:rsidRDefault="0030207B" w:rsidP="003109B5">
      <w:pPr>
        <w:pStyle w:val="Heading1"/>
      </w:pPr>
      <w:bookmarkStart w:id="7" w:name="_Toc442253012"/>
      <w:r>
        <w:lastRenderedPageBreak/>
        <w:t>2</w:t>
      </w:r>
      <w:r w:rsidR="003109B5">
        <w:tab/>
      </w:r>
      <w:r w:rsidRPr="00440C29">
        <w:t>Self</w:t>
      </w:r>
      <w:r>
        <w:t>-m</w:t>
      </w:r>
      <w:r w:rsidRPr="00440C29">
        <w:t>anagement in context</w:t>
      </w:r>
      <w:bookmarkEnd w:id="7"/>
    </w:p>
    <w:p w:rsidR="0030207B" w:rsidRDefault="0030207B" w:rsidP="003109B5">
      <w:r>
        <w:t>S</w:t>
      </w:r>
      <w:r w:rsidRPr="00051D99">
        <w:t>ome</w:t>
      </w:r>
      <w:r>
        <w:t xml:space="preserve"> people take issue with</w:t>
      </w:r>
      <w:r w:rsidRPr="00051D99">
        <w:t xml:space="preserve"> the term </w:t>
      </w:r>
      <w:r>
        <w:t>‘</w:t>
      </w:r>
      <w:r w:rsidRPr="00051D99">
        <w:t>self-management</w:t>
      </w:r>
      <w:r>
        <w:t>’</w:t>
      </w:r>
      <w:r w:rsidRPr="00051D99">
        <w:t xml:space="preserve"> </w:t>
      </w:r>
      <w:r>
        <w:t>because</w:t>
      </w:r>
      <w:r w:rsidRPr="00051D99">
        <w:t xml:space="preserve"> </w:t>
      </w:r>
      <w:r>
        <w:t xml:space="preserve">it could </w:t>
      </w:r>
      <w:r w:rsidRPr="00051D99">
        <w:t xml:space="preserve">suggest a focus on the </w:t>
      </w:r>
      <w:r>
        <w:t>‘</w:t>
      </w:r>
      <w:r w:rsidRPr="00051D99">
        <w:t>self</w:t>
      </w:r>
      <w:r>
        <w:t>’</w:t>
      </w:r>
      <w:r w:rsidRPr="00051D99">
        <w:t xml:space="preserve"> as an individual at the expense of important social contexts</w:t>
      </w:r>
      <w:r>
        <w:t>,</w:t>
      </w:r>
      <w:r w:rsidRPr="00051D99">
        <w:t xml:space="preserve"> particularly family</w:t>
      </w:r>
      <w:r>
        <w:t xml:space="preserve"> and </w:t>
      </w:r>
      <w:r w:rsidRPr="00051D99">
        <w:t xml:space="preserve">whānau. </w:t>
      </w:r>
      <w:r>
        <w:t>S</w:t>
      </w:r>
      <w:r w:rsidRPr="00051D99">
        <w:t>elf-management theory</w:t>
      </w:r>
      <w:r>
        <w:t>, however,</w:t>
      </w:r>
      <w:r w:rsidRPr="00051D99">
        <w:t xml:space="preserve"> takes a holistic view </w:t>
      </w:r>
      <w:r>
        <w:t xml:space="preserve">that gives priority to </w:t>
      </w:r>
      <w:r w:rsidRPr="00051D99">
        <w:t>engag</w:t>
      </w:r>
      <w:r>
        <w:t xml:space="preserve">ing with </w:t>
      </w:r>
      <w:r w:rsidRPr="00051D99">
        <w:t>people with LTCs within their wider social context. This</w:t>
      </w:r>
      <w:r>
        <w:t xml:space="preserve"> approach</w:t>
      </w:r>
      <w:r w:rsidRPr="00051D99">
        <w:t xml:space="preserve"> is in keeping with</w:t>
      </w:r>
      <w:r>
        <w:t xml:space="preserve"> the views of</w:t>
      </w:r>
      <w:r w:rsidRPr="00051D99">
        <w:t xml:space="preserve"> Māori, Pacific and South Asian peoples</w:t>
      </w:r>
      <w:r>
        <w:t>, who</w:t>
      </w:r>
      <w:r w:rsidRPr="00051D99">
        <w:t xml:space="preserve"> emphasis</w:t>
      </w:r>
      <w:r>
        <w:t>e</w:t>
      </w:r>
      <w:r w:rsidRPr="00051D99">
        <w:t xml:space="preserve"> interdependence rather than personal independence.</w:t>
      </w:r>
    </w:p>
    <w:p w:rsidR="0030207B" w:rsidRDefault="0030207B" w:rsidP="003109B5"/>
    <w:p w:rsidR="0030207B" w:rsidRPr="00051D99" w:rsidRDefault="0030207B" w:rsidP="003109B5">
      <w:r>
        <w:t>Self-management support has been identified as one of the 10 characteristics that contribute to a high-performing chronic care system (Ham 2010). This section discusses and defines</w:t>
      </w:r>
      <w:r w:rsidRPr="00AA6965">
        <w:t xml:space="preserve"> self-management</w:t>
      </w:r>
      <w:r>
        <w:t xml:space="preserve"> and</w:t>
      </w:r>
      <w:r w:rsidRPr="00AA6965">
        <w:t xml:space="preserve"> self-management support</w:t>
      </w:r>
      <w:r>
        <w:t>, along with multimorbidity, equity</w:t>
      </w:r>
      <w:r w:rsidRPr="00AA6965">
        <w:t xml:space="preserve"> and self-management education </w:t>
      </w:r>
      <w:r>
        <w:t>as terms that are closely linked to these concepts</w:t>
      </w:r>
      <w:r w:rsidRPr="00AA6965">
        <w:t xml:space="preserve">. </w:t>
      </w:r>
      <w:r>
        <w:t>This background information sets the context for the next section, which focuses on self-management in practice.</w:t>
      </w:r>
    </w:p>
    <w:p w:rsidR="0030207B" w:rsidRPr="00051D99" w:rsidRDefault="0030207B" w:rsidP="003109B5"/>
    <w:p w:rsidR="0030207B" w:rsidRDefault="0030207B" w:rsidP="003109B5">
      <w:pPr>
        <w:pStyle w:val="Heading2"/>
      </w:pPr>
      <w:bookmarkStart w:id="8" w:name="_Toc442253013"/>
      <w:r>
        <w:t>Multimorbidity</w:t>
      </w:r>
      <w:bookmarkEnd w:id="8"/>
    </w:p>
    <w:p w:rsidR="0030207B" w:rsidRDefault="0030207B" w:rsidP="003109B5">
      <w:r>
        <w:t>Many long-term conditions are more common in older people. As more people live longer, New Zealand is likely to have more people with two or more LTCs (multimorbidity). In the 2012/13 New Zealand Health Survey, nearly one in four adults reported two or more LTCs. While fewer people reported three conditions (6.4 percent) and four or more conditions (3.7 percent), the true prevalence is likely to be higher across all categories because the survey covered only a limited number of conditions (Ministry of Health 2014, p 204).</w:t>
      </w:r>
    </w:p>
    <w:p w:rsidR="0030207B" w:rsidRDefault="0030207B" w:rsidP="003109B5"/>
    <w:p w:rsidR="0030207B" w:rsidRDefault="0030207B" w:rsidP="003109B5">
      <w:r>
        <w:t>Research has shown that some individuals with multimorbidities give more attention to managing a dominant illness and less attention to their other conditions. However, some studies have shown that multimorbidity improves patient self-management (Bratzke et al 2015). For people with multimorbidity, a person-centred and integrated approach to supporting management is particularly important.</w:t>
      </w:r>
    </w:p>
    <w:p w:rsidR="0030207B" w:rsidRDefault="0030207B" w:rsidP="003109B5"/>
    <w:p w:rsidR="0030207B" w:rsidRDefault="0030207B" w:rsidP="003109B5">
      <w:pPr>
        <w:pStyle w:val="Heading2"/>
      </w:pPr>
      <w:bookmarkStart w:id="9" w:name="_Toc442253014"/>
      <w:r>
        <w:t>Equity</w:t>
      </w:r>
      <w:bookmarkEnd w:id="9"/>
    </w:p>
    <w:p w:rsidR="0030207B" w:rsidRDefault="0030207B" w:rsidP="003109B5">
      <w:r>
        <w:t xml:space="preserve">Equity is the absence of avoidable or remediable differences among groups of people, whether those groups are defined socially, economically, demographically or geographically. One ongoing task is to reduce inequalities in the self-management support that health professionals provide. The aim is to achieve equitable care, which is ‘care that does not vary in quality because of personal characteristics such as gender, ethnicity, geographic location and socioeconomic status’ </w:t>
      </w:r>
      <w:r w:rsidRPr="00440C29">
        <w:t>(Institute of Medicine 2001).</w:t>
      </w:r>
      <w:r w:rsidRPr="00953878">
        <w:t xml:space="preserve"> </w:t>
      </w:r>
      <w:r>
        <w:t>A recent discussion paper</w:t>
      </w:r>
      <w:r w:rsidRPr="00953878">
        <w:t xml:space="preserve"> </w:t>
      </w:r>
      <w:r>
        <w:t>identifies eliminating health literacy barriers as an essential ingredient in the effort to increase health equity (Logan et al 2015).</w:t>
      </w:r>
    </w:p>
    <w:p w:rsidR="0030207B" w:rsidRDefault="0030207B" w:rsidP="003109B5"/>
    <w:p w:rsidR="0030207B" w:rsidRDefault="0030207B" w:rsidP="003109B5">
      <w:r>
        <w:t>It is important to keep records of who is offered self-management support so that groups over-represented in prevalence statistics are involved in support services that meet their needs. Tools for reviewing and assessing care from an equity perspective are available.</w:t>
      </w:r>
    </w:p>
    <w:p w:rsidR="0030207B" w:rsidRDefault="0030207B" w:rsidP="003109B5"/>
    <w:p w:rsidR="0030207B" w:rsidRDefault="0030207B" w:rsidP="003109B5">
      <w:r>
        <w:lastRenderedPageBreak/>
        <w:t>See Equity of Health Care for M</w:t>
      </w:r>
      <w:r>
        <w:rPr>
          <w:rFonts w:cs="Arial"/>
        </w:rPr>
        <w:t>ā</w:t>
      </w:r>
      <w:r>
        <w:t>ori: A</w:t>
      </w:r>
      <w:r w:rsidRPr="006E16BE">
        <w:t xml:space="preserve"> </w:t>
      </w:r>
      <w:r>
        <w:t>framework (</w:t>
      </w:r>
      <w:r w:rsidRPr="00F32BEE">
        <w:t>www.health.govt.nz/publication/equity-health-care-maori-framework</w:t>
      </w:r>
      <w:r>
        <w:t>).</w:t>
      </w:r>
    </w:p>
    <w:p w:rsidR="0030207B" w:rsidRPr="00F103EB" w:rsidRDefault="0030207B" w:rsidP="003109B5"/>
    <w:p w:rsidR="0030207B" w:rsidRPr="00051D99" w:rsidRDefault="0030207B" w:rsidP="003109B5">
      <w:pPr>
        <w:pStyle w:val="Heading2"/>
      </w:pPr>
      <w:bookmarkStart w:id="10" w:name="_Toc442253015"/>
      <w:r>
        <w:t>S</w:t>
      </w:r>
      <w:r w:rsidRPr="00051D99">
        <w:t>elf-management</w:t>
      </w:r>
      <w:bookmarkEnd w:id="10"/>
    </w:p>
    <w:p w:rsidR="0030207B" w:rsidRDefault="0030207B" w:rsidP="003109B5">
      <w:r>
        <w:t xml:space="preserve">‘Self-management’ refers to any way in which a person with an LTC manages their condition by themselves. Learning and practising self-management is an ongoing process; it is </w:t>
      </w:r>
      <w:r w:rsidRPr="002439DF">
        <w:t xml:space="preserve">not </w:t>
      </w:r>
      <w:r>
        <w:t xml:space="preserve">achieved in </w:t>
      </w:r>
      <w:r w:rsidRPr="002439DF">
        <w:t>a sing</w:t>
      </w:r>
      <w:r>
        <w:t>le</w:t>
      </w:r>
      <w:r w:rsidRPr="002439DF">
        <w:t xml:space="preserve"> </w:t>
      </w:r>
      <w:r>
        <w:t xml:space="preserve">step. Self-management is a continuum of learning experiences and opportunities, where a </w:t>
      </w:r>
      <w:r w:rsidRPr="002439DF">
        <w:t xml:space="preserve">person </w:t>
      </w:r>
      <w:r>
        <w:t xml:space="preserve">with an LTC </w:t>
      </w:r>
      <w:r w:rsidRPr="002439DF">
        <w:t xml:space="preserve">and their </w:t>
      </w:r>
      <w:r>
        <w:t xml:space="preserve">family and </w:t>
      </w:r>
      <w:r w:rsidRPr="002439DF">
        <w:t>whānau work in collaboration with carers and health professionals</w:t>
      </w:r>
      <w:r>
        <w:t>.</w:t>
      </w:r>
    </w:p>
    <w:p w:rsidR="0030207B" w:rsidRDefault="0030207B" w:rsidP="003109B5"/>
    <w:p w:rsidR="0030207B" w:rsidRDefault="0030207B" w:rsidP="003109B5">
      <w:r>
        <w:t>S</w:t>
      </w:r>
      <w:r w:rsidRPr="00440C29">
        <w:t xml:space="preserve">elf-management is about enabling </w:t>
      </w:r>
      <w:r>
        <w:t>people with LTCs</w:t>
      </w:r>
      <w:r w:rsidRPr="00440C29">
        <w:t xml:space="preserve"> to </w:t>
      </w:r>
      <w:r>
        <w:t>‘</w:t>
      </w:r>
      <w:r w:rsidRPr="00440C29">
        <w:t>make informed choices, to adapt new perspectives and generic skills that can be applied to new problems as they arise, to practice new health behaviours, and to maintain or regain emotional stability</w:t>
      </w:r>
      <w:r>
        <w:t>’</w:t>
      </w:r>
      <w:r w:rsidRPr="00440C29">
        <w:t xml:space="preserve"> (</w:t>
      </w:r>
      <w:r w:rsidRPr="008F3E55">
        <w:t>Lorig 1993).</w:t>
      </w:r>
    </w:p>
    <w:p w:rsidR="0030207B" w:rsidRDefault="0030207B" w:rsidP="003109B5"/>
    <w:p w:rsidR="0030207B" w:rsidRPr="00CC1219" w:rsidRDefault="0030207B" w:rsidP="003109B5">
      <w:r w:rsidRPr="00CC1219">
        <w:t>The seven Principles of Self-Management</w:t>
      </w:r>
      <w:r w:rsidRPr="00CC1219" w:rsidDel="002759A8">
        <w:t xml:space="preserve"> </w:t>
      </w:r>
      <w:r w:rsidRPr="00CC1219">
        <w:t>are an important part of the Flinders Program</w:t>
      </w:r>
      <w:r>
        <w:rPr>
          <w:rFonts w:cs="Arial"/>
        </w:rPr>
        <w:t>™ (</w:t>
      </w:r>
      <w:r w:rsidRPr="00E4780F">
        <w:rPr>
          <w:rFonts w:cs="Arial"/>
        </w:rPr>
        <w:t>Flinders Human Behaviour and Health Research Unit</w:t>
      </w:r>
      <w:r>
        <w:rPr>
          <w:rFonts w:cs="Arial"/>
        </w:rPr>
        <w:t xml:space="preserve"> 2006)</w:t>
      </w:r>
      <w:r w:rsidRPr="00CC1219">
        <w:t>. The</w:t>
      </w:r>
      <w:r>
        <w:t>y identify</w:t>
      </w:r>
      <w:r w:rsidRPr="00CC1219">
        <w:t xml:space="preserve"> a </w:t>
      </w:r>
      <w:r>
        <w:t>‘good’</w:t>
      </w:r>
      <w:r w:rsidRPr="00CC1219">
        <w:t xml:space="preserve"> self-manager</w:t>
      </w:r>
      <w:r>
        <w:t xml:space="preserve"> as someone who</w:t>
      </w:r>
      <w:r w:rsidRPr="00CC1219">
        <w:t>:</w:t>
      </w:r>
    </w:p>
    <w:p w:rsidR="0030207B" w:rsidRPr="00CC1219" w:rsidRDefault="0030207B" w:rsidP="003109B5">
      <w:pPr>
        <w:pStyle w:val="Bullet"/>
      </w:pPr>
      <w:r w:rsidRPr="00CC1219">
        <w:t>know</w:t>
      </w:r>
      <w:r>
        <w:t>s about</w:t>
      </w:r>
      <w:r w:rsidRPr="00CC1219">
        <w:t xml:space="preserve"> their condition</w:t>
      </w:r>
    </w:p>
    <w:p w:rsidR="0030207B" w:rsidRDefault="0030207B" w:rsidP="003109B5">
      <w:pPr>
        <w:pStyle w:val="Bullet"/>
      </w:pPr>
      <w:r>
        <w:t>f</w:t>
      </w:r>
      <w:r w:rsidRPr="00CC1219">
        <w:t>ollow</w:t>
      </w:r>
      <w:r>
        <w:t>s</w:t>
      </w:r>
      <w:r w:rsidRPr="00CC1219">
        <w:t xml:space="preserve"> a treatment plan (care plan) agreed with their health professionals</w:t>
      </w:r>
    </w:p>
    <w:p w:rsidR="0030207B" w:rsidRDefault="0030207B" w:rsidP="003109B5">
      <w:pPr>
        <w:pStyle w:val="Bullet"/>
      </w:pPr>
      <w:r>
        <w:t>a</w:t>
      </w:r>
      <w:r w:rsidRPr="00CC1219">
        <w:t>ctively share</w:t>
      </w:r>
      <w:r>
        <w:t>s</w:t>
      </w:r>
      <w:r w:rsidRPr="00CC1219">
        <w:t xml:space="preserve"> in decision</w:t>
      </w:r>
      <w:r>
        <w:t>-</w:t>
      </w:r>
      <w:r w:rsidRPr="00CC1219">
        <w:t>making with health professionals</w:t>
      </w:r>
    </w:p>
    <w:p w:rsidR="0030207B" w:rsidRDefault="0030207B" w:rsidP="003109B5">
      <w:pPr>
        <w:pStyle w:val="Bullet"/>
      </w:pPr>
      <w:r>
        <w:t>m</w:t>
      </w:r>
      <w:r w:rsidRPr="00CC1219">
        <w:t>onitor</w:t>
      </w:r>
      <w:r>
        <w:t>s</w:t>
      </w:r>
      <w:r w:rsidRPr="00CC1219">
        <w:t xml:space="preserve"> and manage</w:t>
      </w:r>
      <w:r>
        <w:t>s</w:t>
      </w:r>
      <w:r w:rsidRPr="00CC1219">
        <w:t xml:space="preserve"> signs and symptoms of their condition</w:t>
      </w:r>
    </w:p>
    <w:p w:rsidR="0030207B" w:rsidRDefault="0030207B" w:rsidP="003109B5">
      <w:pPr>
        <w:pStyle w:val="Bullet"/>
      </w:pPr>
      <w:r>
        <w:t>m</w:t>
      </w:r>
      <w:r w:rsidRPr="00CC1219">
        <w:t>anage</w:t>
      </w:r>
      <w:r>
        <w:t>s</w:t>
      </w:r>
      <w:r w:rsidRPr="00CC1219">
        <w:t xml:space="preserve"> the impact of the condition on their physical, emotional and social life</w:t>
      </w:r>
    </w:p>
    <w:p w:rsidR="0030207B" w:rsidRDefault="0030207B" w:rsidP="003109B5">
      <w:pPr>
        <w:pStyle w:val="Bullet"/>
      </w:pPr>
      <w:r>
        <w:t>a</w:t>
      </w:r>
      <w:r w:rsidRPr="00CC1219">
        <w:t>dopt</w:t>
      </w:r>
      <w:r>
        <w:t>s</w:t>
      </w:r>
      <w:r w:rsidRPr="00CC1219">
        <w:t xml:space="preserve"> lifestyles that promote health</w:t>
      </w:r>
    </w:p>
    <w:p w:rsidR="0030207B" w:rsidRPr="00F103EB" w:rsidRDefault="0030207B" w:rsidP="003109B5">
      <w:pPr>
        <w:pStyle w:val="Bullet"/>
      </w:pPr>
      <w:proofErr w:type="gramStart"/>
      <w:r>
        <w:t>has</w:t>
      </w:r>
      <w:proofErr w:type="gramEnd"/>
      <w:r w:rsidRPr="00CC1219">
        <w:t xml:space="preserve"> access</w:t>
      </w:r>
      <w:r>
        <w:t xml:space="preserve"> to</w:t>
      </w:r>
      <w:r w:rsidRPr="00CC1219">
        <w:t xml:space="preserve"> support services</w:t>
      </w:r>
      <w:r>
        <w:t xml:space="preserve"> and has the</w:t>
      </w:r>
      <w:r w:rsidRPr="002759A8">
        <w:t xml:space="preserve"> </w:t>
      </w:r>
      <w:r w:rsidRPr="00CC1219">
        <w:t>confidence</w:t>
      </w:r>
      <w:r w:rsidRPr="002759A8">
        <w:t xml:space="preserve"> </w:t>
      </w:r>
      <w:r w:rsidRPr="00CC1219">
        <w:t>and ability to use</w:t>
      </w:r>
      <w:r>
        <w:t xml:space="preserve"> them</w:t>
      </w:r>
      <w:r w:rsidRPr="00CC1219">
        <w:t>.</w:t>
      </w:r>
    </w:p>
    <w:p w:rsidR="0030207B" w:rsidRPr="00F103EB" w:rsidRDefault="0030207B" w:rsidP="003109B5"/>
    <w:p w:rsidR="0030207B" w:rsidRPr="00051D99" w:rsidRDefault="0030207B" w:rsidP="003109B5">
      <w:pPr>
        <w:pStyle w:val="Heading2"/>
      </w:pPr>
      <w:bookmarkStart w:id="11" w:name="_Toc442253016"/>
      <w:r>
        <w:t>S</w:t>
      </w:r>
      <w:r w:rsidRPr="00051D99">
        <w:t>elf-management support</w:t>
      </w:r>
      <w:bookmarkEnd w:id="11"/>
    </w:p>
    <w:p w:rsidR="0030207B" w:rsidRDefault="0030207B" w:rsidP="003109B5">
      <w:r w:rsidRPr="00440C29">
        <w:t>Supporting self-management involves educating people about their condition and care and motivating them to care for themselves better</w:t>
      </w:r>
      <w:r>
        <w:rPr>
          <w:sz w:val="23"/>
          <w:szCs w:val="23"/>
        </w:rPr>
        <w:t xml:space="preserve">. </w:t>
      </w:r>
      <w:r w:rsidRPr="00440C29">
        <w:t>Self-management support can be viewed in two ways: as a portfolio of techniques and tools that help patients choose healthy behaviours; and</w:t>
      </w:r>
      <w:r>
        <w:t xml:space="preserve"> as</w:t>
      </w:r>
      <w:r w:rsidRPr="00440C29">
        <w:t xml:space="preserve"> a fundamental transformation of the patient–caregiver relationship into a collaborative partnership</w:t>
      </w:r>
      <w:r>
        <w:t xml:space="preserve"> (Health Foundation 2011). Through self-management support and good-quality clinical care, people get the full range of support they need to manage the physical, emotional and social impact of their LTCs at different ages and stages of their lives (Health Foundation 2015).</w:t>
      </w:r>
    </w:p>
    <w:p w:rsidR="0030207B" w:rsidRDefault="0030207B" w:rsidP="003109B5"/>
    <w:p w:rsidR="0030207B" w:rsidRPr="00051D99" w:rsidRDefault="0030207B" w:rsidP="003109B5">
      <w:pPr>
        <w:pStyle w:val="Heading2"/>
      </w:pPr>
      <w:bookmarkStart w:id="12" w:name="_Toc442253017"/>
      <w:r w:rsidRPr="00051D99">
        <w:t>Principles of self-management support</w:t>
      </w:r>
      <w:bookmarkEnd w:id="12"/>
    </w:p>
    <w:p w:rsidR="0030207B" w:rsidRDefault="0030207B" w:rsidP="003109B5">
      <w:r w:rsidRPr="00162C21">
        <w:t>Twelve evidence</w:t>
      </w:r>
      <w:r>
        <w:t>-</w:t>
      </w:r>
      <w:r w:rsidRPr="00162C21">
        <w:t>based practi</w:t>
      </w:r>
      <w:r>
        <w:t>c</w:t>
      </w:r>
      <w:r w:rsidRPr="00162C21">
        <w:t xml:space="preserve">es and processes </w:t>
      </w:r>
      <w:r>
        <w:t>that</w:t>
      </w:r>
      <w:r w:rsidRPr="00162C21">
        <w:t xml:space="preserve"> improve self</w:t>
      </w:r>
      <w:r>
        <w:t>-</w:t>
      </w:r>
      <w:r w:rsidRPr="00162C21">
        <w:t>management support in primary care</w:t>
      </w:r>
      <w:r>
        <w:t xml:space="preserve"> are:</w:t>
      </w:r>
    </w:p>
    <w:p w:rsidR="0030207B" w:rsidRDefault="0030207B" w:rsidP="003109B5">
      <w:pPr>
        <w:pStyle w:val="Bullet"/>
        <w:rPr>
          <w:lang w:eastAsia="en-NZ"/>
        </w:rPr>
      </w:pPr>
      <w:r w:rsidRPr="00440C29">
        <w:rPr>
          <w:lang w:eastAsia="en-NZ"/>
        </w:rPr>
        <w:t>brief targeted assessment</w:t>
      </w:r>
    </w:p>
    <w:p w:rsidR="0030207B" w:rsidRDefault="0030207B" w:rsidP="003109B5">
      <w:pPr>
        <w:pStyle w:val="Bullet"/>
        <w:rPr>
          <w:lang w:eastAsia="en-NZ"/>
        </w:rPr>
      </w:pPr>
      <w:r w:rsidRPr="00440C29">
        <w:rPr>
          <w:lang w:eastAsia="en-NZ"/>
        </w:rPr>
        <w:t>evidence-based information to guide shared decision-making</w:t>
      </w:r>
    </w:p>
    <w:p w:rsidR="0030207B" w:rsidRDefault="0030207B" w:rsidP="003109B5">
      <w:pPr>
        <w:pStyle w:val="Bullet"/>
        <w:rPr>
          <w:lang w:eastAsia="en-NZ"/>
        </w:rPr>
      </w:pPr>
      <w:r w:rsidRPr="00440C29">
        <w:rPr>
          <w:lang w:eastAsia="en-NZ"/>
        </w:rPr>
        <w:t>use of a non-judg</w:t>
      </w:r>
      <w:r>
        <w:rPr>
          <w:lang w:eastAsia="en-NZ"/>
        </w:rPr>
        <w:t>e</w:t>
      </w:r>
      <w:r w:rsidRPr="00440C29">
        <w:rPr>
          <w:lang w:eastAsia="en-NZ"/>
        </w:rPr>
        <w:t>mental approach</w:t>
      </w:r>
    </w:p>
    <w:p w:rsidR="0030207B" w:rsidRDefault="0030207B" w:rsidP="003109B5">
      <w:pPr>
        <w:pStyle w:val="Bullet"/>
        <w:rPr>
          <w:lang w:eastAsia="en-NZ"/>
        </w:rPr>
      </w:pPr>
      <w:r w:rsidRPr="00440C29">
        <w:rPr>
          <w:lang w:eastAsia="en-NZ"/>
        </w:rPr>
        <w:t xml:space="preserve">collaborative </w:t>
      </w:r>
      <w:r>
        <w:rPr>
          <w:lang w:eastAsia="en-NZ"/>
        </w:rPr>
        <w:t xml:space="preserve">approach to setting </w:t>
      </w:r>
      <w:r w:rsidRPr="00440C29">
        <w:rPr>
          <w:lang w:eastAsia="en-NZ"/>
        </w:rPr>
        <w:t>priorit</w:t>
      </w:r>
      <w:r>
        <w:rPr>
          <w:lang w:eastAsia="en-NZ"/>
        </w:rPr>
        <w:t>ies</w:t>
      </w:r>
      <w:r w:rsidRPr="00440C29">
        <w:rPr>
          <w:lang w:eastAsia="en-NZ"/>
        </w:rPr>
        <w:t xml:space="preserve"> and goal</w:t>
      </w:r>
      <w:r>
        <w:rPr>
          <w:lang w:eastAsia="en-NZ"/>
        </w:rPr>
        <w:t>s</w:t>
      </w:r>
    </w:p>
    <w:p w:rsidR="0030207B" w:rsidRDefault="0030207B" w:rsidP="003109B5">
      <w:pPr>
        <w:pStyle w:val="Bullet"/>
        <w:rPr>
          <w:lang w:eastAsia="en-NZ"/>
        </w:rPr>
      </w:pPr>
      <w:r w:rsidRPr="00440C29">
        <w:rPr>
          <w:lang w:eastAsia="en-NZ"/>
        </w:rPr>
        <w:t>collaborative problem solving</w:t>
      </w:r>
    </w:p>
    <w:p w:rsidR="0030207B" w:rsidRDefault="0030207B" w:rsidP="003109B5">
      <w:pPr>
        <w:pStyle w:val="Bullet"/>
        <w:rPr>
          <w:lang w:eastAsia="en-NZ"/>
        </w:rPr>
      </w:pPr>
      <w:r w:rsidRPr="00440C29">
        <w:rPr>
          <w:lang w:eastAsia="en-NZ"/>
        </w:rPr>
        <w:t>self-management support by diverse providers</w:t>
      </w:r>
    </w:p>
    <w:p w:rsidR="0030207B" w:rsidRDefault="0030207B" w:rsidP="003109B5">
      <w:pPr>
        <w:pStyle w:val="Bullet"/>
        <w:rPr>
          <w:lang w:eastAsia="en-NZ"/>
        </w:rPr>
      </w:pPr>
      <w:r w:rsidRPr="00440C29">
        <w:rPr>
          <w:lang w:eastAsia="en-NZ"/>
        </w:rPr>
        <w:lastRenderedPageBreak/>
        <w:t xml:space="preserve">self-management interventions </w:t>
      </w:r>
      <w:r>
        <w:rPr>
          <w:lang w:eastAsia="en-NZ"/>
        </w:rPr>
        <w:t>in</w:t>
      </w:r>
      <w:r w:rsidRPr="00440C29">
        <w:rPr>
          <w:lang w:eastAsia="en-NZ"/>
        </w:rPr>
        <w:t xml:space="preserve"> diverse formats</w:t>
      </w:r>
    </w:p>
    <w:p w:rsidR="0030207B" w:rsidRDefault="0030207B" w:rsidP="003109B5">
      <w:pPr>
        <w:pStyle w:val="Bullet"/>
        <w:rPr>
          <w:lang w:eastAsia="en-NZ"/>
        </w:rPr>
      </w:pPr>
      <w:r w:rsidRPr="00440C29">
        <w:rPr>
          <w:lang w:eastAsia="en-NZ"/>
        </w:rPr>
        <w:t>patient self-efficacy</w:t>
      </w:r>
    </w:p>
    <w:p w:rsidR="0030207B" w:rsidRDefault="0030207B" w:rsidP="003109B5">
      <w:pPr>
        <w:pStyle w:val="Bullet"/>
        <w:rPr>
          <w:lang w:eastAsia="en-NZ"/>
        </w:rPr>
      </w:pPr>
      <w:r w:rsidRPr="00440C29">
        <w:rPr>
          <w:lang w:eastAsia="en-NZ"/>
        </w:rPr>
        <w:t>active follow-up</w:t>
      </w:r>
    </w:p>
    <w:p w:rsidR="0030207B" w:rsidRDefault="0030207B" w:rsidP="003109B5">
      <w:pPr>
        <w:pStyle w:val="Bullet"/>
        <w:rPr>
          <w:lang w:eastAsia="en-NZ"/>
        </w:rPr>
      </w:pPr>
      <w:r w:rsidRPr="00440C29">
        <w:rPr>
          <w:lang w:eastAsia="en-NZ"/>
        </w:rPr>
        <w:t>guideline-based case management for selected patients</w:t>
      </w:r>
    </w:p>
    <w:p w:rsidR="0030207B" w:rsidRDefault="0030207B" w:rsidP="003109B5">
      <w:pPr>
        <w:pStyle w:val="Bullet"/>
        <w:rPr>
          <w:lang w:eastAsia="en-NZ"/>
        </w:rPr>
      </w:pPr>
      <w:r w:rsidRPr="00440C29">
        <w:rPr>
          <w:lang w:eastAsia="en-NZ"/>
        </w:rPr>
        <w:t>links to evidence-based community program</w:t>
      </w:r>
      <w:r>
        <w:rPr>
          <w:lang w:eastAsia="en-NZ"/>
        </w:rPr>
        <w:t>me</w:t>
      </w:r>
      <w:r w:rsidRPr="00440C29">
        <w:rPr>
          <w:lang w:eastAsia="en-NZ"/>
        </w:rPr>
        <w:t>s</w:t>
      </w:r>
    </w:p>
    <w:p w:rsidR="0030207B" w:rsidRPr="00162C21" w:rsidRDefault="0030207B" w:rsidP="003109B5">
      <w:pPr>
        <w:pStyle w:val="Bullet"/>
      </w:pPr>
      <w:proofErr w:type="gramStart"/>
      <w:r w:rsidRPr="00440C29">
        <w:rPr>
          <w:lang w:eastAsia="en-NZ"/>
        </w:rPr>
        <w:t>multifaceted</w:t>
      </w:r>
      <w:proofErr w:type="gramEnd"/>
      <w:r w:rsidRPr="00440C29">
        <w:rPr>
          <w:lang w:eastAsia="en-NZ"/>
        </w:rPr>
        <w:t xml:space="preserve"> interventions</w:t>
      </w:r>
      <w:r>
        <w:t xml:space="preserve"> (</w:t>
      </w:r>
      <w:r w:rsidRPr="00D12995">
        <w:t>Battersby</w:t>
      </w:r>
      <w:r>
        <w:t xml:space="preserve"> et al 2010)</w:t>
      </w:r>
      <w:r w:rsidRPr="00440C29">
        <w:rPr>
          <w:lang w:eastAsia="en-NZ"/>
        </w:rPr>
        <w:t>.</w:t>
      </w:r>
    </w:p>
    <w:p w:rsidR="0030207B" w:rsidRDefault="0030207B" w:rsidP="003109B5"/>
    <w:p w:rsidR="0030207B" w:rsidRPr="00051D99" w:rsidRDefault="0030207B" w:rsidP="003109B5">
      <w:pPr>
        <w:pStyle w:val="Heading2"/>
      </w:pPr>
      <w:bookmarkStart w:id="13" w:name="_Toc442253018"/>
      <w:r>
        <w:t>S</w:t>
      </w:r>
      <w:r w:rsidRPr="00051D99">
        <w:t>elf-management education</w:t>
      </w:r>
      <w:bookmarkEnd w:id="13"/>
    </w:p>
    <w:p w:rsidR="0030207B" w:rsidRPr="00215B5A" w:rsidRDefault="0030207B" w:rsidP="003109B5">
      <w:r>
        <w:t>‘</w:t>
      </w:r>
      <w:r w:rsidRPr="00215B5A">
        <w:t>Self-management education</w:t>
      </w:r>
      <w:r>
        <w:t>’</w:t>
      </w:r>
      <w:r w:rsidRPr="00215B5A">
        <w:t xml:space="preserve"> (SME) is a systematic intervention that </w:t>
      </w:r>
      <w:r>
        <w:t xml:space="preserve">teaches a person to </w:t>
      </w:r>
      <w:r w:rsidRPr="00215B5A">
        <w:t>active</w:t>
      </w:r>
      <w:r>
        <w:t>ly</w:t>
      </w:r>
      <w:r w:rsidRPr="00215B5A">
        <w:t xml:space="preserve"> participat</w:t>
      </w:r>
      <w:r>
        <w:t>e</w:t>
      </w:r>
      <w:r w:rsidRPr="00215B5A">
        <w:t xml:space="preserve"> in self-monitoring (</w:t>
      </w:r>
      <w:r>
        <w:t xml:space="preserve">of </w:t>
      </w:r>
      <w:r w:rsidRPr="00215B5A">
        <w:t>physiological processes) and/or decision-making (managing)</w:t>
      </w:r>
      <w:r>
        <w:t xml:space="preserve"> relating to their condition/s</w:t>
      </w:r>
      <w:r w:rsidRPr="00215B5A">
        <w:t>. It recognises that</w:t>
      </w:r>
      <w:r>
        <w:t>, if an individual is to continue to self-manage</w:t>
      </w:r>
      <w:r w:rsidRPr="00215B5A">
        <w:t xml:space="preserve"> </w:t>
      </w:r>
      <w:r>
        <w:t xml:space="preserve">their condition/s over the long term, they must be able to collaborate with their health care </w:t>
      </w:r>
      <w:r w:rsidRPr="00215B5A">
        <w:t>provider</w:t>
      </w:r>
      <w:r>
        <w:t>s</w:t>
      </w:r>
      <w:r w:rsidRPr="00215B5A">
        <w:t xml:space="preserve"> and </w:t>
      </w:r>
      <w:r>
        <w:t xml:space="preserve">use </w:t>
      </w:r>
      <w:r w:rsidRPr="00215B5A">
        <w:t>problem-solving skills.</w:t>
      </w:r>
    </w:p>
    <w:p w:rsidR="0030207B" w:rsidRPr="00215B5A" w:rsidRDefault="0030207B" w:rsidP="003109B5"/>
    <w:p w:rsidR="0030207B" w:rsidRPr="00215B5A" w:rsidRDefault="0030207B" w:rsidP="003109B5">
      <w:r>
        <w:t xml:space="preserve">SME </w:t>
      </w:r>
      <w:r w:rsidRPr="00215B5A">
        <w:t>provide</w:t>
      </w:r>
      <w:r>
        <w:t>s</w:t>
      </w:r>
      <w:r w:rsidRPr="00215B5A">
        <w:t xml:space="preserve"> </w:t>
      </w:r>
      <w:r>
        <w:t xml:space="preserve">people with LTCs </w:t>
      </w:r>
      <w:r w:rsidRPr="00215B5A">
        <w:t>with the knowledge, skills and motivation</w:t>
      </w:r>
      <w:r>
        <w:t xml:space="preserve"> they need</w:t>
      </w:r>
      <w:r w:rsidRPr="00215B5A">
        <w:t xml:space="preserve"> to </w:t>
      </w:r>
      <w:r>
        <w:t>make</w:t>
      </w:r>
      <w:r w:rsidRPr="00215B5A">
        <w:t xml:space="preserve"> decisions</w:t>
      </w:r>
      <w:r>
        <w:t xml:space="preserve">. It also </w:t>
      </w:r>
      <w:r w:rsidRPr="00215B5A">
        <w:t>increase</w:t>
      </w:r>
      <w:r>
        <w:t>s</w:t>
      </w:r>
      <w:r w:rsidRPr="00215B5A">
        <w:t xml:space="preserve"> </w:t>
      </w:r>
      <w:r>
        <w:t xml:space="preserve">their </w:t>
      </w:r>
      <w:r w:rsidRPr="00215B5A">
        <w:t>capacity and confidence to apply these skills in daily life.</w:t>
      </w:r>
    </w:p>
    <w:p w:rsidR="0030207B" w:rsidRPr="00215B5A" w:rsidRDefault="0030207B" w:rsidP="003109B5"/>
    <w:p w:rsidR="0030207B" w:rsidRDefault="0030207B" w:rsidP="003109B5">
      <w:r>
        <w:t>Providers of SME must tailor t</w:t>
      </w:r>
      <w:r w:rsidRPr="00215B5A">
        <w:t>he content and skill-training components of SME</w:t>
      </w:r>
      <w:r>
        <w:t xml:space="preserve"> to the individual patient.</w:t>
      </w:r>
      <w:r w:rsidRPr="00215B5A">
        <w:t xml:space="preserve"> </w:t>
      </w:r>
      <w:r>
        <w:t>Factors to consider are</w:t>
      </w:r>
      <w:r w:rsidRPr="00215B5A">
        <w:t xml:space="preserve"> the type</w:t>
      </w:r>
      <w:r>
        <w:t>s</w:t>
      </w:r>
      <w:r w:rsidRPr="00215B5A">
        <w:t xml:space="preserve"> of </w:t>
      </w:r>
      <w:r>
        <w:t>LTC</w:t>
      </w:r>
      <w:r w:rsidRPr="00215B5A">
        <w:t xml:space="preserve"> and recommended therapy, the patient</w:t>
      </w:r>
      <w:r>
        <w:t>’</w:t>
      </w:r>
      <w:r w:rsidRPr="00215B5A">
        <w:t xml:space="preserve">s ability, </w:t>
      </w:r>
      <w:r>
        <w:t xml:space="preserve">potential </w:t>
      </w:r>
      <w:r w:rsidRPr="00215B5A">
        <w:t>barriers</w:t>
      </w:r>
      <w:r>
        <w:t xml:space="preserve"> to self-management</w:t>
      </w:r>
      <w:r w:rsidRPr="00215B5A">
        <w:t>, the patient</w:t>
      </w:r>
      <w:r>
        <w:t>’</w:t>
      </w:r>
      <w:r w:rsidRPr="00215B5A">
        <w:t>s motivation for learning and change, the patient</w:t>
      </w:r>
      <w:r>
        <w:t>’</w:t>
      </w:r>
      <w:r w:rsidRPr="00215B5A">
        <w:t>s culture, the patient</w:t>
      </w:r>
      <w:r>
        <w:t>’</w:t>
      </w:r>
      <w:r w:rsidRPr="00215B5A">
        <w:t>s literacy level</w:t>
      </w:r>
      <w:r>
        <w:t>,</w:t>
      </w:r>
      <w:r w:rsidRPr="00215B5A">
        <w:t xml:space="preserve"> and available resources.</w:t>
      </w:r>
    </w:p>
    <w:p w:rsidR="0030207B" w:rsidRDefault="0030207B" w:rsidP="003109B5"/>
    <w:p w:rsidR="003109B5" w:rsidRDefault="003109B5" w:rsidP="003109B5">
      <w:r>
        <w:br w:type="page"/>
      </w:r>
    </w:p>
    <w:p w:rsidR="0030207B" w:rsidRPr="00440C29" w:rsidRDefault="0030207B" w:rsidP="003109B5">
      <w:pPr>
        <w:pStyle w:val="Heading1"/>
      </w:pPr>
      <w:bookmarkStart w:id="14" w:name="_Toc442253019"/>
      <w:r>
        <w:lastRenderedPageBreak/>
        <w:t>3</w:t>
      </w:r>
      <w:r w:rsidR="003109B5">
        <w:tab/>
      </w:r>
      <w:r w:rsidRPr="00440C29">
        <w:t>Self-management in practice</w:t>
      </w:r>
      <w:bookmarkEnd w:id="14"/>
    </w:p>
    <w:p w:rsidR="0030207B" w:rsidRDefault="0030207B" w:rsidP="003109B5">
      <w:r>
        <w:t>This section outlines the stages and</w:t>
      </w:r>
      <w:r w:rsidRPr="00AA6965">
        <w:t xml:space="preserve"> the principles of self-management support, expected outcomes of self-management programmes and the components of self-management support. </w:t>
      </w:r>
      <w:r>
        <w:t>For i</w:t>
      </w:r>
      <w:r w:rsidRPr="00051D99">
        <w:t xml:space="preserve">nformation requirements </w:t>
      </w:r>
      <w:r>
        <w:t>for people who are self-managing</w:t>
      </w:r>
      <w:r w:rsidRPr="00051D99">
        <w:t xml:space="preserve"> diabetes</w:t>
      </w:r>
      <w:r>
        <w:t xml:space="preserve"> in particular, see</w:t>
      </w:r>
      <w:r w:rsidRPr="00051D99">
        <w:t xml:space="preserve"> </w:t>
      </w:r>
      <w:r>
        <w:t>A</w:t>
      </w:r>
      <w:r w:rsidRPr="00051D99">
        <w:t>ppendix</w:t>
      </w:r>
      <w:r w:rsidR="003109B5">
        <w:t> </w:t>
      </w:r>
      <w:r>
        <w:t>3</w:t>
      </w:r>
      <w:r w:rsidRPr="00051D99">
        <w:t>.</w:t>
      </w:r>
    </w:p>
    <w:p w:rsidR="0030207B" w:rsidRDefault="0030207B" w:rsidP="003109B5"/>
    <w:p w:rsidR="0030207B" w:rsidRPr="00440C29" w:rsidRDefault="0030207B" w:rsidP="003109B5">
      <w:pPr>
        <w:pStyle w:val="Heading2"/>
      </w:pPr>
      <w:bookmarkStart w:id="15" w:name="_Toc442253020"/>
      <w:r w:rsidRPr="00440C29">
        <w:t>Stages</w:t>
      </w:r>
      <w:r>
        <w:t xml:space="preserve"> of self-management support and education</w:t>
      </w:r>
      <w:bookmarkEnd w:id="15"/>
    </w:p>
    <w:p w:rsidR="0030207B" w:rsidRDefault="0030207B" w:rsidP="003109B5">
      <w:r w:rsidRPr="00847A56">
        <w:t>Both self-management support and SME can be provided for individuals and their family</w:t>
      </w:r>
      <w:r>
        <w:t xml:space="preserve"> and </w:t>
      </w:r>
      <w:r w:rsidRPr="00847A56">
        <w:t>wh</w:t>
      </w:r>
      <w:r>
        <w:rPr>
          <w:rFonts w:cs="Arial"/>
        </w:rPr>
        <w:t>ā</w:t>
      </w:r>
      <w:r w:rsidRPr="00847A56">
        <w:t>nau or in a group setting.</w:t>
      </w:r>
    </w:p>
    <w:p w:rsidR="0030207B" w:rsidRPr="00847A56" w:rsidRDefault="0030207B" w:rsidP="003109B5"/>
    <w:p w:rsidR="0030207B" w:rsidRDefault="0030207B" w:rsidP="003109B5">
      <w:r>
        <w:t>The Long Term Conditions Alliance (now Health and Social Care Alliance Scotland) has identified several key stages where people need support (Long Term Conditions Alliance 2008). Table 1 summarises these stages, along with the issues for and impact of self-management.</w:t>
      </w:r>
    </w:p>
    <w:p w:rsidR="0030207B" w:rsidRDefault="0030207B" w:rsidP="003109B5"/>
    <w:p w:rsidR="0030207B" w:rsidRDefault="0030207B" w:rsidP="003109B5">
      <w:pPr>
        <w:pStyle w:val="Table"/>
      </w:pPr>
      <w:bookmarkStart w:id="16" w:name="_Toc441854828"/>
      <w:r>
        <w:t>Table 1: Key stages for support</w:t>
      </w:r>
      <w:bookmarkEnd w:id="16"/>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418"/>
        <w:gridCol w:w="4252"/>
        <w:gridCol w:w="3686"/>
      </w:tblGrid>
      <w:tr w:rsidR="003109B5" w:rsidRPr="003109B5" w:rsidTr="00BA3233">
        <w:trPr>
          <w:cantSplit/>
        </w:trPr>
        <w:tc>
          <w:tcPr>
            <w:tcW w:w="1418" w:type="dxa"/>
            <w:tcBorders>
              <w:top w:val="single" w:sz="4" w:space="0" w:color="auto"/>
              <w:bottom w:val="single" w:sz="4" w:space="0" w:color="auto"/>
            </w:tcBorders>
            <w:shd w:val="clear" w:color="auto" w:fill="auto"/>
          </w:tcPr>
          <w:p w:rsidR="0030207B" w:rsidRPr="003109B5" w:rsidRDefault="0030207B" w:rsidP="003109B5">
            <w:pPr>
              <w:pStyle w:val="TableText"/>
              <w:rPr>
                <w:b/>
              </w:rPr>
            </w:pPr>
            <w:r w:rsidRPr="003109B5">
              <w:rPr>
                <w:b/>
              </w:rPr>
              <w:t>Key stage</w:t>
            </w:r>
          </w:p>
        </w:tc>
        <w:tc>
          <w:tcPr>
            <w:tcW w:w="4252" w:type="dxa"/>
            <w:tcBorders>
              <w:top w:val="single" w:sz="4" w:space="0" w:color="auto"/>
              <w:bottom w:val="single" w:sz="4" w:space="0" w:color="auto"/>
            </w:tcBorders>
            <w:shd w:val="clear" w:color="auto" w:fill="auto"/>
          </w:tcPr>
          <w:p w:rsidR="0030207B" w:rsidRPr="003109B5" w:rsidRDefault="0030207B" w:rsidP="003109B5">
            <w:pPr>
              <w:pStyle w:val="TableText"/>
              <w:ind w:right="142"/>
              <w:rPr>
                <w:b/>
              </w:rPr>
            </w:pPr>
            <w:r w:rsidRPr="003109B5">
              <w:rPr>
                <w:b/>
              </w:rPr>
              <w:t>Issues for self-management</w:t>
            </w:r>
          </w:p>
        </w:tc>
        <w:tc>
          <w:tcPr>
            <w:tcW w:w="3686" w:type="dxa"/>
            <w:tcBorders>
              <w:top w:val="single" w:sz="4" w:space="0" w:color="auto"/>
              <w:bottom w:val="single" w:sz="4" w:space="0" w:color="auto"/>
            </w:tcBorders>
            <w:shd w:val="clear" w:color="auto" w:fill="auto"/>
          </w:tcPr>
          <w:p w:rsidR="0030207B" w:rsidRPr="003109B5" w:rsidRDefault="0030207B" w:rsidP="003109B5">
            <w:pPr>
              <w:pStyle w:val="TableText"/>
              <w:rPr>
                <w:b/>
              </w:rPr>
            </w:pPr>
            <w:r w:rsidRPr="003109B5">
              <w:rPr>
                <w:b/>
              </w:rPr>
              <w:t>Impact of self-management</w:t>
            </w:r>
          </w:p>
        </w:tc>
      </w:tr>
      <w:tr w:rsidR="003109B5" w:rsidTr="00BA3233">
        <w:trPr>
          <w:cantSplit/>
        </w:trPr>
        <w:tc>
          <w:tcPr>
            <w:tcW w:w="1418" w:type="dxa"/>
            <w:tcBorders>
              <w:top w:val="single" w:sz="4" w:space="0" w:color="auto"/>
              <w:bottom w:val="dotted" w:sz="4" w:space="0" w:color="auto"/>
            </w:tcBorders>
            <w:shd w:val="clear" w:color="auto" w:fill="auto"/>
          </w:tcPr>
          <w:p w:rsidR="0030207B" w:rsidRPr="00D41506" w:rsidRDefault="0030207B" w:rsidP="003109B5">
            <w:pPr>
              <w:pStyle w:val="TableText"/>
            </w:pPr>
            <w:r w:rsidRPr="00D41506">
              <w:t>Diagnosis</w:t>
            </w:r>
          </w:p>
        </w:tc>
        <w:tc>
          <w:tcPr>
            <w:tcW w:w="4252" w:type="dxa"/>
            <w:tcBorders>
              <w:top w:val="single" w:sz="4" w:space="0" w:color="auto"/>
              <w:bottom w:val="dotted" w:sz="4" w:space="0" w:color="auto"/>
            </w:tcBorders>
            <w:shd w:val="clear" w:color="auto" w:fill="auto"/>
          </w:tcPr>
          <w:p w:rsidR="0030207B" w:rsidRPr="00D41506" w:rsidRDefault="0030207B" w:rsidP="003109B5">
            <w:pPr>
              <w:pStyle w:val="TableText"/>
              <w:ind w:right="142"/>
            </w:pPr>
            <w:r w:rsidRPr="00D41506">
              <w:t>By this point</w:t>
            </w:r>
            <w:r>
              <w:t>,</w:t>
            </w:r>
            <w:r w:rsidRPr="00D41506">
              <w:t xml:space="preserve"> symptoms may already have seriously affected </w:t>
            </w:r>
            <w:r>
              <w:t>people’s</w:t>
            </w:r>
            <w:r w:rsidRPr="00D41506">
              <w:t xml:space="preserve"> life and ability to manage</w:t>
            </w:r>
            <w:r>
              <w:t>.</w:t>
            </w:r>
          </w:p>
          <w:p w:rsidR="0030207B" w:rsidRPr="00D41506" w:rsidRDefault="0030207B" w:rsidP="003109B5">
            <w:pPr>
              <w:pStyle w:val="TableText"/>
              <w:ind w:right="142"/>
            </w:pPr>
            <w:r w:rsidRPr="00D41506">
              <w:t>People feel challenged about their place in the world and the reality of their situation</w:t>
            </w:r>
            <w:r>
              <w:t>.</w:t>
            </w:r>
          </w:p>
        </w:tc>
        <w:tc>
          <w:tcPr>
            <w:tcW w:w="3686" w:type="dxa"/>
            <w:tcBorders>
              <w:top w:val="single" w:sz="4" w:space="0" w:color="auto"/>
              <w:bottom w:val="dotted" w:sz="4" w:space="0" w:color="auto"/>
            </w:tcBorders>
            <w:shd w:val="clear" w:color="auto" w:fill="auto"/>
          </w:tcPr>
          <w:p w:rsidR="0030207B" w:rsidRPr="00D41506" w:rsidRDefault="0030207B" w:rsidP="003109B5">
            <w:pPr>
              <w:pStyle w:val="TableText"/>
            </w:pPr>
            <w:r w:rsidRPr="00D41506">
              <w:t>Helps people come to terms with their diagnosis.</w:t>
            </w:r>
          </w:p>
          <w:p w:rsidR="0030207B" w:rsidRPr="00D41506" w:rsidRDefault="0030207B" w:rsidP="003109B5">
            <w:pPr>
              <w:pStyle w:val="TableText"/>
            </w:pPr>
            <w:r>
              <w:t>Is a key way of</w:t>
            </w:r>
            <w:r w:rsidRPr="00D41506">
              <w:t xml:space="preserve"> helping people </w:t>
            </w:r>
            <w:r>
              <w:t xml:space="preserve">to </w:t>
            </w:r>
            <w:r w:rsidRPr="00D41506">
              <w:t xml:space="preserve">reconnect with themselves and </w:t>
            </w:r>
            <w:proofErr w:type="gramStart"/>
            <w:r w:rsidRPr="00D41506">
              <w:t>others.</w:t>
            </w:r>
            <w:proofErr w:type="gramEnd"/>
          </w:p>
          <w:p w:rsidR="0030207B" w:rsidRPr="00D41506" w:rsidRDefault="0030207B" w:rsidP="003109B5">
            <w:pPr>
              <w:pStyle w:val="TableText"/>
            </w:pPr>
            <w:r w:rsidRPr="00D41506">
              <w:t>Helps people make better decisions about treatment options</w:t>
            </w:r>
            <w:r>
              <w:t>.</w:t>
            </w:r>
          </w:p>
        </w:tc>
      </w:tr>
      <w:tr w:rsidR="003109B5" w:rsidTr="00BA3233">
        <w:trPr>
          <w:cantSplit/>
        </w:trPr>
        <w:tc>
          <w:tcPr>
            <w:tcW w:w="1418" w:type="dxa"/>
            <w:tcBorders>
              <w:top w:val="dotted" w:sz="4" w:space="0" w:color="auto"/>
              <w:bottom w:val="dotted" w:sz="4" w:space="0" w:color="auto"/>
            </w:tcBorders>
            <w:shd w:val="clear" w:color="auto" w:fill="auto"/>
          </w:tcPr>
          <w:p w:rsidR="0030207B" w:rsidRPr="00D41506" w:rsidRDefault="0030207B" w:rsidP="003109B5">
            <w:pPr>
              <w:pStyle w:val="TableText"/>
            </w:pPr>
            <w:r w:rsidRPr="00D41506">
              <w:t xml:space="preserve">Living for </w:t>
            </w:r>
            <w:r>
              <w:t>t</w:t>
            </w:r>
            <w:r w:rsidRPr="00D41506">
              <w:t>oday</w:t>
            </w:r>
          </w:p>
        </w:tc>
        <w:tc>
          <w:tcPr>
            <w:tcW w:w="4252" w:type="dxa"/>
            <w:tcBorders>
              <w:top w:val="dotted" w:sz="4" w:space="0" w:color="auto"/>
              <w:bottom w:val="dotted" w:sz="4" w:space="0" w:color="auto"/>
            </w:tcBorders>
            <w:shd w:val="clear" w:color="auto" w:fill="auto"/>
          </w:tcPr>
          <w:p w:rsidR="0030207B" w:rsidRPr="00D41506" w:rsidRDefault="0030207B" w:rsidP="003109B5">
            <w:pPr>
              <w:pStyle w:val="TableText"/>
              <w:ind w:right="142"/>
            </w:pPr>
            <w:r w:rsidRPr="00D41506">
              <w:t>People need information and skills to maintain optimum wellbeing.</w:t>
            </w:r>
          </w:p>
          <w:p w:rsidR="0030207B" w:rsidRPr="00D41506" w:rsidRDefault="0030207B" w:rsidP="003109B5">
            <w:pPr>
              <w:pStyle w:val="TableText"/>
              <w:ind w:right="142"/>
            </w:pPr>
            <w:r>
              <w:t>People are at s</w:t>
            </w:r>
            <w:r w:rsidRPr="00D41506">
              <w:t>erious risk of social exclusion.</w:t>
            </w:r>
          </w:p>
        </w:tc>
        <w:tc>
          <w:tcPr>
            <w:tcW w:w="3686" w:type="dxa"/>
            <w:tcBorders>
              <w:top w:val="dotted" w:sz="4" w:space="0" w:color="auto"/>
              <w:bottom w:val="dotted" w:sz="4" w:space="0" w:color="auto"/>
            </w:tcBorders>
            <w:shd w:val="clear" w:color="auto" w:fill="auto"/>
          </w:tcPr>
          <w:p w:rsidR="0030207B" w:rsidRPr="00D41506" w:rsidRDefault="0030207B" w:rsidP="003109B5">
            <w:pPr>
              <w:pStyle w:val="TableText"/>
            </w:pPr>
            <w:r w:rsidRPr="00D41506">
              <w:t>Supports people to navigate an often difficult journey.</w:t>
            </w:r>
          </w:p>
          <w:p w:rsidR="0030207B" w:rsidRPr="00D41506" w:rsidRDefault="0030207B" w:rsidP="003109B5">
            <w:pPr>
              <w:pStyle w:val="TableText"/>
            </w:pPr>
            <w:r w:rsidRPr="00D41506">
              <w:t>Challenges social exclusion by helping build bridges back to society and social roles.</w:t>
            </w:r>
          </w:p>
        </w:tc>
      </w:tr>
      <w:tr w:rsidR="003109B5" w:rsidTr="00BA3233">
        <w:trPr>
          <w:cantSplit/>
        </w:trPr>
        <w:tc>
          <w:tcPr>
            <w:tcW w:w="1418" w:type="dxa"/>
            <w:tcBorders>
              <w:top w:val="dotted" w:sz="4" w:space="0" w:color="auto"/>
              <w:bottom w:val="dotted" w:sz="4" w:space="0" w:color="auto"/>
            </w:tcBorders>
            <w:shd w:val="clear" w:color="auto" w:fill="auto"/>
          </w:tcPr>
          <w:p w:rsidR="0030207B" w:rsidRPr="00D41506" w:rsidRDefault="0030207B" w:rsidP="003109B5">
            <w:pPr>
              <w:pStyle w:val="TableText"/>
            </w:pPr>
            <w:r w:rsidRPr="00D41506">
              <w:t>Progression</w:t>
            </w:r>
          </w:p>
        </w:tc>
        <w:tc>
          <w:tcPr>
            <w:tcW w:w="4252" w:type="dxa"/>
            <w:tcBorders>
              <w:top w:val="dotted" w:sz="4" w:space="0" w:color="auto"/>
              <w:bottom w:val="dotted" w:sz="4" w:space="0" w:color="auto"/>
            </w:tcBorders>
            <w:shd w:val="clear" w:color="auto" w:fill="auto"/>
          </w:tcPr>
          <w:p w:rsidR="0030207B" w:rsidRPr="00D41506" w:rsidRDefault="0030207B" w:rsidP="003109B5">
            <w:pPr>
              <w:pStyle w:val="TableText"/>
              <w:ind w:right="142"/>
            </w:pPr>
            <w:r>
              <w:t>People experience a c</w:t>
            </w:r>
            <w:r w:rsidRPr="00D41506">
              <w:t xml:space="preserve">ycle of illness and wellbeing </w:t>
            </w:r>
            <w:r>
              <w:t xml:space="preserve">as their </w:t>
            </w:r>
            <w:r w:rsidRPr="00D41506">
              <w:t>conditions</w:t>
            </w:r>
            <w:r>
              <w:t xml:space="preserve"> fluctuate</w:t>
            </w:r>
            <w:r w:rsidRPr="00D41506">
              <w:t>.</w:t>
            </w:r>
          </w:p>
          <w:p w:rsidR="0030207B" w:rsidRPr="00D41506" w:rsidRDefault="0030207B" w:rsidP="003109B5">
            <w:pPr>
              <w:pStyle w:val="TableText"/>
              <w:ind w:right="142"/>
            </w:pPr>
            <w:r>
              <w:t>Symptoms become i</w:t>
            </w:r>
            <w:r w:rsidRPr="00D41506">
              <w:t>ncreasing</w:t>
            </w:r>
            <w:r>
              <w:t>ly</w:t>
            </w:r>
            <w:r w:rsidRPr="00D41506">
              <w:t xml:space="preserve"> sever</w:t>
            </w:r>
            <w:r>
              <w:t>e</w:t>
            </w:r>
            <w:r w:rsidRPr="00D41506">
              <w:t>.</w:t>
            </w:r>
          </w:p>
          <w:p w:rsidR="0030207B" w:rsidRPr="00D41506" w:rsidRDefault="0030207B" w:rsidP="003109B5">
            <w:pPr>
              <w:pStyle w:val="TableText"/>
              <w:ind w:right="142"/>
            </w:pPr>
            <w:r>
              <w:t>People s</w:t>
            </w:r>
            <w:r w:rsidRPr="00D41506">
              <w:t>truggle to get additional support during flare-ups.</w:t>
            </w:r>
          </w:p>
          <w:p w:rsidR="0030207B" w:rsidRPr="00D41506" w:rsidRDefault="0030207B" w:rsidP="003109B5">
            <w:pPr>
              <w:pStyle w:val="TableText"/>
              <w:ind w:right="142"/>
            </w:pPr>
            <w:r>
              <w:t>They may lose some</w:t>
            </w:r>
            <w:r w:rsidRPr="00D41506">
              <w:t xml:space="preserve"> capacity.</w:t>
            </w:r>
          </w:p>
        </w:tc>
        <w:tc>
          <w:tcPr>
            <w:tcW w:w="3686" w:type="dxa"/>
            <w:tcBorders>
              <w:top w:val="dotted" w:sz="4" w:space="0" w:color="auto"/>
              <w:bottom w:val="dotted" w:sz="4" w:space="0" w:color="auto"/>
            </w:tcBorders>
            <w:shd w:val="clear" w:color="auto" w:fill="auto"/>
          </w:tcPr>
          <w:p w:rsidR="0030207B" w:rsidRPr="00D41506" w:rsidRDefault="0030207B" w:rsidP="003109B5">
            <w:pPr>
              <w:pStyle w:val="TableText"/>
            </w:pPr>
            <w:r w:rsidRPr="00D41506">
              <w:t>Helps to avoid</w:t>
            </w:r>
            <w:r>
              <w:t xml:space="preserve"> f</w:t>
            </w:r>
            <w:r w:rsidRPr="00D41506">
              <w:t>lare-ups or minimise the</w:t>
            </w:r>
            <w:r>
              <w:t>ir</w:t>
            </w:r>
            <w:r w:rsidRPr="00D41506">
              <w:t xml:space="preserve"> extent.</w:t>
            </w:r>
          </w:p>
          <w:p w:rsidR="0030207B" w:rsidRPr="00D41506" w:rsidRDefault="0030207B" w:rsidP="003109B5">
            <w:pPr>
              <w:pStyle w:val="TableText"/>
            </w:pPr>
            <w:r w:rsidRPr="00D41506">
              <w:t>Enables people to recognise early warning signs and react effectively.</w:t>
            </w:r>
          </w:p>
          <w:p w:rsidR="0030207B" w:rsidRPr="00D41506" w:rsidRDefault="0030207B" w:rsidP="003109B5">
            <w:pPr>
              <w:pStyle w:val="TableText"/>
            </w:pPr>
            <w:r w:rsidRPr="00D41506">
              <w:t>Tackles psychological impact of flare-ups or progression.</w:t>
            </w:r>
          </w:p>
          <w:p w:rsidR="0030207B" w:rsidRPr="00D41506" w:rsidRDefault="0030207B" w:rsidP="003109B5">
            <w:pPr>
              <w:pStyle w:val="TableText"/>
            </w:pPr>
            <w:r w:rsidRPr="00D41506">
              <w:t>Supports changing needs.</w:t>
            </w:r>
          </w:p>
        </w:tc>
      </w:tr>
      <w:tr w:rsidR="003109B5" w:rsidTr="00BA3233">
        <w:trPr>
          <w:cantSplit/>
        </w:trPr>
        <w:tc>
          <w:tcPr>
            <w:tcW w:w="1418" w:type="dxa"/>
            <w:tcBorders>
              <w:top w:val="dotted" w:sz="4" w:space="0" w:color="auto"/>
              <w:bottom w:val="dotted" w:sz="4" w:space="0" w:color="auto"/>
            </w:tcBorders>
            <w:shd w:val="clear" w:color="auto" w:fill="auto"/>
          </w:tcPr>
          <w:p w:rsidR="0030207B" w:rsidRPr="00D41506" w:rsidRDefault="0030207B" w:rsidP="003109B5">
            <w:pPr>
              <w:pStyle w:val="TableText"/>
            </w:pPr>
            <w:r w:rsidRPr="00D41506">
              <w:t>Transitions</w:t>
            </w:r>
          </w:p>
        </w:tc>
        <w:tc>
          <w:tcPr>
            <w:tcW w:w="4252" w:type="dxa"/>
            <w:tcBorders>
              <w:top w:val="dotted" w:sz="4" w:space="0" w:color="auto"/>
              <w:bottom w:val="dotted" w:sz="4" w:space="0" w:color="auto"/>
            </w:tcBorders>
            <w:shd w:val="clear" w:color="auto" w:fill="auto"/>
          </w:tcPr>
          <w:p w:rsidR="0030207B" w:rsidRPr="00D41506" w:rsidRDefault="0030207B" w:rsidP="003109B5">
            <w:pPr>
              <w:pStyle w:val="TableText"/>
              <w:ind w:right="142"/>
            </w:pPr>
            <w:r>
              <w:t>People move</w:t>
            </w:r>
            <w:r w:rsidRPr="00D41506">
              <w:t xml:space="preserve"> between services, sometimes to different levels/types of support.</w:t>
            </w:r>
          </w:p>
          <w:p w:rsidR="0030207B" w:rsidRPr="00D41506" w:rsidRDefault="0030207B" w:rsidP="003109B5">
            <w:pPr>
              <w:pStyle w:val="TableText"/>
              <w:ind w:right="142"/>
            </w:pPr>
            <w:r>
              <w:t>They are d</w:t>
            </w:r>
            <w:r w:rsidRPr="00D41506">
              <w:t>ealing with multiple needs/</w:t>
            </w:r>
            <w:r w:rsidR="003109B5">
              <w:t xml:space="preserve"> </w:t>
            </w:r>
            <w:r w:rsidRPr="00D41506">
              <w:t>conditions and therefore a range of services.</w:t>
            </w:r>
          </w:p>
          <w:p w:rsidR="0030207B" w:rsidRPr="00D41506" w:rsidRDefault="0030207B" w:rsidP="003109B5">
            <w:pPr>
              <w:pStyle w:val="TableText"/>
              <w:ind w:right="142"/>
            </w:pPr>
            <w:r>
              <w:t>It is o</w:t>
            </w:r>
            <w:r w:rsidRPr="00D41506">
              <w:t>ften a stressful time</w:t>
            </w:r>
            <w:r>
              <w:t>, which</w:t>
            </w:r>
            <w:r w:rsidRPr="00D41506">
              <w:t xml:space="preserve"> can have serious impact, including on person</w:t>
            </w:r>
            <w:r>
              <w:t>’</w:t>
            </w:r>
            <w:r w:rsidRPr="00D41506">
              <w:t>s conditions.</w:t>
            </w:r>
          </w:p>
        </w:tc>
        <w:tc>
          <w:tcPr>
            <w:tcW w:w="3686" w:type="dxa"/>
            <w:tcBorders>
              <w:top w:val="dotted" w:sz="4" w:space="0" w:color="auto"/>
              <w:bottom w:val="dotted" w:sz="4" w:space="0" w:color="auto"/>
            </w:tcBorders>
            <w:shd w:val="clear" w:color="auto" w:fill="auto"/>
          </w:tcPr>
          <w:p w:rsidR="0030207B" w:rsidRPr="00D41506" w:rsidRDefault="0030207B" w:rsidP="003109B5">
            <w:pPr>
              <w:pStyle w:val="TableText"/>
            </w:pPr>
            <w:r w:rsidRPr="00D41506">
              <w:t xml:space="preserve">Supports </w:t>
            </w:r>
            <w:r>
              <w:t>people</w:t>
            </w:r>
            <w:r w:rsidRPr="00D41506">
              <w:t xml:space="preserve"> to manage transition processes</w:t>
            </w:r>
            <w:r>
              <w:t>.</w:t>
            </w:r>
          </w:p>
          <w:p w:rsidR="0030207B" w:rsidRPr="00D41506" w:rsidRDefault="0030207B" w:rsidP="003109B5">
            <w:pPr>
              <w:pStyle w:val="TableText"/>
            </w:pPr>
            <w:r w:rsidRPr="00D41506">
              <w:t xml:space="preserve">Maintains focus on </w:t>
            </w:r>
            <w:r>
              <w:t>people’s</w:t>
            </w:r>
            <w:r w:rsidRPr="00D41506">
              <w:t xml:space="preserve"> needs</w:t>
            </w:r>
            <w:r>
              <w:t xml:space="preserve"> so that</w:t>
            </w:r>
            <w:r w:rsidRPr="00D41506">
              <w:t xml:space="preserve"> services are organised around these.</w:t>
            </w:r>
          </w:p>
          <w:p w:rsidR="0030207B" w:rsidRPr="00D41506" w:rsidRDefault="0030207B" w:rsidP="003109B5">
            <w:pPr>
              <w:pStyle w:val="TableText"/>
            </w:pPr>
            <w:r w:rsidRPr="00D41506">
              <w:t xml:space="preserve">Provides </w:t>
            </w:r>
            <w:r>
              <w:t>people</w:t>
            </w:r>
            <w:r w:rsidRPr="00D41506">
              <w:t xml:space="preserve"> with control at a time when this can be undermined.</w:t>
            </w:r>
          </w:p>
        </w:tc>
      </w:tr>
      <w:tr w:rsidR="003109B5" w:rsidTr="00BA3233">
        <w:trPr>
          <w:cantSplit/>
        </w:trPr>
        <w:tc>
          <w:tcPr>
            <w:tcW w:w="1418" w:type="dxa"/>
            <w:tcBorders>
              <w:top w:val="dotted" w:sz="4" w:space="0" w:color="auto"/>
            </w:tcBorders>
            <w:shd w:val="clear" w:color="auto" w:fill="auto"/>
          </w:tcPr>
          <w:p w:rsidR="0030207B" w:rsidRPr="00D41506" w:rsidRDefault="0030207B" w:rsidP="003109B5">
            <w:pPr>
              <w:pStyle w:val="TableText"/>
            </w:pPr>
            <w:r w:rsidRPr="00D41506">
              <w:t xml:space="preserve">End of </w:t>
            </w:r>
            <w:r>
              <w:t>l</w:t>
            </w:r>
            <w:r w:rsidRPr="00D41506">
              <w:t>ife</w:t>
            </w:r>
          </w:p>
        </w:tc>
        <w:tc>
          <w:tcPr>
            <w:tcW w:w="4252" w:type="dxa"/>
            <w:tcBorders>
              <w:top w:val="dotted" w:sz="4" w:space="0" w:color="auto"/>
            </w:tcBorders>
            <w:shd w:val="clear" w:color="auto" w:fill="auto"/>
          </w:tcPr>
          <w:p w:rsidR="0030207B" w:rsidRPr="00D41506" w:rsidRDefault="0030207B" w:rsidP="003109B5">
            <w:pPr>
              <w:pStyle w:val="TableText"/>
              <w:ind w:right="142"/>
            </w:pPr>
            <w:r>
              <w:t>This d</w:t>
            </w:r>
            <w:r w:rsidRPr="00D41506">
              <w:t>ifficult time involv</w:t>
            </w:r>
            <w:r>
              <w:t>es</w:t>
            </w:r>
            <w:r w:rsidRPr="00D41506">
              <w:t xml:space="preserve"> complex challenges.</w:t>
            </w:r>
          </w:p>
          <w:p w:rsidR="0030207B" w:rsidRPr="00D41506" w:rsidRDefault="0030207B" w:rsidP="003109B5">
            <w:pPr>
              <w:pStyle w:val="TableText"/>
              <w:ind w:right="142"/>
            </w:pPr>
            <w:r w:rsidRPr="00D41506">
              <w:t>Death may be premature.</w:t>
            </w:r>
          </w:p>
          <w:p w:rsidR="0030207B" w:rsidRPr="00D41506" w:rsidRDefault="0030207B" w:rsidP="003109B5">
            <w:pPr>
              <w:pStyle w:val="TableText"/>
              <w:ind w:right="142"/>
            </w:pPr>
            <w:r>
              <w:t>People</w:t>
            </w:r>
            <w:r w:rsidRPr="00D41506">
              <w:t xml:space="preserve"> may have to cope with symptoms of </w:t>
            </w:r>
            <w:r>
              <w:t xml:space="preserve">the </w:t>
            </w:r>
            <w:r w:rsidRPr="00D41506">
              <w:t>condition along</w:t>
            </w:r>
            <w:r>
              <w:t xml:space="preserve"> with the</w:t>
            </w:r>
            <w:r w:rsidRPr="00D41506">
              <w:t xml:space="preserve"> challenges of end of life.</w:t>
            </w:r>
          </w:p>
        </w:tc>
        <w:tc>
          <w:tcPr>
            <w:tcW w:w="3686" w:type="dxa"/>
            <w:tcBorders>
              <w:top w:val="dotted" w:sz="4" w:space="0" w:color="auto"/>
            </w:tcBorders>
            <w:shd w:val="clear" w:color="auto" w:fill="auto"/>
          </w:tcPr>
          <w:p w:rsidR="0030207B" w:rsidRPr="00D41506" w:rsidRDefault="0030207B" w:rsidP="003109B5">
            <w:pPr>
              <w:pStyle w:val="TableText"/>
            </w:pPr>
            <w:r w:rsidRPr="00D41506">
              <w:t xml:space="preserve">Supports </w:t>
            </w:r>
            <w:r>
              <w:t>people</w:t>
            </w:r>
            <w:r w:rsidRPr="00D41506">
              <w:t xml:space="preserve"> to meet </w:t>
            </w:r>
            <w:r>
              <w:t xml:space="preserve">a </w:t>
            </w:r>
            <w:r w:rsidRPr="00D41506">
              <w:t>range of challenges and maintain control</w:t>
            </w:r>
            <w:r>
              <w:t>.</w:t>
            </w:r>
          </w:p>
          <w:p w:rsidR="0030207B" w:rsidRPr="00D41506" w:rsidRDefault="0030207B" w:rsidP="003109B5">
            <w:pPr>
              <w:pStyle w:val="TableText"/>
            </w:pPr>
            <w:proofErr w:type="gramStart"/>
            <w:r w:rsidRPr="00D41506">
              <w:t>Addresses broader needs</w:t>
            </w:r>
            <w:proofErr w:type="gramEnd"/>
            <w:r w:rsidRPr="00D41506">
              <w:t xml:space="preserve"> eg</w:t>
            </w:r>
            <w:r>
              <w:t>,</w:t>
            </w:r>
            <w:r w:rsidRPr="00D41506">
              <w:t xml:space="preserve"> emotional, family and lifestyle.</w:t>
            </w:r>
          </w:p>
        </w:tc>
      </w:tr>
    </w:tbl>
    <w:p w:rsidR="0030207B" w:rsidRDefault="0030207B" w:rsidP="00BA3233"/>
    <w:p w:rsidR="0030207B" w:rsidRPr="00847A56" w:rsidRDefault="0030207B" w:rsidP="00BA3233">
      <w:pPr>
        <w:pStyle w:val="Heading2"/>
      </w:pPr>
      <w:bookmarkStart w:id="17" w:name="_Toc442253021"/>
      <w:r w:rsidRPr="00847A56">
        <w:lastRenderedPageBreak/>
        <w:t xml:space="preserve">Use of </w:t>
      </w:r>
      <w:r>
        <w:t>t</w:t>
      </w:r>
      <w:r w:rsidRPr="00847A56">
        <w:t>echnology solutions</w:t>
      </w:r>
      <w:bookmarkEnd w:id="17"/>
    </w:p>
    <w:p w:rsidR="0030207B" w:rsidRPr="00381D3D" w:rsidRDefault="0030207B" w:rsidP="00BA3233">
      <w:r>
        <w:t>Web-based and mhealth solutions are available to provide self- management education and self-management support. For example, mobile technology can be used to provide information and motivation for self-management (Whittaker et al 2013). Patients may also see patient portals as a tool to support self-management (Letford et al 2014).</w:t>
      </w:r>
    </w:p>
    <w:p w:rsidR="0030207B" w:rsidRDefault="0030207B" w:rsidP="00BA3233"/>
    <w:p w:rsidR="0030207B" w:rsidRPr="00051D99" w:rsidRDefault="0030207B" w:rsidP="00BA3233">
      <w:pPr>
        <w:pStyle w:val="Heading2"/>
      </w:pPr>
      <w:bookmarkStart w:id="18" w:name="_Toc442253022"/>
      <w:r w:rsidRPr="00051D99">
        <w:t>Expected outcomes of self-management programmes</w:t>
      </w:r>
      <w:bookmarkEnd w:id="18"/>
    </w:p>
    <w:p w:rsidR="0030207B" w:rsidRDefault="0030207B" w:rsidP="00BA3233">
      <w:r>
        <w:t>Self-management programmes should help people with LTCs to live longer, healthier, more independent lives. Other expected outcomes are that:</w:t>
      </w:r>
    </w:p>
    <w:p w:rsidR="0030207B" w:rsidRPr="00F866DC" w:rsidRDefault="0030207B" w:rsidP="00BA3233">
      <w:pPr>
        <w:pStyle w:val="Bullet"/>
      </w:pPr>
      <w:r>
        <w:t>p</w:t>
      </w:r>
      <w:r w:rsidRPr="00F866DC">
        <w:t>eople with LTC</w:t>
      </w:r>
      <w:r>
        <w:t>s</w:t>
      </w:r>
      <w:r w:rsidRPr="00F866DC">
        <w:t xml:space="preserve"> work in partnership with their health care providers</w:t>
      </w:r>
    </w:p>
    <w:p w:rsidR="0030207B" w:rsidRPr="00F866DC" w:rsidRDefault="0030207B" w:rsidP="00BA3233">
      <w:pPr>
        <w:pStyle w:val="Bullet"/>
      </w:pPr>
      <w:r w:rsidRPr="00F866DC">
        <w:t xml:space="preserve">people </w:t>
      </w:r>
      <w:r>
        <w:t xml:space="preserve">with LTCs share </w:t>
      </w:r>
      <w:r w:rsidRPr="00F866DC">
        <w:t xml:space="preserve">information </w:t>
      </w:r>
      <w:r>
        <w:t xml:space="preserve">with their health care providers </w:t>
      </w:r>
      <w:r w:rsidRPr="00F866DC">
        <w:t>and mak</w:t>
      </w:r>
      <w:r>
        <w:t>e</w:t>
      </w:r>
      <w:r w:rsidRPr="00F866DC">
        <w:t xml:space="preserve"> informed decisions about their care</w:t>
      </w:r>
    </w:p>
    <w:p w:rsidR="0030207B" w:rsidRDefault="0030207B" w:rsidP="00BA3233">
      <w:pPr>
        <w:pStyle w:val="Bullet"/>
      </w:pPr>
      <w:proofErr w:type="gramStart"/>
      <w:r>
        <w:t>health</w:t>
      </w:r>
      <w:proofErr w:type="gramEnd"/>
      <w:r>
        <w:t xml:space="preserve"> care providers support people with LTCs to navigate information, services and resources.</w:t>
      </w:r>
    </w:p>
    <w:p w:rsidR="0030207B" w:rsidRPr="00323756" w:rsidRDefault="0030207B" w:rsidP="00BA3233"/>
    <w:p w:rsidR="0030207B" w:rsidRPr="00051D99" w:rsidRDefault="0030207B" w:rsidP="00BA3233">
      <w:pPr>
        <w:pStyle w:val="Heading2"/>
      </w:pPr>
      <w:bookmarkStart w:id="19" w:name="_Toc442253023"/>
      <w:r w:rsidRPr="00051D99">
        <w:t>Components of self-management support</w:t>
      </w:r>
      <w:bookmarkEnd w:id="19"/>
    </w:p>
    <w:p w:rsidR="0030207B" w:rsidRDefault="0030207B" w:rsidP="00BA3233">
      <w:r>
        <w:t>A</w:t>
      </w:r>
      <w:r w:rsidRPr="002439DF">
        <w:t xml:space="preserve">s well as providing advice </w:t>
      </w:r>
      <w:r>
        <w:t xml:space="preserve">to individuals </w:t>
      </w:r>
      <w:r w:rsidRPr="002439DF">
        <w:t>about managing their</w:t>
      </w:r>
      <w:r>
        <w:t xml:space="preserve"> LTCs, programmes supporting p</w:t>
      </w:r>
      <w:r w:rsidRPr="002439DF">
        <w:t>atient self-management emphasis</w:t>
      </w:r>
      <w:r>
        <w:t>e</w:t>
      </w:r>
      <w:r w:rsidRPr="002439DF">
        <w:t xml:space="preserve"> goal setting and problem solving skills. </w:t>
      </w:r>
      <w:r>
        <w:t xml:space="preserve">Such programmes </w:t>
      </w:r>
      <w:r w:rsidRPr="002439DF">
        <w:t xml:space="preserve">reinforce the </w:t>
      </w:r>
      <w:r>
        <w:t xml:space="preserve">individual’s </w:t>
      </w:r>
      <w:r w:rsidRPr="002439DF">
        <w:t>central ro</w:t>
      </w:r>
      <w:r>
        <w:t>le in managing their condition, with a key focus on health care providers responding to people’s questions and needs.</w:t>
      </w:r>
    </w:p>
    <w:p w:rsidR="0030207B" w:rsidRDefault="0030207B" w:rsidP="00BA3233"/>
    <w:p w:rsidR="0030207B" w:rsidRPr="002439DF" w:rsidRDefault="0030207B" w:rsidP="00BA3233">
      <w:r w:rsidRPr="002439DF">
        <w:t xml:space="preserve">The </w:t>
      </w:r>
      <w:r>
        <w:t xml:space="preserve">four </w:t>
      </w:r>
      <w:r w:rsidRPr="002439DF">
        <w:t xml:space="preserve">essential components </w:t>
      </w:r>
      <w:r>
        <w:t xml:space="preserve">in self-management support </w:t>
      </w:r>
      <w:r w:rsidRPr="002439DF">
        <w:t>programmes</w:t>
      </w:r>
      <w:r>
        <w:t xml:space="preserve"> are</w:t>
      </w:r>
      <w:r w:rsidRPr="002439DF">
        <w:t>:</w:t>
      </w:r>
    </w:p>
    <w:p w:rsidR="0030207B" w:rsidRDefault="0030207B" w:rsidP="00BA3233">
      <w:pPr>
        <w:pStyle w:val="Bullet"/>
      </w:pPr>
      <w:r w:rsidRPr="00F866DC">
        <w:t>health literacy</w:t>
      </w:r>
    </w:p>
    <w:p w:rsidR="0030207B" w:rsidRPr="00F866DC" w:rsidRDefault="0030207B" w:rsidP="00BA3233">
      <w:pPr>
        <w:pStyle w:val="Bullet"/>
      </w:pPr>
      <w:r>
        <w:t>cultural relevance</w:t>
      </w:r>
    </w:p>
    <w:p w:rsidR="0030207B" w:rsidRPr="00F866DC" w:rsidRDefault="0030207B" w:rsidP="00BA3233">
      <w:pPr>
        <w:pStyle w:val="Bullet"/>
      </w:pPr>
      <w:r w:rsidRPr="00F866DC">
        <w:t>behaviour change</w:t>
      </w:r>
    </w:p>
    <w:p w:rsidR="0030207B" w:rsidRDefault="0030207B" w:rsidP="00BA3233">
      <w:pPr>
        <w:pStyle w:val="Bullet"/>
      </w:pPr>
      <w:proofErr w:type="gramStart"/>
      <w:r>
        <w:t>t</w:t>
      </w:r>
      <w:r w:rsidRPr="002439DF">
        <w:t>he</w:t>
      </w:r>
      <w:proofErr w:type="gramEnd"/>
      <w:r w:rsidRPr="002439DF">
        <w:t xml:space="preserve"> role of the health professional in supporting self-management</w:t>
      </w:r>
      <w:r>
        <w:t>.</w:t>
      </w:r>
    </w:p>
    <w:p w:rsidR="0030207B" w:rsidRPr="00087E33" w:rsidRDefault="0030207B" w:rsidP="00BA3233"/>
    <w:p w:rsidR="0030207B" w:rsidRDefault="0030207B" w:rsidP="00BA3233">
      <w:r>
        <w:t>Each of these components is discussed below.</w:t>
      </w:r>
    </w:p>
    <w:p w:rsidR="0030207B" w:rsidRDefault="0030207B" w:rsidP="00BA3233"/>
    <w:p w:rsidR="0030207B" w:rsidRDefault="0030207B" w:rsidP="00BA3233">
      <w:pPr>
        <w:pStyle w:val="Heading3"/>
      </w:pPr>
      <w:r w:rsidRPr="002439DF">
        <w:t xml:space="preserve">Health </w:t>
      </w:r>
      <w:r>
        <w:t>l</w:t>
      </w:r>
      <w:r w:rsidRPr="002439DF">
        <w:t>iteracy</w:t>
      </w:r>
    </w:p>
    <w:p w:rsidR="0030207B" w:rsidRDefault="0030207B" w:rsidP="00BA3233">
      <w:r w:rsidRPr="002439DF">
        <w:t>Health literacy</w:t>
      </w:r>
      <w:r>
        <w:t>, from the patient’s perspective,</w:t>
      </w:r>
      <w:r w:rsidRPr="002439DF">
        <w:t xml:space="preserve"> is the cornerstone in enabling people to make informed choices and take care of their own health. </w:t>
      </w:r>
      <w:r>
        <w:t xml:space="preserve">A person with good health literacy can </w:t>
      </w:r>
      <w:proofErr w:type="gramStart"/>
      <w:r>
        <w:t>get,</w:t>
      </w:r>
      <w:proofErr w:type="gramEnd"/>
      <w:r w:rsidRPr="002439DF">
        <w:t xml:space="preserve"> process and understand basic health information and services</w:t>
      </w:r>
      <w:r>
        <w:t>,</w:t>
      </w:r>
      <w:r w:rsidRPr="002439DF">
        <w:t xml:space="preserve"> </w:t>
      </w:r>
      <w:r>
        <w:t xml:space="preserve">and can therefore </w:t>
      </w:r>
      <w:r w:rsidRPr="002439DF">
        <w:t>make</w:t>
      </w:r>
      <w:r>
        <w:t xml:space="preserve"> appropriate health decisions (Ministry of Health</w:t>
      </w:r>
      <w:r w:rsidRPr="002439DF">
        <w:t xml:space="preserve"> 2010).</w:t>
      </w:r>
      <w:r>
        <w:t xml:space="preserve"> More specifically, with good health literacy, they can:</w:t>
      </w:r>
    </w:p>
    <w:p w:rsidR="0030207B" w:rsidRPr="00F866DC" w:rsidRDefault="0030207B" w:rsidP="00BA3233">
      <w:pPr>
        <w:pStyle w:val="Bullet"/>
      </w:pPr>
      <w:r w:rsidRPr="00F866DC">
        <w:t>understand and interpret health information provided in written, spoken and digital form</w:t>
      </w:r>
    </w:p>
    <w:p w:rsidR="0030207B" w:rsidRDefault="0030207B" w:rsidP="00BA3233">
      <w:pPr>
        <w:pStyle w:val="Bullet"/>
      </w:pPr>
      <w:r w:rsidRPr="00F866DC">
        <w:t>understand instructions written on prescribed medicine containers and consent forms</w:t>
      </w:r>
    </w:p>
    <w:p w:rsidR="0030207B" w:rsidRDefault="0030207B" w:rsidP="00BA3233">
      <w:pPr>
        <w:pStyle w:val="Bullet"/>
      </w:pPr>
      <w:r>
        <w:t>understand a health professional’s verbal advice and explanations</w:t>
      </w:r>
    </w:p>
    <w:p w:rsidR="0030207B" w:rsidRPr="00F866DC" w:rsidRDefault="0030207B" w:rsidP="00BA3233">
      <w:pPr>
        <w:pStyle w:val="Bullet"/>
      </w:pPr>
      <w:r w:rsidRPr="00F866DC">
        <w:t>navigate complex health systems</w:t>
      </w:r>
    </w:p>
    <w:p w:rsidR="0030207B" w:rsidRPr="00E86872" w:rsidRDefault="0030207B" w:rsidP="00BA3233">
      <w:pPr>
        <w:pStyle w:val="Bullet"/>
      </w:pPr>
      <w:r w:rsidRPr="00E86872">
        <w:t>communicate with health professionals, including by describing symptoms accurately and asking relevant questions</w:t>
      </w:r>
    </w:p>
    <w:p w:rsidR="0030207B" w:rsidRDefault="0030207B" w:rsidP="00BA3233">
      <w:pPr>
        <w:pStyle w:val="Bullet"/>
      </w:pPr>
      <w:proofErr w:type="gramStart"/>
      <w:r>
        <w:t>f</w:t>
      </w:r>
      <w:r w:rsidRPr="002439DF">
        <w:t>ind</w:t>
      </w:r>
      <w:proofErr w:type="gramEnd"/>
      <w:r w:rsidRPr="002439DF">
        <w:t xml:space="preserve"> </w:t>
      </w:r>
      <w:r>
        <w:t xml:space="preserve">relevant </w:t>
      </w:r>
      <w:r w:rsidRPr="002439DF">
        <w:t>information needed to make choices and decisions</w:t>
      </w:r>
      <w:r>
        <w:t>.</w:t>
      </w:r>
    </w:p>
    <w:p w:rsidR="0030207B" w:rsidRDefault="0030207B" w:rsidP="00BA3233">
      <w:pPr>
        <w:spacing w:before="240"/>
      </w:pPr>
      <w:r>
        <w:lastRenderedPageBreak/>
        <w:t>Health professionals have a pivotal role in improving health literacy. They must tailor their style of communication to individuals with LTCs (and their family and wh</w:t>
      </w:r>
      <w:r w:rsidRPr="002439DF">
        <w:t>ā</w:t>
      </w:r>
      <w:r>
        <w:t>nau). If they are culturally competent and strive to understand people’s health beliefs and preferences, health professionals will improve the quality of their health interactions and consequently the health literacy of their patients.</w:t>
      </w:r>
    </w:p>
    <w:p w:rsidR="0030207B" w:rsidRDefault="0030207B" w:rsidP="00BA3233"/>
    <w:p w:rsidR="0030207B" w:rsidRDefault="0030207B" w:rsidP="00BA3233">
      <w:r>
        <w:t>However, people with LTCs and individual health professionals cannot address health literacy</w:t>
      </w:r>
      <w:r w:rsidRPr="001F3D3F">
        <w:t xml:space="preserve"> </w:t>
      </w:r>
      <w:r>
        <w:t>on their own. Health care providers such as district health boards and primary health organisations play a critical role in supporting health professionals and people with LTCs and their families and wh</w:t>
      </w:r>
      <w:r w:rsidRPr="002439DF">
        <w:t>ā</w:t>
      </w:r>
      <w:r>
        <w:t>nau to develop health literacy.</w:t>
      </w:r>
    </w:p>
    <w:p w:rsidR="0030207B" w:rsidRDefault="0030207B" w:rsidP="00BA3233"/>
    <w:p w:rsidR="0030207B" w:rsidRPr="002439DF" w:rsidRDefault="0030207B" w:rsidP="00BA3233">
      <w:r>
        <w:t>For more information on health literacy, see the following Ministry of Health publications:</w:t>
      </w:r>
    </w:p>
    <w:p w:rsidR="0030207B" w:rsidRDefault="0030207B" w:rsidP="00BA3233">
      <w:pPr>
        <w:pStyle w:val="Bullet"/>
      </w:pPr>
      <w:r>
        <w:t>Health Literacy Review: A guide (</w:t>
      </w:r>
      <w:hyperlink r:id="rId23" w:history="1">
        <w:r w:rsidRPr="001F3D3F">
          <w:rPr>
            <w:rStyle w:val="Hyperlink"/>
            <w:rFonts w:cs="Arial"/>
          </w:rPr>
          <w:t>www.health.govt.nz/publication/health-literacy-review-guide</w:t>
        </w:r>
      </w:hyperlink>
      <w:r>
        <w:rPr>
          <w:rFonts w:cs="Arial"/>
        </w:rPr>
        <w:t>)</w:t>
      </w:r>
    </w:p>
    <w:p w:rsidR="0030207B" w:rsidRDefault="0030207B" w:rsidP="00BA3233">
      <w:pPr>
        <w:pStyle w:val="Bullet"/>
      </w:pPr>
      <w:r>
        <w:t>A Framework for Health Literacy (</w:t>
      </w:r>
      <w:hyperlink r:id="rId24" w:history="1">
        <w:r w:rsidRPr="00CB4CD1">
          <w:rPr>
            <w:rStyle w:val="Hyperlink"/>
            <w:rFonts w:cs="Arial"/>
          </w:rPr>
          <w:t>www.health.govt.nz/publication/framework-health-literacy</w:t>
        </w:r>
      </w:hyperlink>
      <w:r>
        <w:t>).</w:t>
      </w:r>
    </w:p>
    <w:p w:rsidR="0030207B" w:rsidRPr="002439DF" w:rsidRDefault="0030207B" w:rsidP="00BA3233"/>
    <w:p w:rsidR="0030207B" w:rsidRDefault="0030207B" w:rsidP="00BA3233">
      <w:pPr>
        <w:pStyle w:val="Heading3"/>
      </w:pPr>
      <w:r w:rsidRPr="008F3E55">
        <w:t>Cultural relevance</w:t>
      </w:r>
    </w:p>
    <w:p w:rsidR="0030207B" w:rsidRPr="008F3E55" w:rsidRDefault="0030207B" w:rsidP="00BA3233">
      <w:r w:rsidRPr="008F3E55">
        <w:t xml:space="preserve">Any self-management programme, particularly </w:t>
      </w:r>
      <w:r>
        <w:t xml:space="preserve">if it is a </w:t>
      </w:r>
      <w:r w:rsidRPr="008F3E55">
        <w:t>group programme, must be culturally appropriate. People with LTCs should have access to self-management support that is relevant to the ethnicity they identify with.</w:t>
      </w:r>
    </w:p>
    <w:p w:rsidR="0030207B" w:rsidRPr="008F3E55" w:rsidRDefault="0030207B" w:rsidP="00BA3233"/>
    <w:p w:rsidR="0030207B" w:rsidRPr="008F3E55" w:rsidRDefault="0030207B" w:rsidP="00BA3233">
      <w:r w:rsidRPr="008F3E55">
        <w:t>For Māori, a programme underpinned by kaupapa Māori approaches enriches the environment for effective learning</w:t>
      </w:r>
      <w:r>
        <w:t>.</w:t>
      </w:r>
      <w:r w:rsidRPr="008F3E55">
        <w:t xml:space="preserve"> </w:t>
      </w:r>
      <w:r>
        <w:t>It</w:t>
      </w:r>
      <w:r w:rsidRPr="008F3E55">
        <w:t xml:space="preserve"> focus</w:t>
      </w:r>
      <w:r>
        <w:t>es</w:t>
      </w:r>
      <w:r w:rsidRPr="008F3E55">
        <w:t xml:space="preserve"> on:</w:t>
      </w:r>
    </w:p>
    <w:p w:rsidR="0030207B" w:rsidRDefault="0030207B" w:rsidP="00BA3233">
      <w:pPr>
        <w:pStyle w:val="Bullet"/>
      </w:pPr>
      <w:r w:rsidRPr="008F3E55">
        <w:t>tinorangatiratanga – self determination</w:t>
      </w:r>
    </w:p>
    <w:p w:rsidR="0030207B" w:rsidRPr="008F3E55" w:rsidRDefault="0030207B" w:rsidP="00BA3233">
      <w:pPr>
        <w:pStyle w:val="Bullet"/>
      </w:pPr>
      <w:r w:rsidRPr="008F3E55">
        <w:t>taonga tuku iho – cultural aspirations</w:t>
      </w:r>
    </w:p>
    <w:p w:rsidR="0030207B" w:rsidRPr="008F3E55" w:rsidRDefault="0030207B" w:rsidP="00BA3233">
      <w:pPr>
        <w:pStyle w:val="Bullet"/>
      </w:pPr>
      <w:r w:rsidRPr="008F3E55">
        <w:t>ako Māori – culturally preferred ways of learning</w:t>
      </w:r>
    </w:p>
    <w:p w:rsidR="0030207B" w:rsidRPr="008F3E55" w:rsidRDefault="0030207B" w:rsidP="00BA3233">
      <w:pPr>
        <w:pStyle w:val="Bullet"/>
      </w:pPr>
      <w:r w:rsidRPr="008F3E55">
        <w:t>whānau – the extended family members and their influence and support</w:t>
      </w:r>
    </w:p>
    <w:p w:rsidR="0030207B" w:rsidRDefault="0030207B" w:rsidP="00BA3233">
      <w:pPr>
        <w:pStyle w:val="Bullet"/>
      </w:pPr>
      <w:proofErr w:type="gramStart"/>
      <w:r w:rsidRPr="008F3E55">
        <w:t>kaupapa</w:t>
      </w:r>
      <w:proofErr w:type="gramEnd"/>
      <w:r w:rsidRPr="008F3E55">
        <w:t xml:space="preserve"> – the collective philosophy of the members of the group (Smith and Reid 2000, pp 9–11).</w:t>
      </w:r>
    </w:p>
    <w:p w:rsidR="0030207B" w:rsidRPr="008F3E55" w:rsidRDefault="0030207B" w:rsidP="00BA3233"/>
    <w:p w:rsidR="0030207B" w:rsidRPr="00BA3233" w:rsidRDefault="0030207B" w:rsidP="00BA3233">
      <w:r w:rsidRPr="008F3E55">
        <w:t>The Ministry of Health has a free online foundation course in cultural competence for all people working in the health</w:t>
      </w:r>
      <w:r w:rsidRPr="00C3023D">
        <w:rPr>
          <w:color w:val="4F81BD"/>
        </w:rPr>
        <w:t xml:space="preserve"> </w:t>
      </w:r>
      <w:r w:rsidRPr="008F3E55">
        <w:t>sector</w:t>
      </w:r>
      <w:r>
        <w:t xml:space="preserve"> (</w:t>
      </w:r>
      <w:hyperlink r:id="rId25" w:history="1">
        <w:r w:rsidRPr="009A3EC5">
          <w:rPr>
            <w:rStyle w:val="Hyperlink"/>
            <w:rFonts w:cs="Arial"/>
          </w:rPr>
          <w:t>http://learnonline.health.nz/course/category.php?id=84</w:t>
        </w:r>
      </w:hyperlink>
      <w:r>
        <w:t>).</w:t>
      </w:r>
    </w:p>
    <w:p w:rsidR="0030207B" w:rsidRDefault="0030207B" w:rsidP="00BA3233"/>
    <w:p w:rsidR="0030207B" w:rsidRPr="002439DF" w:rsidRDefault="0030207B" w:rsidP="0030207B">
      <w:pPr>
        <w:pStyle w:val="Heading3"/>
      </w:pPr>
      <w:r>
        <w:t>B</w:t>
      </w:r>
      <w:r w:rsidRPr="002439DF">
        <w:t>ehaviour change</w:t>
      </w:r>
    </w:p>
    <w:p w:rsidR="0030207B" w:rsidRPr="002439DF" w:rsidRDefault="0030207B" w:rsidP="00BA3233">
      <w:r>
        <w:t>Along with health literacy education, people need programmes to support them to change their health behaviour.</w:t>
      </w:r>
      <w:r w:rsidRPr="00BA32B1">
        <w:t xml:space="preserve"> </w:t>
      </w:r>
      <w:r>
        <w:t>In</w:t>
      </w:r>
      <w:r w:rsidRPr="002439DF">
        <w:t xml:space="preserve"> self-management programmes</w:t>
      </w:r>
      <w:r>
        <w:t>, t</w:t>
      </w:r>
      <w:r w:rsidRPr="002439DF">
        <w:t xml:space="preserve">he five essential </w:t>
      </w:r>
      <w:r>
        <w:t>elements</w:t>
      </w:r>
      <w:r w:rsidRPr="002439DF">
        <w:t xml:space="preserve"> </w:t>
      </w:r>
      <w:r>
        <w:t>to changing health behaviour are</w:t>
      </w:r>
      <w:r w:rsidRPr="002439DF">
        <w:t>:</w:t>
      </w:r>
    </w:p>
    <w:p w:rsidR="0030207B" w:rsidRPr="00F866DC" w:rsidRDefault="0030207B" w:rsidP="00BA3233">
      <w:pPr>
        <w:pStyle w:val="Bullet"/>
      </w:pPr>
      <w:r>
        <w:t>a</w:t>
      </w:r>
      <w:r w:rsidRPr="00F866DC">
        <w:t>ctive involvement in problem solving, goal setting and written action plans</w:t>
      </w:r>
      <w:r>
        <w:t xml:space="preserve"> (especially for conditions where the risk of deterioration is high)</w:t>
      </w:r>
    </w:p>
    <w:p w:rsidR="0030207B" w:rsidRDefault="0030207B" w:rsidP="00BA3233">
      <w:pPr>
        <w:pStyle w:val="Bullet"/>
      </w:pPr>
      <w:r w:rsidRPr="00F866DC">
        <w:t>lifestyle changes</w:t>
      </w:r>
      <w:r>
        <w:t>,</w:t>
      </w:r>
      <w:r w:rsidRPr="00F866DC">
        <w:t xml:space="preserve"> including</w:t>
      </w:r>
      <w:r>
        <w:t xml:space="preserve"> eating a healthier</w:t>
      </w:r>
      <w:r w:rsidRPr="00F866DC">
        <w:t xml:space="preserve"> diet, </w:t>
      </w:r>
      <w:r>
        <w:t xml:space="preserve">being </w:t>
      </w:r>
      <w:r w:rsidRPr="00F866DC">
        <w:t>physical</w:t>
      </w:r>
      <w:r>
        <w:t>ly</w:t>
      </w:r>
      <w:r w:rsidRPr="00F866DC">
        <w:t xml:space="preserve"> activ</w:t>
      </w:r>
      <w:r>
        <w:t>e</w:t>
      </w:r>
      <w:r w:rsidRPr="00F866DC">
        <w:t xml:space="preserve"> and</w:t>
      </w:r>
      <w:r>
        <w:t xml:space="preserve"> stopping</w:t>
      </w:r>
      <w:r w:rsidRPr="00F866DC">
        <w:t xml:space="preserve"> smoking</w:t>
      </w:r>
    </w:p>
    <w:p w:rsidR="0030207B" w:rsidRPr="00F866DC" w:rsidRDefault="0030207B" w:rsidP="00BA3233">
      <w:pPr>
        <w:pStyle w:val="Bullet"/>
      </w:pPr>
      <w:r w:rsidRPr="00F866DC">
        <w:t>informed decision</w:t>
      </w:r>
      <w:r>
        <w:t>-</w:t>
      </w:r>
      <w:r w:rsidRPr="00F866DC">
        <w:t>making</w:t>
      </w:r>
    </w:p>
    <w:p w:rsidR="0030207B" w:rsidRPr="00F866DC" w:rsidRDefault="0030207B" w:rsidP="00BA3233">
      <w:pPr>
        <w:pStyle w:val="Bullet"/>
      </w:pPr>
      <w:r w:rsidRPr="00F866DC">
        <w:t>medication management</w:t>
      </w:r>
    </w:p>
    <w:p w:rsidR="0030207B" w:rsidRPr="002439DF" w:rsidRDefault="0030207B" w:rsidP="00BA3233">
      <w:pPr>
        <w:pStyle w:val="Bullet"/>
      </w:pPr>
      <w:proofErr w:type="gramStart"/>
      <w:r w:rsidRPr="002439DF">
        <w:t>stress</w:t>
      </w:r>
      <w:proofErr w:type="gramEnd"/>
      <w:r w:rsidRPr="002439DF">
        <w:t xml:space="preserve"> management</w:t>
      </w:r>
      <w:r>
        <w:t xml:space="preserve"> and positive mental health.</w:t>
      </w:r>
    </w:p>
    <w:p w:rsidR="0030207B" w:rsidRPr="002439DF" w:rsidRDefault="0030207B" w:rsidP="00BA3233"/>
    <w:p w:rsidR="0030207B" w:rsidRDefault="0030207B" w:rsidP="00BA3233">
      <w:r>
        <w:lastRenderedPageBreak/>
        <w:t>Health professionals should recognise and address</w:t>
      </w:r>
      <w:r w:rsidRPr="002439DF">
        <w:t xml:space="preserve"> the </w:t>
      </w:r>
      <w:r>
        <w:t xml:space="preserve">potential </w:t>
      </w:r>
      <w:r w:rsidRPr="002439DF">
        <w:t>barriers</w:t>
      </w:r>
      <w:r>
        <w:t xml:space="preserve"> to changing health behaviour, which will be different for each individual.</w:t>
      </w:r>
    </w:p>
    <w:p w:rsidR="0030207B" w:rsidRDefault="0030207B" w:rsidP="00BA3233"/>
    <w:p w:rsidR="0030207B" w:rsidRDefault="0030207B" w:rsidP="00BA3233">
      <w:r>
        <w:t>Some people with LTCs need broader support to deal with challenges related to the wider determinants of their health, such as social and economic conditions. Health navigators, kaiawhina or other support workers can provide support such as social support.</w:t>
      </w:r>
    </w:p>
    <w:p w:rsidR="0030207B" w:rsidRDefault="0030207B" w:rsidP="00BA3233"/>
    <w:p w:rsidR="0030207B" w:rsidRDefault="0030207B" w:rsidP="00BA3233">
      <w:pPr>
        <w:pStyle w:val="Heading3"/>
      </w:pPr>
      <w:r w:rsidRPr="002439DF">
        <w:t>The role of health professionals in support</w:t>
      </w:r>
      <w:r>
        <w:t>ing self-management</w:t>
      </w:r>
    </w:p>
    <w:p w:rsidR="0030207B" w:rsidRPr="00BA3233" w:rsidRDefault="0030207B" w:rsidP="00BA3233">
      <w:r>
        <w:t>For effective s</w:t>
      </w:r>
      <w:r w:rsidRPr="002439DF">
        <w:t>elf-management</w:t>
      </w:r>
      <w:r>
        <w:t>,</w:t>
      </w:r>
      <w:r w:rsidRPr="002439DF">
        <w:t xml:space="preserve"> </w:t>
      </w:r>
      <w:r>
        <w:t>health professionals</w:t>
      </w:r>
      <w:r w:rsidRPr="002439DF">
        <w:t xml:space="preserve"> </w:t>
      </w:r>
      <w:r>
        <w:t>must</w:t>
      </w:r>
      <w:r w:rsidRPr="002439DF">
        <w:t xml:space="preserve"> </w:t>
      </w:r>
      <w:r>
        <w:t>ask themselves</w:t>
      </w:r>
      <w:r w:rsidRPr="002439DF">
        <w:t xml:space="preserve"> the following question at every </w:t>
      </w:r>
      <w:r>
        <w:t>meeting with a person with an LTC</w:t>
      </w:r>
      <w:r w:rsidRPr="002439DF">
        <w:t xml:space="preserve">: What can we do (as </w:t>
      </w:r>
      <w:r w:rsidRPr="002439DF">
        <w:rPr>
          <w:rFonts w:cs="Arial"/>
        </w:rPr>
        <w:t xml:space="preserve">health </w:t>
      </w:r>
      <w:r>
        <w:rPr>
          <w:rFonts w:cs="Arial"/>
        </w:rPr>
        <w:t xml:space="preserve">care </w:t>
      </w:r>
      <w:r w:rsidRPr="002439DF">
        <w:rPr>
          <w:rFonts w:cs="Arial"/>
        </w:rPr>
        <w:t xml:space="preserve">providers and a health system) to support, enable and facilitate this person and their family </w:t>
      </w:r>
      <w:r>
        <w:rPr>
          <w:rFonts w:cs="Arial"/>
        </w:rPr>
        <w:t xml:space="preserve">and </w:t>
      </w:r>
      <w:r w:rsidRPr="002439DF">
        <w:rPr>
          <w:rFonts w:cs="Arial"/>
        </w:rPr>
        <w:t>whānau to manage more effectively, safely and appropriately at home?</w:t>
      </w:r>
    </w:p>
    <w:p w:rsidR="0030207B" w:rsidRDefault="0030207B" w:rsidP="00BA3233"/>
    <w:p w:rsidR="0030207B" w:rsidRDefault="0030207B" w:rsidP="00BA3233">
      <w:r>
        <w:t>In a</w:t>
      </w:r>
      <w:r w:rsidRPr="002439DF">
        <w:t xml:space="preserve"> self-management approach</w:t>
      </w:r>
      <w:r>
        <w:t>, health professionals need to change their</w:t>
      </w:r>
      <w:r w:rsidRPr="002439DF">
        <w:t xml:space="preserve"> behaviour </w:t>
      </w:r>
      <w:r>
        <w:t>(Mudge et</w:t>
      </w:r>
      <w:r w:rsidR="00BA3233">
        <w:t> </w:t>
      </w:r>
      <w:r>
        <w:t>al 2015),</w:t>
      </w:r>
      <w:r w:rsidRPr="002439DF">
        <w:t xml:space="preserve"> as well as </w:t>
      </w:r>
      <w:r>
        <w:t>the person</w:t>
      </w:r>
      <w:r w:rsidRPr="002439DF">
        <w:t xml:space="preserve"> and their famil</w:t>
      </w:r>
      <w:r>
        <w:t xml:space="preserve">y and </w:t>
      </w:r>
      <w:r w:rsidRPr="002439DF">
        <w:t xml:space="preserve">whānau. </w:t>
      </w:r>
      <w:r>
        <w:t>They must take</w:t>
      </w:r>
      <w:r w:rsidRPr="002439DF">
        <w:t xml:space="preserve"> a collaborative approach to care planning based</w:t>
      </w:r>
      <w:r>
        <w:t xml:space="preserve"> on mutual respect and trust.</w:t>
      </w:r>
    </w:p>
    <w:p w:rsidR="0030207B" w:rsidRPr="002439DF" w:rsidRDefault="0030207B" w:rsidP="00BA3233"/>
    <w:p w:rsidR="0030207B" w:rsidRPr="002439DF" w:rsidRDefault="0030207B" w:rsidP="00BA3233">
      <w:r w:rsidRPr="002439DF">
        <w:t>A health professional can contribute to and support behaviour change by:</w:t>
      </w:r>
    </w:p>
    <w:p w:rsidR="0030207B" w:rsidRPr="00F866DC" w:rsidRDefault="0030207B" w:rsidP="00BA3233">
      <w:pPr>
        <w:pStyle w:val="Bullet"/>
      </w:pPr>
      <w:r w:rsidRPr="00F866DC">
        <w:t xml:space="preserve">providing information that helps </w:t>
      </w:r>
      <w:r>
        <w:t>people with LTCs to</w:t>
      </w:r>
      <w:r w:rsidRPr="00F866DC">
        <w:t xml:space="preserve"> make informed decisions</w:t>
      </w:r>
      <w:r>
        <w:t xml:space="preserve"> and</w:t>
      </w:r>
      <w:r w:rsidRPr="00F866DC">
        <w:t xml:space="preserve"> set goals for themselves</w:t>
      </w:r>
    </w:p>
    <w:p w:rsidR="0030207B" w:rsidRPr="00F866DC" w:rsidRDefault="0030207B" w:rsidP="00BA3233">
      <w:pPr>
        <w:pStyle w:val="Bullet"/>
      </w:pPr>
      <w:r w:rsidRPr="00F866DC">
        <w:t xml:space="preserve">encouraging people to participate actively in their self-management by acknowledging that they are experts </w:t>
      </w:r>
      <w:r>
        <w:t>in</w:t>
      </w:r>
      <w:r w:rsidRPr="00F866DC">
        <w:t xml:space="preserve"> their own lives</w:t>
      </w:r>
    </w:p>
    <w:p w:rsidR="0030207B" w:rsidRPr="00F866DC" w:rsidRDefault="0030207B" w:rsidP="00BA3233">
      <w:pPr>
        <w:pStyle w:val="Bullet"/>
      </w:pPr>
      <w:r w:rsidRPr="00F866DC">
        <w:t xml:space="preserve">supporting people with </w:t>
      </w:r>
      <w:r>
        <w:t>LTCs</w:t>
      </w:r>
      <w:r w:rsidRPr="00F866DC">
        <w:t xml:space="preserve"> to attend supported self-management groups</w:t>
      </w:r>
      <w:r>
        <w:t>,</w:t>
      </w:r>
      <w:r w:rsidRPr="00F866DC">
        <w:t xml:space="preserve"> where </w:t>
      </w:r>
      <w:r>
        <w:t xml:space="preserve">they are </w:t>
      </w:r>
      <w:r w:rsidRPr="00F866DC">
        <w:t>available</w:t>
      </w:r>
    </w:p>
    <w:p w:rsidR="0030207B" w:rsidRPr="00F866DC" w:rsidRDefault="0030207B" w:rsidP="00BA3233">
      <w:pPr>
        <w:pStyle w:val="Bullet"/>
      </w:pPr>
      <w:r w:rsidRPr="00F866DC">
        <w:t xml:space="preserve">advocating for </w:t>
      </w:r>
      <w:r>
        <w:t xml:space="preserve">the creation of </w:t>
      </w:r>
      <w:r w:rsidRPr="00F866DC">
        <w:t>self-management support groups</w:t>
      </w:r>
      <w:r>
        <w:t>,</w:t>
      </w:r>
      <w:r w:rsidRPr="00F866DC">
        <w:t xml:space="preserve"> </w:t>
      </w:r>
      <w:r>
        <w:t xml:space="preserve">where </w:t>
      </w:r>
      <w:r w:rsidRPr="00F866DC">
        <w:t xml:space="preserve">they are </w:t>
      </w:r>
      <w:r>
        <w:t xml:space="preserve">currently </w:t>
      </w:r>
      <w:r w:rsidRPr="00F866DC">
        <w:t>not available</w:t>
      </w:r>
    </w:p>
    <w:p w:rsidR="0030207B" w:rsidRPr="00F866DC" w:rsidRDefault="0030207B" w:rsidP="00BA3233">
      <w:pPr>
        <w:pStyle w:val="Bullet"/>
      </w:pPr>
      <w:r w:rsidRPr="00F866DC">
        <w:t>ensuring that self-management is culturally appropriate</w:t>
      </w:r>
    </w:p>
    <w:p w:rsidR="0030207B" w:rsidRPr="00F866DC" w:rsidRDefault="0030207B" w:rsidP="00BA3233">
      <w:pPr>
        <w:pStyle w:val="Bullet"/>
      </w:pPr>
      <w:r>
        <w:t>f</w:t>
      </w:r>
      <w:r w:rsidRPr="00F866DC">
        <w:t xml:space="preserve">ollowing up with </w:t>
      </w:r>
      <w:r>
        <w:t xml:space="preserve">people </w:t>
      </w:r>
      <w:r w:rsidRPr="00F866DC">
        <w:t xml:space="preserve">after </w:t>
      </w:r>
      <w:r>
        <w:t>they have</w:t>
      </w:r>
      <w:r w:rsidRPr="00F866DC">
        <w:t xml:space="preserve"> participat</w:t>
      </w:r>
      <w:r>
        <w:t>ed</w:t>
      </w:r>
      <w:r w:rsidRPr="00F866DC">
        <w:t xml:space="preserve"> in self-management education programmes</w:t>
      </w:r>
      <w:r>
        <w:t>,</w:t>
      </w:r>
      <w:r w:rsidRPr="00F866DC">
        <w:t xml:space="preserve"> to optimise and support their learning</w:t>
      </w:r>
    </w:p>
    <w:p w:rsidR="0030207B" w:rsidRDefault="0030207B" w:rsidP="00BA3233">
      <w:pPr>
        <w:pStyle w:val="Bullet"/>
      </w:pPr>
      <w:r>
        <w:t>following up</w:t>
      </w:r>
      <w:r w:rsidRPr="002439DF">
        <w:t xml:space="preserve"> initial self-management education </w:t>
      </w:r>
      <w:r>
        <w:t xml:space="preserve">with </w:t>
      </w:r>
      <w:r w:rsidRPr="002439DF">
        <w:t xml:space="preserve">regular updates </w:t>
      </w:r>
      <w:r>
        <w:t>and opportunistic learning as needed</w:t>
      </w:r>
    </w:p>
    <w:p w:rsidR="0030207B" w:rsidRDefault="0030207B" w:rsidP="00BA3233">
      <w:pPr>
        <w:pStyle w:val="Bullet"/>
      </w:pPr>
      <w:r>
        <w:t>providing optimal health care</w:t>
      </w:r>
    </w:p>
    <w:p w:rsidR="0030207B" w:rsidRDefault="0030207B" w:rsidP="00BA3233">
      <w:pPr>
        <w:pStyle w:val="Bullet"/>
      </w:pPr>
      <w:proofErr w:type="gramStart"/>
      <w:r>
        <w:t>referring</w:t>
      </w:r>
      <w:proofErr w:type="gramEnd"/>
      <w:r>
        <w:t xml:space="preserve"> people to appropriate support agencies as needed.</w:t>
      </w:r>
    </w:p>
    <w:p w:rsidR="0030207B" w:rsidRPr="002439DF" w:rsidRDefault="0030207B" w:rsidP="00BA3233"/>
    <w:p w:rsidR="0030207B" w:rsidRDefault="0030207B" w:rsidP="00BA3233">
      <w:r w:rsidRPr="002439DF">
        <w:t xml:space="preserve">Primary health care providers </w:t>
      </w:r>
      <w:r>
        <w:t xml:space="preserve">– </w:t>
      </w:r>
      <w:r w:rsidRPr="002439DF">
        <w:t>in particular</w:t>
      </w:r>
      <w:r>
        <w:t>,</w:t>
      </w:r>
      <w:r w:rsidRPr="002439DF">
        <w:t xml:space="preserve"> general practice teams </w:t>
      </w:r>
      <w:r>
        <w:t xml:space="preserve">– </w:t>
      </w:r>
      <w:r w:rsidRPr="002439DF">
        <w:t xml:space="preserve">play </w:t>
      </w:r>
      <w:r>
        <w:t>a key</w:t>
      </w:r>
      <w:r w:rsidRPr="002439DF">
        <w:t xml:space="preserve"> role in </w:t>
      </w:r>
      <w:r>
        <w:t>giving</w:t>
      </w:r>
      <w:r w:rsidRPr="002439DF">
        <w:t xml:space="preserve"> people </w:t>
      </w:r>
      <w:r>
        <w:t xml:space="preserve">with LTCs </w:t>
      </w:r>
      <w:r w:rsidRPr="002439DF">
        <w:t xml:space="preserve">access </w:t>
      </w:r>
      <w:r>
        <w:t>to self-management</w:t>
      </w:r>
      <w:r w:rsidRPr="002439DF">
        <w:t xml:space="preserve"> support. However</w:t>
      </w:r>
      <w:r>
        <w:t>,</w:t>
      </w:r>
      <w:r w:rsidRPr="002439DF">
        <w:t xml:space="preserve"> to </w:t>
      </w:r>
      <w:r>
        <w:t xml:space="preserve">provide </w:t>
      </w:r>
      <w:r w:rsidRPr="002439DF">
        <w:t xml:space="preserve">effective self-management </w:t>
      </w:r>
      <w:r>
        <w:t xml:space="preserve">support, </w:t>
      </w:r>
      <w:r w:rsidRPr="002439DF">
        <w:t xml:space="preserve">nurses and </w:t>
      </w:r>
      <w:r>
        <w:t>general practitioner</w:t>
      </w:r>
      <w:r w:rsidRPr="002439DF">
        <w:t xml:space="preserve">s need to </w:t>
      </w:r>
      <w:r>
        <w:t>be</w:t>
      </w:r>
      <w:r w:rsidRPr="002439DF">
        <w:t xml:space="preserve"> part of a wider multidisciplinary team. </w:t>
      </w:r>
      <w:r>
        <w:t>A multidisciplinary team can include general practitioners or primary health care nurses, M</w:t>
      </w:r>
      <w:r w:rsidRPr="002439DF">
        <w:t>ā</w:t>
      </w:r>
      <w:r>
        <w:t>ori providers, Pacific providers, community pharmacists, community mental health workers, allied health professionals and medical specialists.</w:t>
      </w:r>
    </w:p>
    <w:p w:rsidR="0030207B" w:rsidRDefault="0030207B" w:rsidP="00BA3233"/>
    <w:p w:rsidR="0030207B" w:rsidRDefault="0030207B" w:rsidP="00BA3233">
      <w:r>
        <w:t>As part of a multidisciplinary team, a general practice team needs to encourage people to attend self-management support programmes and groups, and follow up and connect with community providers as needed. Clinicians also can gain the support they need to share control with patients.</w:t>
      </w:r>
    </w:p>
    <w:p w:rsidR="0030207B" w:rsidRDefault="0030207B" w:rsidP="00BA3233"/>
    <w:p w:rsidR="0030207B" w:rsidRDefault="0030207B" w:rsidP="00BA3233">
      <w:r>
        <w:t>People with LTCs will have different levels of engagement</w:t>
      </w:r>
      <w:r w:rsidRPr="002439DF">
        <w:t xml:space="preserve"> with </w:t>
      </w:r>
      <w:r>
        <w:t xml:space="preserve">a multidisciplinary </w:t>
      </w:r>
      <w:r w:rsidRPr="002439DF">
        <w:t>team</w:t>
      </w:r>
      <w:r>
        <w:t>,</w:t>
      </w:r>
      <w:r w:rsidRPr="002439DF">
        <w:t xml:space="preserve"> depending on the</w:t>
      </w:r>
      <w:r>
        <w:t>ir</w:t>
      </w:r>
      <w:r w:rsidRPr="002439DF">
        <w:t xml:space="preserve"> </w:t>
      </w:r>
      <w:r>
        <w:t xml:space="preserve">own individual </w:t>
      </w:r>
      <w:r w:rsidRPr="002439DF">
        <w:t>needs.</w:t>
      </w:r>
    </w:p>
    <w:p w:rsidR="0030207B" w:rsidRDefault="0030207B" w:rsidP="00BA3233"/>
    <w:p w:rsidR="0030207B" w:rsidRDefault="0030207B" w:rsidP="00BA3233">
      <w:pPr>
        <w:pStyle w:val="Heading2"/>
      </w:pPr>
      <w:bookmarkStart w:id="20" w:name="_Toc442253024"/>
      <w:r w:rsidRPr="0092266A">
        <w:lastRenderedPageBreak/>
        <w:t>Care planning</w:t>
      </w:r>
      <w:bookmarkEnd w:id="20"/>
    </w:p>
    <w:p w:rsidR="0030207B" w:rsidRDefault="0030207B" w:rsidP="00BA3233">
      <w:r>
        <w:t>Personalised care planning is a tool that enables people with LTCs to self-manage. It encourages them to choose their treatment goals and to work with clinicians to identify their specific needs for treatment and support. Together the patient and clinician make decisions, set goals and undertake action planning, with the aim of working out priorities agreeing realistic objectives, solving problems and identifying sources of support. With effective care planning, some aspects of the patient’s physical and psychological health and their ability to manage their condition can improve (Cochrane 2015).</w:t>
      </w:r>
    </w:p>
    <w:p w:rsidR="0030207B" w:rsidRDefault="0030207B" w:rsidP="00BA3233"/>
    <w:p w:rsidR="0030207B" w:rsidRDefault="0030207B" w:rsidP="00BA3233">
      <w:r>
        <w:t xml:space="preserve">Figure 1 below describes the care planning approach developed and tested at Alliance Health Plus in 2013 (Flanagan et al 2014). Another tool available is the </w:t>
      </w:r>
      <w:r w:rsidRPr="00471B37">
        <w:rPr>
          <w:i/>
        </w:rPr>
        <w:t>Common Core Principles to Support Self Care</w:t>
      </w:r>
      <w:r>
        <w:t xml:space="preserve"> – a self care training manual and a questionnaire that can be used to help an individual take responsibility for their own health and wellbeing (Skills for Care 2015).</w:t>
      </w:r>
    </w:p>
    <w:p w:rsidR="00BA3233" w:rsidRDefault="00BA3233" w:rsidP="00BA3233"/>
    <w:p w:rsidR="00BA3233" w:rsidRDefault="00BA3233" w:rsidP="00BA3233">
      <w:pPr>
        <w:pStyle w:val="Figure"/>
      </w:pPr>
      <w:bookmarkStart w:id="21" w:name="_Toc441854837"/>
      <w:r>
        <w:t xml:space="preserve">Figure 1: Alliance Health </w:t>
      </w:r>
      <w:proofErr w:type="gramStart"/>
      <w:r>
        <w:t>Plus</w:t>
      </w:r>
      <w:proofErr w:type="gramEnd"/>
      <w:r>
        <w:t xml:space="preserve"> Self-management Practice Model 2013</w:t>
      </w:r>
      <w:bookmarkEnd w:id="21"/>
    </w:p>
    <w:p w:rsidR="0030207B" w:rsidRDefault="0030207B" w:rsidP="0030207B">
      <w:pPr>
        <w:rPr>
          <w:noProof/>
          <w:lang w:eastAsia="en-NZ"/>
        </w:rPr>
      </w:pPr>
      <w:r>
        <w:rPr>
          <w:noProof/>
          <w:lang w:eastAsia="en-NZ"/>
        </w:rPr>
        <w:drawing>
          <wp:inline distT="0" distB="0" distL="0" distR="0" wp14:anchorId="63F9D38F" wp14:editId="02360259">
            <wp:extent cx="5935287" cy="1631427"/>
            <wp:effectExtent l="0" t="0" r="8890" b="6985"/>
            <wp:docPr id="1" name="Picture 1" title="Figure 1: Alliance Health Plus Self-management Practice Mod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l="1524" t="19737" r="1398" b="24967"/>
                    <a:stretch/>
                  </pic:blipFill>
                  <pic:spPr bwMode="auto">
                    <a:xfrm>
                      <a:off x="0" y="0"/>
                      <a:ext cx="5945344" cy="1634191"/>
                    </a:xfrm>
                    <a:prstGeom prst="rect">
                      <a:avLst/>
                    </a:prstGeom>
                    <a:noFill/>
                    <a:ln>
                      <a:noFill/>
                    </a:ln>
                    <a:extLst>
                      <a:ext uri="{53640926-AAD7-44D8-BBD7-CCE9431645EC}">
                        <a14:shadowObscured xmlns:a14="http://schemas.microsoft.com/office/drawing/2010/main"/>
                      </a:ext>
                    </a:extLst>
                  </pic:spPr>
                </pic:pic>
              </a:graphicData>
            </a:graphic>
          </wp:inline>
        </w:drawing>
      </w:r>
    </w:p>
    <w:p w:rsidR="0030207B" w:rsidRDefault="0030207B" w:rsidP="00BA3233">
      <w:pPr>
        <w:pStyle w:val="Source"/>
        <w:rPr>
          <w:noProof/>
          <w:lang w:eastAsia="en-NZ"/>
        </w:rPr>
      </w:pPr>
      <w:r>
        <w:rPr>
          <w:noProof/>
          <w:lang w:eastAsia="en-NZ"/>
        </w:rPr>
        <w:t>Source: Flanagan et al (2014)</w:t>
      </w:r>
    </w:p>
    <w:p w:rsidR="0030207B" w:rsidRDefault="0030207B" w:rsidP="00BA3233"/>
    <w:p w:rsidR="0030207B" w:rsidRPr="008F3E55" w:rsidRDefault="0030207B" w:rsidP="00BA3233">
      <w:r>
        <w:t>Figure 2 sets out six steps in t</w:t>
      </w:r>
      <w:r w:rsidRPr="008F3E55">
        <w:t>he care planning process</w:t>
      </w:r>
      <w:r>
        <w:t>.</w:t>
      </w:r>
    </w:p>
    <w:p w:rsidR="0030207B" w:rsidRDefault="0030207B" w:rsidP="00BA3233"/>
    <w:p w:rsidR="0030207B" w:rsidRDefault="0030207B" w:rsidP="00BA3233">
      <w:pPr>
        <w:pStyle w:val="Figure"/>
      </w:pPr>
      <w:bookmarkStart w:id="22" w:name="_Toc441854838"/>
      <w:r>
        <w:t>Figure 2: Six steps in care planning</w:t>
      </w:r>
      <w:bookmarkEnd w:id="22"/>
    </w:p>
    <w:p w:rsidR="00BA3233" w:rsidRPr="00BA3233" w:rsidRDefault="00BA3233" w:rsidP="00BA3233">
      <w:r>
        <w:rPr>
          <w:noProof/>
          <w:lang w:eastAsia="en-NZ"/>
        </w:rPr>
        <w:drawing>
          <wp:inline distT="0" distB="0" distL="0" distR="0" wp14:anchorId="08231936">
            <wp:extent cx="5934553" cy="2319250"/>
            <wp:effectExtent l="0" t="0" r="0" b="5080"/>
            <wp:docPr id="6" name="Picture 6" title="Figure 2: Six steps in care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l="1108" t="17650" r="2456" b="16470"/>
                    <a:stretch/>
                  </pic:blipFill>
                  <pic:spPr bwMode="auto">
                    <a:xfrm>
                      <a:off x="0" y="0"/>
                      <a:ext cx="5944593" cy="2323174"/>
                    </a:xfrm>
                    <a:prstGeom prst="rect">
                      <a:avLst/>
                    </a:prstGeom>
                    <a:noFill/>
                    <a:ln>
                      <a:noFill/>
                    </a:ln>
                    <a:extLst>
                      <a:ext uri="{53640926-AAD7-44D8-BBD7-CCE9431645EC}">
                        <a14:shadowObscured xmlns:a14="http://schemas.microsoft.com/office/drawing/2010/main"/>
                      </a:ext>
                    </a:extLst>
                  </pic:spPr>
                </pic:pic>
              </a:graphicData>
            </a:graphic>
          </wp:inline>
        </w:drawing>
      </w:r>
    </w:p>
    <w:p w:rsidR="0030207B" w:rsidRDefault="00BA3233" w:rsidP="00BA3233">
      <w:pPr>
        <w:pStyle w:val="Note"/>
        <w:pBdr>
          <w:bottom w:val="none" w:sz="0" w:space="0" w:color="auto"/>
        </w:pBdr>
        <w:ind w:right="0"/>
      </w:pPr>
      <w:r>
        <w:t xml:space="preserve">Care Planning ABCs’ Model created by Health Navigator NZ.  More resources visit </w:t>
      </w:r>
      <w:hyperlink r:id="rId28" w:history="1">
        <w:r w:rsidRPr="00CE08C6">
          <w:rPr>
            <w:rStyle w:val="Hyperlink"/>
          </w:rPr>
          <w:t>www.hn.org.nz</w:t>
        </w:r>
      </w:hyperlink>
    </w:p>
    <w:p w:rsidR="00BA3233" w:rsidRPr="00BA3233" w:rsidRDefault="00BA3233" w:rsidP="00BA3233"/>
    <w:p w:rsidR="00BA3233" w:rsidRDefault="00BA3233" w:rsidP="00BA3233">
      <w:pPr>
        <w:pStyle w:val="Table"/>
      </w:pPr>
      <w:bookmarkStart w:id="23" w:name="_Toc441854829"/>
      <w:r>
        <w:lastRenderedPageBreak/>
        <w:t xml:space="preserve">Table </w:t>
      </w:r>
      <w:r w:rsidR="00392223">
        <w:t>2</w:t>
      </w:r>
      <w:r>
        <w:t>: ABCs of care planning for optimising care</w:t>
      </w:r>
      <w:bookmarkEnd w:id="23"/>
    </w:p>
    <w:tbl>
      <w:tblPr>
        <w:tblStyle w:val="TableGrid"/>
        <w:tblW w:w="9356"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18"/>
        <w:gridCol w:w="1630"/>
        <w:gridCol w:w="1630"/>
        <w:gridCol w:w="1630"/>
        <w:gridCol w:w="1630"/>
        <w:gridCol w:w="1418"/>
      </w:tblGrid>
      <w:tr w:rsidR="00BA3233" w:rsidRPr="00BA3233" w:rsidTr="00392223">
        <w:trPr>
          <w:cantSplit/>
        </w:trPr>
        <w:tc>
          <w:tcPr>
            <w:tcW w:w="1418" w:type="dxa"/>
            <w:tcBorders>
              <w:top w:val="single" w:sz="4" w:space="0" w:color="auto"/>
              <w:bottom w:val="single" w:sz="4" w:space="0" w:color="auto"/>
            </w:tcBorders>
          </w:tcPr>
          <w:p w:rsidR="00BA3233" w:rsidRPr="00BA3233" w:rsidRDefault="00BA3233" w:rsidP="00392223">
            <w:pPr>
              <w:pStyle w:val="TableText"/>
              <w:keepNext/>
              <w:ind w:right="113"/>
              <w:rPr>
                <w:b/>
              </w:rPr>
            </w:pPr>
            <w:r>
              <w:rPr>
                <w:b/>
              </w:rPr>
              <w:t>Assess</w:t>
            </w:r>
          </w:p>
        </w:tc>
        <w:tc>
          <w:tcPr>
            <w:tcW w:w="1630" w:type="dxa"/>
            <w:tcBorders>
              <w:top w:val="single" w:sz="4" w:space="0" w:color="auto"/>
              <w:bottom w:val="single" w:sz="4" w:space="0" w:color="auto"/>
            </w:tcBorders>
          </w:tcPr>
          <w:p w:rsidR="00BA3233" w:rsidRPr="00BA3233" w:rsidRDefault="00BA3233" w:rsidP="00392223">
            <w:pPr>
              <w:pStyle w:val="TableText"/>
              <w:keepNext/>
              <w:ind w:right="113"/>
              <w:rPr>
                <w:b/>
              </w:rPr>
            </w:pPr>
            <w:r>
              <w:rPr>
                <w:b/>
              </w:rPr>
              <w:t>Balance and agree</w:t>
            </w:r>
          </w:p>
        </w:tc>
        <w:tc>
          <w:tcPr>
            <w:tcW w:w="1630" w:type="dxa"/>
            <w:tcBorders>
              <w:top w:val="single" w:sz="4" w:space="0" w:color="auto"/>
              <w:bottom w:val="single" w:sz="4" w:space="0" w:color="auto"/>
            </w:tcBorders>
          </w:tcPr>
          <w:p w:rsidR="00BA3233" w:rsidRPr="00BA3233" w:rsidRDefault="00BA3233" w:rsidP="00392223">
            <w:pPr>
              <w:pStyle w:val="TableText"/>
              <w:keepNext/>
              <w:ind w:right="113"/>
              <w:rPr>
                <w:b/>
              </w:rPr>
            </w:pPr>
            <w:r>
              <w:rPr>
                <w:b/>
              </w:rPr>
              <w:t>Create</w:t>
            </w:r>
          </w:p>
        </w:tc>
        <w:tc>
          <w:tcPr>
            <w:tcW w:w="1630" w:type="dxa"/>
            <w:tcBorders>
              <w:top w:val="single" w:sz="4" w:space="0" w:color="auto"/>
              <w:bottom w:val="single" w:sz="4" w:space="0" w:color="auto"/>
            </w:tcBorders>
          </w:tcPr>
          <w:p w:rsidR="00BA3233" w:rsidRPr="00BA3233" w:rsidRDefault="00BA3233" w:rsidP="00392223">
            <w:pPr>
              <w:pStyle w:val="TableText"/>
              <w:keepNext/>
              <w:ind w:right="113"/>
              <w:rPr>
                <w:b/>
              </w:rPr>
            </w:pPr>
            <w:r>
              <w:rPr>
                <w:b/>
              </w:rPr>
              <w:t>Develop</w:t>
            </w:r>
          </w:p>
        </w:tc>
        <w:tc>
          <w:tcPr>
            <w:tcW w:w="1630" w:type="dxa"/>
            <w:tcBorders>
              <w:top w:val="single" w:sz="4" w:space="0" w:color="auto"/>
              <w:bottom w:val="single" w:sz="4" w:space="0" w:color="auto"/>
            </w:tcBorders>
          </w:tcPr>
          <w:p w:rsidR="00BA3233" w:rsidRPr="00BA3233" w:rsidRDefault="00BA3233" w:rsidP="00392223">
            <w:pPr>
              <w:pStyle w:val="TableText"/>
              <w:keepNext/>
              <w:ind w:right="113"/>
              <w:rPr>
                <w:b/>
              </w:rPr>
            </w:pPr>
            <w:r>
              <w:rPr>
                <w:b/>
              </w:rPr>
              <w:t>Early warning signs</w:t>
            </w:r>
          </w:p>
        </w:tc>
        <w:tc>
          <w:tcPr>
            <w:tcW w:w="1418" w:type="dxa"/>
            <w:tcBorders>
              <w:top w:val="single" w:sz="4" w:space="0" w:color="auto"/>
              <w:bottom w:val="single" w:sz="4" w:space="0" w:color="auto"/>
            </w:tcBorders>
          </w:tcPr>
          <w:p w:rsidR="00BA3233" w:rsidRPr="00BA3233" w:rsidRDefault="00BA3233" w:rsidP="00BA3233">
            <w:pPr>
              <w:pStyle w:val="TableText"/>
              <w:keepNext/>
              <w:rPr>
                <w:b/>
              </w:rPr>
            </w:pPr>
            <w:r>
              <w:rPr>
                <w:b/>
              </w:rPr>
              <w:t>Follow-up</w:t>
            </w:r>
          </w:p>
        </w:tc>
      </w:tr>
      <w:tr w:rsidR="00BA3233" w:rsidTr="00392223">
        <w:trPr>
          <w:cantSplit/>
        </w:trPr>
        <w:tc>
          <w:tcPr>
            <w:tcW w:w="1418" w:type="dxa"/>
            <w:tcBorders>
              <w:top w:val="single" w:sz="4" w:space="0" w:color="auto"/>
              <w:bottom w:val="dotted" w:sz="4" w:space="0" w:color="auto"/>
            </w:tcBorders>
          </w:tcPr>
          <w:p w:rsidR="00BA3233" w:rsidRDefault="00BA3233" w:rsidP="00392223">
            <w:pPr>
              <w:pStyle w:val="TableText"/>
              <w:ind w:right="113"/>
            </w:pPr>
            <w:r>
              <w:t>Assess risk</w:t>
            </w:r>
          </w:p>
        </w:tc>
        <w:tc>
          <w:tcPr>
            <w:tcW w:w="1630" w:type="dxa"/>
            <w:tcBorders>
              <w:top w:val="single" w:sz="4" w:space="0" w:color="auto"/>
              <w:bottom w:val="dotted" w:sz="4" w:space="0" w:color="auto"/>
            </w:tcBorders>
          </w:tcPr>
          <w:p w:rsidR="00BA3233" w:rsidRDefault="00BA3233" w:rsidP="00392223">
            <w:pPr>
              <w:pStyle w:val="TableText"/>
              <w:ind w:right="113"/>
            </w:pPr>
            <w:r>
              <w:t>Balance patient and clinical perspectives</w:t>
            </w:r>
          </w:p>
          <w:p w:rsidR="00BA3233" w:rsidRDefault="00BA3233" w:rsidP="00392223">
            <w:pPr>
              <w:pStyle w:val="TableText"/>
              <w:ind w:right="113"/>
            </w:pPr>
            <w:r>
              <w:t>Agree priorities</w:t>
            </w:r>
          </w:p>
        </w:tc>
        <w:tc>
          <w:tcPr>
            <w:tcW w:w="1630" w:type="dxa"/>
            <w:tcBorders>
              <w:top w:val="single" w:sz="4" w:space="0" w:color="auto"/>
              <w:bottom w:val="dotted" w:sz="4" w:space="0" w:color="auto"/>
            </w:tcBorders>
          </w:tcPr>
          <w:p w:rsidR="00BA3233" w:rsidRDefault="00BA3233" w:rsidP="00392223">
            <w:pPr>
              <w:pStyle w:val="TableText"/>
              <w:ind w:right="113"/>
            </w:pPr>
            <w:r>
              <w:t>Create a care plan and share with wider multi-disciplinary team</w:t>
            </w:r>
          </w:p>
        </w:tc>
        <w:tc>
          <w:tcPr>
            <w:tcW w:w="1630" w:type="dxa"/>
            <w:tcBorders>
              <w:top w:val="single" w:sz="4" w:space="0" w:color="auto"/>
              <w:bottom w:val="dotted" w:sz="4" w:space="0" w:color="auto"/>
            </w:tcBorders>
          </w:tcPr>
          <w:p w:rsidR="00BA3233" w:rsidRDefault="00BA3233" w:rsidP="00392223">
            <w:pPr>
              <w:pStyle w:val="TableText"/>
              <w:ind w:right="113"/>
            </w:pPr>
            <w:r>
              <w:t>Develop self-management skills</w:t>
            </w:r>
          </w:p>
        </w:tc>
        <w:tc>
          <w:tcPr>
            <w:tcW w:w="1630" w:type="dxa"/>
            <w:tcBorders>
              <w:top w:val="single" w:sz="4" w:space="0" w:color="auto"/>
              <w:bottom w:val="dotted" w:sz="4" w:space="0" w:color="auto"/>
            </w:tcBorders>
          </w:tcPr>
          <w:p w:rsidR="00BA3233" w:rsidRDefault="00BA3233" w:rsidP="00392223">
            <w:pPr>
              <w:pStyle w:val="TableText"/>
              <w:ind w:right="113"/>
            </w:pPr>
            <w:r>
              <w:t>Ensure patient understands their red flags and has a written action plan for earlier response</w:t>
            </w:r>
          </w:p>
        </w:tc>
        <w:tc>
          <w:tcPr>
            <w:tcW w:w="1418" w:type="dxa"/>
            <w:tcBorders>
              <w:top w:val="single" w:sz="4" w:space="0" w:color="auto"/>
              <w:bottom w:val="dotted" w:sz="4" w:space="0" w:color="auto"/>
            </w:tcBorders>
          </w:tcPr>
          <w:p w:rsidR="00BA3233" w:rsidRDefault="00BA3233" w:rsidP="00BA3233">
            <w:pPr>
              <w:pStyle w:val="TableText"/>
            </w:pPr>
            <w:r>
              <w:t>Planned and proactive follow</w:t>
            </w:r>
            <w:r>
              <w:noBreakHyphen/>
              <w:t>up</w:t>
            </w:r>
          </w:p>
        </w:tc>
      </w:tr>
      <w:tr w:rsidR="00BA3233" w:rsidTr="00392223">
        <w:trPr>
          <w:cantSplit/>
        </w:trPr>
        <w:tc>
          <w:tcPr>
            <w:tcW w:w="1418" w:type="dxa"/>
            <w:tcBorders>
              <w:top w:val="dotted" w:sz="4" w:space="0" w:color="auto"/>
              <w:bottom w:val="dotted" w:sz="4" w:space="0" w:color="auto"/>
            </w:tcBorders>
          </w:tcPr>
          <w:p w:rsidR="00BA3233" w:rsidRDefault="00BA3233" w:rsidP="00392223">
            <w:pPr>
              <w:pStyle w:val="TableText"/>
              <w:ind w:right="113"/>
            </w:pPr>
            <w:r>
              <w:t>Assess medication concordance</w:t>
            </w:r>
          </w:p>
        </w:tc>
        <w:tc>
          <w:tcPr>
            <w:tcW w:w="1630" w:type="dxa"/>
            <w:tcBorders>
              <w:top w:val="dotted" w:sz="4" w:space="0" w:color="auto"/>
              <w:bottom w:val="dotted" w:sz="4" w:space="0" w:color="auto"/>
            </w:tcBorders>
          </w:tcPr>
          <w:p w:rsidR="00BA3233" w:rsidRDefault="00BA3233" w:rsidP="00392223">
            <w:pPr>
              <w:pStyle w:val="TableText"/>
              <w:ind w:right="113"/>
            </w:pPr>
            <w:r>
              <w:t>Optimise medical management</w:t>
            </w:r>
          </w:p>
        </w:tc>
        <w:tc>
          <w:tcPr>
            <w:tcW w:w="1630" w:type="dxa"/>
            <w:tcBorders>
              <w:top w:val="dotted" w:sz="4" w:space="0" w:color="auto"/>
              <w:bottom w:val="dotted" w:sz="4" w:space="0" w:color="auto"/>
            </w:tcBorders>
          </w:tcPr>
          <w:p w:rsidR="00BA3233" w:rsidRDefault="00BA3233" w:rsidP="00392223">
            <w:pPr>
              <w:pStyle w:val="TableText"/>
              <w:ind w:right="113"/>
            </w:pPr>
            <w:r>
              <w:t>Collaborative goal setting (patient’s choice) and action planning</w:t>
            </w:r>
          </w:p>
        </w:tc>
        <w:tc>
          <w:tcPr>
            <w:tcW w:w="1630" w:type="dxa"/>
            <w:tcBorders>
              <w:top w:val="dotted" w:sz="4" w:space="0" w:color="auto"/>
              <w:bottom w:val="dotted" w:sz="4" w:space="0" w:color="auto"/>
            </w:tcBorders>
          </w:tcPr>
          <w:p w:rsidR="00BA3233" w:rsidRDefault="00BA3233" w:rsidP="00392223">
            <w:pPr>
              <w:pStyle w:val="TableText"/>
              <w:ind w:right="113"/>
            </w:pPr>
            <w:r>
              <w:t>Build support network</w:t>
            </w:r>
          </w:p>
        </w:tc>
        <w:tc>
          <w:tcPr>
            <w:tcW w:w="1630" w:type="dxa"/>
            <w:tcBorders>
              <w:top w:val="dotted" w:sz="4" w:space="0" w:color="auto"/>
              <w:bottom w:val="dotted" w:sz="4" w:space="0" w:color="auto"/>
            </w:tcBorders>
          </w:tcPr>
          <w:p w:rsidR="00BA3233" w:rsidRDefault="00BA3233" w:rsidP="00392223">
            <w:pPr>
              <w:pStyle w:val="TableText"/>
              <w:ind w:right="113"/>
            </w:pPr>
            <w:r>
              <w:t>Blue card for COPD patients</w:t>
            </w:r>
          </w:p>
          <w:p w:rsidR="00BA3233" w:rsidRDefault="00BA3233" w:rsidP="00392223">
            <w:pPr>
              <w:pStyle w:val="TableText"/>
              <w:ind w:right="113"/>
            </w:pPr>
            <w:r>
              <w:t>Chest pain plan, pain plan, etc</w:t>
            </w:r>
          </w:p>
        </w:tc>
        <w:tc>
          <w:tcPr>
            <w:tcW w:w="1418" w:type="dxa"/>
            <w:tcBorders>
              <w:top w:val="dotted" w:sz="4" w:space="0" w:color="auto"/>
              <w:bottom w:val="dotted" w:sz="4" w:space="0" w:color="auto"/>
            </w:tcBorders>
          </w:tcPr>
          <w:p w:rsidR="00BA3233" w:rsidRDefault="00BA3233" w:rsidP="00BA3233">
            <w:pPr>
              <w:pStyle w:val="TableText"/>
            </w:pPr>
            <w:r>
              <w:t>Frequent phone calls / visits in initial phase (approximately 1</w:t>
            </w:r>
            <w:r>
              <w:noBreakHyphen/>
              <w:t>2 weekly)</w:t>
            </w:r>
          </w:p>
        </w:tc>
      </w:tr>
      <w:tr w:rsidR="00BA3233" w:rsidTr="00392223">
        <w:trPr>
          <w:cantSplit/>
        </w:trPr>
        <w:tc>
          <w:tcPr>
            <w:tcW w:w="1418" w:type="dxa"/>
            <w:tcBorders>
              <w:top w:val="dotted" w:sz="4" w:space="0" w:color="auto"/>
              <w:bottom w:val="dotted" w:sz="4" w:space="0" w:color="auto"/>
            </w:tcBorders>
          </w:tcPr>
          <w:p w:rsidR="00BA3233" w:rsidRDefault="00BA3233" w:rsidP="00392223">
            <w:pPr>
              <w:pStyle w:val="TableText"/>
              <w:ind w:right="113"/>
            </w:pPr>
            <w:r>
              <w:t>Assess self-management capacity</w:t>
            </w:r>
          </w:p>
        </w:tc>
        <w:tc>
          <w:tcPr>
            <w:tcW w:w="1630" w:type="dxa"/>
            <w:tcBorders>
              <w:top w:val="dotted" w:sz="4" w:space="0" w:color="auto"/>
              <w:bottom w:val="dotted" w:sz="4" w:space="0" w:color="auto"/>
            </w:tcBorders>
          </w:tcPr>
          <w:p w:rsidR="00BA3233" w:rsidRDefault="00BA3233" w:rsidP="00392223">
            <w:pPr>
              <w:pStyle w:val="TableText"/>
              <w:ind w:right="113"/>
            </w:pPr>
            <w:r>
              <w:t>Based on shared decision making and agenda setting</w:t>
            </w:r>
          </w:p>
        </w:tc>
        <w:tc>
          <w:tcPr>
            <w:tcW w:w="1630" w:type="dxa"/>
            <w:tcBorders>
              <w:top w:val="dotted" w:sz="4" w:space="0" w:color="auto"/>
              <w:bottom w:val="dotted" w:sz="4" w:space="0" w:color="auto"/>
            </w:tcBorders>
          </w:tcPr>
          <w:p w:rsidR="00BA3233" w:rsidRDefault="00BA3233" w:rsidP="00392223">
            <w:pPr>
              <w:pStyle w:val="TableText"/>
              <w:ind w:right="113"/>
            </w:pPr>
            <w:r>
              <w:t>IT platform to enable 24/7 access to care plan (by HPs and patient)</w:t>
            </w:r>
          </w:p>
        </w:tc>
        <w:tc>
          <w:tcPr>
            <w:tcW w:w="1630" w:type="dxa"/>
            <w:tcBorders>
              <w:top w:val="dotted" w:sz="4" w:space="0" w:color="auto"/>
              <w:bottom w:val="dotted" w:sz="4" w:space="0" w:color="auto"/>
            </w:tcBorders>
          </w:tcPr>
          <w:p w:rsidR="00BA3233" w:rsidRDefault="00BA3233" w:rsidP="00392223">
            <w:pPr>
              <w:pStyle w:val="TableText"/>
              <w:ind w:right="113"/>
            </w:pPr>
            <w:r>
              <w:t>PHQ 2 screen for depression and anxiety</w:t>
            </w:r>
          </w:p>
        </w:tc>
        <w:tc>
          <w:tcPr>
            <w:tcW w:w="1630" w:type="dxa"/>
            <w:tcBorders>
              <w:top w:val="dotted" w:sz="4" w:space="0" w:color="auto"/>
              <w:bottom w:val="dotted" w:sz="4" w:space="0" w:color="auto"/>
            </w:tcBorders>
          </w:tcPr>
          <w:p w:rsidR="00BA3233" w:rsidRDefault="00BA3233" w:rsidP="00392223">
            <w:pPr>
              <w:pStyle w:val="TableText"/>
              <w:ind w:right="113"/>
            </w:pPr>
            <w:r>
              <w:t>Rescue meds at home – antibiotics ± steroids for COPD etc</w:t>
            </w:r>
          </w:p>
        </w:tc>
        <w:tc>
          <w:tcPr>
            <w:tcW w:w="1418" w:type="dxa"/>
            <w:tcBorders>
              <w:top w:val="dotted" w:sz="4" w:space="0" w:color="auto"/>
              <w:bottom w:val="dotted" w:sz="4" w:space="0" w:color="auto"/>
            </w:tcBorders>
          </w:tcPr>
          <w:p w:rsidR="00BA3233" w:rsidRDefault="00BA3233" w:rsidP="00BA3233">
            <w:pPr>
              <w:pStyle w:val="TableText"/>
            </w:pPr>
            <w:r>
              <w:t>ACP conversations as appropriate</w:t>
            </w:r>
          </w:p>
        </w:tc>
      </w:tr>
      <w:tr w:rsidR="00BA3233" w:rsidTr="00392223">
        <w:trPr>
          <w:cantSplit/>
        </w:trPr>
        <w:tc>
          <w:tcPr>
            <w:tcW w:w="1418" w:type="dxa"/>
            <w:tcBorders>
              <w:top w:val="dotted" w:sz="4" w:space="0" w:color="auto"/>
            </w:tcBorders>
          </w:tcPr>
          <w:p w:rsidR="00BA3233" w:rsidRDefault="00BA3233" w:rsidP="00392223">
            <w:pPr>
              <w:pStyle w:val="TableText"/>
              <w:ind w:right="113"/>
            </w:pPr>
            <w:r>
              <w:t>Assess for unhelpful health beliefs</w:t>
            </w:r>
          </w:p>
        </w:tc>
        <w:tc>
          <w:tcPr>
            <w:tcW w:w="1630" w:type="dxa"/>
            <w:tcBorders>
              <w:top w:val="dotted" w:sz="4" w:space="0" w:color="auto"/>
            </w:tcBorders>
          </w:tcPr>
          <w:p w:rsidR="00BA3233" w:rsidRDefault="00BA3233" w:rsidP="00392223">
            <w:pPr>
              <w:pStyle w:val="TableText"/>
              <w:ind w:right="113"/>
            </w:pPr>
            <w:r>
              <w:t>Wherever possible, simplify medication regimes (what and when meds taken)</w:t>
            </w:r>
          </w:p>
        </w:tc>
        <w:tc>
          <w:tcPr>
            <w:tcW w:w="1630" w:type="dxa"/>
            <w:tcBorders>
              <w:top w:val="dotted" w:sz="4" w:space="0" w:color="auto"/>
            </w:tcBorders>
          </w:tcPr>
          <w:p w:rsidR="00BA3233" w:rsidRDefault="00BA3233" w:rsidP="00392223">
            <w:pPr>
              <w:pStyle w:val="TableText"/>
              <w:ind w:right="113"/>
            </w:pPr>
            <w:r>
              <w:t>Same page care</w:t>
            </w:r>
          </w:p>
          <w:p w:rsidR="00BA3233" w:rsidRDefault="00BA3233" w:rsidP="00392223">
            <w:pPr>
              <w:pStyle w:val="TableText"/>
              <w:ind w:right="113"/>
            </w:pPr>
            <w:r>
              <w:t>Updated in real time so up to date and enable more timely decisions</w:t>
            </w:r>
          </w:p>
        </w:tc>
        <w:tc>
          <w:tcPr>
            <w:tcW w:w="1630" w:type="dxa"/>
            <w:tcBorders>
              <w:top w:val="dotted" w:sz="4" w:space="0" w:color="auto"/>
            </w:tcBorders>
          </w:tcPr>
          <w:p w:rsidR="00BA3233" w:rsidRDefault="00BA3233" w:rsidP="00392223">
            <w:pPr>
              <w:pStyle w:val="TableText"/>
              <w:ind w:right="113"/>
            </w:pPr>
            <w:r>
              <w:t>Use ‘closing the loop’ to check understanding</w:t>
            </w:r>
          </w:p>
        </w:tc>
        <w:tc>
          <w:tcPr>
            <w:tcW w:w="1630" w:type="dxa"/>
            <w:tcBorders>
              <w:top w:val="dotted" w:sz="4" w:space="0" w:color="auto"/>
            </w:tcBorders>
          </w:tcPr>
          <w:p w:rsidR="00BA3233" w:rsidRDefault="00BA3233" w:rsidP="00392223">
            <w:pPr>
              <w:pStyle w:val="TableText"/>
              <w:ind w:right="113"/>
            </w:pPr>
            <w:r>
              <w:t>Also known as an acute plan</w:t>
            </w:r>
          </w:p>
        </w:tc>
        <w:tc>
          <w:tcPr>
            <w:tcW w:w="1418" w:type="dxa"/>
            <w:tcBorders>
              <w:top w:val="dotted" w:sz="4" w:space="0" w:color="auto"/>
            </w:tcBorders>
          </w:tcPr>
          <w:p w:rsidR="00BA3233" w:rsidRDefault="00BA3233" w:rsidP="00BA3233">
            <w:pPr>
              <w:pStyle w:val="TableText"/>
            </w:pPr>
            <w:r>
              <w:t>Frequency reduces as skill and confidence increase and barriers addressed</w:t>
            </w:r>
          </w:p>
        </w:tc>
      </w:tr>
    </w:tbl>
    <w:p w:rsidR="0030207B" w:rsidRDefault="0030207B" w:rsidP="00BA3233">
      <w:pPr>
        <w:pStyle w:val="Source"/>
      </w:pPr>
      <w:r>
        <w:t>Source: Dr Janine Bycroft and Pat Flanagan (2014).</w:t>
      </w:r>
    </w:p>
    <w:p w:rsidR="0030207B" w:rsidRDefault="0030207B" w:rsidP="00392223"/>
    <w:p w:rsidR="0030207B" w:rsidRDefault="0030207B" w:rsidP="00392223">
      <w:pPr>
        <w:pStyle w:val="Heading2"/>
      </w:pPr>
      <w:bookmarkStart w:id="24" w:name="_Toc442253025"/>
      <w:r>
        <w:lastRenderedPageBreak/>
        <w:t>Measuring outcomes</w:t>
      </w:r>
      <w:bookmarkEnd w:id="24"/>
    </w:p>
    <w:p w:rsidR="0030207B" w:rsidRDefault="0030207B" w:rsidP="00392223">
      <w:pPr>
        <w:keepNext/>
      </w:pPr>
      <w:r>
        <w:t>Measuring outcomes of self-management programmes is complex. Sustainable, measurable outcomes can be identified at an individual or a system level.</w:t>
      </w:r>
    </w:p>
    <w:p w:rsidR="0030207B" w:rsidRDefault="0030207B" w:rsidP="00392223">
      <w:pPr>
        <w:keepNext/>
      </w:pPr>
    </w:p>
    <w:p w:rsidR="0030207B" w:rsidRDefault="0030207B" w:rsidP="00392223">
      <w:pPr>
        <w:keepNext/>
      </w:pPr>
      <w:r>
        <w:t>At an individual level, outcomes include access to services and participation, care planning, self-rated wellness or efficacy, medication adherence, condition-specific health status, level of patient activation, and achievement of patient goals.</w:t>
      </w:r>
    </w:p>
    <w:p w:rsidR="0030207B" w:rsidRDefault="0030207B" w:rsidP="00392223">
      <w:pPr>
        <w:keepNext/>
      </w:pPr>
    </w:p>
    <w:p w:rsidR="0030207B" w:rsidRDefault="0030207B" w:rsidP="00392223">
      <w:pPr>
        <w:keepNext/>
      </w:pPr>
      <w:r>
        <w:t xml:space="preserve">At a system level, outcomes include ambulatory sensitive hospitalisation (ASH) rates, readmission rates, use of patient portals and premature mortality. Table </w:t>
      </w:r>
      <w:r w:rsidR="00392223">
        <w:t>3</w:t>
      </w:r>
      <w:r>
        <w:t xml:space="preserve"> provides examples of measures for LTC-related outcomes.</w:t>
      </w:r>
    </w:p>
    <w:p w:rsidR="0030207B" w:rsidRDefault="0030207B" w:rsidP="00392223">
      <w:pPr>
        <w:keepNext/>
      </w:pPr>
    </w:p>
    <w:p w:rsidR="0030207B" w:rsidRDefault="0030207B" w:rsidP="00392223">
      <w:pPr>
        <w:pStyle w:val="Table"/>
      </w:pPr>
      <w:bookmarkStart w:id="25" w:name="_Toc441854830"/>
      <w:r>
        <w:t xml:space="preserve">Table </w:t>
      </w:r>
      <w:r w:rsidR="00392223">
        <w:t>3</w:t>
      </w:r>
      <w:r>
        <w:t>: Some measures for LTC outcomes</w:t>
      </w:r>
      <w:bookmarkEnd w:id="25"/>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694"/>
        <w:gridCol w:w="3685"/>
        <w:gridCol w:w="2977"/>
      </w:tblGrid>
      <w:tr w:rsidR="0030207B" w:rsidRPr="00392223" w:rsidTr="00392223">
        <w:trPr>
          <w:cantSplit/>
        </w:trPr>
        <w:tc>
          <w:tcPr>
            <w:tcW w:w="2694" w:type="dxa"/>
            <w:tcBorders>
              <w:top w:val="single" w:sz="4" w:space="0" w:color="auto"/>
              <w:bottom w:val="single" w:sz="4" w:space="0" w:color="auto"/>
            </w:tcBorders>
            <w:shd w:val="clear" w:color="auto" w:fill="auto"/>
          </w:tcPr>
          <w:p w:rsidR="0030207B" w:rsidRPr="00392223" w:rsidRDefault="0030207B" w:rsidP="00392223">
            <w:pPr>
              <w:pStyle w:val="TableText"/>
              <w:keepNext/>
              <w:rPr>
                <w:b/>
              </w:rPr>
            </w:pPr>
            <w:r w:rsidRPr="00392223">
              <w:rPr>
                <w:b/>
              </w:rPr>
              <w:t>Outcome</w:t>
            </w:r>
          </w:p>
        </w:tc>
        <w:tc>
          <w:tcPr>
            <w:tcW w:w="3685" w:type="dxa"/>
            <w:tcBorders>
              <w:top w:val="single" w:sz="4" w:space="0" w:color="auto"/>
              <w:bottom w:val="single" w:sz="4" w:space="0" w:color="auto"/>
            </w:tcBorders>
            <w:shd w:val="clear" w:color="auto" w:fill="auto"/>
          </w:tcPr>
          <w:p w:rsidR="0030207B" w:rsidRPr="00392223" w:rsidRDefault="0030207B" w:rsidP="00392223">
            <w:pPr>
              <w:pStyle w:val="TableText"/>
              <w:keepNext/>
              <w:ind w:right="113"/>
              <w:rPr>
                <w:b/>
              </w:rPr>
            </w:pPr>
            <w:r w:rsidRPr="00392223">
              <w:rPr>
                <w:b/>
              </w:rPr>
              <w:t>Possible m</w:t>
            </w:r>
            <w:r w:rsidR="00392223">
              <w:rPr>
                <w:b/>
              </w:rPr>
              <w:t>easure</w:t>
            </w:r>
          </w:p>
        </w:tc>
        <w:tc>
          <w:tcPr>
            <w:tcW w:w="2977" w:type="dxa"/>
            <w:tcBorders>
              <w:top w:val="single" w:sz="4" w:space="0" w:color="auto"/>
              <w:bottom w:val="single" w:sz="4" w:space="0" w:color="auto"/>
            </w:tcBorders>
            <w:shd w:val="clear" w:color="auto" w:fill="auto"/>
          </w:tcPr>
          <w:p w:rsidR="0030207B" w:rsidRPr="00392223" w:rsidRDefault="0030207B" w:rsidP="00392223">
            <w:pPr>
              <w:pStyle w:val="TableText"/>
              <w:keepNext/>
              <w:rPr>
                <w:b/>
              </w:rPr>
            </w:pPr>
            <w:r w:rsidRPr="00392223">
              <w:rPr>
                <w:b/>
              </w:rPr>
              <w:t>Source</w:t>
            </w:r>
          </w:p>
        </w:tc>
      </w:tr>
      <w:tr w:rsidR="0030207B" w:rsidTr="00392223">
        <w:trPr>
          <w:cantSplit/>
        </w:trPr>
        <w:tc>
          <w:tcPr>
            <w:tcW w:w="2694" w:type="dxa"/>
            <w:tcBorders>
              <w:top w:val="single" w:sz="4" w:space="0" w:color="auto"/>
              <w:bottom w:val="dotted" w:sz="4" w:space="0" w:color="auto"/>
            </w:tcBorders>
            <w:shd w:val="clear" w:color="auto" w:fill="auto"/>
          </w:tcPr>
          <w:p w:rsidR="0030207B" w:rsidRPr="00D41506" w:rsidRDefault="0030207B" w:rsidP="00392223">
            <w:pPr>
              <w:pStyle w:val="TableText"/>
              <w:keepNext/>
            </w:pPr>
            <w:r w:rsidRPr="00D41506">
              <w:t>Whole of system integration</w:t>
            </w:r>
          </w:p>
        </w:tc>
        <w:tc>
          <w:tcPr>
            <w:tcW w:w="3685" w:type="dxa"/>
            <w:tcBorders>
              <w:top w:val="single" w:sz="4" w:space="0" w:color="auto"/>
              <w:bottom w:val="dotted" w:sz="4" w:space="0" w:color="auto"/>
            </w:tcBorders>
            <w:shd w:val="clear" w:color="auto" w:fill="auto"/>
          </w:tcPr>
          <w:p w:rsidR="0030207B" w:rsidRPr="00D41506" w:rsidRDefault="0030207B" w:rsidP="00392223">
            <w:pPr>
              <w:pStyle w:val="TableText"/>
              <w:keepNext/>
              <w:ind w:right="113"/>
            </w:pPr>
            <w:r w:rsidRPr="00D41506">
              <w:t xml:space="preserve">Ambulatory sensitive </w:t>
            </w:r>
            <w:r>
              <w:t>h</w:t>
            </w:r>
            <w:r w:rsidRPr="00D41506">
              <w:t>ospitalisations</w:t>
            </w:r>
          </w:p>
        </w:tc>
        <w:tc>
          <w:tcPr>
            <w:tcW w:w="2977" w:type="dxa"/>
            <w:tcBorders>
              <w:top w:val="single" w:sz="4" w:space="0" w:color="auto"/>
              <w:bottom w:val="dotted" w:sz="4" w:space="0" w:color="auto"/>
            </w:tcBorders>
            <w:shd w:val="clear" w:color="auto" w:fill="auto"/>
          </w:tcPr>
          <w:p w:rsidR="0030207B" w:rsidRPr="00D41506" w:rsidRDefault="00392223" w:rsidP="00392223">
            <w:pPr>
              <w:pStyle w:val="TableText"/>
              <w:keepNext/>
            </w:pPr>
            <w:r>
              <w:t>Ministry of Health</w:t>
            </w:r>
          </w:p>
        </w:tc>
      </w:tr>
      <w:tr w:rsidR="0030207B" w:rsidTr="00392223">
        <w:trPr>
          <w:cantSplit/>
        </w:trPr>
        <w:tc>
          <w:tcPr>
            <w:tcW w:w="2694" w:type="dxa"/>
            <w:tcBorders>
              <w:top w:val="dotted" w:sz="4" w:space="0" w:color="auto"/>
              <w:bottom w:val="dotted" w:sz="4" w:space="0" w:color="auto"/>
            </w:tcBorders>
            <w:shd w:val="clear" w:color="auto" w:fill="auto"/>
          </w:tcPr>
          <w:p w:rsidR="0030207B" w:rsidRPr="00D41506" w:rsidRDefault="0030207B" w:rsidP="00392223">
            <w:pPr>
              <w:pStyle w:val="TableText"/>
              <w:keepNext/>
            </w:pPr>
            <w:r w:rsidRPr="00D41506">
              <w:t>Reduced premature mortality</w:t>
            </w:r>
          </w:p>
        </w:tc>
        <w:tc>
          <w:tcPr>
            <w:tcW w:w="3685" w:type="dxa"/>
            <w:tcBorders>
              <w:top w:val="dotted" w:sz="4" w:space="0" w:color="auto"/>
              <w:bottom w:val="dotted" w:sz="4" w:space="0" w:color="auto"/>
            </w:tcBorders>
            <w:shd w:val="clear" w:color="auto" w:fill="auto"/>
          </w:tcPr>
          <w:p w:rsidR="0030207B" w:rsidRPr="00D41506" w:rsidRDefault="0030207B" w:rsidP="00392223">
            <w:pPr>
              <w:pStyle w:val="TableText"/>
              <w:keepNext/>
              <w:ind w:right="113"/>
            </w:pPr>
            <w:r>
              <w:t>Years of life lost</w:t>
            </w:r>
          </w:p>
        </w:tc>
        <w:tc>
          <w:tcPr>
            <w:tcW w:w="2977" w:type="dxa"/>
            <w:tcBorders>
              <w:top w:val="dotted" w:sz="4" w:space="0" w:color="auto"/>
              <w:bottom w:val="dotted" w:sz="4" w:space="0" w:color="auto"/>
            </w:tcBorders>
            <w:shd w:val="clear" w:color="auto" w:fill="auto"/>
          </w:tcPr>
          <w:p w:rsidR="0030207B" w:rsidRPr="00D41506" w:rsidRDefault="0030207B" w:rsidP="00392223">
            <w:pPr>
              <w:pStyle w:val="TableText"/>
              <w:keepNext/>
            </w:pPr>
            <w:r>
              <w:t>Ministry of Health</w:t>
            </w:r>
          </w:p>
        </w:tc>
      </w:tr>
      <w:tr w:rsidR="0030207B" w:rsidTr="00392223">
        <w:trPr>
          <w:cantSplit/>
        </w:trPr>
        <w:tc>
          <w:tcPr>
            <w:tcW w:w="2694" w:type="dxa"/>
            <w:tcBorders>
              <w:top w:val="dotted" w:sz="4" w:space="0" w:color="auto"/>
              <w:bottom w:val="dotted" w:sz="4" w:space="0" w:color="auto"/>
            </w:tcBorders>
            <w:shd w:val="clear" w:color="auto" w:fill="auto"/>
          </w:tcPr>
          <w:p w:rsidR="0030207B" w:rsidRPr="00D41506" w:rsidRDefault="0030207B" w:rsidP="00392223">
            <w:pPr>
              <w:pStyle w:val="TableText"/>
              <w:keepNext/>
            </w:pPr>
            <w:r w:rsidRPr="00D41506">
              <w:t>Life expectancy</w:t>
            </w:r>
          </w:p>
        </w:tc>
        <w:tc>
          <w:tcPr>
            <w:tcW w:w="3685" w:type="dxa"/>
            <w:tcBorders>
              <w:top w:val="dotted" w:sz="4" w:space="0" w:color="auto"/>
              <w:bottom w:val="dotted" w:sz="4" w:space="0" w:color="auto"/>
            </w:tcBorders>
            <w:shd w:val="clear" w:color="auto" w:fill="auto"/>
          </w:tcPr>
          <w:p w:rsidR="0030207B" w:rsidRPr="00D41506" w:rsidRDefault="00392223" w:rsidP="00392223">
            <w:pPr>
              <w:pStyle w:val="TableText"/>
              <w:keepNext/>
              <w:ind w:right="113"/>
            </w:pPr>
            <w:r>
              <w:t>Measured annually</w:t>
            </w:r>
          </w:p>
        </w:tc>
        <w:tc>
          <w:tcPr>
            <w:tcW w:w="2977" w:type="dxa"/>
            <w:tcBorders>
              <w:top w:val="dotted" w:sz="4" w:space="0" w:color="auto"/>
              <w:bottom w:val="dotted" w:sz="4" w:space="0" w:color="auto"/>
            </w:tcBorders>
            <w:shd w:val="clear" w:color="auto" w:fill="auto"/>
          </w:tcPr>
          <w:p w:rsidR="0030207B" w:rsidRPr="00D41506" w:rsidRDefault="0030207B" w:rsidP="00392223">
            <w:pPr>
              <w:pStyle w:val="TableText"/>
              <w:keepNext/>
            </w:pPr>
            <w:r w:rsidRPr="00D41506">
              <w:t>Statistics NZ</w:t>
            </w:r>
          </w:p>
        </w:tc>
      </w:tr>
      <w:tr w:rsidR="0030207B" w:rsidTr="00392223">
        <w:trPr>
          <w:cantSplit/>
        </w:trPr>
        <w:tc>
          <w:tcPr>
            <w:tcW w:w="2694" w:type="dxa"/>
            <w:tcBorders>
              <w:top w:val="dotted" w:sz="4" w:space="0" w:color="auto"/>
              <w:bottom w:val="dotted" w:sz="4" w:space="0" w:color="auto"/>
            </w:tcBorders>
            <w:shd w:val="clear" w:color="auto" w:fill="auto"/>
          </w:tcPr>
          <w:p w:rsidR="0030207B" w:rsidRPr="00D41506" w:rsidRDefault="0030207B" w:rsidP="00392223">
            <w:pPr>
              <w:pStyle w:val="TableText"/>
              <w:keepNext/>
            </w:pPr>
            <w:r w:rsidRPr="00D41506">
              <w:t>Medication adherence</w:t>
            </w:r>
          </w:p>
        </w:tc>
        <w:tc>
          <w:tcPr>
            <w:tcW w:w="3685" w:type="dxa"/>
            <w:tcBorders>
              <w:top w:val="dotted" w:sz="4" w:space="0" w:color="auto"/>
              <w:bottom w:val="dotted" w:sz="4" w:space="0" w:color="auto"/>
            </w:tcBorders>
            <w:shd w:val="clear" w:color="auto" w:fill="auto"/>
          </w:tcPr>
          <w:p w:rsidR="0030207B" w:rsidRPr="00D41506" w:rsidRDefault="0030207B" w:rsidP="00392223">
            <w:pPr>
              <w:pStyle w:val="TableText"/>
              <w:keepNext/>
              <w:ind w:right="113"/>
            </w:pPr>
            <w:r w:rsidRPr="00D41506">
              <w:t>Prescriptions filled 3 out of 4 quarters</w:t>
            </w:r>
          </w:p>
        </w:tc>
        <w:tc>
          <w:tcPr>
            <w:tcW w:w="2977" w:type="dxa"/>
            <w:tcBorders>
              <w:top w:val="dotted" w:sz="4" w:space="0" w:color="auto"/>
              <w:bottom w:val="dotted" w:sz="4" w:space="0" w:color="auto"/>
            </w:tcBorders>
            <w:shd w:val="clear" w:color="auto" w:fill="auto"/>
          </w:tcPr>
          <w:p w:rsidR="0030207B" w:rsidRPr="00D41506" w:rsidRDefault="0030207B" w:rsidP="00392223">
            <w:pPr>
              <w:pStyle w:val="TableText"/>
              <w:keepNext/>
            </w:pPr>
            <w:r>
              <w:t>Health Quality and Safety C</w:t>
            </w:r>
            <w:r w:rsidR="00392223">
              <w:t>ommission</w:t>
            </w:r>
          </w:p>
        </w:tc>
      </w:tr>
      <w:tr w:rsidR="0030207B" w:rsidTr="00392223">
        <w:trPr>
          <w:cantSplit/>
        </w:trPr>
        <w:tc>
          <w:tcPr>
            <w:tcW w:w="2694" w:type="dxa"/>
            <w:tcBorders>
              <w:top w:val="dotted" w:sz="4" w:space="0" w:color="auto"/>
              <w:bottom w:val="dotted" w:sz="4" w:space="0" w:color="auto"/>
            </w:tcBorders>
            <w:shd w:val="clear" w:color="auto" w:fill="auto"/>
          </w:tcPr>
          <w:p w:rsidR="0030207B" w:rsidRPr="00D41506" w:rsidRDefault="0030207B" w:rsidP="00392223">
            <w:pPr>
              <w:pStyle w:val="TableText"/>
              <w:keepNext/>
            </w:pPr>
            <w:r w:rsidRPr="00D41506">
              <w:t>Patient activation</w:t>
            </w:r>
          </w:p>
        </w:tc>
        <w:tc>
          <w:tcPr>
            <w:tcW w:w="3685" w:type="dxa"/>
            <w:tcBorders>
              <w:top w:val="dotted" w:sz="4" w:space="0" w:color="auto"/>
              <w:bottom w:val="dotted" w:sz="4" w:space="0" w:color="auto"/>
            </w:tcBorders>
            <w:shd w:val="clear" w:color="auto" w:fill="auto"/>
          </w:tcPr>
          <w:p w:rsidR="0030207B" w:rsidRPr="00D41506" w:rsidRDefault="0030207B" w:rsidP="00392223">
            <w:pPr>
              <w:pStyle w:val="TableText"/>
              <w:keepNext/>
              <w:ind w:right="113"/>
            </w:pPr>
            <w:r>
              <w:t>Patient activation measure (PAM)</w:t>
            </w:r>
          </w:p>
        </w:tc>
        <w:tc>
          <w:tcPr>
            <w:tcW w:w="2977" w:type="dxa"/>
            <w:tcBorders>
              <w:top w:val="dotted" w:sz="4" w:space="0" w:color="auto"/>
              <w:bottom w:val="dotted" w:sz="4" w:space="0" w:color="auto"/>
            </w:tcBorders>
            <w:shd w:val="clear" w:color="auto" w:fill="auto"/>
          </w:tcPr>
          <w:p w:rsidR="0030207B" w:rsidRPr="00D41506" w:rsidRDefault="0030207B" w:rsidP="00392223">
            <w:pPr>
              <w:pStyle w:val="TableText"/>
              <w:keepNext/>
            </w:pPr>
            <w:r>
              <w:t>Hibberd et al 2014</w:t>
            </w:r>
          </w:p>
        </w:tc>
      </w:tr>
      <w:tr w:rsidR="0030207B" w:rsidTr="00392223">
        <w:trPr>
          <w:cantSplit/>
        </w:trPr>
        <w:tc>
          <w:tcPr>
            <w:tcW w:w="2694" w:type="dxa"/>
            <w:vMerge w:val="restart"/>
            <w:tcBorders>
              <w:top w:val="dotted" w:sz="4" w:space="0" w:color="auto"/>
              <w:bottom w:val="dotted" w:sz="4" w:space="0" w:color="auto"/>
            </w:tcBorders>
            <w:shd w:val="clear" w:color="auto" w:fill="auto"/>
          </w:tcPr>
          <w:p w:rsidR="0030207B" w:rsidRPr="00D41506" w:rsidRDefault="00392223" w:rsidP="00392223">
            <w:pPr>
              <w:pStyle w:val="TableText"/>
              <w:keepNext/>
            </w:pPr>
            <w:r>
              <w:t>Chronic illness care</w:t>
            </w:r>
          </w:p>
        </w:tc>
        <w:tc>
          <w:tcPr>
            <w:tcW w:w="3685" w:type="dxa"/>
            <w:tcBorders>
              <w:top w:val="dotted" w:sz="4" w:space="0" w:color="auto"/>
              <w:bottom w:val="dotted" w:sz="4" w:space="0" w:color="auto"/>
            </w:tcBorders>
            <w:shd w:val="clear" w:color="auto" w:fill="auto"/>
          </w:tcPr>
          <w:p w:rsidR="0030207B" w:rsidRPr="00D41506" w:rsidRDefault="0030207B" w:rsidP="00392223">
            <w:pPr>
              <w:pStyle w:val="TableText"/>
              <w:keepNext/>
              <w:ind w:right="113"/>
            </w:pPr>
            <w:r w:rsidRPr="00D41506">
              <w:t>Assessment of chronic illness care (ACIC)</w:t>
            </w:r>
            <w:r>
              <w:t xml:space="preserve"> – system level</w:t>
            </w:r>
          </w:p>
        </w:tc>
        <w:tc>
          <w:tcPr>
            <w:tcW w:w="2977" w:type="dxa"/>
            <w:tcBorders>
              <w:top w:val="dotted" w:sz="4" w:space="0" w:color="auto"/>
              <w:bottom w:val="dotted" w:sz="4" w:space="0" w:color="auto"/>
            </w:tcBorders>
            <w:shd w:val="clear" w:color="auto" w:fill="auto"/>
          </w:tcPr>
          <w:p w:rsidR="0030207B" w:rsidRPr="00D41506" w:rsidRDefault="0030207B" w:rsidP="00392223">
            <w:pPr>
              <w:pStyle w:val="TableText"/>
              <w:keepNext/>
            </w:pPr>
            <w:r w:rsidRPr="00B5471C">
              <w:t>www.improvingchroniccare.org</w:t>
            </w:r>
          </w:p>
        </w:tc>
      </w:tr>
      <w:tr w:rsidR="0030207B" w:rsidTr="00392223">
        <w:trPr>
          <w:cantSplit/>
        </w:trPr>
        <w:tc>
          <w:tcPr>
            <w:tcW w:w="2694" w:type="dxa"/>
            <w:vMerge/>
            <w:tcBorders>
              <w:top w:val="dotted" w:sz="4" w:space="0" w:color="auto"/>
              <w:bottom w:val="dotted" w:sz="4" w:space="0" w:color="auto"/>
            </w:tcBorders>
            <w:shd w:val="clear" w:color="auto" w:fill="auto"/>
          </w:tcPr>
          <w:p w:rsidR="0030207B" w:rsidRPr="00D41506" w:rsidRDefault="0030207B" w:rsidP="00392223">
            <w:pPr>
              <w:pStyle w:val="TableText"/>
              <w:keepNext/>
            </w:pPr>
          </w:p>
        </w:tc>
        <w:tc>
          <w:tcPr>
            <w:tcW w:w="3685" w:type="dxa"/>
            <w:tcBorders>
              <w:top w:val="dotted" w:sz="4" w:space="0" w:color="auto"/>
              <w:bottom w:val="dotted" w:sz="4" w:space="0" w:color="auto"/>
            </w:tcBorders>
            <w:shd w:val="clear" w:color="auto" w:fill="auto"/>
          </w:tcPr>
          <w:p w:rsidR="0030207B" w:rsidRPr="00D41506" w:rsidRDefault="0030207B" w:rsidP="00392223">
            <w:pPr>
              <w:pStyle w:val="TableText"/>
              <w:keepNext/>
              <w:ind w:right="113"/>
            </w:pPr>
            <w:r w:rsidRPr="00D41506">
              <w:t xml:space="preserve">Patient </w:t>
            </w:r>
            <w:r w:rsidR="00392223">
              <w:t>a</w:t>
            </w:r>
            <w:r w:rsidRPr="00D41506">
              <w:t>ssessment of chronic illness care (PACIC)</w:t>
            </w:r>
          </w:p>
        </w:tc>
        <w:tc>
          <w:tcPr>
            <w:tcW w:w="2977" w:type="dxa"/>
            <w:tcBorders>
              <w:top w:val="dotted" w:sz="4" w:space="0" w:color="auto"/>
              <w:bottom w:val="dotted" w:sz="4" w:space="0" w:color="auto"/>
            </w:tcBorders>
            <w:shd w:val="clear" w:color="auto" w:fill="auto"/>
          </w:tcPr>
          <w:p w:rsidR="0030207B" w:rsidRPr="00D41506" w:rsidRDefault="0030207B" w:rsidP="00392223">
            <w:pPr>
              <w:pStyle w:val="TableText"/>
              <w:keepNext/>
            </w:pPr>
            <w:r w:rsidRPr="00B5471C">
              <w:t>www.improvingchroniccare.org</w:t>
            </w:r>
          </w:p>
        </w:tc>
      </w:tr>
      <w:tr w:rsidR="0030207B" w:rsidTr="00392223">
        <w:trPr>
          <w:cantSplit/>
        </w:trPr>
        <w:tc>
          <w:tcPr>
            <w:tcW w:w="2694" w:type="dxa"/>
            <w:tcBorders>
              <w:top w:val="dotted" w:sz="4" w:space="0" w:color="auto"/>
              <w:bottom w:val="dotted" w:sz="4" w:space="0" w:color="auto"/>
            </w:tcBorders>
            <w:shd w:val="clear" w:color="auto" w:fill="auto"/>
          </w:tcPr>
          <w:p w:rsidR="0030207B" w:rsidRPr="00D41506" w:rsidRDefault="0030207B" w:rsidP="00392223">
            <w:pPr>
              <w:pStyle w:val="TableText"/>
              <w:keepNext/>
            </w:pPr>
            <w:r w:rsidRPr="00D41506">
              <w:t>Level of self</w:t>
            </w:r>
            <w:r>
              <w:t>-</w:t>
            </w:r>
            <w:r w:rsidRPr="00D41506">
              <w:t>management</w:t>
            </w:r>
          </w:p>
        </w:tc>
        <w:tc>
          <w:tcPr>
            <w:tcW w:w="3685" w:type="dxa"/>
            <w:tcBorders>
              <w:top w:val="dotted" w:sz="4" w:space="0" w:color="auto"/>
              <w:bottom w:val="dotted" w:sz="4" w:space="0" w:color="auto"/>
            </w:tcBorders>
            <w:shd w:val="clear" w:color="auto" w:fill="auto"/>
          </w:tcPr>
          <w:p w:rsidR="0030207B" w:rsidRPr="00D41506" w:rsidRDefault="0030207B" w:rsidP="00392223">
            <w:pPr>
              <w:pStyle w:val="TableText"/>
              <w:keepNext/>
              <w:ind w:right="113"/>
            </w:pPr>
            <w:r w:rsidRPr="00D41506">
              <w:t>Partners in Health</w:t>
            </w:r>
            <w:r>
              <w:t xml:space="preserve"> Scale</w:t>
            </w:r>
          </w:p>
        </w:tc>
        <w:tc>
          <w:tcPr>
            <w:tcW w:w="2977" w:type="dxa"/>
            <w:tcBorders>
              <w:top w:val="dotted" w:sz="4" w:space="0" w:color="auto"/>
              <w:bottom w:val="dotted" w:sz="4" w:space="0" w:color="auto"/>
            </w:tcBorders>
            <w:shd w:val="clear" w:color="auto" w:fill="auto"/>
          </w:tcPr>
          <w:p w:rsidR="0030207B" w:rsidRPr="00D41506" w:rsidRDefault="0030207B" w:rsidP="00392223">
            <w:pPr>
              <w:pStyle w:val="TableText"/>
              <w:keepNext/>
            </w:pPr>
            <w:r w:rsidRPr="00B5471C">
              <w:t>www.flinders.edu.au/medicine/sites/fhbhru/self-management.cfm</w:t>
            </w:r>
          </w:p>
        </w:tc>
      </w:tr>
      <w:tr w:rsidR="0030207B" w:rsidTr="00392223">
        <w:trPr>
          <w:cantSplit/>
        </w:trPr>
        <w:tc>
          <w:tcPr>
            <w:tcW w:w="2694" w:type="dxa"/>
            <w:tcBorders>
              <w:top w:val="dotted" w:sz="4" w:space="0" w:color="auto"/>
              <w:bottom w:val="dotted" w:sz="4" w:space="0" w:color="auto"/>
            </w:tcBorders>
            <w:shd w:val="clear" w:color="auto" w:fill="auto"/>
          </w:tcPr>
          <w:p w:rsidR="0030207B" w:rsidRPr="00D41506" w:rsidRDefault="0030207B" w:rsidP="00392223">
            <w:pPr>
              <w:pStyle w:val="TableText"/>
            </w:pPr>
            <w:r w:rsidRPr="00D41506">
              <w:t>Health education impact</w:t>
            </w:r>
          </w:p>
        </w:tc>
        <w:tc>
          <w:tcPr>
            <w:tcW w:w="3685" w:type="dxa"/>
            <w:tcBorders>
              <w:top w:val="dotted" w:sz="4" w:space="0" w:color="auto"/>
              <w:bottom w:val="dotted" w:sz="4" w:space="0" w:color="auto"/>
            </w:tcBorders>
            <w:shd w:val="clear" w:color="auto" w:fill="auto"/>
          </w:tcPr>
          <w:p w:rsidR="0030207B" w:rsidRPr="00D41506" w:rsidRDefault="0030207B" w:rsidP="00392223">
            <w:pPr>
              <w:pStyle w:val="TableText"/>
              <w:ind w:right="113"/>
            </w:pPr>
            <w:r w:rsidRPr="00D41506">
              <w:t>Health education impact</w:t>
            </w:r>
            <w:r>
              <w:t xml:space="preserve"> evaluation</w:t>
            </w:r>
            <w:r w:rsidRPr="00D41506">
              <w:t xml:space="preserve"> questionnaire (HeiQ)</w:t>
            </w:r>
          </w:p>
        </w:tc>
        <w:tc>
          <w:tcPr>
            <w:tcW w:w="2977" w:type="dxa"/>
            <w:tcBorders>
              <w:top w:val="dotted" w:sz="4" w:space="0" w:color="auto"/>
              <w:bottom w:val="dotted" w:sz="4" w:space="0" w:color="auto"/>
            </w:tcBorders>
            <w:shd w:val="clear" w:color="auto" w:fill="auto"/>
          </w:tcPr>
          <w:p w:rsidR="0030207B" w:rsidRPr="00D41506" w:rsidRDefault="0030207B" w:rsidP="00392223">
            <w:pPr>
              <w:pStyle w:val="TableText"/>
            </w:pPr>
            <w:r w:rsidRPr="00B5471C">
              <w:t>www.deakin.edu.au/health/research/phi/heiQ.php</w:t>
            </w:r>
          </w:p>
        </w:tc>
      </w:tr>
      <w:tr w:rsidR="0030207B" w:rsidTr="00392223">
        <w:trPr>
          <w:cantSplit/>
        </w:trPr>
        <w:tc>
          <w:tcPr>
            <w:tcW w:w="2694" w:type="dxa"/>
            <w:tcBorders>
              <w:top w:val="dotted" w:sz="4" w:space="0" w:color="auto"/>
              <w:bottom w:val="dotted" w:sz="4" w:space="0" w:color="auto"/>
            </w:tcBorders>
            <w:shd w:val="clear" w:color="auto" w:fill="auto"/>
          </w:tcPr>
          <w:p w:rsidR="0030207B" w:rsidRPr="00D41506" w:rsidRDefault="0030207B" w:rsidP="00392223">
            <w:pPr>
              <w:pStyle w:val="TableText"/>
            </w:pPr>
            <w:r w:rsidRPr="00D41506">
              <w:t xml:space="preserve">Primary care </w:t>
            </w:r>
            <w:r>
              <w:t>self-management support</w:t>
            </w:r>
          </w:p>
        </w:tc>
        <w:tc>
          <w:tcPr>
            <w:tcW w:w="3685" w:type="dxa"/>
            <w:tcBorders>
              <w:top w:val="dotted" w:sz="4" w:space="0" w:color="auto"/>
              <w:bottom w:val="dotted" w:sz="4" w:space="0" w:color="auto"/>
            </w:tcBorders>
            <w:shd w:val="clear" w:color="auto" w:fill="auto"/>
          </w:tcPr>
          <w:p w:rsidR="0030207B" w:rsidRPr="00D41506" w:rsidRDefault="0030207B" w:rsidP="00392223">
            <w:pPr>
              <w:pStyle w:val="TableText"/>
              <w:ind w:right="113"/>
            </w:pPr>
            <w:r w:rsidRPr="00D41506">
              <w:t>PCRS</w:t>
            </w:r>
            <w:r>
              <w:t xml:space="preserve"> tool</w:t>
            </w:r>
          </w:p>
        </w:tc>
        <w:tc>
          <w:tcPr>
            <w:tcW w:w="2977" w:type="dxa"/>
            <w:tcBorders>
              <w:top w:val="dotted" w:sz="4" w:space="0" w:color="auto"/>
              <w:bottom w:val="dotted" w:sz="4" w:space="0" w:color="auto"/>
            </w:tcBorders>
            <w:shd w:val="clear" w:color="auto" w:fill="auto"/>
          </w:tcPr>
          <w:p w:rsidR="0030207B" w:rsidRPr="00D41506" w:rsidRDefault="0030207B" w:rsidP="00392223">
            <w:pPr>
              <w:pStyle w:val="TableText"/>
            </w:pPr>
            <w:r>
              <w:t>Robert Wood Johnson Foundation Diabetes initiative</w:t>
            </w:r>
          </w:p>
        </w:tc>
      </w:tr>
      <w:tr w:rsidR="0030207B" w:rsidTr="00392223">
        <w:trPr>
          <w:cantSplit/>
        </w:trPr>
        <w:tc>
          <w:tcPr>
            <w:tcW w:w="2694" w:type="dxa"/>
            <w:tcBorders>
              <w:top w:val="dotted" w:sz="4" w:space="0" w:color="auto"/>
            </w:tcBorders>
            <w:shd w:val="clear" w:color="auto" w:fill="auto"/>
          </w:tcPr>
          <w:p w:rsidR="0030207B" w:rsidRPr="00D41506" w:rsidRDefault="0030207B" w:rsidP="00392223">
            <w:pPr>
              <w:pStyle w:val="TableText"/>
            </w:pPr>
            <w:r>
              <w:t>Risk behaviours</w:t>
            </w:r>
          </w:p>
        </w:tc>
        <w:tc>
          <w:tcPr>
            <w:tcW w:w="3685" w:type="dxa"/>
            <w:tcBorders>
              <w:top w:val="dotted" w:sz="4" w:space="0" w:color="auto"/>
            </w:tcBorders>
            <w:shd w:val="clear" w:color="auto" w:fill="auto"/>
          </w:tcPr>
          <w:p w:rsidR="0030207B" w:rsidRPr="00D41506" w:rsidRDefault="0030207B" w:rsidP="00392223">
            <w:pPr>
              <w:pStyle w:val="TableText"/>
              <w:ind w:right="113"/>
            </w:pPr>
            <w:r>
              <w:t>Smoking cessation</w:t>
            </w:r>
          </w:p>
        </w:tc>
        <w:tc>
          <w:tcPr>
            <w:tcW w:w="2977" w:type="dxa"/>
            <w:tcBorders>
              <w:top w:val="dotted" w:sz="4" w:space="0" w:color="auto"/>
            </w:tcBorders>
            <w:shd w:val="clear" w:color="auto" w:fill="auto"/>
          </w:tcPr>
          <w:p w:rsidR="0030207B" w:rsidRDefault="0030207B" w:rsidP="00392223">
            <w:pPr>
              <w:pStyle w:val="TableText"/>
            </w:pPr>
            <w:r w:rsidRPr="00D623C0">
              <w:t>NZHS</w:t>
            </w:r>
          </w:p>
        </w:tc>
      </w:tr>
    </w:tbl>
    <w:p w:rsidR="0030207B" w:rsidRDefault="0030207B" w:rsidP="0030207B"/>
    <w:p w:rsidR="00392223" w:rsidRDefault="00392223" w:rsidP="00392223">
      <w:r>
        <w:br w:type="page"/>
      </w:r>
    </w:p>
    <w:p w:rsidR="0030207B" w:rsidRPr="00440C29" w:rsidRDefault="0030207B" w:rsidP="00392223">
      <w:pPr>
        <w:pStyle w:val="Heading1"/>
      </w:pPr>
      <w:bookmarkStart w:id="26" w:name="_Toc442253026"/>
      <w:r>
        <w:lastRenderedPageBreak/>
        <w:t>4</w:t>
      </w:r>
      <w:r w:rsidR="00392223">
        <w:tab/>
      </w:r>
      <w:r>
        <w:t>Conclusion</w:t>
      </w:r>
      <w:bookmarkEnd w:id="26"/>
    </w:p>
    <w:p w:rsidR="0030207B" w:rsidRDefault="0030207B" w:rsidP="00392223">
      <w:r>
        <w:t>People with the most to gain from being supported to self-manage are those with the greatest health burden, or those facing the worst outcomes. While concentrating on those with the greatest level of need at the top of the care planning pyramid (Appendix 1), health professionals must be careful to:</w:t>
      </w:r>
    </w:p>
    <w:p w:rsidR="0030207B" w:rsidRDefault="0030207B" w:rsidP="00392223">
      <w:pPr>
        <w:pStyle w:val="Bullet"/>
      </w:pPr>
      <w:r>
        <w:t>support those with less need but greater potential for deterioration</w:t>
      </w:r>
    </w:p>
    <w:p w:rsidR="0030207B" w:rsidRDefault="0030207B" w:rsidP="00392223">
      <w:pPr>
        <w:pStyle w:val="Bullet"/>
      </w:pPr>
      <w:proofErr w:type="gramStart"/>
      <w:r>
        <w:t>keep</w:t>
      </w:r>
      <w:proofErr w:type="gramEnd"/>
      <w:r>
        <w:t xml:space="preserve"> those with the least need as well as possible.</w:t>
      </w:r>
    </w:p>
    <w:p w:rsidR="0030207B" w:rsidRDefault="0030207B" w:rsidP="00392223"/>
    <w:p w:rsidR="0030207B" w:rsidRDefault="0030207B" w:rsidP="00392223">
      <w:r>
        <w:t>It is also useful to consider the stage of people’s health and disease course – see Table 1. With limited resource, you can prioritise the people with the most to gain from support by knowing your population and classifying them according to their level of risk.</w:t>
      </w:r>
    </w:p>
    <w:p w:rsidR="0030207B" w:rsidRDefault="0030207B" w:rsidP="00392223"/>
    <w:p w:rsidR="0030207B" w:rsidRDefault="0030207B" w:rsidP="00392223">
      <w:pPr>
        <w:pStyle w:val="Heading1"/>
      </w:pPr>
      <w:r>
        <w:br w:type="page"/>
      </w:r>
      <w:bookmarkStart w:id="27" w:name="_Toc442253027"/>
      <w:r w:rsidRPr="00E443F1">
        <w:lastRenderedPageBreak/>
        <w:t>References</w:t>
      </w:r>
      <w:bookmarkEnd w:id="27"/>
    </w:p>
    <w:p w:rsidR="0030207B" w:rsidRDefault="0030207B" w:rsidP="00392223">
      <w:pPr>
        <w:pStyle w:val="References"/>
        <w:rPr>
          <w:b/>
          <w:szCs w:val="24"/>
        </w:rPr>
      </w:pPr>
      <w:r>
        <w:t xml:space="preserve">Battersby M, Von Korff M, Schaefer J, et al. 2010. Twelve evidence-based principles for implementing self-management support in primary care. </w:t>
      </w:r>
      <w:r>
        <w:rPr>
          <w:i/>
        </w:rPr>
        <w:t xml:space="preserve">Joint Commission Journal on Quality and Patient Safety </w:t>
      </w:r>
      <w:r>
        <w:t>36(12): 561–70.</w:t>
      </w:r>
    </w:p>
    <w:p w:rsidR="0030207B" w:rsidRPr="00E4780F" w:rsidRDefault="0030207B" w:rsidP="00392223">
      <w:pPr>
        <w:pStyle w:val="References"/>
      </w:pPr>
      <w:r w:rsidRPr="00D41506">
        <w:rPr>
          <w:rFonts w:cs="Arial"/>
          <w:color w:val="000000"/>
        </w:rPr>
        <w:t>Bratzke LC,</w:t>
      </w:r>
      <w:r>
        <w:rPr>
          <w:rFonts w:cs="Arial"/>
          <w:color w:val="000000"/>
        </w:rPr>
        <w:t xml:space="preserve"> Muehrer RH, Kehl KA,</w:t>
      </w:r>
      <w:r w:rsidRPr="00D41506">
        <w:rPr>
          <w:rFonts w:cs="Arial"/>
          <w:color w:val="000000"/>
        </w:rPr>
        <w:t xml:space="preserve"> et al. 2015. Self-management priority setting and decision-making in adults with multimorbidity: a narrative review of literature. </w:t>
      </w:r>
      <w:r w:rsidRPr="00471B37">
        <w:rPr>
          <w:i/>
        </w:rPr>
        <w:t>Int</w:t>
      </w:r>
      <w:r>
        <w:rPr>
          <w:i/>
        </w:rPr>
        <w:t>ernational</w:t>
      </w:r>
      <w:r w:rsidRPr="00471B37">
        <w:rPr>
          <w:i/>
        </w:rPr>
        <w:t xml:space="preserve"> J</w:t>
      </w:r>
      <w:r>
        <w:rPr>
          <w:i/>
        </w:rPr>
        <w:t>ournal of</w:t>
      </w:r>
      <w:r w:rsidRPr="00471B37">
        <w:rPr>
          <w:i/>
        </w:rPr>
        <w:t xml:space="preserve"> Nurs</w:t>
      </w:r>
      <w:r>
        <w:rPr>
          <w:i/>
        </w:rPr>
        <w:t>ing</w:t>
      </w:r>
      <w:r w:rsidRPr="00471B37">
        <w:rPr>
          <w:i/>
        </w:rPr>
        <w:t xml:space="preserve"> Stud</w:t>
      </w:r>
      <w:r>
        <w:rPr>
          <w:i/>
        </w:rPr>
        <w:t>ies</w:t>
      </w:r>
      <w:r w:rsidRPr="00471B37">
        <w:rPr>
          <w:i/>
        </w:rPr>
        <w:t xml:space="preserve"> </w:t>
      </w:r>
      <w:r w:rsidRPr="00471B37">
        <w:t>52</w:t>
      </w:r>
      <w:r w:rsidRPr="00D41506">
        <w:rPr>
          <w:rFonts w:cs="Arial"/>
          <w:color w:val="000000"/>
        </w:rPr>
        <w:t>(3): 744</w:t>
      </w:r>
      <w:r>
        <w:rPr>
          <w:rFonts w:cs="Arial"/>
          <w:color w:val="000000"/>
        </w:rPr>
        <w:t>–</w:t>
      </w:r>
      <w:r w:rsidRPr="00D41506">
        <w:rPr>
          <w:rFonts w:cs="Arial"/>
          <w:color w:val="000000"/>
        </w:rPr>
        <w:t>55.</w:t>
      </w:r>
    </w:p>
    <w:p w:rsidR="0030207B" w:rsidRDefault="0030207B" w:rsidP="00392223">
      <w:pPr>
        <w:pStyle w:val="References"/>
        <w:rPr>
          <w:highlight w:val="yellow"/>
        </w:rPr>
      </w:pPr>
      <w:r>
        <w:t>Bycroft J</w:t>
      </w:r>
      <w:r w:rsidR="00392223">
        <w:t>,</w:t>
      </w:r>
      <w:r>
        <w:t xml:space="preserve"> Flanagan P</w:t>
      </w:r>
      <w:r w:rsidR="00392223">
        <w:t>. 2014. URL: www.</w:t>
      </w:r>
      <w:r w:rsidRPr="00F90AA9">
        <w:t>assets.healthnavigator.org.nz/2014/04/CarePlanningworkshopCountiesManukauApril2014-updated17April14.pdf</w:t>
      </w:r>
    </w:p>
    <w:p w:rsidR="0030207B" w:rsidRDefault="0030207B" w:rsidP="00392223">
      <w:pPr>
        <w:pStyle w:val="References"/>
      </w:pPr>
      <w:proofErr w:type="gramStart"/>
      <w:r w:rsidRPr="00485A7A">
        <w:t>Cochrane</w:t>
      </w:r>
      <w:r w:rsidR="00392223">
        <w:t>.</w:t>
      </w:r>
      <w:proofErr w:type="gramEnd"/>
      <w:r w:rsidRPr="00485A7A">
        <w:t xml:space="preserve"> 2015</w:t>
      </w:r>
      <w:r w:rsidR="00392223">
        <w:t>.</w:t>
      </w:r>
      <w:r>
        <w:t xml:space="preserve"> Personalised care planning for adults with chronic or long term health conditions (Review)</w:t>
      </w:r>
      <w:r w:rsidR="00392223">
        <w:t xml:space="preserve">. </w:t>
      </w:r>
      <w:proofErr w:type="gramStart"/>
      <w:r>
        <w:t>Coulter</w:t>
      </w:r>
      <w:r w:rsidR="00EB34D0">
        <w:t xml:space="preserve"> </w:t>
      </w:r>
      <w:r>
        <w:t>A</w:t>
      </w:r>
      <w:r w:rsidR="00392223">
        <w:t>,</w:t>
      </w:r>
      <w:r>
        <w:t xml:space="preserve"> et al</w:t>
      </w:r>
      <w:r w:rsidR="00392223">
        <w:t>.</w:t>
      </w:r>
      <w:proofErr w:type="gramEnd"/>
      <w:r w:rsidR="00392223">
        <w:t xml:space="preserve"> </w:t>
      </w:r>
      <w:proofErr w:type="gramStart"/>
      <w:r>
        <w:t>The Cochrane Collaboration, The Cochrane Library 2015, issue 3.</w:t>
      </w:r>
      <w:proofErr w:type="gramEnd"/>
    </w:p>
    <w:p w:rsidR="0030207B" w:rsidRPr="00E4780F" w:rsidRDefault="0030207B" w:rsidP="00392223">
      <w:pPr>
        <w:pStyle w:val="References"/>
      </w:pPr>
      <w:r>
        <w:t xml:space="preserve">Flanagan P, Moffat J, Healey K, </w:t>
      </w:r>
      <w:r w:rsidR="00392223">
        <w:t>et al</w:t>
      </w:r>
      <w:r>
        <w:t>. 2014. Learnings from a project to develop a generic self</w:t>
      </w:r>
      <w:r w:rsidR="00392223">
        <w:t>-</w:t>
      </w:r>
      <w:r>
        <w:t>management care plan for long</w:t>
      </w:r>
      <w:r w:rsidR="00392223">
        <w:t>-</w:t>
      </w:r>
      <w:r>
        <w:t>term conditions. Alliance Health Plus.</w:t>
      </w:r>
    </w:p>
    <w:p w:rsidR="0030207B" w:rsidRPr="0030207B" w:rsidRDefault="0030207B" w:rsidP="00392223">
      <w:pPr>
        <w:pStyle w:val="References"/>
        <w:rPr>
          <w:rFonts w:cs="Arial"/>
        </w:rPr>
      </w:pPr>
      <w:r w:rsidRPr="00E4780F">
        <w:rPr>
          <w:rFonts w:cs="Arial"/>
        </w:rPr>
        <w:t>Flinders Human Behaviour and Health Research Unit. 2006.</w:t>
      </w:r>
      <w:r w:rsidRPr="00E4780F">
        <w:rPr>
          <w:rFonts w:cs="Arial"/>
          <w:i/>
        </w:rPr>
        <w:t xml:space="preserve"> </w:t>
      </w:r>
      <w:r w:rsidRPr="00E4780F">
        <w:rPr>
          <w:rFonts w:cs="Arial"/>
        </w:rPr>
        <w:t>The Flinders Program</w:t>
      </w:r>
      <w:r w:rsidRPr="00E4780F">
        <w:rPr>
          <w:rFonts w:cs="Arial"/>
          <w:i/>
        </w:rPr>
        <w:t>™</w:t>
      </w:r>
      <w:r w:rsidRPr="00E4780F">
        <w:rPr>
          <w:rFonts w:cs="Arial"/>
        </w:rPr>
        <w:t xml:space="preserve">. </w:t>
      </w:r>
      <w:r w:rsidRPr="0030207B">
        <w:rPr>
          <w:rFonts w:cs="Arial"/>
        </w:rPr>
        <w:t xml:space="preserve">URL: </w:t>
      </w:r>
      <w:hyperlink r:id="rId29" w:history="1">
        <w:r w:rsidRPr="0030207B">
          <w:rPr>
            <w:rStyle w:val="Hyperlink"/>
            <w:rFonts w:cs="Arial"/>
          </w:rPr>
          <w:t>www.flinders.edu.au/medicine/sites/fhbhru/self-management.cfm</w:t>
        </w:r>
      </w:hyperlink>
      <w:r w:rsidRPr="0030207B">
        <w:rPr>
          <w:rFonts w:cs="Arial"/>
        </w:rPr>
        <w:t xml:space="preserve"> (accessed 14 September 2014).</w:t>
      </w:r>
    </w:p>
    <w:p w:rsidR="0030207B" w:rsidRDefault="0030207B" w:rsidP="00392223">
      <w:pPr>
        <w:pStyle w:val="References"/>
        <w:rPr>
          <w:rFonts w:cs="Arial"/>
          <w:color w:val="000000"/>
        </w:rPr>
      </w:pPr>
      <w:r w:rsidRPr="00D41506">
        <w:rPr>
          <w:rFonts w:cs="Arial"/>
          <w:color w:val="000000"/>
        </w:rPr>
        <w:t>Gee PM,</w:t>
      </w:r>
      <w:r>
        <w:rPr>
          <w:rFonts w:cs="Arial"/>
          <w:color w:val="000000"/>
        </w:rPr>
        <w:t xml:space="preserve"> Greenwood DA, Paterniti DA,</w:t>
      </w:r>
      <w:r w:rsidRPr="00D41506">
        <w:rPr>
          <w:rFonts w:cs="Arial"/>
          <w:color w:val="000000"/>
        </w:rPr>
        <w:t xml:space="preserve"> et al. 2015. The eHealth Enhanced Chronic Care Model: a theory derivation approach. </w:t>
      </w:r>
      <w:r w:rsidRPr="002E487F">
        <w:rPr>
          <w:rFonts w:cs="Arial"/>
          <w:i/>
          <w:color w:val="000000"/>
        </w:rPr>
        <w:t>J</w:t>
      </w:r>
      <w:r>
        <w:rPr>
          <w:rFonts w:cs="Arial"/>
          <w:i/>
          <w:color w:val="000000"/>
        </w:rPr>
        <w:t>ournal of</w:t>
      </w:r>
      <w:r w:rsidRPr="002E487F">
        <w:rPr>
          <w:rFonts w:cs="Arial"/>
          <w:i/>
          <w:color w:val="000000"/>
        </w:rPr>
        <w:t xml:space="preserve"> Med</w:t>
      </w:r>
      <w:r>
        <w:rPr>
          <w:rFonts w:cs="Arial"/>
          <w:i/>
          <w:color w:val="000000"/>
        </w:rPr>
        <w:t>ical</w:t>
      </w:r>
      <w:r w:rsidRPr="002E487F">
        <w:rPr>
          <w:rFonts w:cs="Arial"/>
          <w:i/>
          <w:color w:val="000000"/>
        </w:rPr>
        <w:t xml:space="preserve"> Internet Res</w:t>
      </w:r>
      <w:r>
        <w:rPr>
          <w:rFonts w:cs="Arial"/>
          <w:i/>
          <w:color w:val="000000"/>
        </w:rPr>
        <w:t>earch</w:t>
      </w:r>
      <w:r w:rsidRPr="00D41506">
        <w:rPr>
          <w:rFonts w:cs="Arial"/>
          <w:color w:val="000000"/>
        </w:rPr>
        <w:t xml:space="preserve"> </w:t>
      </w:r>
      <w:r w:rsidRPr="002E487F">
        <w:rPr>
          <w:rFonts w:cs="Arial"/>
          <w:bCs/>
          <w:color w:val="000000"/>
        </w:rPr>
        <w:t>17</w:t>
      </w:r>
      <w:r w:rsidRPr="00D41506">
        <w:rPr>
          <w:rFonts w:cs="Arial"/>
          <w:color w:val="000000"/>
        </w:rPr>
        <w:t>(4): e86.</w:t>
      </w:r>
    </w:p>
    <w:p w:rsidR="0030207B" w:rsidRDefault="0030207B" w:rsidP="00392223">
      <w:pPr>
        <w:pStyle w:val="References"/>
        <w:rPr>
          <w:rFonts w:cs="Arial"/>
          <w:color w:val="000000"/>
        </w:rPr>
      </w:pPr>
      <w:r>
        <w:rPr>
          <w:rFonts w:cs="Arial"/>
          <w:color w:val="000000"/>
        </w:rPr>
        <w:t xml:space="preserve">Ham C. 2010. </w:t>
      </w:r>
      <w:proofErr w:type="gramStart"/>
      <w:r>
        <w:rPr>
          <w:rFonts w:cs="Arial"/>
          <w:color w:val="000000"/>
        </w:rPr>
        <w:t>The ten characteristics of the high performing chronic care system.</w:t>
      </w:r>
      <w:proofErr w:type="gramEnd"/>
      <w:r>
        <w:rPr>
          <w:rFonts w:cs="Arial"/>
          <w:color w:val="000000"/>
        </w:rPr>
        <w:t xml:space="preserve"> </w:t>
      </w:r>
      <w:r w:rsidRPr="002E487F">
        <w:rPr>
          <w:rFonts w:cs="Arial"/>
          <w:i/>
          <w:color w:val="000000"/>
        </w:rPr>
        <w:t>Health Econ</w:t>
      </w:r>
      <w:r>
        <w:rPr>
          <w:rFonts w:cs="Arial"/>
          <w:i/>
          <w:color w:val="000000"/>
        </w:rPr>
        <w:t>omics,</w:t>
      </w:r>
      <w:r w:rsidRPr="002E487F">
        <w:rPr>
          <w:rFonts w:cs="Arial"/>
          <w:i/>
          <w:color w:val="000000"/>
        </w:rPr>
        <w:t xml:space="preserve"> Policy </w:t>
      </w:r>
      <w:r>
        <w:rPr>
          <w:rFonts w:cs="Arial"/>
          <w:i/>
          <w:color w:val="000000"/>
        </w:rPr>
        <w:t xml:space="preserve">and </w:t>
      </w:r>
      <w:r w:rsidRPr="002E487F">
        <w:rPr>
          <w:rFonts w:cs="Arial"/>
          <w:i/>
          <w:color w:val="000000"/>
        </w:rPr>
        <w:t>Law</w:t>
      </w:r>
      <w:r>
        <w:rPr>
          <w:rFonts w:cs="Arial"/>
          <w:color w:val="000000"/>
        </w:rPr>
        <w:t xml:space="preserve"> 5: 71–90.</w:t>
      </w:r>
    </w:p>
    <w:p w:rsidR="0030207B" w:rsidRDefault="0030207B" w:rsidP="00392223">
      <w:pPr>
        <w:pStyle w:val="References"/>
        <w:rPr>
          <w:rFonts w:cs="Arial"/>
          <w:color w:val="000000"/>
        </w:rPr>
      </w:pPr>
      <w:proofErr w:type="gramStart"/>
      <w:r>
        <w:rPr>
          <w:rFonts w:cs="Arial"/>
          <w:color w:val="000000"/>
        </w:rPr>
        <w:t>Health Foundation.</w:t>
      </w:r>
      <w:proofErr w:type="gramEnd"/>
      <w:r>
        <w:rPr>
          <w:rFonts w:cs="Arial"/>
          <w:color w:val="000000"/>
        </w:rPr>
        <w:t xml:space="preserve"> 2011. </w:t>
      </w:r>
      <w:r w:rsidRPr="002E487F">
        <w:rPr>
          <w:rFonts w:cs="Arial"/>
          <w:i/>
          <w:color w:val="000000"/>
        </w:rPr>
        <w:t>Helping People Helping Themselves: A review of the evidence considering whether it is worthwhile to support self management</w:t>
      </w:r>
      <w:r>
        <w:rPr>
          <w:rFonts w:cs="Arial"/>
          <w:color w:val="000000"/>
        </w:rPr>
        <w:t>. London: Health Foundation.</w:t>
      </w:r>
    </w:p>
    <w:p w:rsidR="0030207B" w:rsidRPr="0030207B" w:rsidRDefault="0030207B" w:rsidP="00392223">
      <w:pPr>
        <w:pStyle w:val="References"/>
        <w:rPr>
          <w:rFonts w:cs="Arial"/>
        </w:rPr>
      </w:pPr>
      <w:proofErr w:type="gramStart"/>
      <w:r>
        <w:rPr>
          <w:rFonts w:cs="Arial"/>
          <w:color w:val="000000"/>
        </w:rPr>
        <w:t>Health Foundation.</w:t>
      </w:r>
      <w:proofErr w:type="gramEnd"/>
      <w:r>
        <w:rPr>
          <w:rFonts w:cs="Arial"/>
          <w:color w:val="000000"/>
        </w:rPr>
        <w:t xml:space="preserve"> 2015. </w:t>
      </w:r>
      <w:r w:rsidRPr="002E487F">
        <w:rPr>
          <w:rFonts w:cs="Arial"/>
          <w:i/>
          <w:color w:val="000000"/>
        </w:rPr>
        <w:t>A Practical Guide to Self-management Support: Key components for successful implementation</w:t>
      </w:r>
      <w:r>
        <w:rPr>
          <w:rFonts w:cs="Arial"/>
          <w:color w:val="000000"/>
        </w:rPr>
        <w:t>. London: Health Foundation.</w:t>
      </w:r>
    </w:p>
    <w:p w:rsidR="0030207B" w:rsidRPr="0030207B" w:rsidRDefault="0030207B" w:rsidP="00392223">
      <w:pPr>
        <w:pStyle w:val="References"/>
        <w:rPr>
          <w:rFonts w:cs="Arial"/>
        </w:rPr>
      </w:pPr>
      <w:r w:rsidRPr="0030207B">
        <w:rPr>
          <w:rFonts w:cs="Arial"/>
        </w:rPr>
        <w:t xml:space="preserve">Hibbard JH, Mahoney ER, Stockard J, </w:t>
      </w:r>
      <w:r w:rsidR="00392223">
        <w:rPr>
          <w:rFonts w:cs="Arial"/>
        </w:rPr>
        <w:t>et al</w:t>
      </w:r>
      <w:r w:rsidRPr="0030207B">
        <w:rPr>
          <w:rFonts w:cs="Arial"/>
        </w:rPr>
        <w:t xml:space="preserve">. 2005. </w:t>
      </w:r>
      <w:proofErr w:type="gramStart"/>
      <w:r w:rsidRPr="0030207B">
        <w:rPr>
          <w:rFonts w:cs="Arial"/>
        </w:rPr>
        <w:t>Development and testing of a short form of the Patient Activation Measure.</w:t>
      </w:r>
      <w:proofErr w:type="gramEnd"/>
      <w:r w:rsidRPr="0030207B">
        <w:rPr>
          <w:rFonts w:cs="Arial"/>
        </w:rPr>
        <w:t xml:space="preserve"> </w:t>
      </w:r>
      <w:r w:rsidRPr="0030207B">
        <w:rPr>
          <w:rFonts w:cs="Arial"/>
          <w:i/>
        </w:rPr>
        <w:t>Health Services Research</w:t>
      </w:r>
      <w:r w:rsidRPr="0030207B">
        <w:rPr>
          <w:rFonts w:cs="Arial"/>
        </w:rPr>
        <w:t xml:space="preserve"> 40(6): 1918–30.</w:t>
      </w:r>
    </w:p>
    <w:p w:rsidR="0030207B" w:rsidRPr="0030207B" w:rsidRDefault="0030207B" w:rsidP="00392223">
      <w:pPr>
        <w:pStyle w:val="References"/>
        <w:rPr>
          <w:rFonts w:cs="Arial"/>
        </w:rPr>
      </w:pPr>
      <w:r w:rsidRPr="0030207B">
        <w:rPr>
          <w:rFonts w:cs="Arial"/>
        </w:rPr>
        <w:t xml:space="preserve">Hibbard JH, Gilburt H. 2014. </w:t>
      </w:r>
      <w:proofErr w:type="gramStart"/>
      <w:r w:rsidRPr="0030207B">
        <w:rPr>
          <w:rFonts w:cs="Arial"/>
          <w:i/>
        </w:rPr>
        <w:t>Supporting People to Manage their Health</w:t>
      </w:r>
      <w:r w:rsidRPr="0030207B">
        <w:rPr>
          <w:rFonts w:cs="Arial"/>
        </w:rPr>
        <w:t>.</w:t>
      </w:r>
      <w:proofErr w:type="gramEnd"/>
      <w:r w:rsidRPr="0030207B">
        <w:rPr>
          <w:rFonts w:cs="Arial"/>
        </w:rPr>
        <w:t xml:space="preserve"> London: The King’s Fund.</w:t>
      </w:r>
    </w:p>
    <w:p w:rsidR="0030207B" w:rsidRPr="0030207B" w:rsidRDefault="0030207B" w:rsidP="00392223">
      <w:pPr>
        <w:pStyle w:val="References"/>
        <w:rPr>
          <w:rFonts w:cs="Arial"/>
        </w:rPr>
      </w:pPr>
      <w:proofErr w:type="gramStart"/>
      <w:r w:rsidRPr="0030207B">
        <w:rPr>
          <w:rFonts w:cs="Arial"/>
        </w:rPr>
        <w:t>Institute of Medicine.</w:t>
      </w:r>
      <w:proofErr w:type="gramEnd"/>
      <w:r w:rsidRPr="0030207B">
        <w:rPr>
          <w:rFonts w:cs="Arial"/>
        </w:rPr>
        <w:t xml:space="preserve"> 2001. </w:t>
      </w:r>
      <w:r w:rsidRPr="0030207B">
        <w:rPr>
          <w:rFonts w:cs="Arial"/>
          <w:i/>
        </w:rPr>
        <w:t>Crossing the Quality Chasm: A new health system for the 21</w:t>
      </w:r>
      <w:r w:rsidRPr="00392223">
        <w:rPr>
          <w:rFonts w:cs="Arial"/>
          <w:i/>
        </w:rPr>
        <w:t>st</w:t>
      </w:r>
      <w:r w:rsidRPr="0030207B">
        <w:rPr>
          <w:rFonts w:cs="Arial"/>
          <w:i/>
        </w:rPr>
        <w:t xml:space="preserve"> century</w:t>
      </w:r>
      <w:r w:rsidRPr="0030207B">
        <w:rPr>
          <w:rFonts w:cs="Arial"/>
        </w:rPr>
        <w:t>. Washington DC: The National Academies Press.</w:t>
      </w:r>
    </w:p>
    <w:p w:rsidR="0030207B" w:rsidRDefault="0030207B" w:rsidP="00392223">
      <w:pPr>
        <w:pStyle w:val="References"/>
      </w:pPr>
      <w:r w:rsidRPr="00E4780F">
        <w:t xml:space="preserve">Letford K, Humphrey G, Day K. </w:t>
      </w:r>
      <w:r>
        <w:t xml:space="preserve">2014. </w:t>
      </w:r>
      <w:proofErr w:type="gramStart"/>
      <w:r w:rsidRPr="00E4780F">
        <w:t>An exploration of the potential for patient portals to improve self-management of long term conditions.</w:t>
      </w:r>
      <w:proofErr w:type="gramEnd"/>
      <w:r w:rsidRPr="00E4780F">
        <w:t xml:space="preserve"> </w:t>
      </w:r>
      <w:proofErr w:type="gramStart"/>
      <w:r>
        <w:t>HINZ 2014 Conference and Exhibition, 10–12 November 2014, Auckland, New Zealand.</w:t>
      </w:r>
      <w:proofErr w:type="gramEnd"/>
    </w:p>
    <w:p w:rsidR="0030207B" w:rsidRPr="00E4780F" w:rsidRDefault="0030207B" w:rsidP="00392223">
      <w:pPr>
        <w:pStyle w:val="References"/>
      </w:pPr>
      <w:r>
        <w:t xml:space="preserve">Lhussier M, Eaton S, Forster N, et al. 2013. Care planning for long term conditions: a concept mapping. </w:t>
      </w:r>
      <w:r w:rsidRPr="002E487F">
        <w:rPr>
          <w:i/>
        </w:rPr>
        <w:t>Health Expectations</w:t>
      </w:r>
      <w:r>
        <w:t xml:space="preserve"> 18: 605–24</w:t>
      </w:r>
      <w:r w:rsidR="00392223">
        <w:t>.</w:t>
      </w:r>
    </w:p>
    <w:p w:rsidR="0030207B" w:rsidRDefault="0030207B" w:rsidP="00392223">
      <w:pPr>
        <w:pStyle w:val="References"/>
      </w:pPr>
      <w:proofErr w:type="gramStart"/>
      <w:r w:rsidRPr="00E4780F">
        <w:t>Long Term Conditions Alliance</w:t>
      </w:r>
      <w:r>
        <w:t>.</w:t>
      </w:r>
      <w:proofErr w:type="gramEnd"/>
      <w:r>
        <w:t xml:space="preserve"> 2008. </w:t>
      </w:r>
      <w:r w:rsidRPr="002E487F">
        <w:rPr>
          <w:i/>
        </w:rPr>
        <w:t xml:space="preserve">Self </w:t>
      </w:r>
      <w:r>
        <w:rPr>
          <w:i/>
        </w:rPr>
        <w:t>M</w:t>
      </w:r>
      <w:r w:rsidRPr="002E487F">
        <w:rPr>
          <w:i/>
        </w:rPr>
        <w:t xml:space="preserve">anagement </w:t>
      </w:r>
      <w:r>
        <w:rPr>
          <w:i/>
        </w:rPr>
        <w:t>S</w:t>
      </w:r>
      <w:r w:rsidRPr="002E487F">
        <w:rPr>
          <w:i/>
        </w:rPr>
        <w:t xml:space="preserve">trategy for </w:t>
      </w:r>
      <w:r>
        <w:rPr>
          <w:i/>
        </w:rPr>
        <w:t>L</w:t>
      </w:r>
      <w:r w:rsidRPr="002E487F">
        <w:rPr>
          <w:i/>
        </w:rPr>
        <w:t xml:space="preserve">ong </w:t>
      </w:r>
      <w:r>
        <w:rPr>
          <w:i/>
        </w:rPr>
        <w:t>T</w:t>
      </w:r>
      <w:r w:rsidRPr="002E487F">
        <w:rPr>
          <w:i/>
        </w:rPr>
        <w:t xml:space="preserve">erm </w:t>
      </w:r>
      <w:r>
        <w:rPr>
          <w:i/>
        </w:rPr>
        <w:t>C</w:t>
      </w:r>
      <w:r w:rsidRPr="002E487F">
        <w:rPr>
          <w:i/>
        </w:rPr>
        <w:t>onditions</w:t>
      </w:r>
      <w:r>
        <w:rPr>
          <w:i/>
        </w:rPr>
        <w:t>.</w:t>
      </w:r>
      <w:r w:rsidRPr="00E4780F">
        <w:t xml:space="preserve"> Scotland</w:t>
      </w:r>
      <w:r>
        <w:t>:</w:t>
      </w:r>
      <w:r w:rsidRPr="00E4780F">
        <w:t xml:space="preserve"> Scottish </w:t>
      </w:r>
      <w:r>
        <w:t>G</w:t>
      </w:r>
      <w:r w:rsidRPr="00E4780F">
        <w:t>overnment.</w:t>
      </w:r>
    </w:p>
    <w:p w:rsidR="0030207B" w:rsidRPr="00783D44" w:rsidRDefault="00EB34D0" w:rsidP="00392223">
      <w:pPr>
        <w:pStyle w:val="References"/>
      </w:pPr>
      <w:r>
        <w:rPr>
          <w:lang w:val="en"/>
        </w:rPr>
        <w:t xml:space="preserve">Lorig </w:t>
      </w:r>
      <w:r w:rsidR="0030207B" w:rsidRPr="00783D44">
        <w:rPr>
          <w:lang w:val="en"/>
        </w:rPr>
        <w:t>K</w:t>
      </w:r>
      <w:r w:rsidR="0030207B">
        <w:rPr>
          <w:lang w:val="en"/>
        </w:rPr>
        <w:t>.</w:t>
      </w:r>
      <w:r w:rsidR="0030207B" w:rsidRPr="00783D44">
        <w:rPr>
          <w:lang w:val="en"/>
        </w:rPr>
        <w:t xml:space="preserve"> 1993. Self-management of </w:t>
      </w:r>
      <w:r w:rsidR="0030207B">
        <w:rPr>
          <w:lang w:val="en"/>
        </w:rPr>
        <w:t>c</w:t>
      </w:r>
      <w:r w:rsidR="0030207B" w:rsidRPr="00783D44">
        <w:rPr>
          <w:lang w:val="en"/>
        </w:rPr>
        <w:t xml:space="preserve">hronic </w:t>
      </w:r>
      <w:r w:rsidR="0030207B">
        <w:rPr>
          <w:lang w:val="en"/>
        </w:rPr>
        <w:t>i</w:t>
      </w:r>
      <w:r w:rsidR="0030207B" w:rsidRPr="00783D44">
        <w:rPr>
          <w:lang w:val="en"/>
        </w:rPr>
        <w:t>llness: a model for the future (self care and older adults)</w:t>
      </w:r>
      <w:r w:rsidR="0030207B">
        <w:rPr>
          <w:lang w:val="en"/>
        </w:rPr>
        <w:t>.</w:t>
      </w:r>
      <w:r w:rsidR="0030207B" w:rsidRPr="00783D44">
        <w:rPr>
          <w:lang w:val="en"/>
        </w:rPr>
        <w:t xml:space="preserve"> </w:t>
      </w:r>
      <w:r w:rsidR="0030207B" w:rsidRPr="00392223">
        <w:rPr>
          <w:i/>
          <w:lang w:val="en"/>
        </w:rPr>
        <w:t>Generations</w:t>
      </w:r>
      <w:r w:rsidR="0030207B" w:rsidRPr="00783D44">
        <w:rPr>
          <w:lang w:val="en"/>
        </w:rPr>
        <w:t xml:space="preserve"> </w:t>
      </w:r>
      <w:r w:rsidR="0030207B" w:rsidRPr="007160F1">
        <w:rPr>
          <w:lang w:val="en"/>
        </w:rPr>
        <w:t>17</w:t>
      </w:r>
      <w:r w:rsidR="0030207B" w:rsidRPr="002E487F">
        <w:rPr>
          <w:lang w:val="en"/>
        </w:rPr>
        <w:t xml:space="preserve">: </w:t>
      </w:r>
      <w:r w:rsidR="0030207B" w:rsidRPr="00783D44">
        <w:rPr>
          <w:lang w:val="en"/>
        </w:rPr>
        <w:t>11</w:t>
      </w:r>
      <w:r w:rsidR="0030207B">
        <w:rPr>
          <w:lang w:val="en"/>
        </w:rPr>
        <w:t>–</w:t>
      </w:r>
      <w:r w:rsidR="0030207B" w:rsidRPr="00783D44">
        <w:rPr>
          <w:lang w:val="en"/>
        </w:rPr>
        <w:t>14.</w:t>
      </w:r>
    </w:p>
    <w:p w:rsidR="0030207B" w:rsidRPr="00E4780F" w:rsidRDefault="0030207B" w:rsidP="00392223">
      <w:pPr>
        <w:pStyle w:val="References"/>
        <w:rPr>
          <w:color w:val="002639"/>
        </w:rPr>
      </w:pPr>
      <w:proofErr w:type="gramStart"/>
      <w:r w:rsidRPr="00E4780F">
        <w:rPr>
          <w:color w:val="002639"/>
        </w:rPr>
        <w:t>Ministry of Health.</w:t>
      </w:r>
      <w:proofErr w:type="gramEnd"/>
      <w:r w:rsidRPr="00E4780F">
        <w:rPr>
          <w:color w:val="002639"/>
        </w:rPr>
        <w:t xml:space="preserve"> 2010. </w:t>
      </w:r>
      <w:r w:rsidRPr="00E4780F">
        <w:rPr>
          <w:i/>
          <w:color w:val="002639"/>
        </w:rPr>
        <w:t xml:space="preserve">Kōrero Mārama: Health </w:t>
      </w:r>
      <w:r>
        <w:rPr>
          <w:i/>
          <w:color w:val="002639"/>
        </w:rPr>
        <w:t>l</w:t>
      </w:r>
      <w:r w:rsidRPr="00E4780F">
        <w:rPr>
          <w:i/>
          <w:color w:val="002639"/>
        </w:rPr>
        <w:t>iteracy and Māori</w:t>
      </w:r>
      <w:r w:rsidRPr="00E4780F">
        <w:rPr>
          <w:color w:val="002639"/>
        </w:rPr>
        <w:t>. Wellington: Ministry of Health.</w:t>
      </w:r>
    </w:p>
    <w:p w:rsidR="0030207B" w:rsidRPr="00E4780F" w:rsidRDefault="0030207B" w:rsidP="00392223">
      <w:pPr>
        <w:pStyle w:val="References"/>
        <w:rPr>
          <w:color w:val="002639"/>
        </w:rPr>
      </w:pPr>
      <w:proofErr w:type="gramStart"/>
      <w:r>
        <w:rPr>
          <w:color w:val="002639"/>
        </w:rPr>
        <w:lastRenderedPageBreak/>
        <w:t>Ministry of Health.</w:t>
      </w:r>
      <w:proofErr w:type="gramEnd"/>
      <w:r>
        <w:rPr>
          <w:color w:val="002639"/>
        </w:rPr>
        <w:t xml:space="preserve"> </w:t>
      </w:r>
      <w:r w:rsidRPr="00E4780F">
        <w:rPr>
          <w:color w:val="002639"/>
        </w:rPr>
        <w:t>2014</w:t>
      </w:r>
      <w:r>
        <w:rPr>
          <w:color w:val="002639"/>
        </w:rPr>
        <w:t xml:space="preserve">. </w:t>
      </w:r>
      <w:r w:rsidRPr="00E4780F">
        <w:rPr>
          <w:i/>
          <w:color w:val="002639"/>
        </w:rPr>
        <w:t>Health and Independence Report</w:t>
      </w:r>
      <w:r>
        <w:rPr>
          <w:color w:val="002639"/>
        </w:rPr>
        <w:t>. Wellington: Ministry of Health.</w:t>
      </w:r>
    </w:p>
    <w:p w:rsidR="0030207B" w:rsidRDefault="0030207B" w:rsidP="00392223">
      <w:pPr>
        <w:pStyle w:val="References"/>
      </w:pPr>
      <w:r w:rsidRPr="00E4780F">
        <w:t>Mudge S, Kayes N, McPherson K</w:t>
      </w:r>
      <w:r>
        <w:t>. 2015.</w:t>
      </w:r>
      <w:r w:rsidRPr="00E4780F">
        <w:t xml:space="preserve"> Who is in control? Clinicians</w:t>
      </w:r>
      <w:r>
        <w:t>’</w:t>
      </w:r>
      <w:r w:rsidRPr="00E4780F">
        <w:t xml:space="preserve"> view on their role in self management approaches: a qualitative metasynthesis. </w:t>
      </w:r>
      <w:r w:rsidRPr="002E487F">
        <w:rPr>
          <w:i/>
        </w:rPr>
        <w:t>BMJ Open</w:t>
      </w:r>
      <w:r w:rsidRPr="00E4780F">
        <w:t xml:space="preserve"> 5</w:t>
      </w:r>
      <w:r>
        <w:t xml:space="preserve">: </w:t>
      </w:r>
      <w:r w:rsidRPr="00E4780F">
        <w:t>e007413</w:t>
      </w:r>
      <w:r w:rsidR="00392223">
        <w:t>.</w:t>
      </w:r>
    </w:p>
    <w:p w:rsidR="0030207B" w:rsidRPr="00E4780F" w:rsidRDefault="0030207B" w:rsidP="00392223">
      <w:pPr>
        <w:pStyle w:val="References"/>
      </w:pPr>
      <w:proofErr w:type="gramStart"/>
      <w:r>
        <w:t>NHC.</w:t>
      </w:r>
      <w:proofErr w:type="gramEnd"/>
      <w:r>
        <w:t xml:space="preserve"> 2007. </w:t>
      </w:r>
      <w:r w:rsidRPr="002E487F">
        <w:rPr>
          <w:i/>
        </w:rPr>
        <w:t>Meeting the Needs of People with Chronic Conditions.</w:t>
      </w:r>
      <w:r w:rsidRPr="00964720">
        <w:t xml:space="preserve"> </w:t>
      </w:r>
      <w:r>
        <w:t>Wellington: National Health Committee.</w:t>
      </w:r>
    </w:p>
    <w:p w:rsidR="0030207B" w:rsidRPr="00E4780F" w:rsidRDefault="0030207B" w:rsidP="00392223">
      <w:pPr>
        <w:pStyle w:val="References"/>
        <w:rPr>
          <w:rFonts w:cs="Arial"/>
        </w:rPr>
      </w:pPr>
      <w:proofErr w:type="gramStart"/>
      <w:r w:rsidRPr="00E4780F">
        <w:t>Singh D. 2005</w:t>
      </w:r>
      <w:r>
        <w:t>.</w:t>
      </w:r>
      <w:proofErr w:type="gramEnd"/>
      <w:r w:rsidRPr="00E4780F">
        <w:rPr>
          <w:b/>
        </w:rPr>
        <w:t xml:space="preserve"> </w:t>
      </w:r>
      <w:proofErr w:type="gramStart"/>
      <w:r w:rsidRPr="00E4780F">
        <w:rPr>
          <w:rFonts w:cs="Arial"/>
          <w:i/>
        </w:rPr>
        <w:t>Transforming Chronic Care: Evidence for improving care for people with long-term conditions</w:t>
      </w:r>
      <w:r w:rsidRPr="00E4780F">
        <w:rPr>
          <w:rFonts w:cs="Arial"/>
        </w:rPr>
        <w:t>.</w:t>
      </w:r>
      <w:proofErr w:type="gramEnd"/>
      <w:r w:rsidRPr="00E4780F">
        <w:rPr>
          <w:rFonts w:cs="Arial"/>
          <w:i/>
        </w:rPr>
        <w:t xml:space="preserve"> </w:t>
      </w:r>
      <w:r w:rsidRPr="00E4780F">
        <w:rPr>
          <w:rFonts w:cs="Arial"/>
        </w:rPr>
        <w:t xml:space="preserve">Birmingham: Health Services Management Centre, </w:t>
      </w:r>
      <w:proofErr w:type="gramStart"/>
      <w:r w:rsidRPr="00E4780F">
        <w:rPr>
          <w:rFonts w:cs="Arial"/>
        </w:rPr>
        <w:t>The</w:t>
      </w:r>
      <w:proofErr w:type="gramEnd"/>
      <w:r w:rsidRPr="00E4780F">
        <w:rPr>
          <w:rFonts w:cs="Arial"/>
        </w:rPr>
        <w:t xml:space="preserve"> University of Birmingham.</w:t>
      </w:r>
    </w:p>
    <w:p w:rsidR="0030207B" w:rsidRDefault="0030207B" w:rsidP="00392223">
      <w:pPr>
        <w:pStyle w:val="References"/>
        <w:rPr>
          <w:rFonts w:cs="Arial"/>
          <w:color w:val="000000"/>
          <w:lang w:eastAsia="en-NZ"/>
        </w:rPr>
      </w:pPr>
      <w:proofErr w:type="gramStart"/>
      <w:r>
        <w:rPr>
          <w:rFonts w:cs="Arial"/>
          <w:color w:val="000000"/>
          <w:lang w:eastAsia="en-NZ"/>
        </w:rPr>
        <w:t>Skills for Care.</w:t>
      </w:r>
      <w:proofErr w:type="gramEnd"/>
      <w:r>
        <w:rPr>
          <w:rFonts w:cs="Arial"/>
          <w:color w:val="000000"/>
          <w:lang w:eastAsia="en-NZ"/>
        </w:rPr>
        <w:t xml:space="preserve"> 2015. </w:t>
      </w:r>
      <w:r w:rsidRPr="002E487F">
        <w:rPr>
          <w:rFonts w:cs="Arial"/>
          <w:i/>
          <w:color w:val="000000"/>
          <w:lang w:eastAsia="en-NZ"/>
        </w:rPr>
        <w:t>Common Core Principles to Support Self Care</w:t>
      </w:r>
      <w:r>
        <w:rPr>
          <w:rFonts w:cs="Arial"/>
          <w:color w:val="000000"/>
          <w:lang w:eastAsia="en-NZ"/>
        </w:rPr>
        <w:t xml:space="preserve">. URL: </w:t>
      </w:r>
      <w:hyperlink r:id="rId30" w:history="1">
        <w:r w:rsidRPr="005C7E7A">
          <w:rPr>
            <w:rStyle w:val="Hyperlink"/>
            <w:rFonts w:cs="Arial"/>
            <w:lang w:eastAsia="en-NZ"/>
          </w:rPr>
          <w:t>www.skillsforcare.org.uk/Skills/Self-care/Self-care.aspx</w:t>
        </w:r>
      </w:hyperlink>
      <w:r>
        <w:rPr>
          <w:rFonts w:cs="Arial"/>
          <w:color w:val="000000"/>
          <w:lang w:eastAsia="en-NZ"/>
        </w:rPr>
        <w:t xml:space="preserve"> (accessed 14 January 2016).</w:t>
      </w:r>
    </w:p>
    <w:p w:rsidR="0030207B" w:rsidRDefault="0030207B" w:rsidP="00392223">
      <w:pPr>
        <w:pStyle w:val="References"/>
        <w:rPr>
          <w:rFonts w:cs="Arial"/>
          <w:lang w:val="it-IT"/>
        </w:rPr>
      </w:pPr>
      <w:r w:rsidRPr="00E4780F">
        <w:rPr>
          <w:rFonts w:cs="Arial"/>
          <w:lang w:val="it-IT"/>
        </w:rPr>
        <w:t xml:space="preserve">Smith LT, Reid P. 2000. </w:t>
      </w:r>
      <w:r w:rsidRPr="00E4780F">
        <w:rPr>
          <w:rFonts w:cs="Arial"/>
          <w:i/>
          <w:lang w:val="it-IT"/>
        </w:rPr>
        <w:t>M</w:t>
      </w:r>
      <w:r w:rsidRPr="00E4780F">
        <w:rPr>
          <w:i/>
          <w:color w:val="002639"/>
        </w:rPr>
        <w:t>ā</w:t>
      </w:r>
      <w:r w:rsidRPr="00E4780F">
        <w:rPr>
          <w:rFonts w:cs="Arial"/>
          <w:i/>
          <w:lang w:val="it-IT"/>
        </w:rPr>
        <w:t>ori Research Development: Kaupapa M</w:t>
      </w:r>
      <w:r w:rsidRPr="00E4780F">
        <w:rPr>
          <w:i/>
          <w:color w:val="002639"/>
        </w:rPr>
        <w:t>ā</w:t>
      </w:r>
      <w:r w:rsidRPr="00E4780F">
        <w:rPr>
          <w:rFonts w:cs="Arial"/>
          <w:i/>
          <w:lang w:val="it-IT"/>
        </w:rPr>
        <w:t xml:space="preserve">ori </w:t>
      </w:r>
      <w:r>
        <w:rPr>
          <w:rFonts w:cs="Arial"/>
          <w:i/>
          <w:lang w:val="it-IT"/>
        </w:rPr>
        <w:t>p</w:t>
      </w:r>
      <w:r w:rsidRPr="00E4780F">
        <w:rPr>
          <w:rFonts w:cs="Arial"/>
          <w:i/>
          <w:lang w:val="it-IT"/>
        </w:rPr>
        <w:t xml:space="preserve">rinciples and </w:t>
      </w:r>
      <w:r>
        <w:rPr>
          <w:rFonts w:cs="Arial"/>
          <w:i/>
          <w:lang w:val="it-IT"/>
        </w:rPr>
        <w:t>p</w:t>
      </w:r>
      <w:r w:rsidRPr="00E4780F">
        <w:rPr>
          <w:rFonts w:cs="Arial"/>
          <w:i/>
          <w:lang w:val="it-IT"/>
        </w:rPr>
        <w:t>ractices: A</w:t>
      </w:r>
      <w:r w:rsidR="00392223">
        <w:rPr>
          <w:rFonts w:cs="Arial"/>
          <w:i/>
          <w:lang w:val="it-IT"/>
        </w:rPr>
        <w:t> </w:t>
      </w:r>
      <w:r w:rsidRPr="00E4780F">
        <w:rPr>
          <w:rFonts w:cs="Arial"/>
          <w:i/>
          <w:lang w:val="it-IT"/>
        </w:rPr>
        <w:t>literature review</w:t>
      </w:r>
      <w:r w:rsidRPr="00E4780F">
        <w:rPr>
          <w:rFonts w:cs="Arial"/>
          <w:lang w:val="it-IT"/>
        </w:rPr>
        <w:t>. Wellington: Te Puni Kōkiri.</w:t>
      </w:r>
    </w:p>
    <w:p w:rsidR="0030207B" w:rsidRDefault="0030207B" w:rsidP="00392223">
      <w:pPr>
        <w:pStyle w:val="References"/>
        <w:rPr>
          <w:rFonts w:cs="Arial"/>
        </w:rPr>
      </w:pPr>
      <w:r w:rsidRPr="00E4780F">
        <w:rPr>
          <w:rFonts w:cs="Arial"/>
          <w:lang w:val="it-IT"/>
        </w:rPr>
        <w:t xml:space="preserve">Tsai A, Morton S, </w:t>
      </w:r>
      <w:r w:rsidRPr="00E4780F">
        <w:rPr>
          <w:rFonts w:cs="Arial"/>
          <w:color w:val="000000"/>
          <w:lang w:val="it-IT"/>
        </w:rPr>
        <w:t>Mangione C, e</w:t>
      </w:r>
      <w:r w:rsidRPr="00E4780F">
        <w:rPr>
          <w:rFonts w:cs="Arial"/>
          <w:lang w:val="it-IT"/>
        </w:rPr>
        <w:t xml:space="preserve">t al. </w:t>
      </w:r>
      <w:r w:rsidRPr="00E4780F">
        <w:rPr>
          <w:rFonts w:cs="Arial"/>
        </w:rPr>
        <w:t xml:space="preserve">2005. A meta-analysis of interventions to improve care for chronic illnesses. </w:t>
      </w:r>
      <w:r w:rsidRPr="00E4780F">
        <w:rPr>
          <w:i/>
        </w:rPr>
        <w:t>American Journal of Managed Care</w:t>
      </w:r>
      <w:r w:rsidRPr="00E4780F">
        <w:t xml:space="preserve"> </w:t>
      </w:r>
      <w:r w:rsidRPr="00E4780F">
        <w:rPr>
          <w:rFonts w:cs="Arial"/>
        </w:rPr>
        <w:t>11(8): 478–88.</w:t>
      </w:r>
    </w:p>
    <w:p w:rsidR="0030207B" w:rsidRPr="00E4780F" w:rsidRDefault="0030207B" w:rsidP="00392223">
      <w:pPr>
        <w:pStyle w:val="References"/>
        <w:rPr>
          <w:rFonts w:cs="Arial"/>
        </w:rPr>
      </w:pPr>
      <w:proofErr w:type="gramStart"/>
      <w:r>
        <w:t>Wagner EH, Austin BT, Von Korff M. 1996.</w:t>
      </w:r>
      <w:proofErr w:type="gramEnd"/>
      <w:r>
        <w:t xml:space="preserve"> </w:t>
      </w:r>
      <w:proofErr w:type="gramStart"/>
      <w:r>
        <w:t>Organizing care for patients with chronic illness.</w:t>
      </w:r>
      <w:proofErr w:type="gramEnd"/>
      <w:r w:rsidR="00392223">
        <w:t xml:space="preserve"> </w:t>
      </w:r>
      <w:r w:rsidRPr="00392223">
        <w:rPr>
          <w:i/>
        </w:rPr>
        <w:t>The Milbank Quarterly</w:t>
      </w:r>
      <w:r>
        <w:t xml:space="preserve"> 74(4)</w:t>
      </w:r>
      <w:r w:rsidR="00392223">
        <w:t xml:space="preserve">: </w:t>
      </w:r>
      <w:r>
        <w:t>511</w:t>
      </w:r>
      <w:r w:rsidR="00392223">
        <w:t>–</w:t>
      </w:r>
      <w:r>
        <w:t>44.</w:t>
      </w:r>
    </w:p>
    <w:p w:rsidR="0030207B" w:rsidRPr="00E4780F" w:rsidRDefault="0030207B" w:rsidP="00392223">
      <w:pPr>
        <w:pStyle w:val="References"/>
        <w:rPr>
          <w:rFonts w:cs="Arial"/>
        </w:rPr>
      </w:pPr>
      <w:r w:rsidRPr="00E4780F">
        <w:t>Whittaker</w:t>
      </w:r>
      <w:r>
        <w:t xml:space="preserve"> </w:t>
      </w:r>
      <w:r w:rsidRPr="00E4780F">
        <w:t>R, Bramley</w:t>
      </w:r>
      <w:r>
        <w:t xml:space="preserve"> </w:t>
      </w:r>
      <w:r w:rsidRPr="00E4780F">
        <w:t>D, Carter</w:t>
      </w:r>
      <w:r>
        <w:t xml:space="preserve"> </w:t>
      </w:r>
      <w:r w:rsidRPr="00E4780F">
        <w:t>C</w:t>
      </w:r>
      <w:r>
        <w:t>,</w:t>
      </w:r>
      <w:r w:rsidRPr="00E4780F">
        <w:t xml:space="preserve"> et al</w:t>
      </w:r>
      <w:r>
        <w:t>. 2013.</w:t>
      </w:r>
      <w:r w:rsidRPr="00E4780F">
        <w:t xml:space="preserve"> A </w:t>
      </w:r>
      <w:r>
        <w:t>c</w:t>
      </w:r>
      <w:r w:rsidRPr="00E4780F">
        <w:t>omprehensive approach to self management support for diabetic patients and clinicians</w:t>
      </w:r>
      <w:r>
        <w:t>, Health Informatics New Zealand Conference</w:t>
      </w:r>
      <w:proofErr w:type="gramStart"/>
      <w:r>
        <w:t>,</w:t>
      </w:r>
      <w:proofErr w:type="gramEnd"/>
      <w:r w:rsidR="00392223">
        <w:br/>
      </w:r>
      <w:r>
        <w:t>27–29 November 2013, Rotorua, New Zealand.</w:t>
      </w:r>
    </w:p>
    <w:p w:rsidR="0030207B" w:rsidRPr="00E4780F" w:rsidRDefault="0030207B" w:rsidP="00392223">
      <w:pPr>
        <w:pStyle w:val="References"/>
        <w:rPr>
          <w:b/>
        </w:rPr>
      </w:pPr>
      <w:proofErr w:type="gramStart"/>
      <w:r w:rsidRPr="00E4780F">
        <w:rPr>
          <w:rFonts w:cs="Arial"/>
        </w:rPr>
        <w:t>Zwar N, Harris M, Griffiths R, et al. 2006.</w:t>
      </w:r>
      <w:proofErr w:type="gramEnd"/>
      <w:r w:rsidRPr="00E4780F">
        <w:rPr>
          <w:rFonts w:cs="Arial"/>
          <w:i/>
        </w:rPr>
        <w:t xml:space="preserve"> </w:t>
      </w:r>
      <w:proofErr w:type="gramStart"/>
      <w:r w:rsidRPr="00E4780F">
        <w:rPr>
          <w:rFonts w:cs="Arial"/>
          <w:i/>
        </w:rPr>
        <w:t xml:space="preserve">A </w:t>
      </w:r>
      <w:r>
        <w:rPr>
          <w:rFonts w:cs="Arial"/>
          <w:i/>
        </w:rPr>
        <w:t>S</w:t>
      </w:r>
      <w:r w:rsidRPr="00E4780F">
        <w:rPr>
          <w:rFonts w:cs="Arial"/>
          <w:i/>
        </w:rPr>
        <w:t xml:space="preserve">ystematic </w:t>
      </w:r>
      <w:r>
        <w:rPr>
          <w:rFonts w:cs="Arial"/>
          <w:i/>
        </w:rPr>
        <w:t>R</w:t>
      </w:r>
      <w:r w:rsidRPr="00E4780F">
        <w:rPr>
          <w:rFonts w:cs="Arial"/>
          <w:i/>
        </w:rPr>
        <w:t xml:space="preserve">eview of </w:t>
      </w:r>
      <w:r>
        <w:rPr>
          <w:rFonts w:cs="Arial"/>
          <w:i/>
        </w:rPr>
        <w:t>C</w:t>
      </w:r>
      <w:r w:rsidRPr="00E4780F">
        <w:rPr>
          <w:rFonts w:cs="Arial"/>
          <w:i/>
        </w:rPr>
        <w:t xml:space="preserve">hronic </w:t>
      </w:r>
      <w:r>
        <w:rPr>
          <w:rFonts w:cs="Arial"/>
          <w:i/>
        </w:rPr>
        <w:t>D</w:t>
      </w:r>
      <w:r w:rsidRPr="00E4780F">
        <w:rPr>
          <w:rFonts w:cs="Arial"/>
          <w:i/>
        </w:rPr>
        <w:t xml:space="preserve">isease </w:t>
      </w:r>
      <w:r>
        <w:rPr>
          <w:rFonts w:cs="Arial"/>
          <w:i/>
        </w:rPr>
        <w:t>M</w:t>
      </w:r>
      <w:r w:rsidRPr="00E4780F">
        <w:rPr>
          <w:rFonts w:cs="Arial"/>
          <w:i/>
        </w:rPr>
        <w:t>anagement</w:t>
      </w:r>
      <w:r w:rsidRPr="00E4780F">
        <w:rPr>
          <w:rFonts w:cs="Arial"/>
        </w:rPr>
        <w:t>.</w:t>
      </w:r>
      <w:proofErr w:type="gramEnd"/>
      <w:r w:rsidRPr="00E4780F">
        <w:rPr>
          <w:rFonts w:cs="Arial"/>
        </w:rPr>
        <w:t xml:space="preserve"> Sydney: Australian Primary Health Care Research Institute, School of Public Health and Community Medicine, University of New South Wales.</w:t>
      </w:r>
    </w:p>
    <w:p w:rsidR="0030207B" w:rsidRDefault="0030207B" w:rsidP="00392223"/>
    <w:p w:rsidR="0030207B" w:rsidRDefault="0030207B" w:rsidP="0030207B">
      <w:pPr>
        <w:spacing w:after="200" w:line="276" w:lineRule="auto"/>
        <w:rPr>
          <w:b/>
          <w:szCs w:val="24"/>
        </w:rPr>
      </w:pPr>
      <w:r>
        <w:rPr>
          <w:b/>
          <w:szCs w:val="24"/>
        </w:rPr>
        <w:br w:type="page"/>
      </w:r>
    </w:p>
    <w:p w:rsidR="0030207B" w:rsidRDefault="0030207B" w:rsidP="00392223">
      <w:pPr>
        <w:pStyle w:val="Heading1"/>
        <w:ind w:left="0" w:firstLine="0"/>
      </w:pPr>
      <w:bookmarkStart w:id="28" w:name="_Toc442253028"/>
      <w:r>
        <w:lastRenderedPageBreak/>
        <w:t>Appendix 1</w:t>
      </w:r>
      <w:proofErr w:type="gramStart"/>
      <w:r>
        <w:t>:</w:t>
      </w:r>
      <w:proofErr w:type="gramEnd"/>
      <w:r w:rsidR="00392223">
        <w:br/>
      </w:r>
      <w:r>
        <w:t>A population approach to planning care for LTCs</w:t>
      </w:r>
      <w:bookmarkEnd w:id="28"/>
    </w:p>
    <w:p w:rsidR="0030207B" w:rsidRPr="00DA2260" w:rsidRDefault="0030207B" w:rsidP="00392223">
      <w:r>
        <w:rPr>
          <w:noProof/>
          <w:lang w:eastAsia="en-NZ"/>
        </w:rPr>
        <w:drawing>
          <wp:inline distT="0" distB="0" distL="0" distR="0" wp14:anchorId="2280C87E" wp14:editId="41983D06">
            <wp:extent cx="5951912" cy="4264429"/>
            <wp:effectExtent l="0" t="0" r="0" b="317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1">
                      <a:extLst>
                        <a:ext uri="{28A0092B-C50C-407E-A947-70E740481C1C}">
                          <a14:useLocalDpi xmlns:a14="http://schemas.microsoft.com/office/drawing/2010/main" val="0"/>
                        </a:ext>
                      </a:extLst>
                    </a:blip>
                    <a:srcRect l="735" t="2101" b="3992"/>
                    <a:stretch/>
                  </pic:blipFill>
                  <pic:spPr bwMode="auto">
                    <a:xfrm>
                      <a:off x="0" y="0"/>
                      <a:ext cx="5953636" cy="4265664"/>
                    </a:xfrm>
                    <a:prstGeom prst="rect">
                      <a:avLst/>
                    </a:prstGeom>
                    <a:noFill/>
                    <a:ln>
                      <a:noFill/>
                    </a:ln>
                    <a:extLst>
                      <a:ext uri="{53640926-AAD7-44D8-BBD7-CCE9431645EC}">
                        <a14:shadowObscured xmlns:a14="http://schemas.microsoft.com/office/drawing/2010/main"/>
                      </a:ext>
                    </a:extLst>
                  </pic:spPr>
                </pic:pic>
              </a:graphicData>
            </a:graphic>
          </wp:inline>
        </w:drawing>
      </w:r>
    </w:p>
    <w:p w:rsidR="0030207B" w:rsidRDefault="00DA2260" w:rsidP="00DA2260">
      <w:pPr>
        <w:pStyle w:val="Source"/>
      </w:pPr>
      <w:r>
        <w:t>Source: J Bycroft, Health Navigator NZ, 2015.</w:t>
      </w:r>
    </w:p>
    <w:p w:rsidR="00DA2260" w:rsidRPr="00DA2260" w:rsidRDefault="00DA2260" w:rsidP="00DA2260"/>
    <w:p w:rsidR="0030207B" w:rsidRDefault="0030207B" w:rsidP="00DA2260">
      <w:pPr>
        <w:pStyle w:val="Heading1"/>
        <w:ind w:left="0" w:firstLine="0"/>
      </w:pPr>
      <w:r>
        <w:br w:type="page"/>
      </w:r>
      <w:bookmarkStart w:id="29" w:name="_Toc442253029"/>
      <w:r>
        <w:lastRenderedPageBreak/>
        <w:t>Appendix 2</w:t>
      </w:r>
      <w:proofErr w:type="gramStart"/>
      <w:r>
        <w:t>:</w:t>
      </w:r>
      <w:proofErr w:type="gramEnd"/>
      <w:r w:rsidR="00DA2260">
        <w:br/>
      </w:r>
      <w:r>
        <w:t>E</w:t>
      </w:r>
      <w:r w:rsidRPr="00440C29">
        <w:t xml:space="preserve">xamples of </w:t>
      </w:r>
      <w:r>
        <w:t xml:space="preserve">current </w:t>
      </w:r>
      <w:r w:rsidRPr="00440C29">
        <w:t>programmes and approaches</w:t>
      </w:r>
      <w:bookmarkEnd w:id="29"/>
    </w:p>
    <w:p w:rsidR="0030207B" w:rsidRPr="00731AC9" w:rsidRDefault="0030207B" w:rsidP="00DA2260">
      <w:pPr>
        <w:pStyle w:val="Heading3"/>
      </w:pPr>
      <w:r w:rsidRPr="00731AC9">
        <w:t>Self</w:t>
      </w:r>
      <w:r>
        <w:t>-</w:t>
      </w:r>
      <w:r w:rsidRPr="00731AC9">
        <w:t>management groups</w:t>
      </w:r>
    </w:p>
    <w:p w:rsidR="0030207B" w:rsidRDefault="0030207B" w:rsidP="00DA2260">
      <w:r w:rsidRPr="00722D7F">
        <w:rPr>
          <w:b/>
        </w:rPr>
        <w:t xml:space="preserve">Piki </w:t>
      </w:r>
      <w:proofErr w:type="gramStart"/>
      <w:r w:rsidRPr="00722D7F">
        <w:rPr>
          <w:b/>
        </w:rPr>
        <w:t>te</w:t>
      </w:r>
      <w:proofErr w:type="gramEnd"/>
      <w:r w:rsidRPr="00722D7F">
        <w:rPr>
          <w:b/>
        </w:rPr>
        <w:t xml:space="preserve"> Ora</w:t>
      </w:r>
      <w:r>
        <w:rPr>
          <w:b/>
        </w:rPr>
        <w:t xml:space="preserve"> –</w:t>
      </w:r>
      <w:r w:rsidRPr="00731AC9">
        <w:t xml:space="preserve"> </w:t>
      </w:r>
      <w:r>
        <w:t xml:space="preserve">Six-week Stanford chronic disease self-management programme at </w:t>
      </w:r>
      <w:r w:rsidRPr="00731AC9">
        <w:t>W</w:t>
      </w:r>
      <w:r>
        <w:t>h</w:t>
      </w:r>
      <w:r w:rsidRPr="00731AC9">
        <w:t>anganui</w:t>
      </w:r>
      <w:r>
        <w:t xml:space="preserve"> DHB.</w:t>
      </w:r>
    </w:p>
    <w:p w:rsidR="0030207B" w:rsidRPr="00731AC9" w:rsidRDefault="0030207B" w:rsidP="00DA2260">
      <w:r>
        <w:t xml:space="preserve">Contact: Anne Kauika, </w:t>
      </w:r>
      <w:r w:rsidRPr="00DA2260">
        <w:rPr>
          <w:rStyle w:val="Hyperlink"/>
        </w:rPr>
        <w:t>email anne.kauika@wrpho.org.nz</w:t>
      </w:r>
    </w:p>
    <w:p w:rsidR="0030207B" w:rsidRDefault="0030207B" w:rsidP="00DA2260">
      <w:r w:rsidRPr="00F32BEE">
        <w:t>www.wrpho.org.nz/documents/self_management_workshop.pdf</w:t>
      </w:r>
    </w:p>
    <w:p w:rsidR="0030207B" w:rsidRDefault="0030207B" w:rsidP="00DA2260"/>
    <w:p w:rsidR="0030207B" w:rsidRDefault="0030207B" w:rsidP="00DA2260">
      <w:r w:rsidRPr="00722D7F">
        <w:rPr>
          <w:b/>
        </w:rPr>
        <w:t>Kia Kaha</w:t>
      </w:r>
      <w:r w:rsidRPr="00731AC9">
        <w:t xml:space="preserve"> – </w:t>
      </w:r>
      <w:r>
        <w:t xml:space="preserve">Self-management for mental health incorporating peer support. </w:t>
      </w:r>
      <w:proofErr w:type="gramStart"/>
      <w:r>
        <w:t>Led by East Health.</w:t>
      </w:r>
      <w:proofErr w:type="gramEnd"/>
    </w:p>
    <w:p w:rsidR="0030207B" w:rsidRDefault="0030207B" w:rsidP="00DA2260">
      <w:pPr>
        <w:rPr>
          <w:rFonts w:cs="Verdana"/>
        </w:rPr>
      </w:pPr>
      <w:r>
        <w:t xml:space="preserve">Contact: </w:t>
      </w:r>
      <w:r w:rsidRPr="00731AC9">
        <w:t>Leona Didsbury</w:t>
      </w:r>
      <w:r>
        <w:t xml:space="preserve">, </w:t>
      </w:r>
      <w:r>
        <w:rPr>
          <w:rFonts w:cs="Verdana"/>
        </w:rPr>
        <w:t xml:space="preserve">Senior Health Psychologist and Self-Management Trainer, East Tamaki Healthcare, email </w:t>
      </w:r>
      <w:hyperlink r:id="rId32" w:history="1">
        <w:r>
          <w:rPr>
            <w:rStyle w:val="Hyperlink"/>
            <w:rFonts w:cs="Verdana"/>
          </w:rPr>
          <w:t>Leona@ethc.co.nz</w:t>
        </w:r>
      </w:hyperlink>
    </w:p>
    <w:p w:rsidR="0030207B" w:rsidRDefault="0030207B" w:rsidP="00DA2260">
      <w:pPr>
        <w:rPr>
          <w:rFonts w:cs="Verdana"/>
        </w:rPr>
      </w:pPr>
    </w:p>
    <w:p w:rsidR="0030207B" w:rsidRPr="00731AC9" w:rsidRDefault="0030207B" w:rsidP="00DA2260">
      <w:pPr>
        <w:pStyle w:val="Heading3"/>
      </w:pPr>
      <w:r w:rsidRPr="00731AC9">
        <w:t xml:space="preserve">Integrated </w:t>
      </w:r>
      <w:r>
        <w:t>a</w:t>
      </w:r>
      <w:r w:rsidRPr="00731AC9">
        <w:t>pproaches</w:t>
      </w:r>
    </w:p>
    <w:p w:rsidR="0030207B" w:rsidRDefault="0030207B" w:rsidP="00DA2260">
      <w:r w:rsidRPr="00722D7F">
        <w:rPr>
          <w:b/>
        </w:rPr>
        <w:t>Choose Change</w:t>
      </w:r>
      <w:r>
        <w:t xml:space="preserve"> –- Auckland Region Sports Trusts (led by Harbour Sport) lifestyle intervention for people with prediabetes.</w:t>
      </w:r>
    </w:p>
    <w:p w:rsidR="0030207B" w:rsidRDefault="0030207B" w:rsidP="00DA2260">
      <w:pPr>
        <w:rPr>
          <w:rFonts w:cs="Arial"/>
        </w:rPr>
      </w:pPr>
      <w:r>
        <w:t xml:space="preserve">Contact: </w:t>
      </w:r>
      <w:r w:rsidRPr="00722D7F">
        <w:rPr>
          <w:rFonts w:cs="Arial"/>
          <w:color w:val="444444"/>
          <w:bdr w:val="none" w:sz="0" w:space="0" w:color="auto" w:frame="1"/>
          <w:shd w:val="clear" w:color="auto" w:fill="FFFFFF"/>
        </w:rPr>
        <w:t>Jay Martin</w:t>
      </w:r>
      <w:r>
        <w:rPr>
          <w:rFonts w:cs="Arial"/>
          <w:color w:val="444444"/>
          <w:shd w:val="clear" w:color="auto" w:fill="FFFFFF"/>
        </w:rPr>
        <w:t xml:space="preserve">, </w:t>
      </w:r>
      <w:r w:rsidRPr="00722D7F">
        <w:rPr>
          <w:rFonts w:cs="Arial"/>
          <w:color w:val="444444"/>
          <w:shd w:val="clear" w:color="auto" w:fill="FFFFFF"/>
        </w:rPr>
        <w:t>Active Communities Manager</w:t>
      </w:r>
      <w:r>
        <w:rPr>
          <w:rFonts w:cs="Arial"/>
          <w:color w:val="444444"/>
          <w:bdr w:val="none" w:sz="0" w:space="0" w:color="auto" w:frame="1"/>
          <w:shd w:val="clear" w:color="auto" w:fill="FFFFFF"/>
        </w:rPr>
        <w:t>, e</w:t>
      </w:r>
      <w:r w:rsidRPr="00722D7F">
        <w:rPr>
          <w:rFonts w:cs="Arial"/>
          <w:color w:val="444444"/>
          <w:bdr w:val="none" w:sz="0" w:space="0" w:color="auto" w:frame="1"/>
          <w:shd w:val="clear" w:color="auto" w:fill="FFFFFF"/>
        </w:rPr>
        <w:t xml:space="preserve">mail </w:t>
      </w:r>
      <w:hyperlink r:id="rId33" w:history="1">
        <w:r w:rsidRPr="00722D7F">
          <w:rPr>
            <w:rStyle w:val="Hyperlink"/>
            <w:rFonts w:cs="Arial"/>
            <w:bdr w:val="none" w:sz="0" w:space="0" w:color="auto" w:frame="1"/>
            <w:shd w:val="clear" w:color="auto" w:fill="FFFFFF"/>
          </w:rPr>
          <w:t>jaym@harboursport.co.nz</w:t>
        </w:r>
      </w:hyperlink>
    </w:p>
    <w:p w:rsidR="0030207B" w:rsidRDefault="0030207B" w:rsidP="00DA2260"/>
    <w:p w:rsidR="0030207B" w:rsidRDefault="0030207B" w:rsidP="00DA2260">
      <w:pPr>
        <w:rPr>
          <w:rFonts w:cs="Arial"/>
        </w:rPr>
      </w:pPr>
      <w:proofErr w:type="gramStart"/>
      <w:r>
        <w:rPr>
          <w:b/>
        </w:rPr>
        <w:t xml:space="preserve">Healthy Village Action Zones </w:t>
      </w:r>
      <w:r>
        <w:rPr>
          <w:rFonts w:cs="Arial"/>
        </w:rPr>
        <w:t xml:space="preserve">– </w:t>
      </w:r>
      <w:r w:rsidRPr="009701F8">
        <w:rPr>
          <w:rFonts w:cs="Arial"/>
        </w:rPr>
        <w:t>an innovative framework for collaborative action by key stakeholders and Pacific communities, joining together to improve health outcomes for Pacific peoples</w:t>
      </w:r>
      <w:r>
        <w:rPr>
          <w:rFonts w:cs="Arial"/>
        </w:rPr>
        <w:t>.</w:t>
      </w:r>
      <w:proofErr w:type="gramEnd"/>
    </w:p>
    <w:p w:rsidR="0030207B" w:rsidRPr="009701F8" w:rsidRDefault="0030207B" w:rsidP="00DA2260">
      <w:pPr>
        <w:rPr>
          <w:rFonts w:cs="Arial"/>
          <w:b/>
        </w:rPr>
      </w:pPr>
      <w:r w:rsidRPr="009701F8">
        <w:rPr>
          <w:rFonts w:cs="Arial"/>
        </w:rPr>
        <w:t>Contact: Faimafili Tupu, Healthy Village Action Zones Manager,</w:t>
      </w:r>
      <w:r>
        <w:rPr>
          <w:rFonts w:cs="Arial"/>
        </w:rPr>
        <w:t xml:space="preserve"> tel</w:t>
      </w:r>
      <w:r w:rsidRPr="009701F8">
        <w:rPr>
          <w:rFonts w:cs="Arial"/>
        </w:rPr>
        <w:t xml:space="preserve"> 09 630 9943 ext 26470</w:t>
      </w:r>
      <w:r>
        <w:rPr>
          <w:rFonts w:cs="Arial"/>
        </w:rPr>
        <w:t xml:space="preserve"> or email</w:t>
      </w:r>
      <w:r w:rsidRPr="009701F8">
        <w:rPr>
          <w:rFonts w:cs="Arial"/>
        </w:rPr>
        <w:t xml:space="preserve"> </w:t>
      </w:r>
      <w:hyperlink r:id="rId34" w:tooltip="mailto:FaimafiliT@adhb.govt.nz" w:history="1">
        <w:r w:rsidRPr="009701F8">
          <w:rPr>
            <w:rStyle w:val="Hyperlink"/>
            <w:rFonts w:cs="Arial"/>
          </w:rPr>
          <w:t>FaimafiliT@adhb.govt.nz</w:t>
        </w:r>
      </w:hyperlink>
    </w:p>
    <w:p w:rsidR="0030207B" w:rsidRDefault="0030207B" w:rsidP="00DA2260"/>
    <w:p w:rsidR="0030207B" w:rsidRDefault="0030207B" w:rsidP="00DA2260">
      <w:r w:rsidRPr="00722D7F">
        <w:rPr>
          <w:b/>
        </w:rPr>
        <w:t>Energize Practices</w:t>
      </w:r>
      <w:r>
        <w:t xml:space="preserve"> –</w:t>
      </w:r>
      <w:r w:rsidRPr="00731AC9">
        <w:t xml:space="preserve"> </w:t>
      </w:r>
      <w:r>
        <w:t>primary care</w:t>
      </w:r>
      <w:r w:rsidRPr="00FB4DCA">
        <w:t xml:space="preserve"> </w:t>
      </w:r>
      <w:r w:rsidRPr="002E487F">
        <w:t>practice staff supported to trial a variety of methods to encourage in</w:t>
      </w:r>
      <w:r w:rsidR="00EB34D0">
        <w:noBreakHyphen/>
      </w:r>
      <w:r w:rsidRPr="002E487F">
        <w:t>practice healthy lifestyle coaching.</w:t>
      </w:r>
      <w:r>
        <w:t xml:space="preserve"> Led by </w:t>
      </w:r>
      <w:r w:rsidRPr="00731AC9">
        <w:t>Waikato</w:t>
      </w:r>
      <w:r>
        <w:t xml:space="preserve"> Sports Trust</w:t>
      </w:r>
    </w:p>
    <w:p w:rsidR="0030207B" w:rsidRDefault="0030207B" w:rsidP="00DA2260">
      <w:r>
        <w:t>Contact: Stephanie McLennan, email stephm@sportwaikato.org.nz</w:t>
      </w:r>
    </w:p>
    <w:p w:rsidR="0030207B" w:rsidRDefault="0030207B" w:rsidP="00DA2260"/>
    <w:p w:rsidR="0030207B" w:rsidRPr="00440C29" w:rsidRDefault="0030207B" w:rsidP="00DA2260">
      <w:pPr>
        <w:pStyle w:val="Heading3"/>
      </w:pPr>
      <w:r w:rsidRPr="00440C29">
        <w:t>At</w:t>
      </w:r>
      <w:r>
        <w:t>-r</w:t>
      </w:r>
      <w:r w:rsidRPr="00440C29">
        <w:t xml:space="preserve">isk </w:t>
      </w:r>
      <w:r>
        <w:t>i</w:t>
      </w:r>
      <w:r w:rsidRPr="00440C29">
        <w:t xml:space="preserve">ndividuals </w:t>
      </w:r>
      <w:r>
        <w:t>p</w:t>
      </w:r>
      <w:r w:rsidRPr="00440C29">
        <w:t>rogramme</w:t>
      </w:r>
    </w:p>
    <w:p w:rsidR="0030207B" w:rsidRDefault="0030207B" w:rsidP="00DA2260">
      <w:r w:rsidRPr="002E487F">
        <w:rPr>
          <w:b/>
        </w:rPr>
        <w:t>Counties Manukau DHB comprehensive programme</w:t>
      </w:r>
      <w:r w:rsidRPr="002E487F">
        <w:t xml:space="preserve"> of wraparound services for people with complex/multiple long</w:t>
      </w:r>
      <w:r>
        <w:t>-</w:t>
      </w:r>
      <w:r w:rsidRPr="002E487F">
        <w:t>term conditions</w:t>
      </w:r>
    </w:p>
    <w:p w:rsidR="0030207B" w:rsidRDefault="0030207B" w:rsidP="00DA2260">
      <w:r w:rsidRPr="00D319C3">
        <w:t>www.countiesmanukau.health.nz/blogs/introducing-the-at-risk-individuals-programme</w:t>
      </w:r>
    </w:p>
    <w:p w:rsidR="0030207B" w:rsidRPr="002E487F" w:rsidRDefault="0030207B" w:rsidP="00DA2260"/>
    <w:p w:rsidR="0030207B" w:rsidRDefault="0030207B" w:rsidP="0030207B">
      <w:r w:rsidRPr="002E487F">
        <w:rPr>
          <w:b/>
        </w:rPr>
        <w:t>Counties Manukau Self Management Support Campaign Manaaki Hauora</w:t>
      </w:r>
    </w:p>
    <w:p w:rsidR="0030207B" w:rsidRDefault="0030207B" w:rsidP="0030207B">
      <w:pPr>
        <w:rPr>
          <w:u w:val="single"/>
        </w:rPr>
      </w:pPr>
      <w:r w:rsidRPr="002E487F">
        <w:t>Contact: Diana Dowdle</w:t>
      </w:r>
      <w:r>
        <w:t>, email</w:t>
      </w:r>
      <w:r w:rsidRPr="002E487F">
        <w:t xml:space="preserve"> Diana.Dowdle@middlemore.co.nz</w:t>
      </w:r>
    </w:p>
    <w:p w:rsidR="0030207B" w:rsidRDefault="0030207B" w:rsidP="0030207B">
      <w:pPr>
        <w:rPr>
          <w:u w:val="single"/>
        </w:rPr>
      </w:pPr>
    </w:p>
    <w:p w:rsidR="0030207B" w:rsidRPr="00722D7F" w:rsidRDefault="0030207B" w:rsidP="00DA2260">
      <w:pPr>
        <w:pStyle w:val="Heading3"/>
      </w:pPr>
      <w:r w:rsidRPr="00722D7F">
        <w:lastRenderedPageBreak/>
        <w:t xml:space="preserve">Practice </w:t>
      </w:r>
      <w:r>
        <w:t>b</w:t>
      </w:r>
      <w:r w:rsidRPr="00722D7F">
        <w:t>ased</w:t>
      </w:r>
    </w:p>
    <w:p w:rsidR="0030207B" w:rsidRDefault="0030207B" w:rsidP="00DA2260">
      <w:pPr>
        <w:keepNext/>
      </w:pPr>
      <w:r w:rsidRPr="00722D7F">
        <w:rPr>
          <w:b/>
        </w:rPr>
        <w:t>Alliance Health Plus</w:t>
      </w:r>
      <w:r>
        <w:t xml:space="preserve"> – care planning approach</w:t>
      </w:r>
    </w:p>
    <w:p w:rsidR="0030207B" w:rsidRDefault="0030207B" w:rsidP="00DA2260">
      <w:pPr>
        <w:keepNext/>
      </w:pPr>
      <w:r w:rsidRPr="0094282F">
        <w:t>www.hiirc.org.nz/page/49789/learnings-from-a-project-to-develop-a-generic/?q=care%20planning&amp;highlight=care%20planning&amp;section=13825</w:t>
      </w:r>
    </w:p>
    <w:p w:rsidR="0030207B" w:rsidRDefault="0030207B" w:rsidP="00DA2260"/>
    <w:p w:rsidR="0030207B" w:rsidRPr="00731AC9" w:rsidRDefault="0030207B" w:rsidP="00DA2260">
      <w:pPr>
        <w:pStyle w:val="Heading3"/>
      </w:pPr>
      <w:r w:rsidRPr="00731AC9">
        <w:t>Links for support</w:t>
      </w:r>
    </w:p>
    <w:p w:rsidR="0030207B" w:rsidRDefault="0030207B" w:rsidP="00DA2260">
      <w:r w:rsidRPr="002E487F">
        <w:rPr>
          <w:b/>
        </w:rPr>
        <w:t>Checklist for change: primary care practices</w:t>
      </w:r>
      <w:r>
        <w:t xml:space="preserve"> – in Flanagan P et al. 2014. Learnings from a project to develop a generic self management care plan for long term conditions, pp 42</w:t>
      </w:r>
      <w:r w:rsidR="00DA2260">
        <w:t>–</w:t>
      </w:r>
      <w:r>
        <w:t xml:space="preserve">43, URL: </w:t>
      </w:r>
      <w:r w:rsidRPr="0094282F">
        <w:t>www.hiirc.org.nz/page/49789/learnings-from-a-project-to-develop-a-generic/?q=care%20planning&amp;highlight=care%20planning&amp;section=13825</w:t>
      </w:r>
    </w:p>
    <w:p w:rsidR="0030207B" w:rsidRPr="00722D7F" w:rsidRDefault="0030207B" w:rsidP="00DA2260"/>
    <w:p w:rsidR="00DA2260" w:rsidRDefault="00DA2260" w:rsidP="00DA2260">
      <w:r>
        <w:br w:type="page"/>
      </w:r>
    </w:p>
    <w:p w:rsidR="0030207B" w:rsidRPr="002439DF" w:rsidRDefault="0030207B" w:rsidP="00DA2260">
      <w:pPr>
        <w:pStyle w:val="Heading1"/>
        <w:ind w:left="0" w:firstLine="0"/>
      </w:pPr>
      <w:bookmarkStart w:id="30" w:name="_Toc442253030"/>
      <w:r>
        <w:lastRenderedPageBreak/>
        <w:t>Appendix 3</w:t>
      </w:r>
      <w:proofErr w:type="gramStart"/>
      <w:r>
        <w:t>:</w:t>
      </w:r>
      <w:proofErr w:type="gramEnd"/>
      <w:r w:rsidR="00DA2260">
        <w:br/>
      </w:r>
      <w:r w:rsidRPr="002439DF">
        <w:t>Diabetes</w:t>
      </w:r>
      <w:r>
        <w:t>-</w:t>
      </w:r>
      <w:r w:rsidRPr="002439DF">
        <w:t>specific self</w:t>
      </w:r>
      <w:r w:rsidR="00DA2260">
        <w:noBreakHyphen/>
      </w:r>
      <w:r w:rsidRPr="002439DF">
        <w:t>management support</w:t>
      </w:r>
      <w:bookmarkEnd w:id="30"/>
    </w:p>
    <w:p w:rsidR="0030207B" w:rsidRDefault="0030207B" w:rsidP="00DA2260">
      <w:r>
        <w:t>This document</w:t>
      </w:r>
      <w:r w:rsidRPr="002439DF">
        <w:t xml:space="preserve"> </w:t>
      </w:r>
      <w:r>
        <w:t>addresses</w:t>
      </w:r>
      <w:r w:rsidRPr="002439DF">
        <w:t xml:space="preserve"> self-management for </w:t>
      </w:r>
      <w:r>
        <w:t xml:space="preserve">LTCs </w:t>
      </w:r>
      <w:r w:rsidRPr="002439DF">
        <w:t>in general</w:t>
      </w:r>
      <w:r>
        <w:t>;</w:t>
      </w:r>
      <w:r w:rsidRPr="002439DF">
        <w:t xml:space="preserve"> </w:t>
      </w:r>
      <w:r>
        <w:t xml:space="preserve">however, </w:t>
      </w:r>
      <w:r w:rsidRPr="002439DF">
        <w:t xml:space="preserve">some </w:t>
      </w:r>
      <w:r>
        <w:t>aspects</w:t>
      </w:r>
      <w:r w:rsidRPr="002439DF">
        <w:t xml:space="preserve"> of self-management are specifi</w:t>
      </w:r>
      <w:r>
        <w:t>c to diabetes. Additionally, different types of diabetes, including type 1, type 2 and gestational diabetes, are discrete conditions requiring different self-management skills</w:t>
      </w:r>
      <w:r w:rsidRPr="00157E76">
        <w:t xml:space="preserve"> </w:t>
      </w:r>
      <w:r>
        <w:t>across the lifespan.</w:t>
      </w:r>
    </w:p>
    <w:p w:rsidR="0030207B" w:rsidRDefault="0030207B" w:rsidP="00DA2260"/>
    <w:p w:rsidR="0030207B" w:rsidRPr="002439DF" w:rsidRDefault="0030207B" w:rsidP="00DA2260">
      <w:r>
        <w:t xml:space="preserve">People with diabetes require </w:t>
      </w:r>
      <w:r w:rsidRPr="002439DF">
        <w:t xml:space="preserve">specific information to make informed decisions on self-management. </w:t>
      </w:r>
      <w:r>
        <w:t xml:space="preserve">This </w:t>
      </w:r>
      <w:r w:rsidRPr="002439DF">
        <w:t>include</w:t>
      </w:r>
      <w:r>
        <w:t>s</w:t>
      </w:r>
      <w:r w:rsidRPr="002439DF">
        <w:t>:</w:t>
      </w:r>
    </w:p>
    <w:p w:rsidR="0030207B" w:rsidRPr="002439DF" w:rsidRDefault="0030207B" w:rsidP="00DA2260">
      <w:pPr>
        <w:pStyle w:val="Bullet"/>
      </w:pPr>
      <w:r>
        <w:t>i</w:t>
      </w:r>
      <w:r w:rsidRPr="002439DF">
        <w:t>nformation on living with diabetes, including</w:t>
      </w:r>
      <w:r>
        <w:t>:</w:t>
      </w:r>
    </w:p>
    <w:p w:rsidR="0030207B" w:rsidRPr="002439DF" w:rsidRDefault="0030207B" w:rsidP="00DA2260">
      <w:pPr>
        <w:pStyle w:val="Dash"/>
      </w:pPr>
      <w:r>
        <w:t>m</w:t>
      </w:r>
      <w:r w:rsidRPr="002439DF">
        <w:t>anaging high and low blood glucose levels</w:t>
      </w:r>
    </w:p>
    <w:p w:rsidR="0030207B" w:rsidRPr="002439DF" w:rsidRDefault="0030207B" w:rsidP="00DA2260">
      <w:pPr>
        <w:pStyle w:val="Dash"/>
      </w:pPr>
      <w:r>
        <w:t>d</w:t>
      </w:r>
      <w:r w:rsidRPr="002439DF">
        <w:t>iet, including managing carbohydrate</w:t>
      </w:r>
      <w:r>
        <w:t>, fat and sugar</w:t>
      </w:r>
      <w:r w:rsidRPr="002439DF">
        <w:t xml:space="preserve"> intake</w:t>
      </w:r>
    </w:p>
    <w:p w:rsidR="0030207B" w:rsidRPr="002439DF" w:rsidRDefault="0030207B" w:rsidP="00DA2260">
      <w:pPr>
        <w:pStyle w:val="Dash"/>
      </w:pPr>
      <w:r>
        <w:t>t</w:t>
      </w:r>
      <w:r w:rsidRPr="002439DF">
        <w:t>he importance of regular physical exercise and how to adjust insulin and carbohydrate accordingly</w:t>
      </w:r>
    </w:p>
    <w:p w:rsidR="0030207B" w:rsidRPr="002439DF" w:rsidRDefault="0030207B" w:rsidP="00DA2260">
      <w:pPr>
        <w:pStyle w:val="Dash"/>
      </w:pPr>
      <w:r>
        <w:t>c</w:t>
      </w:r>
      <w:r w:rsidRPr="002439DF">
        <w:t>ontrolling diabetes before, during and after exercising</w:t>
      </w:r>
    </w:p>
    <w:p w:rsidR="0030207B" w:rsidRPr="002439DF" w:rsidRDefault="0030207B" w:rsidP="00DA2260">
      <w:pPr>
        <w:pStyle w:val="Bullet"/>
      </w:pPr>
      <w:r>
        <w:t>k</w:t>
      </w:r>
      <w:r w:rsidRPr="002439DF">
        <w:t>nowledge of diabetes</w:t>
      </w:r>
      <w:r>
        <w:t>-</w:t>
      </w:r>
      <w:r w:rsidRPr="002439DF">
        <w:t>specific medications, including:</w:t>
      </w:r>
    </w:p>
    <w:p w:rsidR="0030207B" w:rsidRPr="002439DF" w:rsidRDefault="0030207B" w:rsidP="00DA2260">
      <w:pPr>
        <w:pStyle w:val="Dash"/>
      </w:pPr>
      <w:r>
        <w:t xml:space="preserve">information about individual </w:t>
      </w:r>
      <w:r w:rsidRPr="002439DF">
        <w:t xml:space="preserve">medications </w:t>
      </w:r>
      <w:r>
        <w:t xml:space="preserve">for </w:t>
      </w:r>
      <w:r w:rsidRPr="002439DF">
        <w:t>manag</w:t>
      </w:r>
      <w:r>
        <w:t>ing</w:t>
      </w:r>
      <w:r w:rsidRPr="002439DF">
        <w:t xml:space="preserve"> </w:t>
      </w:r>
      <w:r>
        <w:t xml:space="preserve">a person’s own </w:t>
      </w:r>
      <w:r w:rsidRPr="002439DF">
        <w:t>diabetes</w:t>
      </w:r>
    </w:p>
    <w:p w:rsidR="0030207B" w:rsidRDefault="0030207B" w:rsidP="00DA2260">
      <w:pPr>
        <w:pStyle w:val="Dash"/>
      </w:pPr>
      <w:r>
        <w:t>i</w:t>
      </w:r>
      <w:r w:rsidRPr="002439DF">
        <w:t xml:space="preserve">nformation about </w:t>
      </w:r>
      <w:r>
        <w:t xml:space="preserve">potential future </w:t>
      </w:r>
      <w:r w:rsidRPr="002439DF">
        <w:t>medications</w:t>
      </w:r>
    </w:p>
    <w:p w:rsidR="0030207B" w:rsidRDefault="0030207B" w:rsidP="00DA2260">
      <w:pPr>
        <w:pStyle w:val="Dash"/>
      </w:pPr>
      <w:r>
        <w:t>i</w:t>
      </w:r>
      <w:r w:rsidRPr="002439DF">
        <w:t>nformation on the risks of non-adherence</w:t>
      </w:r>
      <w:r>
        <w:t xml:space="preserve"> to medicine schedules</w:t>
      </w:r>
    </w:p>
    <w:p w:rsidR="0030207B" w:rsidRPr="002439DF" w:rsidRDefault="0030207B" w:rsidP="00DA2260">
      <w:pPr>
        <w:pStyle w:val="Bullet"/>
      </w:pPr>
      <w:r>
        <w:t>a</w:t>
      </w:r>
      <w:r w:rsidRPr="002439DF">
        <w:t>wareness of diabetes</w:t>
      </w:r>
      <w:r>
        <w:t>-</w:t>
      </w:r>
      <w:r w:rsidRPr="002439DF">
        <w:t xml:space="preserve">specific complications and how to </w:t>
      </w:r>
      <w:r>
        <w:t>prevent them, including</w:t>
      </w:r>
      <w:r w:rsidRPr="002439DF">
        <w:t>:</w:t>
      </w:r>
    </w:p>
    <w:p w:rsidR="0030207B" w:rsidRPr="002439DF" w:rsidRDefault="0030207B" w:rsidP="00DA2260">
      <w:pPr>
        <w:pStyle w:val="Dash"/>
      </w:pPr>
      <w:r>
        <w:t>c</w:t>
      </w:r>
      <w:r w:rsidRPr="002439DF">
        <w:t>ardiovascular disease</w:t>
      </w:r>
      <w:r>
        <w:t>,</w:t>
      </w:r>
      <w:r w:rsidRPr="002439DF">
        <w:t xml:space="preserve"> and the need for regular monitoring and lifestyle advice to manage this risk</w:t>
      </w:r>
    </w:p>
    <w:p w:rsidR="0030207B" w:rsidRPr="002439DF" w:rsidRDefault="0030207B" w:rsidP="00DA2260">
      <w:pPr>
        <w:pStyle w:val="Dash"/>
      </w:pPr>
      <w:r>
        <w:t>r</w:t>
      </w:r>
      <w:r w:rsidRPr="002439DF">
        <w:t>enal disease</w:t>
      </w:r>
      <w:r>
        <w:t>,</w:t>
      </w:r>
      <w:r w:rsidRPr="002439DF">
        <w:t xml:space="preserve"> and the need for regular monitoring to manage this risk</w:t>
      </w:r>
    </w:p>
    <w:p w:rsidR="0030207B" w:rsidRPr="002439DF" w:rsidRDefault="0030207B" w:rsidP="00DA2260">
      <w:pPr>
        <w:pStyle w:val="Dash"/>
      </w:pPr>
      <w:r>
        <w:t>p</w:t>
      </w:r>
      <w:r w:rsidRPr="002439DF">
        <w:t>eripheral neuropathy</w:t>
      </w:r>
      <w:r>
        <w:t>,</w:t>
      </w:r>
      <w:r w:rsidRPr="002439DF">
        <w:t xml:space="preserve"> and the need to regularly </w:t>
      </w:r>
      <w:r>
        <w:t xml:space="preserve">undergo </w:t>
      </w:r>
      <w:r w:rsidRPr="002439DF">
        <w:t>foot checks</w:t>
      </w:r>
    </w:p>
    <w:p w:rsidR="0030207B" w:rsidRPr="002439DF" w:rsidRDefault="0030207B" w:rsidP="00DA2260">
      <w:pPr>
        <w:pStyle w:val="Dash"/>
      </w:pPr>
      <w:r>
        <w:t>r</w:t>
      </w:r>
      <w:r w:rsidRPr="002439DF">
        <w:t>etinopathy</w:t>
      </w:r>
      <w:r>
        <w:t>,</w:t>
      </w:r>
      <w:r w:rsidRPr="002439DF">
        <w:t xml:space="preserve"> and the need to regular</w:t>
      </w:r>
      <w:r>
        <w:t>ly undergo</w:t>
      </w:r>
      <w:r w:rsidRPr="002439DF">
        <w:t xml:space="preserve"> retinal screening</w:t>
      </w:r>
    </w:p>
    <w:p w:rsidR="0030207B" w:rsidRPr="002439DF" w:rsidRDefault="0030207B" w:rsidP="00DA2260">
      <w:pPr>
        <w:pStyle w:val="Dash"/>
      </w:pPr>
      <w:r>
        <w:t>d</w:t>
      </w:r>
      <w:r w:rsidRPr="002439DF">
        <w:t>epression</w:t>
      </w:r>
      <w:r>
        <w:t>,</w:t>
      </w:r>
      <w:r w:rsidRPr="002439DF">
        <w:t xml:space="preserve"> and the need for psychological support</w:t>
      </w:r>
    </w:p>
    <w:p w:rsidR="0030207B" w:rsidRDefault="0030207B" w:rsidP="00DA2260">
      <w:pPr>
        <w:pStyle w:val="Dash"/>
      </w:pPr>
      <w:r>
        <w:t>s</w:t>
      </w:r>
      <w:r w:rsidRPr="002439DF">
        <w:t>exual dysfunction</w:t>
      </w:r>
    </w:p>
    <w:p w:rsidR="0030207B" w:rsidRPr="002439DF" w:rsidRDefault="0030207B" w:rsidP="00DA2260">
      <w:pPr>
        <w:pStyle w:val="Bullet"/>
      </w:pPr>
      <w:r>
        <w:t>information on</w:t>
      </w:r>
      <w:r w:rsidRPr="002439DF">
        <w:t xml:space="preserve"> clinical parameters</w:t>
      </w:r>
      <w:r>
        <w:t>,</w:t>
      </w:r>
      <w:r w:rsidRPr="002439DF">
        <w:t xml:space="preserve"> including:</w:t>
      </w:r>
    </w:p>
    <w:p w:rsidR="0030207B" w:rsidRPr="002439DF" w:rsidRDefault="0030207B" w:rsidP="00DA2260">
      <w:pPr>
        <w:pStyle w:val="Dash"/>
      </w:pPr>
      <w:r>
        <w:t>b</w:t>
      </w:r>
      <w:r w:rsidRPr="002439DF">
        <w:t>lood glucose levels (HbA1c)</w:t>
      </w:r>
    </w:p>
    <w:p w:rsidR="0030207B" w:rsidRPr="002439DF" w:rsidRDefault="0030207B" w:rsidP="00DA2260">
      <w:pPr>
        <w:pStyle w:val="Dash"/>
      </w:pPr>
      <w:r>
        <w:t>b</w:t>
      </w:r>
      <w:r w:rsidRPr="002439DF">
        <w:t>lood pressure</w:t>
      </w:r>
    </w:p>
    <w:p w:rsidR="0030207B" w:rsidRDefault="0030207B" w:rsidP="00DA2260">
      <w:pPr>
        <w:pStyle w:val="Dash"/>
      </w:pPr>
      <w:r>
        <w:t>b</w:t>
      </w:r>
      <w:r w:rsidRPr="002439DF">
        <w:t>lood lipid levels (cholesterol)</w:t>
      </w:r>
    </w:p>
    <w:p w:rsidR="0030207B" w:rsidRPr="002439DF" w:rsidRDefault="0030207B" w:rsidP="00DA2260">
      <w:pPr>
        <w:pStyle w:val="Dash"/>
      </w:pPr>
      <w:proofErr w:type="gramStart"/>
      <w:r>
        <w:t>microalbuminuria</w:t>
      </w:r>
      <w:proofErr w:type="gramEnd"/>
      <w:r>
        <w:t>.</w:t>
      </w:r>
    </w:p>
    <w:p w:rsidR="0030207B" w:rsidRDefault="0030207B" w:rsidP="00DA2260"/>
    <w:p w:rsidR="0030207B" w:rsidRPr="008A63DD" w:rsidRDefault="0030207B" w:rsidP="00DA2260">
      <w:pPr>
        <w:keepNext/>
      </w:pPr>
      <w:r>
        <w:lastRenderedPageBreak/>
        <w:t>Health care providers should prioritise self-management support for people:</w:t>
      </w:r>
    </w:p>
    <w:p w:rsidR="0030207B" w:rsidRDefault="0030207B" w:rsidP="00DA2260">
      <w:pPr>
        <w:pStyle w:val="Bullet"/>
        <w:keepNext/>
      </w:pPr>
      <w:r>
        <w:t>newly diagnosed with type 2 diabetes</w:t>
      </w:r>
    </w:p>
    <w:p w:rsidR="0030207B" w:rsidRDefault="0030207B" w:rsidP="00DA2260">
      <w:pPr>
        <w:pStyle w:val="Bullet"/>
        <w:keepNext/>
      </w:pPr>
      <w:r>
        <w:t>with diabetes failing to achieve clinical targets despite</w:t>
      </w:r>
      <w:r w:rsidRPr="002C49E4">
        <w:t xml:space="preserve"> </w:t>
      </w:r>
      <w:r>
        <w:t>trying for 6–12 months</w:t>
      </w:r>
    </w:p>
    <w:p w:rsidR="0030207B" w:rsidRDefault="0030207B" w:rsidP="00DA2260">
      <w:pPr>
        <w:pStyle w:val="Bullet"/>
        <w:keepNext/>
      </w:pPr>
      <w:r>
        <w:t>with diabetes with persisting clinical issues (eg, hypoglycaemia or weight gain)</w:t>
      </w:r>
    </w:p>
    <w:p w:rsidR="0030207B" w:rsidRDefault="0030207B" w:rsidP="00DA2260">
      <w:pPr>
        <w:pStyle w:val="Bullet"/>
        <w:keepNext/>
      </w:pPr>
      <w:proofErr w:type="gramStart"/>
      <w:r>
        <w:t>with</w:t>
      </w:r>
      <w:proofErr w:type="gramEnd"/>
      <w:r>
        <w:t xml:space="preserve"> diabetes who are at high risk of complications.</w:t>
      </w:r>
    </w:p>
    <w:p w:rsidR="0030207B" w:rsidRDefault="0030207B" w:rsidP="00DA2260"/>
    <w:p w:rsidR="0030207B" w:rsidRDefault="0030207B" w:rsidP="00DA2260">
      <w:r>
        <w:rPr>
          <w:rFonts w:cs="Arial"/>
        </w:rPr>
        <w:t>D</w:t>
      </w:r>
      <w:r>
        <w:t>ietary, exercise and lifestyle information can be suitable for inclusion in a programme created for people with prediabetes; however, diabetes-specific self-management support content is not appropriate for them.</w:t>
      </w:r>
    </w:p>
    <w:p w:rsidR="0030207B" w:rsidRPr="00F103EB" w:rsidRDefault="0030207B" w:rsidP="00DA2260"/>
    <w:p w:rsidR="0030207B" w:rsidRDefault="0030207B" w:rsidP="00DA2260">
      <w:r>
        <w:t>For more information, see the following Ministry of Health publications:</w:t>
      </w:r>
    </w:p>
    <w:p w:rsidR="0030207B" w:rsidRPr="002C49E4" w:rsidRDefault="0030207B" w:rsidP="00DA2260">
      <w:pPr>
        <w:pStyle w:val="Bullet"/>
      </w:pPr>
      <w:r w:rsidRPr="002E487F">
        <w:rPr>
          <w:i/>
        </w:rPr>
        <w:t>Living Well with Diabetes: A plan for people at high risk of or living with diabetes</w:t>
      </w:r>
      <w:r>
        <w:rPr>
          <w:i/>
        </w:rPr>
        <w:t xml:space="preserve"> 2015–20</w:t>
      </w:r>
      <w:r w:rsidRPr="002E487F">
        <w:rPr>
          <w:i/>
        </w:rPr>
        <w:t xml:space="preserve"> </w:t>
      </w:r>
      <w:r>
        <w:t>(</w:t>
      </w:r>
      <w:hyperlink r:id="rId35" w:history="1">
        <w:r w:rsidRPr="002C49E4">
          <w:rPr>
            <w:rStyle w:val="Hyperlink"/>
          </w:rPr>
          <w:t>www.health.govt.nz/publication/living-well-diabetes</w:t>
        </w:r>
      </w:hyperlink>
      <w:r>
        <w:t>)</w:t>
      </w:r>
    </w:p>
    <w:p w:rsidR="0030207B" w:rsidRDefault="0030207B" w:rsidP="00DA2260">
      <w:pPr>
        <w:pStyle w:val="Bullet"/>
      </w:pPr>
      <w:r w:rsidRPr="002E487F">
        <w:rPr>
          <w:i/>
        </w:rPr>
        <w:t>Quality Standards for Diabetes Care Toolkit</w:t>
      </w:r>
      <w:r>
        <w:rPr>
          <w:i/>
        </w:rPr>
        <w:t xml:space="preserve"> 2014</w:t>
      </w:r>
      <w:r>
        <w:t xml:space="preserve"> (</w:t>
      </w:r>
      <w:hyperlink r:id="rId36" w:history="1">
        <w:r w:rsidRPr="002C49E4">
          <w:rPr>
            <w:rStyle w:val="Hyperlink"/>
          </w:rPr>
          <w:t>www.health.govt.nz/publication/quality-standards-diabetes-care-toolkit-2014</w:t>
        </w:r>
      </w:hyperlink>
      <w:r>
        <w:t>).</w:t>
      </w:r>
    </w:p>
    <w:p w:rsidR="00752FD4" w:rsidRPr="00752FD4" w:rsidRDefault="00752FD4" w:rsidP="00DA2260"/>
    <w:sectPr w:rsidR="00752FD4" w:rsidRPr="00752FD4" w:rsidSect="009D5125">
      <w:headerReference w:type="default" r:id="rId37"/>
      <w:footerReference w:type="even" r:id="rId38"/>
      <w:footerReference w:type="default" r:id="rId39"/>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50" w:rsidRDefault="003B2350">
      <w:pPr>
        <w:spacing w:line="240" w:lineRule="auto"/>
      </w:pPr>
      <w:r>
        <w:separator/>
      </w:r>
    </w:p>
    <w:p w:rsidR="003B2350" w:rsidRDefault="003B2350"/>
  </w:endnote>
  <w:endnote w:type="continuationSeparator" w:id="0">
    <w:p w:rsidR="003B2350" w:rsidRDefault="003B2350">
      <w:pPr>
        <w:spacing w:line="240" w:lineRule="auto"/>
      </w:pPr>
      <w:r>
        <w:continuationSeparator/>
      </w:r>
    </w:p>
    <w:p w:rsidR="003B2350" w:rsidRDefault="003B2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0" w:rsidRDefault="003B2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0" w:rsidRPr="00581136" w:rsidRDefault="003B2350"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0" w:rsidRDefault="003B23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0" w:rsidRDefault="003B2350" w:rsidP="004D6689">
    <w:pPr>
      <w:pStyle w:val="Footer"/>
      <w:pBdr>
        <w:bottom w:val="none" w:sz="0" w:space="0" w:color="auto"/>
      </w:pBd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0" w:rsidRDefault="003B235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0" w:rsidRPr="00275D08" w:rsidRDefault="003B2350"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25553">
      <w:rPr>
        <w:rStyle w:val="PageNumber"/>
        <w:noProof/>
      </w:rPr>
      <w:t>iv</w:t>
    </w:r>
    <w:r w:rsidRPr="00FC46E7">
      <w:rPr>
        <w:rStyle w:val="PageNumber"/>
      </w:rPr>
      <w:fldChar w:fldCharType="end"/>
    </w:r>
    <w:r>
      <w:tab/>
      <w:t>Self-management Support for People with Long-term Conditions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0" w:rsidRPr="00392223" w:rsidRDefault="003B2350" w:rsidP="00392223">
    <w:pPr>
      <w:pStyle w:val="RectoFooter"/>
    </w:pPr>
    <w:r>
      <w:tab/>
      <w:t>Self-management Support for People with Long-term Conditions</w:t>
    </w:r>
    <w:r>
      <w:tab/>
    </w:r>
    <w:r>
      <w:rPr>
        <w:rStyle w:val="PageNumber"/>
      </w:rPr>
      <w:fldChar w:fldCharType="begin"/>
    </w:r>
    <w:r>
      <w:rPr>
        <w:rStyle w:val="PageNumber"/>
      </w:rPr>
      <w:instrText xml:space="preserve"> PAGE </w:instrText>
    </w:r>
    <w:r>
      <w:rPr>
        <w:rStyle w:val="PageNumber"/>
      </w:rPr>
      <w:fldChar w:fldCharType="separate"/>
    </w:r>
    <w:r w:rsidR="00425553">
      <w:rPr>
        <w:rStyle w:val="PageNumber"/>
        <w:noProof/>
      </w:rPr>
      <w:t>iii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0" w:rsidRPr="00275D08" w:rsidRDefault="003B2350"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25553">
      <w:rPr>
        <w:rStyle w:val="PageNumber"/>
        <w:noProof/>
      </w:rPr>
      <w:t>20</w:t>
    </w:r>
    <w:r w:rsidRPr="00FC46E7">
      <w:rPr>
        <w:rStyle w:val="PageNumber"/>
      </w:rPr>
      <w:fldChar w:fldCharType="end"/>
    </w:r>
    <w:r>
      <w:tab/>
      <w:t>Self-management Support for People with Long-term Conditions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0" w:rsidRDefault="003B2350" w:rsidP="009E3C8C">
    <w:pPr>
      <w:pStyle w:val="RectoFooter"/>
    </w:pPr>
    <w:r>
      <w:tab/>
      <w:t>Self-management Support for People with Long-term Conditions</w:t>
    </w:r>
    <w:r>
      <w:tab/>
    </w:r>
    <w:r>
      <w:rPr>
        <w:rStyle w:val="PageNumber"/>
      </w:rPr>
      <w:fldChar w:fldCharType="begin"/>
    </w:r>
    <w:r>
      <w:rPr>
        <w:rStyle w:val="PageNumber"/>
      </w:rPr>
      <w:instrText xml:space="preserve"> PAGE </w:instrText>
    </w:r>
    <w:r>
      <w:rPr>
        <w:rStyle w:val="PageNumber"/>
      </w:rPr>
      <w:fldChar w:fldCharType="separate"/>
    </w:r>
    <w:r w:rsidR="00425553">
      <w:rPr>
        <w:rStyle w:val="PageNumber"/>
        <w:noProof/>
      </w:rPr>
      <w:t>21</w:t>
    </w:r>
    <w:r>
      <w:rPr>
        <w:rStyle w:val="PageNumber"/>
      </w:rPr>
      <w:fldChar w:fldCharType="end"/>
    </w:r>
    <w:bookmarkStart w:id="31" w:name="_GoBack"/>
    <w:bookmarkEnd w:id="3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50" w:rsidRPr="00A26E6B" w:rsidRDefault="003B2350" w:rsidP="00A26E6B"/>
  </w:footnote>
  <w:footnote w:type="continuationSeparator" w:id="0">
    <w:p w:rsidR="003B2350" w:rsidRDefault="003B2350">
      <w:pPr>
        <w:spacing w:line="240" w:lineRule="auto"/>
      </w:pPr>
      <w:r>
        <w:continuationSeparator/>
      </w:r>
    </w:p>
    <w:p w:rsidR="003B2350" w:rsidRDefault="003B2350"/>
  </w:footnote>
  <w:footnote w:id="1">
    <w:p w:rsidR="003B2350" w:rsidRPr="00A30600" w:rsidRDefault="003B2350" w:rsidP="003109B5">
      <w:pPr>
        <w:pStyle w:val="FootnoteText"/>
      </w:pPr>
      <w:r w:rsidRPr="003109B5">
        <w:rPr>
          <w:rStyle w:val="FootnoteReference"/>
        </w:rPr>
        <w:footnoteRef/>
      </w:r>
      <w:r>
        <w:tab/>
      </w:r>
      <w:r w:rsidRPr="00A30600">
        <w:t>NCD</w:t>
      </w:r>
      <w:r>
        <w:t>s are</w:t>
      </w:r>
      <w:r w:rsidRPr="00A30600">
        <w:t xml:space="preserve"> conditions that are not acquired by transmission between people. </w:t>
      </w:r>
      <w:r>
        <w:t>NCDs and LTCs overlap</w:t>
      </w:r>
      <w:r w:rsidRPr="00A30600">
        <w:t xml:space="preserve"> significant</w:t>
      </w:r>
      <w:r>
        <w:t>ly;</w:t>
      </w:r>
      <w:r w:rsidRPr="00A30600">
        <w:t xml:space="preserve"> for example, many NCDs are long</w:t>
      </w:r>
      <w:r>
        <w:t>-</w:t>
      </w:r>
      <w:r w:rsidRPr="00A30600">
        <w:t>term in nature, and LTCs and NCDs share many lifestyle-related risk factors. The</w:t>
      </w:r>
      <w:r>
        <w:t>y are not identical,</w:t>
      </w:r>
      <w:r w:rsidRPr="00A30600">
        <w:t xml:space="preserve"> however</w:t>
      </w:r>
      <w:r>
        <w:t>;</w:t>
      </w:r>
      <w:r w:rsidRPr="00A30600">
        <w:t xml:space="preserve"> for example</w:t>
      </w:r>
      <w:r>
        <w:t>,</w:t>
      </w:r>
      <w:r w:rsidRPr="00A30600">
        <w:t xml:space="preserve"> some LTCs</w:t>
      </w:r>
      <w:r>
        <w:t>,</w:t>
      </w:r>
      <w:r w:rsidRPr="005A61FA">
        <w:t xml:space="preserve"> </w:t>
      </w:r>
      <w:r w:rsidRPr="00A30600">
        <w:t xml:space="preserve">such as </w:t>
      </w:r>
      <w:r>
        <w:t>h</w:t>
      </w:r>
      <w:r w:rsidRPr="00A30600">
        <w:t>epatitis</w:t>
      </w:r>
      <w:r>
        <w:t>,</w:t>
      </w:r>
      <w:r w:rsidRPr="00A30600">
        <w:t xml:space="preserve"> are communicable. The terms are sometimes used interchangeably. </w:t>
      </w:r>
      <w:proofErr w:type="gramStart"/>
      <w:r w:rsidRPr="00A30600">
        <w:t>NCDs is</w:t>
      </w:r>
      <w:proofErr w:type="gramEnd"/>
      <w:r w:rsidRPr="00A30600">
        <w:t xml:space="preserve"> more commonly used in international contexts such as by the World Health Organi</w:t>
      </w:r>
      <w:r>
        <w:t>z</w:t>
      </w:r>
      <w:r w:rsidRPr="00A30600">
        <w:t xml:space="preserve">ation. </w:t>
      </w:r>
      <w:r>
        <w:t>T</w:t>
      </w:r>
      <w:r w:rsidRPr="00A30600">
        <w:t>his report refer</w:t>
      </w:r>
      <w:r>
        <w:t>s</w:t>
      </w:r>
      <w:r w:rsidRPr="00A30600">
        <w:t xml:space="preserve"> to LTCs for simplicity. The emphasis, </w:t>
      </w:r>
      <w:proofErr w:type="gramStart"/>
      <w:r>
        <w:t>though</w:t>
      </w:r>
      <w:r w:rsidRPr="00A30600" w:rsidDel="00E45FC2">
        <w:t xml:space="preserve"> </w:t>
      </w:r>
      <w:r w:rsidRPr="00A30600">
        <w:t>,</w:t>
      </w:r>
      <w:proofErr w:type="gramEnd"/>
      <w:r w:rsidRPr="00A30600">
        <w:t xml:space="preserve"> is </w:t>
      </w:r>
      <w:r>
        <w:t xml:space="preserve">not on the term used but rather </w:t>
      </w:r>
      <w:r w:rsidRPr="00A30600">
        <w:t>on addressing the challenges arising from the changing patterns of disease: the rise of conditions that are related to unhealthy lifestyles (both acute and long-term) and</w:t>
      </w:r>
      <w:r>
        <w:t xml:space="preserve"> of</w:t>
      </w:r>
      <w:r w:rsidRPr="00A30600">
        <w:t xml:space="preserve"> conditions that are long term (whether preventable or not).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0" w:rsidRDefault="003B23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0" w:rsidRDefault="003B2350" w:rsidP="009216CC">
    <w:pPr>
      <w:pStyle w:val="Header"/>
      <w:ind w:left="-1559"/>
    </w:pPr>
    <w:r>
      <w:rPr>
        <w:noProof/>
        <w:lang w:eastAsia="en-NZ"/>
      </w:rPr>
      <w:drawing>
        <wp:inline distT="0" distB="0" distL="0" distR="0" wp14:anchorId="5EDD07D1" wp14:editId="6081CF90">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0" w:rsidRDefault="003B23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0" w:rsidRDefault="003B2350"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0" w:rsidRDefault="003B2350"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0" w:rsidRDefault="003B23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A46918"/>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86820C2"/>
    <w:multiLevelType w:val="hybridMultilevel"/>
    <w:tmpl w:val="B9660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DD3153"/>
    <w:multiLevelType w:val="hybridMultilevel"/>
    <w:tmpl w:val="F752920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5296AC2"/>
    <w:multiLevelType w:val="hybridMultilevel"/>
    <w:tmpl w:val="C3C4F14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83C7517"/>
    <w:multiLevelType w:val="hybridMultilevel"/>
    <w:tmpl w:val="88D607E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C256F2C"/>
    <w:multiLevelType w:val="hybridMultilevel"/>
    <w:tmpl w:val="632050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3DB30BC"/>
    <w:multiLevelType w:val="hybridMultilevel"/>
    <w:tmpl w:val="6AF23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F645056"/>
    <w:multiLevelType w:val="hybridMultilevel"/>
    <w:tmpl w:val="E766C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3EF0B42"/>
    <w:multiLevelType w:val="hybridMultilevel"/>
    <w:tmpl w:val="A4FE32AE"/>
    <w:lvl w:ilvl="0" w:tplc="28D03F8A">
      <w:start w:val="1"/>
      <w:numFmt w:val="decimal"/>
      <w:lvlText w:val="%1."/>
      <w:lvlJc w:val="left"/>
      <w:pPr>
        <w:ind w:left="360" w:hanging="360"/>
      </w:pPr>
      <w:rPr>
        <w:b/>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35D60D0C"/>
    <w:multiLevelType w:val="hybridMultilevel"/>
    <w:tmpl w:val="3B2C70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90B0123"/>
    <w:multiLevelType w:val="hybridMultilevel"/>
    <w:tmpl w:val="86BA00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8">
    <w:nsid w:val="4DBB574A"/>
    <w:multiLevelType w:val="hybridMultilevel"/>
    <w:tmpl w:val="A5E82DC6"/>
    <w:lvl w:ilvl="0" w:tplc="14090005">
      <w:start w:val="1"/>
      <w:numFmt w:val="bullet"/>
      <w:lvlText w:val=""/>
      <w:lvlJc w:val="left"/>
      <w:pPr>
        <w:ind w:left="720" w:hanging="360"/>
      </w:pPr>
      <w:rPr>
        <w:rFonts w:ascii="Wingdings" w:hAnsi="Wingdings" w:hint="default"/>
      </w:rPr>
    </w:lvl>
    <w:lvl w:ilvl="1" w:tplc="14090005">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3565E68"/>
    <w:multiLevelType w:val="hybridMultilevel"/>
    <w:tmpl w:val="17E864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A827640"/>
    <w:multiLevelType w:val="hybridMultilevel"/>
    <w:tmpl w:val="99921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AE019D4"/>
    <w:multiLevelType w:val="hybridMultilevel"/>
    <w:tmpl w:val="1BACFE6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62C01AC"/>
    <w:multiLevelType w:val="hybridMultilevel"/>
    <w:tmpl w:val="7BEA4992"/>
    <w:lvl w:ilvl="0" w:tplc="1409000B">
      <w:start w:val="1"/>
      <w:numFmt w:val="bullet"/>
      <w:lvlText w:val=""/>
      <w:lvlJc w:val="left"/>
      <w:pPr>
        <w:ind w:left="720" w:hanging="360"/>
      </w:pPr>
      <w:rPr>
        <w:rFonts w:ascii="Wingdings" w:hAnsi="Wingdings" w:hint="default"/>
      </w:rPr>
    </w:lvl>
    <w:lvl w:ilvl="1" w:tplc="14090005">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5">
    <w:nsid w:val="6B706BA6"/>
    <w:multiLevelType w:val="hybridMultilevel"/>
    <w:tmpl w:val="8878FF1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D5114DD"/>
    <w:multiLevelType w:val="hybridMultilevel"/>
    <w:tmpl w:val="07F2258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E197752"/>
    <w:multiLevelType w:val="hybridMultilevel"/>
    <w:tmpl w:val="94D40CC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9">
    <w:nsid w:val="742343E1"/>
    <w:multiLevelType w:val="hybridMultilevel"/>
    <w:tmpl w:val="5EC08104"/>
    <w:lvl w:ilvl="0" w:tplc="1409000F">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7ADF0476"/>
    <w:multiLevelType w:val="hybridMultilevel"/>
    <w:tmpl w:val="2174B18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2">
    <w:nsid w:val="7CB636FC"/>
    <w:multiLevelType w:val="hybridMultilevel"/>
    <w:tmpl w:val="570E3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4"/>
  </w:num>
  <w:num w:numId="4">
    <w:abstractNumId w:val="15"/>
  </w:num>
  <w:num w:numId="5">
    <w:abstractNumId w:val="1"/>
  </w:num>
  <w:num w:numId="6">
    <w:abstractNumId w:val="20"/>
  </w:num>
  <w:num w:numId="7">
    <w:abstractNumId w:val="7"/>
  </w:num>
  <w:num w:numId="8">
    <w:abstractNumId w:val="28"/>
  </w:num>
  <w:num w:numId="9">
    <w:abstractNumId w:val="4"/>
  </w:num>
  <w:num w:numId="10">
    <w:abstractNumId w:val="9"/>
  </w:num>
  <w:num w:numId="11">
    <w:abstractNumId w:val="16"/>
  </w:num>
  <w:num w:numId="12">
    <w:abstractNumId w:val="0"/>
  </w:num>
  <w:num w:numId="13">
    <w:abstractNumId w:val="12"/>
  </w:num>
  <w:num w:numId="14">
    <w:abstractNumId w:val="19"/>
  </w:num>
  <w:num w:numId="15">
    <w:abstractNumId w:val="8"/>
  </w:num>
  <w:num w:numId="16">
    <w:abstractNumId w:val="30"/>
  </w:num>
  <w:num w:numId="17">
    <w:abstractNumId w:val="6"/>
  </w:num>
  <w:num w:numId="18">
    <w:abstractNumId w:val="26"/>
  </w:num>
  <w:num w:numId="19">
    <w:abstractNumId w:val="23"/>
  </w:num>
  <w:num w:numId="20">
    <w:abstractNumId w:val="22"/>
  </w:num>
  <w:num w:numId="21">
    <w:abstractNumId w:val="18"/>
  </w:num>
  <w:num w:numId="22">
    <w:abstractNumId w:val="25"/>
  </w:num>
  <w:num w:numId="23">
    <w:abstractNumId w:val="21"/>
  </w:num>
  <w:num w:numId="24">
    <w:abstractNumId w:val="32"/>
  </w:num>
  <w:num w:numId="25">
    <w:abstractNumId w:val="17"/>
  </w:num>
  <w:num w:numId="26">
    <w:abstractNumId w:val="10"/>
  </w:num>
  <w:num w:numId="27">
    <w:abstractNumId w:val="11"/>
  </w:num>
  <w:num w:numId="28">
    <w:abstractNumId w:val="2"/>
  </w:num>
  <w:num w:numId="29">
    <w:abstractNumId w:val="5"/>
  </w:num>
  <w:num w:numId="30">
    <w:abstractNumId w:val="27"/>
  </w:num>
  <w:num w:numId="31">
    <w:abstractNumId w:val="3"/>
  </w:num>
  <w:num w:numId="32">
    <w:abstractNumId w:val="13"/>
  </w:num>
  <w:num w:numId="3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A5CF5"/>
    <w:rsid w:val="001B39D2"/>
    <w:rsid w:val="001B4BF8"/>
    <w:rsid w:val="001C4326"/>
    <w:rsid w:val="001D3541"/>
    <w:rsid w:val="00201A01"/>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C05E9"/>
    <w:rsid w:val="002C2219"/>
    <w:rsid w:val="002D0DF2"/>
    <w:rsid w:val="002D23BD"/>
    <w:rsid w:val="002E0B47"/>
    <w:rsid w:val="002F7213"/>
    <w:rsid w:val="0030207B"/>
    <w:rsid w:val="0030382F"/>
    <w:rsid w:val="0030408D"/>
    <w:rsid w:val="003060E4"/>
    <w:rsid w:val="003109B5"/>
    <w:rsid w:val="003160E7"/>
    <w:rsid w:val="0031739E"/>
    <w:rsid w:val="003325AB"/>
    <w:rsid w:val="0033412B"/>
    <w:rsid w:val="00343365"/>
    <w:rsid w:val="00353501"/>
    <w:rsid w:val="003606F8"/>
    <w:rsid w:val="003648EF"/>
    <w:rsid w:val="003673E6"/>
    <w:rsid w:val="00377264"/>
    <w:rsid w:val="00392223"/>
    <w:rsid w:val="003A26A5"/>
    <w:rsid w:val="003A3761"/>
    <w:rsid w:val="003A5FEA"/>
    <w:rsid w:val="003B1D10"/>
    <w:rsid w:val="003B2350"/>
    <w:rsid w:val="003C76D4"/>
    <w:rsid w:val="003D2CC5"/>
    <w:rsid w:val="003E7C46"/>
    <w:rsid w:val="003F52A7"/>
    <w:rsid w:val="0040240C"/>
    <w:rsid w:val="00413021"/>
    <w:rsid w:val="00425553"/>
    <w:rsid w:val="00440BE0"/>
    <w:rsid w:val="00442C1C"/>
    <w:rsid w:val="0044584B"/>
    <w:rsid w:val="00447CB7"/>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6015D7"/>
    <w:rsid w:val="00601B21"/>
    <w:rsid w:val="00626CF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52FD4"/>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4C4"/>
    <w:rsid w:val="008D74D5"/>
    <w:rsid w:val="008F29BE"/>
    <w:rsid w:val="008F4AE5"/>
    <w:rsid w:val="008F51EB"/>
    <w:rsid w:val="008F6EB9"/>
    <w:rsid w:val="00900197"/>
    <w:rsid w:val="00902F55"/>
    <w:rsid w:val="0090582B"/>
    <w:rsid w:val="009060C0"/>
    <w:rsid w:val="009133F5"/>
    <w:rsid w:val="00920A27"/>
    <w:rsid w:val="00921216"/>
    <w:rsid w:val="009216CC"/>
    <w:rsid w:val="00932D69"/>
    <w:rsid w:val="00944647"/>
    <w:rsid w:val="00977B8A"/>
    <w:rsid w:val="00982971"/>
    <w:rsid w:val="009845AD"/>
    <w:rsid w:val="00995BA0"/>
    <w:rsid w:val="009A418B"/>
    <w:rsid w:val="009A4473"/>
    <w:rsid w:val="009C151C"/>
    <w:rsid w:val="009D5125"/>
    <w:rsid w:val="009D60B8"/>
    <w:rsid w:val="009D7D4B"/>
    <w:rsid w:val="009E1E68"/>
    <w:rsid w:val="009E36ED"/>
    <w:rsid w:val="009E3C8C"/>
    <w:rsid w:val="009E6B77"/>
    <w:rsid w:val="009F460A"/>
    <w:rsid w:val="00A043FB"/>
    <w:rsid w:val="00A0729C"/>
    <w:rsid w:val="00A07779"/>
    <w:rsid w:val="00A20B2E"/>
    <w:rsid w:val="00A26E6B"/>
    <w:rsid w:val="00A3068F"/>
    <w:rsid w:val="00A3145B"/>
    <w:rsid w:val="00A339D0"/>
    <w:rsid w:val="00A41002"/>
    <w:rsid w:val="00A4201A"/>
    <w:rsid w:val="00A553CE"/>
    <w:rsid w:val="00A5677A"/>
    <w:rsid w:val="00A6490D"/>
    <w:rsid w:val="00A77E34"/>
    <w:rsid w:val="00A80363"/>
    <w:rsid w:val="00A9169D"/>
    <w:rsid w:val="00AA240C"/>
    <w:rsid w:val="00AC101C"/>
    <w:rsid w:val="00AD4CF1"/>
    <w:rsid w:val="00AD5988"/>
    <w:rsid w:val="00AF7800"/>
    <w:rsid w:val="00B072E0"/>
    <w:rsid w:val="00B253F6"/>
    <w:rsid w:val="00B332F8"/>
    <w:rsid w:val="00B3492B"/>
    <w:rsid w:val="00B4646F"/>
    <w:rsid w:val="00B55C7D"/>
    <w:rsid w:val="00B63038"/>
    <w:rsid w:val="00B64BD8"/>
    <w:rsid w:val="00B701D1"/>
    <w:rsid w:val="00B73AF2"/>
    <w:rsid w:val="00B7551A"/>
    <w:rsid w:val="00BA1C1A"/>
    <w:rsid w:val="00BA3233"/>
    <w:rsid w:val="00BB5A68"/>
    <w:rsid w:val="00BC59F1"/>
    <w:rsid w:val="00BF3DE1"/>
    <w:rsid w:val="00BF4843"/>
    <w:rsid w:val="00BF5205"/>
    <w:rsid w:val="00C12508"/>
    <w:rsid w:val="00C14D86"/>
    <w:rsid w:val="00C45AA2"/>
    <w:rsid w:val="00C66296"/>
    <w:rsid w:val="00C77282"/>
    <w:rsid w:val="00C84DE5"/>
    <w:rsid w:val="00C86248"/>
    <w:rsid w:val="00CA4C33"/>
    <w:rsid w:val="00CA6F4A"/>
    <w:rsid w:val="00CD2119"/>
    <w:rsid w:val="00CD237A"/>
    <w:rsid w:val="00CD36AC"/>
    <w:rsid w:val="00CF1747"/>
    <w:rsid w:val="00D23323"/>
    <w:rsid w:val="00D2392A"/>
    <w:rsid w:val="00D25FFE"/>
    <w:rsid w:val="00D4476F"/>
    <w:rsid w:val="00D54D50"/>
    <w:rsid w:val="00D66797"/>
    <w:rsid w:val="00D7087C"/>
    <w:rsid w:val="00D70C3C"/>
    <w:rsid w:val="00D72BE5"/>
    <w:rsid w:val="00D82F26"/>
    <w:rsid w:val="00D863D0"/>
    <w:rsid w:val="00D87C87"/>
    <w:rsid w:val="00DA2260"/>
    <w:rsid w:val="00DB39CF"/>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B34D0"/>
    <w:rsid w:val="00EC50CE"/>
    <w:rsid w:val="00EC5B34"/>
    <w:rsid w:val="00ED5604"/>
    <w:rsid w:val="00EE4ADE"/>
    <w:rsid w:val="00EE5CB7"/>
    <w:rsid w:val="00F024FE"/>
    <w:rsid w:val="00F05AD4"/>
    <w:rsid w:val="00F25970"/>
    <w:rsid w:val="00F5180D"/>
    <w:rsid w:val="00F67496"/>
    <w:rsid w:val="00F801BA"/>
    <w:rsid w:val="00F9366A"/>
    <w:rsid w:val="00F946C9"/>
    <w:rsid w:val="00FA2913"/>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page number" w:uiPriority="0"/>
    <w:lsdException w:name="List" w:uiPriority="0"/>
    <w:lsdException w:name="List 2" w:qFormat="1"/>
    <w:lsdException w:name="Title" w:semiHidden="0" w:uiPriority="0" w:unhideWhenUsed="0" w:qFormat="1"/>
    <w:lsdException w:name="Default Paragraph Font" w:uiPriority="1"/>
    <w:lsdException w:name="List Continue" w:uiPriority="0" w:qFormat="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3109B5"/>
    <w:pPr>
      <w:pBdr>
        <w:top w:val="single" w:sz="48" w:space="16" w:color="auto"/>
      </w:pBdr>
      <w:spacing w:after="360"/>
      <w:ind w:left="851" w:hanging="851"/>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09B5"/>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30207B"/>
    <w:rPr>
      <w:rFonts w:ascii="Georgia" w:hAnsi="Georgia"/>
      <w:b/>
      <w:sz w:val="22"/>
      <w:lang w:eastAsia="en-GB"/>
    </w:rPr>
  </w:style>
  <w:style w:type="paragraph" w:styleId="TOC1">
    <w:name w:val="toc 1"/>
    <w:basedOn w:val="Normal"/>
    <w:next w:val="Normal"/>
    <w:uiPriority w:val="39"/>
    <w:rsid w:val="009E1E68"/>
    <w:pPr>
      <w:tabs>
        <w:tab w:val="right" w:pos="9356"/>
      </w:tabs>
      <w:spacing w:before="270"/>
      <w:ind w:left="567" w:right="567" w:hanging="567"/>
    </w:pPr>
    <w:rPr>
      <w:b/>
    </w:rPr>
  </w:style>
  <w:style w:type="paragraph" w:styleId="TOC2">
    <w:name w:val="toc 2"/>
    <w:basedOn w:val="Normal"/>
    <w:next w:val="Normal"/>
    <w:uiPriority w:val="39"/>
    <w:rsid w:val="009E1E68"/>
    <w:pPr>
      <w:tabs>
        <w:tab w:val="left" w:pos="284"/>
        <w:tab w:val="right" w:pos="9356"/>
      </w:tabs>
      <w:spacing w:before="50"/>
      <w:ind w:left="567" w:right="567"/>
    </w:pPr>
  </w:style>
  <w:style w:type="paragraph" w:styleId="TOC3">
    <w:name w:val="toc 3"/>
    <w:basedOn w:val="Normal"/>
    <w:next w:val="Normal"/>
    <w:uiPriority w:val="39"/>
    <w:rsid w:val="00C14D86"/>
    <w:pPr>
      <w:tabs>
        <w:tab w:val="right" w:pos="9356"/>
      </w:tabs>
      <w:spacing w:before="5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752FD4"/>
    <w:pPr>
      <w:pBdr>
        <w:bottom w:val="single" w:sz="48" w:space="6" w:color="auto"/>
      </w:pBdr>
      <w:ind w:right="1701"/>
    </w:pPr>
    <w:rPr>
      <w:b/>
      <w:sz w:val="7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BA3233"/>
    <w:pPr>
      <w:pBdr>
        <w:bottom w:val="none" w:sz="0" w:space="0" w:color="auto"/>
      </w:pBdr>
      <w:ind w:left="0" w:right="0" w:firstLine="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Read">
    <w:name w:val="Read"/>
    <w:basedOn w:val="Normal"/>
    <w:qFormat/>
    <w:rsid w:val="0030207B"/>
    <w:pPr>
      <w:shd w:val="clear" w:color="auto" w:fill="DDD9C3"/>
      <w:spacing w:line="240" w:lineRule="auto"/>
    </w:pPr>
    <w:rPr>
      <w:rFonts w:ascii="Arial" w:eastAsia="Calibri" w:hAnsi="Arial"/>
      <w:sz w:val="20"/>
      <w:szCs w:val="22"/>
      <w:lang w:eastAsia="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6E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B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page number" w:uiPriority="0"/>
    <w:lsdException w:name="List" w:uiPriority="0"/>
    <w:lsdException w:name="List 2" w:qFormat="1"/>
    <w:lsdException w:name="Title" w:semiHidden="0" w:uiPriority="0" w:unhideWhenUsed="0" w:qFormat="1"/>
    <w:lsdException w:name="Default Paragraph Font" w:uiPriority="1"/>
    <w:lsdException w:name="List Continue" w:uiPriority="0" w:qFormat="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3109B5"/>
    <w:pPr>
      <w:pBdr>
        <w:top w:val="single" w:sz="48" w:space="16" w:color="auto"/>
      </w:pBdr>
      <w:spacing w:after="360"/>
      <w:ind w:left="851" w:hanging="851"/>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09B5"/>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30207B"/>
    <w:rPr>
      <w:rFonts w:ascii="Georgia" w:hAnsi="Georgia"/>
      <w:b/>
      <w:sz w:val="22"/>
      <w:lang w:eastAsia="en-GB"/>
    </w:rPr>
  </w:style>
  <w:style w:type="paragraph" w:styleId="TOC1">
    <w:name w:val="toc 1"/>
    <w:basedOn w:val="Normal"/>
    <w:next w:val="Normal"/>
    <w:uiPriority w:val="39"/>
    <w:rsid w:val="009E1E68"/>
    <w:pPr>
      <w:tabs>
        <w:tab w:val="right" w:pos="9356"/>
      </w:tabs>
      <w:spacing w:before="270"/>
      <w:ind w:left="567" w:right="567" w:hanging="567"/>
    </w:pPr>
    <w:rPr>
      <w:b/>
    </w:rPr>
  </w:style>
  <w:style w:type="paragraph" w:styleId="TOC2">
    <w:name w:val="toc 2"/>
    <w:basedOn w:val="Normal"/>
    <w:next w:val="Normal"/>
    <w:uiPriority w:val="39"/>
    <w:rsid w:val="009E1E68"/>
    <w:pPr>
      <w:tabs>
        <w:tab w:val="left" w:pos="284"/>
        <w:tab w:val="right" w:pos="9356"/>
      </w:tabs>
      <w:spacing w:before="50"/>
      <w:ind w:left="567" w:right="567"/>
    </w:pPr>
  </w:style>
  <w:style w:type="paragraph" w:styleId="TOC3">
    <w:name w:val="toc 3"/>
    <w:basedOn w:val="Normal"/>
    <w:next w:val="Normal"/>
    <w:uiPriority w:val="39"/>
    <w:rsid w:val="00C14D86"/>
    <w:pPr>
      <w:tabs>
        <w:tab w:val="right" w:pos="9356"/>
      </w:tabs>
      <w:spacing w:before="5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752FD4"/>
    <w:pPr>
      <w:pBdr>
        <w:bottom w:val="single" w:sz="48" w:space="6" w:color="auto"/>
      </w:pBdr>
      <w:ind w:right="1701"/>
    </w:pPr>
    <w:rPr>
      <w:b/>
      <w:sz w:val="7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BA3233"/>
    <w:pPr>
      <w:pBdr>
        <w:bottom w:val="none" w:sz="0" w:space="0" w:color="auto"/>
      </w:pBdr>
      <w:ind w:left="0" w:right="0" w:firstLine="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Read">
    <w:name w:val="Read"/>
    <w:basedOn w:val="Normal"/>
    <w:qFormat/>
    <w:rsid w:val="0030207B"/>
    <w:pPr>
      <w:shd w:val="clear" w:color="auto" w:fill="DDD9C3"/>
      <w:spacing w:line="240" w:lineRule="auto"/>
    </w:pPr>
    <w:rPr>
      <w:rFonts w:ascii="Arial" w:eastAsia="Calibri" w:hAnsi="Arial"/>
      <w:sz w:val="20"/>
      <w:szCs w:val="22"/>
      <w:lang w:eastAsia="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6E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B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mailto:FaimafiliT@adhb.govt.nz"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learnonline.health.nz/course/category.php?id=84" TargetMode="External"/><Relationship Id="rId33" Type="http://schemas.openxmlformats.org/officeDocument/2006/relationships/hyperlink" Target="mailto:jaym@harboursport.co.nz"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29" Type="http://schemas.openxmlformats.org/officeDocument/2006/relationships/hyperlink" Target="http://www.flinders.edu.au/medicine/sites/fhbhru/self-management.cf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ealth.govt.nz/publication/framework-health-literacy" TargetMode="External"/><Relationship Id="rId32" Type="http://schemas.openxmlformats.org/officeDocument/2006/relationships/hyperlink" Target="mailto:Leona@ethc.co.nz" TargetMode="Externa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health.govt.nz/publication/health-literacy-review-guide" TargetMode="External"/><Relationship Id="rId28" Type="http://schemas.openxmlformats.org/officeDocument/2006/relationships/hyperlink" Target="http://www.hn.org.nz" TargetMode="External"/><Relationship Id="rId36" Type="http://schemas.openxmlformats.org/officeDocument/2006/relationships/hyperlink" Target="http://www.health.govt.nz/publication/quality-standards-diabetes-care-toolkit-2014"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5.png"/><Relationship Id="rId30" Type="http://schemas.openxmlformats.org/officeDocument/2006/relationships/hyperlink" Target="http://www.skillsforcare.org.uk/Skills/Self-care/Self-care.aspx" TargetMode="External"/><Relationship Id="rId35" Type="http://schemas.openxmlformats.org/officeDocument/2006/relationships/hyperlink" Target="http://www.health.govt.nz/publication/living-well-diabe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5047-78FA-43A4-A595-BB1D1DBE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77</TotalTime>
  <Pages>25</Pages>
  <Words>5261</Words>
  <Characters>34045</Characters>
  <Application>Microsoft Office Word</Application>
  <DocSecurity>0</DocSecurity>
  <Lines>872</Lines>
  <Paragraphs>462</Paragraphs>
  <ScaleCrop>false</ScaleCrop>
  <HeadingPairs>
    <vt:vector size="2" baseType="variant">
      <vt:variant>
        <vt:lpstr>Title</vt:lpstr>
      </vt:variant>
      <vt:variant>
        <vt:i4>1</vt:i4>
      </vt:variant>
    </vt:vector>
  </HeadingPairs>
  <TitlesOfParts>
    <vt:vector size="1" baseType="lpstr">
      <vt:lpstr>Self-management support for people with long-term conditions</vt:lpstr>
    </vt:vector>
  </TitlesOfParts>
  <Company>Microsoft</Company>
  <LinksUpToDate>false</LinksUpToDate>
  <CharactersWithSpaces>38844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Self-management support for people with long-term conditions</dc:title>
  <dc:creator>Ministry of Health</dc:creator>
  <cp:lastModifiedBy>Jane Adam</cp:lastModifiedBy>
  <cp:revision>14</cp:revision>
  <cp:lastPrinted>2015-11-17T05:02:00Z</cp:lastPrinted>
  <dcterms:created xsi:type="dcterms:W3CDTF">2016-01-29T04:41:00Z</dcterms:created>
  <dcterms:modified xsi:type="dcterms:W3CDTF">2016-02-16T01:29:00Z</dcterms:modified>
</cp:coreProperties>
</file>