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0312D" w14:textId="77777777" w:rsidR="00817A32" w:rsidRDefault="0087795F" w:rsidP="00817A32">
      <w:pPr>
        <w:jc w:val="right"/>
      </w:pPr>
      <w:r>
        <w:rPr>
          <w:noProof/>
        </w:rPr>
        <mc:AlternateContent>
          <mc:Choice Requires="wps">
            <w:drawing>
              <wp:anchor distT="45720" distB="45720" distL="114300" distR="114300" simplePos="0" relativeHeight="251663360" behindDoc="0" locked="0" layoutInCell="1" allowOverlap="1" wp14:anchorId="39692DB2" wp14:editId="39A2FE01">
                <wp:simplePos x="0" y="0"/>
                <wp:positionH relativeFrom="margin">
                  <wp:align>right</wp:align>
                </wp:positionH>
                <wp:positionV relativeFrom="page">
                  <wp:posOffset>1473200</wp:posOffset>
                </wp:positionV>
                <wp:extent cx="6116955" cy="4066540"/>
                <wp:effectExtent l="0" t="0" r="0" b="0"/>
                <wp:wrapSquare wrapText="bothSides"/>
                <wp:docPr id="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486" cy="4066540"/>
                        </a:xfrm>
                        <a:prstGeom prst="rect">
                          <a:avLst/>
                        </a:prstGeom>
                        <a:noFill/>
                        <a:ln w="9525">
                          <a:noFill/>
                          <a:miter lim="800000"/>
                          <a:headEnd/>
                          <a:tailEnd/>
                        </a:ln>
                      </wps:spPr>
                      <wps:txbx>
                        <w:txbxContent>
                          <w:p w14:paraId="645E369D" w14:textId="17716F86" w:rsidR="0087795F" w:rsidRPr="0087795F" w:rsidRDefault="00A96A9C" w:rsidP="0087795F">
                            <w:pPr>
                              <w:pStyle w:val="Title"/>
                              <w:rPr>
                                <w:rFonts w:eastAsia="+mj-ea"/>
                              </w:rPr>
                            </w:pPr>
                            <w:r>
                              <w:rPr>
                                <w:rFonts w:eastAsia="+mj-ea"/>
                              </w:rPr>
                              <w:t>Fertility-preserving Management of Early Endometrial Cancer</w:t>
                            </w:r>
                          </w:p>
                          <w:p w14:paraId="060DEB6F" w14:textId="33C76268" w:rsidR="0087795F" w:rsidRPr="007F15E1" w:rsidRDefault="00A96A9C" w:rsidP="0087795F">
                            <w:pPr>
                              <w:pStyle w:val="Subtitle"/>
                            </w:pPr>
                            <w:r>
                              <w:rPr>
                                <w:rFonts w:eastAsia="+mj-ea"/>
                              </w:rPr>
                              <w:t>New Zealand Gynaecologic Cancer Group Guideline</w:t>
                            </w:r>
                          </w:p>
                        </w:txbxContent>
                      </wps:txbx>
                      <wps:bodyPr rot="0" vert="horz" wrap="square" lIns="0" tIns="45720" rIns="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39692DB2" id="_x0000_t202" coordsize="21600,21600" o:spt="202" path="m,l,21600r21600,l21600,xe">
                <v:stroke joinstyle="miter"/>
                <v:path gradientshapeok="t" o:connecttype="rect"/>
              </v:shapetype>
              <v:shape id="Text Box 2" o:spid="_x0000_s1026" type="#_x0000_t202" alt="&quot;&quot;" style="position:absolute;left:0;text-align:left;margin-left:430.45pt;margin-top:116pt;width:481.65pt;height:320.2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" filled="f" stroked="f">
                <v:textbox inset="0,,0">
                  <w:txbxContent>
                    <w:p w14:paraId="645E369D" w14:textId="17716F86" w:rsidR="0087795F" w:rsidRPr="0087795F" w:rsidRDefault="00A96A9C" w:rsidP="0087795F">
                      <w:pPr>
                        <w:pStyle w:val="Title"/>
                        <w:rPr>
                          <w:rFonts w:eastAsia="+mj-ea"/>
                        </w:rPr>
                      </w:pPr>
                      <w:r>
                        <w:rPr>
                          <w:rFonts w:eastAsia="+mj-ea"/>
                        </w:rPr>
                        <w:t>Fertility-preserving Management of Early Endometrial Cancer</w:t>
                      </w:r>
                    </w:p>
                    <w:p w14:paraId="060DEB6F" w14:textId="33C76268" w:rsidR="0087795F" w:rsidRPr="007F15E1" w:rsidRDefault="00A96A9C" w:rsidP="0087795F">
                      <w:pPr>
                        <w:pStyle w:val="Subtitle"/>
                      </w:pPr>
                      <w:r>
                        <w:rPr>
                          <w:rFonts w:eastAsia="+mj-ea"/>
                        </w:rPr>
                        <w:t>New Zealand Gynaecologic Cancer Group Guideline</w:t>
                      </w:r>
                    </w:p>
                  </w:txbxContent>
                </v:textbox>
                <w10:wrap type="square" anchorx="margin" anchory="page"/>
              </v:shape>
            </w:pict>
          </mc:Fallback>
        </mc:AlternateContent>
      </w:r>
      <w:r>
        <w:rPr>
          <w:noProof/>
        </w:rPr>
        <mc:AlternateContent>
          <mc:Choice Requires="wps">
            <w:drawing>
              <wp:anchor distT="45720" distB="45720" distL="114300" distR="114300" simplePos="0" relativeHeight="251664384" behindDoc="0" locked="0" layoutInCell="1" allowOverlap="1" wp14:anchorId="2183BCAD" wp14:editId="3CF737AB">
                <wp:simplePos x="0" y="0"/>
                <wp:positionH relativeFrom="column">
                  <wp:posOffset>16510</wp:posOffset>
                </wp:positionH>
                <wp:positionV relativeFrom="paragraph">
                  <wp:posOffset>5274945</wp:posOffset>
                </wp:positionV>
                <wp:extent cx="4284980" cy="1404620"/>
                <wp:effectExtent l="0" t="0" r="1270" b="4445"/>
                <wp:wrapSquare wrapText="bothSides"/>
                <wp:docPr id="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980" cy="1404620"/>
                        </a:xfrm>
                        <a:prstGeom prst="rect">
                          <a:avLst/>
                        </a:prstGeom>
                        <a:noFill/>
                        <a:ln w="9525">
                          <a:noFill/>
                          <a:miter lim="800000"/>
                          <a:headEnd/>
                          <a:tailEnd/>
                        </a:ln>
                      </wps:spPr>
                      <wps:txbx>
                        <w:txbxContent>
                          <w:p w14:paraId="2E19F469" w14:textId="26B9EED3" w:rsidR="0087795F" w:rsidRPr="007F15E1" w:rsidRDefault="004C2E5B" w:rsidP="0087795F">
                            <w:pPr>
                              <w:pStyle w:val="Provider"/>
                            </w:pPr>
                            <w:r>
                              <w:rPr>
                                <w:rFonts w:eastAsia="+mn-ea"/>
                              </w:rPr>
                              <w:t xml:space="preserve">Released </w:t>
                            </w:r>
                            <w:r w:rsidR="00A96A9C">
                              <w:rPr>
                                <w:rFonts w:eastAsia="+mn-ea"/>
                              </w:rPr>
                              <w:t>2023</w:t>
                            </w:r>
                            <w:r w:rsidR="0087795F" w:rsidRPr="007F15E1">
                              <w:rPr>
                                <w:rFonts w:eastAsia="+mn-ea"/>
                              </w:rPr>
                              <w:t xml:space="preserve"> </w:t>
                            </w:r>
                          </w:p>
                        </w:txbxContent>
                      </wps:txbx>
                      <wps:bodyPr rot="0" vert="horz" wrap="square" lIns="0" tIns="4572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3BCAD" id="_x0000_s1027" type="#_x0000_t202" alt="&quot;&quot;" style="position:absolute;left:0;text-align:left;margin-left:1.3pt;margin-top:415.35pt;width:337.4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" filled="f" stroked="f">
                <v:textbox style="mso-fit-shape-to-text:t" inset="0,,0">
                  <w:txbxContent>
                    <w:p w14:paraId="2E19F469" w14:textId="26B9EED3" w:rsidR="0087795F" w:rsidRPr="007F15E1" w:rsidRDefault="004C2E5B" w:rsidP="0087795F">
                      <w:pPr>
                        <w:pStyle w:val="Provider"/>
                      </w:pPr>
                      <w:r>
                        <w:rPr>
                          <w:rFonts w:eastAsia="+mn-ea"/>
                        </w:rPr>
                        <w:t xml:space="preserve">Released </w:t>
                      </w:r>
                      <w:r w:rsidR="00A96A9C">
                        <w:rPr>
                          <w:rFonts w:eastAsia="+mn-ea"/>
                        </w:rPr>
                        <w:t>2023</w:t>
                      </w:r>
                      <w:r w:rsidR="0087795F" w:rsidRPr="007F15E1">
                        <w:rPr>
                          <w:rFonts w:eastAsia="+mn-ea"/>
                        </w:rPr>
                        <w:t xml:space="preserve"> </w:t>
                      </w:r>
                    </w:p>
                  </w:txbxContent>
                </v:textbox>
                <w10:wrap type="square"/>
              </v:shape>
            </w:pict>
          </mc:Fallback>
        </mc:AlternateContent>
      </w:r>
      <w:r w:rsidR="00817A32" w:rsidRPr="00063471">
        <w:rPr>
          <w:noProof/>
        </w:rPr>
        <w:drawing>
          <wp:anchor distT="0" distB="0" distL="114300" distR="114300" simplePos="0" relativeHeight="251659264" behindDoc="1" locked="0" layoutInCell="1" allowOverlap="1" wp14:anchorId="0F35031D" wp14:editId="73CCCD69">
            <wp:simplePos x="0" y="0"/>
            <wp:positionH relativeFrom="margin">
              <wp:align>center</wp:align>
            </wp:positionH>
            <wp:positionV relativeFrom="page">
              <wp:align>bottom</wp:align>
            </wp:positionV>
            <wp:extent cx="8956675" cy="5036185"/>
            <wp:effectExtent l="0" t="0" r="0" b="0"/>
            <wp:wrapNone/>
            <wp:docPr id="3" name="Picture 2">
              <a:extLst xmlns:a="http://schemas.openxmlformats.org/drawingml/2006/main">
                <a:ext uri="{FF2B5EF4-FFF2-40B4-BE49-F238E27FC236}">
                  <a16:creationId xmlns:a16="http://schemas.microsoft.com/office/drawing/2014/main" id="{403CFB55-44C4-E24F-9B59-0D9CBC59AA48}"/>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03CFB55-44C4-E24F-9B59-0D9CBC59AA48}"/>
                        </a:ext>
                        <a:ext uri="{C183D7F6-B498-43B3-948B-1728B52AA6E4}">
                          <adec:decorative xmlns:adec="http://schemas.microsoft.com/office/drawing/2017/decorative" val="1"/>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8956675" cy="5036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7A32">
        <w:rPr>
          <w:noProof/>
        </w:rPr>
        <w:drawing>
          <wp:inline distT="0" distB="0" distL="0" distR="0" wp14:anchorId="4A1EED47" wp14:editId="7F80DA22">
            <wp:extent cx="2160000" cy="476102"/>
            <wp:effectExtent l="0" t="0" r="0" b="635"/>
            <wp:docPr id="2" name="Picture 2" descr="Te Whatu 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 Whatu Or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0000" cy="476102"/>
                    </a:xfrm>
                    <a:prstGeom prst="rect">
                      <a:avLst/>
                    </a:prstGeom>
                    <a:noFill/>
                  </pic:spPr>
                </pic:pic>
              </a:graphicData>
            </a:graphic>
          </wp:inline>
        </w:drawing>
      </w:r>
    </w:p>
    <w:p w14:paraId="342B6B1B" w14:textId="0DD76FAA" w:rsidR="00817A32" w:rsidRDefault="008D78D9" w:rsidP="0087795F">
      <w:r>
        <w:rPr>
          <w:noProof/>
        </w:rPr>
        <w:drawing>
          <wp:anchor distT="0" distB="0" distL="114300" distR="114300" simplePos="0" relativeHeight="251665408" behindDoc="0" locked="0" layoutInCell="1" allowOverlap="1" wp14:anchorId="4943191C" wp14:editId="731F63A6">
            <wp:simplePos x="0" y="0"/>
            <wp:positionH relativeFrom="margin">
              <wp:posOffset>-121920</wp:posOffset>
            </wp:positionH>
            <wp:positionV relativeFrom="margin">
              <wp:posOffset>9086850</wp:posOffset>
            </wp:positionV>
            <wp:extent cx="1799590" cy="431800"/>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9590" cy="431800"/>
                    </a:xfrm>
                    <a:prstGeom prst="rect">
                      <a:avLst/>
                    </a:prstGeom>
                  </pic:spPr>
                </pic:pic>
              </a:graphicData>
            </a:graphic>
            <wp14:sizeRelH relativeFrom="margin">
              <wp14:pctWidth>0</wp14:pctWidth>
            </wp14:sizeRelH>
            <wp14:sizeRelV relativeFrom="margin">
              <wp14:pctHeight>0</wp14:pctHeight>
            </wp14:sizeRelV>
          </wp:anchor>
        </w:drawing>
      </w:r>
      <w:r w:rsidR="0087795F">
        <w:t xml:space="preserve"> </w:t>
      </w:r>
      <w:r w:rsidR="00817A32">
        <w:br w:type="page"/>
      </w:r>
    </w:p>
    <w:p w14:paraId="00B8C9E6" w14:textId="16568D31" w:rsidR="004C2E5B" w:rsidRDefault="004C2E5B" w:rsidP="004C2E5B">
      <w:r>
        <w:lastRenderedPageBreak/>
        <w:t xml:space="preserve">Citation: </w:t>
      </w:r>
      <w:r w:rsidR="00ED4008">
        <w:t>Te Whatu Ora – Health New Zealand</w:t>
      </w:r>
      <w:r>
        <w:t xml:space="preserve">. </w:t>
      </w:r>
      <w:r w:rsidR="00A96A9C">
        <w:t>2023</w:t>
      </w:r>
      <w:r>
        <w:t xml:space="preserve">. </w:t>
      </w:r>
      <w:r w:rsidR="00A96A9C" w:rsidRPr="00A96A9C">
        <w:rPr>
          <w:i/>
          <w:iCs/>
        </w:rPr>
        <w:t>Fertility-preserving Management of Early Endometrial Cancer</w:t>
      </w:r>
      <w:r>
        <w:t xml:space="preserve">. Wellington: </w:t>
      </w:r>
      <w:r w:rsidR="00ED4008">
        <w:t>Te Whatu Ora – Health New Zealand</w:t>
      </w:r>
      <w:r>
        <w:t>.</w:t>
      </w:r>
    </w:p>
    <w:p w14:paraId="73A7BDD6" w14:textId="77777777" w:rsidR="0045783A" w:rsidRDefault="004C2E5B" w:rsidP="004C2E5B">
      <w:r>
        <w:t xml:space="preserve">Published in </w:t>
      </w:r>
      <w:r w:rsidR="0045783A">
        <w:t xml:space="preserve">September </w:t>
      </w:r>
      <w:r w:rsidR="00A96A9C">
        <w:t>2023</w:t>
      </w:r>
      <w:r>
        <w:t xml:space="preserve"> by </w:t>
      </w:r>
      <w:r w:rsidR="00ED4008">
        <w:t>Te Whatu Ora – Health New Zealand</w:t>
      </w:r>
      <w:r>
        <w:br/>
        <w:t xml:space="preserve">PO Box </w:t>
      </w:r>
      <w:r w:rsidR="00F10DE1">
        <w:t>793</w:t>
      </w:r>
      <w:r>
        <w:t>, Wellington 6140, New Zealand</w:t>
      </w:r>
    </w:p>
    <w:p w14:paraId="6D30758E" w14:textId="65F74815" w:rsidR="004C2E5B" w:rsidRPr="006116F6" w:rsidRDefault="004C2E5B" w:rsidP="004C2E5B">
      <w:pPr>
        <w:rPr>
          <w:szCs w:val="24"/>
        </w:rPr>
      </w:pPr>
      <w:r w:rsidRPr="006116F6">
        <w:rPr>
          <w:szCs w:val="24"/>
        </w:rPr>
        <w:t>ISBN</w:t>
      </w:r>
      <w:r w:rsidR="0045783A" w:rsidRPr="006116F6">
        <w:rPr>
          <w:szCs w:val="24"/>
        </w:rPr>
        <w:t xml:space="preserve"> </w:t>
      </w:r>
      <w:r w:rsidR="00BB0380" w:rsidRPr="006116F6">
        <w:rPr>
          <w:rStyle w:val="normaltextrun"/>
          <w:rFonts w:ascii="Arial" w:hAnsi="Arial" w:cs="Arial"/>
          <w:color w:val="000000"/>
          <w:szCs w:val="24"/>
          <w:shd w:val="clear" w:color="auto" w:fill="FFFFFF"/>
          <w:lang w:val="en-US"/>
        </w:rPr>
        <w:t>978-1-99-106751-7</w:t>
      </w:r>
      <w:r w:rsidR="006116F6" w:rsidRPr="006116F6">
        <w:rPr>
          <w:rStyle w:val="eop"/>
          <w:rFonts w:ascii="Arial" w:hAnsi="Arial" w:cs="Arial"/>
          <w:color w:val="000000"/>
          <w:szCs w:val="24"/>
          <w:shd w:val="clear" w:color="auto" w:fill="FFFFFF"/>
        </w:rPr>
        <w:t xml:space="preserve"> </w:t>
      </w:r>
      <w:r w:rsidRPr="006116F6">
        <w:rPr>
          <w:szCs w:val="24"/>
        </w:rPr>
        <w:t>(online)</w:t>
      </w:r>
    </w:p>
    <w:p w14:paraId="771ABC7F" w14:textId="77777777" w:rsidR="00B75F7F" w:rsidRDefault="00B75F7F" w:rsidP="004C2E5B">
      <w:r w:rsidRPr="00EF30CD">
        <w:rPr>
          <w:noProof/>
          <w:lang w:eastAsia="en-NZ"/>
        </w:rPr>
        <w:drawing>
          <wp:inline distT="0" distB="0" distL="0" distR="0" wp14:anchorId="0F1226DB" wp14:editId="21F27F4D">
            <wp:extent cx="1413017" cy="314732"/>
            <wp:effectExtent l="0" t="0" r="0" b="9525"/>
            <wp:docPr id="5" name="Picture 5" descr="Te Whatu O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 Whatu Ora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13017" cy="314732"/>
                    </a:xfrm>
                    <a:prstGeom prst="rect">
                      <a:avLst/>
                    </a:prstGeom>
                    <a:noFill/>
                    <a:ln>
                      <a:noFill/>
                    </a:ln>
                  </pic:spPr>
                </pic:pic>
              </a:graphicData>
            </a:graphic>
          </wp:inline>
        </w:drawing>
      </w:r>
    </w:p>
    <w:p w14:paraId="57BE5457" w14:textId="77777777" w:rsidR="00B75F7F" w:rsidRDefault="00B75F7F" w:rsidP="00C033FA">
      <w:r w:rsidRPr="00B75F7F">
        <w:t>This document is available at</w:t>
      </w:r>
      <w:r w:rsidR="00ED4008">
        <w:t xml:space="preserve"> </w:t>
      </w:r>
      <w:hyperlink r:id="rId12" w:history="1">
        <w:r w:rsidR="00ED4008" w:rsidRPr="00ED4008">
          <w:rPr>
            <w:rStyle w:val="Hyperlink"/>
            <w:bCs/>
          </w:rPr>
          <w:t>tewhatuora.govt.nz</w:t>
        </w:r>
      </w:hyperlink>
      <w:r w:rsidRPr="00B75F7F">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96"/>
        <w:gridCol w:w="7932"/>
      </w:tblGrid>
      <w:tr w:rsidR="00B75F7F" w14:paraId="44C44331" w14:textId="77777777" w:rsidTr="00B75F7F">
        <w:tc>
          <w:tcPr>
            <w:tcW w:w="1696" w:type="dxa"/>
            <w:vAlign w:val="center"/>
          </w:tcPr>
          <w:p w14:paraId="3BB65F5A" w14:textId="77777777" w:rsidR="00B75F7F" w:rsidRDefault="00B75F7F" w:rsidP="00B75F7F">
            <w:r w:rsidRPr="00EF30CD">
              <w:rPr>
                <w:rFonts w:cs="Segoe UI"/>
                <w:b/>
                <w:noProof/>
                <w:sz w:val="15"/>
                <w:szCs w:val="15"/>
                <w:lang w:eastAsia="en-NZ"/>
              </w:rPr>
              <w:drawing>
                <wp:inline distT="0" distB="0" distL="0" distR="0" wp14:anchorId="52D4043B" wp14:editId="2AB33C5A">
                  <wp:extent cx="809625" cy="285750"/>
                  <wp:effectExtent l="0" t="0" r="9525" b="0"/>
                  <wp:docPr id="7" name="Picture 7"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7932" w:type="dxa"/>
          </w:tcPr>
          <w:p w14:paraId="5E74E00D" w14:textId="77777777" w:rsidR="00B75F7F" w:rsidRDefault="00B75F7F" w:rsidP="00B75F7F">
            <w:r w:rsidRPr="00B75F7F">
              <w:t>This work is licensed under the Creative Commons Attribution 4.0 International licence. In essence, you are free to: share ie, copy and redistribute the material in any medium or format; adapt ie, remix, transform and build upon the material. You must give appropriate credit, provide a link to the licence and indicate if changes were made.</w:t>
            </w:r>
          </w:p>
        </w:tc>
      </w:tr>
    </w:tbl>
    <w:p w14:paraId="38527AEE" w14:textId="77777777" w:rsidR="00630DE1" w:rsidRPr="00B75F7F" w:rsidRDefault="00630DE1" w:rsidP="00B75F7F">
      <w:r>
        <w:br w:type="page"/>
      </w:r>
    </w:p>
    <w:sdt>
      <w:sdtPr>
        <w:rPr>
          <w:rFonts w:asciiTheme="minorHAnsi" w:eastAsiaTheme="minorHAnsi" w:hAnsiTheme="minorHAnsi" w:cstheme="minorBidi"/>
          <w:b w:val="0"/>
          <w:color w:val="auto"/>
          <w:sz w:val="24"/>
          <w:szCs w:val="22"/>
        </w:rPr>
        <w:id w:val="1523597959"/>
        <w:docPartObj>
          <w:docPartGallery w:val="Table of Contents"/>
          <w:docPartUnique/>
        </w:docPartObj>
      </w:sdtPr>
      <w:sdtEndPr>
        <w:rPr>
          <w:bCs/>
          <w:noProof/>
        </w:rPr>
      </w:sdtEndPr>
      <w:sdtContent>
        <w:p w14:paraId="5E50DB4B" w14:textId="1F3E2044" w:rsidR="00E71F17" w:rsidRDefault="00E71F17">
          <w:pPr>
            <w:pStyle w:val="TOCHeading"/>
          </w:pPr>
          <w:r>
            <w:t>Contents</w:t>
          </w:r>
        </w:p>
        <w:p w14:paraId="586095C1" w14:textId="1E89E8F3" w:rsidR="00E71F17" w:rsidRDefault="00E71F17">
          <w:pPr>
            <w:pStyle w:val="TOC1"/>
            <w:tabs>
              <w:tab w:val="right" w:leader="dot" w:pos="9628"/>
            </w:tabs>
            <w:rPr>
              <w:rFonts w:eastAsiaTheme="minorEastAsia"/>
              <w:b w:val="0"/>
              <w:noProof/>
              <w:kern w:val="2"/>
              <w:sz w:val="22"/>
              <w:lang w:eastAsia="en-NZ"/>
              <w14:ligatures w14:val="standardContextual"/>
            </w:rPr>
          </w:pPr>
          <w:r>
            <w:fldChar w:fldCharType="begin"/>
          </w:r>
          <w:r>
            <w:instrText xml:space="preserve"> TOC \o "1-3" \h \z \u </w:instrText>
          </w:r>
          <w:r>
            <w:fldChar w:fldCharType="separate"/>
          </w:r>
          <w:hyperlink w:anchor="_Toc143072444" w:history="1">
            <w:r w:rsidRPr="00E93816">
              <w:rPr>
                <w:rStyle w:val="Hyperlink"/>
                <w:noProof/>
              </w:rPr>
              <w:t>Introduction</w:t>
            </w:r>
            <w:r>
              <w:rPr>
                <w:noProof/>
                <w:webHidden/>
              </w:rPr>
              <w:tab/>
            </w:r>
            <w:r>
              <w:rPr>
                <w:noProof/>
                <w:webHidden/>
              </w:rPr>
              <w:fldChar w:fldCharType="begin"/>
            </w:r>
            <w:r>
              <w:rPr>
                <w:noProof/>
                <w:webHidden/>
              </w:rPr>
              <w:instrText xml:space="preserve"> PAGEREF _Toc143072444 \h </w:instrText>
            </w:r>
            <w:r>
              <w:rPr>
                <w:noProof/>
                <w:webHidden/>
              </w:rPr>
            </w:r>
            <w:r>
              <w:rPr>
                <w:noProof/>
                <w:webHidden/>
              </w:rPr>
              <w:fldChar w:fldCharType="separate"/>
            </w:r>
            <w:r w:rsidR="00C214F9">
              <w:rPr>
                <w:noProof/>
                <w:webHidden/>
              </w:rPr>
              <w:t>4</w:t>
            </w:r>
            <w:r>
              <w:rPr>
                <w:noProof/>
                <w:webHidden/>
              </w:rPr>
              <w:fldChar w:fldCharType="end"/>
            </w:r>
          </w:hyperlink>
        </w:p>
        <w:p w14:paraId="0C5DFBC9" w14:textId="23A57257" w:rsidR="00E71F17" w:rsidRDefault="001D00A7">
          <w:pPr>
            <w:pStyle w:val="TOC1"/>
            <w:tabs>
              <w:tab w:val="right" w:leader="dot" w:pos="9628"/>
            </w:tabs>
            <w:rPr>
              <w:rFonts w:eastAsiaTheme="minorEastAsia"/>
              <w:b w:val="0"/>
              <w:noProof/>
              <w:kern w:val="2"/>
              <w:sz w:val="22"/>
              <w:lang w:eastAsia="en-NZ"/>
              <w14:ligatures w14:val="standardContextual"/>
            </w:rPr>
          </w:pPr>
          <w:hyperlink w:anchor="_Toc143072445" w:history="1">
            <w:r w:rsidR="00E71F17" w:rsidRPr="00E93816">
              <w:rPr>
                <w:rStyle w:val="Hyperlink"/>
                <w:noProof/>
                <w:lang w:val="en-GB"/>
              </w:rPr>
              <w:t>Exclusions</w:t>
            </w:r>
            <w:r w:rsidR="00E71F17">
              <w:rPr>
                <w:noProof/>
                <w:webHidden/>
              </w:rPr>
              <w:tab/>
            </w:r>
            <w:r w:rsidR="00E71F17">
              <w:rPr>
                <w:noProof/>
                <w:webHidden/>
              </w:rPr>
              <w:fldChar w:fldCharType="begin"/>
            </w:r>
            <w:r w:rsidR="00E71F17">
              <w:rPr>
                <w:noProof/>
                <w:webHidden/>
              </w:rPr>
              <w:instrText xml:space="preserve"> PAGEREF _Toc143072445 \h </w:instrText>
            </w:r>
            <w:r w:rsidR="00E71F17">
              <w:rPr>
                <w:noProof/>
                <w:webHidden/>
              </w:rPr>
            </w:r>
            <w:r w:rsidR="00E71F17">
              <w:rPr>
                <w:noProof/>
                <w:webHidden/>
              </w:rPr>
              <w:fldChar w:fldCharType="separate"/>
            </w:r>
            <w:r w:rsidR="00C214F9">
              <w:rPr>
                <w:noProof/>
                <w:webHidden/>
              </w:rPr>
              <w:t>4</w:t>
            </w:r>
            <w:r w:rsidR="00E71F17">
              <w:rPr>
                <w:noProof/>
                <w:webHidden/>
              </w:rPr>
              <w:fldChar w:fldCharType="end"/>
            </w:r>
          </w:hyperlink>
        </w:p>
        <w:p w14:paraId="0C910C5D" w14:textId="78A45E79" w:rsidR="00E71F17" w:rsidRDefault="001D00A7">
          <w:pPr>
            <w:pStyle w:val="TOC1"/>
            <w:tabs>
              <w:tab w:val="right" w:leader="dot" w:pos="9628"/>
            </w:tabs>
            <w:rPr>
              <w:rFonts w:eastAsiaTheme="minorEastAsia"/>
              <w:b w:val="0"/>
              <w:noProof/>
              <w:kern w:val="2"/>
              <w:sz w:val="22"/>
              <w:lang w:eastAsia="en-NZ"/>
              <w14:ligatures w14:val="standardContextual"/>
            </w:rPr>
          </w:pPr>
          <w:hyperlink w:anchor="_Toc143072446" w:history="1">
            <w:r w:rsidR="00E71F17" w:rsidRPr="00E93816">
              <w:rPr>
                <w:rStyle w:val="Hyperlink"/>
                <w:noProof/>
                <w:lang w:val="en-GB"/>
              </w:rPr>
              <w:t>Initial Assessment</w:t>
            </w:r>
            <w:r w:rsidR="00E71F17">
              <w:rPr>
                <w:noProof/>
                <w:webHidden/>
              </w:rPr>
              <w:tab/>
            </w:r>
            <w:r w:rsidR="00E71F17">
              <w:rPr>
                <w:noProof/>
                <w:webHidden/>
              </w:rPr>
              <w:fldChar w:fldCharType="begin"/>
            </w:r>
            <w:r w:rsidR="00E71F17">
              <w:rPr>
                <w:noProof/>
                <w:webHidden/>
              </w:rPr>
              <w:instrText xml:space="preserve"> PAGEREF _Toc143072446 \h </w:instrText>
            </w:r>
            <w:r w:rsidR="00E71F17">
              <w:rPr>
                <w:noProof/>
                <w:webHidden/>
              </w:rPr>
            </w:r>
            <w:r w:rsidR="00E71F17">
              <w:rPr>
                <w:noProof/>
                <w:webHidden/>
              </w:rPr>
              <w:fldChar w:fldCharType="separate"/>
            </w:r>
            <w:r w:rsidR="00C214F9">
              <w:rPr>
                <w:noProof/>
                <w:webHidden/>
              </w:rPr>
              <w:t>5</w:t>
            </w:r>
            <w:r w:rsidR="00E71F17">
              <w:rPr>
                <w:noProof/>
                <w:webHidden/>
              </w:rPr>
              <w:fldChar w:fldCharType="end"/>
            </w:r>
          </w:hyperlink>
        </w:p>
        <w:p w14:paraId="3394040F" w14:textId="4A382F53" w:rsidR="00E71F17" w:rsidRDefault="001D00A7">
          <w:pPr>
            <w:pStyle w:val="TOC1"/>
            <w:tabs>
              <w:tab w:val="right" w:leader="dot" w:pos="9628"/>
            </w:tabs>
            <w:rPr>
              <w:rFonts w:eastAsiaTheme="minorEastAsia"/>
              <w:b w:val="0"/>
              <w:noProof/>
              <w:kern w:val="2"/>
              <w:sz w:val="22"/>
              <w:lang w:eastAsia="en-NZ"/>
              <w14:ligatures w14:val="standardContextual"/>
            </w:rPr>
          </w:pPr>
          <w:hyperlink w:anchor="_Toc143072447" w:history="1">
            <w:r w:rsidR="00E71F17" w:rsidRPr="00E93816">
              <w:rPr>
                <w:rStyle w:val="Hyperlink"/>
                <w:noProof/>
                <w:lang w:val="en-GB"/>
              </w:rPr>
              <w:t>Imaging and MDM referral</w:t>
            </w:r>
            <w:r w:rsidR="00E71F17">
              <w:rPr>
                <w:noProof/>
                <w:webHidden/>
              </w:rPr>
              <w:tab/>
            </w:r>
            <w:r w:rsidR="00E71F17">
              <w:rPr>
                <w:noProof/>
                <w:webHidden/>
              </w:rPr>
              <w:fldChar w:fldCharType="begin"/>
            </w:r>
            <w:r w:rsidR="00E71F17">
              <w:rPr>
                <w:noProof/>
                <w:webHidden/>
              </w:rPr>
              <w:instrText xml:space="preserve"> PAGEREF _Toc143072447 \h </w:instrText>
            </w:r>
            <w:r w:rsidR="00E71F17">
              <w:rPr>
                <w:noProof/>
                <w:webHidden/>
              </w:rPr>
            </w:r>
            <w:r w:rsidR="00E71F17">
              <w:rPr>
                <w:noProof/>
                <w:webHidden/>
              </w:rPr>
              <w:fldChar w:fldCharType="separate"/>
            </w:r>
            <w:r w:rsidR="00C214F9">
              <w:rPr>
                <w:noProof/>
                <w:webHidden/>
              </w:rPr>
              <w:t>5</w:t>
            </w:r>
            <w:r w:rsidR="00E71F17">
              <w:rPr>
                <w:noProof/>
                <w:webHidden/>
              </w:rPr>
              <w:fldChar w:fldCharType="end"/>
            </w:r>
          </w:hyperlink>
        </w:p>
        <w:p w14:paraId="506C76BC" w14:textId="094CC851" w:rsidR="00E71F17" w:rsidRDefault="001D00A7">
          <w:pPr>
            <w:pStyle w:val="TOC1"/>
            <w:tabs>
              <w:tab w:val="right" w:leader="dot" w:pos="9628"/>
            </w:tabs>
            <w:rPr>
              <w:rFonts w:eastAsiaTheme="minorEastAsia"/>
              <w:b w:val="0"/>
              <w:noProof/>
              <w:kern w:val="2"/>
              <w:sz w:val="22"/>
              <w:lang w:eastAsia="en-NZ"/>
              <w14:ligatures w14:val="standardContextual"/>
            </w:rPr>
          </w:pPr>
          <w:hyperlink w:anchor="_Toc143072448" w:history="1">
            <w:r w:rsidR="00E71F17" w:rsidRPr="00E93816">
              <w:rPr>
                <w:rStyle w:val="Hyperlink"/>
                <w:noProof/>
                <w:lang w:val="en-GB"/>
              </w:rPr>
              <w:t>Decision making process</w:t>
            </w:r>
            <w:r w:rsidR="00E71F17">
              <w:rPr>
                <w:noProof/>
                <w:webHidden/>
              </w:rPr>
              <w:tab/>
            </w:r>
            <w:r w:rsidR="00E71F17">
              <w:rPr>
                <w:noProof/>
                <w:webHidden/>
              </w:rPr>
              <w:fldChar w:fldCharType="begin"/>
            </w:r>
            <w:r w:rsidR="00E71F17">
              <w:rPr>
                <w:noProof/>
                <w:webHidden/>
              </w:rPr>
              <w:instrText xml:space="preserve"> PAGEREF _Toc143072448 \h </w:instrText>
            </w:r>
            <w:r w:rsidR="00E71F17">
              <w:rPr>
                <w:noProof/>
                <w:webHidden/>
              </w:rPr>
            </w:r>
            <w:r w:rsidR="00E71F17">
              <w:rPr>
                <w:noProof/>
                <w:webHidden/>
              </w:rPr>
              <w:fldChar w:fldCharType="separate"/>
            </w:r>
            <w:r w:rsidR="00C214F9">
              <w:rPr>
                <w:noProof/>
                <w:webHidden/>
              </w:rPr>
              <w:t>6</w:t>
            </w:r>
            <w:r w:rsidR="00E71F17">
              <w:rPr>
                <w:noProof/>
                <w:webHidden/>
              </w:rPr>
              <w:fldChar w:fldCharType="end"/>
            </w:r>
          </w:hyperlink>
        </w:p>
        <w:p w14:paraId="6C13E87B" w14:textId="565AA791" w:rsidR="00E71F17" w:rsidRDefault="001D00A7">
          <w:pPr>
            <w:pStyle w:val="TOC1"/>
            <w:tabs>
              <w:tab w:val="right" w:leader="dot" w:pos="9628"/>
            </w:tabs>
            <w:rPr>
              <w:rFonts w:eastAsiaTheme="minorEastAsia"/>
              <w:b w:val="0"/>
              <w:noProof/>
              <w:kern w:val="2"/>
              <w:sz w:val="22"/>
              <w:lang w:eastAsia="en-NZ"/>
              <w14:ligatures w14:val="standardContextual"/>
            </w:rPr>
          </w:pPr>
          <w:hyperlink w:anchor="_Toc143072449" w:history="1">
            <w:r w:rsidR="00E71F17" w:rsidRPr="00E93816">
              <w:rPr>
                <w:rStyle w:val="Hyperlink"/>
                <w:noProof/>
                <w:lang w:val="en-GB"/>
              </w:rPr>
              <w:t>Treatment</w:t>
            </w:r>
            <w:r w:rsidR="00E71F17">
              <w:rPr>
                <w:noProof/>
                <w:webHidden/>
              </w:rPr>
              <w:tab/>
            </w:r>
            <w:r w:rsidR="00E71F17">
              <w:rPr>
                <w:noProof/>
                <w:webHidden/>
              </w:rPr>
              <w:fldChar w:fldCharType="begin"/>
            </w:r>
            <w:r w:rsidR="00E71F17">
              <w:rPr>
                <w:noProof/>
                <w:webHidden/>
              </w:rPr>
              <w:instrText xml:space="preserve"> PAGEREF _Toc143072449 \h </w:instrText>
            </w:r>
            <w:r w:rsidR="00E71F17">
              <w:rPr>
                <w:noProof/>
                <w:webHidden/>
              </w:rPr>
            </w:r>
            <w:r w:rsidR="00E71F17">
              <w:rPr>
                <w:noProof/>
                <w:webHidden/>
              </w:rPr>
              <w:fldChar w:fldCharType="separate"/>
            </w:r>
            <w:r w:rsidR="00C214F9">
              <w:rPr>
                <w:noProof/>
                <w:webHidden/>
              </w:rPr>
              <w:t>6</w:t>
            </w:r>
            <w:r w:rsidR="00E71F17">
              <w:rPr>
                <w:noProof/>
                <w:webHidden/>
              </w:rPr>
              <w:fldChar w:fldCharType="end"/>
            </w:r>
          </w:hyperlink>
        </w:p>
        <w:p w14:paraId="52CA9CE3" w14:textId="6BAAA1ED" w:rsidR="00E71F17" w:rsidRDefault="001D00A7">
          <w:pPr>
            <w:pStyle w:val="TOC1"/>
            <w:tabs>
              <w:tab w:val="right" w:leader="dot" w:pos="9628"/>
            </w:tabs>
            <w:rPr>
              <w:rFonts w:eastAsiaTheme="minorEastAsia"/>
              <w:b w:val="0"/>
              <w:noProof/>
              <w:kern w:val="2"/>
              <w:sz w:val="22"/>
              <w:lang w:eastAsia="en-NZ"/>
              <w14:ligatures w14:val="standardContextual"/>
            </w:rPr>
          </w:pPr>
          <w:hyperlink w:anchor="_Toc143072450" w:history="1">
            <w:r w:rsidR="00E71F17" w:rsidRPr="00E93816">
              <w:rPr>
                <w:rStyle w:val="Hyperlink"/>
                <w:noProof/>
                <w:lang w:val="en-GB"/>
              </w:rPr>
              <w:t>Surveillance - see Figure 1</w:t>
            </w:r>
            <w:r w:rsidR="00E71F17">
              <w:rPr>
                <w:noProof/>
                <w:webHidden/>
              </w:rPr>
              <w:tab/>
            </w:r>
            <w:r w:rsidR="00E71F17">
              <w:rPr>
                <w:noProof/>
                <w:webHidden/>
              </w:rPr>
              <w:fldChar w:fldCharType="begin"/>
            </w:r>
            <w:r w:rsidR="00E71F17">
              <w:rPr>
                <w:noProof/>
                <w:webHidden/>
              </w:rPr>
              <w:instrText xml:space="preserve"> PAGEREF _Toc143072450 \h </w:instrText>
            </w:r>
            <w:r w:rsidR="00E71F17">
              <w:rPr>
                <w:noProof/>
                <w:webHidden/>
              </w:rPr>
            </w:r>
            <w:r w:rsidR="00E71F17">
              <w:rPr>
                <w:noProof/>
                <w:webHidden/>
              </w:rPr>
              <w:fldChar w:fldCharType="separate"/>
            </w:r>
            <w:r w:rsidR="00C214F9">
              <w:rPr>
                <w:noProof/>
                <w:webHidden/>
              </w:rPr>
              <w:t>7</w:t>
            </w:r>
            <w:r w:rsidR="00E71F17">
              <w:rPr>
                <w:noProof/>
                <w:webHidden/>
              </w:rPr>
              <w:fldChar w:fldCharType="end"/>
            </w:r>
          </w:hyperlink>
        </w:p>
        <w:p w14:paraId="41F18103" w14:textId="4CAAA0CF" w:rsidR="00E71F17" w:rsidRDefault="001D00A7">
          <w:pPr>
            <w:pStyle w:val="TOC1"/>
            <w:tabs>
              <w:tab w:val="right" w:leader="dot" w:pos="9628"/>
            </w:tabs>
            <w:rPr>
              <w:rFonts w:eastAsiaTheme="minorEastAsia"/>
              <w:b w:val="0"/>
              <w:noProof/>
              <w:kern w:val="2"/>
              <w:sz w:val="22"/>
              <w:lang w:eastAsia="en-NZ"/>
              <w14:ligatures w14:val="standardContextual"/>
            </w:rPr>
          </w:pPr>
          <w:hyperlink w:anchor="_Toc143072451" w:history="1">
            <w:r w:rsidR="00E71F17" w:rsidRPr="00E93816">
              <w:rPr>
                <w:rStyle w:val="Hyperlink"/>
                <w:noProof/>
                <w:lang w:val="en-GB"/>
              </w:rPr>
              <w:t>Definitive treatment</w:t>
            </w:r>
            <w:r w:rsidR="00E71F17">
              <w:rPr>
                <w:noProof/>
                <w:webHidden/>
              </w:rPr>
              <w:tab/>
            </w:r>
            <w:r w:rsidR="00E71F17">
              <w:rPr>
                <w:noProof/>
                <w:webHidden/>
              </w:rPr>
              <w:fldChar w:fldCharType="begin"/>
            </w:r>
            <w:r w:rsidR="00E71F17">
              <w:rPr>
                <w:noProof/>
                <w:webHidden/>
              </w:rPr>
              <w:instrText xml:space="preserve"> PAGEREF _Toc143072451 \h </w:instrText>
            </w:r>
            <w:r w:rsidR="00E71F17">
              <w:rPr>
                <w:noProof/>
                <w:webHidden/>
              </w:rPr>
            </w:r>
            <w:r w:rsidR="00E71F17">
              <w:rPr>
                <w:noProof/>
                <w:webHidden/>
              </w:rPr>
              <w:fldChar w:fldCharType="separate"/>
            </w:r>
            <w:r w:rsidR="00C214F9">
              <w:rPr>
                <w:noProof/>
                <w:webHidden/>
              </w:rPr>
              <w:t>8</w:t>
            </w:r>
            <w:r w:rsidR="00E71F17">
              <w:rPr>
                <w:noProof/>
                <w:webHidden/>
              </w:rPr>
              <w:fldChar w:fldCharType="end"/>
            </w:r>
          </w:hyperlink>
        </w:p>
        <w:p w14:paraId="68EF340B" w14:textId="09E4B524" w:rsidR="00E71F17" w:rsidRDefault="001D00A7">
          <w:pPr>
            <w:pStyle w:val="TOC1"/>
            <w:tabs>
              <w:tab w:val="right" w:leader="dot" w:pos="9628"/>
            </w:tabs>
            <w:rPr>
              <w:rFonts w:eastAsiaTheme="minorEastAsia"/>
              <w:b w:val="0"/>
              <w:noProof/>
              <w:kern w:val="2"/>
              <w:sz w:val="22"/>
              <w:lang w:eastAsia="en-NZ"/>
              <w14:ligatures w14:val="standardContextual"/>
            </w:rPr>
          </w:pPr>
          <w:hyperlink w:anchor="_Toc143072452" w:history="1">
            <w:r w:rsidR="00E71F17" w:rsidRPr="00E93816">
              <w:rPr>
                <w:rStyle w:val="Hyperlink"/>
                <w:noProof/>
                <w:lang w:val="en-GB"/>
              </w:rPr>
              <w:t>Auditable Standards</w:t>
            </w:r>
            <w:r w:rsidR="00E71F17">
              <w:rPr>
                <w:noProof/>
                <w:webHidden/>
              </w:rPr>
              <w:tab/>
            </w:r>
            <w:r w:rsidR="00E71F17">
              <w:rPr>
                <w:noProof/>
                <w:webHidden/>
              </w:rPr>
              <w:fldChar w:fldCharType="begin"/>
            </w:r>
            <w:r w:rsidR="00E71F17">
              <w:rPr>
                <w:noProof/>
                <w:webHidden/>
              </w:rPr>
              <w:instrText xml:space="preserve"> PAGEREF _Toc143072452 \h </w:instrText>
            </w:r>
            <w:r w:rsidR="00E71F17">
              <w:rPr>
                <w:noProof/>
                <w:webHidden/>
              </w:rPr>
            </w:r>
            <w:r w:rsidR="00E71F17">
              <w:rPr>
                <w:noProof/>
                <w:webHidden/>
              </w:rPr>
              <w:fldChar w:fldCharType="separate"/>
            </w:r>
            <w:r w:rsidR="00C214F9">
              <w:rPr>
                <w:noProof/>
                <w:webHidden/>
              </w:rPr>
              <w:t>8</w:t>
            </w:r>
            <w:r w:rsidR="00E71F17">
              <w:rPr>
                <w:noProof/>
                <w:webHidden/>
              </w:rPr>
              <w:fldChar w:fldCharType="end"/>
            </w:r>
          </w:hyperlink>
        </w:p>
        <w:p w14:paraId="3BAC6FAD" w14:textId="4A0A87A9" w:rsidR="00E71F17" w:rsidRDefault="001D00A7">
          <w:pPr>
            <w:pStyle w:val="TOC1"/>
            <w:tabs>
              <w:tab w:val="right" w:leader="dot" w:pos="9628"/>
            </w:tabs>
            <w:rPr>
              <w:rFonts w:eastAsiaTheme="minorEastAsia"/>
              <w:b w:val="0"/>
              <w:noProof/>
              <w:kern w:val="2"/>
              <w:sz w:val="22"/>
              <w:lang w:eastAsia="en-NZ"/>
              <w14:ligatures w14:val="standardContextual"/>
            </w:rPr>
          </w:pPr>
          <w:hyperlink w:anchor="_Toc143072453" w:history="1">
            <w:r w:rsidR="00E71F17" w:rsidRPr="00E93816">
              <w:rPr>
                <w:rStyle w:val="Hyperlink"/>
                <w:noProof/>
                <w:lang w:val="en-GB"/>
              </w:rPr>
              <w:t>Outcomes for baseline data</w:t>
            </w:r>
            <w:r w:rsidR="00E71F17">
              <w:rPr>
                <w:noProof/>
                <w:webHidden/>
              </w:rPr>
              <w:tab/>
            </w:r>
            <w:r w:rsidR="00E71F17">
              <w:rPr>
                <w:noProof/>
                <w:webHidden/>
              </w:rPr>
              <w:fldChar w:fldCharType="begin"/>
            </w:r>
            <w:r w:rsidR="00E71F17">
              <w:rPr>
                <w:noProof/>
                <w:webHidden/>
              </w:rPr>
              <w:instrText xml:space="preserve"> PAGEREF _Toc143072453 \h </w:instrText>
            </w:r>
            <w:r w:rsidR="00E71F17">
              <w:rPr>
                <w:noProof/>
                <w:webHidden/>
              </w:rPr>
            </w:r>
            <w:r w:rsidR="00E71F17">
              <w:rPr>
                <w:noProof/>
                <w:webHidden/>
              </w:rPr>
              <w:fldChar w:fldCharType="separate"/>
            </w:r>
            <w:r w:rsidR="00C214F9">
              <w:rPr>
                <w:noProof/>
                <w:webHidden/>
              </w:rPr>
              <w:t>8</w:t>
            </w:r>
            <w:r w:rsidR="00E71F17">
              <w:rPr>
                <w:noProof/>
                <w:webHidden/>
              </w:rPr>
              <w:fldChar w:fldCharType="end"/>
            </w:r>
          </w:hyperlink>
        </w:p>
        <w:p w14:paraId="614505FB" w14:textId="467F65B7" w:rsidR="00E71F17" w:rsidRDefault="001D00A7">
          <w:pPr>
            <w:pStyle w:val="TOC1"/>
            <w:tabs>
              <w:tab w:val="right" w:leader="dot" w:pos="9628"/>
            </w:tabs>
            <w:rPr>
              <w:rFonts w:eastAsiaTheme="minorEastAsia"/>
              <w:b w:val="0"/>
              <w:noProof/>
              <w:kern w:val="2"/>
              <w:sz w:val="22"/>
              <w:lang w:eastAsia="en-NZ"/>
              <w14:ligatures w14:val="standardContextual"/>
            </w:rPr>
          </w:pPr>
          <w:hyperlink w:anchor="_Toc143072454" w:history="1">
            <w:r w:rsidR="00E71F17" w:rsidRPr="00E93816">
              <w:rPr>
                <w:rStyle w:val="Hyperlink"/>
                <w:noProof/>
                <w:lang w:val="en-GB"/>
              </w:rPr>
              <w:t>Updating the guidelines</w:t>
            </w:r>
            <w:r w:rsidR="00E71F17">
              <w:rPr>
                <w:noProof/>
                <w:webHidden/>
              </w:rPr>
              <w:tab/>
            </w:r>
            <w:r w:rsidR="00E71F17">
              <w:rPr>
                <w:noProof/>
                <w:webHidden/>
              </w:rPr>
              <w:fldChar w:fldCharType="begin"/>
            </w:r>
            <w:r w:rsidR="00E71F17">
              <w:rPr>
                <w:noProof/>
                <w:webHidden/>
              </w:rPr>
              <w:instrText xml:space="preserve"> PAGEREF _Toc143072454 \h </w:instrText>
            </w:r>
            <w:r w:rsidR="00E71F17">
              <w:rPr>
                <w:noProof/>
                <w:webHidden/>
              </w:rPr>
            </w:r>
            <w:r w:rsidR="00E71F17">
              <w:rPr>
                <w:noProof/>
                <w:webHidden/>
              </w:rPr>
              <w:fldChar w:fldCharType="separate"/>
            </w:r>
            <w:r w:rsidR="00C214F9">
              <w:rPr>
                <w:noProof/>
                <w:webHidden/>
              </w:rPr>
              <w:t>8</w:t>
            </w:r>
            <w:r w:rsidR="00E71F17">
              <w:rPr>
                <w:noProof/>
                <w:webHidden/>
              </w:rPr>
              <w:fldChar w:fldCharType="end"/>
            </w:r>
          </w:hyperlink>
        </w:p>
        <w:p w14:paraId="300348A0" w14:textId="356DF9B2" w:rsidR="00E71F17" w:rsidRDefault="001D00A7">
          <w:pPr>
            <w:pStyle w:val="TOC1"/>
            <w:tabs>
              <w:tab w:val="right" w:leader="dot" w:pos="9628"/>
            </w:tabs>
            <w:rPr>
              <w:rFonts w:eastAsiaTheme="minorEastAsia"/>
              <w:b w:val="0"/>
              <w:noProof/>
              <w:kern w:val="2"/>
              <w:sz w:val="22"/>
              <w:lang w:eastAsia="en-NZ"/>
              <w14:ligatures w14:val="standardContextual"/>
            </w:rPr>
          </w:pPr>
          <w:hyperlink w:anchor="_Toc143072455" w:history="1">
            <w:r w:rsidR="00E71F17" w:rsidRPr="00E93816">
              <w:rPr>
                <w:rStyle w:val="Hyperlink"/>
                <w:noProof/>
              </w:rPr>
              <w:t>References</w:t>
            </w:r>
            <w:r w:rsidR="00E71F17">
              <w:rPr>
                <w:noProof/>
                <w:webHidden/>
              </w:rPr>
              <w:tab/>
            </w:r>
            <w:r w:rsidR="00E71F17">
              <w:rPr>
                <w:noProof/>
                <w:webHidden/>
              </w:rPr>
              <w:fldChar w:fldCharType="begin"/>
            </w:r>
            <w:r w:rsidR="00E71F17">
              <w:rPr>
                <w:noProof/>
                <w:webHidden/>
              </w:rPr>
              <w:instrText xml:space="preserve"> PAGEREF _Toc143072455 \h </w:instrText>
            </w:r>
            <w:r w:rsidR="00E71F17">
              <w:rPr>
                <w:noProof/>
                <w:webHidden/>
              </w:rPr>
            </w:r>
            <w:r w:rsidR="00E71F17">
              <w:rPr>
                <w:noProof/>
                <w:webHidden/>
              </w:rPr>
              <w:fldChar w:fldCharType="separate"/>
            </w:r>
            <w:r w:rsidR="00C214F9">
              <w:rPr>
                <w:noProof/>
                <w:webHidden/>
              </w:rPr>
              <w:t>10</w:t>
            </w:r>
            <w:r w:rsidR="00E71F17">
              <w:rPr>
                <w:noProof/>
                <w:webHidden/>
              </w:rPr>
              <w:fldChar w:fldCharType="end"/>
            </w:r>
          </w:hyperlink>
        </w:p>
        <w:p w14:paraId="5EF9B598" w14:textId="4CA634A3" w:rsidR="00E71F17" w:rsidRDefault="00E71F17">
          <w:r>
            <w:rPr>
              <w:b/>
              <w:bCs/>
              <w:noProof/>
            </w:rPr>
            <w:fldChar w:fldCharType="end"/>
          </w:r>
        </w:p>
      </w:sdtContent>
    </w:sdt>
    <w:p w14:paraId="54B25C0D" w14:textId="77777777" w:rsidR="00014BB0" w:rsidRDefault="00014BB0" w:rsidP="00630DE1">
      <w:r>
        <w:br w:type="page"/>
      </w:r>
    </w:p>
    <w:p w14:paraId="59823A6F" w14:textId="403BE23A" w:rsidR="00B75F7F" w:rsidRPr="005C7F0A" w:rsidRDefault="00A96A9C" w:rsidP="005938BD">
      <w:pPr>
        <w:pStyle w:val="Heading1"/>
        <w:rPr>
          <w:sz w:val="44"/>
          <w:szCs w:val="44"/>
        </w:rPr>
      </w:pPr>
      <w:bookmarkStart w:id="0" w:name="_Toc143072444"/>
      <w:r w:rsidRPr="005C7F0A">
        <w:rPr>
          <w:sz w:val="44"/>
          <w:szCs w:val="44"/>
        </w:rPr>
        <w:lastRenderedPageBreak/>
        <w:t>Introduction</w:t>
      </w:r>
      <w:bookmarkEnd w:id="0"/>
    </w:p>
    <w:p w14:paraId="75006719" w14:textId="77777777" w:rsidR="00327912" w:rsidRPr="00327912" w:rsidRDefault="00327912" w:rsidP="00327912">
      <w:pPr>
        <w:rPr>
          <w:lang w:val="en-GB"/>
        </w:rPr>
      </w:pPr>
      <w:r w:rsidRPr="00327912">
        <w:rPr>
          <w:lang w:val="en-GB"/>
        </w:rPr>
        <w:t xml:space="preserve">Endometrial cancer is the commonest gynaecological malignancy in Aotearoa. Endometrioid adenocarcinoma is the predominant histological type, for which atypical endometrial hyperplasia is the precursor. The standard treatment for endometrial cancer is total hysterectomy, bilateral salpingectomy with washings and individualised consideration given to removal of ovaries. </w:t>
      </w:r>
    </w:p>
    <w:p w14:paraId="2B80244B" w14:textId="77777777" w:rsidR="00327912" w:rsidRPr="00327912" w:rsidRDefault="00327912" w:rsidP="00327912">
      <w:pPr>
        <w:rPr>
          <w:lang w:val="en-GB"/>
        </w:rPr>
      </w:pPr>
      <w:r w:rsidRPr="00327912">
        <w:rPr>
          <w:lang w:val="en-GB"/>
        </w:rPr>
        <w:t>Surgical treatment results in a permanent loss of fertility. For those who have not completed childbearing and wish to maintain fertility, medical management with a levonorgestrel-releasing intrauterine device, or oral progestogen may be considered.</w:t>
      </w:r>
    </w:p>
    <w:p w14:paraId="6DFD0E9C" w14:textId="77777777" w:rsidR="00327912" w:rsidRPr="00327912" w:rsidRDefault="00327912" w:rsidP="00327912">
      <w:pPr>
        <w:rPr>
          <w:lang w:val="en-GB"/>
        </w:rPr>
      </w:pPr>
      <w:r w:rsidRPr="00327912">
        <w:rPr>
          <w:lang w:val="en-GB"/>
        </w:rPr>
        <w:t>The reported effectiveness of fertility-sparing treatment of early endometrial cancer and atypical endometrial hyperplasia range from 57% to 100%.</w:t>
      </w:r>
      <w:r w:rsidRPr="00327912">
        <w:rPr>
          <w:vertAlign w:val="superscript"/>
          <w:lang w:val="en-GB"/>
        </w:rPr>
        <w:t>1</w:t>
      </w:r>
      <w:r w:rsidRPr="00327912">
        <w:rPr>
          <w:lang w:val="en-GB"/>
        </w:rPr>
        <w:t xml:space="preserve"> The feMMe trial demonstrated prospectively the effectiveness of the levonorgestrel-releasing intrauterine device with six-month pathological complete response rates of 43% for endometrial adenocarcinoma.</w:t>
      </w:r>
      <w:r w:rsidRPr="00327912">
        <w:rPr>
          <w:vertAlign w:val="superscript"/>
          <w:lang w:val="en-GB"/>
        </w:rPr>
        <w:t>2</w:t>
      </w:r>
    </w:p>
    <w:p w14:paraId="20266DCF" w14:textId="77777777" w:rsidR="00327912" w:rsidRPr="00327912" w:rsidRDefault="00327912" w:rsidP="00327912">
      <w:pPr>
        <w:rPr>
          <w:lang w:val="en-GB"/>
        </w:rPr>
      </w:pPr>
      <w:r w:rsidRPr="00327912">
        <w:rPr>
          <w:lang w:val="en-GB"/>
        </w:rPr>
        <w:t>Fertility-sparing surgical treatment (hysteroscopic resection) is considered experimental and requires specific training and is therefore beyond the scope of this guideline.</w:t>
      </w:r>
    </w:p>
    <w:p w14:paraId="68D61428" w14:textId="77777777" w:rsidR="00327912" w:rsidRPr="005C7F0A" w:rsidRDefault="00327912" w:rsidP="00327912">
      <w:pPr>
        <w:pStyle w:val="Heading1"/>
        <w:rPr>
          <w:sz w:val="44"/>
          <w:szCs w:val="44"/>
          <w:lang w:val="en-GB"/>
        </w:rPr>
      </w:pPr>
      <w:bookmarkStart w:id="1" w:name="_Toc143072445"/>
      <w:r w:rsidRPr="005C7F0A">
        <w:rPr>
          <w:sz w:val="44"/>
          <w:szCs w:val="44"/>
          <w:lang w:val="en-GB"/>
        </w:rPr>
        <w:t>Exclusions</w:t>
      </w:r>
      <w:bookmarkEnd w:id="1"/>
    </w:p>
    <w:p w14:paraId="77D02B94" w14:textId="77777777" w:rsidR="00327912" w:rsidRPr="00327912" w:rsidRDefault="00327912" w:rsidP="00327912">
      <w:pPr>
        <w:pStyle w:val="ListBullet"/>
        <w:rPr>
          <w:lang w:val="en-GB"/>
        </w:rPr>
      </w:pPr>
      <w:r w:rsidRPr="00327912">
        <w:rPr>
          <w:lang w:val="en-GB"/>
        </w:rPr>
        <w:t>High grade endometrial cancers (all types other than grade 1 or 2 endometrioid or mucinous) and those that are mismatch repair deficient (MMRd).</w:t>
      </w:r>
    </w:p>
    <w:p w14:paraId="0824BFEF" w14:textId="77777777" w:rsidR="00327912" w:rsidRPr="00327912" w:rsidRDefault="00327912" w:rsidP="00327912">
      <w:pPr>
        <w:pStyle w:val="ListBullet"/>
        <w:rPr>
          <w:lang w:val="en-GB"/>
        </w:rPr>
      </w:pPr>
      <w:r w:rsidRPr="00327912">
        <w:rPr>
          <w:lang w:val="en-GB"/>
        </w:rPr>
        <w:t>Patients under direct care of the Gynaecology-Oncology service.</w:t>
      </w:r>
    </w:p>
    <w:p w14:paraId="04E3EE59" w14:textId="77777777" w:rsidR="00327912" w:rsidRPr="00327912" w:rsidRDefault="00327912" w:rsidP="00327912">
      <w:pPr>
        <w:pStyle w:val="ListBullet"/>
        <w:rPr>
          <w:lang w:val="en-GB"/>
        </w:rPr>
      </w:pPr>
      <w:r w:rsidRPr="00327912">
        <w:rPr>
          <w:lang w:val="en-AU"/>
        </w:rPr>
        <w:t>Patients with Lynch syndrome.</w:t>
      </w:r>
    </w:p>
    <w:p w14:paraId="373B7A7D" w14:textId="77777777" w:rsidR="00327912" w:rsidRPr="00327912" w:rsidRDefault="00327912" w:rsidP="00327912">
      <w:pPr>
        <w:pStyle w:val="ListBullet"/>
        <w:rPr>
          <w:lang w:val="en-GB"/>
        </w:rPr>
      </w:pPr>
      <w:r w:rsidRPr="00327912">
        <w:rPr>
          <w:lang w:val="en-GB"/>
        </w:rPr>
        <w:t>Patients who have non-surgical management based on surgical risk and comorbidities. Please refer to the separate guideline on management of atypical endometrial hyperplasia and early-stage low risk endometrial cancer in patients not suitable for surgery.</w:t>
      </w:r>
    </w:p>
    <w:p w14:paraId="4AA5EE30" w14:textId="77777777" w:rsidR="005C7F0A" w:rsidRDefault="005C7F0A">
      <w:pPr>
        <w:spacing w:before="0" w:after="160" w:line="259" w:lineRule="auto"/>
        <w:rPr>
          <w:rFonts w:asciiTheme="majorHAnsi" w:eastAsiaTheme="majorEastAsia" w:hAnsiTheme="majorHAnsi" w:cstheme="majorBidi"/>
          <w:b/>
          <w:color w:val="1C2549" w:themeColor="text2"/>
          <w:sz w:val="72"/>
          <w:szCs w:val="32"/>
          <w:lang w:val="en-GB"/>
        </w:rPr>
      </w:pPr>
      <w:r>
        <w:rPr>
          <w:lang w:val="en-GB"/>
        </w:rPr>
        <w:br w:type="page"/>
      </w:r>
    </w:p>
    <w:p w14:paraId="195AF276" w14:textId="63302FC8" w:rsidR="00327912" w:rsidRPr="005C7F0A" w:rsidRDefault="00327912" w:rsidP="00327912">
      <w:pPr>
        <w:pStyle w:val="Heading1"/>
        <w:rPr>
          <w:sz w:val="44"/>
          <w:szCs w:val="44"/>
          <w:lang w:val="en-GB"/>
        </w:rPr>
      </w:pPr>
      <w:bookmarkStart w:id="2" w:name="_Toc143072446"/>
      <w:r w:rsidRPr="005C7F0A">
        <w:rPr>
          <w:sz w:val="44"/>
          <w:szCs w:val="44"/>
          <w:lang w:val="en-GB"/>
        </w:rPr>
        <w:lastRenderedPageBreak/>
        <w:t>Initial Assessment</w:t>
      </w:r>
      <w:bookmarkEnd w:id="2"/>
    </w:p>
    <w:p w14:paraId="51145BB4" w14:textId="77777777" w:rsidR="00327912" w:rsidRPr="00327912" w:rsidRDefault="00327912" w:rsidP="00327912">
      <w:pPr>
        <w:rPr>
          <w:lang w:val="en-GB"/>
        </w:rPr>
      </w:pPr>
      <w:r w:rsidRPr="00327912">
        <w:rPr>
          <w:lang w:val="en-GB"/>
        </w:rPr>
        <w:t>All patients with confirmed or suspected grade 1 or 2 endometrial cancer should undergo:</w:t>
      </w:r>
      <w:r w:rsidRPr="00327912">
        <w:rPr>
          <w:vertAlign w:val="superscript"/>
          <w:lang w:val="en-GB"/>
        </w:rPr>
        <w:t>3</w:t>
      </w:r>
    </w:p>
    <w:p w14:paraId="150EE322" w14:textId="77777777" w:rsidR="00327912" w:rsidRPr="00327912" w:rsidRDefault="00327912" w:rsidP="00327912">
      <w:pPr>
        <w:pStyle w:val="ListNumber"/>
        <w:rPr>
          <w:lang w:val="en-GB"/>
        </w:rPr>
      </w:pPr>
      <w:r w:rsidRPr="00327912">
        <w:rPr>
          <w:lang w:val="en-GB"/>
        </w:rPr>
        <w:t>A clinical assessment and examination</w:t>
      </w:r>
    </w:p>
    <w:p w14:paraId="772C418D" w14:textId="77777777" w:rsidR="00327912" w:rsidRPr="00327912" w:rsidRDefault="00327912" w:rsidP="00327912">
      <w:pPr>
        <w:pStyle w:val="ListNumber"/>
        <w:rPr>
          <w:lang w:val="en-GB"/>
        </w:rPr>
      </w:pPr>
      <w:r w:rsidRPr="00327912">
        <w:rPr>
          <w:lang w:val="en-GB"/>
        </w:rPr>
        <w:t xml:space="preserve">Transvaginal pelvic ultrasound </w:t>
      </w:r>
    </w:p>
    <w:p w14:paraId="77DBB2E2" w14:textId="77777777" w:rsidR="00327912" w:rsidRPr="00327912" w:rsidRDefault="00327912" w:rsidP="00327912">
      <w:pPr>
        <w:pStyle w:val="ListNumber"/>
        <w:rPr>
          <w:lang w:val="en-GB"/>
        </w:rPr>
      </w:pPr>
      <w:r w:rsidRPr="00327912">
        <w:rPr>
          <w:lang w:val="en-GB"/>
        </w:rPr>
        <w:t>Endometrial sampling with either:</w:t>
      </w:r>
    </w:p>
    <w:p w14:paraId="426A8143" w14:textId="77777777" w:rsidR="00327912" w:rsidRPr="00327912" w:rsidRDefault="00327912" w:rsidP="00327912">
      <w:pPr>
        <w:pStyle w:val="ListBullet2"/>
        <w:rPr>
          <w:lang w:val="en-GB"/>
        </w:rPr>
      </w:pPr>
      <w:r w:rsidRPr="00327912">
        <w:rPr>
          <w:lang w:val="en-GB"/>
        </w:rPr>
        <w:t>Aspiration endometrial sampling (eg Pipelle) at the initial clinic visit; OR</w:t>
      </w:r>
    </w:p>
    <w:p w14:paraId="0AEDB63E" w14:textId="77777777" w:rsidR="00327912" w:rsidRPr="00327912" w:rsidRDefault="00327912" w:rsidP="00327912">
      <w:pPr>
        <w:pStyle w:val="ListBullet2"/>
        <w:rPr>
          <w:lang w:val="en-GB"/>
        </w:rPr>
      </w:pPr>
      <w:r w:rsidRPr="00327912">
        <w:rPr>
          <w:lang w:val="en-GB"/>
        </w:rPr>
        <w:t>Hysteroscopy, dilatation and curettage, if</w:t>
      </w:r>
    </w:p>
    <w:p w14:paraId="5C752643" w14:textId="77777777" w:rsidR="00327912" w:rsidRPr="00327912" w:rsidRDefault="00327912" w:rsidP="00327912">
      <w:pPr>
        <w:pStyle w:val="ListBullet3"/>
        <w:rPr>
          <w:lang w:val="en-GB"/>
        </w:rPr>
      </w:pPr>
      <w:r w:rsidRPr="00327912">
        <w:rPr>
          <w:lang w:val="en-GB"/>
        </w:rPr>
        <w:t>An aspiration sample is not successful or considered insufficient for histopathological diagnosis</w:t>
      </w:r>
    </w:p>
    <w:p w14:paraId="1549CBF5" w14:textId="77777777" w:rsidR="00327912" w:rsidRPr="00327912" w:rsidRDefault="00327912" w:rsidP="00327912">
      <w:pPr>
        <w:pStyle w:val="ListBullet3"/>
        <w:rPr>
          <w:lang w:val="en-GB"/>
        </w:rPr>
      </w:pPr>
      <w:r w:rsidRPr="00327912">
        <w:rPr>
          <w:lang w:val="en-GB"/>
        </w:rPr>
        <w:t>Focal or multifocal endometrial pathology (such as polyps) is suggested on imaging</w:t>
      </w:r>
    </w:p>
    <w:p w14:paraId="4B2233E5" w14:textId="77777777" w:rsidR="00327912" w:rsidRPr="00327912" w:rsidRDefault="00327912" w:rsidP="00327912">
      <w:pPr>
        <w:pStyle w:val="ListBullet3"/>
        <w:rPr>
          <w:lang w:val="en-GB"/>
        </w:rPr>
      </w:pPr>
      <w:r w:rsidRPr="00327912">
        <w:rPr>
          <w:lang w:val="en-GB"/>
        </w:rPr>
        <w:t>Symptoms persist despite medical treatment</w:t>
      </w:r>
    </w:p>
    <w:p w14:paraId="7A2DB360" w14:textId="77777777" w:rsidR="00327912" w:rsidRPr="00327912" w:rsidRDefault="00327912" w:rsidP="00327912">
      <w:pPr>
        <w:pStyle w:val="ListNumber"/>
        <w:rPr>
          <w:lang w:val="en-GB"/>
        </w:rPr>
      </w:pPr>
      <w:r w:rsidRPr="00327912">
        <w:rPr>
          <w:lang w:val="en-GB"/>
        </w:rPr>
        <w:t xml:space="preserve">An MRI (CT abdo-pelvis if patient unable to undergo MRI). </w:t>
      </w:r>
    </w:p>
    <w:p w14:paraId="46476C40" w14:textId="77777777" w:rsidR="00327912" w:rsidRPr="00327912" w:rsidRDefault="00327912" w:rsidP="00327912">
      <w:pPr>
        <w:pStyle w:val="ListNumber"/>
      </w:pPr>
      <w:r w:rsidRPr="00327912">
        <w:rPr>
          <w:lang w:val="en-GB"/>
        </w:rPr>
        <w:t>A chest- X-ray.</w:t>
      </w:r>
      <w:r w:rsidRPr="00327912">
        <w:rPr>
          <w:lang w:val="en-US"/>
        </w:rPr>
        <w:t xml:space="preserve"> </w:t>
      </w:r>
    </w:p>
    <w:p w14:paraId="3D10AF30" w14:textId="77777777" w:rsidR="00327912" w:rsidRPr="00327912" w:rsidRDefault="00327912" w:rsidP="00327912">
      <w:pPr>
        <w:rPr>
          <w:lang w:val="en-GB"/>
        </w:rPr>
      </w:pPr>
      <w:r w:rsidRPr="00327912">
        <w:rPr>
          <w:lang w:val="en-US"/>
        </w:rPr>
        <w:t xml:space="preserve">As much as possible, molecular classification as per </w:t>
      </w:r>
      <w:r w:rsidRPr="00327912">
        <w:rPr>
          <w:lang w:val="en-AU"/>
        </w:rPr>
        <w:t>ProMisE</w:t>
      </w:r>
      <w:r w:rsidRPr="00327912">
        <w:rPr>
          <w:lang w:val="en-US"/>
        </w:rPr>
        <w:t xml:space="preserve"> &amp; </w:t>
      </w:r>
      <w:r w:rsidRPr="00327912">
        <w:rPr>
          <w:lang w:val="en-AU"/>
        </w:rPr>
        <w:t>ESGO</w:t>
      </w:r>
      <w:r w:rsidRPr="00327912">
        <w:rPr>
          <w:lang w:val="en-US"/>
        </w:rPr>
        <w:t>/</w:t>
      </w:r>
      <w:r w:rsidRPr="00327912">
        <w:rPr>
          <w:lang w:val="en-AU"/>
        </w:rPr>
        <w:t>ESTRO</w:t>
      </w:r>
      <w:r w:rsidRPr="00327912">
        <w:rPr>
          <w:lang w:val="en-US"/>
        </w:rPr>
        <w:t xml:space="preserve"> guidelines should be used when diagnosing endometrial cancer.</w:t>
      </w:r>
      <w:r w:rsidRPr="00327912">
        <w:rPr>
          <w:vertAlign w:val="superscript"/>
          <w:lang w:val="en-AU"/>
        </w:rPr>
        <w:t>4</w:t>
      </w:r>
    </w:p>
    <w:p w14:paraId="3E9303DF" w14:textId="37E62602" w:rsidR="00327912" w:rsidRPr="00327912" w:rsidRDefault="00327912" w:rsidP="00327912">
      <w:pPr>
        <w:rPr>
          <w:lang w:val="en-GB"/>
        </w:rPr>
      </w:pPr>
      <w:r w:rsidRPr="00327912">
        <w:rPr>
          <w:lang w:val="en-GB"/>
        </w:rPr>
        <w:t>Note: In suitable candidates, outpatient hysteroscopy is recommended over a procedure under general anaesthesia.</w:t>
      </w:r>
    </w:p>
    <w:p w14:paraId="29085ABB" w14:textId="77777777" w:rsidR="00327912" w:rsidRPr="005C7F0A" w:rsidRDefault="00327912" w:rsidP="00327912">
      <w:pPr>
        <w:pStyle w:val="Heading1"/>
        <w:rPr>
          <w:sz w:val="44"/>
          <w:szCs w:val="44"/>
          <w:lang w:val="en-GB"/>
        </w:rPr>
      </w:pPr>
      <w:bookmarkStart w:id="3" w:name="_Toc143072447"/>
      <w:r w:rsidRPr="005C7F0A">
        <w:rPr>
          <w:sz w:val="44"/>
          <w:szCs w:val="44"/>
          <w:lang w:val="en-GB"/>
        </w:rPr>
        <w:t>Imaging and MDM referral</w:t>
      </w:r>
      <w:bookmarkEnd w:id="3"/>
    </w:p>
    <w:p w14:paraId="408D6DCF" w14:textId="77777777" w:rsidR="00327912" w:rsidRPr="00327912" w:rsidRDefault="00327912" w:rsidP="00327912">
      <w:pPr>
        <w:rPr>
          <w:lang w:val="en-GB"/>
        </w:rPr>
      </w:pPr>
      <w:r w:rsidRPr="00327912">
        <w:rPr>
          <w:lang w:val="en-GB"/>
        </w:rPr>
        <w:t>All patients diagnosed with endometrial cancer in New Zealand should have their endometrial tissue sample and imaging reviewed at a Gynaecology-Oncology multidisciplinary meeting.</w:t>
      </w:r>
    </w:p>
    <w:p w14:paraId="0CBA68AE" w14:textId="77777777" w:rsidR="00327912" w:rsidRPr="00327912" w:rsidRDefault="00327912" w:rsidP="00327912">
      <w:pPr>
        <w:rPr>
          <w:lang w:val="en-GB"/>
        </w:rPr>
      </w:pPr>
      <w:r w:rsidRPr="00327912">
        <w:rPr>
          <w:lang w:val="en-GB"/>
        </w:rPr>
        <w:t xml:space="preserve">MRI ascertains depth of myometrial invasion for low grade cancers to confirm the provisional early stage (IA). Patients with higher suspected stages or higher grades are not candidates for fertility preservation. MRI should follow a </w:t>
      </w:r>
      <w:r w:rsidRPr="00327912">
        <w:rPr>
          <w:lang w:val="en-AU"/>
        </w:rPr>
        <w:t xml:space="preserve">locally agreed endometrial specific radiology protocol. </w:t>
      </w:r>
    </w:p>
    <w:p w14:paraId="664EA3D0" w14:textId="77777777" w:rsidR="00327912" w:rsidRPr="00327912" w:rsidRDefault="00327912" w:rsidP="00327912">
      <w:pPr>
        <w:rPr>
          <w:lang w:val="en-GB"/>
        </w:rPr>
      </w:pPr>
      <w:r w:rsidRPr="00327912">
        <w:rPr>
          <w:lang w:val="en-GB"/>
        </w:rPr>
        <w:t>Options of treatment are discussed during the Gynaecology-Oncology multidisciplinary meeting, with supporting clinical information from the referring clinician (comorbidities, parity, goals).</w:t>
      </w:r>
    </w:p>
    <w:p w14:paraId="07BB2A3B" w14:textId="77777777" w:rsidR="00327912" w:rsidRPr="005C7F0A" w:rsidRDefault="00327912" w:rsidP="00327912">
      <w:pPr>
        <w:pStyle w:val="Heading1"/>
        <w:rPr>
          <w:sz w:val="44"/>
          <w:szCs w:val="44"/>
          <w:lang w:val="en-GB"/>
        </w:rPr>
      </w:pPr>
      <w:bookmarkStart w:id="4" w:name="_Toc143072448"/>
      <w:r w:rsidRPr="005C7F0A">
        <w:rPr>
          <w:sz w:val="44"/>
          <w:szCs w:val="44"/>
          <w:lang w:val="en-GB"/>
        </w:rPr>
        <w:lastRenderedPageBreak/>
        <w:t>Decision making process</w:t>
      </w:r>
      <w:bookmarkEnd w:id="4"/>
    </w:p>
    <w:p w14:paraId="324FDE4B" w14:textId="77777777" w:rsidR="00327912" w:rsidRPr="00327912" w:rsidRDefault="00327912" w:rsidP="00327912">
      <w:pPr>
        <w:rPr>
          <w:lang w:val="en-GB"/>
        </w:rPr>
      </w:pPr>
      <w:r w:rsidRPr="00327912">
        <w:rPr>
          <w:lang w:val="en-GB"/>
        </w:rPr>
        <w:t xml:space="preserve">Patients should be counselled about their treatment options, their realistic chances to conceive, and the risks of treatment failure by the Gynaecologist managing the patient. </w:t>
      </w:r>
    </w:p>
    <w:p w14:paraId="30A0DBB5" w14:textId="77777777" w:rsidR="00327912" w:rsidRPr="00327912" w:rsidRDefault="00327912" w:rsidP="00327912">
      <w:pPr>
        <w:rPr>
          <w:lang w:val="en-GB"/>
        </w:rPr>
      </w:pPr>
      <w:r w:rsidRPr="00327912">
        <w:rPr>
          <w:lang w:val="en-GB"/>
        </w:rPr>
        <w:t xml:space="preserve">Patients should be informed that non-surgical management is a non-standard approach, and they should be willing to accept close surveillance. They should be informed of the recommendation for surgical treatment (total hysterectomy and bilateral salpingectomy, washings +/- bilateral oophorectomy) in case of treatment failure and/or after pregnancies. </w:t>
      </w:r>
    </w:p>
    <w:p w14:paraId="26198D51" w14:textId="77777777" w:rsidR="00327912" w:rsidRPr="00327912" w:rsidRDefault="00327912" w:rsidP="00327912">
      <w:pPr>
        <w:rPr>
          <w:vertAlign w:val="superscript"/>
        </w:rPr>
      </w:pPr>
      <w:r w:rsidRPr="00327912">
        <w:rPr>
          <w:lang w:val="en-GB"/>
        </w:rPr>
        <w:t>Early referral to fertility services is recommended, regardless of body mass index and age, including public and private options. Access to publicly funded fertility services need to be equitable. Assisted reproduction is associated with higher live birth rates.</w:t>
      </w:r>
      <w:r w:rsidRPr="00327912">
        <w:rPr>
          <w:vertAlign w:val="superscript"/>
          <w:lang w:val="en-GB"/>
        </w:rPr>
        <w:t>5,6</w:t>
      </w:r>
    </w:p>
    <w:p w14:paraId="3D4F18BE" w14:textId="77777777" w:rsidR="00327912" w:rsidRPr="00327912" w:rsidRDefault="00327912" w:rsidP="00327912">
      <w:pPr>
        <w:rPr>
          <w:lang w:val="en-GB"/>
        </w:rPr>
      </w:pPr>
      <w:r w:rsidRPr="00327912">
        <w:rPr>
          <w:lang w:val="en-GB"/>
        </w:rPr>
        <w:t>Cardiovascular and metabolic risk factors should be assessed and addressed.</w:t>
      </w:r>
    </w:p>
    <w:p w14:paraId="416CCDDC" w14:textId="77777777" w:rsidR="00327912" w:rsidRPr="005C7F0A" w:rsidRDefault="00327912" w:rsidP="00327912">
      <w:pPr>
        <w:pStyle w:val="Heading1"/>
        <w:rPr>
          <w:sz w:val="44"/>
          <w:szCs w:val="44"/>
          <w:lang w:val="en-GB"/>
        </w:rPr>
      </w:pPr>
      <w:bookmarkStart w:id="5" w:name="_Toc143072449"/>
      <w:r w:rsidRPr="005C7F0A">
        <w:rPr>
          <w:sz w:val="44"/>
          <w:szCs w:val="44"/>
          <w:lang w:val="en-GB"/>
        </w:rPr>
        <w:t>Treatment</w:t>
      </w:r>
      <w:bookmarkEnd w:id="5"/>
    </w:p>
    <w:p w14:paraId="062254A8" w14:textId="77777777" w:rsidR="00327912" w:rsidRPr="00327912" w:rsidRDefault="00327912" w:rsidP="00327912">
      <w:pPr>
        <w:rPr>
          <w:lang w:val="en-GB"/>
        </w:rPr>
      </w:pPr>
      <w:r w:rsidRPr="00327912">
        <w:rPr>
          <w:lang w:val="en-GB"/>
        </w:rPr>
        <w:t>Treat for a duration of at least 12 months with:</w:t>
      </w:r>
      <w:r w:rsidRPr="00327912">
        <w:rPr>
          <w:vertAlign w:val="superscript"/>
          <w:lang w:val="en-GB"/>
        </w:rPr>
        <w:t xml:space="preserve"> </w:t>
      </w:r>
    </w:p>
    <w:p w14:paraId="6E165B70" w14:textId="77777777" w:rsidR="00327912" w:rsidRPr="00327912" w:rsidRDefault="00327912" w:rsidP="00327912">
      <w:pPr>
        <w:pStyle w:val="ListBullet"/>
        <w:rPr>
          <w:lang w:val="en-GB"/>
        </w:rPr>
      </w:pPr>
      <w:r w:rsidRPr="00327912">
        <w:rPr>
          <w:lang w:val="en-GB"/>
        </w:rPr>
        <w:t xml:space="preserve">Levonorgestrel-releasing intrauterine device 52 mg; or </w:t>
      </w:r>
    </w:p>
    <w:p w14:paraId="6ABED08B" w14:textId="77777777" w:rsidR="00327912" w:rsidRPr="00327912" w:rsidRDefault="00327912" w:rsidP="00327912">
      <w:pPr>
        <w:pStyle w:val="ListBullet"/>
        <w:rPr>
          <w:lang w:val="en-GB"/>
        </w:rPr>
      </w:pPr>
      <w:r w:rsidRPr="00327912">
        <w:rPr>
          <w:lang w:val="en-GB"/>
        </w:rPr>
        <w:t xml:space="preserve">Oral megestrol acetate 160 – 320 mg/day; or </w:t>
      </w:r>
    </w:p>
    <w:p w14:paraId="35536440" w14:textId="77777777" w:rsidR="00327912" w:rsidRPr="00327912" w:rsidRDefault="00327912" w:rsidP="00327912">
      <w:pPr>
        <w:pStyle w:val="ListBullet"/>
        <w:rPr>
          <w:lang w:val="en-GB"/>
        </w:rPr>
      </w:pPr>
      <w:r w:rsidRPr="00327912">
        <w:rPr>
          <w:lang w:val="en-GB"/>
        </w:rPr>
        <w:t>Oral medroxyprogesterone acetate 400 – 600 mg/day</w:t>
      </w:r>
      <w:r w:rsidRPr="00327912">
        <w:rPr>
          <w:vertAlign w:val="superscript"/>
          <w:lang w:val="en-GB"/>
        </w:rPr>
        <w:footnoteReference w:customMarkFollows="1" w:id="1"/>
        <w:t>*</w:t>
      </w:r>
      <w:r w:rsidRPr="00327912">
        <w:rPr>
          <w:lang w:val="en-GB"/>
        </w:rPr>
        <w:t xml:space="preserve"> </w:t>
      </w:r>
    </w:p>
    <w:p w14:paraId="5B39B979" w14:textId="77777777" w:rsidR="00327912" w:rsidRPr="00327912" w:rsidRDefault="00327912" w:rsidP="00327912">
      <w:pPr>
        <w:rPr>
          <w:lang w:val="en-GB"/>
        </w:rPr>
      </w:pPr>
      <w:r w:rsidRPr="00327912">
        <w:rPr>
          <w:lang w:val="en-GB"/>
        </w:rPr>
        <w:t>Choice of medical treatment should consider compliance, side-effects, and patient preference.</w:t>
      </w:r>
    </w:p>
    <w:p w14:paraId="508D4912" w14:textId="77777777" w:rsidR="00327912" w:rsidRPr="00327912" w:rsidRDefault="00327912" w:rsidP="00327912">
      <w:pPr>
        <w:rPr>
          <w:lang w:val="en-GB"/>
        </w:rPr>
      </w:pPr>
      <w:r w:rsidRPr="00327912">
        <w:rPr>
          <w:lang w:val="en-AU"/>
        </w:rPr>
        <w:t>Gonadotropin-releasing hormone analogues also show a satisfactory response rate when used alone, and in combination with intrauterine progestin therapy and may be considered.</w:t>
      </w:r>
      <w:r w:rsidRPr="00327912">
        <w:rPr>
          <w:vertAlign w:val="superscript"/>
          <w:lang w:val="en-AU"/>
        </w:rPr>
        <w:t>4</w:t>
      </w:r>
    </w:p>
    <w:p w14:paraId="573929E1" w14:textId="77777777" w:rsidR="00327912" w:rsidRPr="00327912" w:rsidRDefault="00327912" w:rsidP="00327912">
      <w:pPr>
        <w:rPr>
          <w:lang w:val="en-GB"/>
        </w:rPr>
      </w:pPr>
      <w:r w:rsidRPr="00327912">
        <w:rPr>
          <w:lang w:val="en-GB"/>
        </w:rPr>
        <w:t>Adjuncts such as weight loss (green prescription, dietitian, bariatric surgery) and management of other risk factors such as diabetes should be considered.</w:t>
      </w:r>
    </w:p>
    <w:p w14:paraId="47087D9F" w14:textId="77777777" w:rsidR="00327912" w:rsidRPr="00327912" w:rsidRDefault="00327912" w:rsidP="00327912">
      <w:pPr>
        <w:rPr>
          <w:lang w:val="en-GB"/>
        </w:rPr>
      </w:pPr>
      <w:r w:rsidRPr="00327912">
        <w:rPr>
          <w:lang w:val="en-GB"/>
        </w:rPr>
        <w:t xml:space="preserve">Patients should be offered psychological and cultural support. </w:t>
      </w:r>
    </w:p>
    <w:p w14:paraId="2BC81148" w14:textId="77777777" w:rsidR="00327912" w:rsidRPr="00327912" w:rsidRDefault="00327912" w:rsidP="00327912">
      <w:pPr>
        <w:rPr>
          <w:lang w:val="en-GB"/>
        </w:rPr>
      </w:pPr>
      <w:r w:rsidRPr="00327912">
        <w:rPr>
          <w:lang w:val="en-AU"/>
        </w:rPr>
        <w:t>There is currently no role for endometrial cancer resections outside of research trials.</w:t>
      </w:r>
    </w:p>
    <w:p w14:paraId="4EA50D71" w14:textId="77777777" w:rsidR="00327912" w:rsidRPr="005C7F0A" w:rsidRDefault="00327912" w:rsidP="00327912">
      <w:pPr>
        <w:pStyle w:val="Heading1"/>
        <w:rPr>
          <w:sz w:val="44"/>
          <w:szCs w:val="44"/>
          <w:lang w:val="en-GB"/>
        </w:rPr>
      </w:pPr>
      <w:bookmarkStart w:id="6" w:name="_Toc143072450"/>
      <w:r w:rsidRPr="005C7F0A">
        <w:rPr>
          <w:sz w:val="44"/>
          <w:szCs w:val="44"/>
          <w:lang w:val="en-GB"/>
        </w:rPr>
        <w:lastRenderedPageBreak/>
        <w:t>Surveillance - see Figure 1</w:t>
      </w:r>
      <w:bookmarkEnd w:id="6"/>
    </w:p>
    <w:p w14:paraId="2D019440" w14:textId="77777777" w:rsidR="00327912" w:rsidRPr="00327912" w:rsidRDefault="00327912" w:rsidP="00327912">
      <w:pPr>
        <w:rPr>
          <w:lang w:val="en-GB"/>
        </w:rPr>
      </w:pPr>
      <w:r w:rsidRPr="00327912">
        <w:rPr>
          <w:lang w:val="en-GB"/>
        </w:rPr>
        <w:t>Endometrial sampling is recommended at 6 and 12 months after treatment initiation.</w:t>
      </w:r>
    </w:p>
    <w:p w14:paraId="30A119D1" w14:textId="77777777" w:rsidR="00327912" w:rsidRPr="00327912" w:rsidRDefault="00327912" w:rsidP="00327912">
      <w:pPr>
        <w:rPr>
          <w:lang w:val="en-GB"/>
        </w:rPr>
      </w:pPr>
      <w:r w:rsidRPr="00327912">
        <w:rPr>
          <w:lang w:val="en-GB"/>
        </w:rPr>
        <w:t>Response is defined as an adequate endometrial sample negative for atypia or malignancy within 12 months of starting treatment.</w:t>
      </w:r>
    </w:p>
    <w:p w14:paraId="2F68341A" w14:textId="77777777" w:rsidR="00327912" w:rsidRPr="00327912" w:rsidRDefault="00327912" w:rsidP="00327912">
      <w:pPr>
        <w:rPr>
          <w:lang w:val="en-GB"/>
        </w:rPr>
      </w:pPr>
      <w:r w:rsidRPr="00327912">
        <w:rPr>
          <w:lang w:val="en-GB"/>
        </w:rPr>
        <w:t>An adequate aspiration endometrial sample (such as a Pipelle biopsy) is suitable at 6 months. Hysteroscopy with endometrial sampling is suggested at 12 months (prior to pursuing fertility).</w:t>
      </w:r>
    </w:p>
    <w:p w14:paraId="4BA3A6BB" w14:textId="77777777" w:rsidR="00327912" w:rsidRPr="00327912" w:rsidRDefault="00327912" w:rsidP="00327912">
      <w:pPr>
        <w:rPr>
          <w:lang w:val="en-GB"/>
        </w:rPr>
      </w:pPr>
      <w:r w:rsidRPr="00327912">
        <w:rPr>
          <w:lang w:val="en-GB"/>
        </w:rPr>
        <w:t>Response to treatment within 12 months:</w:t>
      </w:r>
    </w:p>
    <w:p w14:paraId="6040333E" w14:textId="77777777" w:rsidR="00327912" w:rsidRPr="00327912" w:rsidRDefault="00327912" w:rsidP="00327912">
      <w:pPr>
        <w:pStyle w:val="ListBullet"/>
        <w:rPr>
          <w:lang w:val="en-GB"/>
        </w:rPr>
      </w:pPr>
      <w:r w:rsidRPr="00327912">
        <w:rPr>
          <w:lang w:val="en-GB"/>
        </w:rPr>
        <w:t xml:space="preserve">Pregnancy is associated with a reduced risk for endometrial cancer recurrence, and therefore pregnancy must be encouraged (and treatment withdrawn) upon confirmation of response. </w:t>
      </w:r>
    </w:p>
    <w:p w14:paraId="19FAAD2A" w14:textId="77777777" w:rsidR="00327912" w:rsidRPr="00327912" w:rsidRDefault="00327912" w:rsidP="00327912">
      <w:pPr>
        <w:pStyle w:val="ListBullet"/>
        <w:rPr>
          <w:lang w:val="en-GB"/>
        </w:rPr>
      </w:pPr>
      <w:r w:rsidRPr="00327912">
        <w:rPr>
          <w:lang w:val="en-GB"/>
        </w:rPr>
        <w:t>6 monthly surveillance should continue whilst not pregnant.</w:t>
      </w:r>
    </w:p>
    <w:p w14:paraId="40D1DD5A" w14:textId="77777777" w:rsidR="00327912" w:rsidRPr="00327912" w:rsidRDefault="00327912" w:rsidP="00327912">
      <w:pPr>
        <w:pStyle w:val="ListBullet"/>
        <w:rPr>
          <w:lang w:val="en-GB"/>
        </w:rPr>
      </w:pPr>
      <w:r w:rsidRPr="00327912">
        <w:rPr>
          <w:lang w:val="en-GB"/>
        </w:rPr>
        <w:t xml:space="preserve">Where disease recurs after an initial response, total hysterectomy </w:t>
      </w:r>
      <w:r w:rsidRPr="00327912">
        <w:rPr>
          <w:lang w:val="en-GB"/>
        </w:rPr>
        <w:br/>
        <w:t>and bilateral salpingectomy, washings +/- bilateral oophorectomy</w:t>
      </w:r>
      <w:r w:rsidRPr="00327912" w:rsidDel="00F13B6A">
        <w:rPr>
          <w:lang w:val="en-GB"/>
        </w:rPr>
        <w:t xml:space="preserve"> </w:t>
      </w:r>
      <w:r w:rsidRPr="00327912">
        <w:rPr>
          <w:lang w:val="en-GB"/>
        </w:rPr>
        <w:t>should be proposed as the first option. If endometrial carcinoma has been identified at any stage during follow up, the patient should be re-referred to the regional Gynaecology-Oncology multidisciplinary team.</w:t>
      </w:r>
    </w:p>
    <w:p w14:paraId="4E25AF45" w14:textId="77777777" w:rsidR="00327912" w:rsidRPr="00327912" w:rsidRDefault="00327912" w:rsidP="00327912">
      <w:pPr>
        <w:rPr>
          <w:lang w:val="en-GB"/>
        </w:rPr>
      </w:pPr>
      <w:r w:rsidRPr="00327912">
        <w:rPr>
          <w:lang w:val="en-GB"/>
        </w:rPr>
        <w:t>Non-responders to treatment:</w:t>
      </w:r>
    </w:p>
    <w:p w14:paraId="16C1C149" w14:textId="77777777" w:rsidR="00327912" w:rsidRPr="00327912" w:rsidRDefault="00327912" w:rsidP="00327912">
      <w:pPr>
        <w:pStyle w:val="ListBullet"/>
        <w:rPr>
          <w:lang w:val="en-GB"/>
        </w:rPr>
      </w:pPr>
      <w:r w:rsidRPr="00327912">
        <w:rPr>
          <w:lang w:val="en-GB"/>
        </w:rPr>
        <w:t>Those who have not responded by 6 months may be offered an additional form of progestogen therapy (eg high dose oral medroxyprogesterone acetate if initially treated with a levonorgestrel-releasing intrauterine device).</w:t>
      </w:r>
    </w:p>
    <w:p w14:paraId="2220D17B" w14:textId="77777777" w:rsidR="00327912" w:rsidRPr="00327912" w:rsidRDefault="00327912" w:rsidP="00327912">
      <w:pPr>
        <w:rPr>
          <w:lang w:val="en-GB"/>
        </w:rPr>
      </w:pPr>
      <w:r w:rsidRPr="00327912">
        <w:rPr>
          <w:lang w:val="en-GB"/>
        </w:rPr>
        <w:t>Those who do not respond within 12 months, should be recommended a total hysterectomy, bilateral salpingectomy, washings +/- bilateral oophorectomy.</w:t>
      </w:r>
    </w:p>
    <w:p w14:paraId="0B723712" w14:textId="77777777" w:rsidR="005C7F0A" w:rsidRDefault="005C7F0A">
      <w:pPr>
        <w:spacing w:before="0" w:after="160" w:line="259" w:lineRule="auto"/>
        <w:rPr>
          <w:rFonts w:asciiTheme="majorHAnsi" w:eastAsiaTheme="majorEastAsia" w:hAnsiTheme="majorHAnsi" w:cstheme="majorBidi"/>
          <w:b/>
          <w:color w:val="1C2549" w:themeColor="text2"/>
          <w:sz w:val="44"/>
          <w:szCs w:val="44"/>
          <w:lang w:val="en-GB"/>
        </w:rPr>
      </w:pPr>
      <w:r>
        <w:rPr>
          <w:sz w:val="44"/>
          <w:szCs w:val="44"/>
          <w:lang w:val="en-GB"/>
        </w:rPr>
        <w:br w:type="page"/>
      </w:r>
    </w:p>
    <w:p w14:paraId="735A2530" w14:textId="490CCF1C" w:rsidR="00327912" w:rsidRPr="005C7F0A" w:rsidRDefault="00327912" w:rsidP="00327912">
      <w:pPr>
        <w:pStyle w:val="Heading1"/>
        <w:rPr>
          <w:sz w:val="44"/>
          <w:szCs w:val="44"/>
          <w:lang w:val="en-GB"/>
        </w:rPr>
      </w:pPr>
      <w:bookmarkStart w:id="7" w:name="_Toc143072451"/>
      <w:r w:rsidRPr="005C7F0A">
        <w:rPr>
          <w:sz w:val="44"/>
          <w:szCs w:val="44"/>
          <w:lang w:val="en-GB"/>
        </w:rPr>
        <w:lastRenderedPageBreak/>
        <w:t>Definitive treatment</w:t>
      </w:r>
      <w:bookmarkEnd w:id="7"/>
    </w:p>
    <w:p w14:paraId="64518D0F" w14:textId="77777777" w:rsidR="00327912" w:rsidRPr="00327912" w:rsidRDefault="00327912" w:rsidP="00327912">
      <w:pPr>
        <w:rPr>
          <w:lang w:val="en-GB"/>
        </w:rPr>
      </w:pPr>
      <w:r w:rsidRPr="00327912">
        <w:rPr>
          <w:lang w:val="en-GB"/>
        </w:rPr>
        <w:t xml:space="preserve">Definitive treatment by means of a total hysterectomy, bilateral salpingectomy, washings +/- oophorectomy is recommended once family is complete or if fertility is unable to be achieved. </w:t>
      </w:r>
    </w:p>
    <w:p w14:paraId="279D6493" w14:textId="77777777" w:rsidR="00327912" w:rsidRPr="00327912" w:rsidRDefault="00327912" w:rsidP="00327912">
      <w:pPr>
        <w:rPr>
          <w:lang w:val="en-GB"/>
        </w:rPr>
      </w:pPr>
      <w:r w:rsidRPr="00327912">
        <w:rPr>
          <w:lang w:val="en-GB"/>
        </w:rPr>
        <w:t xml:space="preserve">If definitive treatment is not possible or is declined by the patient: </w:t>
      </w:r>
    </w:p>
    <w:p w14:paraId="5C2812FF" w14:textId="77777777" w:rsidR="00327912" w:rsidRPr="00327912" w:rsidRDefault="00327912" w:rsidP="00327912">
      <w:pPr>
        <w:pStyle w:val="ListBullet"/>
        <w:rPr>
          <w:lang w:val="en-GB"/>
        </w:rPr>
      </w:pPr>
      <w:r w:rsidRPr="00327912">
        <w:rPr>
          <w:lang w:val="en-GB"/>
        </w:rPr>
        <w:t xml:space="preserve">Continue treatment with a progestogen. </w:t>
      </w:r>
    </w:p>
    <w:p w14:paraId="086DB84D" w14:textId="77777777" w:rsidR="00327912" w:rsidRPr="00327912" w:rsidRDefault="00327912" w:rsidP="00327912">
      <w:pPr>
        <w:pStyle w:val="ListBullet"/>
        <w:rPr>
          <w:lang w:val="en-GB"/>
        </w:rPr>
      </w:pPr>
      <w:r w:rsidRPr="00327912">
        <w:rPr>
          <w:lang w:val="en-GB"/>
        </w:rPr>
        <w:t xml:space="preserve">Patients should be counselled about risks and benefits of continuing with non-definitive treatment (risk of treatment failure and recurrence of cancer).  </w:t>
      </w:r>
    </w:p>
    <w:p w14:paraId="74441885" w14:textId="77777777" w:rsidR="00327912" w:rsidRPr="00327912" w:rsidRDefault="00327912" w:rsidP="00327912">
      <w:pPr>
        <w:pStyle w:val="ListBullet"/>
        <w:rPr>
          <w:b/>
          <w:lang w:val="en-GB"/>
        </w:rPr>
      </w:pPr>
      <w:r w:rsidRPr="00327912">
        <w:rPr>
          <w:lang w:val="en-GB"/>
        </w:rPr>
        <w:t>Following evidence of histological regression of disease (two consecutive adequate endometrial samples, 6 months apart, negative for atypia or malignancy), long-term follow up with endometrial biopsy every 12 months is recommended in this situation; with earlier resampling if the patient develops symptoms suggestive of recurrence.</w:t>
      </w:r>
    </w:p>
    <w:p w14:paraId="736D8925" w14:textId="77777777" w:rsidR="00327912" w:rsidRPr="005C7F0A" w:rsidRDefault="00327912" w:rsidP="00327912">
      <w:pPr>
        <w:pStyle w:val="Heading1"/>
        <w:rPr>
          <w:sz w:val="44"/>
          <w:szCs w:val="44"/>
          <w:lang w:val="en-GB"/>
        </w:rPr>
      </w:pPr>
      <w:bookmarkStart w:id="8" w:name="_Toc143072452"/>
      <w:r w:rsidRPr="005C7F0A">
        <w:rPr>
          <w:sz w:val="44"/>
          <w:szCs w:val="44"/>
          <w:lang w:val="en-GB"/>
        </w:rPr>
        <w:t>Auditable Standards</w:t>
      </w:r>
      <w:bookmarkEnd w:id="8"/>
    </w:p>
    <w:p w14:paraId="4C3340C2" w14:textId="77777777" w:rsidR="00327912" w:rsidRPr="00327912" w:rsidRDefault="00327912" w:rsidP="00327912">
      <w:pPr>
        <w:rPr>
          <w:lang w:val="en-GB"/>
        </w:rPr>
      </w:pPr>
      <w:r w:rsidRPr="00327912">
        <w:rPr>
          <w:lang w:val="en-GB"/>
        </w:rPr>
        <w:t>All women/people with endometrial adenocarcinoma wishing to have fertility preserving treatment should:</w:t>
      </w:r>
    </w:p>
    <w:p w14:paraId="6548371A" w14:textId="77777777" w:rsidR="00327912" w:rsidRPr="00327912" w:rsidRDefault="00327912" w:rsidP="00327912">
      <w:pPr>
        <w:pStyle w:val="ListNumber"/>
        <w:numPr>
          <w:ilvl w:val="0"/>
          <w:numId w:val="16"/>
        </w:numPr>
        <w:tabs>
          <w:tab w:val="clear" w:pos="360"/>
        </w:tabs>
        <w:ind w:left="425" w:hanging="425"/>
        <w:rPr>
          <w:lang w:val="en-GB"/>
        </w:rPr>
      </w:pPr>
      <w:r w:rsidRPr="00327912">
        <w:rPr>
          <w:lang w:val="en-GB"/>
        </w:rPr>
        <w:t>Receive written advice on modifiable risk factors</w:t>
      </w:r>
    </w:p>
    <w:p w14:paraId="1E76DE7A" w14:textId="77777777" w:rsidR="00327912" w:rsidRPr="00327912" w:rsidRDefault="00327912" w:rsidP="00327912">
      <w:pPr>
        <w:pStyle w:val="ListNumber"/>
        <w:rPr>
          <w:lang w:val="en-GB"/>
        </w:rPr>
      </w:pPr>
      <w:r w:rsidRPr="00327912">
        <w:rPr>
          <w:lang w:val="en-GB"/>
        </w:rPr>
        <w:t>Be offered a referral to fertility services</w:t>
      </w:r>
    </w:p>
    <w:p w14:paraId="5141B5BA" w14:textId="77777777" w:rsidR="00327912" w:rsidRPr="00327912" w:rsidRDefault="00327912" w:rsidP="00327912">
      <w:pPr>
        <w:pStyle w:val="ListNumber"/>
        <w:rPr>
          <w:lang w:val="en-GB"/>
        </w:rPr>
      </w:pPr>
      <w:r w:rsidRPr="00327912">
        <w:rPr>
          <w:lang w:val="en-GB"/>
        </w:rPr>
        <w:t>Have at least two negative endometrial samples prior to withdrawal of hormonal treatment in an attempt at conception</w:t>
      </w:r>
    </w:p>
    <w:p w14:paraId="5F2E38F6" w14:textId="77777777" w:rsidR="00327912" w:rsidRPr="005C7F0A" w:rsidRDefault="00327912" w:rsidP="00327912">
      <w:pPr>
        <w:pStyle w:val="Heading1"/>
        <w:rPr>
          <w:sz w:val="44"/>
          <w:szCs w:val="44"/>
          <w:lang w:val="en-GB"/>
        </w:rPr>
      </w:pPr>
      <w:bookmarkStart w:id="9" w:name="_Toc143072453"/>
      <w:r w:rsidRPr="005C7F0A">
        <w:rPr>
          <w:sz w:val="44"/>
          <w:szCs w:val="44"/>
          <w:lang w:val="en-GB"/>
        </w:rPr>
        <w:t>Outcomes for baseline data</w:t>
      </w:r>
      <w:bookmarkEnd w:id="9"/>
    </w:p>
    <w:p w14:paraId="0B4C1A86" w14:textId="77777777" w:rsidR="00327912" w:rsidRPr="00327912" w:rsidRDefault="00327912" w:rsidP="00327912">
      <w:pPr>
        <w:pStyle w:val="ListNumber"/>
        <w:numPr>
          <w:ilvl w:val="0"/>
          <w:numId w:val="17"/>
        </w:numPr>
        <w:tabs>
          <w:tab w:val="clear" w:pos="360"/>
        </w:tabs>
        <w:ind w:left="425" w:hanging="425"/>
        <w:rPr>
          <w:lang w:val="en-GB"/>
        </w:rPr>
      </w:pPr>
      <w:r w:rsidRPr="00327912">
        <w:rPr>
          <w:lang w:val="en-GB"/>
        </w:rPr>
        <w:t>Proportion of women/people with endometrial carcinoma choosing a fertility preserving treatment option</w:t>
      </w:r>
    </w:p>
    <w:p w14:paraId="01A24267" w14:textId="77777777" w:rsidR="00327912" w:rsidRPr="00327912" w:rsidRDefault="00327912" w:rsidP="00327912">
      <w:pPr>
        <w:pStyle w:val="ListNumber"/>
        <w:numPr>
          <w:ilvl w:val="0"/>
          <w:numId w:val="17"/>
        </w:numPr>
        <w:tabs>
          <w:tab w:val="clear" w:pos="360"/>
        </w:tabs>
        <w:ind w:left="425" w:hanging="425"/>
        <w:rPr>
          <w:lang w:val="en-GB"/>
        </w:rPr>
      </w:pPr>
      <w:r w:rsidRPr="00327912">
        <w:rPr>
          <w:lang w:val="en-GB"/>
        </w:rPr>
        <w:t>Proportion of responders and non-responders to treatment at 6, 12 and 24 months</w:t>
      </w:r>
    </w:p>
    <w:p w14:paraId="48DA13FA" w14:textId="77777777" w:rsidR="00327912" w:rsidRPr="00327912" w:rsidRDefault="00327912" w:rsidP="00327912">
      <w:pPr>
        <w:pStyle w:val="ListNumber"/>
        <w:numPr>
          <w:ilvl w:val="0"/>
          <w:numId w:val="17"/>
        </w:numPr>
        <w:tabs>
          <w:tab w:val="clear" w:pos="360"/>
        </w:tabs>
        <w:ind w:left="425" w:hanging="425"/>
        <w:rPr>
          <w:lang w:val="en-GB"/>
        </w:rPr>
      </w:pPr>
      <w:r w:rsidRPr="00327912">
        <w:rPr>
          <w:lang w:val="en-GB"/>
        </w:rPr>
        <w:t>Proportion of those still on medical treatment 5 years after initial diagnosis</w:t>
      </w:r>
    </w:p>
    <w:p w14:paraId="713D3E40" w14:textId="77777777" w:rsidR="00327912" w:rsidRPr="00327912" w:rsidRDefault="00327912" w:rsidP="00327912">
      <w:pPr>
        <w:pStyle w:val="ListNumber"/>
        <w:numPr>
          <w:ilvl w:val="0"/>
          <w:numId w:val="17"/>
        </w:numPr>
        <w:tabs>
          <w:tab w:val="clear" w:pos="360"/>
        </w:tabs>
        <w:ind w:left="425" w:hanging="425"/>
        <w:rPr>
          <w:lang w:val="en-GB"/>
        </w:rPr>
      </w:pPr>
      <w:r w:rsidRPr="00327912">
        <w:rPr>
          <w:lang w:val="en-GB"/>
        </w:rPr>
        <w:t>Pregnancy rate and live birth rate at 12, 24 months and 5 years</w:t>
      </w:r>
    </w:p>
    <w:p w14:paraId="558A2026" w14:textId="77777777" w:rsidR="00327912" w:rsidRPr="00327912" w:rsidRDefault="00327912" w:rsidP="00327912">
      <w:pPr>
        <w:pStyle w:val="ListNumber"/>
        <w:numPr>
          <w:ilvl w:val="0"/>
          <w:numId w:val="17"/>
        </w:numPr>
        <w:tabs>
          <w:tab w:val="clear" w:pos="360"/>
        </w:tabs>
        <w:ind w:left="425" w:hanging="425"/>
        <w:rPr>
          <w:lang w:val="en-GB"/>
        </w:rPr>
      </w:pPr>
      <w:r w:rsidRPr="00327912">
        <w:rPr>
          <w:lang w:val="en-GB"/>
        </w:rPr>
        <w:t>Hysterectomy rate at 6, 12, 24 months, and at 5 years</w:t>
      </w:r>
    </w:p>
    <w:p w14:paraId="367A14E3" w14:textId="77777777" w:rsidR="00327912" w:rsidRPr="005C7F0A" w:rsidRDefault="00327912" w:rsidP="00327912">
      <w:pPr>
        <w:pStyle w:val="Heading1"/>
        <w:rPr>
          <w:sz w:val="44"/>
          <w:szCs w:val="44"/>
          <w:lang w:val="en-GB"/>
        </w:rPr>
      </w:pPr>
      <w:bookmarkStart w:id="10" w:name="_Toc143072454"/>
      <w:r w:rsidRPr="005C7F0A">
        <w:rPr>
          <w:sz w:val="44"/>
          <w:szCs w:val="44"/>
          <w:lang w:val="en-GB"/>
        </w:rPr>
        <w:t>Updating the guidelines</w:t>
      </w:r>
      <w:bookmarkEnd w:id="10"/>
    </w:p>
    <w:p w14:paraId="682C4701" w14:textId="7FF9B0C1" w:rsidR="00327912" w:rsidRDefault="00327912" w:rsidP="005C7F0A">
      <w:r w:rsidRPr="00327912">
        <w:rPr>
          <w:lang w:val="en-GB"/>
        </w:rPr>
        <w:t>These guidelines will be reviewed in 36 months from publication and updated as required.</w:t>
      </w:r>
      <w:r>
        <w:br w:type="page"/>
      </w:r>
    </w:p>
    <w:p w14:paraId="0CED994B" w14:textId="41BD0E4C" w:rsidR="005C7F0A" w:rsidRDefault="00327912" w:rsidP="005C7F0A">
      <w:pPr>
        <w:pStyle w:val="Figure"/>
        <w:jc w:val="center"/>
      </w:pPr>
      <w:r w:rsidRPr="005C7F0A">
        <w:rPr>
          <w:sz w:val="44"/>
          <w:szCs w:val="44"/>
        </w:rPr>
        <w:lastRenderedPageBreak/>
        <w:t xml:space="preserve">Figure </w:t>
      </w:r>
      <w:r w:rsidRPr="005C7F0A">
        <w:rPr>
          <w:sz w:val="44"/>
          <w:szCs w:val="44"/>
        </w:rPr>
        <w:fldChar w:fldCharType="begin"/>
      </w:r>
      <w:r w:rsidRPr="005C7F0A">
        <w:rPr>
          <w:sz w:val="44"/>
          <w:szCs w:val="44"/>
        </w:rPr>
        <w:instrText xml:space="preserve"> SEQ Figure \* ARABIC </w:instrText>
      </w:r>
      <w:r w:rsidRPr="005C7F0A">
        <w:rPr>
          <w:sz w:val="44"/>
          <w:szCs w:val="44"/>
        </w:rPr>
        <w:fldChar w:fldCharType="separate"/>
      </w:r>
      <w:r w:rsidR="00C214F9">
        <w:rPr>
          <w:noProof/>
          <w:sz w:val="44"/>
          <w:szCs w:val="44"/>
        </w:rPr>
        <w:t>1</w:t>
      </w:r>
      <w:r w:rsidRPr="005C7F0A">
        <w:rPr>
          <w:noProof/>
          <w:sz w:val="44"/>
          <w:szCs w:val="44"/>
        </w:rPr>
        <w:fldChar w:fldCharType="end"/>
      </w:r>
    </w:p>
    <w:p w14:paraId="14747E98" w14:textId="502740CB" w:rsidR="00A96A9C" w:rsidRPr="005C7F0A" w:rsidRDefault="00327912" w:rsidP="005C7F0A">
      <w:pPr>
        <w:pStyle w:val="Figure"/>
        <w:jc w:val="center"/>
        <w:rPr>
          <w:sz w:val="36"/>
          <w:szCs w:val="36"/>
        </w:rPr>
      </w:pPr>
      <w:r w:rsidRPr="005C7F0A">
        <w:rPr>
          <w:sz w:val="36"/>
          <w:szCs w:val="36"/>
        </w:rPr>
        <w:t>Fertility Preserving Management of Early Endometrial Carcinoma</w:t>
      </w:r>
    </w:p>
    <w:p w14:paraId="40839552" w14:textId="005B5C2F" w:rsidR="00327912" w:rsidRDefault="00327912" w:rsidP="00327912">
      <w:r w:rsidRPr="00B35E5F">
        <w:rPr>
          <w:rFonts w:ascii="Arial" w:hAnsi="Arial" w:cs="Arial"/>
          <w:b/>
          <w:noProof/>
          <w:sz w:val="20"/>
          <w:szCs w:val="20"/>
          <w:lang w:eastAsia="en-NZ"/>
        </w:rPr>
        <w:drawing>
          <wp:inline distT="0" distB="0" distL="0" distR="0" wp14:anchorId="4BEC2348" wp14:editId="79BBEDE9">
            <wp:extent cx="5327937" cy="7040971"/>
            <wp:effectExtent l="0" t="0" r="6350" b="0"/>
            <wp:docPr id="619556458" name="Picture 619556458" descr="Diagram showing the decision process for fertility preserving management of early endometrial carcin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556458" name="Picture 619556458" descr="Diagram showing the decision process for fertility preserving management of early endometrial carcinoma"/>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27937" cy="7040971"/>
                    </a:xfrm>
                    <a:prstGeom prst="rect">
                      <a:avLst/>
                    </a:prstGeom>
                  </pic:spPr>
                </pic:pic>
              </a:graphicData>
            </a:graphic>
          </wp:inline>
        </w:drawing>
      </w:r>
    </w:p>
    <w:p w14:paraId="31FCBDBE" w14:textId="662E0E9B" w:rsidR="00327912" w:rsidRDefault="00327912" w:rsidP="00327912">
      <w:r w:rsidRPr="00327912">
        <w:t>* If no response to treatment after 6 months, consider offering an additional form of progestogen therapy (ie high dose oral progestogen concurrently with a levonorgestrel-releasing intrauterine device)</w:t>
      </w:r>
    </w:p>
    <w:p w14:paraId="0111A98C" w14:textId="027F3BD2" w:rsidR="00327912" w:rsidRPr="005C7F0A" w:rsidRDefault="00327912" w:rsidP="005C7F0A">
      <w:pPr>
        <w:pStyle w:val="Heading1"/>
        <w:jc w:val="center"/>
        <w:rPr>
          <w:sz w:val="44"/>
          <w:szCs w:val="44"/>
        </w:rPr>
      </w:pPr>
      <w:bookmarkStart w:id="11" w:name="_Toc143072455"/>
      <w:r w:rsidRPr="005C7F0A">
        <w:rPr>
          <w:sz w:val="44"/>
          <w:szCs w:val="44"/>
        </w:rPr>
        <w:lastRenderedPageBreak/>
        <w:t>References</w:t>
      </w:r>
      <w:bookmarkEnd w:id="11"/>
    </w:p>
    <w:p w14:paraId="2C7C6C47" w14:textId="027A163D" w:rsidR="00B034D6" w:rsidRPr="00B034D6" w:rsidRDefault="00B034D6" w:rsidP="00B034D6">
      <w:pPr>
        <w:pStyle w:val="ListNumber"/>
        <w:numPr>
          <w:ilvl w:val="0"/>
          <w:numId w:val="19"/>
        </w:numPr>
        <w:tabs>
          <w:tab w:val="clear" w:pos="360"/>
        </w:tabs>
        <w:ind w:left="425" w:hanging="425"/>
        <w:rPr>
          <w:lang w:val="en-GB"/>
        </w:rPr>
      </w:pPr>
      <w:r w:rsidRPr="00B034D6">
        <w:rPr>
          <w:lang w:val="en-GB"/>
        </w:rPr>
        <w:t>Piatek S, Michalski W, Sobiczewski P, Bidzinski M, Szewczyk G. The results of different fertility-sparing treatment modalities and obstetric outcomes in patients with early endometrial cancer and atypical endometrial hyperplasia: Case series of 30 patients and systematic review. European Journal of Obstetrics &amp; Gynecology and Reproductive Biology. 2021 Aug 1;263:139-47.</w:t>
      </w:r>
    </w:p>
    <w:p w14:paraId="47A92713" w14:textId="6B02F368" w:rsidR="00B034D6" w:rsidRPr="00B034D6" w:rsidRDefault="00B034D6" w:rsidP="00B034D6">
      <w:pPr>
        <w:pStyle w:val="ListNumber"/>
        <w:rPr>
          <w:lang w:val="en-GB"/>
        </w:rPr>
      </w:pPr>
      <w:r w:rsidRPr="00B034D6">
        <w:rPr>
          <w:lang w:val="en-GB"/>
        </w:rPr>
        <w:t>Janda M, Robledo KP, Gebski V, Armes JE, Alizart M, Cummings M, Chen C, Leung Y, Sykes P, McNally O, Oehler MK. Complete pathological response following levonorgestrel intrauterine device in clinically stage 1 endometrial adenocarcinoma: Results of a randomized clinical trial. Gynecologic Oncology. 2021 Apr 1;161(1):143-51.</w:t>
      </w:r>
    </w:p>
    <w:p w14:paraId="01B0018A" w14:textId="419C333F" w:rsidR="00B034D6" w:rsidRPr="00B034D6" w:rsidRDefault="00B034D6" w:rsidP="00B034D6">
      <w:pPr>
        <w:pStyle w:val="ListNumber"/>
        <w:rPr>
          <w:lang w:val="en-GB"/>
        </w:rPr>
      </w:pPr>
      <w:r w:rsidRPr="00B034D6">
        <w:rPr>
          <w:lang w:val="en-GB"/>
        </w:rPr>
        <w:t>Concin N, Matias-Guiu X, Vergote I, Cibula D, Mirza MR, Marnitz S, Ledermann J, Bosse T, Chargari C, Fagotti A, Fotopoulou C. ESGO/ESTRO/ESP guidelines for the management of patients with endometrial carcinoma. International Journal of Gynecologic Cancer. 2021 Jan 1;31(1).</w:t>
      </w:r>
    </w:p>
    <w:p w14:paraId="5837AAC0" w14:textId="72236757" w:rsidR="00B034D6" w:rsidRPr="00B034D6" w:rsidRDefault="00B034D6" w:rsidP="00B034D6">
      <w:pPr>
        <w:pStyle w:val="ListNumber"/>
        <w:rPr>
          <w:lang w:val="en-GB"/>
        </w:rPr>
      </w:pPr>
      <w:r w:rsidRPr="00B034D6">
        <w:rPr>
          <w:lang w:val="en-AU"/>
        </w:rPr>
        <w:t>Rodolakis A, Scambia G, Planchamp F, Acien M, Di Spiezio Sardo A, Farrugia M, Grynberg M, Pakiz M, Pavlakis K, Vermeulen N, Zannoni G. ESGO/ESHRE/ESGE Guidelines for the fertility-sparing treatment of patients with endometrial carcinoma. Human Reproduction Open. 2023;2023(1).</w:t>
      </w:r>
    </w:p>
    <w:p w14:paraId="5CD2DB56" w14:textId="348F224B" w:rsidR="00B034D6" w:rsidRPr="00B034D6" w:rsidRDefault="00B034D6" w:rsidP="00B034D6">
      <w:pPr>
        <w:pStyle w:val="ListNumber"/>
        <w:rPr>
          <w:lang w:val="en-GB"/>
        </w:rPr>
      </w:pPr>
      <w:r w:rsidRPr="00B034D6">
        <w:rPr>
          <w:lang w:val="en-GB"/>
        </w:rPr>
        <w:t>Harrison RF, He W, Fu S, Zhao H, Sun CC, Suidan RS, Woodard TL, Rauh-Hain JA, Westin SN, Giordano SH, Meyer LA. National patterns of care and fertility outcomes for reproductive-aged women with endometrial cancer or atypical hyperplasia. American Journal of Obstetrics and Gynecology. 2019 Nov 1;221(5):474-e1.</w:t>
      </w:r>
    </w:p>
    <w:p w14:paraId="550F40E1" w14:textId="58A6FBCA" w:rsidR="00B034D6" w:rsidRPr="00B034D6" w:rsidRDefault="00B034D6" w:rsidP="00B034D6">
      <w:pPr>
        <w:pStyle w:val="ListNumber"/>
        <w:rPr>
          <w:lang w:val="en-GB"/>
        </w:rPr>
      </w:pPr>
      <w:r w:rsidRPr="00B034D6">
        <w:rPr>
          <w:lang w:val="en-GB"/>
        </w:rPr>
        <w:t>Gallos ID, Yap J, Rajkhowa M, Luesley DM, Coomarasamy A, Gupta JK. Regression, relapse, and live birth rates with fertility-sparing therapy for endometrial cancer and atypical complex endometrial hyperplasia: A systematic review and metaanalysis. American Journal of Obstetrics and Gynecology. 2012 Oct 1;207(4):266-e1.</w:t>
      </w:r>
    </w:p>
    <w:sectPr w:rsidR="00B034D6" w:rsidRPr="00B034D6" w:rsidSect="001C37CA">
      <w:footerReference w:type="default" r:id="rId15"/>
      <w:pgSz w:w="11906" w:h="16838"/>
      <w:pgMar w:top="1134" w:right="1134" w:bottom="1134" w:left="1134" w:header="130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5622E" w14:textId="77777777" w:rsidR="001D00A7" w:rsidRDefault="001D00A7" w:rsidP="00817A32">
      <w:pPr>
        <w:spacing w:before="0" w:after="0" w:line="240" w:lineRule="auto"/>
      </w:pPr>
      <w:r>
        <w:separator/>
      </w:r>
    </w:p>
  </w:endnote>
  <w:endnote w:type="continuationSeparator" w:id="0">
    <w:p w14:paraId="7078A127" w14:textId="77777777" w:rsidR="001D00A7" w:rsidRDefault="001D00A7" w:rsidP="00817A3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D1A49" w14:textId="35D76B46" w:rsidR="00222274" w:rsidRPr="00630DE1" w:rsidRDefault="00A96A9C" w:rsidP="00222274">
    <w:pPr>
      <w:pBdr>
        <w:top w:val="single" w:sz="2" w:space="4" w:color="808080"/>
      </w:pBdr>
      <w:tabs>
        <w:tab w:val="right" w:pos="14570"/>
      </w:tabs>
      <w:spacing w:after="0" w:line="240" w:lineRule="auto"/>
      <w:rPr>
        <w:rFonts w:ascii="Arial" w:eastAsia="Calibri" w:hAnsi="Arial" w:cs="Arial"/>
        <w:noProof/>
        <w:szCs w:val="24"/>
      </w:rPr>
    </w:pPr>
    <w:r>
      <w:rPr>
        <w:rFonts w:ascii="Arial" w:eastAsia="Calibri" w:hAnsi="Arial" w:cs="Arial"/>
        <w:noProof/>
        <w:szCs w:val="24"/>
      </w:rPr>
      <w:t>NZGCG Fertility-preserving Management of Early Endometiral Cancer Guideline 2023</w:t>
    </w:r>
    <w:r w:rsidR="00222274" w:rsidRPr="00222274">
      <w:rPr>
        <w:rFonts w:ascii="Arial" w:eastAsia="Calibri" w:hAnsi="Arial" w:cs="Arial"/>
        <w:noProof/>
        <w:szCs w:val="24"/>
      </w:rPr>
      <w:tab/>
    </w:r>
    <w:r w:rsidR="00630DE1" w:rsidRPr="00630DE1">
      <w:rPr>
        <w:rFonts w:ascii="Arial" w:eastAsia="Calibri" w:hAnsi="Arial" w:cs="Arial"/>
        <w:noProof/>
        <w:szCs w:val="24"/>
      </w:rPr>
      <w:fldChar w:fldCharType="begin"/>
    </w:r>
    <w:r w:rsidR="00630DE1" w:rsidRPr="00630DE1">
      <w:rPr>
        <w:rFonts w:ascii="Arial" w:eastAsia="Calibri" w:hAnsi="Arial" w:cs="Arial"/>
        <w:noProof/>
        <w:szCs w:val="24"/>
      </w:rPr>
      <w:instrText xml:space="preserve"> PAGE   \* MERGEFORMAT </w:instrText>
    </w:r>
    <w:r w:rsidR="00630DE1" w:rsidRPr="00630DE1">
      <w:rPr>
        <w:rFonts w:ascii="Arial" w:eastAsia="Calibri" w:hAnsi="Arial" w:cs="Arial"/>
        <w:noProof/>
        <w:szCs w:val="24"/>
      </w:rPr>
      <w:fldChar w:fldCharType="separate"/>
    </w:r>
    <w:r w:rsidR="00630DE1" w:rsidRPr="00630DE1">
      <w:rPr>
        <w:rFonts w:ascii="Arial" w:eastAsia="Calibri" w:hAnsi="Arial" w:cs="Arial"/>
        <w:noProof/>
        <w:szCs w:val="24"/>
      </w:rPr>
      <w:t>1</w:t>
    </w:r>
    <w:r w:rsidR="00630DE1" w:rsidRPr="00630DE1">
      <w:rPr>
        <w:rFonts w:ascii="Arial" w:eastAsia="Calibri" w:hAnsi="Arial" w:cs="Arial"/>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A8748" w14:textId="77777777" w:rsidR="001D00A7" w:rsidRDefault="001D00A7" w:rsidP="00817A32">
      <w:pPr>
        <w:spacing w:before="0" w:after="0" w:line="240" w:lineRule="auto"/>
      </w:pPr>
    </w:p>
  </w:footnote>
  <w:footnote w:type="continuationSeparator" w:id="0">
    <w:p w14:paraId="4169CD65" w14:textId="77777777" w:rsidR="001D00A7" w:rsidRDefault="001D00A7" w:rsidP="00817A32">
      <w:pPr>
        <w:spacing w:before="0" w:after="0" w:line="240" w:lineRule="auto"/>
      </w:pPr>
      <w:r>
        <w:continuationSeparator/>
      </w:r>
    </w:p>
  </w:footnote>
  <w:footnote w:id="1">
    <w:p w14:paraId="354BCCCD" w14:textId="77777777" w:rsidR="00327912" w:rsidRPr="00B35E5F" w:rsidRDefault="00327912" w:rsidP="00327912">
      <w:pPr>
        <w:pStyle w:val="FootnoteText"/>
        <w:rPr>
          <w:lang w:val="en-US"/>
        </w:rPr>
      </w:pPr>
      <w:r>
        <w:rPr>
          <w:rStyle w:val="FootnoteReference"/>
        </w:rPr>
        <w:t>*</w:t>
      </w:r>
      <w:r>
        <w:t xml:space="preserve"> </w:t>
      </w:r>
      <w:r w:rsidRPr="005971DA">
        <w:rPr>
          <w:rFonts w:ascii="Arial" w:hAnsi="Arial" w:cs="Arial"/>
        </w:rPr>
        <w:t>Lower doses of oral medroxyprogesterone acetate may be considered to reduce side-effects, but doing so must be balanced against a possible increase in risk of treatment failure and should therefore be discussed with the patient.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198475A"/>
    <w:lvl w:ilvl="0">
      <w:start w:val="1"/>
      <w:numFmt w:val="lowerLetter"/>
      <w:pStyle w:val="ListNumber2"/>
      <w:lvlText w:val="%1)"/>
      <w:lvlJc w:val="left"/>
      <w:pPr>
        <w:ind w:left="644" w:hanging="360"/>
      </w:pPr>
    </w:lvl>
  </w:abstractNum>
  <w:abstractNum w:abstractNumId="1" w15:restartNumberingAfterBreak="0">
    <w:nsid w:val="FFFFFF82"/>
    <w:multiLevelType w:val="singleLevel"/>
    <w:tmpl w:val="03AE942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4CE09C8"/>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10529B14"/>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DE7CC03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11B23B0"/>
    <w:multiLevelType w:val="hybridMultilevel"/>
    <w:tmpl w:val="0316D266"/>
    <w:lvl w:ilvl="0" w:tplc="1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360353D"/>
    <w:multiLevelType w:val="hybridMultilevel"/>
    <w:tmpl w:val="581EED2A"/>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A592501"/>
    <w:multiLevelType w:val="hybridMultilevel"/>
    <w:tmpl w:val="9A30B56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41F1B1F"/>
    <w:multiLevelType w:val="hybridMultilevel"/>
    <w:tmpl w:val="66BCA292"/>
    <w:lvl w:ilvl="0" w:tplc="A5A675D0">
      <w:start w:val="1"/>
      <w:numFmt w:val="bullet"/>
      <w:pStyle w:val="BoxBullet"/>
      <w:lvlText w:val=""/>
      <w:lvlJc w:val="left"/>
      <w:pPr>
        <w:ind w:left="890" w:hanging="360"/>
      </w:pPr>
      <w:rPr>
        <w:rFonts w:ascii="Symbol" w:hAnsi="Symbol" w:hint="default"/>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abstractNum w:abstractNumId="9" w15:restartNumberingAfterBreak="0">
    <w:nsid w:val="1F780704"/>
    <w:multiLevelType w:val="hybridMultilevel"/>
    <w:tmpl w:val="E45C561E"/>
    <w:lvl w:ilvl="0" w:tplc="97A40F4A">
      <w:numFmt w:val="bullet"/>
      <w:lvlText w:val="-"/>
      <w:lvlJc w:val="left"/>
      <w:pPr>
        <w:ind w:left="720" w:hanging="360"/>
      </w:pPr>
      <w:rPr>
        <w:rFonts w:ascii="Roboto" w:eastAsia="Times New Roman" w:hAnsi="Roboto"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A95897"/>
    <w:multiLevelType w:val="multilevel"/>
    <w:tmpl w:val="7E784D5A"/>
    <w:lvl w:ilvl="0">
      <w:start w:val="1"/>
      <w:numFmt w:val="decimal"/>
      <w:pStyle w:val="NumberedHeading1"/>
      <w:lvlText w:val="%1"/>
      <w:lvlJc w:val="left"/>
      <w:pPr>
        <w:ind w:left="360" w:hanging="360"/>
      </w:pPr>
      <w:rPr>
        <w:rFonts w:hint="default"/>
      </w:rPr>
    </w:lvl>
    <w:lvl w:ilvl="1">
      <w:start w:val="1"/>
      <w:numFmt w:val="decimal"/>
      <w:pStyle w:val="NumberedHeading2"/>
      <w:lvlText w:val="%1.%2"/>
      <w:lvlJc w:val="left"/>
      <w:pPr>
        <w:ind w:left="720" w:hanging="360"/>
      </w:pPr>
      <w:rPr>
        <w:rFonts w:hint="default"/>
      </w:rPr>
    </w:lvl>
    <w:lvl w:ilvl="2">
      <w:start w:val="1"/>
      <w:numFmt w:val="decimal"/>
      <w:pStyle w:val="Numbered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E4B4008"/>
    <w:multiLevelType w:val="hybridMultilevel"/>
    <w:tmpl w:val="E402C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C47BB7"/>
    <w:multiLevelType w:val="hybridMultilevel"/>
    <w:tmpl w:val="28882BB2"/>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55F01AF"/>
    <w:multiLevelType w:val="hybridMultilevel"/>
    <w:tmpl w:val="CD8C22C4"/>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701301F"/>
    <w:multiLevelType w:val="hybridMultilevel"/>
    <w:tmpl w:val="DD10644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B405CB6"/>
    <w:multiLevelType w:val="hybridMultilevel"/>
    <w:tmpl w:val="D4E4EA2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4"/>
  </w:num>
  <w:num w:numId="3">
    <w:abstractNumId w:val="2"/>
  </w:num>
  <w:num w:numId="4">
    <w:abstractNumId w:val="1"/>
  </w:num>
  <w:num w:numId="5">
    <w:abstractNumId w:val="3"/>
  </w:num>
  <w:num w:numId="6">
    <w:abstractNumId w:val="0"/>
  </w:num>
  <w:num w:numId="7">
    <w:abstractNumId w:val="8"/>
  </w:num>
  <w:num w:numId="8">
    <w:abstractNumId w:val="14"/>
  </w:num>
  <w:num w:numId="9">
    <w:abstractNumId w:val="9"/>
  </w:num>
  <w:num w:numId="10">
    <w:abstractNumId w:val="5"/>
  </w:num>
  <w:num w:numId="11">
    <w:abstractNumId w:val="11"/>
  </w:num>
  <w:num w:numId="12">
    <w:abstractNumId w:val="7"/>
  </w:num>
  <w:num w:numId="13">
    <w:abstractNumId w:val="12"/>
  </w:num>
  <w:num w:numId="14">
    <w:abstractNumId w:val="13"/>
  </w:num>
  <w:num w:numId="15">
    <w:abstractNumId w:val="6"/>
  </w:num>
  <w:num w:numId="16">
    <w:abstractNumId w:val="3"/>
    <w:lvlOverride w:ilvl="0">
      <w:startOverride w:val="1"/>
    </w:lvlOverride>
  </w:num>
  <w:num w:numId="17">
    <w:abstractNumId w:val="3"/>
    <w:lvlOverride w:ilvl="0">
      <w:startOverride w:val="1"/>
    </w:lvlOverride>
  </w:num>
  <w:num w:numId="18">
    <w:abstractNumId w:val="15"/>
  </w:num>
  <w:num w:numId="19">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A9C"/>
    <w:rsid w:val="00014BB0"/>
    <w:rsid w:val="000960F6"/>
    <w:rsid w:val="000A5357"/>
    <w:rsid w:val="000D0501"/>
    <w:rsid w:val="001C37CA"/>
    <w:rsid w:val="001D00A7"/>
    <w:rsid w:val="00222274"/>
    <w:rsid w:val="00327912"/>
    <w:rsid w:val="00332DA5"/>
    <w:rsid w:val="00407875"/>
    <w:rsid w:val="00422623"/>
    <w:rsid w:val="0045783A"/>
    <w:rsid w:val="004753F0"/>
    <w:rsid w:val="00490A29"/>
    <w:rsid w:val="004A59AC"/>
    <w:rsid w:val="004C2E5B"/>
    <w:rsid w:val="00533781"/>
    <w:rsid w:val="005561E4"/>
    <w:rsid w:val="005938BD"/>
    <w:rsid w:val="005C7F0A"/>
    <w:rsid w:val="006116F6"/>
    <w:rsid w:val="00630DE1"/>
    <w:rsid w:val="007A2B86"/>
    <w:rsid w:val="00817A32"/>
    <w:rsid w:val="00852A28"/>
    <w:rsid w:val="0087795F"/>
    <w:rsid w:val="008A315D"/>
    <w:rsid w:val="008D15C3"/>
    <w:rsid w:val="008D78D9"/>
    <w:rsid w:val="008E1BB6"/>
    <w:rsid w:val="0092286A"/>
    <w:rsid w:val="009C155A"/>
    <w:rsid w:val="00A96A9C"/>
    <w:rsid w:val="00B034D6"/>
    <w:rsid w:val="00B75F7F"/>
    <w:rsid w:val="00BB0380"/>
    <w:rsid w:val="00C0313E"/>
    <w:rsid w:val="00C033FA"/>
    <w:rsid w:val="00C214F9"/>
    <w:rsid w:val="00D0703D"/>
    <w:rsid w:val="00E16976"/>
    <w:rsid w:val="00E71F17"/>
    <w:rsid w:val="00E866BB"/>
    <w:rsid w:val="00ED0E3D"/>
    <w:rsid w:val="00ED4008"/>
    <w:rsid w:val="00F10DE1"/>
    <w:rsid w:val="00F6534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AB0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A28"/>
    <w:pPr>
      <w:spacing w:before="120" w:after="240" w:line="288" w:lineRule="auto"/>
    </w:pPr>
    <w:rPr>
      <w:sz w:val="24"/>
    </w:rPr>
  </w:style>
  <w:style w:type="paragraph" w:styleId="Heading1">
    <w:name w:val="heading 1"/>
    <w:basedOn w:val="Normal"/>
    <w:next w:val="Normal"/>
    <w:link w:val="Heading1Char"/>
    <w:uiPriority w:val="9"/>
    <w:qFormat/>
    <w:rsid w:val="005938BD"/>
    <w:pPr>
      <w:keepNext/>
      <w:keepLines/>
      <w:spacing w:before="480" w:after="120"/>
      <w:outlineLvl w:val="0"/>
    </w:pPr>
    <w:rPr>
      <w:rFonts w:asciiTheme="majorHAnsi" w:eastAsiaTheme="majorEastAsia" w:hAnsiTheme="majorHAnsi" w:cstheme="majorBidi"/>
      <w:b/>
      <w:color w:val="1C2549" w:themeColor="text2"/>
      <w:sz w:val="72"/>
      <w:szCs w:val="32"/>
    </w:rPr>
  </w:style>
  <w:style w:type="paragraph" w:styleId="Heading2">
    <w:name w:val="heading 2"/>
    <w:basedOn w:val="Normal"/>
    <w:next w:val="Normal"/>
    <w:link w:val="Heading2Char"/>
    <w:uiPriority w:val="9"/>
    <w:qFormat/>
    <w:rsid w:val="0087795F"/>
    <w:pPr>
      <w:keepNext/>
      <w:keepLines/>
      <w:spacing w:before="480" w:after="120"/>
      <w:outlineLvl w:val="1"/>
    </w:pPr>
    <w:rPr>
      <w:rFonts w:asciiTheme="majorHAnsi" w:eastAsiaTheme="majorEastAsia" w:hAnsiTheme="majorHAnsi" w:cstheme="majorBidi"/>
      <w:b/>
      <w:color w:val="1C2549" w:themeColor="text2"/>
      <w:sz w:val="48"/>
      <w:szCs w:val="26"/>
    </w:rPr>
  </w:style>
  <w:style w:type="paragraph" w:styleId="Heading3">
    <w:name w:val="heading 3"/>
    <w:basedOn w:val="Normal"/>
    <w:next w:val="Normal"/>
    <w:link w:val="Heading3Char"/>
    <w:uiPriority w:val="9"/>
    <w:qFormat/>
    <w:rsid w:val="0087795F"/>
    <w:pPr>
      <w:keepNext/>
      <w:keepLines/>
      <w:spacing w:before="360" w:after="120"/>
      <w:outlineLvl w:val="2"/>
    </w:pPr>
    <w:rPr>
      <w:rFonts w:asciiTheme="majorHAnsi" w:eastAsiaTheme="majorEastAsia" w:hAnsiTheme="majorHAnsi" w:cstheme="majorBidi"/>
      <w:b/>
      <w:color w:val="1C2549" w:themeColor="text2"/>
      <w:sz w:val="36"/>
      <w:szCs w:val="24"/>
    </w:rPr>
  </w:style>
  <w:style w:type="paragraph" w:styleId="Heading4">
    <w:name w:val="heading 4"/>
    <w:basedOn w:val="Normal"/>
    <w:next w:val="Normal"/>
    <w:link w:val="Heading4Char"/>
    <w:uiPriority w:val="9"/>
    <w:unhideWhenUsed/>
    <w:qFormat/>
    <w:rsid w:val="004C2E5B"/>
    <w:pPr>
      <w:keepNext/>
      <w:keepLines/>
      <w:spacing w:before="40" w:after="0"/>
      <w:outlineLvl w:val="3"/>
    </w:pPr>
    <w:rPr>
      <w:rFonts w:asciiTheme="majorHAnsi" w:eastAsiaTheme="majorEastAsia" w:hAnsiTheme="majorHAnsi" w:cstheme="majorBidi"/>
      <w:b/>
      <w:iCs/>
      <w:color w:val="1C2549"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87795F"/>
    <w:pPr>
      <w:spacing w:before="0" w:after="0" w:line="240" w:lineRule="auto"/>
      <w:contextualSpacing/>
    </w:pPr>
    <w:rPr>
      <w:rFonts w:asciiTheme="majorHAnsi" w:eastAsiaTheme="majorEastAsia" w:hAnsiTheme="majorHAnsi" w:cstheme="majorBidi"/>
      <w:b/>
      <w:color w:val="007681" w:themeColor="accent2"/>
      <w:spacing w:val="-10"/>
      <w:kern w:val="28"/>
      <w:sz w:val="72"/>
      <w:szCs w:val="56"/>
    </w:rPr>
  </w:style>
  <w:style w:type="character" w:customStyle="1" w:styleId="TitleChar">
    <w:name w:val="Title Char"/>
    <w:basedOn w:val="DefaultParagraphFont"/>
    <w:link w:val="Title"/>
    <w:uiPriority w:val="99"/>
    <w:rsid w:val="004C2E5B"/>
    <w:rPr>
      <w:rFonts w:asciiTheme="majorHAnsi" w:eastAsiaTheme="majorEastAsia" w:hAnsiTheme="majorHAnsi" w:cstheme="majorBidi"/>
      <w:b/>
      <w:color w:val="007681" w:themeColor="accent2"/>
      <w:spacing w:val="-10"/>
      <w:kern w:val="28"/>
      <w:sz w:val="72"/>
      <w:szCs w:val="56"/>
    </w:rPr>
  </w:style>
  <w:style w:type="paragraph" w:styleId="Subtitle">
    <w:name w:val="Subtitle"/>
    <w:basedOn w:val="Normal"/>
    <w:next w:val="Normal"/>
    <w:link w:val="SubtitleChar"/>
    <w:uiPriority w:val="99"/>
    <w:qFormat/>
    <w:rsid w:val="00817A32"/>
    <w:pPr>
      <w:numPr>
        <w:ilvl w:val="1"/>
      </w:numPr>
      <w:spacing w:before="160"/>
    </w:pPr>
    <w:rPr>
      <w:rFonts w:eastAsiaTheme="minorEastAsia"/>
      <w:b/>
      <w:color w:val="007681" w:themeColor="accent2"/>
      <w:sz w:val="40"/>
    </w:rPr>
  </w:style>
  <w:style w:type="character" w:customStyle="1" w:styleId="SubtitleChar">
    <w:name w:val="Subtitle Char"/>
    <w:basedOn w:val="DefaultParagraphFont"/>
    <w:link w:val="Subtitle"/>
    <w:uiPriority w:val="99"/>
    <w:rsid w:val="004C2E5B"/>
    <w:rPr>
      <w:rFonts w:eastAsiaTheme="minorEastAsia"/>
      <w:b/>
      <w:color w:val="007681" w:themeColor="accent2"/>
      <w:sz w:val="40"/>
    </w:rPr>
  </w:style>
  <w:style w:type="paragraph" w:styleId="Header">
    <w:name w:val="header"/>
    <w:basedOn w:val="Normal"/>
    <w:link w:val="HeaderChar"/>
    <w:uiPriority w:val="99"/>
    <w:semiHidden/>
    <w:rsid w:val="00817A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33FA"/>
    <w:rPr>
      <w:sz w:val="24"/>
    </w:rPr>
  </w:style>
  <w:style w:type="paragraph" w:styleId="Footer">
    <w:name w:val="footer"/>
    <w:basedOn w:val="Normal"/>
    <w:link w:val="FooterChar"/>
    <w:uiPriority w:val="99"/>
    <w:semiHidden/>
    <w:rsid w:val="00817A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2E5B"/>
    <w:rPr>
      <w:sz w:val="24"/>
    </w:rPr>
  </w:style>
  <w:style w:type="paragraph" w:customStyle="1" w:styleId="Provider">
    <w:name w:val="Provider"/>
    <w:uiPriority w:val="99"/>
    <w:qFormat/>
    <w:rsid w:val="0087795F"/>
    <w:rPr>
      <w:rFonts w:eastAsiaTheme="minorEastAsia"/>
      <w:b/>
      <w:color w:val="2DCCD3"/>
      <w:sz w:val="56"/>
    </w:rPr>
  </w:style>
  <w:style w:type="character" w:customStyle="1" w:styleId="Heading1Char">
    <w:name w:val="Heading 1 Char"/>
    <w:basedOn w:val="DefaultParagraphFont"/>
    <w:link w:val="Heading1"/>
    <w:uiPriority w:val="9"/>
    <w:rsid w:val="005938BD"/>
    <w:rPr>
      <w:rFonts w:asciiTheme="majorHAnsi" w:eastAsiaTheme="majorEastAsia" w:hAnsiTheme="majorHAnsi" w:cstheme="majorBidi"/>
      <w:b/>
      <w:color w:val="1C2549" w:themeColor="text2"/>
      <w:sz w:val="72"/>
      <w:szCs w:val="32"/>
    </w:rPr>
  </w:style>
  <w:style w:type="paragraph" w:customStyle="1" w:styleId="NumberedHeading1">
    <w:name w:val="Numbered Heading 1"/>
    <w:basedOn w:val="Heading1"/>
    <w:next w:val="Normal"/>
    <w:uiPriority w:val="10"/>
    <w:qFormat/>
    <w:rsid w:val="005938BD"/>
    <w:pPr>
      <w:numPr>
        <w:numId w:val="1"/>
      </w:numPr>
      <w:tabs>
        <w:tab w:val="left" w:pos="1021"/>
      </w:tabs>
      <w:ind w:left="1021" w:hanging="1021"/>
    </w:pPr>
  </w:style>
  <w:style w:type="character" w:customStyle="1" w:styleId="Heading2Char">
    <w:name w:val="Heading 2 Char"/>
    <w:basedOn w:val="DefaultParagraphFont"/>
    <w:link w:val="Heading2"/>
    <w:uiPriority w:val="9"/>
    <w:rsid w:val="0087795F"/>
    <w:rPr>
      <w:rFonts w:asciiTheme="majorHAnsi" w:eastAsiaTheme="majorEastAsia" w:hAnsiTheme="majorHAnsi" w:cstheme="majorBidi"/>
      <w:b/>
      <w:color w:val="1C2549" w:themeColor="text2"/>
      <w:sz w:val="48"/>
      <w:szCs w:val="26"/>
    </w:rPr>
  </w:style>
  <w:style w:type="character" w:customStyle="1" w:styleId="Heading3Char">
    <w:name w:val="Heading 3 Char"/>
    <w:basedOn w:val="DefaultParagraphFont"/>
    <w:link w:val="Heading3"/>
    <w:uiPriority w:val="9"/>
    <w:rsid w:val="0087795F"/>
    <w:rPr>
      <w:rFonts w:asciiTheme="majorHAnsi" w:eastAsiaTheme="majorEastAsia" w:hAnsiTheme="majorHAnsi" w:cstheme="majorBidi"/>
      <w:b/>
      <w:color w:val="1C2549" w:themeColor="text2"/>
      <w:sz w:val="36"/>
      <w:szCs w:val="24"/>
    </w:rPr>
  </w:style>
  <w:style w:type="paragraph" w:customStyle="1" w:styleId="NumberedHeading2">
    <w:name w:val="Numbered Heading 2"/>
    <w:basedOn w:val="Heading2"/>
    <w:next w:val="Normal"/>
    <w:uiPriority w:val="10"/>
    <w:qFormat/>
    <w:rsid w:val="005938BD"/>
    <w:pPr>
      <w:numPr>
        <w:ilvl w:val="1"/>
        <w:numId w:val="1"/>
      </w:numPr>
      <w:tabs>
        <w:tab w:val="left" w:pos="1021"/>
      </w:tabs>
      <w:ind w:left="1021" w:hanging="1021"/>
    </w:pPr>
  </w:style>
  <w:style w:type="paragraph" w:customStyle="1" w:styleId="NumberedHeading3">
    <w:name w:val="Numbered Heading 3"/>
    <w:basedOn w:val="Heading3"/>
    <w:next w:val="Normal"/>
    <w:uiPriority w:val="10"/>
    <w:qFormat/>
    <w:rsid w:val="005938BD"/>
    <w:pPr>
      <w:numPr>
        <w:ilvl w:val="2"/>
        <w:numId w:val="1"/>
      </w:numPr>
      <w:tabs>
        <w:tab w:val="left" w:pos="1021"/>
      </w:tabs>
      <w:ind w:left="1021" w:hanging="1021"/>
    </w:pPr>
  </w:style>
  <w:style w:type="paragraph" w:styleId="TOCHeading">
    <w:name w:val="TOC Heading"/>
    <w:next w:val="Normal"/>
    <w:uiPriority w:val="39"/>
    <w:qFormat/>
    <w:rsid w:val="00630DE1"/>
    <w:pPr>
      <w:spacing w:before="360"/>
    </w:pPr>
    <w:rPr>
      <w:rFonts w:asciiTheme="majorHAnsi" w:eastAsiaTheme="majorEastAsia" w:hAnsiTheme="majorHAnsi" w:cstheme="majorBidi"/>
      <w:b/>
      <w:color w:val="1C2549" w:themeColor="text2"/>
      <w:sz w:val="72"/>
      <w:szCs w:val="32"/>
    </w:rPr>
  </w:style>
  <w:style w:type="paragraph" w:styleId="TOC1">
    <w:name w:val="toc 1"/>
    <w:basedOn w:val="Normal"/>
    <w:next w:val="Normal"/>
    <w:autoRedefine/>
    <w:uiPriority w:val="39"/>
    <w:rsid w:val="00630DE1"/>
    <w:pPr>
      <w:spacing w:before="300" w:after="100"/>
    </w:pPr>
    <w:rPr>
      <w:b/>
    </w:rPr>
  </w:style>
  <w:style w:type="paragraph" w:styleId="TOC2">
    <w:name w:val="toc 2"/>
    <w:basedOn w:val="Normal"/>
    <w:next w:val="Normal"/>
    <w:autoRedefine/>
    <w:uiPriority w:val="39"/>
    <w:rsid w:val="00630DE1"/>
    <w:pPr>
      <w:spacing w:after="100"/>
      <w:ind w:left="240"/>
    </w:pPr>
  </w:style>
  <w:style w:type="paragraph" w:styleId="TOC3">
    <w:name w:val="toc 3"/>
    <w:basedOn w:val="Normal"/>
    <w:next w:val="Normal"/>
    <w:autoRedefine/>
    <w:uiPriority w:val="39"/>
    <w:semiHidden/>
    <w:rsid w:val="00630DE1"/>
    <w:pPr>
      <w:spacing w:after="100"/>
      <w:ind w:left="480"/>
    </w:pPr>
  </w:style>
  <w:style w:type="character" w:styleId="Hyperlink">
    <w:name w:val="Hyperlink"/>
    <w:basedOn w:val="DefaultParagraphFont"/>
    <w:uiPriority w:val="99"/>
    <w:rsid w:val="00B75F7F"/>
    <w:rPr>
      <w:b/>
      <w:color w:val="auto"/>
      <w:u w:val="single"/>
    </w:rPr>
  </w:style>
  <w:style w:type="character" w:styleId="UnresolvedMention">
    <w:name w:val="Unresolved Mention"/>
    <w:basedOn w:val="DefaultParagraphFont"/>
    <w:uiPriority w:val="99"/>
    <w:semiHidden/>
    <w:unhideWhenUsed/>
    <w:rsid w:val="00B75F7F"/>
    <w:rPr>
      <w:color w:val="605E5C"/>
      <w:shd w:val="clear" w:color="auto" w:fill="E1DFDD"/>
    </w:rPr>
  </w:style>
  <w:style w:type="table" w:styleId="TableGrid">
    <w:name w:val="Table Grid"/>
    <w:basedOn w:val="TableNormal"/>
    <w:uiPriority w:val="39"/>
    <w:rsid w:val="00B75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8"/>
    <w:rsid w:val="00C033FA"/>
    <w:pPr>
      <w:numPr>
        <w:numId w:val="2"/>
      </w:numPr>
      <w:tabs>
        <w:tab w:val="clear" w:pos="360"/>
        <w:tab w:val="left" w:pos="425"/>
      </w:tabs>
      <w:spacing w:after="120"/>
      <w:ind w:left="425" w:hanging="425"/>
    </w:pPr>
  </w:style>
  <w:style w:type="paragraph" w:styleId="ListBullet2">
    <w:name w:val="List Bullet 2"/>
    <w:basedOn w:val="Normal"/>
    <w:uiPriority w:val="8"/>
    <w:rsid w:val="00C033FA"/>
    <w:pPr>
      <w:numPr>
        <w:numId w:val="3"/>
      </w:numPr>
      <w:tabs>
        <w:tab w:val="clear" w:pos="643"/>
        <w:tab w:val="left" w:pos="851"/>
      </w:tabs>
      <w:spacing w:after="120"/>
      <w:ind w:left="850" w:hanging="425"/>
    </w:pPr>
  </w:style>
  <w:style w:type="paragraph" w:styleId="ListBullet3">
    <w:name w:val="List Bullet 3"/>
    <w:basedOn w:val="Normal"/>
    <w:uiPriority w:val="8"/>
    <w:rsid w:val="005938BD"/>
    <w:pPr>
      <w:numPr>
        <w:numId w:val="4"/>
      </w:numPr>
      <w:tabs>
        <w:tab w:val="clear" w:pos="926"/>
        <w:tab w:val="left" w:pos="1276"/>
      </w:tabs>
      <w:spacing w:after="120"/>
      <w:ind w:left="1276" w:hanging="425"/>
    </w:pPr>
  </w:style>
  <w:style w:type="paragraph" w:styleId="ListNumber">
    <w:name w:val="List Number"/>
    <w:basedOn w:val="Normal"/>
    <w:uiPriority w:val="8"/>
    <w:rsid w:val="005938BD"/>
    <w:pPr>
      <w:numPr>
        <w:numId w:val="5"/>
      </w:numPr>
      <w:tabs>
        <w:tab w:val="clear" w:pos="360"/>
        <w:tab w:val="left" w:pos="425"/>
      </w:tabs>
      <w:spacing w:after="120"/>
      <w:ind w:left="425" w:hanging="425"/>
    </w:pPr>
  </w:style>
  <w:style w:type="paragraph" w:styleId="ListNumber2">
    <w:name w:val="List Number 2"/>
    <w:basedOn w:val="Normal"/>
    <w:uiPriority w:val="8"/>
    <w:rsid w:val="005938BD"/>
    <w:pPr>
      <w:numPr>
        <w:numId w:val="6"/>
      </w:numPr>
      <w:tabs>
        <w:tab w:val="left" w:pos="851"/>
      </w:tabs>
      <w:spacing w:after="120"/>
      <w:ind w:left="850" w:hanging="425"/>
    </w:pPr>
  </w:style>
  <w:style w:type="character" w:customStyle="1" w:styleId="Heading4Char">
    <w:name w:val="Heading 4 Char"/>
    <w:basedOn w:val="DefaultParagraphFont"/>
    <w:link w:val="Heading4"/>
    <w:uiPriority w:val="9"/>
    <w:rsid w:val="004C2E5B"/>
    <w:rPr>
      <w:rFonts w:asciiTheme="majorHAnsi" w:eastAsiaTheme="majorEastAsia" w:hAnsiTheme="majorHAnsi" w:cstheme="majorBidi"/>
      <w:b/>
      <w:iCs/>
      <w:color w:val="1C2549" w:themeColor="text2"/>
      <w:sz w:val="28"/>
    </w:rPr>
  </w:style>
  <w:style w:type="paragraph" w:styleId="FootnoteText">
    <w:name w:val="footnote text"/>
    <w:basedOn w:val="Normal"/>
    <w:link w:val="FootnoteTextChar"/>
    <w:uiPriority w:val="99"/>
    <w:semiHidden/>
    <w:rsid w:val="004C2E5B"/>
    <w:pPr>
      <w:tabs>
        <w:tab w:val="left" w:pos="170"/>
      </w:tabs>
      <w:spacing w:before="0" w:after="0" w:line="240" w:lineRule="auto"/>
      <w:ind w:left="170" w:hanging="170"/>
    </w:pPr>
    <w:rPr>
      <w:sz w:val="20"/>
      <w:szCs w:val="20"/>
    </w:rPr>
  </w:style>
  <w:style w:type="character" w:customStyle="1" w:styleId="FootnoteTextChar">
    <w:name w:val="Footnote Text Char"/>
    <w:basedOn w:val="DefaultParagraphFont"/>
    <w:link w:val="FootnoteText"/>
    <w:uiPriority w:val="99"/>
    <w:semiHidden/>
    <w:rsid w:val="00852A28"/>
    <w:rPr>
      <w:sz w:val="20"/>
      <w:szCs w:val="20"/>
    </w:rPr>
  </w:style>
  <w:style w:type="character" w:styleId="FootnoteReference">
    <w:name w:val="footnote reference"/>
    <w:basedOn w:val="DefaultParagraphFont"/>
    <w:uiPriority w:val="99"/>
    <w:semiHidden/>
    <w:unhideWhenUsed/>
    <w:rsid w:val="004C2E5B"/>
    <w:rPr>
      <w:vertAlign w:val="superscript"/>
    </w:rPr>
  </w:style>
  <w:style w:type="table" w:styleId="GridTable4">
    <w:name w:val="Grid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eWhatuOra">
    <w:name w:val="Te Whatu Ora"/>
    <w:basedOn w:val="TableNormal"/>
    <w:uiPriority w:val="99"/>
    <w:rsid w:val="00852A28"/>
    <w:pPr>
      <w:spacing w:before="100" w:beforeAutospacing="1" w:after="100" w:afterAutospacing="1"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blStylePr w:type="firstRow">
      <w:pPr>
        <w:wordWrap/>
        <w:spacing w:beforeLines="0" w:before="100" w:beforeAutospacing="1" w:afterLines="0" w:after="100" w:afterAutospacing="1"/>
        <w:jc w:val="left"/>
      </w:pPr>
      <w:rPr>
        <w:b/>
      </w:rPr>
      <w:tblPr/>
      <w:tcPr>
        <w:shd w:val="clear" w:color="auto" w:fill="BFBFBF" w:themeFill="background1" w:themeFillShade="BF"/>
        <w:vAlign w:val="center"/>
      </w:tcPr>
    </w:tblStylePr>
    <w:tblStylePr w:type="lastRow">
      <w:rPr>
        <w:b/>
      </w:rPr>
    </w:tblStylePr>
    <w:tblStylePr w:type="firstCol">
      <w:rPr>
        <w:b/>
      </w:rPr>
      <w:tblPr/>
      <w:tcPr>
        <w:shd w:val="clear" w:color="auto" w:fill="BFBFBF" w:themeFill="background1" w:themeFillShade="BF"/>
      </w:tcPr>
    </w:tblStylePr>
    <w:tblStylePr w:type="lastCol">
      <w:rPr>
        <w:b/>
      </w:rPr>
    </w:tblStylePr>
  </w:style>
  <w:style w:type="table" w:styleId="ListTable4">
    <w:name w:val="List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1">
    <w:name w:val="Table Grid 1"/>
    <w:basedOn w:val="TableNormal"/>
    <w:uiPriority w:val="99"/>
    <w:semiHidden/>
    <w:unhideWhenUsed/>
    <w:rsid w:val="00C0313E"/>
    <w:pPr>
      <w:spacing w:before="120" w:after="24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qFormat/>
    <w:rsid w:val="00C0313E"/>
    <w:pPr>
      <w:spacing w:before="0" w:after="0"/>
    </w:pPr>
  </w:style>
  <w:style w:type="paragraph" w:customStyle="1" w:styleId="Figure">
    <w:name w:val="Figure"/>
    <w:basedOn w:val="Normal"/>
    <w:uiPriority w:val="11"/>
    <w:qFormat/>
    <w:rsid w:val="00852A28"/>
    <w:rPr>
      <w:b/>
    </w:rPr>
  </w:style>
  <w:style w:type="paragraph" w:customStyle="1" w:styleId="Box">
    <w:name w:val="Box"/>
    <w:basedOn w:val="Normal"/>
    <w:qFormat/>
    <w:rsid w:val="005561E4"/>
    <w:pPr>
      <w:pBdr>
        <w:top w:val="single" w:sz="8" w:space="8" w:color="00A2AC" w:themeColor="background2"/>
        <w:left w:val="single" w:sz="8" w:space="8" w:color="00A2AC" w:themeColor="background2"/>
        <w:bottom w:val="single" w:sz="8" w:space="8" w:color="00A2AC" w:themeColor="background2"/>
        <w:right w:val="single" w:sz="8" w:space="8" w:color="00A2AC" w:themeColor="background2"/>
      </w:pBdr>
      <w:spacing w:after="120"/>
      <w:ind w:left="170" w:right="170"/>
    </w:pPr>
  </w:style>
  <w:style w:type="paragraph" w:customStyle="1" w:styleId="BoxBullet">
    <w:name w:val="Box Bullet"/>
    <w:basedOn w:val="Box"/>
    <w:qFormat/>
    <w:rsid w:val="005561E4"/>
    <w:pPr>
      <w:numPr>
        <w:numId w:val="7"/>
      </w:numPr>
      <w:ind w:left="527" w:hanging="357"/>
    </w:pPr>
  </w:style>
  <w:style w:type="paragraph" w:styleId="Caption">
    <w:name w:val="caption"/>
    <w:basedOn w:val="Normal"/>
    <w:next w:val="Normal"/>
    <w:uiPriority w:val="35"/>
    <w:unhideWhenUsed/>
    <w:qFormat/>
    <w:rsid w:val="00327912"/>
    <w:pPr>
      <w:spacing w:before="0" w:after="200" w:line="240" w:lineRule="auto"/>
    </w:pPr>
    <w:rPr>
      <w:i/>
      <w:iCs/>
      <w:color w:val="1C2549" w:themeColor="text2"/>
      <w:sz w:val="18"/>
      <w:szCs w:val="18"/>
    </w:rPr>
  </w:style>
  <w:style w:type="character" w:customStyle="1" w:styleId="normaltextrun">
    <w:name w:val="normaltextrun"/>
    <w:basedOn w:val="DefaultParagraphFont"/>
    <w:rsid w:val="00BB0380"/>
  </w:style>
  <w:style w:type="character" w:customStyle="1" w:styleId="eop">
    <w:name w:val="eop"/>
    <w:basedOn w:val="DefaultParagraphFont"/>
    <w:rsid w:val="00BB0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ewhatuora.govt.n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Te Whatu Ora 2">
      <a:dk1>
        <a:sysClr val="windowText" lastClr="000000"/>
      </a:dk1>
      <a:lt1>
        <a:sysClr val="window" lastClr="FFFFFF"/>
      </a:lt1>
      <a:dk2>
        <a:srgbClr val="1C2549"/>
      </a:dk2>
      <a:lt2>
        <a:srgbClr val="00A2AC"/>
      </a:lt2>
      <a:accent1>
        <a:srgbClr val="00558C"/>
      </a:accent1>
      <a:accent2>
        <a:srgbClr val="007681"/>
      </a:accent2>
      <a:accent3>
        <a:srgbClr val="FFFFFF"/>
      </a:accent3>
      <a:accent4>
        <a:srgbClr val="F0E6D8"/>
      </a:accent4>
      <a:accent5>
        <a:srgbClr val="00A2AC"/>
      </a:accent5>
      <a:accent6>
        <a:srgbClr val="1C2549"/>
      </a:accent6>
      <a:hlink>
        <a:srgbClr val="00A2AC"/>
      </a:hlink>
      <a:folHlink>
        <a:srgbClr val="00558C"/>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1884B-1E52-4152-B052-541519991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1797</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2023-09-04T23:04:00Z</dcterms:created>
  <dcterms:modified xsi:type="dcterms:W3CDTF">2023-09-04T23:04:00Z</dcterms:modified>
</cp:coreProperties>
</file>