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210007" w14:textId="77777777" w:rsidR="002B2CCA" w:rsidRDefault="002B2CCA" w:rsidP="00C56C32">
      <w:pPr>
        <w:pStyle w:val="Title"/>
        <w:rPr>
          <w:b w:val="0"/>
          <w:bCs/>
          <w:color w:val="15284C" w:themeColor="text2"/>
          <w:sz w:val="68"/>
          <w:szCs w:val="68"/>
        </w:rPr>
      </w:pPr>
    </w:p>
    <w:p w14:paraId="64477359" w14:textId="2C3DACF5" w:rsidR="00B23315" w:rsidRPr="002B2CCA" w:rsidRDefault="00B23315" w:rsidP="00C56C32">
      <w:pPr>
        <w:pStyle w:val="Title"/>
        <w:rPr>
          <w:b w:val="0"/>
          <w:bCs/>
          <w:color w:val="15284C" w:themeColor="text2"/>
          <w:sz w:val="68"/>
          <w:szCs w:val="68"/>
        </w:rPr>
      </w:pPr>
      <w:r w:rsidRPr="002B2CCA">
        <w:rPr>
          <w:b w:val="0"/>
          <w:bCs/>
          <w:color w:val="15284C" w:themeColor="text2"/>
          <w:sz w:val="68"/>
          <w:szCs w:val="68"/>
        </w:rPr>
        <w:t>Serious Adverse Event Report</w:t>
      </w:r>
    </w:p>
    <w:p w14:paraId="07882BE4" w14:textId="77777777" w:rsidR="00FA02E1" w:rsidRDefault="00B23315" w:rsidP="00FA02E1">
      <w:pPr>
        <w:pStyle w:val="Subtitle"/>
        <w:rPr>
          <w:rFonts w:ascii="Poppins" w:hAnsi="Poppins" w:cs="Poppins"/>
          <w:b w:val="0"/>
          <w:bCs/>
        </w:rPr>
      </w:pPr>
      <w:r w:rsidRPr="00C56C32">
        <w:rPr>
          <w:rFonts w:ascii="Poppins" w:hAnsi="Poppins" w:cs="Poppins"/>
          <w:b w:val="0"/>
          <w:bCs/>
        </w:rPr>
        <w:t>Capital, Coast and Hutt Valley</w:t>
      </w:r>
    </w:p>
    <w:p w14:paraId="2323DD37" w14:textId="0E8B0D41" w:rsidR="00C56C32" w:rsidRPr="00FA02E1" w:rsidRDefault="00B23315" w:rsidP="00FA02E1">
      <w:pPr>
        <w:pStyle w:val="Subtitle"/>
        <w:rPr>
          <w:rFonts w:ascii="Poppins" w:hAnsi="Poppins" w:cs="Poppins"/>
          <w:b w:val="0"/>
          <w:bCs/>
        </w:rPr>
      </w:pPr>
      <w:r w:rsidRPr="00FA02E1">
        <w:rPr>
          <w:b w:val="0"/>
          <w:bCs/>
          <w:sz w:val="36"/>
          <w:szCs w:val="36"/>
        </w:rPr>
        <w:t>2023</w:t>
      </w:r>
      <w:r w:rsidR="00EB58E1" w:rsidRPr="00FA02E1">
        <w:rPr>
          <w:b w:val="0"/>
          <w:bCs/>
          <w:sz w:val="36"/>
          <w:szCs w:val="36"/>
        </w:rPr>
        <w:t>/</w:t>
      </w:r>
      <w:r w:rsidRPr="00FA02E1">
        <w:rPr>
          <w:b w:val="0"/>
          <w:bCs/>
          <w:sz w:val="36"/>
          <w:szCs w:val="36"/>
        </w:rPr>
        <w:t>2024</w:t>
      </w:r>
      <w:bookmarkStart w:id="0" w:name="_Toc175317941"/>
    </w:p>
    <w:p w14:paraId="5D5AC7EF" w14:textId="77777777" w:rsidR="00C56C32" w:rsidRDefault="00C56C32">
      <w:pPr>
        <w:rPr>
          <w:rFonts w:asciiTheme="majorHAnsi" w:eastAsiaTheme="majorEastAsia" w:hAnsiTheme="majorHAnsi" w:cstheme="majorBidi"/>
          <w:bCs/>
          <w:color w:val="15284C" w:themeColor="text2"/>
          <w:sz w:val="36"/>
          <w:szCs w:val="36"/>
        </w:rPr>
      </w:pPr>
      <w:r>
        <w:rPr>
          <w:b/>
          <w:bCs/>
          <w:sz w:val="36"/>
          <w:szCs w:val="36"/>
        </w:rPr>
        <w:br w:type="page"/>
      </w:r>
    </w:p>
    <w:p w14:paraId="54857065" w14:textId="6CE0553A" w:rsidR="00EB58E1" w:rsidRDefault="00EB58E1" w:rsidP="00EB58E1">
      <w:r w:rsidRPr="00EB58E1">
        <w:lastRenderedPageBreak/>
        <w:t>Citation: Health New Zealand | Te Whatu Ora. 2025. Serious Adverse Event Report</w:t>
      </w:r>
      <w:r>
        <w:t xml:space="preserve">, </w:t>
      </w:r>
      <w:r w:rsidRPr="00EB58E1">
        <w:t>Capital, Coast and Hutt Valle</w:t>
      </w:r>
      <w:r>
        <w:t>y, 2023/2024</w:t>
      </w:r>
      <w:r w:rsidRPr="00EB58E1">
        <w:t xml:space="preserve">. </w:t>
      </w:r>
      <w:r w:rsidRPr="00EB58E1">
        <w:br/>
      </w:r>
      <w:r>
        <w:t>Wellington: Health New Zealand | Te Whatu Ora.</w:t>
      </w:r>
    </w:p>
    <w:p w14:paraId="14AFB62C" w14:textId="3DAED289" w:rsidR="00EB58E1" w:rsidRDefault="00EB58E1" w:rsidP="00EB58E1">
      <w:r>
        <w:t>Published in September 2025 by Health New Zealand | Te Whatu Ora</w:t>
      </w:r>
      <w:r>
        <w:br/>
        <w:t>PO Box 793, Wellington 6140, New Zealand</w:t>
      </w:r>
    </w:p>
    <w:p w14:paraId="0BAD14A5" w14:textId="2D493C8A" w:rsidR="00EB58E1" w:rsidRDefault="00EB58E1" w:rsidP="00EB58E1">
      <w:r>
        <w:t xml:space="preserve">ISBN </w:t>
      </w:r>
      <w:r w:rsidR="001B0A27" w:rsidRPr="001B0A27">
        <w:t xml:space="preserve">978-1-991139-57-3 </w:t>
      </w:r>
      <w:r>
        <w:t>(online)</w:t>
      </w:r>
    </w:p>
    <w:p w14:paraId="09FDA25C" w14:textId="2482C102" w:rsidR="00EB58E1" w:rsidRDefault="00EB58E1" w:rsidP="00EB58E1">
      <w:r>
        <w:rPr>
          <w:noProof/>
          <w:lang w:eastAsia="en-NZ"/>
        </w:rPr>
        <w:drawing>
          <wp:inline distT="0" distB="0" distL="0" distR="0" wp14:anchorId="692F2B46" wp14:editId="12B15A80">
            <wp:extent cx="1838325" cy="323850"/>
            <wp:effectExtent l="0" t="0" r="9525" b="0"/>
            <wp:docPr id="309628600" name="Picture 309628600" descr="Health New Zealand Te Whatu O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ealth New Zealand Te Whatu Ora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38325" cy="323850"/>
                    </a:xfrm>
                    <a:prstGeom prst="rect">
                      <a:avLst/>
                    </a:prstGeom>
                    <a:noFill/>
                    <a:ln>
                      <a:noFill/>
                    </a:ln>
                  </pic:spPr>
                </pic:pic>
              </a:graphicData>
            </a:graphic>
          </wp:inline>
        </w:drawing>
      </w:r>
    </w:p>
    <w:p w14:paraId="624A6189" w14:textId="5D8D15C2" w:rsidR="00EB58E1" w:rsidRDefault="00EB58E1" w:rsidP="00EB58E1">
      <w:r w:rsidRPr="00B75F7F">
        <w:t>This document is available at</w:t>
      </w:r>
      <w:r>
        <w:t xml:space="preserve"> </w:t>
      </w:r>
      <w:hyperlink r:id="rId9" w:history="1">
        <w:r w:rsidRPr="00ED4008">
          <w:rPr>
            <w:rStyle w:val="Hyperlink"/>
            <w:bCs/>
          </w:rPr>
          <w:t>tewhatuora.govt.nz</w:t>
        </w:r>
      </w:hyperlink>
      <w:r w:rsidRPr="00B75F7F">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96"/>
        <w:gridCol w:w="7932"/>
      </w:tblGrid>
      <w:tr w:rsidR="00EB58E1" w14:paraId="2610AFA6" w14:textId="77777777" w:rsidTr="006721FD">
        <w:tc>
          <w:tcPr>
            <w:tcW w:w="1696" w:type="dxa"/>
            <w:vAlign w:val="center"/>
          </w:tcPr>
          <w:p w14:paraId="5A8CB4DC" w14:textId="08888E12" w:rsidR="00EB58E1" w:rsidRDefault="00EB58E1" w:rsidP="006721FD">
            <w:r w:rsidRPr="00EF30CD">
              <w:rPr>
                <w:rFonts w:cs="Segoe UI"/>
                <w:b/>
                <w:noProof/>
                <w:sz w:val="15"/>
                <w:szCs w:val="15"/>
                <w:lang w:eastAsia="en-NZ"/>
              </w:rPr>
              <w:drawing>
                <wp:anchor distT="0" distB="0" distL="114300" distR="114300" simplePos="0" relativeHeight="251659264" behindDoc="1" locked="0" layoutInCell="1" allowOverlap="1" wp14:anchorId="6B347958" wp14:editId="4552EE50">
                  <wp:simplePos x="0" y="0"/>
                  <wp:positionH relativeFrom="column">
                    <wp:posOffset>7620</wp:posOffset>
                  </wp:positionH>
                  <wp:positionV relativeFrom="paragraph">
                    <wp:posOffset>-1239520</wp:posOffset>
                  </wp:positionV>
                  <wp:extent cx="809625" cy="285750"/>
                  <wp:effectExtent l="0" t="0" r="9525"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932" w:type="dxa"/>
          </w:tcPr>
          <w:p w14:paraId="630351EF" w14:textId="77777777" w:rsidR="00EB58E1" w:rsidRDefault="00EB58E1" w:rsidP="006721FD">
            <w:r w:rsidRPr="00B75F7F">
              <w:t>This work is licensed under the Creative Commons Attribution 4.0 International licence. In essence, you are free to: share i.e., copy and redistribute the material in any medium or format; adapt i.e., remix, transform and build upon the material. You must give appropriate credit, provide a link to the licence and indicate if changes were made.</w:t>
            </w:r>
          </w:p>
          <w:p w14:paraId="116B1AE3" w14:textId="77777777" w:rsidR="00EB58E1" w:rsidRDefault="00EB58E1" w:rsidP="006721FD"/>
          <w:p w14:paraId="54F340DE" w14:textId="77777777" w:rsidR="00EB58E1" w:rsidRDefault="00EB58E1" w:rsidP="006721FD"/>
          <w:p w14:paraId="130C6CA7" w14:textId="77777777" w:rsidR="00EB58E1" w:rsidRDefault="00EB58E1" w:rsidP="006721FD"/>
          <w:p w14:paraId="5EB0FAA3" w14:textId="77777777" w:rsidR="00EB58E1" w:rsidRDefault="00EB58E1" w:rsidP="006721FD"/>
          <w:p w14:paraId="468C335B" w14:textId="77777777" w:rsidR="00EB58E1" w:rsidRDefault="00EB58E1" w:rsidP="006721FD"/>
          <w:p w14:paraId="0B9AF25E" w14:textId="77777777" w:rsidR="00EB58E1" w:rsidRDefault="00EB58E1" w:rsidP="006721FD"/>
          <w:p w14:paraId="5250BE7D" w14:textId="77777777" w:rsidR="00EB58E1" w:rsidRDefault="00EB58E1" w:rsidP="006721FD"/>
          <w:p w14:paraId="7EA8A00B" w14:textId="77777777" w:rsidR="00EB58E1" w:rsidRDefault="00EB58E1" w:rsidP="006721FD"/>
        </w:tc>
      </w:tr>
    </w:tbl>
    <w:p w14:paraId="51BEBCBE" w14:textId="511B628A" w:rsidR="00031B75" w:rsidRDefault="007A32AB" w:rsidP="007A32AB">
      <w:pPr>
        <w:pStyle w:val="Heading1"/>
        <w:tabs>
          <w:tab w:val="left" w:pos="7290"/>
        </w:tabs>
        <w:rPr>
          <w:b/>
          <w:bCs/>
          <w:sz w:val="36"/>
          <w:szCs w:val="36"/>
        </w:rPr>
      </w:pPr>
      <w:r>
        <w:rPr>
          <w:b/>
          <w:bCs/>
          <w:sz w:val="36"/>
          <w:szCs w:val="36"/>
        </w:rPr>
        <w:tab/>
      </w:r>
    </w:p>
    <w:p w14:paraId="03BEC6FE" w14:textId="77777777" w:rsidR="00654480" w:rsidRDefault="00654480" w:rsidP="00654480"/>
    <w:p w14:paraId="07813011" w14:textId="77777777" w:rsidR="00654480" w:rsidRDefault="00654480" w:rsidP="00654480"/>
    <w:p w14:paraId="45EE821A" w14:textId="77777777" w:rsidR="00654480" w:rsidRDefault="00654480" w:rsidP="00654480"/>
    <w:p w14:paraId="682A152D" w14:textId="77777777" w:rsidR="00654480" w:rsidRDefault="00654480" w:rsidP="00654480"/>
    <w:p w14:paraId="627B3382" w14:textId="77777777" w:rsidR="00654480" w:rsidRPr="00654480" w:rsidRDefault="00654480" w:rsidP="00654480"/>
    <w:p w14:paraId="7F5DEFDD" w14:textId="77777777" w:rsidR="00EB58E1" w:rsidRDefault="00EB58E1" w:rsidP="00EB58E1"/>
    <w:p w14:paraId="7FA1CD7B" w14:textId="77777777" w:rsidR="00EB58E1" w:rsidRPr="00EB58E1" w:rsidRDefault="00EB58E1" w:rsidP="00EB58E1"/>
    <w:sdt>
      <w:sdtPr>
        <w:rPr>
          <w:rFonts w:asciiTheme="minorHAnsi" w:eastAsiaTheme="minorHAnsi" w:hAnsiTheme="minorHAnsi" w:cstheme="minorBidi"/>
          <w:b w:val="0"/>
          <w:color w:val="auto"/>
          <w:sz w:val="24"/>
          <w:szCs w:val="22"/>
        </w:rPr>
        <w:id w:val="243306012"/>
        <w:docPartObj>
          <w:docPartGallery w:val="Table of Contents"/>
          <w:docPartUnique/>
        </w:docPartObj>
      </w:sdtPr>
      <w:sdtEndPr>
        <w:rPr>
          <w:bCs/>
          <w:noProof/>
        </w:rPr>
      </w:sdtEndPr>
      <w:sdtContent>
        <w:p w14:paraId="485FD070" w14:textId="45527430" w:rsidR="00326EDB" w:rsidRPr="00C335A6" w:rsidRDefault="00326EDB">
          <w:pPr>
            <w:pStyle w:val="TOCHeading"/>
            <w:rPr>
              <w:rFonts w:ascii="Poppins" w:hAnsi="Poppins" w:cs="Poppins"/>
              <w:b w:val="0"/>
              <w:bCs/>
              <w:sz w:val="48"/>
              <w:szCs w:val="48"/>
            </w:rPr>
          </w:pPr>
          <w:r w:rsidRPr="00C335A6">
            <w:rPr>
              <w:rFonts w:ascii="Poppins" w:hAnsi="Poppins" w:cs="Poppins"/>
              <w:b w:val="0"/>
              <w:bCs/>
              <w:sz w:val="48"/>
              <w:szCs w:val="48"/>
            </w:rPr>
            <w:t>Contents</w:t>
          </w:r>
        </w:p>
        <w:p w14:paraId="1F5DF3D9" w14:textId="667403DC" w:rsidR="00326EDB" w:rsidRDefault="00326EDB">
          <w:pPr>
            <w:pStyle w:val="TOC1"/>
            <w:tabs>
              <w:tab w:val="right" w:leader="dot" w:pos="9628"/>
            </w:tabs>
            <w:rPr>
              <w:rFonts w:eastAsiaTheme="minorEastAsia"/>
              <w:b w:val="0"/>
              <w:noProof/>
              <w:kern w:val="2"/>
              <w:szCs w:val="24"/>
              <w:lang w:eastAsia="en-NZ"/>
              <w14:ligatures w14:val="standardContextual"/>
            </w:rPr>
          </w:pPr>
          <w:r>
            <w:fldChar w:fldCharType="begin"/>
          </w:r>
          <w:r>
            <w:instrText xml:space="preserve"> TOC \o "1-3" \h \z \u </w:instrText>
          </w:r>
          <w:r>
            <w:fldChar w:fldCharType="separate"/>
          </w:r>
          <w:hyperlink w:anchor="_Toc209611221" w:history="1">
            <w:r w:rsidRPr="005723BA">
              <w:rPr>
                <w:rStyle w:val="Hyperlink"/>
                <w:noProof/>
              </w:rPr>
              <w:t>Serious Adverse Events</w:t>
            </w:r>
            <w:r>
              <w:rPr>
                <w:noProof/>
                <w:webHidden/>
              </w:rPr>
              <w:tab/>
            </w:r>
            <w:r>
              <w:rPr>
                <w:noProof/>
                <w:webHidden/>
              </w:rPr>
              <w:fldChar w:fldCharType="begin"/>
            </w:r>
            <w:r>
              <w:rPr>
                <w:noProof/>
                <w:webHidden/>
              </w:rPr>
              <w:instrText xml:space="preserve"> PAGEREF _Toc209611221 \h </w:instrText>
            </w:r>
            <w:r>
              <w:rPr>
                <w:noProof/>
                <w:webHidden/>
              </w:rPr>
            </w:r>
            <w:r>
              <w:rPr>
                <w:noProof/>
                <w:webHidden/>
              </w:rPr>
              <w:fldChar w:fldCharType="separate"/>
            </w:r>
            <w:r w:rsidR="00392FC2">
              <w:rPr>
                <w:noProof/>
                <w:webHidden/>
              </w:rPr>
              <w:t>4</w:t>
            </w:r>
            <w:r>
              <w:rPr>
                <w:noProof/>
                <w:webHidden/>
              </w:rPr>
              <w:fldChar w:fldCharType="end"/>
            </w:r>
          </w:hyperlink>
        </w:p>
        <w:p w14:paraId="72607F28" w14:textId="501346B8" w:rsidR="00326EDB" w:rsidRDefault="00326EDB">
          <w:pPr>
            <w:pStyle w:val="TOC2"/>
            <w:tabs>
              <w:tab w:val="right" w:leader="dot" w:pos="9628"/>
            </w:tabs>
            <w:rPr>
              <w:rFonts w:eastAsiaTheme="minorEastAsia"/>
              <w:noProof/>
              <w:kern w:val="2"/>
              <w:szCs w:val="24"/>
              <w:lang w:eastAsia="en-NZ"/>
              <w14:ligatures w14:val="standardContextual"/>
            </w:rPr>
          </w:pPr>
          <w:hyperlink w:anchor="_Toc209611222" w:history="1">
            <w:r w:rsidRPr="005723BA">
              <w:rPr>
                <w:rStyle w:val="Hyperlink"/>
                <w:noProof/>
              </w:rPr>
              <w:t>National Adverse Events Policy</w:t>
            </w:r>
            <w:r>
              <w:rPr>
                <w:noProof/>
                <w:webHidden/>
              </w:rPr>
              <w:tab/>
            </w:r>
            <w:r>
              <w:rPr>
                <w:noProof/>
                <w:webHidden/>
              </w:rPr>
              <w:fldChar w:fldCharType="begin"/>
            </w:r>
            <w:r>
              <w:rPr>
                <w:noProof/>
                <w:webHidden/>
              </w:rPr>
              <w:instrText xml:space="preserve"> PAGEREF _Toc209611222 \h </w:instrText>
            </w:r>
            <w:r>
              <w:rPr>
                <w:noProof/>
                <w:webHidden/>
              </w:rPr>
            </w:r>
            <w:r>
              <w:rPr>
                <w:noProof/>
                <w:webHidden/>
              </w:rPr>
              <w:fldChar w:fldCharType="separate"/>
            </w:r>
            <w:r w:rsidR="00392FC2">
              <w:rPr>
                <w:noProof/>
                <w:webHidden/>
              </w:rPr>
              <w:t>4</w:t>
            </w:r>
            <w:r>
              <w:rPr>
                <w:noProof/>
                <w:webHidden/>
              </w:rPr>
              <w:fldChar w:fldCharType="end"/>
            </w:r>
          </w:hyperlink>
        </w:p>
        <w:p w14:paraId="7AFB0BA0" w14:textId="4BB7085E" w:rsidR="00326EDB" w:rsidRDefault="00326EDB">
          <w:pPr>
            <w:pStyle w:val="TOC2"/>
            <w:tabs>
              <w:tab w:val="right" w:leader="dot" w:pos="9628"/>
            </w:tabs>
            <w:rPr>
              <w:rFonts w:eastAsiaTheme="minorEastAsia"/>
              <w:noProof/>
              <w:kern w:val="2"/>
              <w:szCs w:val="24"/>
              <w:lang w:eastAsia="en-NZ"/>
              <w14:ligatures w14:val="standardContextual"/>
            </w:rPr>
          </w:pPr>
          <w:hyperlink w:anchor="_Toc209611223" w:history="1">
            <w:r w:rsidRPr="005723BA">
              <w:rPr>
                <w:rStyle w:val="Hyperlink"/>
                <w:noProof/>
              </w:rPr>
              <w:t>Severity Assessment Codes (SAC)</w:t>
            </w:r>
            <w:r>
              <w:rPr>
                <w:noProof/>
                <w:webHidden/>
              </w:rPr>
              <w:tab/>
            </w:r>
            <w:r>
              <w:rPr>
                <w:noProof/>
                <w:webHidden/>
              </w:rPr>
              <w:fldChar w:fldCharType="begin"/>
            </w:r>
            <w:r>
              <w:rPr>
                <w:noProof/>
                <w:webHidden/>
              </w:rPr>
              <w:instrText xml:space="preserve"> PAGEREF _Toc209611223 \h </w:instrText>
            </w:r>
            <w:r>
              <w:rPr>
                <w:noProof/>
                <w:webHidden/>
              </w:rPr>
            </w:r>
            <w:r>
              <w:rPr>
                <w:noProof/>
                <w:webHidden/>
              </w:rPr>
              <w:fldChar w:fldCharType="separate"/>
            </w:r>
            <w:r w:rsidR="00392FC2">
              <w:rPr>
                <w:noProof/>
                <w:webHidden/>
              </w:rPr>
              <w:t>5</w:t>
            </w:r>
            <w:r>
              <w:rPr>
                <w:noProof/>
                <w:webHidden/>
              </w:rPr>
              <w:fldChar w:fldCharType="end"/>
            </w:r>
          </w:hyperlink>
        </w:p>
        <w:p w14:paraId="0BFA0120" w14:textId="00604796" w:rsidR="00326EDB" w:rsidRDefault="00326EDB">
          <w:pPr>
            <w:pStyle w:val="TOC2"/>
            <w:tabs>
              <w:tab w:val="right" w:leader="dot" w:pos="9628"/>
            </w:tabs>
            <w:rPr>
              <w:rFonts w:eastAsiaTheme="minorEastAsia"/>
              <w:noProof/>
              <w:kern w:val="2"/>
              <w:szCs w:val="24"/>
              <w:lang w:eastAsia="en-NZ"/>
              <w14:ligatures w14:val="standardContextual"/>
            </w:rPr>
          </w:pPr>
          <w:hyperlink w:anchor="_Toc209611224" w:history="1">
            <w:r w:rsidRPr="005723BA">
              <w:rPr>
                <w:rStyle w:val="Hyperlink"/>
                <w:noProof/>
                <w:lang w:eastAsia="ja-JP"/>
              </w:rPr>
              <w:t>Highest areas of harm</w:t>
            </w:r>
            <w:r>
              <w:rPr>
                <w:noProof/>
                <w:webHidden/>
              </w:rPr>
              <w:tab/>
            </w:r>
            <w:r>
              <w:rPr>
                <w:noProof/>
                <w:webHidden/>
              </w:rPr>
              <w:fldChar w:fldCharType="begin"/>
            </w:r>
            <w:r>
              <w:rPr>
                <w:noProof/>
                <w:webHidden/>
              </w:rPr>
              <w:instrText xml:space="preserve"> PAGEREF _Toc209611224 \h </w:instrText>
            </w:r>
            <w:r>
              <w:rPr>
                <w:noProof/>
                <w:webHidden/>
              </w:rPr>
            </w:r>
            <w:r>
              <w:rPr>
                <w:noProof/>
                <w:webHidden/>
              </w:rPr>
              <w:fldChar w:fldCharType="separate"/>
            </w:r>
            <w:r w:rsidR="00392FC2">
              <w:rPr>
                <w:noProof/>
                <w:webHidden/>
              </w:rPr>
              <w:t>6</w:t>
            </w:r>
            <w:r>
              <w:rPr>
                <w:noProof/>
                <w:webHidden/>
              </w:rPr>
              <w:fldChar w:fldCharType="end"/>
            </w:r>
          </w:hyperlink>
        </w:p>
        <w:p w14:paraId="1109CFD1" w14:textId="05F27311" w:rsidR="00326EDB" w:rsidRDefault="00326EDB">
          <w:pPr>
            <w:pStyle w:val="TOC2"/>
            <w:tabs>
              <w:tab w:val="right" w:leader="dot" w:pos="9628"/>
            </w:tabs>
            <w:rPr>
              <w:rFonts w:eastAsiaTheme="minorEastAsia"/>
              <w:noProof/>
              <w:kern w:val="2"/>
              <w:szCs w:val="24"/>
              <w:lang w:eastAsia="en-NZ"/>
              <w14:ligatures w14:val="standardContextual"/>
            </w:rPr>
          </w:pPr>
          <w:hyperlink w:anchor="_Toc209611225" w:history="1">
            <w:r w:rsidRPr="005723BA">
              <w:rPr>
                <w:rStyle w:val="Hyperlink"/>
                <w:noProof/>
              </w:rPr>
              <w:t>Health outcomes of SAC 1 and 2 events</w:t>
            </w:r>
            <w:r>
              <w:rPr>
                <w:noProof/>
                <w:webHidden/>
              </w:rPr>
              <w:tab/>
            </w:r>
            <w:r>
              <w:rPr>
                <w:noProof/>
                <w:webHidden/>
              </w:rPr>
              <w:fldChar w:fldCharType="begin"/>
            </w:r>
            <w:r>
              <w:rPr>
                <w:noProof/>
                <w:webHidden/>
              </w:rPr>
              <w:instrText xml:space="preserve"> PAGEREF _Toc209611225 \h </w:instrText>
            </w:r>
            <w:r>
              <w:rPr>
                <w:noProof/>
                <w:webHidden/>
              </w:rPr>
            </w:r>
            <w:r>
              <w:rPr>
                <w:noProof/>
                <w:webHidden/>
              </w:rPr>
              <w:fldChar w:fldCharType="separate"/>
            </w:r>
            <w:r w:rsidR="00392FC2">
              <w:rPr>
                <w:noProof/>
                <w:webHidden/>
              </w:rPr>
              <w:t>7</w:t>
            </w:r>
            <w:r>
              <w:rPr>
                <w:noProof/>
                <w:webHidden/>
              </w:rPr>
              <w:fldChar w:fldCharType="end"/>
            </w:r>
          </w:hyperlink>
        </w:p>
        <w:p w14:paraId="40763854" w14:textId="2C5D9290" w:rsidR="00326EDB" w:rsidRDefault="00326EDB">
          <w:pPr>
            <w:pStyle w:val="TOC2"/>
            <w:tabs>
              <w:tab w:val="right" w:leader="dot" w:pos="9628"/>
            </w:tabs>
            <w:rPr>
              <w:rFonts w:eastAsiaTheme="minorEastAsia"/>
              <w:noProof/>
              <w:kern w:val="2"/>
              <w:szCs w:val="24"/>
              <w:lang w:eastAsia="en-NZ"/>
              <w14:ligatures w14:val="standardContextual"/>
            </w:rPr>
          </w:pPr>
          <w:hyperlink w:anchor="_Toc209611226" w:history="1">
            <w:r w:rsidRPr="005723BA">
              <w:rPr>
                <w:rStyle w:val="Hyperlink"/>
                <w:noProof/>
                <w:lang w:eastAsia="ja-JP"/>
              </w:rPr>
              <w:t>Te Tiriti o Waitangi</w:t>
            </w:r>
            <w:r>
              <w:rPr>
                <w:noProof/>
                <w:webHidden/>
              </w:rPr>
              <w:tab/>
            </w:r>
            <w:r>
              <w:rPr>
                <w:noProof/>
                <w:webHidden/>
              </w:rPr>
              <w:fldChar w:fldCharType="begin"/>
            </w:r>
            <w:r>
              <w:rPr>
                <w:noProof/>
                <w:webHidden/>
              </w:rPr>
              <w:instrText xml:space="preserve"> PAGEREF _Toc209611226 \h </w:instrText>
            </w:r>
            <w:r>
              <w:rPr>
                <w:noProof/>
                <w:webHidden/>
              </w:rPr>
            </w:r>
            <w:r>
              <w:rPr>
                <w:noProof/>
                <w:webHidden/>
              </w:rPr>
              <w:fldChar w:fldCharType="separate"/>
            </w:r>
            <w:r w:rsidR="00392FC2">
              <w:rPr>
                <w:noProof/>
                <w:webHidden/>
              </w:rPr>
              <w:t>7</w:t>
            </w:r>
            <w:r>
              <w:rPr>
                <w:noProof/>
                <w:webHidden/>
              </w:rPr>
              <w:fldChar w:fldCharType="end"/>
            </w:r>
          </w:hyperlink>
        </w:p>
        <w:p w14:paraId="125BB939" w14:textId="677E4C21" w:rsidR="00326EDB" w:rsidRDefault="00326EDB">
          <w:pPr>
            <w:pStyle w:val="TOC2"/>
            <w:tabs>
              <w:tab w:val="right" w:leader="dot" w:pos="9628"/>
            </w:tabs>
            <w:rPr>
              <w:rFonts w:eastAsiaTheme="minorEastAsia"/>
              <w:noProof/>
              <w:kern w:val="2"/>
              <w:szCs w:val="24"/>
              <w:lang w:eastAsia="en-NZ"/>
              <w14:ligatures w14:val="standardContextual"/>
            </w:rPr>
          </w:pPr>
          <w:hyperlink w:anchor="_Toc209611227" w:history="1">
            <w:r w:rsidRPr="005723BA">
              <w:rPr>
                <w:rStyle w:val="Hyperlink"/>
                <w:noProof/>
              </w:rPr>
              <w:t>Our population</w:t>
            </w:r>
            <w:r>
              <w:rPr>
                <w:noProof/>
                <w:webHidden/>
              </w:rPr>
              <w:tab/>
            </w:r>
            <w:r>
              <w:rPr>
                <w:noProof/>
                <w:webHidden/>
              </w:rPr>
              <w:fldChar w:fldCharType="begin"/>
            </w:r>
            <w:r>
              <w:rPr>
                <w:noProof/>
                <w:webHidden/>
              </w:rPr>
              <w:instrText xml:space="preserve"> PAGEREF _Toc209611227 \h </w:instrText>
            </w:r>
            <w:r>
              <w:rPr>
                <w:noProof/>
                <w:webHidden/>
              </w:rPr>
            </w:r>
            <w:r>
              <w:rPr>
                <w:noProof/>
                <w:webHidden/>
              </w:rPr>
              <w:fldChar w:fldCharType="separate"/>
            </w:r>
            <w:r w:rsidR="00392FC2">
              <w:rPr>
                <w:noProof/>
                <w:webHidden/>
              </w:rPr>
              <w:t>8</w:t>
            </w:r>
            <w:r>
              <w:rPr>
                <w:noProof/>
                <w:webHidden/>
              </w:rPr>
              <w:fldChar w:fldCharType="end"/>
            </w:r>
          </w:hyperlink>
        </w:p>
        <w:p w14:paraId="63DD76DA" w14:textId="49B49A0F" w:rsidR="00326EDB" w:rsidRDefault="00326EDB">
          <w:pPr>
            <w:pStyle w:val="TOC2"/>
            <w:tabs>
              <w:tab w:val="right" w:leader="dot" w:pos="9628"/>
            </w:tabs>
            <w:rPr>
              <w:rFonts w:eastAsiaTheme="minorEastAsia"/>
              <w:noProof/>
              <w:kern w:val="2"/>
              <w:szCs w:val="24"/>
              <w:lang w:eastAsia="en-NZ"/>
              <w14:ligatures w14:val="standardContextual"/>
            </w:rPr>
          </w:pPr>
          <w:hyperlink w:anchor="_Toc209611228" w:history="1">
            <w:r w:rsidRPr="005723BA">
              <w:rPr>
                <w:rStyle w:val="Hyperlink"/>
                <w:noProof/>
                <w:lang w:eastAsia="ja-JP"/>
              </w:rPr>
              <w:t>A note on ethnicity data</w:t>
            </w:r>
            <w:r>
              <w:rPr>
                <w:noProof/>
                <w:webHidden/>
              </w:rPr>
              <w:tab/>
            </w:r>
            <w:r>
              <w:rPr>
                <w:noProof/>
                <w:webHidden/>
              </w:rPr>
              <w:fldChar w:fldCharType="begin"/>
            </w:r>
            <w:r>
              <w:rPr>
                <w:noProof/>
                <w:webHidden/>
              </w:rPr>
              <w:instrText xml:space="preserve"> PAGEREF _Toc209611228 \h </w:instrText>
            </w:r>
            <w:r>
              <w:rPr>
                <w:noProof/>
                <w:webHidden/>
              </w:rPr>
            </w:r>
            <w:r>
              <w:rPr>
                <w:noProof/>
                <w:webHidden/>
              </w:rPr>
              <w:fldChar w:fldCharType="separate"/>
            </w:r>
            <w:r w:rsidR="00392FC2">
              <w:rPr>
                <w:noProof/>
                <w:webHidden/>
              </w:rPr>
              <w:t>8</w:t>
            </w:r>
            <w:r>
              <w:rPr>
                <w:noProof/>
                <w:webHidden/>
              </w:rPr>
              <w:fldChar w:fldCharType="end"/>
            </w:r>
          </w:hyperlink>
        </w:p>
        <w:p w14:paraId="42257D69" w14:textId="45C93E93" w:rsidR="00326EDB" w:rsidRDefault="00326EDB">
          <w:pPr>
            <w:pStyle w:val="TOC2"/>
            <w:tabs>
              <w:tab w:val="right" w:leader="dot" w:pos="9628"/>
            </w:tabs>
            <w:rPr>
              <w:rFonts w:eastAsiaTheme="minorEastAsia"/>
              <w:noProof/>
              <w:kern w:val="2"/>
              <w:szCs w:val="24"/>
              <w:lang w:eastAsia="en-NZ"/>
              <w14:ligatures w14:val="standardContextual"/>
            </w:rPr>
          </w:pPr>
          <w:hyperlink w:anchor="_Toc209611229" w:history="1">
            <w:r w:rsidRPr="005723BA">
              <w:rPr>
                <w:rStyle w:val="Hyperlink"/>
                <w:noProof/>
                <w:lang w:eastAsia="ja-JP"/>
              </w:rPr>
              <w:t>Equity</w:t>
            </w:r>
            <w:r>
              <w:rPr>
                <w:noProof/>
                <w:webHidden/>
              </w:rPr>
              <w:tab/>
            </w:r>
            <w:r>
              <w:rPr>
                <w:noProof/>
                <w:webHidden/>
              </w:rPr>
              <w:fldChar w:fldCharType="begin"/>
            </w:r>
            <w:r>
              <w:rPr>
                <w:noProof/>
                <w:webHidden/>
              </w:rPr>
              <w:instrText xml:space="preserve"> PAGEREF _Toc209611229 \h </w:instrText>
            </w:r>
            <w:r>
              <w:rPr>
                <w:noProof/>
                <w:webHidden/>
              </w:rPr>
            </w:r>
            <w:r>
              <w:rPr>
                <w:noProof/>
                <w:webHidden/>
              </w:rPr>
              <w:fldChar w:fldCharType="separate"/>
            </w:r>
            <w:r w:rsidR="00392FC2">
              <w:rPr>
                <w:noProof/>
                <w:webHidden/>
              </w:rPr>
              <w:t>9</w:t>
            </w:r>
            <w:r>
              <w:rPr>
                <w:noProof/>
                <w:webHidden/>
              </w:rPr>
              <w:fldChar w:fldCharType="end"/>
            </w:r>
          </w:hyperlink>
        </w:p>
        <w:p w14:paraId="3348F46B" w14:textId="44907FF4" w:rsidR="00326EDB" w:rsidRDefault="00326EDB">
          <w:pPr>
            <w:pStyle w:val="TOC2"/>
            <w:tabs>
              <w:tab w:val="right" w:leader="dot" w:pos="9628"/>
            </w:tabs>
            <w:rPr>
              <w:rFonts w:eastAsiaTheme="minorEastAsia"/>
              <w:noProof/>
              <w:kern w:val="2"/>
              <w:szCs w:val="24"/>
              <w:lang w:eastAsia="en-NZ"/>
              <w14:ligatures w14:val="standardContextual"/>
            </w:rPr>
          </w:pPr>
          <w:hyperlink w:anchor="_Toc209611230" w:history="1">
            <w:r w:rsidRPr="005723BA">
              <w:rPr>
                <w:rStyle w:val="Hyperlink"/>
                <w:noProof/>
                <w:lang w:eastAsia="ja-JP"/>
              </w:rPr>
              <w:t>District and national context</w:t>
            </w:r>
            <w:r>
              <w:rPr>
                <w:noProof/>
                <w:webHidden/>
              </w:rPr>
              <w:tab/>
            </w:r>
            <w:r>
              <w:rPr>
                <w:noProof/>
                <w:webHidden/>
              </w:rPr>
              <w:fldChar w:fldCharType="begin"/>
            </w:r>
            <w:r>
              <w:rPr>
                <w:noProof/>
                <w:webHidden/>
              </w:rPr>
              <w:instrText xml:space="preserve"> PAGEREF _Toc209611230 \h </w:instrText>
            </w:r>
            <w:r>
              <w:rPr>
                <w:noProof/>
                <w:webHidden/>
              </w:rPr>
            </w:r>
            <w:r>
              <w:rPr>
                <w:noProof/>
                <w:webHidden/>
              </w:rPr>
              <w:fldChar w:fldCharType="separate"/>
            </w:r>
            <w:r w:rsidR="00392FC2">
              <w:rPr>
                <w:noProof/>
                <w:webHidden/>
              </w:rPr>
              <w:t>9</w:t>
            </w:r>
            <w:r>
              <w:rPr>
                <w:noProof/>
                <w:webHidden/>
              </w:rPr>
              <w:fldChar w:fldCharType="end"/>
            </w:r>
          </w:hyperlink>
        </w:p>
        <w:p w14:paraId="10D58D75" w14:textId="15DD3B2B" w:rsidR="00326EDB" w:rsidRDefault="00326EDB">
          <w:pPr>
            <w:pStyle w:val="TOC2"/>
            <w:tabs>
              <w:tab w:val="right" w:leader="dot" w:pos="9628"/>
            </w:tabs>
            <w:rPr>
              <w:rFonts w:eastAsiaTheme="minorEastAsia"/>
              <w:noProof/>
              <w:kern w:val="2"/>
              <w:szCs w:val="24"/>
              <w:lang w:eastAsia="en-NZ"/>
              <w14:ligatures w14:val="standardContextual"/>
            </w:rPr>
          </w:pPr>
          <w:hyperlink w:anchor="_Toc209611231" w:history="1">
            <w:r w:rsidRPr="005723BA">
              <w:rPr>
                <w:rStyle w:val="Hyperlink"/>
                <w:noProof/>
              </w:rPr>
              <w:t>Reviewing and improving how we work</w:t>
            </w:r>
            <w:r>
              <w:rPr>
                <w:noProof/>
                <w:webHidden/>
              </w:rPr>
              <w:tab/>
            </w:r>
            <w:r>
              <w:rPr>
                <w:noProof/>
                <w:webHidden/>
              </w:rPr>
              <w:fldChar w:fldCharType="begin"/>
            </w:r>
            <w:r>
              <w:rPr>
                <w:noProof/>
                <w:webHidden/>
              </w:rPr>
              <w:instrText xml:space="preserve"> PAGEREF _Toc209611231 \h </w:instrText>
            </w:r>
            <w:r>
              <w:rPr>
                <w:noProof/>
                <w:webHidden/>
              </w:rPr>
            </w:r>
            <w:r>
              <w:rPr>
                <w:noProof/>
                <w:webHidden/>
              </w:rPr>
              <w:fldChar w:fldCharType="separate"/>
            </w:r>
            <w:r w:rsidR="00392FC2">
              <w:rPr>
                <w:noProof/>
                <w:webHidden/>
              </w:rPr>
              <w:t>10</w:t>
            </w:r>
            <w:r>
              <w:rPr>
                <w:noProof/>
                <w:webHidden/>
              </w:rPr>
              <w:fldChar w:fldCharType="end"/>
            </w:r>
          </w:hyperlink>
        </w:p>
        <w:p w14:paraId="6BA07A26" w14:textId="4F99B42A" w:rsidR="00326EDB" w:rsidRDefault="00326EDB">
          <w:pPr>
            <w:pStyle w:val="TOC1"/>
            <w:tabs>
              <w:tab w:val="right" w:leader="dot" w:pos="9628"/>
            </w:tabs>
            <w:rPr>
              <w:rFonts w:eastAsiaTheme="minorEastAsia"/>
              <w:b w:val="0"/>
              <w:noProof/>
              <w:kern w:val="2"/>
              <w:szCs w:val="24"/>
              <w:lang w:eastAsia="en-NZ"/>
              <w14:ligatures w14:val="standardContextual"/>
            </w:rPr>
          </w:pPr>
          <w:hyperlink w:anchor="_Toc209611232" w:history="1">
            <w:r w:rsidRPr="005723BA">
              <w:rPr>
                <w:rStyle w:val="Hyperlink"/>
                <w:noProof/>
                <w:lang w:eastAsia="ja-JP"/>
              </w:rPr>
              <w:t>Summaries of SAC events</w:t>
            </w:r>
            <w:r>
              <w:rPr>
                <w:noProof/>
                <w:webHidden/>
              </w:rPr>
              <w:tab/>
            </w:r>
            <w:r>
              <w:rPr>
                <w:noProof/>
                <w:webHidden/>
              </w:rPr>
              <w:fldChar w:fldCharType="begin"/>
            </w:r>
            <w:r>
              <w:rPr>
                <w:noProof/>
                <w:webHidden/>
              </w:rPr>
              <w:instrText xml:space="preserve"> PAGEREF _Toc209611232 \h </w:instrText>
            </w:r>
            <w:r>
              <w:rPr>
                <w:noProof/>
                <w:webHidden/>
              </w:rPr>
            </w:r>
            <w:r>
              <w:rPr>
                <w:noProof/>
                <w:webHidden/>
              </w:rPr>
              <w:fldChar w:fldCharType="separate"/>
            </w:r>
            <w:r w:rsidR="00392FC2">
              <w:rPr>
                <w:noProof/>
                <w:webHidden/>
              </w:rPr>
              <w:t>11</w:t>
            </w:r>
            <w:r>
              <w:rPr>
                <w:noProof/>
                <w:webHidden/>
              </w:rPr>
              <w:fldChar w:fldCharType="end"/>
            </w:r>
          </w:hyperlink>
        </w:p>
        <w:p w14:paraId="067AE9F0" w14:textId="0D9C9B30" w:rsidR="00326EDB" w:rsidRDefault="00326EDB">
          <w:pPr>
            <w:pStyle w:val="TOC2"/>
            <w:tabs>
              <w:tab w:val="right" w:leader="dot" w:pos="9628"/>
            </w:tabs>
            <w:rPr>
              <w:rFonts w:eastAsiaTheme="minorEastAsia"/>
              <w:noProof/>
              <w:kern w:val="2"/>
              <w:szCs w:val="24"/>
              <w:lang w:eastAsia="en-NZ"/>
              <w14:ligatures w14:val="standardContextual"/>
            </w:rPr>
          </w:pPr>
          <w:hyperlink w:anchor="_Toc209611233" w:history="1">
            <w:r w:rsidRPr="005723BA">
              <w:rPr>
                <w:rStyle w:val="Hyperlink"/>
                <w:noProof/>
                <w:lang w:eastAsia="ja-JP"/>
              </w:rPr>
              <w:t>Clinical administration events</w:t>
            </w:r>
            <w:r>
              <w:rPr>
                <w:noProof/>
                <w:webHidden/>
              </w:rPr>
              <w:tab/>
            </w:r>
            <w:r>
              <w:rPr>
                <w:noProof/>
                <w:webHidden/>
              </w:rPr>
              <w:fldChar w:fldCharType="begin"/>
            </w:r>
            <w:r>
              <w:rPr>
                <w:noProof/>
                <w:webHidden/>
              </w:rPr>
              <w:instrText xml:space="preserve"> PAGEREF _Toc209611233 \h </w:instrText>
            </w:r>
            <w:r>
              <w:rPr>
                <w:noProof/>
                <w:webHidden/>
              </w:rPr>
            </w:r>
            <w:r>
              <w:rPr>
                <w:noProof/>
                <w:webHidden/>
              </w:rPr>
              <w:fldChar w:fldCharType="separate"/>
            </w:r>
            <w:r w:rsidR="00392FC2">
              <w:rPr>
                <w:noProof/>
                <w:webHidden/>
              </w:rPr>
              <w:t>11</w:t>
            </w:r>
            <w:r>
              <w:rPr>
                <w:noProof/>
                <w:webHidden/>
              </w:rPr>
              <w:fldChar w:fldCharType="end"/>
            </w:r>
          </w:hyperlink>
        </w:p>
        <w:p w14:paraId="346D3F7B" w14:textId="5B864892" w:rsidR="00326EDB" w:rsidRDefault="00326EDB">
          <w:pPr>
            <w:pStyle w:val="TOC2"/>
            <w:tabs>
              <w:tab w:val="right" w:leader="dot" w:pos="9628"/>
            </w:tabs>
            <w:rPr>
              <w:rFonts w:eastAsiaTheme="minorEastAsia"/>
              <w:noProof/>
              <w:kern w:val="2"/>
              <w:szCs w:val="24"/>
              <w:lang w:eastAsia="en-NZ"/>
              <w14:ligatures w14:val="standardContextual"/>
            </w:rPr>
          </w:pPr>
          <w:hyperlink w:anchor="_Toc209611234" w:history="1">
            <w:r w:rsidRPr="005723BA">
              <w:rPr>
                <w:rStyle w:val="Hyperlink"/>
                <w:noProof/>
                <w:lang w:eastAsia="ja-JP"/>
              </w:rPr>
              <w:t>Clinical process/procedure events</w:t>
            </w:r>
            <w:r>
              <w:rPr>
                <w:noProof/>
                <w:webHidden/>
              </w:rPr>
              <w:tab/>
            </w:r>
            <w:r>
              <w:rPr>
                <w:noProof/>
                <w:webHidden/>
              </w:rPr>
              <w:fldChar w:fldCharType="begin"/>
            </w:r>
            <w:r>
              <w:rPr>
                <w:noProof/>
                <w:webHidden/>
              </w:rPr>
              <w:instrText xml:space="preserve"> PAGEREF _Toc209611234 \h </w:instrText>
            </w:r>
            <w:r>
              <w:rPr>
                <w:noProof/>
                <w:webHidden/>
              </w:rPr>
            </w:r>
            <w:r>
              <w:rPr>
                <w:noProof/>
                <w:webHidden/>
              </w:rPr>
              <w:fldChar w:fldCharType="separate"/>
            </w:r>
            <w:r w:rsidR="00392FC2">
              <w:rPr>
                <w:noProof/>
                <w:webHidden/>
              </w:rPr>
              <w:t>12</w:t>
            </w:r>
            <w:r>
              <w:rPr>
                <w:noProof/>
                <w:webHidden/>
              </w:rPr>
              <w:fldChar w:fldCharType="end"/>
            </w:r>
          </w:hyperlink>
        </w:p>
        <w:p w14:paraId="5E291A5D" w14:textId="58CD4314" w:rsidR="00326EDB" w:rsidRDefault="00326EDB">
          <w:pPr>
            <w:pStyle w:val="TOC2"/>
            <w:tabs>
              <w:tab w:val="right" w:leader="dot" w:pos="9628"/>
            </w:tabs>
            <w:rPr>
              <w:rFonts w:eastAsiaTheme="minorEastAsia"/>
              <w:noProof/>
              <w:kern w:val="2"/>
              <w:szCs w:val="24"/>
              <w:lang w:eastAsia="en-NZ"/>
              <w14:ligatures w14:val="standardContextual"/>
            </w:rPr>
          </w:pPr>
          <w:hyperlink w:anchor="_Toc209611235" w:history="1">
            <w:r w:rsidRPr="005723BA">
              <w:rPr>
                <w:rStyle w:val="Hyperlink"/>
                <w:rFonts w:eastAsia="Times New Roman"/>
                <w:noProof/>
                <w:lang w:eastAsia="en-NZ"/>
              </w:rPr>
              <w:t>Documentation</w:t>
            </w:r>
            <w:r>
              <w:rPr>
                <w:noProof/>
                <w:webHidden/>
              </w:rPr>
              <w:tab/>
            </w:r>
            <w:r>
              <w:rPr>
                <w:noProof/>
                <w:webHidden/>
              </w:rPr>
              <w:fldChar w:fldCharType="begin"/>
            </w:r>
            <w:r>
              <w:rPr>
                <w:noProof/>
                <w:webHidden/>
              </w:rPr>
              <w:instrText xml:space="preserve"> PAGEREF _Toc209611235 \h </w:instrText>
            </w:r>
            <w:r>
              <w:rPr>
                <w:noProof/>
                <w:webHidden/>
              </w:rPr>
            </w:r>
            <w:r>
              <w:rPr>
                <w:noProof/>
                <w:webHidden/>
              </w:rPr>
              <w:fldChar w:fldCharType="separate"/>
            </w:r>
            <w:r w:rsidR="00392FC2">
              <w:rPr>
                <w:noProof/>
                <w:webHidden/>
              </w:rPr>
              <w:t>18</w:t>
            </w:r>
            <w:r>
              <w:rPr>
                <w:noProof/>
                <w:webHidden/>
              </w:rPr>
              <w:fldChar w:fldCharType="end"/>
            </w:r>
          </w:hyperlink>
        </w:p>
        <w:p w14:paraId="69E542F7" w14:textId="0B6CC4B1" w:rsidR="00326EDB" w:rsidRDefault="00326EDB">
          <w:pPr>
            <w:pStyle w:val="TOC2"/>
            <w:tabs>
              <w:tab w:val="right" w:leader="dot" w:pos="9628"/>
            </w:tabs>
            <w:rPr>
              <w:rFonts w:eastAsiaTheme="minorEastAsia"/>
              <w:noProof/>
              <w:kern w:val="2"/>
              <w:szCs w:val="24"/>
              <w:lang w:eastAsia="en-NZ"/>
              <w14:ligatures w14:val="standardContextual"/>
            </w:rPr>
          </w:pPr>
          <w:hyperlink w:anchor="_Toc209611236" w:history="1">
            <w:r w:rsidRPr="005723BA">
              <w:rPr>
                <w:rStyle w:val="Hyperlink"/>
                <w:rFonts w:eastAsia="Times New Roman"/>
                <w:noProof/>
                <w:lang w:eastAsia="en-NZ"/>
              </w:rPr>
              <w:t>Healthcare associated infection (HAI)</w:t>
            </w:r>
            <w:r>
              <w:rPr>
                <w:noProof/>
                <w:webHidden/>
              </w:rPr>
              <w:tab/>
            </w:r>
            <w:r>
              <w:rPr>
                <w:noProof/>
                <w:webHidden/>
              </w:rPr>
              <w:fldChar w:fldCharType="begin"/>
            </w:r>
            <w:r>
              <w:rPr>
                <w:noProof/>
                <w:webHidden/>
              </w:rPr>
              <w:instrText xml:space="preserve"> PAGEREF _Toc209611236 \h </w:instrText>
            </w:r>
            <w:r>
              <w:rPr>
                <w:noProof/>
                <w:webHidden/>
              </w:rPr>
            </w:r>
            <w:r>
              <w:rPr>
                <w:noProof/>
                <w:webHidden/>
              </w:rPr>
              <w:fldChar w:fldCharType="separate"/>
            </w:r>
            <w:r w:rsidR="00392FC2">
              <w:rPr>
                <w:noProof/>
                <w:webHidden/>
              </w:rPr>
              <w:t>19</w:t>
            </w:r>
            <w:r>
              <w:rPr>
                <w:noProof/>
                <w:webHidden/>
              </w:rPr>
              <w:fldChar w:fldCharType="end"/>
            </w:r>
          </w:hyperlink>
        </w:p>
        <w:p w14:paraId="1B46EE20" w14:textId="4A2891EA" w:rsidR="00326EDB" w:rsidRDefault="00326EDB">
          <w:pPr>
            <w:pStyle w:val="TOC2"/>
            <w:tabs>
              <w:tab w:val="right" w:leader="dot" w:pos="9628"/>
            </w:tabs>
            <w:rPr>
              <w:rFonts w:eastAsiaTheme="minorEastAsia"/>
              <w:noProof/>
              <w:kern w:val="2"/>
              <w:szCs w:val="24"/>
              <w:lang w:eastAsia="en-NZ"/>
              <w14:ligatures w14:val="standardContextual"/>
            </w:rPr>
          </w:pPr>
          <w:hyperlink w:anchor="_Toc209611237" w:history="1">
            <w:r w:rsidRPr="005723BA">
              <w:rPr>
                <w:rStyle w:val="Hyperlink"/>
                <w:rFonts w:eastAsia="Times New Roman"/>
                <w:noProof/>
                <w:lang w:eastAsia="en-NZ"/>
              </w:rPr>
              <w:t>Medication/Intravenous (IV) Fluids</w:t>
            </w:r>
            <w:r>
              <w:rPr>
                <w:noProof/>
                <w:webHidden/>
              </w:rPr>
              <w:tab/>
            </w:r>
            <w:r>
              <w:rPr>
                <w:noProof/>
                <w:webHidden/>
              </w:rPr>
              <w:fldChar w:fldCharType="begin"/>
            </w:r>
            <w:r>
              <w:rPr>
                <w:noProof/>
                <w:webHidden/>
              </w:rPr>
              <w:instrText xml:space="preserve"> PAGEREF _Toc209611237 \h </w:instrText>
            </w:r>
            <w:r>
              <w:rPr>
                <w:noProof/>
                <w:webHidden/>
              </w:rPr>
            </w:r>
            <w:r>
              <w:rPr>
                <w:noProof/>
                <w:webHidden/>
              </w:rPr>
              <w:fldChar w:fldCharType="separate"/>
            </w:r>
            <w:r w:rsidR="00392FC2">
              <w:rPr>
                <w:noProof/>
                <w:webHidden/>
              </w:rPr>
              <w:t>20</w:t>
            </w:r>
            <w:r>
              <w:rPr>
                <w:noProof/>
                <w:webHidden/>
              </w:rPr>
              <w:fldChar w:fldCharType="end"/>
            </w:r>
          </w:hyperlink>
        </w:p>
        <w:p w14:paraId="0B2A06CA" w14:textId="767717A3" w:rsidR="00326EDB" w:rsidRDefault="00326EDB">
          <w:pPr>
            <w:pStyle w:val="TOC2"/>
            <w:tabs>
              <w:tab w:val="right" w:leader="dot" w:pos="9628"/>
            </w:tabs>
            <w:rPr>
              <w:rFonts w:eastAsiaTheme="minorEastAsia"/>
              <w:noProof/>
              <w:kern w:val="2"/>
              <w:szCs w:val="24"/>
              <w:lang w:eastAsia="en-NZ"/>
              <w14:ligatures w14:val="standardContextual"/>
            </w:rPr>
          </w:pPr>
          <w:hyperlink w:anchor="_Toc209611238" w:history="1">
            <w:r w:rsidRPr="005723BA">
              <w:rPr>
                <w:rStyle w:val="Hyperlink"/>
                <w:rFonts w:eastAsia="Times New Roman"/>
                <w:noProof/>
                <w:lang w:eastAsia="en-NZ"/>
              </w:rPr>
              <w:t>Nutrition</w:t>
            </w:r>
            <w:r>
              <w:rPr>
                <w:noProof/>
                <w:webHidden/>
              </w:rPr>
              <w:tab/>
            </w:r>
            <w:r>
              <w:rPr>
                <w:noProof/>
                <w:webHidden/>
              </w:rPr>
              <w:fldChar w:fldCharType="begin"/>
            </w:r>
            <w:r>
              <w:rPr>
                <w:noProof/>
                <w:webHidden/>
              </w:rPr>
              <w:instrText xml:space="preserve"> PAGEREF _Toc209611238 \h </w:instrText>
            </w:r>
            <w:r>
              <w:rPr>
                <w:noProof/>
                <w:webHidden/>
              </w:rPr>
            </w:r>
            <w:r>
              <w:rPr>
                <w:noProof/>
                <w:webHidden/>
              </w:rPr>
              <w:fldChar w:fldCharType="separate"/>
            </w:r>
            <w:r w:rsidR="00392FC2">
              <w:rPr>
                <w:noProof/>
                <w:webHidden/>
              </w:rPr>
              <w:t>21</w:t>
            </w:r>
            <w:r>
              <w:rPr>
                <w:noProof/>
                <w:webHidden/>
              </w:rPr>
              <w:fldChar w:fldCharType="end"/>
            </w:r>
          </w:hyperlink>
        </w:p>
        <w:p w14:paraId="66531998" w14:textId="1B856378" w:rsidR="00326EDB" w:rsidRDefault="00326EDB">
          <w:pPr>
            <w:pStyle w:val="TOC2"/>
            <w:tabs>
              <w:tab w:val="right" w:leader="dot" w:pos="9628"/>
            </w:tabs>
            <w:rPr>
              <w:rFonts w:eastAsiaTheme="minorEastAsia"/>
              <w:noProof/>
              <w:kern w:val="2"/>
              <w:szCs w:val="24"/>
              <w:lang w:eastAsia="en-NZ"/>
              <w14:ligatures w14:val="standardContextual"/>
            </w:rPr>
          </w:pPr>
          <w:hyperlink w:anchor="_Toc209611239" w:history="1">
            <w:r w:rsidRPr="005723BA">
              <w:rPr>
                <w:rStyle w:val="Hyperlink"/>
                <w:rFonts w:eastAsia="Times New Roman"/>
                <w:noProof/>
                <w:lang w:eastAsia="en-NZ"/>
              </w:rPr>
              <w:t>Medical device/equipment</w:t>
            </w:r>
            <w:r>
              <w:rPr>
                <w:noProof/>
                <w:webHidden/>
              </w:rPr>
              <w:tab/>
            </w:r>
            <w:r>
              <w:rPr>
                <w:noProof/>
                <w:webHidden/>
              </w:rPr>
              <w:fldChar w:fldCharType="begin"/>
            </w:r>
            <w:r>
              <w:rPr>
                <w:noProof/>
                <w:webHidden/>
              </w:rPr>
              <w:instrText xml:space="preserve"> PAGEREF _Toc209611239 \h </w:instrText>
            </w:r>
            <w:r>
              <w:rPr>
                <w:noProof/>
                <w:webHidden/>
              </w:rPr>
            </w:r>
            <w:r>
              <w:rPr>
                <w:noProof/>
                <w:webHidden/>
              </w:rPr>
              <w:fldChar w:fldCharType="separate"/>
            </w:r>
            <w:r w:rsidR="00392FC2">
              <w:rPr>
                <w:noProof/>
                <w:webHidden/>
              </w:rPr>
              <w:t>22</w:t>
            </w:r>
            <w:r>
              <w:rPr>
                <w:noProof/>
                <w:webHidden/>
              </w:rPr>
              <w:fldChar w:fldCharType="end"/>
            </w:r>
          </w:hyperlink>
        </w:p>
        <w:p w14:paraId="1D09CE7D" w14:textId="789E9413" w:rsidR="00326EDB" w:rsidRDefault="00326EDB">
          <w:pPr>
            <w:pStyle w:val="TOC2"/>
            <w:tabs>
              <w:tab w:val="right" w:leader="dot" w:pos="9628"/>
            </w:tabs>
            <w:rPr>
              <w:rFonts w:eastAsiaTheme="minorEastAsia"/>
              <w:noProof/>
              <w:kern w:val="2"/>
              <w:szCs w:val="24"/>
              <w:lang w:eastAsia="en-NZ"/>
              <w14:ligatures w14:val="standardContextual"/>
            </w:rPr>
          </w:pPr>
          <w:hyperlink w:anchor="_Toc209611240" w:history="1">
            <w:r w:rsidRPr="005723BA">
              <w:rPr>
                <w:rStyle w:val="Hyperlink"/>
                <w:rFonts w:eastAsia="Times New Roman"/>
                <w:noProof/>
                <w:lang w:eastAsia="en-NZ"/>
              </w:rPr>
              <w:t>Behaviour</w:t>
            </w:r>
            <w:r>
              <w:rPr>
                <w:noProof/>
                <w:webHidden/>
              </w:rPr>
              <w:tab/>
            </w:r>
            <w:r>
              <w:rPr>
                <w:noProof/>
                <w:webHidden/>
              </w:rPr>
              <w:fldChar w:fldCharType="begin"/>
            </w:r>
            <w:r>
              <w:rPr>
                <w:noProof/>
                <w:webHidden/>
              </w:rPr>
              <w:instrText xml:space="preserve"> PAGEREF _Toc209611240 \h </w:instrText>
            </w:r>
            <w:r>
              <w:rPr>
                <w:noProof/>
                <w:webHidden/>
              </w:rPr>
            </w:r>
            <w:r>
              <w:rPr>
                <w:noProof/>
                <w:webHidden/>
              </w:rPr>
              <w:fldChar w:fldCharType="separate"/>
            </w:r>
            <w:r w:rsidR="00392FC2">
              <w:rPr>
                <w:noProof/>
                <w:webHidden/>
              </w:rPr>
              <w:t>23</w:t>
            </w:r>
            <w:r>
              <w:rPr>
                <w:noProof/>
                <w:webHidden/>
              </w:rPr>
              <w:fldChar w:fldCharType="end"/>
            </w:r>
          </w:hyperlink>
        </w:p>
        <w:p w14:paraId="1C4344F7" w14:textId="7D928958" w:rsidR="00326EDB" w:rsidRDefault="00326EDB">
          <w:pPr>
            <w:pStyle w:val="TOC2"/>
            <w:tabs>
              <w:tab w:val="right" w:leader="dot" w:pos="9628"/>
            </w:tabs>
            <w:rPr>
              <w:rFonts w:eastAsiaTheme="minorEastAsia"/>
              <w:noProof/>
              <w:kern w:val="2"/>
              <w:szCs w:val="24"/>
              <w:lang w:eastAsia="en-NZ"/>
              <w14:ligatures w14:val="standardContextual"/>
            </w:rPr>
          </w:pPr>
          <w:hyperlink w:anchor="_Toc209611241" w:history="1">
            <w:r w:rsidRPr="005723BA">
              <w:rPr>
                <w:rStyle w:val="Hyperlink"/>
                <w:rFonts w:eastAsia="Times New Roman"/>
                <w:noProof/>
                <w:lang w:eastAsia="en-NZ"/>
              </w:rPr>
              <w:t>Falls</w:t>
            </w:r>
            <w:r>
              <w:rPr>
                <w:noProof/>
                <w:webHidden/>
              </w:rPr>
              <w:tab/>
            </w:r>
            <w:r>
              <w:rPr>
                <w:noProof/>
                <w:webHidden/>
              </w:rPr>
              <w:fldChar w:fldCharType="begin"/>
            </w:r>
            <w:r>
              <w:rPr>
                <w:noProof/>
                <w:webHidden/>
              </w:rPr>
              <w:instrText xml:space="preserve"> PAGEREF _Toc209611241 \h </w:instrText>
            </w:r>
            <w:r>
              <w:rPr>
                <w:noProof/>
                <w:webHidden/>
              </w:rPr>
            </w:r>
            <w:r>
              <w:rPr>
                <w:noProof/>
                <w:webHidden/>
              </w:rPr>
              <w:fldChar w:fldCharType="separate"/>
            </w:r>
            <w:r w:rsidR="00392FC2">
              <w:rPr>
                <w:noProof/>
                <w:webHidden/>
              </w:rPr>
              <w:t>24</w:t>
            </w:r>
            <w:r>
              <w:rPr>
                <w:noProof/>
                <w:webHidden/>
              </w:rPr>
              <w:fldChar w:fldCharType="end"/>
            </w:r>
          </w:hyperlink>
        </w:p>
        <w:p w14:paraId="5BB96A02" w14:textId="52AA8498" w:rsidR="00326EDB" w:rsidRDefault="00326EDB">
          <w:pPr>
            <w:pStyle w:val="TOC2"/>
            <w:tabs>
              <w:tab w:val="right" w:leader="dot" w:pos="9628"/>
            </w:tabs>
            <w:rPr>
              <w:rFonts w:eastAsiaTheme="minorEastAsia"/>
              <w:noProof/>
              <w:kern w:val="2"/>
              <w:szCs w:val="24"/>
              <w:lang w:eastAsia="en-NZ"/>
              <w14:ligatures w14:val="standardContextual"/>
            </w:rPr>
          </w:pPr>
          <w:hyperlink w:anchor="_Toc209611242" w:history="1">
            <w:r w:rsidRPr="005723BA">
              <w:rPr>
                <w:rStyle w:val="Hyperlink"/>
                <w:rFonts w:eastAsia="Times New Roman"/>
                <w:noProof/>
                <w:lang w:eastAsia="en-NZ"/>
              </w:rPr>
              <w:t>Resource/organisational management</w:t>
            </w:r>
            <w:r>
              <w:rPr>
                <w:noProof/>
                <w:webHidden/>
              </w:rPr>
              <w:tab/>
            </w:r>
            <w:r>
              <w:rPr>
                <w:noProof/>
                <w:webHidden/>
              </w:rPr>
              <w:fldChar w:fldCharType="begin"/>
            </w:r>
            <w:r>
              <w:rPr>
                <w:noProof/>
                <w:webHidden/>
              </w:rPr>
              <w:instrText xml:space="preserve"> PAGEREF _Toc209611242 \h </w:instrText>
            </w:r>
            <w:r>
              <w:rPr>
                <w:noProof/>
                <w:webHidden/>
              </w:rPr>
            </w:r>
            <w:r>
              <w:rPr>
                <w:noProof/>
                <w:webHidden/>
              </w:rPr>
              <w:fldChar w:fldCharType="separate"/>
            </w:r>
            <w:r w:rsidR="00392FC2">
              <w:rPr>
                <w:noProof/>
                <w:webHidden/>
              </w:rPr>
              <w:t>25</w:t>
            </w:r>
            <w:r>
              <w:rPr>
                <w:noProof/>
                <w:webHidden/>
              </w:rPr>
              <w:fldChar w:fldCharType="end"/>
            </w:r>
          </w:hyperlink>
        </w:p>
        <w:p w14:paraId="7324A3FE" w14:textId="0C0206AC" w:rsidR="00326EDB" w:rsidRDefault="00326EDB">
          <w:pPr>
            <w:pStyle w:val="TOC1"/>
            <w:tabs>
              <w:tab w:val="right" w:leader="dot" w:pos="9628"/>
            </w:tabs>
            <w:rPr>
              <w:rFonts w:eastAsiaTheme="minorEastAsia"/>
              <w:b w:val="0"/>
              <w:noProof/>
              <w:kern w:val="2"/>
              <w:szCs w:val="24"/>
              <w:lang w:eastAsia="en-NZ"/>
              <w14:ligatures w14:val="standardContextual"/>
            </w:rPr>
          </w:pPr>
          <w:hyperlink w:anchor="_Toc209611243" w:history="1">
            <w:r w:rsidRPr="005723BA">
              <w:rPr>
                <w:rStyle w:val="Hyperlink"/>
                <w:rFonts w:eastAsia="Times New Roman"/>
                <w:noProof/>
                <w:lang w:eastAsia="en-NZ"/>
              </w:rPr>
              <w:t>Final comment</w:t>
            </w:r>
            <w:r>
              <w:rPr>
                <w:noProof/>
                <w:webHidden/>
              </w:rPr>
              <w:tab/>
            </w:r>
            <w:r>
              <w:rPr>
                <w:noProof/>
                <w:webHidden/>
              </w:rPr>
              <w:fldChar w:fldCharType="begin"/>
            </w:r>
            <w:r>
              <w:rPr>
                <w:noProof/>
                <w:webHidden/>
              </w:rPr>
              <w:instrText xml:space="preserve"> PAGEREF _Toc209611243 \h </w:instrText>
            </w:r>
            <w:r>
              <w:rPr>
                <w:noProof/>
                <w:webHidden/>
              </w:rPr>
            </w:r>
            <w:r>
              <w:rPr>
                <w:noProof/>
                <w:webHidden/>
              </w:rPr>
              <w:fldChar w:fldCharType="separate"/>
            </w:r>
            <w:r w:rsidR="00392FC2">
              <w:rPr>
                <w:noProof/>
                <w:webHidden/>
              </w:rPr>
              <w:t>26</w:t>
            </w:r>
            <w:r>
              <w:rPr>
                <w:noProof/>
                <w:webHidden/>
              </w:rPr>
              <w:fldChar w:fldCharType="end"/>
            </w:r>
          </w:hyperlink>
        </w:p>
        <w:p w14:paraId="1ECC2172" w14:textId="37EE201B" w:rsidR="00326EDB" w:rsidRDefault="00326EDB">
          <w:r>
            <w:rPr>
              <w:b/>
              <w:bCs/>
              <w:noProof/>
            </w:rPr>
            <w:fldChar w:fldCharType="end"/>
          </w:r>
        </w:p>
      </w:sdtContent>
    </w:sdt>
    <w:p w14:paraId="31EA4313" w14:textId="44F1C955" w:rsidR="00637B84" w:rsidRPr="009D3EAA" w:rsidRDefault="00637B84" w:rsidP="00FF6720">
      <w:pPr>
        <w:pStyle w:val="Heading1"/>
        <w:rPr>
          <w:rStyle w:val="normaltextrun"/>
        </w:rPr>
      </w:pPr>
      <w:bookmarkStart w:id="1" w:name="_Toc209611221"/>
      <w:r w:rsidRPr="009D3EAA">
        <w:rPr>
          <w:rStyle w:val="normaltextrun"/>
        </w:rPr>
        <w:lastRenderedPageBreak/>
        <w:t>Serious Adverse Events</w:t>
      </w:r>
      <w:bookmarkEnd w:id="1"/>
    </w:p>
    <w:p w14:paraId="031BFD4F" w14:textId="77777777" w:rsidR="00B23315" w:rsidRPr="000C56C3" w:rsidRDefault="00DC76A5" w:rsidP="00EE4CBE">
      <w:pPr>
        <w:spacing w:after="120"/>
        <w:rPr>
          <w:rStyle w:val="normaltextrun"/>
          <w:rFonts w:cstheme="minorHAnsi"/>
          <w:szCs w:val="24"/>
        </w:rPr>
      </w:pPr>
      <w:r w:rsidRPr="000C56C3">
        <w:rPr>
          <w:rStyle w:val="normaltextrun"/>
          <w:rFonts w:cstheme="minorHAnsi"/>
          <w:szCs w:val="24"/>
        </w:rPr>
        <w:t>An adverse event is an event in which a person receiving health care experiences harm.</w:t>
      </w:r>
      <w:r>
        <w:rPr>
          <w:rStyle w:val="FootnoteReference"/>
          <w:rFonts w:cstheme="minorHAnsi"/>
          <w:szCs w:val="24"/>
        </w:rPr>
        <w:footnoteReference w:id="1"/>
      </w:r>
      <w:r w:rsidRPr="000C56C3">
        <w:rPr>
          <w:rStyle w:val="normaltextrun"/>
          <w:rFonts w:cstheme="minorHAnsi"/>
          <w:szCs w:val="24"/>
        </w:rPr>
        <w:t xml:space="preserve"> </w:t>
      </w:r>
      <w:r w:rsidR="00B23315" w:rsidRPr="000C56C3">
        <w:rPr>
          <w:rStyle w:val="normaltextrun"/>
          <w:rFonts w:cstheme="minorHAnsi"/>
          <w:szCs w:val="24"/>
        </w:rPr>
        <w:t xml:space="preserve">This report summarises serious adverse events that occurred and were commissioned for review between 1 July 2023 and 30 June 2024 </w:t>
      </w:r>
      <w:r w:rsidR="00054AE6">
        <w:rPr>
          <w:rStyle w:val="normaltextrun"/>
          <w:rFonts w:cstheme="minorHAnsi"/>
          <w:szCs w:val="24"/>
        </w:rPr>
        <w:t xml:space="preserve">for hospital and community services </w:t>
      </w:r>
      <w:r w:rsidR="00B23315" w:rsidRPr="000C56C3">
        <w:rPr>
          <w:rStyle w:val="normaltextrun"/>
          <w:rFonts w:cstheme="minorHAnsi"/>
          <w:szCs w:val="24"/>
        </w:rPr>
        <w:t>at Health New Zealand | Te Whatu Ora Capital, Coast &amp; Hutt Valley District (CCHV). This report does not include public health or mental health, addictions and intellectual disability service (MHAIDS). </w:t>
      </w:r>
      <w:r w:rsidR="00B23315" w:rsidRPr="000C56C3">
        <w:rPr>
          <w:rStyle w:val="eop"/>
          <w:rFonts w:cstheme="minorHAnsi"/>
          <w:szCs w:val="24"/>
        </w:rPr>
        <w:t> </w:t>
      </w:r>
    </w:p>
    <w:p w14:paraId="63D16529" w14:textId="77777777" w:rsidR="00B23315" w:rsidRPr="000C56C3" w:rsidRDefault="00B23315" w:rsidP="00EE4CBE">
      <w:pPr>
        <w:spacing w:after="120"/>
        <w:rPr>
          <w:rFonts w:cstheme="minorHAnsi"/>
          <w:szCs w:val="24"/>
        </w:rPr>
      </w:pPr>
      <w:r w:rsidRPr="000C56C3">
        <w:rPr>
          <w:rStyle w:val="normaltextrun"/>
          <w:rFonts w:cstheme="minorHAnsi"/>
          <w:szCs w:val="24"/>
        </w:rPr>
        <w:t xml:space="preserve">CCHV </w:t>
      </w:r>
      <w:r w:rsidR="004D65CF">
        <w:rPr>
          <w:rFonts w:cstheme="minorHAnsi"/>
          <w:szCs w:val="24"/>
        </w:rPr>
        <w:t>had 104</w:t>
      </w:r>
      <w:r w:rsidRPr="000C56C3">
        <w:rPr>
          <w:rFonts w:cstheme="minorHAnsi"/>
          <w:szCs w:val="24"/>
        </w:rPr>
        <w:t xml:space="preserve"> confirmed SAC 1 and 2 adverse events from 1 July 2023 to 30 June 2024. Six events occurred in the previous reporting periods but were either not reported or not commissioned until</w:t>
      </w:r>
      <w:r w:rsidR="004D65CF">
        <w:rPr>
          <w:rFonts w:cstheme="minorHAnsi"/>
          <w:szCs w:val="24"/>
        </w:rPr>
        <w:t xml:space="preserve"> this reporting year. Of the 104</w:t>
      </w:r>
      <w:r w:rsidRPr="000C56C3">
        <w:rPr>
          <w:rFonts w:cstheme="minorHAnsi"/>
          <w:szCs w:val="24"/>
        </w:rPr>
        <w:t xml:space="preserve"> serious adverse events for 2023/2024 there were a </w:t>
      </w:r>
      <w:r w:rsidR="004D65CF">
        <w:rPr>
          <w:rFonts w:cstheme="minorHAnsi"/>
          <w:szCs w:val="24"/>
        </w:rPr>
        <w:t>total of 19 SAC 1 events, and 85</w:t>
      </w:r>
      <w:r w:rsidRPr="000C56C3">
        <w:rPr>
          <w:rFonts w:cstheme="minorHAnsi"/>
          <w:szCs w:val="24"/>
        </w:rPr>
        <w:t xml:space="preserve"> SAC 2 events.</w:t>
      </w:r>
    </w:p>
    <w:p w14:paraId="49368ADF" w14:textId="77777777" w:rsidR="00C839C4" w:rsidRDefault="00637B84" w:rsidP="00EE4CBE">
      <w:pPr>
        <w:spacing w:after="120"/>
        <w:rPr>
          <w:rStyle w:val="normaltextrun"/>
          <w:rFonts w:cstheme="minorHAnsi"/>
          <w:szCs w:val="24"/>
        </w:rPr>
      </w:pPr>
      <w:r w:rsidRPr="000C56C3">
        <w:rPr>
          <w:rStyle w:val="normaltextrun"/>
          <w:rFonts w:cstheme="minorHAnsi"/>
          <w:szCs w:val="24"/>
        </w:rPr>
        <w:t xml:space="preserve">Each of these events involved a patient experiencing harm while in our care. We acknowledge the distress and grief that occurs as a result of health care related harm and sincerely apologise to those patients and whānau affected by the events in this report. CCHV is committed to improving how we learn from these experiences in order to better </w:t>
      </w:r>
      <w:r w:rsidR="00DC76A5">
        <w:rPr>
          <w:rStyle w:val="normaltextrun"/>
          <w:rFonts w:cstheme="minorHAnsi"/>
          <w:szCs w:val="24"/>
        </w:rPr>
        <w:t xml:space="preserve">deliver </w:t>
      </w:r>
      <w:r w:rsidRPr="000C56C3">
        <w:rPr>
          <w:rStyle w:val="normaltextrun"/>
          <w:rFonts w:cstheme="minorHAnsi"/>
          <w:szCs w:val="24"/>
        </w:rPr>
        <w:t>our services. This report also includes a summary of work we are doing to improve our services as a result of the recommendations from reviews into SAC 1 and 2 events</w:t>
      </w:r>
      <w:r w:rsidR="00054AE6">
        <w:rPr>
          <w:rStyle w:val="normaltextrun"/>
          <w:rFonts w:cstheme="minorHAnsi"/>
          <w:szCs w:val="24"/>
        </w:rPr>
        <w:t xml:space="preserve"> and other improvement projects</w:t>
      </w:r>
      <w:r w:rsidR="00F57361">
        <w:rPr>
          <w:rStyle w:val="normaltextrun"/>
          <w:rFonts w:cstheme="minorHAnsi"/>
          <w:szCs w:val="24"/>
        </w:rPr>
        <w:t>. </w:t>
      </w:r>
    </w:p>
    <w:p w14:paraId="100A85F0" w14:textId="2994AA03" w:rsidR="00F54119" w:rsidRPr="00C839C4" w:rsidRDefault="00F54119" w:rsidP="00B3691E">
      <w:pPr>
        <w:pStyle w:val="Figure"/>
        <w:spacing w:line="240" w:lineRule="auto"/>
        <w:rPr>
          <w:rFonts w:cstheme="minorHAnsi"/>
          <w:szCs w:val="24"/>
        </w:rPr>
      </w:pPr>
      <w:r>
        <w:t xml:space="preserve">Table </w:t>
      </w:r>
      <w:r>
        <w:fldChar w:fldCharType="begin"/>
      </w:r>
      <w:r>
        <w:instrText>SEQ Table \* ARABIC</w:instrText>
      </w:r>
      <w:r>
        <w:fldChar w:fldCharType="separate"/>
      </w:r>
      <w:r w:rsidR="00392FC2">
        <w:rPr>
          <w:noProof/>
        </w:rPr>
        <w:t>1</w:t>
      </w:r>
      <w:r>
        <w:fldChar w:fldCharType="end"/>
      </w:r>
      <w:r>
        <w:t xml:space="preserve">: </w:t>
      </w:r>
      <w:r w:rsidRPr="008960CD">
        <w:t xml:space="preserve">Total reported SAC 1 &amp; 2 adverse events for the last </w:t>
      </w:r>
      <w:r>
        <w:t>three financial years (2021-24)</w:t>
      </w:r>
    </w:p>
    <w:tbl>
      <w:tblPr>
        <w:tblStyle w:val="TeWhatuOra"/>
        <w:tblW w:w="5000" w:type="pct"/>
        <w:tblLook w:val="04A0" w:firstRow="1" w:lastRow="0" w:firstColumn="1" w:lastColumn="0" w:noHBand="0" w:noVBand="1"/>
      </w:tblPr>
      <w:tblGrid>
        <w:gridCol w:w="4678"/>
        <w:gridCol w:w="1701"/>
        <w:gridCol w:w="1701"/>
        <w:gridCol w:w="1558"/>
      </w:tblGrid>
      <w:tr w:rsidR="00637B84" w:rsidRPr="00637B84" w14:paraId="704A6BBE" w14:textId="77777777" w:rsidTr="00EE4C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14:paraId="7EC0FBBC" w14:textId="77777777" w:rsidR="00637B84" w:rsidRPr="00C839C4" w:rsidRDefault="00637B84" w:rsidP="00B274AB">
            <w:pPr>
              <w:rPr>
                <w:szCs w:val="24"/>
              </w:rPr>
            </w:pPr>
            <w:r w:rsidRPr="00C839C4">
              <w:rPr>
                <w:szCs w:val="24"/>
              </w:rPr>
              <w:t>Category*</w:t>
            </w:r>
          </w:p>
        </w:tc>
        <w:tc>
          <w:tcPr>
            <w:tcW w:w="1701" w:type="dxa"/>
          </w:tcPr>
          <w:p w14:paraId="4C865A4D" w14:textId="77777777" w:rsidR="00637B84" w:rsidRPr="00C839C4" w:rsidRDefault="00637B84" w:rsidP="00B274AB">
            <w:pPr>
              <w:cnfStyle w:val="100000000000" w:firstRow="1" w:lastRow="0" w:firstColumn="0" w:lastColumn="0" w:oddVBand="0" w:evenVBand="0" w:oddHBand="0" w:evenHBand="0" w:firstRowFirstColumn="0" w:firstRowLastColumn="0" w:lastRowFirstColumn="0" w:lastRowLastColumn="0"/>
              <w:rPr>
                <w:szCs w:val="24"/>
              </w:rPr>
            </w:pPr>
            <w:r w:rsidRPr="00C839C4">
              <w:rPr>
                <w:szCs w:val="24"/>
              </w:rPr>
              <w:t>2021/2022</w:t>
            </w:r>
          </w:p>
        </w:tc>
        <w:tc>
          <w:tcPr>
            <w:tcW w:w="1701" w:type="dxa"/>
          </w:tcPr>
          <w:p w14:paraId="59431151" w14:textId="77777777" w:rsidR="00637B84" w:rsidRPr="00C839C4" w:rsidRDefault="00637B84" w:rsidP="00B274AB">
            <w:pPr>
              <w:cnfStyle w:val="100000000000" w:firstRow="1" w:lastRow="0" w:firstColumn="0" w:lastColumn="0" w:oddVBand="0" w:evenVBand="0" w:oddHBand="0" w:evenHBand="0" w:firstRowFirstColumn="0" w:firstRowLastColumn="0" w:lastRowFirstColumn="0" w:lastRowLastColumn="0"/>
              <w:rPr>
                <w:szCs w:val="24"/>
              </w:rPr>
            </w:pPr>
            <w:r w:rsidRPr="00C839C4">
              <w:rPr>
                <w:szCs w:val="24"/>
              </w:rPr>
              <w:t>2022/2023</w:t>
            </w:r>
          </w:p>
        </w:tc>
        <w:tc>
          <w:tcPr>
            <w:tcW w:w="1558" w:type="dxa"/>
          </w:tcPr>
          <w:p w14:paraId="7CFC25FE" w14:textId="77777777" w:rsidR="00637B84" w:rsidRPr="00C839C4" w:rsidRDefault="00637B84" w:rsidP="00B274AB">
            <w:pPr>
              <w:cnfStyle w:val="100000000000" w:firstRow="1" w:lastRow="0" w:firstColumn="0" w:lastColumn="0" w:oddVBand="0" w:evenVBand="0" w:oddHBand="0" w:evenHBand="0" w:firstRowFirstColumn="0" w:firstRowLastColumn="0" w:lastRowFirstColumn="0" w:lastRowLastColumn="0"/>
              <w:rPr>
                <w:szCs w:val="24"/>
              </w:rPr>
            </w:pPr>
            <w:r w:rsidRPr="00C839C4">
              <w:rPr>
                <w:szCs w:val="24"/>
              </w:rPr>
              <w:t>2023/2024</w:t>
            </w:r>
          </w:p>
        </w:tc>
      </w:tr>
      <w:tr w:rsidR="00F54119" w:rsidRPr="00637B84" w14:paraId="78B3318B" w14:textId="77777777" w:rsidTr="00C839C4">
        <w:trPr>
          <w:cantSplit/>
        </w:trPr>
        <w:tc>
          <w:tcPr>
            <w:cnfStyle w:val="001000000000" w:firstRow="0" w:lastRow="0" w:firstColumn="1" w:lastColumn="0" w:oddVBand="0" w:evenVBand="0" w:oddHBand="0" w:evenHBand="0" w:firstRowFirstColumn="0" w:firstRowLastColumn="0" w:lastRowFirstColumn="0" w:lastRowLastColumn="0"/>
            <w:tcW w:w="4678" w:type="dxa"/>
          </w:tcPr>
          <w:p w14:paraId="72145C92" w14:textId="77777777" w:rsidR="00F54119" w:rsidRPr="00C839C4" w:rsidRDefault="00F54119" w:rsidP="00B274AB">
            <w:pPr>
              <w:rPr>
                <w:b w:val="0"/>
                <w:szCs w:val="24"/>
              </w:rPr>
            </w:pPr>
            <w:r w:rsidRPr="00C839C4">
              <w:rPr>
                <w:rStyle w:val="normaltextrun"/>
                <w:rFonts w:cs="Arial"/>
                <w:b w:val="0"/>
                <w:szCs w:val="24"/>
              </w:rPr>
              <w:t>Clinical administration</w:t>
            </w:r>
            <w:r w:rsidRPr="00C839C4">
              <w:rPr>
                <w:rStyle w:val="eop"/>
                <w:rFonts w:cs="Arial"/>
                <w:b w:val="0"/>
                <w:szCs w:val="24"/>
              </w:rPr>
              <w:t> </w:t>
            </w:r>
          </w:p>
        </w:tc>
        <w:tc>
          <w:tcPr>
            <w:tcW w:w="1701" w:type="dxa"/>
          </w:tcPr>
          <w:p w14:paraId="12303352" w14:textId="77777777" w:rsidR="00F54119" w:rsidRPr="00C839C4" w:rsidRDefault="00F54119" w:rsidP="00B274AB">
            <w:pPr>
              <w:cnfStyle w:val="000000000000" w:firstRow="0" w:lastRow="0" w:firstColumn="0" w:lastColumn="0" w:oddVBand="0" w:evenVBand="0" w:oddHBand="0" w:evenHBand="0" w:firstRowFirstColumn="0" w:firstRowLastColumn="0" w:lastRowFirstColumn="0" w:lastRowLastColumn="0"/>
              <w:rPr>
                <w:szCs w:val="24"/>
              </w:rPr>
            </w:pPr>
            <w:r w:rsidRPr="00C839C4">
              <w:rPr>
                <w:rStyle w:val="normaltextrun"/>
                <w:rFonts w:cs="Arial"/>
                <w:szCs w:val="24"/>
              </w:rPr>
              <w:t>11</w:t>
            </w:r>
            <w:r w:rsidRPr="00C839C4">
              <w:rPr>
                <w:rStyle w:val="eop"/>
                <w:rFonts w:cs="Arial"/>
                <w:szCs w:val="24"/>
              </w:rPr>
              <w:t> </w:t>
            </w:r>
          </w:p>
        </w:tc>
        <w:tc>
          <w:tcPr>
            <w:tcW w:w="1701" w:type="dxa"/>
          </w:tcPr>
          <w:p w14:paraId="5E2D8204" w14:textId="77777777" w:rsidR="00F54119" w:rsidRPr="00C839C4" w:rsidRDefault="00F54119" w:rsidP="00B274AB">
            <w:pPr>
              <w:cnfStyle w:val="000000000000" w:firstRow="0" w:lastRow="0" w:firstColumn="0" w:lastColumn="0" w:oddVBand="0" w:evenVBand="0" w:oddHBand="0" w:evenHBand="0" w:firstRowFirstColumn="0" w:firstRowLastColumn="0" w:lastRowFirstColumn="0" w:lastRowLastColumn="0"/>
              <w:rPr>
                <w:szCs w:val="24"/>
              </w:rPr>
            </w:pPr>
            <w:r w:rsidRPr="00C839C4">
              <w:rPr>
                <w:rStyle w:val="normaltextrun"/>
                <w:rFonts w:cs="Arial"/>
                <w:szCs w:val="24"/>
              </w:rPr>
              <w:t>6</w:t>
            </w:r>
            <w:r w:rsidRPr="00C839C4">
              <w:rPr>
                <w:rStyle w:val="eop"/>
                <w:rFonts w:cs="Arial"/>
                <w:szCs w:val="24"/>
              </w:rPr>
              <w:t> </w:t>
            </w:r>
          </w:p>
        </w:tc>
        <w:tc>
          <w:tcPr>
            <w:tcW w:w="1558" w:type="dxa"/>
          </w:tcPr>
          <w:p w14:paraId="12E1BA42" w14:textId="77777777" w:rsidR="00F54119" w:rsidRPr="00C839C4" w:rsidRDefault="00F54119" w:rsidP="00B274AB">
            <w:pPr>
              <w:cnfStyle w:val="000000000000" w:firstRow="0" w:lastRow="0" w:firstColumn="0" w:lastColumn="0" w:oddVBand="0" w:evenVBand="0" w:oddHBand="0" w:evenHBand="0" w:firstRowFirstColumn="0" w:firstRowLastColumn="0" w:lastRowFirstColumn="0" w:lastRowLastColumn="0"/>
              <w:rPr>
                <w:szCs w:val="24"/>
              </w:rPr>
            </w:pPr>
            <w:r w:rsidRPr="00C839C4">
              <w:rPr>
                <w:rStyle w:val="normaltextrun"/>
                <w:rFonts w:cs="Arial"/>
                <w:szCs w:val="24"/>
              </w:rPr>
              <w:t>2</w:t>
            </w:r>
            <w:r w:rsidRPr="00C839C4">
              <w:rPr>
                <w:rStyle w:val="eop"/>
                <w:rFonts w:cs="Arial"/>
                <w:szCs w:val="24"/>
              </w:rPr>
              <w:t> </w:t>
            </w:r>
          </w:p>
        </w:tc>
      </w:tr>
      <w:tr w:rsidR="00054AE6" w:rsidRPr="00637B84" w14:paraId="603F5FB2" w14:textId="77777777" w:rsidTr="00C839C4">
        <w:tc>
          <w:tcPr>
            <w:cnfStyle w:val="001000000000" w:firstRow="0" w:lastRow="0" w:firstColumn="1" w:lastColumn="0" w:oddVBand="0" w:evenVBand="0" w:oddHBand="0" w:evenHBand="0" w:firstRowFirstColumn="0" w:firstRowLastColumn="0" w:lastRowFirstColumn="0" w:lastRowLastColumn="0"/>
            <w:tcW w:w="4678" w:type="dxa"/>
          </w:tcPr>
          <w:p w14:paraId="0D808AD9" w14:textId="77777777" w:rsidR="00054AE6" w:rsidRPr="00C839C4" w:rsidRDefault="008869DB" w:rsidP="00B274AB">
            <w:pPr>
              <w:rPr>
                <w:rStyle w:val="normaltextrun"/>
                <w:rFonts w:cs="Arial"/>
                <w:szCs w:val="24"/>
              </w:rPr>
            </w:pPr>
            <w:r w:rsidRPr="00C839C4">
              <w:rPr>
                <w:rStyle w:val="normaltextrun"/>
                <w:rFonts w:cs="Arial"/>
                <w:b w:val="0"/>
                <w:szCs w:val="24"/>
              </w:rPr>
              <w:t>Clinical process/</w:t>
            </w:r>
            <w:r w:rsidR="00054AE6" w:rsidRPr="00C839C4">
              <w:rPr>
                <w:rStyle w:val="normaltextrun"/>
                <w:rFonts w:cs="Arial"/>
                <w:b w:val="0"/>
                <w:szCs w:val="24"/>
              </w:rPr>
              <w:t>procedure </w:t>
            </w:r>
            <w:r w:rsidR="00054AE6" w:rsidRPr="00C839C4">
              <w:rPr>
                <w:rStyle w:val="eop"/>
                <w:rFonts w:cs="Arial"/>
                <w:b w:val="0"/>
                <w:szCs w:val="24"/>
              </w:rPr>
              <w:t> </w:t>
            </w:r>
          </w:p>
        </w:tc>
        <w:tc>
          <w:tcPr>
            <w:tcW w:w="1701" w:type="dxa"/>
          </w:tcPr>
          <w:p w14:paraId="175B694C" w14:textId="77777777" w:rsidR="00054AE6" w:rsidRPr="00C839C4" w:rsidRDefault="00054AE6" w:rsidP="00B274AB">
            <w:pPr>
              <w:cnfStyle w:val="000000000000" w:firstRow="0" w:lastRow="0" w:firstColumn="0" w:lastColumn="0" w:oddVBand="0" w:evenVBand="0" w:oddHBand="0" w:evenHBand="0" w:firstRowFirstColumn="0" w:firstRowLastColumn="0" w:lastRowFirstColumn="0" w:lastRowLastColumn="0"/>
              <w:rPr>
                <w:rStyle w:val="normaltextrun"/>
                <w:rFonts w:cs="Arial"/>
                <w:szCs w:val="24"/>
              </w:rPr>
            </w:pPr>
            <w:r w:rsidRPr="00C839C4">
              <w:rPr>
                <w:rStyle w:val="normaltextrun"/>
                <w:rFonts w:cs="Arial"/>
                <w:szCs w:val="24"/>
              </w:rPr>
              <w:t>63</w:t>
            </w:r>
            <w:r w:rsidRPr="00C839C4">
              <w:rPr>
                <w:rStyle w:val="eop"/>
                <w:rFonts w:cs="Arial"/>
                <w:szCs w:val="24"/>
              </w:rPr>
              <w:t> </w:t>
            </w:r>
          </w:p>
        </w:tc>
        <w:tc>
          <w:tcPr>
            <w:tcW w:w="1701" w:type="dxa"/>
          </w:tcPr>
          <w:p w14:paraId="28E34082" w14:textId="77777777" w:rsidR="00054AE6" w:rsidRPr="00C839C4" w:rsidRDefault="00054AE6" w:rsidP="00B274AB">
            <w:pPr>
              <w:cnfStyle w:val="000000000000" w:firstRow="0" w:lastRow="0" w:firstColumn="0" w:lastColumn="0" w:oddVBand="0" w:evenVBand="0" w:oddHBand="0" w:evenHBand="0" w:firstRowFirstColumn="0" w:firstRowLastColumn="0" w:lastRowFirstColumn="0" w:lastRowLastColumn="0"/>
              <w:rPr>
                <w:rStyle w:val="normaltextrun"/>
                <w:rFonts w:cs="Arial"/>
                <w:szCs w:val="24"/>
              </w:rPr>
            </w:pPr>
            <w:r w:rsidRPr="00C839C4">
              <w:rPr>
                <w:rStyle w:val="normaltextrun"/>
                <w:rFonts w:cs="Arial"/>
                <w:szCs w:val="24"/>
              </w:rPr>
              <w:t>84</w:t>
            </w:r>
          </w:p>
        </w:tc>
        <w:tc>
          <w:tcPr>
            <w:tcW w:w="1558" w:type="dxa"/>
          </w:tcPr>
          <w:p w14:paraId="312E8209" w14:textId="77777777" w:rsidR="00054AE6" w:rsidRPr="00C839C4" w:rsidRDefault="00054AE6" w:rsidP="00B274AB">
            <w:pPr>
              <w:cnfStyle w:val="000000000000" w:firstRow="0" w:lastRow="0" w:firstColumn="0" w:lastColumn="0" w:oddVBand="0" w:evenVBand="0" w:oddHBand="0" w:evenHBand="0" w:firstRowFirstColumn="0" w:firstRowLastColumn="0" w:lastRowFirstColumn="0" w:lastRowLastColumn="0"/>
              <w:rPr>
                <w:rStyle w:val="normaltextrun"/>
                <w:rFonts w:cs="Arial"/>
                <w:szCs w:val="24"/>
              </w:rPr>
            </w:pPr>
            <w:r w:rsidRPr="00C839C4">
              <w:rPr>
                <w:rStyle w:val="normaltextrun"/>
                <w:rFonts w:cs="Arial"/>
                <w:szCs w:val="24"/>
              </w:rPr>
              <w:t>58</w:t>
            </w:r>
          </w:p>
        </w:tc>
      </w:tr>
      <w:tr w:rsidR="00F54119" w:rsidRPr="00637B84" w14:paraId="0E489375" w14:textId="77777777" w:rsidTr="00C839C4">
        <w:tc>
          <w:tcPr>
            <w:cnfStyle w:val="001000000000" w:firstRow="0" w:lastRow="0" w:firstColumn="1" w:lastColumn="0" w:oddVBand="0" w:evenVBand="0" w:oddHBand="0" w:evenHBand="0" w:firstRowFirstColumn="0" w:firstRowLastColumn="0" w:lastRowFirstColumn="0" w:lastRowLastColumn="0"/>
            <w:tcW w:w="4678" w:type="dxa"/>
          </w:tcPr>
          <w:p w14:paraId="7A4713FD" w14:textId="77777777" w:rsidR="00F54119" w:rsidRPr="00C839C4" w:rsidRDefault="00F54119" w:rsidP="00B274AB">
            <w:pPr>
              <w:rPr>
                <w:b w:val="0"/>
                <w:szCs w:val="24"/>
              </w:rPr>
            </w:pPr>
            <w:r w:rsidRPr="00C839C4">
              <w:rPr>
                <w:rStyle w:val="normaltextrun"/>
                <w:rFonts w:cs="Arial"/>
                <w:b w:val="0"/>
                <w:szCs w:val="24"/>
              </w:rPr>
              <w:t>Documentation</w:t>
            </w:r>
            <w:r w:rsidRPr="00C839C4">
              <w:rPr>
                <w:rStyle w:val="eop"/>
                <w:rFonts w:cs="Arial"/>
                <w:b w:val="0"/>
                <w:szCs w:val="24"/>
              </w:rPr>
              <w:t> </w:t>
            </w:r>
          </w:p>
        </w:tc>
        <w:tc>
          <w:tcPr>
            <w:tcW w:w="1701" w:type="dxa"/>
          </w:tcPr>
          <w:p w14:paraId="13D6D96F" w14:textId="77777777" w:rsidR="00F54119" w:rsidRPr="00C839C4" w:rsidRDefault="00F54119" w:rsidP="00B274AB">
            <w:pPr>
              <w:cnfStyle w:val="000000000000" w:firstRow="0" w:lastRow="0" w:firstColumn="0" w:lastColumn="0" w:oddVBand="0" w:evenVBand="0" w:oddHBand="0" w:evenHBand="0" w:firstRowFirstColumn="0" w:firstRowLastColumn="0" w:lastRowFirstColumn="0" w:lastRowLastColumn="0"/>
              <w:rPr>
                <w:szCs w:val="24"/>
              </w:rPr>
            </w:pPr>
            <w:r w:rsidRPr="00C839C4">
              <w:rPr>
                <w:rStyle w:val="normaltextrun"/>
                <w:rFonts w:cs="Arial"/>
                <w:szCs w:val="24"/>
              </w:rPr>
              <w:t>0</w:t>
            </w:r>
            <w:r w:rsidRPr="00C839C4">
              <w:rPr>
                <w:rStyle w:val="eop"/>
                <w:rFonts w:cs="Arial"/>
                <w:szCs w:val="24"/>
              </w:rPr>
              <w:t> </w:t>
            </w:r>
          </w:p>
        </w:tc>
        <w:tc>
          <w:tcPr>
            <w:tcW w:w="1701" w:type="dxa"/>
          </w:tcPr>
          <w:p w14:paraId="34602901" w14:textId="77777777" w:rsidR="00F54119" w:rsidRPr="00C839C4" w:rsidRDefault="00F54119" w:rsidP="00B274AB">
            <w:pPr>
              <w:cnfStyle w:val="000000000000" w:firstRow="0" w:lastRow="0" w:firstColumn="0" w:lastColumn="0" w:oddVBand="0" w:evenVBand="0" w:oddHBand="0" w:evenHBand="0" w:firstRowFirstColumn="0" w:firstRowLastColumn="0" w:lastRowFirstColumn="0" w:lastRowLastColumn="0"/>
              <w:rPr>
                <w:szCs w:val="24"/>
              </w:rPr>
            </w:pPr>
            <w:r w:rsidRPr="00C839C4">
              <w:rPr>
                <w:rStyle w:val="normaltextrun"/>
                <w:rFonts w:cs="Arial"/>
                <w:szCs w:val="24"/>
              </w:rPr>
              <w:t>0</w:t>
            </w:r>
            <w:r w:rsidRPr="00C839C4">
              <w:rPr>
                <w:rStyle w:val="eop"/>
                <w:rFonts w:cs="Arial"/>
                <w:szCs w:val="24"/>
              </w:rPr>
              <w:t> </w:t>
            </w:r>
          </w:p>
        </w:tc>
        <w:tc>
          <w:tcPr>
            <w:tcW w:w="1558" w:type="dxa"/>
          </w:tcPr>
          <w:p w14:paraId="6811CF3F" w14:textId="77777777" w:rsidR="00F54119" w:rsidRPr="00C839C4" w:rsidRDefault="00F54119" w:rsidP="00B274AB">
            <w:pPr>
              <w:cnfStyle w:val="000000000000" w:firstRow="0" w:lastRow="0" w:firstColumn="0" w:lastColumn="0" w:oddVBand="0" w:evenVBand="0" w:oddHBand="0" w:evenHBand="0" w:firstRowFirstColumn="0" w:firstRowLastColumn="0" w:lastRowFirstColumn="0" w:lastRowLastColumn="0"/>
              <w:rPr>
                <w:szCs w:val="24"/>
              </w:rPr>
            </w:pPr>
            <w:r w:rsidRPr="00C839C4">
              <w:rPr>
                <w:rStyle w:val="normaltextrun"/>
                <w:rFonts w:cs="Arial"/>
                <w:szCs w:val="24"/>
              </w:rPr>
              <w:t>2</w:t>
            </w:r>
            <w:r w:rsidRPr="00C839C4">
              <w:rPr>
                <w:rStyle w:val="eop"/>
                <w:rFonts w:cs="Arial"/>
                <w:szCs w:val="24"/>
              </w:rPr>
              <w:t> </w:t>
            </w:r>
          </w:p>
        </w:tc>
      </w:tr>
      <w:tr w:rsidR="00F54119" w:rsidRPr="00637B84" w14:paraId="05167CD0" w14:textId="77777777" w:rsidTr="00C839C4">
        <w:tc>
          <w:tcPr>
            <w:cnfStyle w:val="001000000000" w:firstRow="0" w:lastRow="0" w:firstColumn="1" w:lastColumn="0" w:oddVBand="0" w:evenVBand="0" w:oddHBand="0" w:evenHBand="0" w:firstRowFirstColumn="0" w:firstRowLastColumn="0" w:lastRowFirstColumn="0" w:lastRowLastColumn="0"/>
            <w:tcW w:w="4678" w:type="dxa"/>
          </w:tcPr>
          <w:p w14:paraId="114DB4BE" w14:textId="77777777" w:rsidR="00F54119" w:rsidRPr="00C839C4" w:rsidRDefault="00F54119" w:rsidP="00B274AB">
            <w:pPr>
              <w:rPr>
                <w:b w:val="0"/>
                <w:szCs w:val="24"/>
              </w:rPr>
            </w:pPr>
            <w:r w:rsidRPr="00C839C4">
              <w:rPr>
                <w:rStyle w:val="normaltextrun"/>
                <w:rFonts w:cs="Arial"/>
                <w:b w:val="0"/>
                <w:szCs w:val="24"/>
              </w:rPr>
              <w:t>Healthcare associated infection (HAI)</w:t>
            </w:r>
            <w:r w:rsidRPr="00C839C4">
              <w:rPr>
                <w:rStyle w:val="eop"/>
                <w:rFonts w:cs="Arial"/>
                <w:b w:val="0"/>
                <w:szCs w:val="24"/>
              </w:rPr>
              <w:t> </w:t>
            </w:r>
          </w:p>
        </w:tc>
        <w:tc>
          <w:tcPr>
            <w:tcW w:w="1701" w:type="dxa"/>
          </w:tcPr>
          <w:p w14:paraId="6D1B8A34" w14:textId="77777777" w:rsidR="00F54119" w:rsidRPr="00C839C4" w:rsidRDefault="00F54119" w:rsidP="00B274AB">
            <w:pPr>
              <w:cnfStyle w:val="000000000000" w:firstRow="0" w:lastRow="0" w:firstColumn="0" w:lastColumn="0" w:oddVBand="0" w:evenVBand="0" w:oddHBand="0" w:evenHBand="0" w:firstRowFirstColumn="0" w:firstRowLastColumn="0" w:lastRowFirstColumn="0" w:lastRowLastColumn="0"/>
              <w:rPr>
                <w:szCs w:val="24"/>
              </w:rPr>
            </w:pPr>
            <w:r w:rsidRPr="00C839C4">
              <w:rPr>
                <w:rStyle w:val="normaltextrun"/>
                <w:rFonts w:cs="Arial"/>
                <w:szCs w:val="24"/>
              </w:rPr>
              <w:t>1</w:t>
            </w:r>
            <w:r w:rsidRPr="00C839C4">
              <w:rPr>
                <w:rStyle w:val="eop"/>
                <w:rFonts w:cs="Arial"/>
                <w:szCs w:val="24"/>
              </w:rPr>
              <w:t> </w:t>
            </w:r>
          </w:p>
        </w:tc>
        <w:tc>
          <w:tcPr>
            <w:tcW w:w="1701" w:type="dxa"/>
          </w:tcPr>
          <w:p w14:paraId="5491DB09" w14:textId="77777777" w:rsidR="00F54119" w:rsidRPr="00C839C4" w:rsidRDefault="00F54119" w:rsidP="00B274AB">
            <w:pPr>
              <w:cnfStyle w:val="000000000000" w:firstRow="0" w:lastRow="0" w:firstColumn="0" w:lastColumn="0" w:oddVBand="0" w:evenVBand="0" w:oddHBand="0" w:evenHBand="0" w:firstRowFirstColumn="0" w:firstRowLastColumn="0" w:lastRowFirstColumn="0" w:lastRowLastColumn="0"/>
              <w:rPr>
                <w:szCs w:val="24"/>
              </w:rPr>
            </w:pPr>
            <w:r w:rsidRPr="00C839C4">
              <w:rPr>
                <w:rStyle w:val="normaltextrun"/>
                <w:rFonts w:cs="Arial"/>
                <w:szCs w:val="24"/>
              </w:rPr>
              <w:t>3</w:t>
            </w:r>
            <w:r w:rsidRPr="00C839C4">
              <w:rPr>
                <w:rStyle w:val="eop"/>
                <w:rFonts w:cs="Arial"/>
                <w:szCs w:val="24"/>
              </w:rPr>
              <w:t> </w:t>
            </w:r>
          </w:p>
        </w:tc>
        <w:tc>
          <w:tcPr>
            <w:tcW w:w="1558" w:type="dxa"/>
          </w:tcPr>
          <w:p w14:paraId="7A8CC2B4" w14:textId="77777777" w:rsidR="00F54119" w:rsidRPr="00C839C4" w:rsidRDefault="00F54119" w:rsidP="00B274AB">
            <w:pPr>
              <w:cnfStyle w:val="000000000000" w:firstRow="0" w:lastRow="0" w:firstColumn="0" w:lastColumn="0" w:oddVBand="0" w:evenVBand="0" w:oddHBand="0" w:evenHBand="0" w:firstRowFirstColumn="0" w:firstRowLastColumn="0" w:lastRowFirstColumn="0" w:lastRowLastColumn="0"/>
              <w:rPr>
                <w:szCs w:val="24"/>
              </w:rPr>
            </w:pPr>
            <w:r w:rsidRPr="00C839C4">
              <w:rPr>
                <w:rStyle w:val="normaltextrun"/>
                <w:rFonts w:cs="Arial"/>
                <w:szCs w:val="24"/>
              </w:rPr>
              <w:t>1</w:t>
            </w:r>
            <w:r w:rsidRPr="00C839C4">
              <w:rPr>
                <w:rStyle w:val="eop"/>
                <w:rFonts w:cs="Arial"/>
                <w:szCs w:val="24"/>
              </w:rPr>
              <w:t> </w:t>
            </w:r>
          </w:p>
        </w:tc>
      </w:tr>
      <w:tr w:rsidR="00F54119" w:rsidRPr="00637B84" w14:paraId="0FBC6CF5" w14:textId="77777777" w:rsidTr="00C839C4">
        <w:tc>
          <w:tcPr>
            <w:cnfStyle w:val="001000000000" w:firstRow="0" w:lastRow="0" w:firstColumn="1" w:lastColumn="0" w:oddVBand="0" w:evenVBand="0" w:oddHBand="0" w:evenHBand="0" w:firstRowFirstColumn="0" w:firstRowLastColumn="0" w:lastRowFirstColumn="0" w:lastRowLastColumn="0"/>
            <w:tcW w:w="4678" w:type="dxa"/>
          </w:tcPr>
          <w:p w14:paraId="4ABEF022" w14:textId="77777777" w:rsidR="00F54119" w:rsidRPr="00C839C4" w:rsidRDefault="00F54119" w:rsidP="00B274AB">
            <w:pPr>
              <w:rPr>
                <w:b w:val="0"/>
                <w:szCs w:val="24"/>
              </w:rPr>
            </w:pPr>
            <w:r w:rsidRPr="00C839C4">
              <w:rPr>
                <w:rStyle w:val="normaltextrun"/>
                <w:rFonts w:cs="Arial"/>
                <w:b w:val="0"/>
                <w:szCs w:val="24"/>
              </w:rPr>
              <w:t>Medication</w:t>
            </w:r>
            <w:r w:rsidR="008869DB" w:rsidRPr="00C839C4">
              <w:rPr>
                <w:rStyle w:val="normaltextrun"/>
                <w:rFonts w:cs="Arial"/>
                <w:b w:val="0"/>
                <w:szCs w:val="24"/>
              </w:rPr>
              <w:t>/</w:t>
            </w:r>
            <w:r w:rsidRPr="00C839C4">
              <w:rPr>
                <w:rStyle w:val="normaltextrun"/>
                <w:rFonts w:cs="Arial"/>
                <w:b w:val="0"/>
                <w:szCs w:val="24"/>
              </w:rPr>
              <w:t>intravenous</w:t>
            </w:r>
            <w:r w:rsidR="008869DB" w:rsidRPr="00C839C4">
              <w:rPr>
                <w:rStyle w:val="normaltextrun"/>
                <w:rFonts w:cs="Arial"/>
                <w:b w:val="0"/>
                <w:szCs w:val="24"/>
              </w:rPr>
              <w:t xml:space="preserve"> (IV)</w:t>
            </w:r>
            <w:r w:rsidRPr="00C839C4">
              <w:rPr>
                <w:rStyle w:val="normaltextrun"/>
                <w:rFonts w:cs="Arial"/>
                <w:b w:val="0"/>
                <w:szCs w:val="24"/>
              </w:rPr>
              <w:t xml:space="preserve"> fluids</w:t>
            </w:r>
            <w:r w:rsidRPr="00C839C4">
              <w:rPr>
                <w:rStyle w:val="eop"/>
                <w:rFonts w:cs="Arial"/>
                <w:b w:val="0"/>
                <w:szCs w:val="24"/>
              </w:rPr>
              <w:t> </w:t>
            </w:r>
          </w:p>
        </w:tc>
        <w:tc>
          <w:tcPr>
            <w:tcW w:w="1701" w:type="dxa"/>
          </w:tcPr>
          <w:p w14:paraId="1A0F2783" w14:textId="77777777" w:rsidR="00F54119" w:rsidRPr="00C839C4" w:rsidRDefault="00F54119" w:rsidP="00B274AB">
            <w:pPr>
              <w:cnfStyle w:val="000000000000" w:firstRow="0" w:lastRow="0" w:firstColumn="0" w:lastColumn="0" w:oddVBand="0" w:evenVBand="0" w:oddHBand="0" w:evenHBand="0" w:firstRowFirstColumn="0" w:firstRowLastColumn="0" w:lastRowFirstColumn="0" w:lastRowLastColumn="0"/>
              <w:rPr>
                <w:szCs w:val="24"/>
              </w:rPr>
            </w:pPr>
            <w:r w:rsidRPr="00C839C4">
              <w:rPr>
                <w:rStyle w:val="normaltextrun"/>
                <w:rFonts w:cs="Arial"/>
                <w:szCs w:val="24"/>
              </w:rPr>
              <w:t>9</w:t>
            </w:r>
            <w:r w:rsidRPr="00C839C4">
              <w:rPr>
                <w:rStyle w:val="eop"/>
                <w:rFonts w:cs="Arial"/>
                <w:szCs w:val="24"/>
              </w:rPr>
              <w:t> </w:t>
            </w:r>
          </w:p>
        </w:tc>
        <w:tc>
          <w:tcPr>
            <w:tcW w:w="1701" w:type="dxa"/>
          </w:tcPr>
          <w:p w14:paraId="526B9A4A" w14:textId="77777777" w:rsidR="00F54119" w:rsidRPr="00C839C4" w:rsidRDefault="00F54119" w:rsidP="00B274AB">
            <w:pPr>
              <w:cnfStyle w:val="000000000000" w:firstRow="0" w:lastRow="0" w:firstColumn="0" w:lastColumn="0" w:oddVBand="0" w:evenVBand="0" w:oddHBand="0" w:evenHBand="0" w:firstRowFirstColumn="0" w:firstRowLastColumn="0" w:lastRowFirstColumn="0" w:lastRowLastColumn="0"/>
              <w:rPr>
                <w:szCs w:val="24"/>
              </w:rPr>
            </w:pPr>
            <w:r w:rsidRPr="00C839C4">
              <w:rPr>
                <w:rStyle w:val="normaltextrun"/>
                <w:rFonts w:cs="Arial"/>
                <w:szCs w:val="24"/>
              </w:rPr>
              <w:t>7</w:t>
            </w:r>
            <w:r w:rsidRPr="00C839C4">
              <w:rPr>
                <w:rStyle w:val="eop"/>
                <w:rFonts w:cs="Arial"/>
                <w:szCs w:val="24"/>
              </w:rPr>
              <w:t> </w:t>
            </w:r>
          </w:p>
        </w:tc>
        <w:tc>
          <w:tcPr>
            <w:tcW w:w="1558" w:type="dxa"/>
          </w:tcPr>
          <w:p w14:paraId="050AF096" w14:textId="77777777" w:rsidR="00F54119" w:rsidRPr="00C839C4" w:rsidRDefault="00F54119" w:rsidP="00B274AB">
            <w:pPr>
              <w:cnfStyle w:val="000000000000" w:firstRow="0" w:lastRow="0" w:firstColumn="0" w:lastColumn="0" w:oddVBand="0" w:evenVBand="0" w:oddHBand="0" w:evenHBand="0" w:firstRowFirstColumn="0" w:firstRowLastColumn="0" w:lastRowFirstColumn="0" w:lastRowLastColumn="0"/>
              <w:rPr>
                <w:szCs w:val="24"/>
              </w:rPr>
            </w:pPr>
            <w:r w:rsidRPr="00C839C4">
              <w:rPr>
                <w:rStyle w:val="normaltextrun"/>
                <w:rFonts w:cs="Arial"/>
                <w:szCs w:val="24"/>
              </w:rPr>
              <w:t>7</w:t>
            </w:r>
            <w:r w:rsidRPr="00C839C4">
              <w:rPr>
                <w:rStyle w:val="eop"/>
                <w:rFonts w:cs="Arial"/>
                <w:szCs w:val="24"/>
              </w:rPr>
              <w:t> </w:t>
            </w:r>
          </w:p>
        </w:tc>
      </w:tr>
      <w:tr w:rsidR="00F54119" w:rsidRPr="00637B84" w14:paraId="2A3558F7" w14:textId="77777777" w:rsidTr="00C839C4">
        <w:tc>
          <w:tcPr>
            <w:cnfStyle w:val="001000000000" w:firstRow="0" w:lastRow="0" w:firstColumn="1" w:lastColumn="0" w:oddVBand="0" w:evenVBand="0" w:oddHBand="0" w:evenHBand="0" w:firstRowFirstColumn="0" w:firstRowLastColumn="0" w:lastRowFirstColumn="0" w:lastRowLastColumn="0"/>
            <w:tcW w:w="4678" w:type="dxa"/>
          </w:tcPr>
          <w:p w14:paraId="4AACAAE6" w14:textId="77777777" w:rsidR="00F54119" w:rsidRPr="00C839C4" w:rsidRDefault="00F54119" w:rsidP="00B274AB">
            <w:pPr>
              <w:rPr>
                <w:b w:val="0"/>
                <w:szCs w:val="24"/>
              </w:rPr>
            </w:pPr>
            <w:r w:rsidRPr="00C839C4">
              <w:rPr>
                <w:rStyle w:val="normaltextrun"/>
                <w:rFonts w:cs="Arial"/>
                <w:b w:val="0"/>
                <w:szCs w:val="24"/>
              </w:rPr>
              <w:t>Nutrition</w:t>
            </w:r>
            <w:r w:rsidRPr="00C839C4">
              <w:rPr>
                <w:rStyle w:val="eop"/>
                <w:rFonts w:cs="Arial"/>
                <w:b w:val="0"/>
                <w:szCs w:val="24"/>
              </w:rPr>
              <w:t> </w:t>
            </w:r>
          </w:p>
        </w:tc>
        <w:tc>
          <w:tcPr>
            <w:tcW w:w="1701" w:type="dxa"/>
          </w:tcPr>
          <w:p w14:paraId="5D2526B9" w14:textId="77777777" w:rsidR="00F54119" w:rsidRPr="00C839C4" w:rsidRDefault="00F54119" w:rsidP="00B274AB">
            <w:pPr>
              <w:cnfStyle w:val="000000000000" w:firstRow="0" w:lastRow="0" w:firstColumn="0" w:lastColumn="0" w:oddVBand="0" w:evenVBand="0" w:oddHBand="0" w:evenHBand="0" w:firstRowFirstColumn="0" w:firstRowLastColumn="0" w:lastRowFirstColumn="0" w:lastRowLastColumn="0"/>
              <w:rPr>
                <w:szCs w:val="24"/>
              </w:rPr>
            </w:pPr>
            <w:r w:rsidRPr="00C839C4">
              <w:rPr>
                <w:rStyle w:val="normaltextrun"/>
                <w:rFonts w:cs="Arial"/>
                <w:szCs w:val="24"/>
              </w:rPr>
              <w:t>0</w:t>
            </w:r>
            <w:r w:rsidRPr="00C839C4">
              <w:rPr>
                <w:rStyle w:val="eop"/>
                <w:rFonts w:cs="Arial"/>
                <w:szCs w:val="24"/>
              </w:rPr>
              <w:t> </w:t>
            </w:r>
          </w:p>
        </w:tc>
        <w:tc>
          <w:tcPr>
            <w:tcW w:w="1701" w:type="dxa"/>
          </w:tcPr>
          <w:p w14:paraId="754B79FF" w14:textId="77777777" w:rsidR="00F54119" w:rsidRPr="00C839C4" w:rsidRDefault="00F54119" w:rsidP="00B274AB">
            <w:pPr>
              <w:cnfStyle w:val="000000000000" w:firstRow="0" w:lastRow="0" w:firstColumn="0" w:lastColumn="0" w:oddVBand="0" w:evenVBand="0" w:oddHBand="0" w:evenHBand="0" w:firstRowFirstColumn="0" w:firstRowLastColumn="0" w:lastRowFirstColumn="0" w:lastRowLastColumn="0"/>
              <w:rPr>
                <w:szCs w:val="24"/>
              </w:rPr>
            </w:pPr>
            <w:r w:rsidRPr="00C839C4">
              <w:rPr>
                <w:rStyle w:val="normaltextrun"/>
                <w:rFonts w:cs="Arial"/>
                <w:szCs w:val="24"/>
              </w:rPr>
              <w:t>0</w:t>
            </w:r>
            <w:r w:rsidRPr="00C839C4">
              <w:rPr>
                <w:rStyle w:val="eop"/>
                <w:rFonts w:cs="Arial"/>
                <w:szCs w:val="24"/>
              </w:rPr>
              <w:t> </w:t>
            </w:r>
          </w:p>
        </w:tc>
        <w:tc>
          <w:tcPr>
            <w:tcW w:w="1558" w:type="dxa"/>
          </w:tcPr>
          <w:p w14:paraId="6B940FF7" w14:textId="77777777" w:rsidR="00F54119" w:rsidRPr="00C839C4" w:rsidRDefault="00F54119" w:rsidP="00B274AB">
            <w:pPr>
              <w:cnfStyle w:val="000000000000" w:firstRow="0" w:lastRow="0" w:firstColumn="0" w:lastColumn="0" w:oddVBand="0" w:evenVBand="0" w:oddHBand="0" w:evenHBand="0" w:firstRowFirstColumn="0" w:firstRowLastColumn="0" w:lastRowFirstColumn="0" w:lastRowLastColumn="0"/>
              <w:rPr>
                <w:szCs w:val="24"/>
              </w:rPr>
            </w:pPr>
            <w:r w:rsidRPr="00C839C4">
              <w:rPr>
                <w:rStyle w:val="normaltextrun"/>
                <w:rFonts w:cs="Arial"/>
                <w:szCs w:val="24"/>
              </w:rPr>
              <w:t>3</w:t>
            </w:r>
            <w:r w:rsidRPr="00C839C4">
              <w:rPr>
                <w:rStyle w:val="eop"/>
                <w:rFonts w:cs="Arial"/>
                <w:szCs w:val="24"/>
              </w:rPr>
              <w:t> </w:t>
            </w:r>
          </w:p>
        </w:tc>
      </w:tr>
      <w:tr w:rsidR="008869DB" w:rsidRPr="00637B84" w14:paraId="207CE110" w14:textId="77777777" w:rsidTr="00C839C4">
        <w:tc>
          <w:tcPr>
            <w:cnfStyle w:val="001000000000" w:firstRow="0" w:lastRow="0" w:firstColumn="1" w:lastColumn="0" w:oddVBand="0" w:evenVBand="0" w:oddHBand="0" w:evenHBand="0" w:firstRowFirstColumn="0" w:firstRowLastColumn="0" w:lastRowFirstColumn="0" w:lastRowLastColumn="0"/>
            <w:tcW w:w="4678" w:type="dxa"/>
          </w:tcPr>
          <w:p w14:paraId="5BA2B44D" w14:textId="77777777" w:rsidR="008869DB" w:rsidRPr="00C839C4" w:rsidRDefault="008869DB" w:rsidP="00B274AB">
            <w:pPr>
              <w:rPr>
                <w:rStyle w:val="normaltextrun"/>
                <w:rFonts w:cs="Arial"/>
                <w:b w:val="0"/>
                <w:szCs w:val="24"/>
              </w:rPr>
            </w:pPr>
            <w:r w:rsidRPr="00C839C4">
              <w:rPr>
                <w:rStyle w:val="normaltextrun"/>
                <w:rFonts w:cs="Arial"/>
                <w:b w:val="0"/>
                <w:szCs w:val="24"/>
              </w:rPr>
              <w:t>Medical device/equipment</w:t>
            </w:r>
            <w:r w:rsidRPr="00C839C4">
              <w:rPr>
                <w:rStyle w:val="eop"/>
                <w:rFonts w:cs="Arial"/>
                <w:b w:val="0"/>
                <w:szCs w:val="24"/>
              </w:rPr>
              <w:t> </w:t>
            </w:r>
          </w:p>
        </w:tc>
        <w:tc>
          <w:tcPr>
            <w:tcW w:w="1701" w:type="dxa"/>
          </w:tcPr>
          <w:p w14:paraId="0BEBCD23" w14:textId="77777777" w:rsidR="008869DB" w:rsidRPr="00C839C4" w:rsidRDefault="008869DB" w:rsidP="00B274AB">
            <w:pPr>
              <w:cnfStyle w:val="000000000000" w:firstRow="0" w:lastRow="0" w:firstColumn="0" w:lastColumn="0" w:oddVBand="0" w:evenVBand="0" w:oddHBand="0" w:evenHBand="0" w:firstRowFirstColumn="0" w:firstRowLastColumn="0" w:lastRowFirstColumn="0" w:lastRowLastColumn="0"/>
              <w:rPr>
                <w:rStyle w:val="normaltextrun"/>
                <w:rFonts w:cs="Arial"/>
                <w:szCs w:val="24"/>
              </w:rPr>
            </w:pPr>
            <w:r w:rsidRPr="00C839C4">
              <w:rPr>
                <w:rStyle w:val="normaltextrun"/>
                <w:rFonts w:cs="Arial"/>
                <w:szCs w:val="24"/>
              </w:rPr>
              <w:t>0</w:t>
            </w:r>
          </w:p>
        </w:tc>
        <w:tc>
          <w:tcPr>
            <w:tcW w:w="1701" w:type="dxa"/>
          </w:tcPr>
          <w:p w14:paraId="70295F0D" w14:textId="77777777" w:rsidR="008869DB" w:rsidRPr="00C839C4" w:rsidRDefault="008869DB" w:rsidP="00B274AB">
            <w:pPr>
              <w:cnfStyle w:val="000000000000" w:firstRow="0" w:lastRow="0" w:firstColumn="0" w:lastColumn="0" w:oddVBand="0" w:evenVBand="0" w:oddHBand="0" w:evenHBand="0" w:firstRowFirstColumn="0" w:firstRowLastColumn="0" w:lastRowFirstColumn="0" w:lastRowLastColumn="0"/>
              <w:rPr>
                <w:rStyle w:val="normaltextrun"/>
                <w:rFonts w:cs="Arial"/>
                <w:szCs w:val="24"/>
              </w:rPr>
            </w:pPr>
            <w:r w:rsidRPr="00C839C4">
              <w:rPr>
                <w:rStyle w:val="normaltextrun"/>
                <w:rFonts w:cs="Arial"/>
                <w:szCs w:val="24"/>
              </w:rPr>
              <w:t>1</w:t>
            </w:r>
            <w:r w:rsidRPr="00C839C4">
              <w:rPr>
                <w:rStyle w:val="eop"/>
                <w:rFonts w:cs="Arial"/>
                <w:szCs w:val="24"/>
              </w:rPr>
              <w:t> </w:t>
            </w:r>
          </w:p>
        </w:tc>
        <w:tc>
          <w:tcPr>
            <w:tcW w:w="1558" w:type="dxa"/>
          </w:tcPr>
          <w:p w14:paraId="7E305D6C" w14:textId="77777777" w:rsidR="008869DB" w:rsidRPr="00C839C4" w:rsidRDefault="008869DB" w:rsidP="00B274AB">
            <w:pPr>
              <w:cnfStyle w:val="000000000000" w:firstRow="0" w:lastRow="0" w:firstColumn="0" w:lastColumn="0" w:oddVBand="0" w:evenVBand="0" w:oddHBand="0" w:evenHBand="0" w:firstRowFirstColumn="0" w:firstRowLastColumn="0" w:lastRowFirstColumn="0" w:lastRowLastColumn="0"/>
              <w:rPr>
                <w:rStyle w:val="normaltextrun"/>
                <w:rFonts w:cs="Arial"/>
                <w:szCs w:val="24"/>
              </w:rPr>
            </w:pPr>
            <w:r w:rsidRPr="00C839C4">
              <w:rPr>
                <w:rStyle w:val="normaltextrun"/>
                <w:rFonts w:cs="Arial"/>
                <w:szCs w:val="24"/>
              </w:rPr>
              <w:t>1</w:t>
            </w:r>
            <w:r w:rsidRPr="00C839C4">
              <w:rPr>
                <w:rStyle w:val="eop"/>
                <w:rFonts w:cs="Arial"/>
                <w:szCs w:val="24"/>
              </w:rPr>
              <w:t> </w:t>
            </w:r>
          </w:p>
        </w:tc>
      </w:tr>
      <w:tr w:rsidR="00F54119" w:rsidRPr="00637B84" w14:paraId="2A2C5509" w14:textId="77777777" w:rsidTr="00C839C4">
        <w:tc>
          <w:tcPr>
            <w:cnfStyle w:val="001000000000" w:firstRow="0" w:lastRow="0" w:firstColumn="1" w:lastColumn="0" w:oddVBand="0" w:evenVBand="0" w:oddHBand="0" w:evenHBand="0" w:firstRowFirstColumn="0" w:firstRowLastColumn="0" w:lastRowFirstColumn="0" w:lastRowLastColumn="0"/>
            <w:tcW w:w="4678" w:type="dxa"/>
          </w:tcPr>
          <w:p w14:paraId="71D2DAC8" w14:textId="77777777" w:rsidR="00F54119" w:rsidRPr="00C839C4" w:rsidRDefault="00F54119" w:rsidP="00B274AB">
            <w:pPr>
              <w:rPr>
                <w:b w:val="0"/>
                <w:szCs w:val="24"/>
              </w:rPr>
            </w:pPr>
            <w:r w:rsidRPr="00C839C4">
              <w:rPr>
                <w:rStyle w:val="normaltextrun"/>
                <w:rFonts w:cs="Arial"/>
                <w:b w:val="0"/>
                <w:szCs w:val="24"/>
              </w:rPr>
              <w:t>Behaviour</w:t>
            </w:r>
            <w:r w:rsidRPr="00C839C4">
              <w:rPr>
                <w:rStyle w:val="eop"/>
                <w:rFonts w:cs="Arial"/>
                <w:b w:val="0"/>
                <w:szCs w:val="24"/>
              </w:rPr>
              <w:t> </w:t>
            </w:r>
          </w:p>
        </w:tc>
        <w:tc>
          <w:tcPr>
            <w:tcW w:w="1701" w:type="dxa"/>
          </w:tcPr>
          <w:p w14:paraId="41201ECC" w14:textId="77777777" w:rsidR="00F54119" w:rsidRPr="00C839C4" w:rsidRDefault="00F54119" w:rsidP="00B274AB">
            <w:pPr>
              <w:cnfStyle w:val="000000000000" w:firstRow="0" w:lastRow="0" w:firstColumn="0" w:lastColumn="0" w:oddVBand="0" w:evenVBand="0" w:oddHBand="0" w:evenHBand="0" w:firstRowFirstColumn="0" w:firstRowLastColumn="0" w:lastRowFirstColumn="0" w:lastRowLastColumn="0"/>
              <w:rPr>
                <w:szCs w:val="24"/>
              </w:rPr>
            </w:pPr>
            <w:r w:rsidRPr="00C839C4">
              <w:rPr>
                <w:rStyle w:val="normaltextrun"/>
                <w:rFonts w:cs="Arial"/>
                <w:szCs w:val="24"/>
              </w:rPr>
              <w:t>1</w:t>
            </w:r>
            <w:r w:rsidRPr="00C839C4">
              <w:rPr>
                <w:rStyle w:val="eop"/>
                <w:rFonts w:cs="Arial"/>
                <w:szCs w:val="24"/>
              </w:rPr>
              <w:t> </w:t>
            </w:r>
          </w:p>
        </w:tc>
        <w:tc>
          <w:tcPr>
            <w:tcW w:w="1701" w:type="dxa"/>
          </w:tcPr>
          <w:p w14:paraId="084A4092" w14:textId="77777777" w:rsidR="00F54119" w:rsidRPr="00C839C4" w:rsidRDefault="00F54119" w:rsidP="00B274AB">
            <w:pPr>
              <w:cnfStyle w:val="000000000000" w:firstRow="0" w:lastRow="0" w:firstColumn="0" w:lastColumn="0" w:oddVBand="0" w:evenVBand="0" w:oddHBand="0" w:evenHBand="0" w:firstRowFirstColumn="0" w:firstRowLastColumn="0" w:lastRowFirstColumn="0" w:lastRowLastColumn="0"/>
              <w:rPr>
                <w:szCs w:val="24"/>
              </w:rPr>
            </w:pPr>
            <w:r w:rsidRPr="00C839C4">
              <w:rPr>
                <w:rStyle w:val="normaltextrun"/>
                <w:rFonts w:cs="Arial"/>
                <w:szCs w:val="24"/>
              </w:rPr>
              <w:t>3</w:t>
            </w:r>
            <w:r w:rsidRPr="00C839C4">
              <w:rPr>
                <w:rStyle w:val="eop"/>
                <w:rFonts w:cs="Arial"/>
                <w:szCs w:val="24"/>
              </w:rPr>
              <w:t> </w:t>
            </w:r>
          </w:p>
        </w:tc>
        <w:tc>
          <w:tcPr>
            <w:tcW w:w="1558" w:type="dxa"/>
          </w:tcPr>
          <w:p w14:paraId="239BC6F4" w14:textId="77777777" w:rsidR="00F54119" w:rsidRPr="00C839C4" w:rsidRDefault="00F54119" w:rsidP="00B274AB">
            <w:pPr>
              <w:cnfStyle w:val="000000000000" w:firstRow="0" w:lastRow="0" w:firstColumn="0" w:lastColumn="0" w:oddVBand="0" w:evenVBand="0" w:oddHBand="0" w:evenHBand="0" w:firstRowFirstColumn="0" w:firstRowLastColumn="0" w:lastRowFirstColumn="0" w:lastRowLastColumn="0"/>
              <w:rPr>
                <w:szCs w:val="24"/>
              </w:rPr>
            </w:pPr>
            <w:r w:rsidRPr="00C839C4">
              <w:rPr>
                <w:rStyle w:val="normaltextrun"/>
                <w:rFonts w:cs="Arial"/>
                <w:szCs w:val="24"/>
              </w:rPr>
              <w:t>1</w:t>
            </w:r>
            <w:r w:rsidRPr="00C839C4">
              <w:rPr>
                <w:rStyle w:val="eop"/>
                <w:rFonts w:cs="Arial"/>
                <w:szCs w:val="24"/>
              </w:rPr>
              <w:t> </w:t>
            </w:r>
          </w:p>
        </w:tc>
      </w:tr>
      <w:tr w:rsidR="00F54119" w:rsidRPr="00637B84" w14:paraId="5910A57A" w14:textId="77777777" w:rsidTr="00C839C4">
        <w:tc>
          <w:tcPr>
            <w:cnfStyle w:val="001000000000" w:firstRow="0" w:lastRow="0" w:firstColumn="1" w:lastColumn="0" w:oddVBand="0" w:evenVBand="0" w:oddHBand="0" w:evenHBand="0" w:firstRowFirstColumn="0" w:firstRowLastColumn="0" w:lastRowFirstColumn="0" w:lastRowLastColumn="0"/>
            <w:tcW w:w="4678" w:type="dxa"/>
          </w:tcPr>
          <w:p w14:paraId="01C6FE4F" w14:textId="77777777" w:rsidR="00F54119" w:rsidRPr="00C839C4" w:rsidRDefault="00F54119" w:rsidP="00B274AB">
            <w:pPr>
              <w:rPr>
                <w:b w:val="0"/>
                <w:szCs w:val="24"/>
              </w:rPr>
            </w:pPr>
            <w:r w:rsidRPr="00C839C4">
              <w:rPr>
                <w:rStyle w:val="normaltextrun"/>
                <w:rFonts w:cs="Arial"/>
                <w:b w:val="0"/>
                <w:szCs w:val="24"/>
              </w:rPr>
              <w:t xml:space="preserve">Falls </w:t>
            </w:r>
          </w:p>
        </w:tc>
        <w:tc>
          <w:tcPr>
            <w:tcW w:w="1701" w:type="dxa"/>
          </w:tcPr>
          <w:p w14:paraId="4A16CD7A" w14:textId="77777777" w:rsidR="00F54119" w:rsidRPr="00C839C4" w:rsidRDefault="00F54119" w:rsidP="00B274AB">
            <w:pPr>
              <w:cnfStyle w:val="000000000000" w:firstRow="0" w:lastRow="0" w:firstColumn="0" w:lastColumn="0" w:oddVBand="0" w:evenVBand="0" w:oddHBand="0" w:evenHBand="0" w:firstRowFirstColumn="0" w:firstRowLastColumn="0" w:lastRowFirstColumn="0" w:lastRowLastColumn="0"/>
              <w:rPr>
                <w:szCs w:val="24"/>
              </w:rPr>
            </w:pPr>
            <w:r w:rsidRPr="00C839C4">
              <w:rPr>
                <w:rStyle w:val="normaltextrun"/>
                <w:rFonts w:cs="Arial"/>
                <w:szCs w:val="24"/>
              </w:rPr>
              <w:t>37**</w:t>
            </w:r>
            <w:r w:rsidRPr="00C839C4">
              <w:rPr>
                <w:rStyle w:val="eop"/>
                <w:rFonts w:cs="Arial"/>
                <w:szCs w:val="24"/>
              </w:rPr>
              <w:t> </w:t>
            </w:r>
          </w:p>
        </w:tc>
        <w:tc>
          <w:tcPr>
            <w:tcW w:w="1701" w:type="dxa"/>
          </w:tcPr>
          <w:p w14:paraId="67D5A4AD" w14:textId="77777777" w:rsidR="00F54119" w:rsidRPr="00C839C4" w:rsidRDefault="00F54119" w:rsidP="00B274AB">
            <w:pPr>
              <w:cnfStyle w:val="000000000000" w:firstRow="0" w:lastRow="0" w:firstColumn="0" w:lastColumn="0" w:oddVBand="0" w:evenVBand="0" w:oddHBand="0" w:evenHBand="0" w:firstRowFirstColumn="0" w:firstRowLastColumn="0" w:lastRowFirstColumn="0" w:lastRowLastColumn="0"/>
              <w:rPr>
                <w:szCs w:val="24"/>
              </w:rPr>
            </w:pPr>
            <w:r w:rsidRPr="00C839C4">
              <w:rPr>
                <w:rStyle w:val="normaltextrun"/>
                <w:rFonts w:cs="Arial"/>
                <w:szCs w:val="24"/>
              </w:rPr>
              <w:t>31</w:t>
            </w:r>
            <w:r w:rsidRPr="00C839C4">
              <w:rPr>
                <w:rStyle w:val="eop"/>
                <w:rFonts w:cs="Arial"/>
                <w:szCs w:val="24"/>
              </w:rPr>
              <w:t> </w:t>
            </w:r>
          </w:p>
        </w:tc>
        <w:tc>
          <w:tcPr>
            <w:tcW w:w="1558" w:type="dxa"/>
          </w:tcPr>
          <w:p w14:paraId="0A1B6C26" w14:textId="77777777" w:rsidR="00F54119" w:rsidRPr="00C839C4" w:rsidRDefault="00F54119" w:rsidP="00B274AB">
            <w:pPr>
              <w:cnfStyle w:val="000000000000" w:firstRow="0" w:lastRow="0" w:firstColumn="0" w:lastColumn="0" w:oddVBand="0" w:evenVBand="0" w:oddHBand="0" w:evenHBand="0" w:firstRowFirstColumn="0" w:firstRowLastColumn="0" w:lastRowFirstColumn="0" w:lastRowLastColumn="0"/>
              <w:rPr>
                <w:szCs w:val="24"/>
              </w:rPr>
            </w:pPr>
            <w:r w:rsidRPr="00C839C4">
              <w:rPr>
                <w:rStyle w:val="normaltextrun"/>
                <w:rFonts w:cs="Arial"/>
                <w:szCs w:val="24"/>
              </w:rPr>
              <w:t>24</w:t>
            </w:r>
            <w:r w:rsidRPr="00C839C4">
              <w:rPr>
                <w:rStyle w:val="eop"/>
                <w:rFonts w:cs="Arial"/>
                <w:szCs w:val="24"/>
              </w:rPr>
              <w:t> </w:t>
            </w:r>
          </w:p>
        </w:tc>
      </w:tr>
      <w:tr w:rsidR="00F54119" w:rsidRPr="00637B84" w14:paraId="33C73150" w14:textId="77777777" w:rsidTr="00C839C4">
        <w:tc>
          <w:tcPr>
            <w:cnfStyle w:val="001000000000" w:firstRow="0" w:lastRow="0" w:firstColumn="1" w:lastColumn="0" w:oddVBand="0" w:evenVBand="0" w:oddHBand="0" w:evenHBand="0" w:firstRowFirstColumn="0" w:firstRowLastColumn="0" w:lastRowFirstColumn="0" w:lastRowLastColumn="0"/>
            <w:tcW w:w="4678" w:type="dxa"/>
          </w:tcPr>
          <w:p w14:paraId="6EA91195" w14:textId="77777777" w:rsidR="00F54119" w:rsidRPr="00C839C4" w:rsidRDefault="00F54119" w:rsidP="00B274AB">
            <w:pPr>
              <w:rPr>
                <w:b w:val="0"/>
                <w:szCs w:val="24"/>
              </w:rPr>
            </w:pPr>
            <w:r w:rsidRPr="00C839C4">
              <w:rPr>
                <w:rStyle w:val="normaltextrun"/>
                <w:rFonts w:cs="Arial"/>
                <w:b w:val="0"/>
                <w:szCs w:val="24"/>
              </w:rPr>
              <w:t>Resources</w:t>
            </w:r>
            <w:r w:rsidR="00E23674" w:rsidRPr="00C839C4">
              <w:rPr>
                <w:rStyle w:val="normaltextrun"/>
                <w:rFonts w:cs="Arial"/>
                <w:b w:val="0"/>
                <w:szCs w:val="24"/>
              </w:rPr>
              <w:t>/</w:t>
            </w:r>
            <w:r w:rsidRPr="00C839C4">
              <w:rPr>
                <w:rStyle w:val="normaltextrun"/>
                <w:rFonts w:cs="Arial"/>
                <w:b w:val="0"/>
                <w:szCs w:val="24"/>
              </w:rPr>
              <w:t>organisational management</w:t>
            </w:r>
            <w:r w:rsidRPr="00C839C4">
              <w:rPr>
                <w:rStyle w:val="eop"/>
                <w:rFonts w:cs="Arial"/>
                <w:b w:val="0"/>
                <w:szCs w:val="24"/>
              </w:rPr>
              <w:t> </w:t>
            </w:r>
          </w:p>
        </w:tc>
        <w:tc>
          <w:tcPr>
            <w:tcW w:w="1701" w:type="dxa"/>
          </w:tcPr>
          <w:p w14:paraId="67148048" w14:textId="77777777" w:rsidR="00F54119" w:rsidRPr="00C839C4" w:rsidRDefault="00F54119" w:rsidP="00B274AB">
            <w:pPr>
              <w:cnfStyle w:val="000000000000" w:firstRow="0" w:lastRow="0" w:firstColumn="0" w:lastColumn="0" w:oddVBand="0" w:evenVBand="0" w:oddHBand="0" w:evenHBand="0" w:firstRowFirstColumn="0" w:firstRowLastColumn="0" w:lastRowFirstColumn="0" w:lastRowLastColumn="0"/>
              <w:rPr>
                <w:szCs w:val="24"/>
              </w:rPr>
            </w:pPr>
            <w:r w:rsidRPr="00C839C4">
              <w:rPr>
                <w:rStyle w:val="normaltextrun"/>
                <w:rFonts w:cs="Arial"/>
                <w:szCs w:val="24"/>
              </w:rPr>
              <w:t>0</w:t>
            </w:r>
            <w:r w:rsidRPr="00C839C4">
              <w:rPr>
                <w:rStyle w:val="eop"/>
                <w:rFonts w:cs="Arial"/>
                <w:szCs w:val="24"/>
              </w:rPr>
              <w:t> </w:t>
            </w:r>
          </w:p>
        </w:tc>
        <w:tc>
          <w:tcPr>
            <w:tcW w:w="1701" w:type="dxa"/>
          </w:tcPr>
          <w:p w14:paraId="188A2D70" w14:textId="77777777" w:rsidR="00F54119" w:rsidRPr="00C839C4" w:rsidRDefault="00F54119" w:rsidP="00B274AB">
            <w:pPr>
              <w:cnfStyle w:val="000000000000" w:firstRow="0" w:lastRow="0" w:firstColumn="0" w:lastColumn="0" w:oddVBand="0" w:evenVBand="0" w:oddHBand="0" w:evenHBand="0" w:firstRowFirstColumn="0" w:firstRowLastColumn="0" w:lastRowFirstColumn="0" w:lastRowLastColumn="0"/>
              <w:rPr>
                <w:szCs w:val="24"/>
              </w:rPr>
            </w:pPr>
            <w:r w:rsidRPr="00C839C4">
              <w:rPr>
                <w:rStyle w:val="normaltextrun"/>
                <w:rFonts w:cs="Arial"/>
                <w:szCs w:val="24"/>
              </w:rPr>
              <w:t>0</w:t>
            </w:r>
            <w:r w:rsidRPr="00C839C4">
              <w:rPr>
                <w:rStyle w:val="eop"/>
                <w:rFonts w:cs="Arial"/>
                <w:szCs w:val="24"/>
              </w:rPr>
              <w:t> </w:t>
            </w:r>
          </w:p>
        </w:tc>
        <w:tc>
          <w:tcPr>
            <w:tcW w:w="1558" w:type="dxa"/>
          </w:tcPr>
          <w:p w14:paraId="07FDEF04" w14:textId="77777777" w:rsidR="00F54119" w:rsidRPr="00C839C4" w:rsidRDefault="00F54119" w:rsidP="00B274AB">
            <w:pPr>
              <w:cnfStyle w:val="000000000000" w:firstRow="0" w:lastRow="0" w:firstColumn="0" w:lastColumn="0" w:oddVBand="0" w:evenVBand="0" w:oddHBand="0" w:evenHBand="0" w:firstRowFirstColumn="0" w:firstRowLastColumn="0" w:lastRowFirstColumn="0" w:lastRowLastColumn="0"/>
              <w:rPr>
                <w:szCs w:val="24"/>
              </w:rPr>
            </w:pPr>
            <w:r w:rsidRPr="00C839C4">
              <w:rPr>
                <w:rStyle w:val="normaltextrun"/>
                <w:rFonts w:cs="Arial"/>
                <w:szCs w:val="24"/>
              </w:rPr>
              <w:t>5</w:t>
            </w:r>
            <w:r w:rsidRPr="00C839C4">
              <w:rPr>
                <w:rStyle w:val="eop"/>
                <w:rFonts w:cs="Arial"/>
                <w:szCs w:val="24"/>
              </w:rPr>
              <w:t> </w:t>
            </w:r>
          </w:p>
        </w:tc>
      </w:tr>
      <w:tr w:rsidR="00F54119" w:rsidRPr="00637B84" w14:paraId="34DE5887" w14:textId="77777777" w:rsidTr="00C839C4">
        <w:tc>
          <w:tcPr>
            <w:cnfStyle w:val="001000000000" w:firstRow="0" w:lastRow="0" w:firstColumn="1" w:lastColumn="0" w:oddVBand="0" w:evenVBand="0" w:oddHBand="0" w:evenHBand="0" w:firstRowFirstColumn="0" w:firstRowLastColumn="0" w:lastRowFirstColumn="0" w:lastRowLastColumn="0"/>
            <w:tcW w:w="4678" w:type="dxa"/>
          </w:tcPr>
          <w:p w14:paraId="7BBBA120" w14:textId="576D6F95" w:rsidR="00F54119" w:rsidRPr="00C839C4" w:rsidRDefault="00F54119" w:rsidP="00B274AB">
            <w:pPr>
              <w:rPr>
                <w:szCs w:val="24"/>
              </w:rPr>
            </w:pPr>
            <w:r w:rsidRPr="00C839C4">
              <w:rPr>
                <w:rStyle w:val="normaltextrun"/>
                <w:rFonts w:cs="Arial"/>
                <w:bCs/>
                <w:szCs w:val="24"/>
              </w:rPr>
              <w:t>Total</w:t>
            </w:r>
            <w:r w:rsidRPr="00C839C4">
              <w:rPr>
                <w:rStyle w:val="eop"/>
                <w:rFonts w:cs="Arial"/>
                <w:szCs w:val="24"/>
              </w:rPr>
              <w:t> </w:t>
            </w:r>
            <w:r w:rsidR="00A82B46" w:rsidRPr="00C839C4">
              <w:rPr>
                <w:rStyle w:val="eop"/>
                <w:rFonts w:cs="Arial"/>
                <w:szCs w:val="24"/>
              </w:rPr>
              <w:t>SAC 1 &amp; 2 adverse events</w:t>
            </w:r>
          </w:p>
        </w:tc>
        <w:tc>
          <w:tcPr>
            <w:tcW w:w="1701" w:type="dxa"/>
          </w:tcPr>
          <w:p w14:paraId="68214B5F" w14:textId="77777777" w:rsidR="00F54119" w:rsidRPr="00C839C4" w:rsidRDefault="00F54119" w:rsidP="00B274AB">
            <w:pPr>
              <w:cnfStyle w:val="000000000000" w:firstRow="0" w:lastRow="0" w:firstColumn="0" w:lastColumn="0" w:oddVBand="0" w:evenVBand="0" w:oddHBand="0" w:evenHBand="0" w:firstRowFirstColumn="0" w:firstRowLastColumn="0" w:lastRowFirstColumn="0" w:lastRowLastColumn="0"/>
              <w:rPr>
                <w:szCs w:val="24"/>
              </w:rPr>
            </w:pPr>
            <w:r w:rsidRPr="00C839C4">
              <w:rPr>
                <w:rStyle w:val="normaltextrun"/>
                <w:rFonts w:cs="Arial"/>
                <w:b/>
                <w:bCs/>
                <w:szCs w:val="24"/>
              </w:rPr>
              <w:t>122</w:t>
            </w:r>
            <w:r w:rsidRPr="00C839C4">
              <w:rPr>
                <w:rStyle w:val="eop"/>
                <w:rFonts w:cs="Arial"/>
                <w:szCs w:val="24"/>
              </w:rPr>
              <w:t> </w:t>
            </w:r>
          </w:p>
        </w:tc>
        <w:tc>
          <w:tcPr>
            <w:tcW w:w="1701" w:type="dxa"/>
          </w:tcPr>
          <w:p w14:paraId="60557A5D" w14:textId="77777777" w:rsidR="00F54119" w:rsidRPr="00C839C4" w:rsidRDefault="00F54119" w:rsidP="00B274AB">
            <w:pPr>
              <w:cnfStyle w:val="000000000000" w:firstRow="0" w:lastRow="0" w:firstColumn="0" w:lastColumn="0" w:oddVBand="0" w:evenVBand="0" w:oddHBand="0" w:evenHBand="0" w:firstRowFirstColumn="0" w:firstRowLastColumn="0" w:lastRowFirstColumn="0" w:lastRowLastColumn="0"/>
              <w:rPr>
                <w:szCs w:val="24"/>
              </w:rPr>
            </w:pPr>
            <w:r w:rsidRPr="00C839C4">
              <w:rPr>
                <w:rStyle w:val="normaltextrun"/>
                <w:rFonts w:cs="Arial"/>
                <w:b/>
                <w:bCs/>
                <w:szCs w:val="24"/>
              </w:rPr>
              <w:t>135</w:t>
            </w:r>
            <w:r w:rsidRPr="00C839C4">
              <w:rPr>
                <w:rStyle w:val="eop"/>
                <w:rFonts w:cs="Arial"/>
                <w:szCs w:val="24"/>
              </w:rPr>
              <w:t> </w:t>
            </w:r>
          </w:p>
        </w:tc>
        <w:tc>
          <w:tcPr>
            <w:tcW w:w="1558" w:type="dxa"/>
          </w:tcPr>
          <w:p w14:paraId="4A442F7B" w14:textId="77777777" w:rsidR="00F54119" w:rsidRPr="00C839C4" w:rsidRDefault="00F54119" w:rsidP="00B274AB">
            <w:pPr>
              <w:cnfStyle w:val="000000000000" w:firstRow="0" w:lastRow="0" w:firstColumn="0" w:lastColumn="0" w:oddVBand="0" w:evenVBand="0" w:oddHBand="0" w:evenHBand="0" w:firstRowFirstColumn="0" w:firstRowLastColumn="0" w:lastRowFirstColumn="0" w:lastRowLastColumn="0"/>
              <w:rPr>
                <w:szCs w:val="24"/>
              </w:rPr>
            </w:pPr>
            <w:r w:rsidRPr="00C839C4">
              <w:rPr>
                <w:rStyle w:val="normaltextrun"/>
                <w:rFonts w:cs="Arial"/>
                <w:b/>
                <w:bCs/>
                <w:szCs w:val="24"/>
              </w:rPr>
              <w:t>104</w:t>
            </w:r>
            <w:r w:rsidRPr="00C839C4">
              <w:rPr>
                <w:rStyle w:val="eop"/>
                <w:rFonts w:cs="Arial"/>
                <w:szCs w:val="24"/>
              </w:rPr>
              <w:t> </w:t>
            </w:r>
          </w:p>
        </w:tc>
      </w:tr>
    </w:tbl>
    <w:bookmarkStart w:id="2" w:name="_Toc209611222"/>
    <w:bookmarkEnd w:id="0"/>
    <w:p w14:paraId="7BBFCD56" w14:textId="77777777" w:rsidR="000D2FBA" w:rsidRPr="00BF6683" w:rsidRDefault="000D2FBA" w:rsidP="000D2FBA">
      <w:pPr>
        <w:pStyle w:val="FootnoteText"/>
        <w:rPr>
          <w:b/>
          <w:bCs/>
          <w:lang w:val="en-US"/>
        </w:rPr>
      </w:pPr>
      <w:r>
        <w:fldChar w:fldCharType="begin"/>
      </w:r>
      <w:r>
        <w:instrText>HYPERLINK "https://www.hqsc.govt.nz/assets/Our-work/System-safety/Adverse-events/Publications-resources/National-adverse-events-policy-2023_English_final_WEB.pdf"</w:instrText>
      </w:r>
      <w:r>
        <w:fldChar w:fldCharType="separate"/>
      </w:r>
      <w:r w:rsidRPr="00BF6683">
        <w:rPr>
          <w:rStyle w:val="Hyperlink"/>
          <w:b w:val="0"/>
          <w:bCs/>
          <w:lang w:val="en-US"/>
        </w:rPr>
        <w:t xml:space="preserve">Health Quality &amp; Safety Commission. (2023). </w:t>
      </w:r>
      <w:r w:rsidRPr="00BF6683">
        <w:rPr>
          <w:rStyle w:val="Hyperlink"/>
          <w:b w:val="0"/>
          <w:bCs/>
          <w:i/>
          <w:lang w:val="en-US"/>
        </w:rPr>
        <w:t>Healing, learning and improving from harm: National adverse events policy.</w:t>
      </w:r>
      <w:r>
        <w:fldChar w:fldCharType="end"/>
      </w:r>
    </w:p>
    <w:p w14:paraId="08354F43" w14:textId="77777777" w:rsidR="000D2FBA" w:rsidRPr="00C839C4" w:rsidRDefault="000D2FBA" w:rsidP="000D2FBA">
      <w:pPr>
        <w:spacing w:before="0"/>
        <w:textAlignment w:val="baseline"/>
        <w:rPr>
          <w:rFonts w:ascii="Segoe UI" w:eastAsia="Times New Roman" w:hAnsi="Segoe UI" w:cs="Segoe UI"/>
          <w:b/>
          <w:sz w:val="20"/>
          <w:szCs w:val="20"/>
          <w:lang w:eastAsia="en-NZ"/>
        </w:rPr>
      </w:pPr>
      <w:r w:rsidRPr="00C839C4">
        <w:rPr>
          <w:rFonts w:eastAsia="Times New Roman" w:cs="Arial"/>
          <w:i/>
          <w:iCs/>
          <w:sz w:val="20"/>
          <w:szCs w:val="20"/>
          <w:lang w:eastAsia="en-NZ"/>
        </w:rPr>
        <w:lastRenderedPageBreak/>
        <w:t>* Categorisation is based on the Te T</w:t>
      </w:r>
      <w:proofErr w:type="spellStart"/>
      <w:r w:rsidRPr="00C839C4">
        <w:rPr>
          <w:rFonts w:eastAsia="Times New Roman" w:cs="Arial"/>
          <w:i/>
          <w:iCs/>
          <w:sz w:val="20"/>
          <w:szCs w:val="20"/>
          <w:lang w:val="mi-NZ" w:eastAsia="en-NZ"/>
        </w:rPr>
        <w:t>āhū</w:t>
      </w:r>
      <w:proofErr w:type="spellEnd"/>
      <w:r w:rsidRPr="00C839C4">
        <w:rPr>
          <w:rFonts w:eastAsia="Times New Roman" w:cs="Arial"/>
          <w:i/>
          <w:iCs/>
          <w:sz w:val="20"/>
          <w:szCs w:val="20"/>
          <w:lang w:val="mi-NZ" w:eastAsia="en-NZ"/>
        </w:rPr>
        <w:t xml:space="preserve"> Hauora</w:t>
      </w:r>
      <w:r w:rsidRPr="00C839C4">
        <w:rPr>
          <w:rFonts w:eastAsia="Times New Roman" w:cs="Arial"/>
          <w:i/>
          <w:iCs/>
          <w:sz w:val="20"/>
          <w:szCs w:val="20"/>
          <w:lang w:eastAsia="en-NZ"/>
        </w:rPr>
        <w:t xml:space="preserve"> Health Quality &amp; Safety Commission event codes derived from the World Health Organisation classifications for patient safety</w:t>
      </w:r>
      <w:r w:rsidRPr="00C839C4">
        <w:rPr>
          <w:rFonts w:eastAsia="Times New Roman" w:cs="Arial"/>
          <w:sz w:val="20"/>
          <w:szCs w:val="20"/>
          <w:lang w:eastAsia="en-NZ"/>
        </w:rPr>
        <w:t> </w:t>
      </w:r>
    </w:p>
    <w:p w14:paraId="56FE7AF4" w14:textId="002E69ED" w:rsidR="000D2FBA" w:rsidRPr="000D2FBA" w:rsidRDefault="000D2FBA" w:rsidP="000D2FBA">
      <w:r w:rsidRPr="00C839C4">
        <w:rPr>
          <w:rFonts w:eastAsia="Times New Roman" w:cs="Arial"/>
          <w:i/>
          <w:iCs/>
          <w:sz w:val="20"/>
          <w:szCs w:val="20"/>
          <w:lang w:eastAsia="en-NZ"/>
        </w:rPr>
        <w:t>** This includes 6 historic events that were identified by coding audit</w:t>
      </w:r>
    </w:p>
    <w:p w14:paraId="0586A3CE" w14:textId="5BC245BC" w:rsidR="00C05445" w:rsidRDefault="00F54119" w:rsidP="00C05445">
      <w:pPr>
        <w:pStyle w:val="Heading2"/>
      </w:pPr>
      <w:r>
        <w:t>National Adverse Events Policy</w:t>
      </w:r>
      <w:bookmarkEnd w:id="2"/>
    </w:p>
    <w:p w14:paraId="1946D24E" w14:textId="77777777" w:rsidR="000C56C3" w:rsidRPr="000C56C3" w:rsidRDefault="000C56C3" w:rsidP="000C56C3">
      <w:r w:rsidRPr="000C56C3">
        <w:t xml:space="preserve">This is the first reporting year under the new Healing, </w:t>
      </w:r>
      <w:r w:rsidR="00845F13">
        <w:t>Learning and Improving from H</w:t>
      </w:r>
      <w:r w:rsidRPr="000C56C3">
        <w:t>arm: National Adverse Events policy (2023). We continue to adapt and align our processes to the new policy. We have already seen an impact in the number of fall with fracture events.  </w:t>
      </w:r>
    </w:p>
    <w:p w14:paraId="1E65D41A" w14:textId="2C085BD6" w:rsidR="00F57361" w:rsidRDefault="000C56C3" w:rsidP="00C05445">
      <w:r w:rsidRPr="000C56C3">
        <w:t>As part of the changes</w:t>
      </w:r>
      <w:r w:rsidR="00DC76A5">
        <w:t>,</w:t>
      </w:r>
      <w:r w:rsidRPr="000C56C3">
        <w:t xml:space="preserve"> we have a more robust triage process where events are scoped at the time of the event and taken for triaging with timely and up-to-date information</w:t>
      </w:r>
      <w:r w:rsidR="00DB6471">
        <w:t>, with the process</w:t>
      </w:r>
      <w:r w:rsidR="00D52218">
        <w:t xml:space="preserve"> including relevant services</w:t>
      </w:r>
      <w:r w:rsidRPr="000C56C3">
        <w:t>, where possible. This has led to</w:t>
      </w:r>
      <w:r w:rsidR="00D52218">
        <w:t xml:space="preserve"> better</w:t>
      </w:r>
      <w:r w:rsidRPr="000C56C3">
        <w:t xml:space="preserve"> understanding of the nature of events</w:t>
      </w:r>
      <w:r w:rsidR="00DC76A5">
        <w:t>,</w:t>
      </w:r>
      <w:r w:rsidRPr="000C56C3">
        <w:t xml:space="preserve"> the extent of patient harm</w:t>
      </w:r>
      <w:r w:rsidR="00DB6471">
        <w:t>,</w:t>
      </w:r>
      <w:r w:rsidR="00DC76A5">
        <w:t xml:space="preserve"> and</w:t>
      </w:r>
      <w:r w:rsidR="00BF4E6D">
        <w:t xml:space="preserve"> more</w:t>
      </w:r>
      <w:r w:rsidR="00DC76A5">
        <w:t xml:space="preserve"> informed decision making</w:t>
      </w:r>
      <w:r w:rsidR="00DB6471">
        <w:t xml:space="preserve"> around commissioning of event reviews</w:t>
      </w:r>
      <w:r w:rsidR="00DC76A5">
        <w:t xml:space="preserve">. </w:t>
      </w:r>
    </w:p>
    <w:p w14:paraId="5A8B427E" w14:textId="77777777" w:rsidR="00C05445" w:rsidRDefault="000C56C3" w:rsidP="00C05445">
      <w:pPr>
        <w:pStyle w:val="Heading2"/>
      </w:pPr>
      <w:bookmarkStart w:id="3" w:name="_Toc209611223"/>
      <w:r>
        <w:t>Severity Assessment Codes (SAC)</w:t>
      </w:r>
      <w:bookmarkEnd w:id="3"/>
    </w:p>
    <w:p w14:paraId="2B82CD4B" w14:textId="77777777" w:rsidR="000C56C3" w:rsidRDefault="000C56C3" w:rsidP="000C56C3">
      <w:r w:rsidRPr="000C56C3">
        <w:t>The adverse events in this report are categorised as Severity Assessment Code (SAC) 1 and 2, using t</w:t>
      </w:r>
      <w:r w:rsidR="00B46127">
        <w:t>he new National Adverse Events p</w:t>
      </w:r>
      <w:r w:rsidRPr="000C56C3">
        <w:t xml:space="preserve">olicy </w:t>
      </w:r>
      <w:r w:rsidR="00B46127">
        <w:t>(</w:t>
      </w:r>
      <w:r w:rsidRPr="000C56C3">
        <w:t>2023</w:t>
      </w:r>
      <w:r w:rsidR="00B46127">
        <w:t>)</w:t>
      </w:r>
      <w:r w:rsidRPr="000C56C3">
        <w:t xml:space="preserve">. SAC 1 and 2 events are adverse events that result in permanent or severe harm, </w:t>
      </w:r>
      <w:r w:rsidR="00485A19">
        <w:t>major</w:t>
      </w:r>
      <w:r w:rsidR="00485A19" w:rsidRPr="000C56C3">
        <w:t xml:space="preserve"> </w:t>
      </w:r>
      <w:r w:rsidRPr="000C56C3">
        <w:t xml:space="preserve">loss of function, or death. All SAC 1 and 2 adverse events are reported to </w:t>
      </w:r>
      <w:r w:rsidR="00845F13">
        <w:rPr>
          <w:rFonts w:ascii="Arial" w:hAnsi="Arial" w:cs="Arial"/>
          <w:lang w:eastAsia="ja-JP"/>
        </w:rPr>
        <w:t>Te Tāhū Hauora Health Quality &amp; Safety Commission (</w:t>
      </w:r>
      <w:r w:rsidR="00A55B3D">
        <w:rPr>
          <w:rFonts w:ascii="Arial" w:hAnsi="Arial" w:cs="Arial"/>
          <w:lang w:eastAsia="ja-JP"/>
        </w:rPr>
        <w:t xml:space="preserve">Te Tāhū Hauora </w:t>
      </w:r>
      <w:r w:rsidR="00845F13">
        <w:rPr>
          <w:rFonts w:ascii="Arial" w:hAnsi="Arial" w:cs="Arial"/>
          <w:lang w:eastAsia="ja-JP"/>
        </w:rPr>
        <w:t>HQSC)</w:t>
      </w:r>
      <w:r w:rsidRPr="000C56C3">
        <w:t>. </w:t>
      </w:r>
      <w:r w:rsidR="00485A19">
        <w:t xml:space="preserve"> </w:t>
      </w:r>
    </w:p>
    <w:p w14:paraId="540A70D7" w14:textId="77777777" w:rsidR="00485A19" w:rsidRPr="000C56C3" w:rsidRDefault="00485A19" w:rsidP="00485A19">
      <w:r w:rsidRPr="000C56C3">
        <w:t>We have commissioned fewer SAC</w:t>
      </w:r>
      <w:r w:rsidR="00DB6471">
        <w:t xml:space="preserve"> </w:t>
      </w:r>
      <w:r w:rsidRPr="000C56C3">
        <w:t>1 and 2 events in this reporting year compared to recent years</w:t>
      </w:r>
      <w:r w:rsidR="003F1842">
        <w:t xml:space="preserve"> however it</w:t>
      </w:r>
      <w:r w:rsidRPr="000C56C3">
        <w:t xml:space="preserve"> is as yet unclear why there has been a decrease</w:t>
      </w:r>
      <w:r w:rsidR="003F1842">
        <w:t>.</w:t>
      </w:r>
      <w:r w:rsidRPr="000C56C3">
        <w:t xml:space="preserve"> </w:t>
      </w:r>
      <w:r w:rsidR="003F1842">
        <w:t>I</w:t>
      </w:r>
      <w:r w:rsidRPr="000C56C3">
        <w:t>t may be partially attributable to changes to our processes, including more robust triage process</w:t>
      </w:r>
      <w:r w:rsidR="00DB6471">
        <w:t>, as well as the re</w:t>
      </w:r>
      <w:r w:rsidR="00EB57A9">
        <w:t>-</w:t>
      </w:r>
      <w:r w:rsidR="00DB6471">
        <w:t>grading of some events following completion of review during assessment through the Serious Event Review Committee (SERC) process</w:t>
      </w:r>
      <w:r w:rsidRPr="000C56C3">
        <w:t>. We will continue to monitor reporting numbers and look for trends and possible causes.  </w:t>
      </w:r>
    </w:p>
    <w:p w14:paraId="2F97C398" w14:textId="77777777" w:rsidR="00AD4C4E" w:rsidRPr="000C56C3" w:rsidRDefault="00485A19" w:rsidP="000C56C3">
      <w:r w:rsidRPr="000C56C3">
        <w:t>There were 17 ‘Always Report &amp; Review’ (ARR) events. ARR events are those that could result in serious harm or death but are preventable with strong clinical and organisational systems.</w:t>
      </w:r>
      <w:r w:rsidR="00CB3AA0">
        <w:rPr>
          <w:rStyle w:val="FootnoteReference"/>
        </w:rPr>
        <w:footnoteReference w:id="2"/>
      </w:r>
      <w:r w:rsidRPr="000C56C3">
        <w:t xml:space="preserve"> The ARRs are not reflected in the numbers as all had SAC ratings of 3 </w:t>
      </w:r>
      <w:r w:rsidR="00BF4E6D">
        <w:t>or</w:t>
      </w:r>
      <w:r w:rsidR="00BF4E6D" w:rsidRPr="000C56C3">
        <w:t xml:space="preserve"> </w:t>
      </w:r>
      <w:r w:rsidRPr="000C56C3">
        <w:t>4, which are not included in this report</w:t>
      </w:r>
      <w:r>
        <w:t>.</w:t>
      </w:r>
    </w:p>
    <w:p w14:paraId="25C6977A" w14:textId="2A1E7833" w:rsidR="000C56C3" w:rsidRDefault="000C56C3" w:rsidP="00C05445">
      <w:r w:rsidRPr="000C56C3">
        <w:t>Each SAC 1 or 2 event represents either the death of an individual, a person having a permanent disability or life impacting change</w:t>
      </w:r>
      <w:r w:rsidR="00DB6471">
        <w:t>,</w:t>
      </w:r>
      <w:r w:rsidRPr="000C56C3">
        <w:t xml:space="preserve"> or a loss of function that may have impacted or prolonged their recovery. We extend our deepest condolences to patients and whānau </w:t>
      </w:r>
      <w:r w:rsidRPr="000C56C3">
        <w:lastRenderedPageBreak/>
        <w:t>impacted by these events and acknowledge the ongoing grief of those who have lo</w:t>
      </w:r>
      <w:r w:rsidR="00F57361">
        <w:t xml:space="preserve">st a loved relative or friend. </w:t>
      </w:r>
    </w:p>
    <w:p w14:paraId="0CDF34C2" w14:textId="77777777" w:rsidR="00A82B46" w:rsidRDefault="000C56C3" w:rsidP="00BA7228">
      <w:pPr>
        <w:rPr>
          <w:rStyle w:val="eop"/>
        </w:rPr>
      </w:pPr>
      <w:r w:rsidRPr="00A82B46">
        <w:rPr>
          <w:rFonts w:asciiTheme="majorHAnsi" w:eastAsiaTheme="majorEastAsia" w:hAnsiTheme="majorHAnsi" w:cstheme="majorBidi"/>
          <w:b/>
          <w:color w:val="15284C"/>
          <w:sz w:val="32"/>
          <w:szCs w:val="26"/>
        </w:rPr>
        <w:t>SAC 1 events</w:t>
      </w:r>
      <w:r w:rsidRPr="00BA7228">
        <w:rPr>
          <w:rStyle w:val="eop"/>
        </w:rPr>
        <w:t> </w:t>
      </w:r>
    </w:p>
    <w:p w14:paraId="4AD463E0" w14:textId="53F128EA" w:rsidR="000C56C3" w:rsidRPr="00C839C4" w:rsidRDefault="00C71F34" w:rsidP="00C839C4">
      <w:pPr>
        <w:rPr>
          <w:rFonts w:ascii="Arial" w:eastAsiaTheme="minorEastAsia" w:hAnsi="Arial" w:cs="Arial"/>
          <w:szCs w:val="24"/>
        </w:rPr>
      </w:pPr>
      <w:r>
        <w:rPr>
          <w:rStyle w:val="normaltextrun"/>
          <w:rFonts w:ascii="Arial" w:eastAsiaTheme="minorEastAsia" w:hAnsi="Arial" w:cs="Arial"/>
          <w:szCs w:val="24"/>
        </w:rPr>
        <w:t xml:space="preserve">SAC 1 events represent </w:t>
      </w:r>
      <w:r w:rsidR="004C1ACC">
        <w:rPr>
          <w:rStyle w:val="normaltextrun"/>
          <w:rFonts w:ascii="Arial" w:eastAsiaTheme="minorEastAsia" w:hAnsi="Arial" w:cs="Arial"/>
          <w:szCs w:val="24"/>
        </w:rPr>
        <w:t>those resulting in the</w:t>
      </w:r>
      <w:r>
        <w:rPr>
          <w:rStyle w:val="normaltextrun"/>
          <w:rFonts w:ascii="Arial" w:eastAsiaTheme="minorEastAsia" w:hAnsi="Arial" w:cs="Arial"/>
          <w:szCs w:val="24"/>
        </w:rPr>
        <w:t xml:space="preserve"> most significant harm</w:t>
      </w:r>
      <w:r w:rsidR="004C1ACC">
        <w:rPr>
          <w:rStyle w:val="normaltextrun"/>
          <w:rFonts w:ascii="Arial" w:eastAsiaTheme="minorEastAsia" w:hAnsi="Arial" w:cs="Arial"/>
          <w:szCs w:val="24"/>
        </w:rPr>
        <w:t xml:space="preserve"> to patients. </w:t>
      </w:r>
      <w:r>
        <w:rPr>
          <w:rStyle w:val="normaltextrun"/>
          <w:rFonts w:ascii="Arial" w:eastAsiaTheme="minorEastAsia" w:hAnsi="Arial" w:cs="Arial"/>
          <w:szCs w:val="24"/>
        </w:rPr>
        <w:t>Of the 104 total events discussed in this report, there were</w:t>
      </w:r>
      <w:r w:rsidR="000C56C3" w:rsidRPr="00BA7228">
        <w:rPr>
          <w:rStyle w:val="normaltextrun"/>
          <w:rFonts w:ascii="Arial" w:eastAsiaTheme="minorEastAsia" w:hAnsi="Arial" w:cs="Arial"/>
          <w:szCs w:val="24"/>
        </w:rPr>
        <w:t xml:space="preserve"> 19 SAC 1 events</w:t>
      </w:r>
      <w:r>
        <w:rPr>
          <w:rStyle w:val="normaltextrun"/>
          <w:rFonts w:ascii="Arial" w:eastAsiaTheme="minorEastAsia" w:hAnsi="Arial" w:cs="Arial"/>
          <w:szCs w:val="24"/>
        </w:rPr>
        <w:t>.</w:t>
      </w:r>
      <w:r w:rsidR="000C56C3" w:rsidRPr="00BA7228">
        <w:rPr>
          <w:rStyle w:val="normaltextrun"/>
          <w:rFonts w:ascii="Arial" w:eastAsiaTheme="minorEastAsia" w:hAnsi="Arial" w:cs="Arial"/>
          <w:szCs w:val="24"/>
        </w:rPr>
        <w:t xml:space="preserve"> </w:t>
      </w:r>
      <w:r>
        <w:rPr>
          <w:rStyle w:val="normaltextrun"/>
          <w:rFonts w:ascii="Arial" w:eastAsiaTheme="minorEastAsia" w:hAnsi="Arial" w:cs="Arial"/>
          <w:szCs w:val="24"/>
        </w:rPr>
        <w:t xml:space="preserve">This is </w:t>
      </w:r>
      <w:r w:rsidR="000C56C3" w:rsidRPr="00BA7228">
        <w:rPr>
          <w:rStyle w:val="normaltextrun"/>
          <w:rFonts w:ascii="Arial" w:eastAsiaTheme="minorEastAsia" w:hAnsi="Arial" w:cs="Arial"/>
          <w:szCs w:val="24"/>
        </w:rPr>
        <w:t>a significant decrease from the 37 events that occurred i</w:t>
      </w:r>
      <w:r w:rsidR="00514357">
        <w:rPr>
          <w:rStyle w:val="normaltextrun"/>
          <w:rFonts w:ascii="Arial" w:eastAsiaTheme="minorEastAsia" w:hAnsi="Arial" w:cs="Arial"/>
          <w:szCs w:val="24"/>
        </w:rPr>
        <w:t>n the previous reporting year. </w:t>
      </w:r>
      <w:r w:rsidR="00AD4C4E">
        <w:rPr>
          <w:rStyle w:val="normaltextrun"/>
          <w:rFonts w:ascii="Arial" w:eastAsiaTheme="minorEastAsia" w:hAnsi="Arial" w:cs="Arial"/>
          <w:szCs w:val="24"/>
        </w:rPr>
        <w:t>‘</w:t>
      </w:r>
      <w:r w:rsidR="000C56C3" w:rsidRPr="00BA7228">
        <w:rPr>
          <w:rStyle w:val="normaltextrun"/>
          <w:rFonts w:ascii="Arial" w:eastAsiaTheme="minorEastAsia" w:hAnsi="Arial" w:cs="Arial"/>
          <w:szCs w:val="24"/>
        </w:rPr>
        <w:t>Clinical process</w:t>
      </w:r>
      <w:r w:rsidR="00BF4E6D">
        <w:rPr>
          <w:rStyle w:val="normaltextrun"/>
          <w:rFonts w:ascii="Arial" w:eastAsiaTheme="minorEastAsia" w:hAnsi="Arial" w:cs="Arial"/>
          <w:szCs w:val="24"/>
        </w:rPr>
        <w:t>/</w:t>
      </w:r>
      <w:r w:rsidR="000C56C3" w:rsidRPr="00BA7228">
        <w:rPr>
          <w:rStyle w:val="normaltextrun"/>
          <w:rFonts w:ascii="Arial" w:eastAsiaTheme="minorEastAsia" w:hAnsi="Arial" w:cs="Arial"/>
          <w:szCs w:val="24"/>
        </w:rPr>
        <w:t>procedure</w:t>
      </w:r>
      <w:r w:rsidR="00AD4C4E">
        <w:rPr>
          <w:rStyle w:val="normaltextrun"/>
          <w:rFonts w:ascii="Arial" w:eastAsiaTheme="minorEastAsia" w:hAnsi="Arial" w:cs="Arial"/>
          <w:szCs w:val="24"/>
        </w:rPr>
        <w:t>’</w:t>
      </w:r>
      <w:r w:rsidR="000C56C3" w:rsidRPr="00BA7228">
        <w:rPr>
          <w:rStyle w:val="normaltextrun"/>
          <w:rFonts w:ascii="Arial" w:eastAsiaTheme="minorEastAsia" w:hAnsi="Arial" w:cs="Arial"/>
          <w:szCs w:val="24"/>
        </w:rPr>
        <w:t xml:space="preserve"> events made up the majority of SAC 1 events (n=13). The most common sub-categories within this category were </w:t>
      </w:r>
      <w:r w:rsidR="00AD4C4E">
        <w:rPr>
          <w:rStyle w:val="normaltextrun"/>
          <w:rFonts w:ascii="Arial" w:eastAsiaTheme="minorEastAsia" w:hAnsi="Arial" w:cs="Arial"/>
          <w:szCs w:val="24"/>
        </w:rPr>
        <w:t>‘</w:t>
      </w:r>
      <w:r w:rsidR="000C56C3" w:rsidRPr="00BA7228">
        <w:rPr>
          <w:rStyle w:val="normaltextrun"/>
          <w:rFonts w:ascii="Arial" w:eastAsiaTheme="minorEastAsia" w:hAnsi="Arial" w:cs="Arial"/>
          <w:szCs w:val="24"/>
        </w:rPr>
        <w:t>process of care</w:t>
      </w:r>
      <w:r w:rsidR="00AD4C4E">
        <w:rPr>
          <w:rStyle w:val="normaltextrun"/>
          <w:rFonts w:ascii="Arial" w:eastAsiaTheme="minorEastAsia" w:hAnsi="Arial" w:cs="Arial"/>
          <w:szCs w:val="24"/>
        </w:rPr>
        <w:t>’</w:t>
      </w:r>
      <w:r w:rsidR="000C56C3" w:rsidRPr="00BA7228">
        <w:rPr>
          <w:rStyle w:val="normaltextrun"/>
          <w:rFonts w:ascii="Arial" w:eastAsiaTheme="minorEastAsia" w:hAnsi="Arial" w:cs="Arial"/>
          <w:szCs w:val="24"/>
        </w:rPr>
        <w:t xml:space="preserve"> (n=5) and </w:t>
      </w:r>
      <w:r w:rsidR="00AD4C4E">
        <w:rPr>
          <w:rStyle w:val="normaltextrun"/>
          <w:rFonts w:ascii="Arial" w:eastAsiaTheme="minorEastAsia" w:hAnsi="Arial" w:cs="Arial"/>
          <w:szCs w:val="24"/>
        </w:rPr>
        <w:t>‘</w:t>
      </w:r>
      <w:r w:rsidR="000C56C3" w:rsidRPr="00BA7228">
        <w:rPr>
          <w:rStyle w:val="normaltextrun"/>
          <w:rFonts w:ascii="Arial" w:eastAsiaTheme="minorEastAsia" w:hAnsi="Arial" w:cs="Arial"/>
          <w:szCs w:val="24"/>
        </w:rPr>
        <w:t>delay in recognition of deterioration</w:t>
      </w:r>
      <w:r w:rsidR="00AD4C4E">
        <w:rPr>
          <w:rStyle w:val="normaltextrun"/>
          <w:rFonts w:ascii="Arial" w:eastAsiaTheme="minorEastAsia" w:hAnsi="Arial" w:cs="Arial"/>
          <w:szCs w:val="24"/>
        </w:rPr>
        <w:t>’</w:t>
      </w:r>
      <w:r w:rsidR="000C56C3" w:rsidRPr="00BA7228">
        <w:rPr>
          <w:rStyle w:val="normaltextrun"/>
          <w:rFonts w:ascii="Arial" w:eastAsiaTheme="minorEastAsia" w:hAnsi="Arial" w:cs="Arial"/>
          <w:szCs w:val="24"/>
        </w:rPr>
        <w:t xml:space="preserve"> (n=5). The category with the next highest number of SAC 1 events was </w:t>
      </w:r>
      <w:r w:rsidR="00AD4C4E">
        <w:rPr>
          <w:rStyle w:val="normaltextrun"/>
          <w:rFonts w:ascii="Arial" w:eastAsiaTheme="minorEastAsia" w:hAnsi="Arial" w:cs="Arial"/>
          <w:szCs w:val="24"/>
        </w:rPr>
        <w:t>‘</w:t>
      </w:r>
      <w:r w:rsidR="000C56C3" w:rsidRPr="00BA7228">
        <w:rPr>
          <w:rStyle w:val="normaltextrun"/>
          <w:rFonts w:ascii="Arial" w:eastAsiaTheme="minorEastAsia" w:hAnsi="Arial" w:cs="Arial"/>
          <w:szCs w:val="24"/>
        </w:rPr>
        <w:t>resources/organisation</w:t>
      </w:r>
      <w:r w:rsidR="008508A6">
        <w:rPr>
          <w:rStyle w:val="normaltextrun"/>
          <w:rFonts w:ascii="Arial" w:eastAsiaTheme="minorEastAsia" w:hAnsi="Arial" w:cs="Arial"/>
          <w:szCs w:val="24"/>
        </w:rPr>
        <w:t>al /</w:t>
      </w:r>
      <w:r w:rsidR="000C56C3" w:rsidRPr="00BA7228">
        <w:rPr>
          <w:rStyle w:val="normaltextrun"/>
          <w:rFonts w:ascii="Arial" w:eastAsiaTheme="minorEastAsia" w:hAnsi="Arial" w:cs="Arial"/>
          <w:szCs w:val="24"/>
        </w:rPr>
        <w:t>management</w:t>
      </w:r>
      <w:r w:rsidR="00AD4C4E">
        <w:rPr>
          <w:rStyle w:val="normaltextrun"/>
          <w:rFonts w:ascii="Arial" w:eastAsiaTheme="minorEastAsia" w:hAnsi="Arial" w:cs="Arial"/>
          <w:szCs w:val="24"/>
        </w:rPr>
        <w:t>’</w:t>
      </w:r>
      <w:r w:rsidR="000C56C3" w:rsidRPr="00BA7228">
        <w:rPr>
          <w:rStyle w:val="normaltextrun"/>
          <w:rFonts w:ascii="Arial" w:eastAsiaTheme="minorEastAsia" w:hAnsi="Arial" w:cs="Arial"/>
          <w:szCs w:val="24"/>
        </w:rPr>
        <w:t xml:space="preserve"> (n=4).</w:t>
      </w:r>
      <w:r w:rsidR="000C56C3" w:rsidRPr="00BA7228">
        <w:rPr>
          <w:rStyle w:val="eop"/>
          <w:rFonts w:ascii="Arial" w:hAnsi="Arial" w:cs="Arial"/>
          <w:szCs w:val="24"/>
        </w:rPr>
        <w:t> </w:t>
      </w:r>
    </w:p>
    <w:p w14:paraId="51086C7A" w14:textId="77777777" w:rsidR="004C1ACC" w:rsidRPr="005C3530" w:rsidRDefault="004C1ACC" w:rsidP="004C1ACC">
      <w:pPr>
        <w:pStyle w:val="Heading2"/>
        <w:rPr>
          <w:lang w:eastAsia="ja-JP"/>
        </w:rPr>
      </w:pPr>
      <w:bookmarkStart w:id="4" w:name="_Toc209611224"/>
      <w:r>
        <w:rPr>
          <w:lang w:eastAsia="ja-JP"/>
        </w:rPr>
        <w:t>Highest areas of harm</w:t>
      </w:r>
      <w:bookmarkEnd w:id="4"/>
    </w:p>
    <w:p w14:paraId="03A3F015" w14:textId="19F6111C" w:rsidR="004C1ACC" w:rsidRDefault="004C1ACC" w:rsidP="004C1ACC">
      <w:pPr>
        <w:rPr>
          <w:lang w:eastAsia="ja-JP"/>
        </w:rPr>
      </w:pPr>
      <w:r w:rsidRPr="5C5025B5">
        <w:rPr>
          <w:lang w:eastAsia="ja-JP"/>
        </w:rPr>
        <w:t>A total of 58 ‘clinical process or procedure’ events for CCHV were reviewed between 1 July 202</w:t>
      </w:r>
      <w:r>
        <w:rPr>
          <w:lang w:eastAsia="ja-JP"/>
        </w:rPr>
        <w:t>3</w:t>
      </w:r>
      <w:r w:rsidRPr="5C5025B5">
        <w:rPr>
          <w:lang w:eastAsia="ja-JP"/>
        </w:rPr>
        <w:t xml:space="preserve"> and 30 June 202</w:t>
      </w:r>
      <w:r>
        <w:rPr>
          <w:lang w:eastAsia="ja-JP"/>
        </w:rPr>
        <w:t xml:space="preserve">4 (SAC 1 events n=13, </w:t>
      </w:r>
      <w:r w:rsidRPr="5C5025B5">
        <w:rPr>
          <w:lang w:eastAsia="ja-JP"/>
        </w:rPr>
        <w:t xml:space="preserve">SAC 2 events </w:t>
      </w:r>
      <w:r>
        <w:rPr>
          <w:lang w:eastAsia="ja-JP"/>
        </w:rPr>
        <w:t>n=45)</w:t>
      </w:r>
      <w:r w:rsidRPr="5C5025B5">
        <w:rPr>
          <w:lang w:eastAsia="ja-JP"/>
        </w:rPr>
        <w:t xml:space="preserve">. </w:t>
      </w:r>
      <w:r>
        <w:rPr>
          <w:lang w:eastAsia="ja-JP"/>
        </w:rPr>
        <w:t>‘</w:t>
      </w:r>
      <w:r w:rsidRPr="5C5025B5">
        <w:rPr>
          <w:lang w:eastAsia="ja-JP"/>
        </w:rPr>
        <w:t>Clinical process or procedure</w:t>
      </w:r>
      <w:r>
        <w:rPr>
          <w:lang w:eastAsia="ja-JP"/>
        </w:rPr>
        <w:t>’</w:t>
      </w:r>
      <w:r w:rsidRPr="5C5025B5">
        <w:rPr>
          <w:lang w:eastAsia="ja-JP"/>
        </w:rPr>
        <w:t xml:space="preserve"> events represent the majority of serious events (62 percent). These have been themed into sub-categories to provide more detail. </w:t>
      </w:r>
    </w:p>
    <w:p w14:paraId="433E0A74" w14:textId="09D409A3" w:rsidR="004C1ACC" w:rsidRDefault="004C1ACC" w:rsidP="00540569">
      <w:pPr>
        <w:pStyle w:val="Figure"/>
      </w:pPr>
      <w:r>
        <w:t xml:space="preserve">Figure </w:t>
      </w:r>
      <w:r>
        <w:fldChar w:fldCharType="begin"/>
      </w:r>
      <w:r>
        <w:instrText>SEQ Figure \* ARABIC</w:instrText>
      </w:r>
      <w:r>
        <w:fldChar w:fldCharType="separate"/>
      </w:r>
      <w:r w:rsidR="00392FC2">
        <w:rPr>
          <w:noProof/>
        </w:rPr>
        <w:t>1</w:t>
      </w:r>
      <w:r>
        <w:fldChar w:fldCharType="end"/>
      </w:r>
      <w:r>
        <w:t>:</w:t>
      </w:r>
      <w:r w:rsidRPr="00FB1484">
        <w:t xml:space="preserve"> </w:t>
      </w:r>
      <w:r w:rsidRPr="16D22437">
        <w:t>Sub-categorisation of clinical process or procedure events</w:t>
      </w:r>
      <w:r>
        <w:t xml:space="preserve"> (1 July 2023 – 30 June 2024)</w:t>
      </w:r>
    </w:p>
    <w:p w14:paraId="3E23E027" w14:textId="77777777" w:rsidR="004C1ACC" w:rsidRDefault="004C1ACC" w:rsidP="004C1ACC">
      <w:r w:rsidRPr="00296ABA">
        <w:rPr>
          <w:noProof/>
          <w:lang w:eastAsia="en-NZ"/>
        </w:rPr>
        <w:drawing>
          <wp:inline distT="0" distB="0" distL="0" distR="0" wp14:anchorId="1CB3C0C9" wp14:editId="3CD18A0D">
            <wp:extent cx="6105525" cy="3171825"/>
            <wp:effectExtent l="0" t="0" r="9525" b="9525"/>
            <wp:docPr id="1" name="Chart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15B141C" w14:textId="77777777" w:rsidR="004C1ACC" w:rsidRDefault="004C1ACC" w:rsidP="004C1ACC">
      <w:r w:rsidRPr="00FB1484">
        <w:t>The category with the next highest number of events was ‘falls with serious harm’. There were 24 events themed under this category. Of these, one was classified as a SAC 1 event where the fall was sadly, a contributory factor in the patient’s death.</w:t>
      </w:r>
    </w:p>
    <w:p w14:paraId="1E1F24C8" w14:textId="77777777" w:rsidR="004C1ACC" w:rsidRDefault="004C1ACC" w:rsidP="004C1ACC">
      <w:pPr>
        <w:rPr>
          <w:lang w:eastAsia="ja-JP"/>
        </w:rPr>
      </w:pPr>
      <w:r>
        <w:lastRenderedPageBreak/>
        <w:t xml:space="preserve">Under the previous policy, events were rated based on physical harm only. The new national policy recognises that healthcare related harm can be more than just physical: a person may experience psychological, cultural or spiritual harm. This report includes some events where there has been harm other than physical. </w:t>
      </w:r>
      <w:r w:rsidRPr="5C5025B5">
        <w:t xml:space="preserve">As part of the implementation we are working </w:t>
      </w:r>
      <w:r>
        <w:t>to</w:t>
      </w:r>
      <w:r w:rsidRPr="5C5025B5">
        <w:t xml:space="preserve"> </w:t>
      </w:r>
      <w:r>
        <w:t>improve how we recognise and report other types of harm</w:t>
      </w:r>
      <w:r w:rsidRPr="5C5025B5">
        <w:t xml:space="preserve"> that people may have experienced</w:t>
      </w:r>
      <w:r>
        <w:t xml:space="preserve"> while interacting with our healthcare services</w:t>
      </w:r>
      <w:r w:rsidRPr="5C5025B5">
        <w:t>.</w:t>
      </w:r>
      <w:r>
        <w:t xml:space="preserve"> </w:t>
      </w:r>
    </w:p>
    <w:p w14:paraId="4F04F6D1" w14:textId="1807BF09" w:rsidR="000C56C3" w:rsidRPr="00AB1D3E" w:rsidRDefault="000C56C3" w:rsidP="00AB1D3E">
      <w:pPr>
        <w:pStyle w:val="Heading2"/>
      </w:pPr>
      <w:bookmarkStart w:id="5" w:name="_Toc209611225"/>
      <w:r w:rsidRPr="00BA7228">
        <w:rPr>
          <w:rStyle w:val="normaltextrun"/>
        </w:rPr>
        <w:t>Health outcomes of SAC 1 and 2 events</w:t>
      </w:r>
      <w:bookmarkEnd w:id="5"/>
      <w:r w:rsidRPr="00BA7228">
        <w:rPr>
          <w:rStyle w:val="eop"/>
        </w:rPr>
        <w:t> </w:t>
      </w:r>
    </w:p>
    <w:p w14:paraId="0C7D9AD1" w14:textId="77777777" w:rsidR="000A5E2A" w:rsidRDefault="000C56C3" w:rsidP="000A5E2A">
      <w:pPr>
        <w:pStyle w:val="paragraph"/>
        <w:spacing w:before="0" w:beforeAutospacing="0" w:after="0" w:afterAutospacing="0"/>
        <w:textAlignment w:val="baseline"/>
        <w:rPr>
          <w:rStyle w:val="eop"/>
          <w:rFonts w:ascii="Arial" w:hAnsi="Arial" w:cs="Arial"/>
        </w:rPr>
      </w:pPr>
      <w:r w:rsidRPr="00BA7228">
        <w:rPr>
          <w:rStyle w:val="normaltextrun"/>
          <w:rFonts w:ascii="Arial" w:eastAsiaTheme="minorEastAsia" w:hAnsi="Arial" w:cs="Arial"/>
        </w:rPr>
        <w:t>The following chart describes the health outcomes for patients who experienced either a SAC 1 or SAC 2 adverse event: </w:t>
      </w:r>
      <w:r w:rsidRPr="00BA7228">
        <w:rPr>
          <w:rStyle w:val="eop"/>
          <w:rFonts w:ascii="Arial" w:hAnsi="Arial" w:cs="Arial"/>
        </w:rPr>
        <w:t> </w:t>
      </w:r>
    </w:p>
    <w:p w14:paraId="49A8E87E" w14:textId="77777777" w:rsidR="000A5E2A" w:rsidRPr="000A5E2A" w:rsidRDefault="000A5E2A" w:rsidP="000A5E2A">
      <w:pPr>
        <w:pStyle w:val="paragraph"/>
        <w:spacing w:before="0" w:beforeAutospacing="0" w:after="0" w:afterAutospacing="0"/>
        <w:textAlignment w:val="baseline"/>
        <w:rPr>
          <w:rFonts w:ascii="Arial" w:hAnsi="Arial" w:cs="Arial"/>
        </w:rPr>
      </w:pPr>
    </w:p>
    <w:p w14:paraId="6FEBF5D3" w14:textId="1E08A7D2" w:rsidR="000A5E2A" w:rsidRDefault="000A5E2A" w:rsidP="00540569">
      <w:pPr>
        <w:pStyle w:val="Figure"/>
      </w:pPr>
      <w:r>
        <w:t xml:space="preserve">Figure </w:t>
      </w:r>
      <w:r>
        <w:fldChar w:fldCharType="begin"/>
      </w:r>
      <w:r>
        <w:instrText>SEQ Figure \* ARABIC</w:instrText>
      </w:r>
      <w:r>
        <w:fldChar w:fldCharType="separate"/>
      </w:r>
      <w:r w:rsidR="00392FC2">
        <w:rPr>
          <w:noProof/>
        </w:rPr>
        <w:t>2</w:t>
      </w:r>
      <w:r>
        <w:fldChar w:fldCharType="end"/>
      </w:r>
      <w:r>
        <w:t xml:space="preserve">: </w:t>
      </w:r>
      <w:r w:rsidRPr="00A823D0">
        <w:t>Health outcomes of all SAC 1 and 2 events (1 July 2023 – 30 June 2024)</w:t>
      </w:r>
    </w:p>
    <w:p w14:paraId="4A428781" w14:textId="77777777" w:rsidR="00BA7228" w:rsidRPr="00BA7228" w:rsidRDefault="000A5E2A" w:rsidP="00BA7228">
      <w:pPr>
        <w:rPr>
          <w:rFonts w:ascii="Times New Roman" w:eastAsia="Times New Roman" w:hAnsi="Times New Roman" w:cs="Times New Roman"/>
          <w:szCs w:val="24"/>
          <w:lang w:eastAsia="en-NZ"/>
        </w:rPr>
      </w:pPr>
      <w:r w:rsidRPr="00296ABA">
        <w:rPr>
          <w:noProof/>
          <w:lang w:eastAsia="en-NZ"/>
        </w:rPr>
        <w:drawing>
          <wp:inline distT="0" distB="0" distL="0" distR="0" wp14:anchorId="0713439D" wp14:editId="09DBCB61">
            <wp:extent cx="6120000" cy="3200400"/>
            <wp:effectExtent l="0" t="0" r="14605" b="0"/>
            <wp:docPr id="4" name="Chart 5" descr="Health outcomes from SAC 1 and 2 events"/>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02F1019" w14:textId="2F74B503" w:rsidR="00FB1484" w:rsidRPr="00FB1484" w:rsidRDefault="00AD4C4E" w:rsidP="00FB1484">
      <w:pPr>
        <w:rPr>
          <w:lang w:eastAsia="ja-JP"/>
        </w:rPr>
      </w:pPr>
      <w:r w:rsidRPr="00BA7228">
        <w:rPr>
          <w:rStyle w:val="normaltextrun"/>
          <w:rFonts w:ascii="Arial" w:eastAsiaTheme="minorEastAsia" w:hAnsi="Arial" w:cs="Arial"/>
          <w:szCs w:val="24"/>
        </w:rPr>
        <w:t>In some cases, it may not be possible to determine whether different or earlier treatment would have resulted in a different outcome for patients. However, review of these events can still provide us with information on how best to improve our services to provide the best care possible to patients and their whānau. </w:t>
      </w:r>
      <w:r w:rsidRPr="00BA7228">
        <w:rPr>
          <w:rStyle w:val="eop"/>
          <w:rFonts w:ascii="Arial" w:hAnsi="Arial" w:cs="Arial"/>
          <w:szCs w:val="24"/>
        </w:rPr>
        <w:t> </w:t>
      </w:r>
    </w:p>
    <w:p w14:paraId="088974EA" w14:textId="77777777" w:rsidR="00FB1484" w:rsidRPr="00F65820" w:rsidRDefault="00FB1484" w:rsidP="00FB1484">
      <w:pPr>
        <w:pStyle w:val="Heading2"/>
        <w:rPr>
          <w:lang w:eastAsia="ja-JP"/>
        </w:rPr>
      </w:pPr>
      <w:bookmarkStart w:id="6" w:name="_Toc209611226"/>
      <w:r w:rsidRPr="00F65820">
        <w:rPr>
          <w:lang w:eastAsia="ja-JP"/>
        </w:rPr>
        <w:t xml:space="preserve">Te </w:t>
      </w:r>
      <w:proofErr w:type="spellStart"/>
      <w:r w:rsidRPr="00F65820">
        <w:rPr>
          <w:lang w:eastAsia="ja-JP"/>
        </w:rPr>
        <w:t>Tiriti</w:t>
      </w:r>
      <w:proofErr w:type="spellEnd"/>
      <w:r w:rsidRPr="00F65820">
        <w:rPr>
          <w:lang w:eastAsia="ja-JP"/>
        </w:rPr>
        <w:t xml:space="preserve"> o Waitangi</w:t>
      </w:r>
      <w:bookmarkEnd w:id="6"/>
    </w:p>
    <w:p w14:paraId="1C56E2B7" w14:textId="77777777" w:rsidR="00FB1484" w:rsidRPr="00FB1484" w:rsidRDefault="00FB1484" w:rsidP="0059771F">
      <w:pPr>
        <w:rPr>
          <w:rFonts w:ascii="Arial" w:hAnsi="Arial" w:cs="Arial"/>
          <w:lang w:eastAsia="ja-JP"/>
        </w:rPr>
      </w:pPr>
      <w:r w:rsidRPr="00FB1484">
        <w:rPr>
          <w:lang w:eastAsia="ja-JP"/>
        </w:rPr>
        <w:t xml:space="preserve">Health NZ has responsibilities and accountabilities under Te Tiriti o Waitangi and the Pae Ora </w:t>
      </w:r>
      <w:r w:rsidR="00514357">
        <w:rPr>
          <w:lang w:eastAsia="ja-JP"/>
        </w:rPr>
        <w:t xml:space="preserve">(Healthy Futures) </w:t>
      </w:r>
      <w:r w:rsidRPr="00FB1484">
        <w:rPr>
          <w:lang w:eastAsia="ja-JP"/>
        </w:rPr>
        <w:t>Act 2022 to address persistent inequities experienced by Māori</w:t>
      </w:r>
      <w:r w:rsidR="004C766C">
        <w:rPr>
          <w:lang w:eastAsia="ja-JP"/>
        </w:rPr>
        <w:t>,</w:t>
      </w:r>
      <w:r w:rsidRPr="00FB1484">
        <w:rPr>
          <w:lang w:eastAsia="ja-JP"/>
        </w:rPr>
        <w:t xml:space="preserve"> and to improve health outcomes for Māori.</w:t>
      </w:r>
      <w:r w:rsidR="00074477">
        <w:rPr>
          <w:rStyle w:val="FootnoteReference"/>
          <w:lang w:eastAsia="ja-JP"/>
        </w:rPr>
        <w:footnoteReference w:id="3"/>
      </w:r>
      <w:r w:rsidRPr="00FB1484">
        <w:rPr>
          <w:lang w:eastAsia="ja-JP"/>
        </w:rPr>
        <w:t xml:space="preserve"> </w:t>
      </w:r>
      <w:r w:rsidRPr="00FB1484">
        <w:rPr>
          <w:rStyle w:val="normaltextrun"/>
          <w:rFonts w:ascii="Arial" w:hAnsi="Arial" w:cs="Arial"/>
          <w:color w:val="000000"/>
          <w:shd w:val="clear" w:color="auto" w:fill="FFFFFF"/>
        </w:rPr>
        <w:t>CCHV are committed</w:t>
      </w:r>
      <w:r w:rsidR="00074477" w:rsidRPr="00FB1484">
        <w:rPr>
          <w:rStyle w:val="normaltextrun"/>
          <w:rFonts w:ascii="Arial" w:hAnsi="Arial" w:cs="Arial"/>
          <w:color w:val="000000"/>
          <w:shd w:val="clear" w:color="auto" w:fill="FFFFFF"/>
        </w:rPr>
        <w:t xml:space="preserve"> </w:t>
      </w:r>
      <w:r w:rsidRPr="00FB1484">
        <w:rPr>
          <w:rStyle w:val="normaltextrun"/>
          <w:rFonts w:ascii="Arial" w:hAnsi="Arial" w:cs="Arial"/>
          <w:color w:val="000000"/>
          <w:shd w:val="clear" w:color="auto" w:fill="FFFFFF"/>
        </w:rPr>
        <w:t>to improving health outcomes for Māori in our</w:t>
      </w:r>
      <w:r w:rsidR="00074477">
        <w:rPr>
          <w:rStyle w:val="normaltextrun"/>
          <w:rFonts w:ascii="Arial" w:hAnsi="Arial" w:cs="Arial"/>
          <w:color w:val="000000"/>
          <w:shd w:val="clear" w:color="auto" w:fill="FFFFFF"/>
        </w:rPr>
        <w:t xml:space="preserve"> </w:t>
      </w:r>
      <w:r w:rsidRPr="00FB1484">
        <w:rPr>
          <w:rStyle w:val="normaltextrun"/>
          <w:rFonts w:ascii="Arial" w:hAnsi="Arial" w:cs="Arial"/>
          <w:color w:val="000000"/>
          <w:shd w:val="clear" w:color="auto" w:fill="FFFFFF"/>
        </w:rPr>
        <w:t xml:space="preserve">district by prioritising tino rangatiratanga (self-determination); ōritetanga (equity); whakamaru (active protection); kōwhiringa (options) and pātuitanga </w:t>
      </w:r>
      <w:r w:rsidRPr="00FB1484">
        <w:rPr>
          <w:rStyle w:val="normaltextrun"/>
          <w:rFonts w:ascii="Arial" w:hAnsi="Arial" w:cs="Arial"/>
          <w:color w:val="000000"/>
          <w:shd w:val="clear" w:color="auto" w:fill="FFFFFF"/>
        </w:rPr>
        <w:lastRenderedPageBreak/>
        <w:t>(partnership).</w:t>
      </w:r>
      <w:r w:rsidRPr="00FB1484">
        <w:rPr>
          <w:rStyle w:val="FootnoteReference"/>
          <w:rFonts w:ascii="Arial" w:hAnsi="Arial" w:cs="Arial"/>
          <w:color w:val="000000"/>
          <w:shd w:val="clear" w:color="auto" w:fill="FFFFFF"/>
        </w:rPr>
        <w:footnoteReference w:id="4"/>
      </w:r>
      <w:r w:rsidRPr="00FB1484">
        <w:rPr>
          <w:rStyle w:val="eop"/>
          <w:rFonts w:ascii="Arial" w:hAnsi="Arial" w:cs="Arial"/>
          <w:color w:val="000000"/>
          <w:shd w:val="clear" w:color="auto" w:fill="FFFFFF"/>
        </w:rPr>
        <w:t> </w:t>
      </w:r>
      <w:r w:rsidRPr="00FB1484">
        <w:rPr>
          <w:rFonts w:ascii="Arial" w:hAnsi="Arial" w:cs="Arial"/>
          <w:lang w:eastAsia="ja-JP"/>
        </w:rPr>
        <w:t>The Serious Event Review Committee (SERC) has Māori representation and</w:t>
      </w:r>
      <w:r w:rsidR="004C766C">
        <w:rPr>
          <w:rFonts w:ascii="Arial" w:hAnsi="Arial" w:cs="Arial"/>
          <w:lang w:eastAsia="ja-JP"/>
        </w:rPr>
        <w:t>, where possible,</w:t>
      </w:r>
      <w:r w:rsidRPr="00FB1484">
        <w:rPr>
          <w:rFonts w:ascii="Arial" w:hAnsi="Arial" w:cs="Arial"/>
          <w:lang w:eastAsia="ja-JP"/>
        </w:rPr>
        <w:t xml:space="preserve"> teams reviewing events involving Māori patients include a Māori staff member</w:t>
      </w:r>
      <w:r w:rsidR="00EB57A9">
        <w:rPr>
          <w:rFonts w:ascii="Arial" w:hAnsi="Arial" w:cs="Arial"/>
          <w:lang w:eastAsia="ja-JP"/>
        </w:rPr>
        <w:t>.</w:t>
      </w:r>
      <w:r w:rsidRPr="00FB1484">
        <w:rPr>
          <w:rFonts w:ascii="Arial" w:hAnsi="Arial" w:cs="Arial"/>
          <w:lang w:eastAsia="ja-JP"/>
        </w:rPr>
        <w:t xml:space="preserve"> </w:t>
      </w:r>
    </w:p>
    <w:p w14:paraId="4C4458AD" w14:textId="77777777" w:rsidR="00FB1484" w:rsidRPr="002875EF" w:rsidRDefault="00FB1484" w:rsidP="00FB1484">
      <w:pPr>
        <w:pStyle w:val="Heading2"/>
      </w:pPr>
      <w:bookmarkStart w:id="7" w:name="_Toc209611227"/>
      <w:r>
        <w:t>Our p</w:t>
      </w:r>
      <w:r w:rsidRPr="002875EF">
        <w:t>opulation</w:t>
      </w:r>
      <w:bookmarkEnd w:id="7"/>
    </w:p>
    <w:p w14:paraId="750AC8A6" w14:textId="2D9FA0BB" w:rsidR="00384841" w:rsidRPr="00F65820" w:rsidRDefault="00FB1484" w:rsidP="00FB1484">
      <w:r w:rsidRPr="00F65820">
        <w:t>The CCHV district encompasses Hutt Valley, K</w:t>
      </w:r>
      <w:r w:rsidR="00401CFA">
        <w:t>ā</w:t>
      </w:r>
      <w:r w:rsidRPr="00F65820">
        <w:t xml:space="preserve">piti, Porirua and Wellington and includes Wellington Regional, Hutt </w:t>
      </w:r>
      <w:r>
        <w:t>and Kenepuru hospitals.</w:t>
      </w:r>
      <w:r w:rsidRPr="00F65820">
        <w:t xml:space="preserve"> It is a</w:t>
      </w:r>
      <w:r w:rsidR="008E1B1B">
        <w:t xml:space="preserve"> constantly evolving</w:t>
      </w:r>
      <w:r w:rsidRPr="00F65820">
        <w:t xml:space="preserve"> region diverse in cultures, ethnicities, abilities and geographic settings. Our population is expected to grow, age and become more diverse</w:t>
      </w:r>
      <w:r>
        <w:t>.</w:t>
      </w:r>
      <w:r>
        <w:rPr>
          <w:rStyle w:val="FootnoteReference"/>
          <w:rFonts w:ascii="Arial" w:hAnsi="Arial" w:cs="Arial"/>
        </w:rPr>
        <w:footnoteReference w:id="5"/>
      </w:r>
      <w:r w:rsidRPr="00F65820">
        <w:t xml:space="preserve"> </w:t>
      </w:r>
    </w:p>
    <w:p w14:paraId="39C08669" w14:textId="135AE5C8" w:rsidR="00384841" w:rsidRDefault="00384841" w:rsidP="00540569">
      <w:pPr>
        <w:pStyle w:val="Figure"/>
      </w:pPr>
      <w:r>
        <w:t xml:space="preserve">Table </w:t>
      </w:r>
      <w:r>
        <w:fldChar w:fldCharType="begin"/>
      </w:r>
      <w:r>
        <w:instrText>SEQ Table \* ARABIC</w:instrText>
      </w:r>
      <w:r>
        <w:fldChar w:fldCharType="separate"/>
      </w:r>
      <w:r w:rsidR="00392FC2">
        <w:rPr>
          <w:noProof/>
        </w:rPr>
        <w:t>2</w:t>
      </w:r>
      <w:r>
        <w:fldChar w:fldCharType="end"/>
      </w:r>
      <w:r>
        <w:t>:</w:t>
      </w:r>
      <w:r w:rsidRPr="00384841">
        <w:t xml:space="preserve"> </w:t>
      </w:r>
      <w:r w:rsidRPr="5C5025B5">
        <w:t xml:space="preserve">Population data for CCHV District from NZ Census </w:t>
      </w:r>
      <w:r w:rsidR="00454046">
        <w:t>2023 (aggregated from territorial authority data)</w:t>
      </w:r>
      <w:r w:rsidRPr="5C5025B5">
        <w:rPr>
          <w:rStyle w:val="FootnoteReference"/>
          <w:rFonts w:ascii="Arial" w:hAnsi="Arial" w:cs="Arial"/>
        </w:rPr>
        <w:footnoteReference w:id="6"/>
      </w:r>
    </w:p>
    <w:tbl>
      <w:tblPr>
        <w:tblStyle w:val="TeWhatuOra"/>
        <w:tblW w:w="0" w:type="auto"/>
        <w:tblLook w:val="04A0" w:firstRow="1" w:lastRow="0" w:firstColumn="1" w:lastColumn="0" w:noHBand="0" w:noVBand="1"/>
      </w:tblPr>
      <w:tblGrid>
        <w:gridCol w:w="5670"/>
        <w:gridCol w:w="1985"/>
        <w:gridCol w:w="1983"/>
      </w:tblGrid>
      <w:tr w:rsidR="00384841" w:rsidRPr="00C05445" w14:paraId="0864D0B5" w14:textId="77777777" w:rsidTr="0038484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70" w:type="dxa"/>
          </w:tcPr>
          <w:p w14:paraId="29F13899" w14:textId="77777777" w:rsidR="00384841" w:rsidRPr="00C05445" w:rsidRDefault="00384841" w:rsidP="00384841">
            <w:pPr>
              <w:spacing w:before="0" w:after="160" w:line="259" w:lineRule="auto"/>
            </w:pPr>
            <w:r w:rsidRPr="008B4292">
              <w:t>Ethnicity</w:t>
            </w:r>
          </w:p>
        </w:tc>
        <w:tc>
          <w:tcPr>
            <w:tcW w:w="1985" w:type="dxa"/>
          </w:tcPr>
          <w:p w14:paraId="2614FFE1" w14:textId="77777777" w:rsidR="00384841" w:rsidRPr="00C05445" w:rsidRDefault="00384841" w:rsidP="00384841">
            <w:pPr>
              <w:spacing w:before="0" w:after="160" w:line="259" w:lineRule="auto"/>
              <w:cnfStyle w:val="100000000000" w:firstRow="1" w:lastRow="0" w:firstColumn="0" w:lastColumn="0" w:oddVBand="0" w:evenVBand="0" w:oddHBand="0" w:evenHBand="0" w:firstRowFirstColumn="0" w:firstRowLastColumn="0" w:lastRowFirstColumn="0" w:lastRowLastColumn="0"/>
            </w:pPr>
            <w:r w:rsidRPr="00384841">
              <w:t>Number</w:t>
            </w:r>
          </w:p>
        </w:tc>
        <w:tc>
          <w:tcPr>
            <w:tcW w:w="1983" w:type="dxa"/>
          </w:tcPr>
          <w:p w14:paraId="0EA91A5B" w14:textId="77777777" w:rsidR="00384841" w:rsidRPr="00C05445" w:rsidRDefault="00384841" w:rsidP="00384841">
            <w:pPr>
              <w:spacing w:before="0" w:after="160" w:line="259" w:lineRule="auto"/>
              <w:cnfStyle w:val="100000000000" w:firstRow="1" w:lastRow="0" w:firstColumn="0" w:lastColumn="0" w:oddVBand="0" w:evenVBand="0" w:oddHBand="0" w:evenHBand="0" w:firstRowFirstColumn="0" w:firstRowLastColumn="0" w:lastRowFirstColumn="0" w:lastRowLastColumn="0"/>
            </w:pPr>
            <w:r w:rsidRPr="00384841">
              <w:t>Percentage*</w:t>
            </w:r>
          </w:p>
        </w:tc>
      </w:tr>
      <w:tr w:rsidR="00384841" w:rsidRPr="00C05445" w14:paraId="0766D8C5" w14:textId="77777777" w:rsidTr="00384841">
        <w:tc>
          <w:tcPr>
            <w:cnfStyle w:val="001000000000" w:firstRow="0" w:lastRow="0" w:firstColumn="1" w:lastColumn="0" w:oddVBand="0" w:evenVBand="0" w:oddHBand="0" w:evenHBand="0" w:firstRowFirstColumn="0" w:firstRowLastColumn="0" w:lastRowFirstColumn="0" w:lastRowLastColumn="0"/>
            <w:tcW w:w="5670" w:type="dxa"/>
          </w:tcPr>
          <w:p w14:paraId="1EA75359" w14:textId="77777777" w:rsidR="00384841" w:rsidRPr="00BC140F" w:rsidRDefault="00384841" w:rsidP="00BC140F">
            <w:r w:rsidRPr="00BC140F">
              <w:t xml:space="preserve">Māori </w:t>
            </w:r>
          </w:p>
        </w:tc>
        <w:tc>
          <w:tcPr>
            <w:tcW w:w="1985" w:type="dxa"/>
            <w:tcBorders>
              <w:top w:val="nil"/>
              <w:left w:val="nil"/>
              <w:bottom w:val="single" w:sz="4" w:space="0" w:color="auto"/>
              <w:right w:val="single" w:sz="4" w:space="0" w:color="auto"/>
            </w:tcBorders>
          </w:tcPr>
          <w:p w14:paraId="14353B87" w14:textId="77777777" w:rsidR="00384841" w:rsidRPr="00BC140F" w:rsidRDefault="00AE6110" w:rsidP="00BC140F">
            <w:pPr>
              <w:cnfStyle w:val="000000000000" w:firstRow="0" w:lastRow="0" w:firstColumn="0" w:lastColumn="0" w:oddVBand="0" w:evenVBand="0" w:oddHBand="0" w:evenHBand="0" w:firstRowFirstColumn="0" w:firstRowLastColumn="0" w:lastRowFirstColumn="0" w:lastRowLastColumn="0"/>
            </w:pPr>
            <w:r w:rsidRPr="00BC140F">
              <w:t>7</w:t>
            </w:r>
            <w:r w:rsidR="00384841" w:rsidRPr="00BC140F">
              <w:t>1,0</w:t>
            </w:r>
            <w:r w:rsidRPr="00BC140F">
              <w:t>94</w:t>
            </w:r>
          </w:p>
        </w:tc>
        <w:tc>
          <w:tcPr>
            <w:tcW w:w="1983" w:type="dxa"/>
          </w:tcPr>
          <w:p w14:paraId="59395460" w14:textId="77777777" w:rsidR="00384841" w:rsidRPr="00BC140F" w:rsidRDefault="00384841" w:rsidP="00BC140F">
            <w:pPr>
              <w:cnfStyle w:val="000000000000" w:firstRow="0" w:lastRow="0" w:firstColumn="0" w:lastColumn="0" w:oddVBand="0" w:evenVBand="0" w:oddHBand="0" w:evenHBand="0" w:firstRowFirstColumn="0" w:firstRowLastColumn="0" w:lastRowFirstColumn="0" w:lastRowLastColumn="0"/>
            </w:pPr>
            <w:r w:rsidRPr="00BC140F">
              <w:t>1</w:t>
            </w:r>
            <w:r w:rsidR="00AE6110" w:rsidRPr="00BC140F">
              <w:t>5</w:t>
            </w:r>
            <w:r w:rsidRPr="00BC140F">
              <w:t>%</w:t>
            </w:r>
          </w:p>
        </w:tc>
      </w:tr>
      <w:tr w:rsidR="00384841" w:rsidRPr="00C05445" w14:paraId="6CCF528C" w14:textId="77777777" w:rsidTr="00384841">
        <w:tc>
          <w:tcPr>
            <w:cnfStyle w:val="001000000000" w:firstRow="0" w:lastRow="0" w:firstColumn="1" w:lastColumn="0" w:oddVBand="0" w:evenVBand="0" w:oddHBand="0" w:evenHBand="0" w:firstRowFirstColumn="0" w:firstRowLastColumn="0" w:lastRowFirstColumn="0" w:lastRowLastColumn="0"/>
            <w:tcW w:w="5670" w:type="dxa"/>
          </w:tcPr>
          <w:p w14:paraId="0F96B4A4" w14:textId="77777777" w:rsidR="00384841" w:rsidRPr="00BC140F" w:rsidRDefault="00384841" w:rsidP="00BC140F">
            <w:r w:rsidRPr="00BC140F">
              <w:t>Pacific peoples</w:t>
            </w:r>
          </w:p>
        </w:tc>
        <w:tc>
          <w:tcPr>
            <w:tcW w:w="1985" w:type="dxa"/>
            <w:tcBorders>
              <w:top w:val="nil"/>
              <w:left w:val="nil"/>
              <w:bottom w:val="single" w:sz="4" w:space="0" w:color="auto"/>
              <w:right w:val="single" w:sz="4" w:space="0" w:color="auto"/>
            </w:tcBorders>
          </w:tcPr>
          <w:p w14:paraId="239CBE76" w14:textId="77777777" w:rsidR="00384841" w:rsidRPr="00BC140F" w:rsidRDefault="00AE6110" w:rsidP="00BC140F">
            <w:pPr>
              <w:cnfStyle w:val="000000000000" w:firstRow="0" w:lastRow="0" w:firstColumn="0" w:lastColumn="0" w:oddVBand="0" w:evenVBand="0" w:oddHBand="0" w:evenHBand="0" w:firstRowFirstColumn="0" w:firstRowLastColumn="0" w:lastRowFirstColumn="0" w:lastRowLastColumn="0"/>
            </w:pPr>
            <w:r w:rsidRPr="00BC140F">
              <w:t>45,531</w:t>
            </w:r>
          </w:p>
        </w:tc>
        <w:tc>
          <w:tcPr>
            <w:tcW w:w="1983" w:type="dxa"/>
          </w:tcPr>
          <w:p w14:paraId="4F438843" w14:textId="77777777" w:rsidR="00384841" w:rsidRPr="00BC140F" w:rsidRDefault="00AE6110" w:rsidP="00BC140F">
            <w:pPr>
              <w:cnfStyle w:val="000000000000" w:firstRow="0" w:lastRow="0" w:firstColumn="0" w:lastColumn="0" w:oddVBand="0" w:evenVBand="0" w:oddHBand="0" w:evenHBand="0" w:firstRowFirstColumn="0" w:firstRowLastColumn="0" w:lastRowFirstColumn="0" w:lastRowLastColumn="0"/>
            </w:pPr>
            <w:r w:rsidRPr="00BC140F">
              <w:t>10</w:t>
            </w:r>
            <w:r w:rsidR="00384841" w:rsidRPr="00BC140F">
              <w:t>%</w:t>
            </w:r>
          </w:p>
        </w:tc>
      </w:tr>
      <w:tr w:rsidR="00384841" w:rsidRPr="00C05445" w14:paraId="6BA5EE81" w14:textId="77777777" w:rsidTr="00384841">
        <w:tc>
          <w:tcPr>
            <w:cnfStyle w:val="001000000000" w:firstRow="0" w:lastRow="0" w:firstColumn="1" w:lastColumn="0" w:oddVBand="0" w:evenVBand="0" w:oddHBand="0" w:evenHBand="0" w:firstRowFirstColumn="0" w:firstRowLastColumn="0" w:lastRowFirstColumn="0" w:lastRowLastColumn="0"/>
            <w:tcW w:w="5670" w:type="dxa"/>
          </w:tcPr>
          <w:p w14:paraId="689EA763" w14:textId="77777777" w:rsidR="00384841" w:rsidRPr="00BC140F" w:rsidRDefault="00384841" w:rsidP="00BC140F">
            <w:r w:rsidRPr="00BC140F">
              <w:t>Asian</w:t>
            </w:r>
          </w:p>
        </w:tc>
        <w:tc>
          <w:tcPr>
            <w:tcW w:w="1985" w:type="dxa"/>
            <w:tcBorders>
              <w:top w:val="nil"/>
              <w:left w:val="nil"/>
              <w:bottom w:val="single" w:sz="4" w:space="0" w:color="auto"/>
              <w:right w:val="single" w:sz="4" w:space="0" w:color="auto"/>
            </w:tcBorders>
          </w:tcPr>
          <w:p w14:paraId="29887BC6" w14:textId="77777777" w:rsidR="00384841" w:rsidRPr="00BC140F" w:rsidRDefault="00AE6110" w:rsidP="00BC140F">
            <w:pPr>
              <w:cnfStyle w:val="000000000000" w:firstRow="0" w:lastRow="0" w:firstColumn="0" w:lastColumn="0" w:oddVBand="0" w:evenVBand="0" w:oddHBand="0" w:evenHBand="0" w:firstRowFirstColumn="0" w:firstRowLastColumn="0" w:lastRowFirstColumn="0" w:lastRowLastColumn="0"/>
            </w:pPr>
            <w:r w:rsidRPr="00BC140F">
              <w:t>77,175</w:t>
            </w:r>
          </w:p>
        </w:tc>
        <w:tc>
          <w:tcPr>
            <w:tcW w:w="1983" w:type="dxa"/>
          </w:tcPr>
          <w:p w14:paraId="7401299A" w14:textId="77777777" w:rsidR="00384841" w:rsidRPr="00BC140F" w:rsidRDefault="00384841" w:rsidP="00BC140F">
            <w:pPr>
              <w:cnfStyle w:val="000000000000" w:firstRow="0" w:lastRow="0" w:firstColumn="0" w:lastColumn="0" w:oddVBand="0" w:evenVBand="0" w:oddHBand="0" w:evenHBand="0" w:firstRowFirstColumn="0" w:firstRowLastColumn="0" w:lastRowFirstColumn="0" w:lastRowLastColumn="0"/>
            </w:pPr>
            <w:r w:rsidRPr="00BC140F">
              <w:t>1</w:t>
            </w:r>
            <w:r w:rsidR="00AE6110" w:rsidRPr="00BC140F">
              <w:t>6</w:t>
            </w:r>
            <w:r w:rsidRPr="00BC140F">
              <w:t>%</w:t>
            </w:r>
          </w:p>
        </w:tc>
      </w:tr>
      <w:tr w:rsidR="00384841" w:rsidRPr="00C05445" w14:paraId="562E446B" w14:textId="77777777" w:rsidTr="00384841">
        <w:tc>
          <w:tcPr>
            <w:cnfStyle w:val="001000000000" w:firstRow="0" w:lastRow="0" w:firstColumn="1" w:lastColumn="0" w:oddVBand="0" w:evenVBand="0" w:oddHBand="0" w:evenHBand="0" w:firstRowFirstColumn="0" w:firstRowLastColumn="0" w:lastRowFirstColumn="0" w:lastRowLastColumn="0"/>
            <w:tcW w:w="5670" w:type="dxa"/>
          </w:tcPr>
          <w:p w14:paraId="57BBCAEA" w14:textId="77777777" w:rsidR="00384841" w:rsidRPr="00BC140F" w:rsidRDefault="00384841" w:rsidP="00BC140F">
            <w:r w:rsidRPr="00BC140F">
              <w:t>Middle eastern/Latin American/African (MELAA)</w:t>
            </w:r>
          </w:p>
        </w:tc>
        <w:tc>
          <w:tcPr>
            <w:tcW w:w="1985" w:type="dxa"/>
            <w:tcBorders>
              <w:top w:val="nil"/>
              <w:left w:val="nil"/>
              <w:bottom w:val="single" w:sz="4" w:space="0" w:color="auto"/>
              <w:right w:val="single" w:sz="4" w:space="0" w:color="auto"/>
            </w:tcBorders>
          </w:tcPr>
          <w:p w14:paraId="5A645D2E" w14:textId="77777777" w:rsidR="00384841" w:rsidRPr="00BC140F" w:rsidRDefault="00AE6110" w:rsidP="00BC140F">
            <w:pPr>
              <w:cnfStyle w:val="000000000000" w:firstRow="0" w:lastRow="0" w:firstColumn="0" w:lastColumn="0" w:oddVBand="0" w:evenVBand="0" w:oddHBand="0" w:evenHBand="0" w:firstRowFirstColumn="0" w:firstRowLastColumn="0" w:lastRowFirstColumn="0" w:lastRowLastColumn="0"/>
            </w:pPr>
            <w:r w:rsidRPr="00BC140F">
              <w:t>11,691</w:t>
            </w:r>
          </w:p>
        </w:tc>
        <w:tc>
          <w:tcPr>
            <w:tcW w:w="1983" w:type="dxa"/>
          </w:tcPr>
          <w:p w14:paraId="5757964F" w14:textId="77777777" w:rsidR="00384841" w:rsidRPr="00BC140F" w:rsidRDefault="00384841" w:rsidP="00BC140F">
            <w:pPr>
              <w:cnfStyle w:val="000000000000" w:firstRow="0" w:lastRow="0" w:firstColumn="0" w:lastColumn="0" w:oddVBand="0" w:evenVBand="0" w:oddHBand="0" w:evenHBand="0" w:firstRowFirstColumn="0" w:firstRowLastColumn="0" w:lastRowFirstColumn="0" w:lastRowLastColumn="0"/>
            </w:pPr>
            <w:r w:rsidRPr="00BC140F">
              <w:t>2%</w:t>
            </w:r>
          </w:p>
        </w:tc>
      </w:tr>
      <w:tr w:rsidR="00384841" w:rsidRPr="00C05445" w14:paraId="26777B1C" w14:textId="77777777" w:rsidTr="00384841">
        <w:tc>
          <w:tcPr>
            <w:cnfStyle w:val="001000000000" w:firstRow="0" w:lastRow="0" w:firstColumn="1" w:lastColumn="0" w:oddVBand="0" w:evenVBand="0" w:oddHBand="0" w:evenHBand="0" w:firstRowFirstColumn="0" w:firstRowLastColumn="0" w:lastRowFirstColumn="0" w:lastRowLastColumn="0"/>
            <w:tcW w:w="5670" w:type="dxa"/>
          </w:tcPr>
          <w:p w14:paraId="4803900B" w14:textId="77777777" w:rsidR="00384841" w:rsidRPr="00BC140F" w:rsidRDefault="00384841" w:rsidP="00BC140F">
            <w:r w:rsidRPr="00BC140F">
              <w:t>Other</w:t>
            </w:r>
          </w:p>
        </w:tc>
        <w:tc>
          <w:tcPr>
            <w:tcW w:w="1985" w:type="dxa"/>
            <w:tcBorders>
              <w:top w:val="nil"/>
              <w:left w:val="nil"/>
              <w:bottom w:val="single" w:sz="4" w:space="0" w:color="auto"/>
              <w:right w:val="single" w:sz="4" w:space="0" w:color="auto"/>
            </w:tcBorders>
          </w:tcPr>
          <w:p w14:paraId="4BB9C14C" w14:textId="77777777" w:rsidR="00384841" w:rsidRPr="00BC140F" w:rsidRDefault="00AE6110" w:rsidP="00BC140F">
            <w:pPr>
              <w:cnfStyle w:val="000000000000" w:firstRow="0" w:lastRow="0" w:firstColumn="0" w:lastColumn="0" w:oddVBand="0" w:evenVBand="0" w:oddHBand="0" w:evenHBand="0" w:firstRowFirstColumn="0" w:firstRowLastColumn="0" w:lastRowFirstColumn="0" w:lastRowLastColumn="0"/>
            </w:pPr>
            <w:r w:rsidRPr="00BC140F">
              <w:t>5,169</w:t>
            </w:r>
          </w:p>
        </w:tc>
        <w:tc>
          <w:tcPr>
            <w:tcW w:w="1983" w:type="dxa"/>
          </w:tcPr>
          <w:p w14:paraId="30396F81" w14:textId="77777777" w:rsidR="00384841" w:rsidRPr="00BC140F" w:rsidRDefault="00384841" w:rsidP="00BC140F">
            <w:pPr>
              <w:cnfStyle w:val="000000000000" w:firstRow="0" w:lastRow="0" w:firstColumn="0" w:lastColumn="0" w:oddVBand="0" w:evenVBand="0" w:oddHBand="0" w:evenHBand="0" w:firstRowFirstColumn="0" w:firstRowLastColumn="0" w:lastRowFirstColumn="0" w:lastRowLastColumn="0"/>
            </w:pPr>
            <w:r w:rsidRPr="00BC140F">
              <w:t>1%</w:t>
            </w:r>
          </w:p>
        </w:tc>
      </w:tr>
      <w:tr w:rsidR="00384841" w:rsidRPr="00C05445" w14:paraId="464A962E" w14:textId="77777777" w:rsidTr="00384841">
        <w:tc>
          <w:tcPr>
            <w:cnfStyle w:val="001000000000" w:firstRow="0" w:lastRow="0" w:firstColumn="1" w:lastColumn="0" w:oddVBand="0" w:evenVBand="0" w:oddHBand="0" w:evenHBand="0" w:firstRowFirstColumn="0" w:firstRowLastColumn="0" w:lastRowFirstColumn="0" w:lastRowLastColumn="0"/>
            <w:tcW w:w="5670" w:type="dxa"/>
          </w:tcPr>
          <w:p w14:paraId="50BAB371" w14:textId="77777777" w:rsidR="00384841" w:rsidRPr="00BC140F" w:rsidRDefault="00384841" w:rsidP="00BC140F">
            <w:r w:rsidRPr="00BC140F">
              <w:t>European</w:t>
            </w:r>
          </w:p>
        </w:tc>
        <w:tc>
          <w:tcPr>
            <w:tcW w:w="1985" w:type="dxa"/>
            <w:tcBorders>
              <w:top w:val="nil"/>
              <w:left w:val="nil"/>
              <w:bottom w:val="single" w:sz="4" w:space="0" w:color="auto"/>
              <w:right w:val="single" w:sz="4" w:space="0" w:color="auto"/>
            </w:tcBorders>
          </w:tcPr>
          <w:p w14:paraId="2582E0D3" w14:textId="77777777" w:rsidR="00384841" w:rsidRPr="00BC140F" w:rsidRDefault="00AE6110" w:rsidP="00BC140F">
            <w:pPr>
              <w:cnfStyle w:val="000000000000" w:firstRow="0" w:lastRow="0" w:firstColumn="0" w:lastColumn="0" w:oddVBand="0" w:evenVBand="0" w:oddHBand="0" w:evenHBand="0" w:firstRowFirstColumn="0" w:firstRowLastColumn="0" w:lastRowFirstColumn="0" w:lastRowLastColumn="0"/>
            </w:pPr>
            <w:r w:rsidRPr="00BC140F">
              <w:t>335,400</w:t>
            </w:r>
          </w:p>
        </w:tc>
        <w:tc>
          <w:tcPr>
            <w:tcW w:w="1983" w:type="dxa"/>
          </w:tcPr>
          <w:p w14:paraId="28F7D246" w14:textId="77777777" w:rsidR="00384841" w:rsidRPr="00BC140F" w:rsidRDefault="00AE6110" w:rsidP="00BC140F">
            <w:pPr>
              <w:cnfStyle w:val="000000000000" w:firstRow="0" w:lastRow="0" w:firstColumn="0" w:lastColumn="0" w:oddVBand="0" w:evenVBand="0" w:oddHBand="0" w:evenHBand="0" w:firstRowFirstColumn="0" w:firstRowLastColumn="0" w:lastRowFirstColumn="0" w:lastRowLastColumn="0"/>
            </w:pPr>
            <w:r w:rsidRPr="00BC140F">
              <w:t>71</w:t>
            </w:r>
            <w:r w:rsidR="00384841" w:rsidRPr="00BC140F">
              <w:t>%</w:t>
            </w:r>
          </w:p>
        </w:tc>
      </w:tr>
      <w:tr w:rsidR="00384841" w:rsidRPr="00C05445" w14:paraId="7848386A" w14:textId="77777777" w:rsidTr="00384841">
        <w:tc>
          <w:tcPr>
            <w:cnfStyle w:val="001000000000" w:firstRow="0" w:lastRow="0" w:firstColumn="1" w:lastColumn="0" w:oddVBand="0" w:evenVBand="0" w:oddHBand="0" w:evenHBand="0" w:firstRowFirstColumn="0" w:firstRowLastColumn="0" w:lastRowFirstColumn="0" w:lastRowLastColumn="0"/>
            <w:tcW w:w="5670" w:type="dxa"/>
          </w:tcPr>
          <w:p w14:paraId="367038E1" w14:textId="77777777" w:rsidR="00384841" w:rsidRPr="00BC140F" w:rsidRDefault="00384841" w:rsidP="00BC140F">
            <w:r w:rsidRPr="00BC140F">
              <w:t>Total</w:t>
            </w:r>
          </w:p>
        </w:tc>
        <w:tc>
          <w:tcPr>
            <w:tcW w:w="1985" w:type="dxa"/>
            <w:tcBorders>
              <w:top w:val="nil"/>
              <w:left w:val="nil"/>
              <w:bottom w:val="nil"/>
              <w:right w:val="single" w:sz="4" w:space="0" w:color="auto"/>
            </w:tcBorders>
          </w:tcPr>
          <w:p w14:paraId="0A42E53C" w14:textId="77777777" w:rsidR="00384841" w:rsidRPr="00BC140F" w:rsidRDefault="00384841" w:rsidP="00BC140F">
            <w:pPr>
              <w:cnfStyle w:val="000000000000" w:firstRow="0" w:lastRow="0" w:firstColumn="0" w:lastColumn="0" w:oddVBand="0" w:evenVBand="0" w:oddHBand="0" w:evenHBand="0" w:firstRowFirstColumn="0" w:firstRowLastColumn="0" w:lastRowFirstColumn="0" w:lastRowLastColumn="0"/>
            </w:pPr>
            <w:r w:rsidRPr="00BC140F">
              <w:t>4</w:t>
            </w:r>
            <w:r w:rsidR="00AE6110" w:rsidRPr="00BC140F">
              <w:t>71,369</w:t>
            </w:r>
          </w:p>
        </w:tc>
        <w:tc>
          <w:tcPr>
            <w:tcW w:w="1983" w:type="dxa"/>
          </w:tcPr>
          <w:p w14:paraId="4360EBF0" w14:textId="77777777" w:rsidR="00384841" w:rsidRPr="00BC140F" w:rsidRDefault="00384841" w:rsidP="00BC140F">
            <w:pPr>
              <w:cnfStyle w:val="000000000000" w:firstRow="0" w:lastRow="0" w:firstColumn="0" w:lastColumn="0" w:oddVBand="0" w:evenVBand="0" w:oddHBand="0" w:evenHBand="0" w:firstRowFirstColumn="0" w:firstRowLastColumn="0" w:lastRowFirstColumn="0" w:lastRowLastColumn="0"/>
            </w:pPr>
          </w:p>
        </w:tc>
      </w:tr>
    </w:tbl>
    <w:p w14:paraId="05A93FBC" w14:textId="6E457C6F" w:rsidR="00951776" w:rsidRPr="00AB1D3E" w:rsidRDefault="000408BE" w:rsidP="000408BE">
      <w:pPr>
        <w:rPr>
          <w:sz w:val="20"/>
          <w:szCs w:val="20"/>
          <w:lang w:eastAsia="ja-JP"/>
        </w:rPr>
      </w:pPr>
      <w:r w:rsidRPr="00AB1D3E">
        <w:rPr>
          <w:sz w:val="20"/>
          <w:szCs w:val="20"/>
          <w:lang w:eastAsia="ja-JP"/>
        </w:rPr>
        <w:t>* When using total ethnicity a person can be counted more than once if they have multiple ethnicities, therefore percentages will not add up to 100%</w:t>
      </w:r>
      <w:r w:rsidR="00CB0E94">
        <w:rPr>
          <w:sz w:val="20"/>
          <w:szCs w:val="20"/>
          <w:lang w:eastAsia="ja-JP"/>
        </w:rPr>
        <w:t>.</w:t>
      </w:r>
    </w:p>
    <w:p w14:paraId="48FEC146" w14:textId="77777777" w:rsidR="00951776" w:rsidRPr="002875EF" w:rsidRDefault="00951776" w:rsidP="00951776">
      <w:pPr>
        <w:pStyle w:val="Heading2"/>
        <w:rPr>
          <w:lang w:eastAsia="ja-JP"/>
        </w:rPr>
      </w:pPr>
      <w:bookmarkStart w:id="8" w:name="_Toc209611228"/>
      <w:r w:rsidRPr="002875EF">
        <w:rPr>
          <w:lang w:eastAsia="ja-JP"/>
        </w:rPr>
        <w:t>A note on ethnicity data</w:t>
      </w:r>
      <w:bookmarkEnd w:id="8"/>
    </w:p>
    <w:p w14:paraId="70497A2F" w14:textId="77777777" w:rsidR="00951776" w:rsidRDefault="00951776" w:rsidP="00384841">
      <w:pPr>
        <w:rPr>
          <w:lang w:eastAsia="ja-JP"/>
        </w:rPr>
      </w:pPr>
      <w:r>
        <w:rPr>
          <w:lang w:eastAsia="ja-JP"/>
        </w:rPr>
        <w:t>As part of serious adverse e</w:t>
      </w:r>
      <w:r w:rsidRPr="5DC8DF31">
        <w:rPr>
          <w:lang w:eastAsia="ja-JP"/>
        </w:rPr>
        <w:t>vent reporting we collect ethnicity data to better plan, tailor and deliver policies and services.</w:t>
      </w:r>
      <w:r>
        <w:rPr>
          <w:rStyle w:val="FootnoteReference"/>
          <w:rFonts w:ascii="Arial" w:hAnsi="Arial" w:cs="Arial"/>
          <w:lang w:eastAsia="ja-JP"/>
        </w:rPr>
        <w:footnoteReference w:id="7"/>
      </w:r>
      <w:r w:rsidRPr="5DC8DF31">
        <w:rPr>
          <w:lang w:eastAsia="ja-JP"/>
        </w:rPr>
        <w:t xml:space="preserve"> </w:t>
      </w:r>
      <w:r>
        <w:rPr>
          <w:lang w:eastAsia="ja-JP"/>
        </w:rPr>
        <w:t xml:space="preserve">However, </w:t>
      </w:r>
      <w:r w:rsidR="00A03067">
        <w:rPr>
          <w:lang w:eastAsia="ja-JP"/>
        </w:rPr>
        <w:t xml:space="preserve">it can be difficult to get </w:t>
      </w:r>
      <w:r>
        <w:rPr>
          <w:lang w:eastAsia="ja-JP"/>
        </w:rPr>
        <w:t>accurate ethnicity data for our district population. This reflects the challenges in collecting ethnicity data in the wider health sector, even with the current ethnicity data protocols</w:t>
      </w:r>
      <w:r>
        <w:rPr>
          <w:rStyle w:val="FootnoteReference"/>
          <w:lang w:eastAsia="ja-JP"/>
        </w:rPr>
        <w:footnoteReference w:id="8"/>
      </w:r>
      <w:r w:rsidR="00A33E8B">
        <w:rPr>
          <w:lang w:eastAsia="ja-JP"/>
        </w:rPr>
        <w:t>.</w:t>
      </w:r>
      <w:r w:rsidR="00EB57A9">
        <w:rPr>
          <w:lang w:eastAsia="ja-JP"/>
        </w:rPr>
        <w:t xml:space="preserve"> </w:t>
      </w:r>
      <w:r w:rsidR="007B6916">
        <w:rPr>
          <w:lang w:eastAsia="ja-JP"/>
        </w:rPr>
        <w:t xml:space="preserve">Since our last report, new census data has been released. This data is no longer available as prioritised </w:t>
      </w:r>
      <w:r w:rsidR="007B6916">
        <w:rPr>
          <w:lang w:eastAsia="ja-JP"/>
        </w:rPr>
        <w:lastRenderedPageBreak/>
        <w:t>ethnicity therefore we have moved to reporting total ethnicity when talking about adverse events totals</w:t>
      </w:r>
      <w:r w:rsidR="000408BE">
        <w:rPr>
          <w:lang w:eastAsia="ja-JP"/>
        </w:rPr>
        <w:t xml:space="preserve">. </w:t>
      </w:r>
      <w:r w:rsidR="007B6916">
        <w:rPr>
          <w:lang w:eastAsia="ja-JP"/>
        </w:rPr>
        <w:t>We continue to use prioritised ethnicity for individual event categories.</w:t>
      </w:r>
    </w:p>
    <w:p w14:paraId="4DE16285" w14:textId="77777777" w:rsidR="00384841" w:rsidRPr="005C3530" w:rsidRDefault="00384841" w:rsidP="00384841">
      <w:pPr>
        <w:pStyle w:val="Heading2"/>
        <w:rPr>
          <w:lang w:eastAsia="ja-JP"/>
        </w:rPr>
      </w:pPr>
      <w:bookmarkStart w:id="9" w:name="_Toc209611229"/>
      <w:r w:rsidRPr="16D22437">
        <w:rPr>
          <w:lang w:eastAsia="ja-JP"/>
        </w:rPr>
        <w:t>Equity</w:t>
      </w:r>
      <w:bookmarkEnd w:id="9"/>
      <w:r w:rsidRPr="16D22437">
        <w:rPr>
          <w:lang w:eastAsia="ja-JP"/>
        </w:rPr>
        <w:t xml:space="preserve">  </w:t>
      </w:r>
    </w:p>
    <w:p w14:paraId="5A8D757C" w14:textId="77777777" w:rsidR="00384841" w:rsidRPr="00162EA9" w:rsidRDefault="00384841" w:rsidP="00384841">
      <w:pPr>
        <w:rPr>
          <w:lang w:eastAsia="ja-JP"/>
        </w:rPr>
      </w:pPr>
      <w:r w:rsidRPr="75D5E3BE">
        <w:rPr>
          <w:lang w:val="mi-NZ" w:eastAsia="ja-JP"/>
        </w:rPr>
        <w:t>“</w:t>
      </w:r>
      <w:r w:rsidRPr="00162EA9">
        <w:rPr>
          <w:lang w:eastAsia="ja-JP"/>
        </w:rPr>
        <w:t>In Aotearoa New Zealand people have differences in health that are not only avoidable, but unfair and unjust. Equity recognises different people with different levels of advantage require different approaches and resources to get equitable health outcomes”</w:t>
      </w:r>
      <w:r w:rsidRPr="00162EA9">
        <w:rPr>
          <w:rStyle w:val="FootnoteReference"/>
          <w:rFonts w:ascii="Arial" w:hAnsi="Arial" w:cs="Arial"/>
          <w:i/>
          <w:iCs/>
          <w:lang w:eastAsia="ja-JP"/>
        </w:rPr>
        <w:footnoteReference w:id="9"/>
      </w:r>
    </w:p>
    <w:p w14:paraId="7FE108D5" w14:textId="77777777" w:rsidR="00384841" w:rsidRPr="00162EA9" w:rsidRDefault="00384841" w:rsidP="00384841">
      <w:pPr>
        <w:rPr>
          <w:lang w:eastAsia="ja-JP"/>
        </w:rPr>
      </w:pPr>
      <w:r w:rsidRPr="00162EA9">
        <w:rPr>
          <w:lang w:eastAsia="ja-JP"/>
        </w:rPr>
        <w:t>CCHV is a pro-equity organisation committed to working with tangata whenua, people and partners across the region to achieve health equity.</w:t>
      </w:r>
      <w:r w:rsidRPr="00162EA9">
        <w:rPr>
          <w:rStyle w:val="FootnoteReference"/>
          <w:rFonts w:ascii="Arial" w:hAnsi="Arial" w:cs="Arial"/>
          <w:lang w:eastAsia="ja-JP"/>
        </w:rPr>
        <w:footnoteReference w:id="10"/>
      </w:r>
      <w:r w:rsidRPr="00162EA9">
        <w:rPr>
          <w:lang w:eastAsia="ja-JP"/>
        </w:rPr>
        <w:t xml:space="preserve"> We recognise that we still have much work to do to improve in</w:t>
      </w:r>
      <w:r w:rsidR="00514357" w:rsidRPr="00162EA9">
        <w:rPr>
          <w:lang w:eastAsia="ja-JP"/>
        </w:rPr>
        <w:t>equity, particularly for Māori</w:t>
      </w:r>
      <w:r w:rsidRPr="00162EA9">
        <w:rPr>
          <w:lang w:eastAsia="ja-JP"/>
        </w:rPr>
        <w:t xml:space="preserve">, </w:t>
      </w:r>
      <w:r w:rsidR="00A33E8B" w:rsidRPr="00162EA9">
        <w:rPr>
          <w:lang w:eastAsia="ja-JP"/>
        </w:rPr>
        <w:t>P</w:t>
      </w:r>
      <w:r w:rsidRPr="00162EA9">
        <w:rPr>
          <w:lang w:eastAsia="ja-JP"/>
        </w:rPr>
        <w:t>acific peoples</w:t>
      </w:r>
      <w:r w:rsidR="00514357" w:rsidRPr="00162EA9">
        <w:rPr>
          <w:lang w:eastAsia="ja-JP"/>
        </w:rPr>
        <w:t xml:space="preserve">, </w:t>
      </w:r>
      <w:r w:rsidR="00A33E8B" w:rsidRPr="00162EA9">
        <w:rPr>
          <w:lang w:eastAsia="ja-JP"/>
        </w:rPr>
        <w:t>LGBTQIA+</w:t>
      </w:r>
      <w:r w:rsidR="00110C2B" w:rsidRPr="00162EA9">
        <w:rPr>
          <w:lang w:eastAsia="ja-JP"/>
        </w:rPr>
        <w:t xml:space="preserve"> and takatāpui communities</w:t>
      </w:r>
      <w:r w:rsidR="008760EB" w:rsidRPr="00162EA9">
        <w:rPr>
          <w:lang w:eastAsia="ja-JP"/>
        </w:rPr>
        <w:t>,</w:t>
      </w:r>
      <w:r w:rsidRPr="00162EA9">
        <w:rPr>
          <w:lang w:eastAsia="ja-JP"/>
        </w:rPr>
        <w:t xml:space="preserve"> disabled people</w:t>
      </w:r>
      <w:r w:rsidR="008760EB" w:rsidRPr="00162EA9">
        <w:rPr>
          <w:lang w:eastAsia="ja-JP"/>
        </w:rPr>
        <w:t>,</w:t>
      </w:r>
      <w:r w:rsidRPr="00162EA9">
        <w:rPr>
          <w:lang w:eastAsia="ja-JP"/>
        </w:rPr>
        <w:t xml:space="preserve"> those with enduring mental illness and </w:t>
      </w:r>
      <w:r w:rsidR="008760EB" w:rsidRPr="00162EA9">
        <w:rPr>
          <w:lang w:eastAsia="ja-JP"/>
        </w:rPr>
        <w:t xml:space="preserve">those </w:t>
      </w:r>
      <w:r w:rsidRPr="00162EA9">
        <w:rPr>
          <w:lang w:eastAsia="ja-JP"/>
        </w:rPr>
        <w:t>with fewer resources. We continue to see the effects of historical institutional racism and colonialism that particularly affect Māori and Pacific peoples and we continue to see the impacts of these processes in ongoing inequitable health outcomes.</w:t>
      </w:r>
    </w:p>
    <w:p w14:paraId="771CDE11" w14:textId="77777777" w:rsidR="008E1B1B" w:rsidRDefault="00384841" w:rsidP="00384841">
      <w:pPr>
        <w:rPr>
          <w:lang w:eastAsia="ja-JP"/>
        </w:rPr>
      </w:pPr>
      <w:r>
        <w:rPr>
          <w:lang w:eastAsia="ja-JP"/>
        </w:rPr>
        <w:t xml:space="preserve">Māori </w:t>
      </w:r>
      <w:r w:rsidRPr="75D5E3BE">
        <w:rPr>
          <w:lang w:eastAsia="ja-JP"/>
        </w:rPr>
        <w:t xml:space="preserve">continue to be proportionally over-represented in adverse events when compared with the </w:t>
      </w:r>
      <w:r>
        <w:rPr>
          <w:lang w:eastAsia="ja-JP"/>
        </w:rPr>
        <w:t>d</w:t>
      </w:r>
      <w:r w:rsidRPr="75D5E3BE">
        <w:rPr>
          <w:lang w:eastAsia="ja-JP"/>
        </w:rPr>
        <w:t>istrict population. Māori make up approximately 1</w:t>
      </w:r>
      <w:r w:rsidR="0013443D">
        <w:rPr>
          <w:lang w:eastAsia="ja-JP"/>
        </w:rPr>
        <w:t>5</w:t>
      </w:r>
      <w:r w:rsidRPr="75D5E3BE">
        <w:rPr>
          <w:lang w:eastAsia="ja-JP"/>
        </w:rPr>
        <w:t xml:space="preserve"> percent </w:t>
      </w:r>
      <w:r w:rsidR="00514357">
        <w:rPr>
          <w:lang w:eastAsia="ja-JP"/>
        </w:rPr>
        <w:t>of the total CCHV population, however</w:t>
      </w:r>
      <w:r w:rsidRPr="75D5E3BE">
        <w:rPr>
          <w:lang w:eastAsia="ja-JP"/>
        </w:rPr>
        <w:t xml:space="preserve"> </w:t>
      </w:r>
      <w:r w:rsidR="0013443D">
        <w:rPr>
          <w:lang w:eastAsia="ja-JP"/>
        </w:rPr>
        <w:t>19</w:t>
      </w:r>
      <w:r w:rsidRPr="75D5E3BE">
        <w:rPr>
          <w:lang w:eastAsia="ja-JP"/>
        </w:rPr>
        <w:t xml:space="preserve"> percent (n=</w:t>
      </w:r>
      <w:r w:rsidR="0013443D">
        <w:rPr>
          <w:lang w:eastAsia="ja-JP"/>
        </w:rPr>
        <w:t>20</w:t>
      </w:r>
      <w:r w:rsidRPr="75D5E3BE">
        <w:rPr>
          <w:lang w:eastAsia="ja-JP"/>
        </w:rPr>
        <w:t>) of those affected by serious adverse events identified as Māori. Though there is limited research, this reflects a national trend in which 14 percent of Māori experienced an in-hospital adverse event compared with 11 percent of non-Māori</w:t>
      </w:r>
      <w:r>
        <w:rPr>
          <w:lang w:eastAsia="ja-JP"/>
        </w:rPr>
        <w:t>.</w:t>
      </w:r>
      <w:r>
        <w:rPr>
          <w:rStyle w:val="FootnoteReference"/>
          <w:rFonts w:ascii="Arial" w:hAnsi="Arial" w:cs="Arial"/>
          <w:lang w:eastAsia="ja-JP"/>
        </w:rPr>
        <w:footnoteReference w:id="11"/>
      </w:r>
      <w:r>
        <w:rPr>
          <w:lang w:eastAsia="ja-JP"/>
        </w:rPr>
        <w:t xml:space="preserve"> </w:t>
      </w:r>
    </w:p>
    <w:p w14:paraId="375B7680" w14:textId="6F8DED6B" w:rsidR="00494D8B" w:rsidRPr="00AB1D3E" w:rsidRDefault="00384841" w:rsidP="00AB1D3E">
      <w:pPr>
        <w:rPr>
          <w:lang w:eastAsia="ja-JP"/>
        </w:rPr>
      </w:pPr>
      <w:r w:rsidRPr="1588930B">
        <w:rPr>
          <w:lang w:eastAsia="ja-JP"/>
        </w:rPr>
        <w:t>Historically, our methods of identifying harm have not recognised the cultural, spiritual and psychological harm that many Māori and Pacific peoples experience when engaging with a</w:t>
      </w:r>
      <w:r w:rsidR="009D3EAA">
        <w:rPr>
          <w:lang w:eastAsia="ja-JP"/>
        </w:rPr>
        <w:t xml:space="preserve"> </w:t>
      </w:r>
      <w:r w:rsidRPr="1588930B">
        <w:rPr>
          <w:lang w:eastAsia="ja-JP"/>
        </w:rPr>
        <w:t xml:space="preserve">health care system designed </w:t>
      </w:r>
      <w:r>
        <w:rPr>
          <w:lang w:eastAsia="ja-JP"/>
        </w:rPr>
        <w:t>on European colonial principles.</w:t>
      </w:r>
      <w:r>
        <w:rPr>
          <w:rStyle w:val="FootnoteReference"/>
          <w:rFonts w:ascii="Arial" w:hAnsi="Arial" w:cs="Arial"/>
          <w:lang w:eastAsia="ja-JP"/>
        </w:rPr>
        <w:footnoteReference w:id="12"/>
      </w:r>
      <w:r>
        <w:rPr>
          <w:lang w:eastAsia="ja-JP"/>
        </w:rPr>
        <w:t xml:space="preserve"> </w:t>
      </w:r>
      <w:r>
        <w:rPr>
          <w:rStyle w:val="FootnoteReference"/>
          <w:rFonts w:ascii="Arial" w:hAnsi="Arial" w:cs="Arial"/>
          <w:lang w:eastAsia="ja-JP"/>
        </w:rPr>
        <w:footnoteReference w:id="13"/>
      </w:r>
      <w:r>
        <w:rPr>
          <w:lang w:eastAsia="ja-JP"/>
        </w:rPr>
        <w:t xml:space="preserve"> </w:t>
      </w:r>
      <w:r w:rsidRPr="1588930B">
        <w:rPr>
          <w:lang w:eastAsia="ja-JP"/>
        </w:rPr>
        <w:t>With the introduction of the new HQSC SAC guidelines we are working towards addressing this imbalance.</w:t>
      </w:r>
    </w:p>
    <w:p w14:paraId="4ADDEBA9" w14:textId="77777777" w:rsidR="00494D8B" w:rsidRPr="005C3530" w:rsidRDefault="00494D8B" w:rsidP="00494D8B">
      <w:pPr>
        <w:pStyle w:val="Heading2"/>
        <w:rPr>
          <w:lang w:eastAsia="ja-JP"/>
        </w:rPr>
      </w:pPr>
      <w:bookmarkStart w:id="10" w:name="_Toc209611230"/>
      <w:r>
        <w:rPr>
          <w:lang w:eastAsia="ja-JP"/>
        </w:rPr>
        <w:t>District and national context</w:t>
      </w:r>
      <w:bookmarkEnd w:id="10"/>
    </w:p>
    <w:p w14:paraId="3EA68018" w14:textId="77777777" w:rsidR="00494D8B" w:rsidRDefault="00494D8B" w:rsidP="00494D8B">
      <w:pPr>
        <w:rPr>
          <w:lang w:eastAsia="ja-JP"/>
        </w:rPr>
      </w:pPr>
      <w:r w:rsidRPr="75D5E3BE">
        <w:rPr>
          <w:lang w:eastAsia="ja-JP"/>
        </w:rPr>
        <w:t>The Pae Ora</w:t>
      </w:r>
      <w:r>
        <w:rPr>
          <w:lang w:eastAsia="ja-JP"/>
        </w:rPr>
        <w:t xml:space="preserve"> (Healthy Futures) Act</w:t>
      </w:r>
      <w:r w:rsidRPr="75D5E3BE">
        <w:rPr>
          <w:lang w:eastAsia="ja-JP"/>
        </w:rPr>
        <w:t xml:space="preserve"> 2022 saw the beginning of significant</w:t>
      </w:r>
      <w:r>
        <w:rPr>
          <w:lang w:eastAsia="ja-JP"/>
        </w:rPr>
        <w:t xml:space="preserve"> national</w:t>
      </w:r>
      <w:r w:rsidRPr="75D5E3BE">
        <w:rPr>
          <w:lang w:eastAsia="ja-JP"/>
        </w:rPr>
        <w:t xml:space="preserve"> health reform and the formation of Te</w:t>
      </w:r>
      <w:r>
        <w:rPr>
          <w:lang w:eastAsia="ja-JP"/>
        </w:rPr>
        <w:t xml:space="preserve"> Whatu Ora </w:t>
      </w:r>
      <w:r w:rsidR="00D11625">
        <w:rPr>
          <w:lang w:eastAsia="ja-JP"/>
        </w:rPr>
        <w:t xml:space="preserve">– Health New Zealand </w:t>
      </w:r>
      <w:r>
        <w:rPr>
          <w:lang w:eastAsia="ja-JP"/>
        </w:rPr>
        <w:t>and Te Aka Whai</w:t>
      </w:r>
      <w:r w:rsidR="00D11625">
        <w:rPr>
          <w:lang w:eastAsia="ja-JP"/>
        </w:rPr>
        <w:t xml:space="preserve"> O</w:t>
      </w:r>
      <w:r>
        <w:rPr>
          <w:lang w:eastAsia="ja-JP"/>
        </w:rPr>
        <w:t>ra</w:t>
      </w:r>
      <w:r w:rsidR="00D11625">
        <w:rPr>
          <w:lang w:eastAsia="ja-JP"/>
        </w:rPr>
        <w:t xml:space="preserve"> – Māori Health Authorit</w:t>
      </w:r>
      <w:r w:rsidR="00D61300">
        <w:rPr>
          <w:lang w:eastAsia="ja-JP"/>
        </w:rPr>
        <w:t>y</w:t>
      </w:r>
      <w:r>
        <w:rPr>
          <w:lang w:eastAsia="ja-JP"/>
        </w:rPr>
        <w:t>. With a change in government there have been further</w:t>
      </w:r>
      <w:r w:rsidR="00514357">
        <w:rPr>
          <w:lang w:eastAsia="ja-JP"/>
        </w:rPr>
        <w:t xml:space="preserve"> changes to our health system. </w:t>
      </w:r>
      <w:r>
        <w:rPr>
          <w:lang w:eastAsia="ja-JP"/>
        </w:rPr>
        <w:t xml:space="preserve">Health </w:t>
      </w:r>
      <w:r w:rsidR="008E1B1B">
        <w:rPr>
          <w:lang w:eastAsia="ja-JP"/>
        </w:rPr>
        <w:t>NZ</w:t>
      </w:r>
      <w:r>
        <w:rPr>
          <w:lang w:eastAsia="ja-JP"/>
        </w:rPr>
        <w:t xml:space="preserve"> is now undergoing structural change which</w:t>
      </w:r>
      <w:r w:rsidR="00876948">
        <w:rPr>
          <w:lang w:eastAsia="ja-JP"/>
        </w:rPr>
        <w:t xml:space="preserve"> has an</w:t>
      </w:r>
      <w:r>
        <w:rPr>
          <w:lang w:eastAsia="ja-JP"/>
        </w:rPr>
        <w:t xml:space="preserve"> impact on</w:t>
      </w:r>
      <w:r w:rsidR="008E1B1B">
        <w:rPr>
          <w:lang w:eastAsia="ja-JP"/>
        </w:rPr>
        <w:t xml:space="preserve"> our</w:t>
      </w:r>
      <w:r>
        <w:rPr>
          <w:lang w:eastAsia="ja-JP"/>
        </w:rPr>
        <w:t xml:space="preserve"> priorities and how we work.  </w:t>
      </w:r>
    </w:p>
    <w:p w14:paraId="148D006C" w14:textId="77777777" w:rsidR="00494D8B" w:rsidRDefault="00494D8B" w:rsidP="00494D8B">
      <w:pPr>
        <w:rPr>
          <w:lang w:eastAsia="ja-JP"/>
        </w:rPr>
      </w:pPr>
      <w:r w:rsidRPr="16D22437">
        <w:rPr>
          <w:lang w:eastAsia="ja-JP"/>
        </w:rPr>
        <w:lastRenderedPageBreak/>
        <w:t>CCHV, like other districts, has continued to see increased demand for services and high occupancy</w:t>
      </w:r>
      <w:r w:rsidR="008E1B1B">
        <w:rPr>
          <w:lang w:eastAsia="ja-JP"/>
        </w:rPr>
        <w:t>.</w:t>
      </w:r>
      <w:r w:rsidRPr="16D22437">
        <w:rPr>
          <w:lang w:eastAsia="ja-JP"/>
        </w:rPr>
        <w:t xml:space="preserve"> </w:t>
      </w:r>
      <w:r w:rsidR="008E1B1B">
        <w:rPr>
          <w:lang w:eastAsia="ja-JP"/>
        </w:rPr>
        <w:t>This</w:t>
      </w:r>
      <w:r w:rsidR="008E1B1B" w:rsidRPr="16D22437">
        <w:rPr>
          <w:lang w:eastAsia="ja-JP"/>
        </w:rPr>
        <w:t xml:space="preserve"> </w:t>
      </w:r>
      <w:r w:rsidRPr="16D22437">
        <w:rPr>
          <w:lang w:eastAsia="ja-JP"/>
        </w:rPr>
        <w:t>causes flow</w:t>
      </w:r>
      <w:r w:rsidR="008E1B1B">
        <w:rPr>
          <w:lang w:eastAsia="ja-JP"/>
        </w:rPr>
        <w:t>-</w:t>
      </w:r>
      <w:r w:rsidRPr="16D22437">
        <w:rPr>
          <w:lang w:eastAsia="ja-JP"/>
        </w:rPr>
        <w:t>on effects for those waiting to be seen in our hospitals. We have an ageing population who requir</w:t>
      </w:r>
      <w:r w:rsidR="00115C19">
        <w:rPr>
          <w:lang w:eastAsia="ja-JP"/>
        </w:rPr>
        <w:t>e</w:t>
      </w:r>
      <w:r w:rsidRPr="16D22437">
        <w:rPr>
          <w:lang w:eastAsia="ja-JP"/>
        </w:rPr>
        <w:t xml:space="preserve"> longer hospital stays </w:t>
      </w:r>
      <w:r w:rsidR="00115C19">
        <w:rPr>
          <w:lang w:eastAsia="ja-JP"/>
        </w:rPr>
        <w:t>and have</w:t>
      </w:r>
      <w:r w:rsidR="00115C19" w:rsidRPr="16D22437">
        <w:rPr>
          <w:lang w:eastAsia="ja-JP"/>
        </w:rPr>
        <w:t xml:space="preserve"> </w:t>
      </w:r>
      <w:r w:rsidRPr="16D22437">
        <w:rPr>
          <w:lang w:eastAsia="ja-JP"/>
        </w:rPr>
        <w:t xml:space="preserve">more complex needs. This, combined with limited capacity in the </w:t>
      </w:r>
      <w:r w:rsidR="00514357">
        <w:rPr>
          <w:lang w:eastAsia="ja-JP"/>
        </w:rPr>
        <w:t xml:space="preserve">aged </w:t>
      </w:r>
      <w:r w:rsidRPr="16D22437">
        <w:rPr>
          <w:lang w:eastAsia="ja-JP"/>
        </w:rPr>
        <w:t xml:space="preserve">residential care sector means there can be delays </w:t>
      </w:r>
      <w:proofErr w:type="gramStart"/>
      <w:r w:rsidRPr="16D22437">
        <w:rPr>
          <w:lang w:eastAsia="ja-JP"/>
        </w:rPr>
        <w:t>to discharge</w:t>
      </w:r>
      <w:proofErr w:type="gramEnd"/>
      <w:r w:rsidRPr="16D22437">
        <w:rPr>
          <w:lang w:eastAsia="ja-JP"/>
        </w:rPr>
        <w:t xml:space="preserve"> for the older adult population. A primary health care sector under considerable pressure, with long waits for seeing General Practitioners has further exacerbated the pressure, particularly on emergency departments (ED).</w:t>
      </w:r>
    </w:p>
    <w:p w14:paraId="0055F1B3" w14:textId="56E635A2" w:rsidR="00494D8B" w:rsidRPr="00F65820" w:rsidRDefault="00494D8B" w:rsidP="00384841">
      <w:pPr>
        <w:rPr>
          <w:lang w:eastAsia="ja-JP"/>
        </w:rPr>
      </w:pPr>
      <w:r w:rsidRPr="16D22437">
        <w:rPr>
          <w:lang w:eastAsia="ja-JP"/>
        </w:rPr>
        <w:t xml:space="preserve">Workforce resourcing continues to be a challenge when combined with increasing demand. There </w:t>
      </w:r>
      <w:r w:rsidR="00115C19">
        <w:rPr>
          <w:lang w:eastAsia="ja-JP"/>
        </w:rPr>
        <w:t>are</w:t>
      </w:r>
      <w:r w:rsidRPr="16D22437">
        <w:rPr>
          <w:lang w:eastAsia="ja-JP"/>
        </w:rPr>
        <w:t xml:space="preserve"> increas</w:t>
      </w:r>
      <w:r w:rsidR="00876948">
        <w:rPr>
          <w:lang w:eastAsia="ja-JP"/>
        </w:rPr>
        <w:t xml:space="preserve">ed </w:t>
      </w:r>
      <w:r w:rsidRPr="16D22437">
        <w:rPr>
          <w:lang w:eastAsia="ja-JP"/>
        </w:rPr>
        <w:t>presentations and longer wait times in emergency departments</w:t>
      </w:r>
      <w:r w:rsidR="00115C19">
        <w:rPr>
          <w:lang w:eastAsia="ja-JP"/>
        </w:rPr>
        <w:t>.</w:t>
      </w:r>
      <w:r w:rsidRPr="16D22437">
        <w:rPr>
          <w:lang w:eastAsia="ja-JP"/>
        </w:rPr>
        <w:t xml:space="preserve"> </w:t>
      </w:r>
      <w:r w:rsidR="00115C19">
        <w:rPr>
          <w:lang w:eastAsia="ja-JP"/>
        </w:rPr>
        <w:t>W</w:t>
      </w:r>
      <w:r w:rsidRPr="16D22437">
        <w:rPr>
          <w:lang w:eastAsia="ja-JP"/>
        </w:rPr>
        <w:t>e are</w:t>
      </w:r>
      <w:r w:rsidR="00115C19">
        <w:rPr>
          <w:lang w:eastAsia="ja-JP"/>
        </w:rPr>
        <w:t xml:space="preserve"> also</w:t>
      </w:r>
      <w:r w:rsidRPr="16D22437">
        <w:rPr>
          <w:lang w:eastAsia="ja-JP"/>
        </w:rPr>
        <w:t xml:space="preserve"> starting to see increased waits for </w:t>
      </w:r>
      <w:r w:rsidR="00C84F13">
        <w:rPr>
          <w:lang w:eastAsia="ja-JP"/>
        </w:rPr>
        <w:t xml:space="preserve">some </w:t>
      </w:r>
      <w:r w:rsidRPr="16D22437">
        <w:rPr>
          <w:lang w:eastAsia="ja-JP"/>
        </w:rPr>
        <w:t>surgeries and procedures beyond the recommended timeframes as well as delays in treatment or transfer. There has been an increase in resource related SAC 1 or 2 events (n=</w:t>
      </w:r>
      <w:r w:rsidR="0051321F">
        <w:rPr>
          <w:lang w:eastAsia="ja-JP"/>
        </w:rPr>
        <w:t>5</w:t>
      </w:r>
      <w:r w:rsidRPr="16D22437">
        <w:rPr>
          <w:lang w:eastAsia="ja-JP"/>
        </w:rPr>
        <w:t>) for CCHV</w:t>
      </w:r>
      <w:r w:rsidR="00115C19">
        <w:rPr>
          <w:lang w:eastAsia="ja-JP"/>
        </w:rPr>
        <w:t>,</w:t>
      </w:r>
      <w:r w:rsidRPr="16D22437">
        <w:rPr>
          <w:lang w:eastAsia="ja-JP"/>
        </w:rPr>
        <w:t xml:space="preserve"> where</w:t>
      </w:r>
      <w:r w:rsidR="00B46127">
        <w:rPr>
          <w:lang w:eastAsia="ja-JP"/>
        </w:rPr>
        <w:t xml:space="preserve"> previously there had</w:t>
      </w:r>
      <w:r w:rsidRPr="16D22437">
        <w:rPr>
          <w:lang w:eastAsia="ja-JP"/>
        </w:rPr>
        <w:t xml:space="preserve"> been none. </w:t>
      </w:r>
    </w:p>
    <w:p w14:paraId="7C2617EC" w14:textId="05D0715F" w:rsidR="00494D8B" w:rsidRPr="00494D8B" w:rsidRDefault="00494D8B" w:rsidP="00494D8B">
      <w:pPr>
        <w:pStyle w:val="Heading2"/>
      </w:pPr>
      <w:bookmarkStart w:id="11" w:name="_Toc209611231"/>
      <w:r w:rsidRPr="00494D8B">
        <w:t>Reviewing and improving how we work</w:t>
      </w:r>
      <w:bookmarkEnd w:id="11"/>
    </w:p>
    <w:p w14:paraId="5C70A5E8" w14:textId="77777777" w:rsidR="00115C19" w:rsidRDefault="00494D8B" w:rsidP="00494D8B">
      <w:pPr>
        <w:rPr>
          <w:lang w:eastAsia="ja-JP"/>
        </w:rPr>
      </w:pPr>
      <w:r w:rsidRPr="16D22437">
        <w:rPr>
          <w:lang w:eastAsia="ja-JP"/>
        </w:rPr>
        <w:t xml:space="preserve">CCHV is always working to review and improve the care and services we provide. </w:t>
      </w:r>
      <w:bookmarkStart w:id="12" w:name="_Int_3MN1Q3eF"/>
      <w:r w:rsidRPr="16D22437">
        <w:rPr>
          <w:lang w:eastAsia="ja-JP"/>
        </w:rPr>
        <w:t>A number of</w:t>
      </w:r>
      <w:bookmarkEnd w:id="12"/>
      <w:r w:rsidRPr="16D22437">
        <w:rPr>
          <w:lang w:eastAsia="ja-JP"/>
        </w:rPr>
        <w:t xml:space="preserve"> improvement projects and initiatives have occurred, or are underway, as a result of recommendations from reviews into the events in this report. Some </w:t>
      </w:r>
      <w:r w:rsidR="00514357">
        <w:rPr>
          <w:lang w:eastAsia="ja-JP"/>
        </w:rPr>
        <w:t>reviews are not yet completed</w:t>
      </w:r>
      <w:r w:rsidR="00115C19">
        <w:rPr>
          <w:lang w:eastAsia="ja-JP"/>
        </w:rPr>
        <w:t xml:space="preserve"> so recommendations are not finalised</w:t>
      </w:r>
      <w:r w:rsidR="00514357">
        <w:rPr>
          <w:lang w:eastAsia="ja-JP"/>
        </w:rPr>
        <w:t xml:space="preserve">. </w:t>
      </w:r>
    </w:p>
    <w:p w14:paraId="6899902B" w14:textId="77777777" w:rsidR="00494D8B" w:rsidRPr="00D41312" w:rsidRDefault="00494D8B" w:rsidP="00494D8B">
      <w:pPr>
        <w:rPr>
          <w:lang w:eastAsia="ja-JP"/>
        </w:rPr>
      </w:pPr>
      <w:r w:rsidRPr="16D22437">
        <w:rPr>
          <w:lang w:eastAsia="ja-JP"/>
        </w:rPr>
        <w:t>In some circumstances, changes are not able to be made locally as they require major changes to infrastructure or services that need endorsement o</w:t>
      </w:r>
      <w:r w:rsidR="00514357">
        <w:rPr>
          <w:lang w:eastAsia="ja-JP"/>
        </w:rPr>
        <w:t xml:space="preserve">r funding from national teams. </w:t>
      </w:r>
      <w:r w:rsidRPr="16D22437">
        <w:rPr>
          <w:lang w:eastAsia="ja-JP"/>
        </w:rPr>
        <w:t>Where this is the case CCHV makes sure to raise concerns and risks with both regional and national teams.</w:t>
      </w:r>
    </w:p>
    <w:p w14:paraId="5A37CBE4" w14:textId="4BC0F1C1" w:rsidR="00F57361" w:rsidRPr="009D3EAA" w:rsidRDefault="00494D8B">
      <w:pPr>
        <w:rPr>
          <w:rFonts w:ascii="Arial" w:eastAsia="Malgun Gothic" w:hAnsi="Arial" w:cs="Arial"/>
          <w:b/>
          <w:color w:val="0C818F"/>
          <w:sz w:val="36"/>
          <w:szCs w:val="36"/>
          <w:lang w:eastAsia="ja-JP"/>
        </w:rPr>
      </w:pPr>
      <w:r w:rsidRPr="16D22437">
        <w:rPr>
          <w:lang w:eastAsia="ja-JP"/>
        </w:rPr>
        <w:t xml:space="preserve">The work </w:t>
      </w:r>
      <w:r w:rsidR="00B46127">
        <w:rPr>
          <w:lang w:eastAsia="ja-JP"/>
        </w:rPr>
        <w:t>below describes</w:t>
      </w:r>
      <w:r w:rsidRPr="16D22437">
        <w:rPr>
          <w:lang w:eastAsia="ja-JP"/>
        </w:rPr>
        <w:t xml:space="preserve"> the range of improvements that have occurred over the past year as a result of reviews into adverse events</w:t>
      </w:r>
      <w:r w:rsidR="00876948">
        <w:rPr>
          <w:lang w:eastAsia="ja-JP"/>
        </w:rPr>
        <w:t xml:space="preserve"> and other improvement work</w:t>
      </w:r>
      <w:r w:rsidRPr="16D22437">
        <w:rPr>
          <w:lang w:eastAsia="ja-JP"/>
        </w:rPr>
        <w:t>. These have been grouped to relate back to the event themes.</w:t>
      </w:r>
      <w:r w:rsidR="00F57361">
        <w:rPr>
          <w:lang w:eastAsia="ja-JP"/>
        </w:rPr>
        <w:br w:type="page"/>
      </w:r>
    </w:p>
    <w:p w14:paraId="400A99AF" w14:textId="4BC0F1C1" w:rsidR="00494D8B" w:rsidRPr="00D41312" w:rsidRDefault="00494D8B" w:rsidP="00494D8B">
      <w:pPr>
        <w:pStyle w:val="Heading1"/>
        <w:rPr>
          <w:lang w:eastAsia="ja-JP"/>
        </w:rPr>
      </w:pPr>
      <w:bookmarkStart w:id="13" w:name="_Toc209611232"/>
      <w:r w:rsidRPr="16D22437">
        <w:rPr>
          <w:lang w:eastAsia="ja-JP"/>
        </w:rPr>
        <w:lastRenderedPageBreak/>
        <w:t>Summaries of SAC events</w:t>
      </w:r>
      <w:bookmarkEnd w:id="13"/>
    </w:p>
    <w:p w14:paraId="71B6A20B" w14:textId="77777777" w:rsidR="00494D8B" w:rsidRDefault="00494D8B" w:rsidP="00494D8B">
      <w:pPr>
        <w:rPr>
          <w:lang w:val="mi-NZ" w:eastAsia="ja-JP"/>
        </w:rPr>
      </w:pPr>
      <w:r w:rsidRPr="16D22437">
        <w:rPr>
          <w:lang w:eastAsia="ja-JP"/>
        </w:rPr>
        <w:t>The events described below have been grouped into themes and anonymised to protect the privacy of patients and wh</w:t>
      </w:r>
      <w:r w:rsidRPr="16D22437">
        <w:rPr>
          <w:lang w:val="mi-NZ" w:eastAsia="ja-JP"/>
        </w:rPr>
        <w:t>ānau.</w:t>
      </w:r>
    </w:p>
    <w:p w14:paraId="0673672D" w14:textId="77777777" w:rsidR="00951776" w:rsidRPr="00D41312" w:rsidRDefault="00951776" w:rsidP="00494D8B">
      <w:pPr>
        <w:rPr>
          <w:rFonts w:ascii="Arial" w:hAnsi="Arial" w:cs="Arial"/>
          <w:lang w:val="mi-NZ" w:eastAsia="ja-JP"/>
        </w:rPr>
      </w:pPr>
      <w:r w:rsidRPr="5DC8DF31">
        <w:rPr>
          <w:lang w:eastAsia="ja-JP"/>
        </w:rPr>
        <w:t xml:space="preserve">We have used the following ethnicity groupings consistent with the </w:t>
      </w:r>
      <w:r>
        <w:rPr>
          <w:lang w:eastAsia="ja-JP"/>
        </w:rPr>
        <w:t xml:space="preserve">most </w:t>
      </w:r>
      <w:r w:rsidR="008E1B1B">
        <w:rPr>
          <w:lang w:eastAsia="ja-JP"/>
        </w:rPr>
        <w:t>recent</w:t>
      </w:r>
      <w:r w:rsidR="008E1B1B" w:rsidRPr="5DC8DF31">
        <w:rPr>
          <w:lang w:eastAsia="ja-JP"/>
        </w:rPr>
        <w:t xml:space="preserve"> ethnicity</w:t>
      </w:r>
      <w:r w:rsidRPr="5DC8DF31">
        <w:rPr>
          <w:lang w:eastAsia="ja-JP"/>
        </w:rPr>
        <w:t xml:space="preserve"> data</w:t>
      </w:r>
      <w:r>
        <w:rPr>
          <w:lang w:eastAsia="ja-JP"/>
        </w:rPr>
        <w:t xml:space="preserve"> protocols from Manat</w:t>
      </w:r>
      <w:r w:rsidR="008760EB">
        <w:rPr>
          <w:lang w:eastAsia="ja-JP"/>
        </w:rPr>
        <w:t>ū</w:t>
      </w:r>
      <w:r>
        <w:rPr>
          <w:lang w:eastAsia="ja-JP"/>
        </w:rPr>
        <w:t xml:space="preserve"> Hauora </w:t>
      </w:r>
      <w:r w:rsidRPr="5DC8DF31">
        <w:rPr>
          <w:lang w:eastAsia="ja-JP"/>
        </w:rPr>
        <w:t>Ministry of Health</w:t>
      </w:r>
      <w:r>
        <w:rPr>
          <w:lang w:eastAsia="ja-JP"/>
        </w:rPr>
        <w:t>:</w:t>
      </w:r>
      <w:r w:rsidRPr="5DC8DF31">
        <w:rPr>
          <w:lang w:eastAsia="ja-JP"/>
        </w:rPr>
        <w:t xml:space="preserve"> Māori, Pacific Peoples, Asian, Middle Eastern/Latin American/African (MELAA), Other and European.</w:t>
      </w:r>
      <w:r>
        <w:rPr>
          <w:rStyle w:val="FootnoteReference"/>
          <w:rFonts w:ascii="Arial" w:hAnsi="Arial" w:cs="Arial"/>
          <w:lang w:eastAsia="ja-JP"/>
        </w:rPr>
        <w:footnoteReference w:id="14"/>
      </w:r>
      <w:r>
        <w:rPr>
          <w:lang w:eastAsia="ja-JP"/>
        </w:rPr>
        <w:t xml:space="preserve"> </w:t>
      </w:r>
      <w:r w:rsidRPr="5DC8DF31">
        <w:rPr>
          <w:lang w:eastAsia="ja-JP"/>
        </w:rPr>
        <w:t xml:space="preserve">Where a patient identifies with multiple ethnicity groups, we have used prioritised output reporting. </w:t>
      </w:r>
    </w:p>
    <w:p w14:paraId="1449E179" w14:textId="77777777" w:rsidR="00494D8B" w:rsidRPr="00D41312" w:rsidRDefault="00494D8B" w:rsidP="00494D8B">
      <w:pPr>
        <w:pStyle w:val="Heading2"/>
        <w:rPr>
          <w:lang w:eastAsia="ja-JP"/>
        </w:rPr>
      </w:pPr>
      <w:bookmarkStart w:id="14" w:name="_Toc209611233"/>
      <w:r w:rsidRPr="16D22437">
        <w:rPr>
          <w:lang w:eastAsia="ja-JP"/>
        </w:rPr>
        <w:t>Clinical administration events</w:t>
      </w:r>
      <w:bookmarkEnd w:id="14"/>
    </w:p>
    <w:p w14:paraId="715B944E" w14:textId="77777777" w:rsidR="00494D8B" w:rsidRDefault="00494D8B" w:rsidP="00494D8B">
      <w:pPr>
        <w:rPr>
          <w:lang w:eastAsia="ja-JP"/>
        </w:rPr>
      </w:pPr>
      <w:r w:rsidRPr="16D22437">
        <w:rPr>
          <w:lang w:eastAsia="ja-JP"/>
        </w:rPr>
        <w:t xml:space="preserve">There were two events due to clinical administration errors. </w:t>
      </w:r>
    </w:p>
    <w:p w14:paraId="61555AC3" w14:textId="77777777" w:rsidR="00494D8B" w:rsidRPr="00D748E9" w:rsidRDefault="00494D8B" w:rsidP="00494D8B">
      <w:pPr>
        <w:rPr>
          <w:lang w:eastAsia="ja-JP"/>
        </w:rPr>
      </w:pPr>
      <w:r>
        <w:rPr>
          <w:lang w:eastAsia="ja-JP"/>
        </w:rPr>
        <w:t>Patient ethnicity: Māori (n=1), European (n=1)</w:t>
      </w:r>
    </w:p>
    <w:p w14:paraId="2287D05F" w14:textId="17E60376" w:rsidR="00494D8B" w:rsidRDefault="00494D8B" w:rsidP="00540569">
      <w:pPr>
        <w:pStyle w:val="Figure"/>
      </w:pPr>
      <w:r>
        <w:t xml:space="preserve">Table </w:t>
      </w:r>
      <w:r>
        <w:fldChar w:fldCharType="begin"/>
      </w:r>
      <w:r>
        <w:instrText>SEQ Table \* ARABIC</w:instrText>
      </w:r>
      <w:r>
        <w:fldChar w:fldCharType="separate"/>
      </w:r>
      <w:r w:rsidR="00392FC2">
        <w:rPr>
          <w:noProof/>
        </w:rPr>
        <w:t>3</w:t>
      </w:r>
      <w:r>
        <w:fldChar w:fldCharType="end"/>
      </w:r>
      <w:r>
        <w:t>: Clinical administration events 1 July 2023 to 30 June 2024</w:t>
      </w:r>
    </w:p>
    <w:tbl>
      <w:tblPr>
        <w:tblStyle w:val="TeWhatuOra"/>
        <w:tblW w:w="9639" w:type="dxa"/>
        <w:tblLook w:val="04A0" w:firstRow="1" w:lastRow="0" w:firstColumn="1" w:lastColumn="0" w:noHBand="0" w:noVBand="1"/>
      </w:tblPr>
      <w:tblGrid>
        <w:gridCol w:w="1117"/>
        <w:gridCol w:w="8522"/>
      </w:tblGrid>
      <w:tr w:rsidR="00DA61C7" w:rsidRPr="00C05445" w14:paraId="055CF670" w14:textId="77777777" w:rsidTr="00E341B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17" w:type="dxa"/>
            <w:tcBorders>
              <w:top w:val="single" w:sz="4" w:space="0" w:color="003399" w:themeColor="accent3"/>
              <w:bottom w:val="single" w:sz="4" w:space="0" w:color="003399" w:themeColor="accent3"/>
              <w:right w:val="single" w:sz="4" w:space="0" w:color="003399" w:themeColor="accent3"/>
            </w:tcBorders>
          </w:tcPr>
          <w:p w14:paraId="02BF756D" w14:textId="4C449775" w:rsidR="00DA61C7" w:rsidRPr="000E6AD9" w:rsidRDefault="008744C4" w:rsidP="00494D8B">
            <w:pPr>
              <w:spacing w:before="0" w:after="160" w:line="259" w:lineRule="auto"/>
              <w:rPr>
                <w:bCs/>
              </w:rPr>
            </w:pPr>
            <w:r w:rsidRPr="000E6AD9">
              <w:rPr>
                <w:bCs/>
              </w:rPr>
              <w:t>Number</w:t>
            </w:r>
          </w:p>
        </w:tc>
        <w:tc>
          <w:tcPr>
            <w:tcW w:w="8522" w:type="dxa"/>
            <w:tcBorders>
              <w:top w:val="single" w:sz="4" w:space="0" w:color="003399" w:themeColor="accent3"/>
              <w:left w:val="single" w:sz="4" w:space="0" w:color="003399" w:themeColor="accent3"/>
              <w:bottom w:val="single" w:sz="4" w:space="0" w:color="003399" w:themeColor="accent3"/>
            </w:tcBorders>
          </w:tcPr>
          <w:p w14:paraId="4F5184B5" w14:textId="4B8DBCA8" w:rsidR="00DA61C7" w:rsidRPr="00C05445" w:rsidRDefault="000E6AD9" w:rsidP="00494D8B">
            <w:pPr>
              <w:spacing w:before="0" w:after="160" w:line="259" w:lineRule="auto"/>
              <w:cnfStyle w:val="100000000000" w:firstRow="1" w:lastRow="0" w:firstColumn="0" w:lastColumn="0" w:oddVBand="0" w:evenVBand="0" w:oddHBand="0" w:evenHBand="0" w:firstRowFirstColumn="0" w:firstRowLastColumn="0" w:lastRowFirstColumn="0" w:lastRowLastColumn="0"/>
            </w:pPr>
            <w:r>
              <w:t>Event summaries</w:t>
            </w:r>
          </w:p>
        </w:tc>
      </w:tr>
      <w:tr w:rsidR="00494D8B" w:rsidRPr="00C05445" w14:paraId="04119780" w14:textId="77777777" w:rsidTr="0019075A">
        <w:tc>
          <w:tcPr>
            <w:cnfStyle w:val="001000000000" w:firstRow="0" w:lastRow="0" w:firstColumn="1" w:lastColumn="0" w:oddVBand="0" w:evenVBand="0" w:oddHBand="0" w:evenHBand="0" w:firstRowFirstColumn="0" w:firstRowLastColumn="0" w:lastRowFirstColumn="0" w:lastRowLastColumn="0"/>
            <w:tcW w:w="1117" w:type="dxa"/>
            <w:tcBorders>
              <w:top w:val="single" w:sz="4" w:space="0" w:color="003399" w:themeColor="accent3"/>
            </w:tcBorders>
          </w:tcPr>
          <w:p w14:paraId="5A66E2A1" w14:textId="77777777" w:rsidR="00494D8B" w:rsidRPr="00F074C3" w:rsidRDefault="00494D8B" w:rsidP="00F074C3">
            <w:r w:rsidRPr="00F074C3">
              <w:t>1</w:t>
            </w:r>
          </w:p>
        </w:tc>
        <w:tc>
          <w:tcPr>
            <w:tcW w:w="8522" w:type="dxa"/>
            <w:tcBorders>
              <w:top w:val="single" w:sz="4" w:space="0" w:color="003399" w:themeColor="accent3"/>
            </w:tcBorders>
          </w:tcPr>
          <w:p w14:paraId="38112051" w14:textId="77777777" w:rsidR="00494D8B" w:rsidRPr="00F074C3" w:rsidRDefault="00494D8B" w:rsidP="00F074C3">
            <w:pPr>
              <w:cnfStyle w:val="000000000000" w:firstRow="0" w:lastRow="0" w:firstColumn="0" w:lastColumn="0" w:oddVBand="0" w:evenVBand="0" w:oddHBand="0" w:evenHBand="0" w:firstRowFirstColumn="0" w:firstRowLastColumn="0" w:lastRowFirstColumn="0" w:lastRowLastColumn="0"/>
            </w:pPr>
            <w:r w:rsidRPr="00F074C3">
              <w:t>One person had a delay in their First Specialist Appointment due to outpatient appointment process</w:t>
            </w:r>
            <w:r w:rsidR="00115C19" w:rsidRPr="00F074C3">
              <w:t>es</w:t>
            </w:r>
          </w:p>
        </w:tc>
      </w:tr>
      <w:tr w:rsidR="00494D8B" w:rsidRPr="00C05445" w14:paraId="7E7A4E50" w14:textId="77777777" w:rsidTr="00494D8B">
        <w:tc>
          <w:tcPr>
            <w:cnfStyle w:val="001000000000" w:firstRow="0" w:lastRow="0" w:firstColumn="1" w:lastColumn="0" w:oddVBand="0" w:evenVBand="0" w:oddHBand="0" w:evenHBand="0" w:firstRowFirstColumn="0" w:firstRowLastColumn="0" w:lastRowFirstColumn="0" w:lastRowLastColumn="0"/>
            <w:tcW w:w="1117" w:type="dxa"/>
          </w:tcPr>
          <w:p w14:paraId="31EDB556" w14:textId="77777777" w:rsidR="00494D8B" w:rsidRPr="00F074C3" w:rsidRDefault="00494D8B" w:rsidP="00F074C3">
            <w:r w:rsidRPr="00F074C3">
              <w:t>1</w:t>
            </w:r>
          </w:p>
        </w:tc>
        <w:tc>
          <w:tcPr>
            <w:tcW w:w="8522" w:type="dxa"/>
          </w:tcPr>
          <w:p w14:paraId="075261B0" w14:textId="77777777" w:rsidR="00494D8B" w:rsidRPr="00F074C3" w:rsidRDefault="00494D8B" w:rsidP="00F074C3">
            <w:pPr>
              <w:cnfStyle w:val="000000000000" w:firstRow="0" w:lastRow="0" w:firstColumn="0" w:lastColumn="0" w:oddVBand="0" w:evenVBand="0" w:oddHBand="0" w:evenHBand="0" w:firstRowFirstColumn="0" w:firstRowLastColumn="0" w:lastRowFirstColumn="0" w:lastRowLastColumn="0"/>
            </w:pPr>
            <w:r w:rsidRPr="00F074C3">
              <w:t>One person experienced a delay in treatment due to an issue with the referral process</w:t>
            </w:r>
          </w:p>
        </w:tc>
      </w:tr>
    </w:tbl>
    <w:p w14:paraId="351B47CD" w14:textId="77777777" w:rsidR="007E12E3" w:rsidRDefault="007E12E3" w:rsidP="007E12E3">
      <w:pPr>
        <w:spacing w:before="0" w:after="160" w:line="259" w:lineRule="auto"/>
      </w:pPr>
    </w:p>
    <w:p w14:paraId="729E5D4F" w14:textId="77777777" w:rsidR="007E12E3" w:rsidRPr="0021771E" w:rsidRDefault="007E12E3" w:rsidP="007E12E3">
      <w:pPr>
        <w:pStyle w:val="Box"/>
        <w:shd w:val="clear" w:color="auto" w:fill="F6F4EC" w:themeFill="background2"/>
        <w:rPr>
          <w:b/>
          <w:bCs/>
        </w:rPr>
      </w:pPr>
      <w:r>
        <w:rPr>
          <w:b/>
          <w:bCs/>
        </w:rPr>
        <w:t>What we are doing to improve our clinical administrative processes:</w:t>
      </w:r>
    </w:p>
    <w:p w14:paraId="406E97BC" w14:textId="77777777" w:rsidR="007E12E3" w:rsidRDefault="007E12E3" w:rsidP="007E12E3">
      <w:pPr>
        <w:pStyle w:val="BoxBullet"/>
        <w:shd w:val="clear" w:color="auto" w:fill="F6F4EC" w:themeFill="background2"/>
      </w:pPr>
      <w:r>
        <w:t xml:space="preserve">We continue to advocate for information and communication technology (ICT), and national improvements, escalating through national Health NZ </w:t>
      </w:r>
      <w:r w:rsidR="00E306AE">
        <w:t>governance structures as needed</w:t>
      </w:r>
    </w:p>
    <w:p w14:paraId="6DBFE0D5" w14:textId="77777777" w:rsidR="00571680" w:rsidRDefault="00571680" w:rsidP="007E12E3">
      <w:pPr>
        <w:pStyle w:val="BoxBullet"/>
        <w:shd w:val="clear" w:color="auto" w:fill="F6F4EC" w:themeFill="background2"/>
      </w:pPr>
      <w:r>
        <w:t xml:space="preserve">Over the past 12 months we have rolled out Single Clinical Portal (SCP), this allows better access to clinical information from all sites </w:t>
      </w:r>
      <w:r w:rsidR="00C061D2">
        <w:t>with</w:t>
      </w:r>
      <w:r w:rsidR="00D416A6">
        <w:t>in</w:t>
      </w:r>
      <w:r w:rsidR="00761B21">
        <w:t xml:space="preserve"> the</w:t>
      </w:r>
      <w:r w:rsidR="00C061D2">
        <w:t xml:space="preserve"> </w:t>
      </w:r>
      <w:r w:rsidR="00E306AE">
        <w:t>CCHV district and Wairarapa</w:t>
      </w:r>
    </w:p>
    <w:p w14:paraId="75214DE7" w14:textId="77777777" w:rsidR="00031B75" w:rsidRDefault="00031B75" w:rsidP="007E12E3">
      <w:pPr>
        <w:pStyle w:val="BoxBullet"/>
        <w:shd w:val="clear" w:color="auto" w:fill="F6F4EC" w:themeFill="background2"/>
      </w:pPr>
      <w:r>
        <w:t>The Patient Administrative Service team and service specific administrators are working to streamline and digitise referral and booking processes</w:t>
      </w:r>
    </w:p>
    <w:p w14:paraId="2D7C8773" w14:textId="4414102E" w:rsidR="00031B75" w:rsidRDefault="00031B75">
      <w:pPr>
        <w:rPr>
          <w:rFonts w:asciiTheme="majorHAnsi" w:eastAsiaTheme="majorEastAsia" w:hAnsiTheme="majorHAnsi" w:cstheme="majorBidi"/>
          <w:b/>
          <w:color w:val="15284C"/>
          <w:sz w:val="32"/>
          <w:szCs w:val="26"/>
          <w:lang w:eastAsia="ja-JP"/>
        </w:rPr>
      </w:pPr>
    </w:p>
    <w:p w14:paraId="1D651514" w14:textId="77777777" w:rsidR="007E12E3" w:rsidRPr="005C09D0" w:rsidRDefault="007E12E3" w:rsidP="007E12E3">
      <w:pPr>
        <w:pStyle w:val="Heading2"/>
      </w:pPr>
      <w:bookmarkStart w:id="15" w:name="_Toc209611234"/>
      <w:r w:rsidRPr="16D22437">
        <w:rPr>
          <w:lang w:eastAsia="ja-JP"/>
        </w:rPr>
        <w:lastRenderedPageBreak/>
        <w:t>Clinical process</w:t>
      </w:r>
      <w:r w:rsidR="00761B21">
        <w:rPr>
          <w:lang w:eastAsia="ja-JP"/>
        </w:rPr>
        <w:t>/</w:t>
      </w:r>
      <w:r w:rsidRPr="16D22437">
        <w:rPr>
          <w:lang w:eastAsia="ja-JP"/>
        </w:rPr>
        <w:t>procedure events</w:t>
      </w:r>
      <w:bookmarkEnd w:id="15"/>
    </w:p>
    <w:p w14:paraId="49E672FC" w14:textId="77777777" w:rsidR="007E12E3" w:rsidRPr="00F65820" w:rsidRDefault="007E12E3" w:rsidP="007E12E3">
      <w:pPr>
        <w:rPr>
          <w:lang w:val="en-AU" w:eastAsia="en-AU"/>
        </w:rPr>
      </w:pPr>
      <w:r>
        <w:rPr>
          <w:lang w:val="en-AU" w:eastAsia="en-AU"/>
        </w:rPr>
        <w:t xml:space="preserve">There were 58 adverse events related to clinical process or procedures. </w:t>
      </w:r>
      <w:r w:rsidRPr="00F65820">
        <w:rPr>
          <w:lang w:val="en-AU" w:eastAsia="en-AU"/>
        </w:rPr>
        <w:t xml:space="preserve">These events have been themed into five categories: </w:t>
      </w:r>
    </w:p>
    <w:p w14:paraId="28D61BC5" w14:textId="77777777" w:rsidR="007E12E3" w:rsidRPr="00F65820" w:rsidRDefault="007E12E3" w:rsidP="007E12E3">
      <w:pPr>
        <w:pStyle w:val="Bulletpoint"/>
        <w:spacing w:before="0" w:after="0"/>
        <w:rPr>
          <w:lang w:val="en-AU" w:eastAsia="en-AU"/>
        </w:rPr>
      </w:pPr>
      <w:r w:rsidRPr="1588930B">
        <w:rPr>
          <w:lang w:val="en-AU" w:eastAsia="en-AU"/>
        </w:rPr>
        <w:t xml:space="preserve">Delay in recognition of patient deterioration </w:t>
      </w:r>
    </w:p>
    <w:p w14:paraId="38F40F76" w14:textId="77777777" w:rsidR="007E12E3" w:rsidRPr="00F65820" w:rsidRDefault="007E12E3" w:rsidP="007E12E3">
      <w:pPr>
        <w:pStyle w:val="Bulletpoint"/>
        <w:spacing w:before="0" w:after="0"/>
        <w:rPr>
          <w:lang w:val="en-AU" w:eastAsia="en-AU"/>
        </w:rPr>
      </w:pPr>
      <w:r w:rsidRPr="1588930B">
        <w:rPr>
          <w:lang w:val="en-AU" w:eastAsia="en-AU"/>
        </w:rPr>
        <w:t>Pressure injury</w:t>
      </w:r>
    </w:p>
    <w:p w14:paraId="0601F2DE" w14:textId="77777777" w:rsidR="007E12E3" w:rsidRPr="00F65820" w:rsidRDefault="007E12E3" w:rsidP="007E12E3">
      <w:pPr>
        <w:pStyle w:val="Bulletpoint"/>
        <w:spacing w:before="0" w:after="0"/>
        <w:rPr>
          <w:lang w:val="en-AU" w:eastAsia="en-AU"/>
        </w:rPr>
      </w:pPr>
      <w:r w:rsidRPr="1588930B">
        <w:rPr>
          <w:lang w:val="en-AU" w:eastAsia="en-AU"/>
        </w:rPr>
        <w:t>Delay in treatment</w:t>
      </w:r>
    </w:p>
    <w:p w14:paraId="13CEEFB0" w14:textId="77777777" w:rsidR="007E12E3" w:rsidRPr="00F65820" w:rsidRDefault="007E12E3" w:rsidP="007E12E3">
      <w:pPr>
        <w:pStyle w:val="Bulletpoint"/>
        <w:spacing w:before="0" w:after="0"/>
        <w:rPr>
          <w:lang w:val="en-AU" w:eastAsia="en-AU"/>
        </w:rPr>
      </w:pPr>
      <w:r w:rsidRPr="1588930B">
        <w:rPr>
          <w:lang w:val="en-AU" w:eastAsia="en-AU"/>
        </w:rPr>
        <w:t xml:space="preserve">Complication during or following a procedure </w:t>
      </w:r>
    </w:p>
    <w:p w14:paraId="04CDFFE5" w14:textId="77777777" w:rsidR="007E12E3" w:rsidRDefault="007E12E3" w:rsidP="00C061D2">
      <w:pPr>
        <w:pStyle w:val="Bulletpoint"/>
        <w:spacing w:before="0" w:after="0"/>
        <w:rPr>
          <w:lang w:val="en-AU" w:eastAsia="en-AU"/>
        </w:rPr>
      </w:pPr>
      <w:r w:rsidRPr="1588930B">
        <w:rPr>
          <w:lang w:val="en-AU" w:eastAsia="en-AU"/>
        </w:rPr>
        <w:t xml:space="preserve">Process of care </w:t>
      </w:r>
    </w:p>
    <w:p w14:paraId="6DDE9635" w14:textId="77777777" w:rsidR="00C061D2" w:rsidRPr="00C061D2" w:rsidRDefault="00C061D2" w:rsidP="00C061D2">
      <w:pPr>
        <w:rPr>
          <w:lang w:val="en-AU" w:eastAsia="en-AU"/>
        </w:rPr>
      </w:pPr>
    </w:p>
    <w:p w14:paraId="0F355AEE" w14:textId="77777777" w:rsidR="007E12E3" w:rsidRDefault="007E12E3" w:rsidP="00C061D2">
      <w:pPr>
        <w:pStyle w:val="Heading4"/>
        <w:numPr>
          <w:ilvl w:val="0"/>
          <w:numId w:val="36"/>
        </w:numPr>
      </w:pPr>
      <w:r w:rsidRPr="75D5E3BE">
        <w:t>Delay in recognition of patient deterioration</w:t>
      </w:r>
    </w:p>
    <w:p w14:paraId="0CEE10B0" w14:textId="77777777" w:rsidR="007E12E3" w:rsidRPr="007F5078" w:rsidRDefault="007E12E3" w:rsidP="007E12E3">
      <w:pPr>
        <w:rPr>
          <w:b/>
          <w:bCs/>
        </w:rPr>
      </w:pPr>
      <w:r w:rsidRPr="16D22437">
        <w:t>Thirteen events occurred due to a delay in recognition of patient deterioration across a range of healthcare settings. Six of these were SAC 1 events.</w:t>
      </w:r>
    </w:p>
    <w:p w14:paraId="2402FA91" w14:textId="51CA322C" w:rsidR="00494D8B" w:rsidRDefault="007E12E3" w:rsidP="00C05445">
      <w:r w:rsidRPr="4605D3CA">
        <w:t>Patient ethnicity: Māori (n=2), Pacific peoples (n=2), Asian (n=2)</w:t>
      </w:r>
      <w:r w:rsidR="00162EA9">
        <w:t>,</w:t>
      </w:r>
      <w:r w:rsidRPr="4605D3CA">
        <w:t xml:space="preserve"> European (n=7) </w:t>
      </w:r>
    </w:p>
    <w:p w14:paraId="21536338" w14:textId="631783FA" w:rsidR="00974CD0" w:rsidRDefault="00974CD0" w:rsidP="00540569">
      <w:pPr>
        <w:pStyle w:val="Figure"/>
      </w:pPr>
      <w:r>
        <w:t xml:space="preserve">Table </w:t>
      </w:r>
      <w:r>
        <w:fldChar w:fldCharType="begin"/>
      </w:r>
      <w:r>
        <w:instrText>SEQ Table \* ARABIC</w:instrText>
      </w:r>
      <w:r>
        <w:fldChar w:fldCharType="separate"/>
      </w:r>
      <w:r w:rsidR="00392FC2">
        <w:rPr>
          <w:noProof/>
        </w:rPr>
        <w:t>4</w:t>
      </w:r>
      <w:r>
        <w:fldChar w:fldCharType="end"/>
      </w:r>
      <w:r>
        <w:t>: Delay in recognition of patient deterioration events 1 July 2023 to 30 June 2024</w:t>
      </w:r>
    </w:p>
    <w:tbl>
      <w:tblPr>
        <w:tblStyle w:val="TeWhatuOra"/>
        <w:tblW w:w="9639" w:type="dxa"/>
        <w:tblLook w:val="04A0" w:firstRow="1" w:lastRow="0" w:firstColumn="1" w:lastColumn="0" w:noHBand="0" w:noVBand="1"/>
      </w:tblPr>
      <w:tblGrid>
        <w:gridCol w:w="1117"/>
        <w:gridCol w:w="8522"/>
      </w:tblGrid>
      <w:tr w:rsidR="00155C8B" w:rsidRPr="00C05445" w14:paraId="2F614B54" w14:textId="77777777" w:rsidTr="00E97AB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17" w:type="dxa"/>
            <w:tcBorders>
              <w:top w:val="single" w:sz="4" w:space="0" w:color="003399" w:themeColor="accent3"/>
              <w:bottom w:val="single" w:sz="4" w:space="0" w:color="003399" w:themeColor="accent3"/>
              <w:right w:val="nil"/>
            </w:tcBorders>
          </w:tcPr>
          <w:p w14:paraId="6BB2B28A" w14:textId="7E837286" w:rsidR="00155C8B" w:rsidRPr="00C05445" w:rsidRDefault="00155C8B" w:rsidP="00494D8B">
            <w:pPr>
              <w:spacing w:before="0" w:after="160" w:line="259" w:lineRule="auto"/>
            </w:pPr>
            <w:r>
              <w:t>Number</w:t>
            </w:r>
          </w:p>
        </w:tc>
        <w:tc>
          <w:tcPr>
            <w:tcW w:w="8522" w:type="dxa"/>
            <w:tcBorders>
              <w:top w:val="single" w:sz="4" w:space="0" w:color="003399" w:themeColor="accent3"/>
              <w:bottom w:val="single" w:sz="4" w:space="0" w:color="003399" w:themeColor="accent3"/>
            </w:tcBorders>
          </w:tcPr>
          <w:p w14:paraId="17122D51" w14:textId="22E7151F" w:rsidR="00155C8B" w:rsidRPr="00C05445" w:rsidRDefault="00155C8B" w:rsidP="00494D8B">
            <w:pPr>
              <w:spacing w:before="0" w:after="160" w:line="259" w:lineRule="auto"/>
              <w:cnfStyle w:val="100000000000" w:firstRow="1" w:lastRow="0" w:firstColumn="0" w:lastColumn="0" w:oddVBand="0" w:evenVBand="0" w:oddHBand="0" w:evenHBand="0" w:firstRowFirstColumn="0" w:firstRowLastColumn="0" w:lastRowFirstColumn="0" w:lastRowLastColumn="0"/>
            </w:pPr>
            <w:r>
              <w:t>Event summaries</w:t>
            </w:r>
          </w:p>
        </w:tc>
      </w:tr>
      <w:tr w:rsidR="00974CD0" w:rsidRPr="00C05445" w14:paraId="36FF4D53" w14:textId="77777777" w:rsidTr="00F7248F">
        <w:tc>
          <w:tcPr>
            <w:cnfStyle w:val="001000000000" w:firstRow="0" w:lastRow="0" w:firstColumn="1" w:lastColumn="0" w:oddVBand="0" w:evenVBand="0" w:oddHBand="0" w:evenHBand="0" w:firstRowFirstColumn="0" w:firstRowLastColumn="0" w:lastRowFirstColumn="0" w:lastRowLastColumn="0"/>
            <w:tcW w:w="1117" w:type="dxa"/>
            <w:tcBorders>
              <w:top w:val="single" w:sz="4" w:space="0" w:color="003399" w:themeColor="accent3"/>
            </w:tcBorders>
          </w:tcPr>
          <w:p w14:paraId="42939342" w14:textId="77777777" w:rsidR="00974CD0" w:rsidRPr="00F074C3" w:rsidRDefault="00974CD0" w:rsidP="00F074C3">
            <w:r w:rsidRPr="00F074C3">
              <w:t>3</w:t>
            </w:r>
          </w:p>
        </w:tc>
        <w:tc>
          <w:tcPr>
            <w:tcW w:w="8522" w:type="dxa"/>
            <w:tcBorders>
              <w:top w:val="single" w:sz="4" w:space="0" w:color="003399" w:themeColor="accent3"/>
            </w:tcBorders>
          </w:tcPr>
          <w:p w14:paraId="3285183B" w14:textId="77777777" w:rsidR="00974CD0" w:rsidRPr="00F074C3" w:rsidRDefault="00974CD0" w:rsidP="00F074C3">
            <w:pPr>
              <w:cnfStyle w:val="000000000000" w:firstRow="0" w:lastRow="0" w:firstColumn="0" w:lastColumn="0" w:oddVBand="0" w:evenVBand="0" w:oddHBand="0" w:evenHBand="0" w:firstRowFirstColumn="0" w:firstRowLastColumn="0" w:lastRowFirstColumn="0" w:lastRowLastColumn="0"/>
            </w:pPr>
            <w:r w:rsidRPr="00F074C3">
              <w:t>Three events related to delay in recognition of abnormal traces</w:t>
            </w:r>
            <w:r w:rsidR="00C061D2" w:rsidRPr="00F074C3">
              <w:t xml:space="preserve"> or changes for patients on continuous </w:t>
            </w:r>
            <w:r w:rsidRPr="00F074C3">
              <w:t>monitor</w:t>
            </w:r>
            <w:r w:rsidR="00C061D2" w:rsidRPr="00F074C3">
              <w:t>ing</w:t>
            </w:r>
          </w:p>
        </w:tc>
      </w:tr>
      <w:tr w:rsidR="00974CD0" w:rsidRPr="00C05445" w14:paraId="31EA1E56" w14:textId="77777777" w:rsidTr="00F074C3">
        <w:trPr>
          <w:trHeight w:val="559"/>
        </w:trPr>
        <w:tc>
          <w:tcPr>
            <w:cnfStyle w:val="001000000000" w:firstRow="0" w:lastRow="0" w:firstColumn="1" w:lastColumn="0" w:oddVBand="0" w:evenVBand="0" w:oddHBand="0" w:evenHBand="0" w:firstRowFirstColumn="0" w:firstRowLastColumn="0" w:lastRowFirstColumn="0" w:lastRowLastColumn="0"/>
            <w:tcW w:w="1117" w:type="dxa"/>
          </w:tcPr>
          <w:p w14:paraId="7B464456" w14:textId="77777777" w:rsidR="00974CD0" w:rsidRPr="00F074C3" w:rsidRDefault="00974CD0" w:rsidP="00F074C3">
            <w:r w:rsidRPr="00F074C3">
              <w:t>5</w:t>
            </w:r>
          </w:p>
        </w:tc>
        <w:tc>
          <w:tcPr>
            <w:tcW w:w="8522" w:type="dxa"/>
          </w:tcPr>
          <w:p w14:paraId="51B8999E" w14:textId="77777777" w:rsidR="00974CD0" w:rsidRPr="00F074C3" w:rsidRDefault="00974CD0" w:rsidP="00F074C3">
            <w:pPr>
              <w:cnfStyle w:val="000000000000" w:firstRow="0" w:lastRow="0" w:firstColumn="0" w:lastColumn="0" w:oddVBand="0" w:evenVBand="0" w:oddHBand="0" w:evenHBand="0" w:firstRowFirstColumn="0" w:firstRowLastColumn="0" w:lastRowFirstColumn="0" w:lastRowLastColumn="0"/>
            </w:pPr>
            <w:r w:rsidRPr="00F074C3">
              <w:t>Five events related to</w:t>
            </w:r>
            <w:r w:rsidR="00D416A6" w:rsidRPr="00F074C3">
              <w:t xml:space="preserve"> a</w:t>
            </w:r>
            <w:r w:rsidRPr="00F074C3">
              <w:t xml:space="preserve"> delay in recognising changes in a patient's neurological condition or level of consciousness</w:t>
            </w:r>
          </w:p>
        </w:tc>
      </w:tr>
      <w:tr w:rsidR="00974CD0" w:rsidRPr="00C05445" w14:paraId="346F368C" w14:textId="77777777" w:rsidTr="00494D8B">
        <w:tc>
          <w:tcPr>
            <w:cnfStyle w:val="001000000000" w:firstRow="0" w:lastRow="0" w:firstColumn="1" w:lastColumn="0" w:oddVBand="0" w:evenVBand="0" w:oddHBand="0" w:evenHBand="0" w:firstRowFirstColumn="0" w:firstRowLastColumn="0" w:lastRowFirstColumn="0" w:lastRowLastColumn="0"/>
            <w:tcW w:w="1117" w:type="dxa"/>
          </w:tcPr>
          <w:p w14:paraId="7D9A9E35" w14:textId="77777777" w:rsidR="00974CD0" w:rsidRPr="00F074C3" w:rsidRDefault="00974CD0" w:rsidP="00F074C3">
            <w:r w:rsidRPr="00F074C3">
              <w:t>2</w:t>
            </w:r>
          </w:p>
        </w:tc>
        <w:tc>
          <w:tcPr>
            <w:tcW w:w="8522" w:type="dxa"/>
          </w:tcPr>
          <w:p w14:paraId="2FB456B5" w14:textId="77777777" w:rsidR="00974CD0" w:rsidRPr="00F074C3" w:rsidRDefault="00974CD0" w:rsidP="00F074C3">
            <w:pPr>
              <w:cnfStyle w:val="000000000000" w:firstRow="0" w:lastRow="0" w:firstColumn="0" w:lastColumn="0" w:oddVBand="0" w:evenVBand="0" w:oddHBand="0" w:evenHBand="0" w:firstRowFirstColumn="0" w:firstRowLastColumn="0" w:lastRowFirstColumn="0" w:lastRowLastColumn="0"/>
            </w:pPr>
            <w:r w:rsidRPr="00F074C3">
              <w:t>Two events involved delayed recognition of a complication from a procedure</w:t>
            </w:r>
          </w:p>
        </w:tc>
      </w:tr>
      <w:tr w:rsidR="00974CD0" w:rsidRPr="00C05445" w14:paraId="03E3AEBC" w14:textId="77777777" w:rsidTr="00494D8B">
        <w:tc>
          <w:tcPr>
            <w:cnfStyle w:val="001000000000" w:firstRow="0" w:lastRow="0" w:firstColumn="1" w:lastColumn="0" w:oddVBand="0" w:evenVBand="0" w:oddHBand="0" w:evenHBand="0" w:firstRowFirstColumn="0" w:firstRowLastColumn="0" w:lastRowFirstColumn="0" w:lastRowLastColumn="0"/>
            <w:tcW w:w="1117" w:type="dxa"/>
          </w:tcPr>
          <w:p w14:paraId="298C55B4" w14:textId="77777777" w:rsidR="00974CD0" w:rsidRPr="00F074C3" w:rsidRDefault="00974CD0" w:rsidP="00F074C3">
            <w:r w:rsidRPr="00F074C3">
              <w:t>3</w:t>
            </w:r>
          </w:p>
        </w:tc>
        <w:tc>
          <w:tcPr>
            <w:tcW w:w="8522" w:type="dxa"/>
          </w:tcPr>
          <w:p w14:paraId="07C0A0C1" w14:textId="77777777" w:rsidR="00974CD0" w:rsidRPr="00F074C3" w:rsidRDefault="00974CD0" w:rsidP="00F074C3">
            <w:pPr>
              <w:cnfStyle w:val="000000000000" w:firstRow="0" w:lastRow="0" w:firstColumn="0" w:lastColumn="0" w:oddVBand="0" w:evenVBand="0" w:oddHBand="0" w:evenHBand="0" w:firstRowFirstColumn="0" w:firstRowLastColumn="0" w:lastRowFirstColumn="0" w:lastRowLastColumn="0"/>
            </w:pPr>
            <w:r w:rsidRPr="00F074C3">
              <w:t>There were three events where a patient’s deteriorating vital signs were not escalated appropriately</w:t>
            </w:r>
          </w:p>
        </w:tc>
      </w:tr>
    </w:tbl>
    <w:p w14:paraId="50B312A0" w14:textId="77777777" w:rsidR="007E12E3" w:rsidRDefault="007E12E3" w:rsidP="00531AC9"/>
    <w:p w14:paraId="00DE640A" w14:textId="77777777" w:rsidR="007E12E3" w:rsidRPr="0021771E" w:rsidRDefault="00974CD0" w:rsidP="00B96970">
      <w:pPr>
        <w:pStyle w:val="Box"/>
        <w:pBdr>
          <w:bottom w:val="single" w:sz="12" w:space="24" w:color="FFFFFF" w:themeColor="background1"/>
        </w:pBdr>
        <w:shd w:val="clear" w:color="auto" w:fill="F6F4EC" w:themeFill="background2"/>
        <w:rPr>
          <w:b/>
          <w:bCs/>
        </w:rPr>
      </w:pPr>
      <w:r>
        <w:rPr>
          <w:b/>
          <w:bCs/>
        </w:rPr>
        <w:t>What we are doing to improve recognition of patient deterioration:</w:t>
      </w:r>
    </w:p>
    <w:p w14:paraId="6EB073ED" w14:textId="77777777" w:rsidR="007E12E3" w:rsidRDefault="00974CD0" w:rsidP="00B96970">
      <w:pPr>
        <w:pStyle w:val="BoxBullet"/>
        <w:pBdr>
          <w:bottom w:val="single" w:sz="12" w:space="24" w:color="FFFFFF" w:themeColor="background1"/>
        </w:pBdr>
        <w:shd w:val="clear" w:color="auto" w:fill="F6F4EC" w:themeFill="background2"/>
      </w:pPr>
      <w:r>
        <w:t>A survey of clinical staff was completed around understanding of early recognition and escalation to identify areas for targeted education</w:t>
      </w:r>
    </w:p>
    <w:p w14:paraId="025C2FF5" w14:textId="77777777" w:rsidR="00DC7DE3" w:rsidRDefault="007B4C6A" w:rsidP="00B96970">
      <w:pPr>
        <w:pStyle w:val="BoxBullet"/>
        <w:pBdr>
          <w:bottom w:val="single" w:sz="12" w:space="24" w:color="FFFFFF" w:themeColor="background1"/>
        </w:pBdr>
        <w:shd w:val="clear" w:color="auto" w:fill="F6F4EC" w:themeFill="background2"/>
      </w:pPr>
      <w:r>
        <w:t>An increase in resource for the Patient at Risk (PAR</w:t>
      </w:r>
      <w:r w:rsidR="00BC5E92">
        <w:t>)</w:t>
      </w:r>
      <w:r>
        <w:t xml:space="preserve"> service has enabled the PAR team to provide more education and new resources on patient deterioration</w:t>
      </w:r>
    </w:p>
    <w:p w14:paraId="25A87564" w14:textId="77777777" w:rsidR="007B4C6A" w:rsidRDefault="007B4C6A" w:rsidP="00B96970">
      <w:pPr>
        <w:pStyle w:val="BoxBullet"/>
        <w:pBdr>
          <w:bottom w:val="single" w:sz="12" w:space="24" w:color="FFFFFF" w:themeColor="background1"/>
        </w:pBdr>
        <w:shd w:val="clear" w:color="auto" w:fill="F6F4EC" w:themeFill="background2"/>
      </w:pPr>
      <w:r>
        <w:t>The PAR teams across the district are now working more closely to share knowledge and improve processes</w:t>
      </w:r>
    </w:p>
    <w:p w14:paraId="4AAC3753" w14:textId="7F59E7D6" w:rsidR="007B4C6A" w:rsidRDefault="00610FD7" w:rsidP="00B96970">
      <w:pPr>
        <w:pStyle w:val="BoxBullet"/>
        <w:pBdr>
          <w:bottom w:val="single" w:sz="12" w:space="24" w:color="FFFFFF" w:themeColor="background1"/>
        </w:pBdr>
        <w:shd w:val="clear" w:color="auto" w:fill="F6F4EC" w:themeFill="background2"/>
      </w:pPr>
      <w:r>
        <w:t xml:space="preserve">The PAR service is now included on SmartPage, improving access to the service across the district. </w:t>
      </w:r>
    </w:p>
    <w:p w14:paraId="4BD34C42" w14:textId="77777777" w:rsidR="00B96970" w:rsidRDefault="00B96970" w:rsidP="00B96970">
      <w:pPr>
        <w:pStyle w:val="BoxBullet"/>
        <w:pBdr>
          <w:bottom w:val="single" w:sz="12" w:space="24" w:color="FFFFFF" w:themeColor="background1"/>
        </w:pBdr>
        <w:shd w:val="clear" w:color="auto" w:fill="F6F4EC" w:themeFill="background2"/>
      </w:pPr>
      <w:r>
        <w:lastRenderedPageBreak/>
        <w:t xml:space="preserve">Kōrero Mai is an initiative to ensure patients and whānau are able to voice their concerns if worried about their or their loved </w:t>
      </w:r>
      <w:proofErr w:type="gramStart"/>
      <w:r>
        <w:t>ones</w:t>
      </w:r>
      <w:proofErr w:type="gramEnd"/>
      <w:r>
        <w:t xml:space="preserve"> care or condition. This was already in place at Wellington Hospital but has now been launched at Kenepuru and Hutt Hospitals. A co-design approach was used with consumers and staff to ensure resources and information met the needs of different populations</w:t>
      </w:r>
    </w:p>
    <w:p w14:paraId="04216968" w14:textId="17112EFB" w:rsidR="00B96970" w:rsidRDefault="00B96970" w:rsidP="00B96970">
      <w:pPr>
        <w:pStyle w:val="BoxBullet"/>
        <w:pBdr>
          <w:bottom w:val="single" w:sz="12" w:space="24" w:color="FFFFFF" w:themeColor="background1"/>
        </w:pBdr>
        <w:shd w:val="clear" w:color="auto" w:fill="F6F4EC" w:themeFill="background2"/>
      </w:pPr>
      <w:r>
        <w:t>A pilot audit of patient early warning score (EWS) modif</w:t>
      </w:r>
      <w:r w:rsidR="00792C09">
        <w:t xml:space="preserve">ications has been carried out. </w:t>
      </w:r>
      <w:r>
        <w:t>Data from this will be used to improve our processes and training relating to appropriate and safe EWS modification</w:t>
      </w:r>
    </w:p>
    <w:p w14:paraId="10D55DB3" w14:textId="77777777" w:rsidR="00B96970" w:rsidRDefault="00B96970" w:rsidP="00B96970">
      <w:pPr>
        <w:pStyle w:val="BoxBullet"/>
        <w:pBdr>
          <w:bottom w:val="single" w:sz="12" w:space="24" w:color="FFFFFF" w:themeColor="background1"/>
        </w:pBdr>
        <w:shd w:val="clear" w:color="auto" w:fill="F6F4EC" w:themeFill="background2"/>
      </w:pPr>
      <w:r>
        <w:t>A new multi-system tracer audit has been released to all inpatient areas. Tracer audits encompass all aspects of the patient stay, following a patient</w:t>
      </w:r>
      <w:r w:rsidR="00F3183B">
        <w:t>’</w:t>
      </w:r>
      <w:r>
        <w:t>s journey from admission to discharge, and capture a snapshot that helps to identify gaps. This assesses compliance with local policies on vital signs measurement and recording to help highlight areas for improvement and education in each ward/unit</w:t>
      </w:r>
    </w:p>
    <w:p w14:paraId="6478683A" w14:textId="77777777" w:rsidR="00B96970" w:rsidRDefault="00B96970" w:rsidP="00B96970">
      <w:pPr>
        <w:pStyle w:val="BoxBullet"/>
        <w:pBdr>
          <w:bottom w:val="single" w:sz="12" w:space="24" w:color="FFFFFF" w:themeColor="background1"/>
        </w:pBdr>
        <w:shd w:val="clear" w:color="auto" w:fill="F6F4EC" w:themeFill="background2"/>
      </w:pPr>
      <w:r>
        <w:t>We continue to advocate for information and communication technology (ICT) local and national improvements, such as the implementation of electronic systems for recording</w:t>
      </w:r>
      <w:r w:rsidR="006E11B7">
        <w:t xml:space="preserve">, scoring and </w:t>
      </w:r>
      <w:r w:rsidR="00610FD7">
        <w:t>escalating</w:t>
      </w:r>
      <w:r>
        <w:t xml:space="preserve"> patient vital signs, escalating through national Health NZ governance structures as needed. </w:t>
      </w:r>
    </w:p>
    <w:p w14:paraId="7A436EDB" w14:textId="77777777" w:rsidR="00B96970" w:rsidRDefault="00B96970" w:rsidP="00B96970">
      <w:pPr>
        <w:pStyle w:val="BoxBullet"/>
        <w:pBdr>
          <w:bottom w:val="single" w:sz="12" w:space="24" w:color="FFFFFF" w:themeColor="background1"/>
        </w:pBdr>
        <w:shd w:val="clear" w:color="auto" w:fill="F6F4EC" w:themeFill="background2"/>
      </w:pPr>
      <w:r>
        <w:t>EWS education, including scenarios, are part of the resuscitation education sessions for all new staff, and revisited in refresher education sessions. This also includes a process to escalate concerns (graded assertiveness tool)</w:t>
      </w:r>
    </w:p>
    <w:p w14:paraId="0800B615" w14:textId="3AC09398" w:rsidR="00494D8B" w:rsidRDefault="006E11B7" w:rsidP="00610FD7">
      <w:pPr>
        <w:pStyle w:val="BoxBullet"/>
        <w:pBdr>
          <w:bottom w:val="single" w:sz="12" w:space="24" w:color="FFFFFF" w:themeColor="background1"/>
        </w:pBdr>
        <w:shd w:val="clear" w:color="auto" w:fill="F6F4EC" w:themeFill="background2"/>
      </w:pPr>
      <w:r>
        <w:t>We continue to deliver the A</w:t>
      </w:r>
      <w:r w:rsidR="00A9140A">
        <w:t>cute and Life Threatening Events (ALERT) course</w:t>
      </w:r>
      <w:r w:rsidR="00610FD7">
        <w:t xml:space="preserve"> to staff working in acute areas. This is</w:t>
      </w:r>
      <w:r w:rsidR="00A9140A">
        <w:t xml:space="preserve"> a multidisciplinary course focusing on the recognition and management of the acutely unwell or deteriorating patient </w:t>
      </w:r>
    </w:p>
    <w:p w14:paraId="1E55F41C" w14:textId="77777777" w:rsidR="0086438E" w:rsidRDefault="0086438E">
      <w:pPr>
        <w:rPr>
          <w:rFonts w:asciiTheme="majorHAnsi" w:eastAsiaTheme="majorEastAsia" w:hAnsiTheme="majorHAnsi" w:cstheme="majorBidi"/>
          <w:b/>
          <w:iCs/>
          <w:color w:val="000000" w:themeColor="text1"/>
          <w:highlight w:val="lightGray"/>
        </w:rPr>
      </w:pPr>
      <w:r>
        <w:rPr>
          <w:highlight w:val="lightGray"/>
        </w:rPr>
        <w:br w:type="page"/>
      </w:r>
    </w:p>
    <w:p w14:paraId="62829DA7" w14:textId="77777777" w:rsidR="0086438E" w:rsidRPr="007F5078" w:rsidRDefault="0086438E" w:rsidP="004C7C5F">
      <w:pPr>
        <w:pStyle w:val="Heading4"/>
        <w:numPr>
          <w:ilvl w:val="0"/>
          <w:numId w:val="36"/>
        </w:numPr>
      </w:pPr>
      <w:r w:rsidRPr="16D22437">
        <w:lastRenderedPageBreak/>
        <w:t>Pressure injur</w:t>
      </w:r>
      <w:r w:rsidR="00076257">
        <w:t>y</w:t>
      </w:r>
      <w:r w:rsidRPr="16D22437">
        <w:t xml:space="preserve"> </w:t>
      </w:r>
    </w:p>
    <w:p w14:paraId="47E6F472" w14:textId="77777777" w:rsidR="0086438E" w:rsidRDefault="00B46127" w:rsidP="0086438E">
      <w:pPr>
        <w:rPr>
          <w:lang w:eastAsia="en-NZ"/>
        </w:rPr>
      </w:pPr>
      <w:r>
        <w:t xml:space="preserve">There </w:t>
      </w:r>
      <w:r w:rsidR="004C7C5F">
        <w:t>was</w:t>
      </w:r>
      <w:r>
        <w:t xml:space="preserve"> a decrease</w:t>
      </w:r>
      <w:r w:rsidR="0086438E" w:rsidRPr="16D22437">
        <w:t xml:space="preserve"> in pressure injury related events</w:t>
      </w:r>
      <w:r>
        <w:t>,</w:t>
      </w:r>
      <w:r w:rsidR="0086438E" w:rsidRPr="16D22437">
        <w:t xml:space="preserve"> from 25 last year. Eighteen patients sustained a pressure injury graded as either three, four, deep tissue or unstageable*. There was one SAC 1 event related to</w:t>
      </w:r>
      <w:r w:rsidR="004C7C5F">
        <w:t xml:space="preserve"> a pressure injury. The heel and </w:t>
      </w:r>
      <w:r w:rsidR="0086438E" w:rsidRPr="16D22437">
        <w:t>sacrum are vulnerable areas for developing pressure injuries as well as under casts or devices. This is reflected in the events.</w:t>
      </w:r>
    </w:p>
    <w:p w14:paraId="023C9F05" w14:textId="77777777" w:rsidR="00494D8B" w:rsidRDefault="0086438E" w:rsidP="00C05445">
      <w:r w:rsidRPr="007F5078">
        <w:t xml:space="preserve">Patient ethnicity: </w:t>
      </w:r>
      <w:r w:rsidR="00076257">
        <w:t xml:space="preserve">Māori (n=1), </w:t>
      </w:r>
      <w:r w:rsidRPr="007F5078">
        <w:t>Pacific peoples (n=</w:t>
      </w:r>
      <w:r w:rsidR="00076257">
        <w:t>1</w:t>
      </w:r>
      <w:r w:rsidRPr="007F5078">
        <w:t>), European (n=</w:t>
      </w:r>
      <w:r>
        <w:t>1</w:t>
      </w:r>
      <w:r w:rsidR="00076257">
        <w:t>5</w:t>
      </w:r>
      <w:r w:rsidRPr="007F5078">
        <w:t>)</w:t>
      </w:r>
      <w:r w:rsidR="00076257">
        <w:t>, Not stated (n=1)</w:t>
      </w:r>
    </w:p>
    <w:p w14:paraId="6AAD41FB" w14:textId="35D10F9E" w:rsidR="0086438E" w:rsidRDefault="0086438E" w:rsidP="00540569">
      <w:pPr>
        <w:pStyle w:val="Figure"/>
      </w:pPr>
      <w:r>
        <w:t xml:space="preserve">Table </w:t>
      </w:r>
      <w:r>
        <w:fldChar w:fldCharType="begin"/>
      </w:r>
      <w:r>
        <w:instrText>SEQ Table \* ARABIC</w:instrText>
      </w:r>
      <w:r>
        <w:fldChar w:fldCharType="separate"/>
      </w:r>
      <w:r w:rsidR="00392FC2">
        <w:rPr>
          <w:noProof/>
        </w:rPr>
        <w:t>5</w:t>
      </w:r>
      <w:r>
        <w:fldChar w:fldCharType="end"/>
      </w:r>
      <w:r>
        <w:t>: Pressure injury</w:t>
      </w:r>
      <w:r w:rsidRPr="00404CBC">
        <w:t xml:space="preserve"> events 1 July 2023 to 30 June 2024</w:t>
      </w:r>
    </w:p>
    <w:tbl>
      <w:tblPr>
        <w:tblStyle w:val="TeWhatuOra"/>
        <w:tblW w:w="9639" w:type="dxa"/>
        <w:tblLook w:val="04A0" w:firstRow="1" w:lastRow="0" w:firstColumn="1" w:lastColumn="0" w:noHBand="0" w:noVBand="1"/>
      </w:tblPr>
      <w:tblGrid>
        <w:gridCol w:w="1117"/>
        <w:gridCol w:w="8522"/>
      </w:tblGrid>
      <w:tr w:rsidR="00EB34E9" w:rsidRPr="00C05445" w14:paraId="24C72AB5" w14:textId="77777777" w:rsidTr="00BB777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17" w:type="dxa"/>
            <w:tcBorders>
              <w:top w:val="single" w:sz="4" w:space="0" w:color="auto"/>
              <w:bottom w:val="single" w:sz="4" w:space="0" w:color="auto"/>
              <w:right w:val="nil"/>
            </w:tcBorders>
          </w:tcPr>
          <w:p w14:paraId="54A31246" w14:textId="28D738D9" w:rsidR="00EB34E9" w:rsidRPr="00C05445" w:rsidRDefault="00EB34E9" w:rsidP="00494D8B">
            <w:pPr>
              <w:spacing w:before="0" w:after="160" w:line="259" w:lineRule="auto"/>
            </w:pPr>
            <w:r>
              <w:t>Number</w:t>
            </w:r>
          </w:p>
        </w:tc>
        <w:tc>
          <w:tcPr>
            <w:tcW w:w="8522" w:type="dxa"/>
            <w:tcBorders>
              <w:top w:val="single" w:sz="4" w:space="0" w:color="auto"/>
              <w:bottom w:val="single" w:sz="4" w:space="0" w:color="auto"/>
            </w:tcBorders>
          </w:tcPr>
          <w:p w14:paraId="13C918C0" w14:textId="1D284C97" w:rsidR="00EB34E9" w:rsidRPr="00C05445" w:rsidRDefault="00EB34E9" w:rsidP="00494D8B">
            <w:pPr>
              <w:spacing w:before="0" w:after="160" w:line="259" w:lineRule="auto"/>
              <w:cnfStyle w:val="100000000000" w:firstRow="1" w:lastRow="0" w:firstColumn="0" w:lastColumn="0" w:oddVBand="0" w:evenVBand="0" w:oddHBand="0" w:evenHBand="0" w:firstRowFirstColumn="0" w:firstRowLastColumn="0" w:lastRowFirstColumn="0" w:lastRowLastColumn="0"/>
            </w:pPr>
            <w:r>
              <w:t>Event summaries</w:t>
            </w:r>
          </w:p>
        </w:tc>
      </w:tr>
      <w:tr w:rsidR="0086438E" w:rsidRPr="00C05445" w14:paraId="58654017" w14:textId="77777777" w:rsidTr="00DA61C7">
        <w:tc>
          <w:tcPr>
            <w:cnfStyle w:val="001000000000" w:firstRow="0" w:lastRow="0" w:firstColumn="1" w:lastColumn="0" w:oddVBand="0" w:evenVBand="0" w:oddHBand="0" w:evenHBand="0" w:firstRowFirstColumn="0" w:firstRowLastColumn="0" w:lastRowFirstColumn="0" w:lastRowLastColumn="0"/>
            <w:tcW w:w="1117" w:type="dxa"/>
            <w:tcBorders>
              <w:top w:val="single" w:sz="4" w:space="0" w:color="auto"/>
            </w:tcBorders>
          </w:tcPr>
          <w:p w14:paraId="07BE3AFF" w14:textId="77777777" w:rsidR="0086438E" w:rsidRPr="0086438E" w:rsidRDefault="0086438E" w:rsidP="008A1F2D">
            <w:r w:rsidRPr="0086438E">
              <w:t>14</w:t>
            </w:r>
          </w:p>
        </w:tc>
        <w:tc>
          <w:tcPr>
            <w:tcW w:w="8522" w:type="dxa"/>
            <w:tcBorders>
              <w:top w:val="single" w:sz="4" w:space="0" w:color="auto"/>
            </w:tcBorders>
          </w:tcPr>
          <w:p w14:paraId="27EA08ED" w14:textId="77777777" w:rsidR="0086438E" w:rsidRPr="0086438E" w:rsidRDefault="0086438E" w:rsidP="008A1F2D">
            <w:pPr>
              <w:cnfStyle w:val="000000000000" w:firstRow="0" w:lastRow="0" w:firstColumn="0" w:lastColumn="0" w:oddVBand="0" w:evenVBand="0" w:oddHBand="0" w:evenHBand="0" w:firstRowFirstColumn="0" w:firstRowLastColumn="0" w:lastRowFirstColumn="0" w:lastRowLastColumn="0"/>
            </w:pPr>
            <w:r w:rsidRPr="0086438E">
              <w:t>Fourteen patients developed pressure injuries to their heels, sacrum or elbow while in hospital</w:t>
            </w:r>
          </w:p>
        </w:tc>
      </w:tr>
      <w:tr w:rsidR="0086438E" w:rsidRPr="00C05445" w14:paraId="125AA97A" w14:textId="77777777" w:rsidTr="00494D8B">
        <w:tc>
          <w:tcPr>
            <w:cnfStyle w:val="001000000000" w:firstRow="0" w:lastRow="0" w:firstColumn="1" w:lastColumn="0" w:oddVBand="0" w:evenVBand="0" w:oddHBand="0" w:evenHBand="0" w:firstRowFirstColumn="0" w:firstRowLastColumn="0" w:lastRowFirstColumn="0" w:lastRowLastColumn="0"/>
            <w:tcW w:w="1117" w:type="dxa"/>
          </w:tcPr>
          <w:p w14:paraId="3F58A3F2" w14:textId="77777777" w:rsidR="0086438E" w:rsidRPr="0086438E" w:rsidRDefault="0086438E" w:rsidP="008A1F2D">
            <w:r w:rsidRPr="0086438E">
              <w:t>4</w:t>
            </w:r>
          </w:p>
        </w:tc>
        <w:tc>
          <w:tcPr>
            <w:tcW w:w="8522" w:type="dxa"/>
          </w:tcPr>
          <w:p w14:paraId="469662D7" w14:textId="77777777" w:rsidR="0086438E" w:rsidRPr="0086438E" w:rsidRDefault="0086438E" w:rsidP="008A1F2D">
            <w:pPr>
              <w:cnfStyle w:val="000000000000" w:firstRow="0" w:lastRow="0" w:firstColumn="0" w:lastColumn="0" w:oddVBand="0" w:evenVBand="0" w:oddHBand="0" w:evenHBand="0" w:firstRowFirstColumn="0" w:firstRowLastColumn="0" w:lastRowFirstColumn="0" w:lastRowLastColumn="0"/>
            </w:pPr>
            <w:r w:rsidRPr="0086438E">
              <w:t>Four patients developed pressure injuries under a cast, bandage, or medical device</w:t>
            </w:r>
          </w:p>
        </w:tc>
      </w:tr>
    </w:tbl>
    <w:p w14:paraId="3B2458DB" w14:textId="77777777" w:rsidR="002F6DC2" w:rsidRPr="00721621" w:rsidRDefault="002F6DC2" w:rsidP="002F6DC2">
      <w:pPr>
        <w:spacing w:before="0" w:after="0"/>
        <w:rPr>
          <w:rFonts w:ascii="Arial" w:eastAsia="Times New Roman" w:hAnsi="Arial" w:cs="Arial"/>
          <w:i/>
          <w:sz w:val="20"/>
          <w:szCs w:val="20"/>
          <w:lang w:val="en-AU" w:eastAsia="en-AU"/>
        </w:rPr>
      </w:pPr>
    </w:p>
    <w:p w14:paraId="7C71917D" w14:textId="77777777" w:rsidR="002F6DC2" w:rsidRPr="00721621" w:rsidRDefault="002F6DC2" w:rsidP="002F6DC2">
      <w:pPr>
        <w:spacing w:before="0" w:after="0"/>
        <w:rPr>
          <w:rFonts w:ascii="Arial" w:eastAsia="Times New Roman" w:hAnsi="Arial" w:cs="Arial"/>
          <w:i/>
          <w:sz w:val="20"/>
          <w:szCs w:val="20"/>
          <w:lang w:val="en-AU" w:eastAsia="en-AU"/>
        </w:rPr>
      </w:pPr>
      <w:r w:rsidRPr="00721621">
        <w:rPr>
          <w:rFonts w:ascii="Arial" w:eastAsia="Times New Roman" w:hAnsi="Arial" w:cs="Arial"/>
          <w:i/>
          <w:sz w:val="20"/>
          <w:szCs w:val="20"/>
          <w:lang w:val="en-AU" w:eastAsia="en-AU"/>
        </w:rPr>
        <w:t>*Pressure Injury Classification:</w:t>
      </w:r>
    </w:p>
    <w:p w14:paraId="2BE750A3" w14:textId="77777777" w:rsidR="002F6DC2" w:rsidRPr="00721621" w:rsidRDefault="002F6DC2" w:rsidP="002F6DC2">
      <w:pPr>
        <w:spacing w:before="0" w:after="0"/>
        <w:rPr>
          <w:rFonts w:ascii="Arial" w:eastAsia="Times New Roman" w:hAnsi="Arial" w:cs="Arial"/>
          <w:i/>
          <w:sz w:val="20"/>
          <w:szCs w:val="20"/>
          <w:lang w:val="en-AU" w:eastAsia="en-AU"/>
        </w:rPr>
      </w:pPr>
      <w:r w:rsidRPr="00721621">
        <w:rPr>
          <w:rFonts w:ascii="Arial" w:eastAsia="Times New Roman" w:hAnsi="Arial" w:cs="Arial"/>
          <w:i/>
          <w:sz w:val="20"/>
          <w:szCs w:val="20"/>
          <w:lang w:val="en-AU" w:eastAsia="en-AU"/>
        </w:rPr>
        <w:t>Deep tissue: There is no open wound but the tissue beneath the skin’s surface has been damaged.</w:t>
      </w:r>
    </w:p>
    <w:p w14:paraId="640D4A2A" w14:textId="77777777" w:rsidR="002F6DC2" w:rsidRPr="00721621" w:rsidRDefault="002F6DC2" w:rsidP="002F6DC2">
      <w:pPr>
        <w:spacing w:before="0" w:after="0"/>
        <w:rPr>
          <w:rFonts w:ascii="Arial" w:eastAsia="Times New Roman" w:hAnsi="Arial" w:cs="Arial"/>
          <w:i/>
          <w:sz w:val="20"/>
          <w:szCs w:val="20"/>
          <w:lang w:val="en-AU" w:eastAsia="en-AU"/>
        </w:rPr>
      </w:pPr>
      <w:r w:rsidRPr="00721621">
        <w:rPr>
          <w:rFonts w:ascii="Arial" w:eastAsia="Times New Roman" w:hAnsi="Arial" w:cs="Arial"/>
          <w:i/>
          <w:sz w:val="20"/>
          <w:szCs w:val="20"/>
          <w:lang w:val="en-AU" w:eastAsia="en-AU"/>
        </w:rPr>
        <w:t>Stage 3: Subcutaneous fat may be visible, no exposed bone tendon/muscle.</w:t>
      </w:r>
    </w:p>
    <w:p w14:paraId="6CE31C00" w14:textId="77777777" w:rsidR="002F6DC2" w:rsidRPr="00721621" w:rsidRDefault="002F6DC2" w:rsidP="002F6DC2">
      <w:pPr>
        <w:spacing w:before="0" w:after="0"/>
        <w:rPr>
          <w:rFonts w:ascii="Arial" w:eastAsia="Times New Roman" w:hAnsi="Arial" w:cs="Arial"/>
          <w:i/>
          <w:sz w:val="20"/>
          <w:szCs w:val="20"/>
          <w:lang w:val="en-AU" w:eastAsia="en-AU"/>
        </w:rPr>
      </w:pPr>
      <w:r w:rsidRPr="00721621">
        <w:rPr>
          <w:rFonts w:ascii="Arial" w:eastAsia="Times New Roman" w:hAnsi="Arial" w:cs="Arial"/>
          <w:i/>
          <w:sz w:val="20"/>
          <w:szCs w:val="20"/>
          <w:lang w:val="en-AU" w:eastAsia="en-AU"/>
        </w:rPr>
        <w:t>Stage 4: Full thickness tissue loss with exposed bone, tendon or muscle.</w:t>
      </w:r>
    </w:p>
    <w:p w14:paraId="5FB617AC" w14:textId="77777777" w:rsidR="007E12E3" w:rsidRPr="00721621" w:rsidRDefault="002F6DC2" w:rsidP="002F6DC2">
      <w:pPr>
        <w:spacing w:before="0" w:after="0" w:line="259" w:lineRule="auto"/>
        <w:rPr>
          <w:rFonts w:ascii="Arial" w:eastAsia="Times New Roman" w:hAnsi="Arial" w:cs="Arial"/>
          <w:i/>
          <w:sz w:val="20"/>
          <w:szCs w:val="20"/>
          <w:lang w:val="en-AU" w:eastAsia="en-AU"/>
        </w:rPr>
      </w:pPr>
      <w:r w:rsidRPr="00721621">
        <w:rPr>
          <w:rFonts w:ascii="Arial" w:eastAsia="Times New Roman" w:hAnsi="Arial" w:cs="Arial"/>
          <w:i/>
          <w:sz w:val="20"/>
          <w:szCs w:val="20"/>
          <w:lang w:val="en-AU" w:eastAsia="en-AU"/>
        </w:rPr>
        <w:t>Unstageable: Depth unknown. Full thickness tissue loss and base of the pressure injury covered by slough and/or eschar.</w:t>
      </w:r>
    </w:p>
    <w:p w14:paraId="67B6FC12" w14:textId="77777777" w:rsidR="002F6DC2" w:rsidRDefault="002F6DC2" w:rsidP="002F6DC2">
      <w:pPr>
        <w:spacing w:before="0" w:after="0" w:line="259" w:lineRule="auto"/>
      </w:pPr>
    </w:p>
    <w:p w14:paraId="71F12F87" w14:textId="77777777" w:rsidR="007E12E3" w:rsidRPr="0021771E" w:rsidRDefault="0086438E" w:rsidP="004355B5">
      <w:pPr>
        <w:pStyle w:val="Box"/>
        <w:pBdr>
          <w:bottom w:val="single" w:sz="12" w:space="16" w:color="FFFFFF" w:themeColor="background1"/>
        </w:pBdr>
        <w:shd w:val="clear" w:color="auto" w:fill="F6F4EC" w:themeFill="background2"/>
        <w:rPr>
          <w:b/>
          <w:bCs/>
        </w:rPr>
      </w:pPr>
      <w:r>
        <w:rPr>
          <w:b/>
          <w:bCs/>
        </w:rPr>
        <w:t>What we are doing to reduce patient harm from pressure injuries:</w:t>
      </w:r>
    </w:p>
    <w:p w14:paraId="4CB94AF3" w14:textId="77777777" w:rsidR="007E12E3" w:rsidRDefault="0086438E" w:rsidP="004355B5">
      <w:pPr>
        <w:pStyle w:val="BoxBullet"/>
        <w:pBdr>
          <w:bottom w:val="single" w:sz="12" w:space="16" w:color="FFFFFF" w:themeColor="background1"/>
        </w:pBdr>
        <w:shd w:val="clear" w:color="auto" w:fill="F6F4EC" w:themeFill="background2"/>
      </w:pPr>
      <w:r>
        <w:t xml:space="preserve">A district wide policy of pressure injury prevention and management </w:t>
      </w:r>
      <w:r w:rsidR="004C7C5F">
        <w:t>is complete</w:t>
      </w:r>
    </w:p>
    <w:p w14:paraId="7B7D1E52" w14:textId="77777777" w:rsidR="007E12E3" w:rsidRDefault="0086438E" w:rsidP="004355B5">
      <w:pPr>
        <w:pStyle w:val="BoxBullet"/>
        <w:pBdr>
          <w:bottom w:val="single" w:sz="12" w:space="16" w:color="FFFFFF" w:themeColor="background1"/>
        </w:pBdr>
        <w:shd w:val="clear" w:color="auto" w:fill="F6F4EC" w:themeFill="background2"/>
      </w:pPr>
      <w:r>
        <w:t xml:space="preserve">A new multi-systems </w:t>
      </w:r>
      <w:r w:rsidR="006322A9">
        <w:t>tracer audit which provides up to date feedback on nursing cares</w:t>
      </w:r>
      <w:r w:rsidR="002F6DC2">
        <w:t xml:space="preserve"> and assessment</w:t>
      </w:r>
      <w:r w:rsidR="00076257">
        <w:t xml:space="preserve"> has been introduced</w:t>
      </w:r>
      <w:r w:rsidR="002F6DC2">
        <w:t>. Tracer audits encompass all aspects of the patient stay, following a patient’s journey from admission to discharge, and capture a snaps</w:t>
      </w:r>
      <w:r w:rsidR="00E306AE">
        <w:t>hot that helps to identify gaps</w:t>
      </w:r>
    </w:p>
    <w:p w14:paraId="0A012C06" w14:textId="77777777" w:rsidR="007E12E3" w:rsidRDefault="002F6DC2" w:rsidP="004355B5">
      <w:pPr>
        <w:pStyle w:val="BoxBullet"/>
        <w:pBdr>
          <w:bottom w:val="single" w:sz="12" w:space="16" w:color="FFFFFF" w:themeColor="background1"/>
        </w:pBdr>
        <w:shd w:val="clear" w:color="auto" w:fill="F6F4EC" w:themeFill="background2"/>
      </w:pPr>
      <w:r>
        <w:t>The nursing leadership team are undertaking a review of all nursing assessments and care planning documents</w:t>
      </w:r>
      <w:r w:rsidR="00076257">
        <w:t>,</w:t>
      </w:r>
      <w:r>
        <w:t xml:space="preserve"> including those relating to pressure injuries</w:t>
      </w:r>
    </w:p>
    <w:p w14:paraId="6A029BF2" w14:textId="77777777" w:rsidR="002F6DC2" w:rsidRDefault="004C7C5F" w:rsidP="004355B5">
      <w:pPr>
        <w:pStyle w:val="BoxBullet"/>
        <w:pBdr>
          <w:bottom w:val="single" w:sz="12" w:space="16" w:color="FFFFFF" w:themeColor="background1"/>
        </w:pBdr>
        <w:shd w:val="clear" w:color="auto" w:fill="F6F4EC" w:themeFill="background2"/>
      </w:pPr>
      <w:r>
        <w:t>A</w:t>
      </w:r>
      <w:r w:rsidR="00C061D2">
        <w:t xml:space="preserve"> district wide pressure injury champion study day</w:t>
      </w:r>
      <w:r>
        <w:t xml:space="preserve"> has been introduced</w:t>
      </w:r>
      <w:r w:rsidR="00076257">
        <w:t>, and</w:t>
      </w:r>
      <w:r>
        <w:t xml:space="preserve"> more</w:t>
      </w:r>
      <w:r w:rsidR="00C061D2">
        <w:t xml:space="preserve"> education days on pressure injury prevention and management</w:t>
      </w:r>
      <w:r w:rsidR="00711D10">
        <w:t xml:space="preserve"> are being held</w:t>
      </w:r>
      <w:r w:rsidR="00C061D2">
        <w:t>. This has helped areas learn from each other and collaborate on pressu</w:t>
      </w:r>
      <w:r w:rsidR="00E306AE">
        <w:t>re injury prevention strategies</w:t>
      </w:r>
    </w:p>
    <w:p w14:paraId="012594D8" w14:textId="77777777" w:rsidR="00DC7DE3" w:rsidRDefault="00872490" w:rsidP="004355B5">
      <w:pPr>
        <w:pStyle w:val="BoxBullet"/>
        <w:pBdr>
          <w:bottom w:val="single" w:sz="12" w:space="16" w:color="FFFFFF" w:themeColor="background1"/>
        </w:pBdr>
        <w:shd w:val="clear" w:color="auto" w:fill="F6F4EC" w:themeFill="background2"/>
      </w:pPr>
      <w:r>
        <w:t>November</w:t>
      </w:r>
      <w:r w:rsidR="00DC7DE3">
        <w:t xml:space="preserve"> was </w:t>
      </w:r>
      <w:r>
        <w:t>P</w:t>
      </w:r>
      <w:r w:rsidR="00DC7DE3">
        <w:t xml:space="preserve">ressure </w:t>
      </w:r>
      <w:r>
        <w:t>I</w:t>
      </w:r>
      <w:r w:rsidR="00DC7DE3">
        <w:t xml:space="preserve">njury </w:t>
      </w:r>
      <w:r>
        <w:t xml:space="preserve">Prevention </w:t>
      </w:r>
      <w:r w:rsidR="00DC7DE3">
        <w:t xml:space="preserve">month, there were education sessions for clinical staff, new training </w:t>
      </w:r>
      <w:r w:rsidR="004C7C5F">
        <w:t>resources and a pressure injury prevention awareness campaign was run across the</w:t>
      </w:r>
      <w:r w:rsidR="00DC7DE3">
        <w:t xml:space="preserve"> district</w:t>
      </w:r>
    </w:p>
    <w:p w14:paraId="19CBD499" w14:textId="77777777" w:rsidR="00C60DCC" w:rsidRDefault="00C60DCC" w:rsidP="007E12E3">
      <w:pPr>
        <w:pStyle w:val="BoxBullet"/>
        <w:shd w:val="clear" w:color="auto" w:fill="F6F4EC" w:themeFill="background2"/>
      </w:pPr>
      <w:r>
        <w:lastRenderedPageBreak/>
        <w:t>The Moving and Handling education team are working with services to embed the use of appropriate equipment to increase the ease of reposition</w:t>
      </w:r>
      <w:r w:rsidR="00E306AE">
        <w:t>ing patients easily and safely</w:t>
      </w:r>
      <w:r>
        <w:t xml:space="preserve"> </w:t>
      </w:r>
    </w:p>
    <w:p w14:paraId="3BA7B8EA" w14:textId="45116A16" w:rsidR="002F6DC2" w:rsidRDefault="002F6DC2"/>
    <w:p w14:paraId="2C6DCB5A" w14:textId="77777777" w:rsidR="002F6DC2" w:rsidRPr="006D1199" w:rsidRDefault="002F6DC2" w:rsidP="004C7C5F">
      <w:pPr>
        <w:pStyle w:val="Heading4"/>
        <w:numPr>
          <w:ilvl w:val="0"/>
          <w:numId w:val="36"/>
        </w:numPr>
      </w:pPr>
      <w:r w:rsidRPr="75D5E3BE">
        <w:t>Delay in treatment</w:t>
      </w:r>
    </w:p>
    <w:p w14:paraId="0B1F11DE" w14:textId="77777777" w:rsidR="002F6DC2" w:rsidRPr="00F65820" w:rsidRDefault="002F6DC2" w:rsidP="002F6DC2">
      <w:r w:rsidRPr="16D22437">
        <w:t xml:space="preserve">Twelve events occurred due to delays in treatment. Three of these were SAC 1 events. </w:t>
      </w:r>
    </w:p>
    <w:p w14:paraId="41FD20C7" w14:textId="77777777" w:rsidR="002F6DC2" w:rsidRDefault="002F6DC2" w:rsidP="00C05445">
      <w:r w:rsidRPr="16D22437">
        <w:t xml:space="preserve">Patient ethnicity: Māori (n=2), Pacific peoples (n=1) and European (n=9)  </w:t>
      </w:r>
    </w:p>
    <w:p w14:paraId="26DF55CD" w14:textId="3E29F8F7" w:rsidR="002913DE" w:rsidRDefault="002913DE" w:rsidP="00540569">
      <w:pPr>
        <w:pStyle w:val="Figure"/>
      </w:pPr>
      <w:r>
        <w:t xml:space="preserve">Table </w:t>
      </w:r>
      <w:r>
        <w:fldChar w:fldCharType="begin"/>
      </w:r>
      <w:r>
        <w:instrText>SEQ Table \* ARABIC</w:instrText>
      </w:r>
      <w:r>
        <w:fldChar w:fldCharType="separate"/>
      </w:r>
      <w:r w:rsidR="00392FC2">
        <w:rPr>
          <w:noProof/>
        </w:rPr>
        <w:t>6</w:t>
      </w:r>
      <w:r>
        <w:fldChar w:fldCharType="end"/>
      </w:r>
      <w:r>
        <w:t>: Delay in treatment</w:t>
      </w:r>
      <w:r w:rsidRPr="008105BE">
        <w:t xml:space="preserve"> events 1 July 2023 to 30 June 2024</w:t>
      </w:r>
    </w:p>
    <w:tbl>
      <w:tblPr>
        <w:tblStyle w:val="TeWhatuOra"/>
        <w:tblW w:w="9639" w:type="dxa"/>
        <w:tblLook w:val="04A0" w:firstRow="1" w:lastRow="0" w:firstColumn="1" w:lastColumn="0" w:noHBand="0" w:noVBand="1"/>
      </w:tblPr>
      <w:tblGrid>
        <w:gridCol w:w="1117"/>
        <w:gridCol w:w="8522"/>
      </w:tblGrid>
      <w:tr w:rsidR="00DA61C7" w:rsidRPr="00C05445" w14:paraId="3F35C977" w14:textId="77777777" w:rsidTr="00EE6FC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17" w:type="dxa"/>
            <w:tcBorders>
              <w:top w:val="single" w:sz="4" w:space="0" w:color="003399" w:themeColor="accent3"/>
              <w:bottom w:val="single" w:sz="4" w:space="0" w:color="003399" w:themeColor="accent3"/>
              <w:right w:val="single" w:sz="4" w:space="0" w:color="003399" w:themeColor="accent3"/>
            </w:tcBorders>
          </w:tcPr>
          <w:p w14:paraId="7FBDF8E3" w14:textId="2B8338F1" w:rsidR="00DA61C7" w:rsidRPr="00EE6FC2" w:rsidRDefault="00EE6FC2" w:rsidP="00494D8B">
            <w:pPr>
              <w:spacing w:before="0" w:after="160" w:line="259" w:lineRule="auto"/>
              <w:rPr>
                <w:bCs/>
              </w:rPr>
            </w:pPr>
            <w:r w:rsidRPr="00EE6FC2">
              <w:rPr>
                <w:bCs/>
              </w:rPr>
              <w:t>Number</w:t>
            </w:r>
          </w:p>
        </w:tc>
        <w:tc>
          <w:tcPr>
            <w:tcW w:w="8522" w:type="dxa"/>
            <w:tcBorders>
              <w:top w:val="single" w:sz="4" w:space="0" w:color="003399" w:themeColor="accent3"/>
              <w:left w:val="single" w:sz="4" w:space="0" w:color="003399" w:themeColor="accent3"/>
              <w:bottom w:val="single" w:sz="4" w:space="0" w:color="003399" w:themeColor="accent3"/>
            </w:tcBorders>
          </w:tcPr>
          <w:p w14:paraId="60EB5557" w14:textId="5C0E46A7" w:rsidR="00DA61C7" w:rsidRPr="00C05445" w:rsidRDefault="00EE6FC2" w:rsidP="00494D8B">
            <w:pPr>
              <w:spacing w:before="0" w:after="160" w:line="259" w:lineRule="auto"/>
              <w:cnfStyle w:val="100000000000" w:firstRow="1" w:lastRow="0" w:firstColumn="0" w:lastColumn="0" w:oddVBand="0" w:evenVBand="0" w:oddHBand="0" w:evenHBand="0" w:firstRowFirstColumn="0" w:firstRowLastColumn="0" w:lastRowFirstColumn="0" w:lastRowLastColumn="0"/>
            </w:pPr>
            <w:r>
              <w:t>Event summaries</w:t>
            </w:r>
          </w:p>
        </w:tc>
      </w:tr>
      <w:tr w:rsidR="002913DE" w:rsidRPr="00C05445" w14:paraId="32A21F6A" w14:textId="77777777" w:rsidTr="00EE6FC2">
        <w:tc>
          <w:tcPr>
            <w:cnfStyle w:val="001000000000" w:firstRow="0" w:lastRow="0" w:firstColumn="1" w:lastColumn="0" w:oddVBand="0" w:evenVBand="0" w:oddHBand="0" w:evenHBand="0" w:firstRowFirstColumn="0" w:firstRowLastColumn="0" w:lastRowFirstColumn="0" w:lastRowLastColumn="0"/>
            <w:tcW w:w="1117" w:type="dxa"/>
            <w:tcBorders>
              <w:top w:val="single" w:sz="4" w:space="0" w:color="003399" w:themeColor="accent3"/>
            </w:tcBorders>
          </w:tcPr>
          <w:p w14:paraId="0D7EB26D" w14:textId="77777777" w:rsidR="002913DE" w:rsidRPr="00C905FB" w:rsidRDefault="002913DE" w:rsidP="00C905FB">
            <w:r w:rsidRPr="00C905FB">
              <w:t>3</w:t>
            </w:r>
          </w:p>
        </w:tc>
        <w:tc>
          <w:tcPr>
            <w:tcW w:w="8522" w:type="dxa"/>
            <w:tcBorders>
              <w:top w:val="single" w:sz="4" w:space="0" w:color="003399" w:themeColor="accent3"/>
            </w:tcBorders>
          </w:tcPr>
          <w:p w14:paraId="508FAB0E" w14:textId="77777777" w:rsidR="002913DE" w:rsidRPr="00C905FB" w:rsidRDefault="002913DE" w:rsidP="00C905FB">
            <w:pPr>
              <w:cnfStyle w:val="000000000000" w:firstRow="0" w:lastRow="0" w:firstColumn="0" w:lastColumn="0" w:oddVBand="0" w:evenVBand="0" w:oddHBand="0" w:evenHBand="0" w:firstRowFirstColumn="0" w:firstRowLastColumn="0" w:lastRowFirstColumn="0" w:lastRowLastColumn="0"/>
            </w:pPr>
            <w:r w:rsidRPr="00C905FB">
              <w:t xml:space="preserve">Three patients experienced a delay in assessment while in the emergency department </w:t>
            </w:r>
            <w:r w:rsidR="003969D1" w:rsidRPr="00C905FB">
              <w:t>which resulted</w:t>
            </w:r>
            <w:r w:rsidRPr="00C905FB">
              <w:t xml:space="preserve"> in delayed treatment</w:t>
            </w:r>
          </w:p>
        </w:tc>
      </w:tr>
      <w:tr w:rsidR="002913DE" w:rsidRPr="00C05445" w14:paraId="255821BB" w14:textId="77777777" w:rsidTr="00494D8B">
        <w:tc>
          <w:tcPr>
            <w:cnfStyle w:val="001000000000" w:firstRow="0" w:lastRow="0" w:firstColumn="1" w:lastColumn="0" w:oddVBand="0" w:evenVBand="0" w:oddHBand="0" w:evenHBand="0" w:firstRowFirstColumn="0" w:firstRowLastColumn="0" w:lastRowFirstColumn="0" w:lastRowLastColumn="0"/>
            <w:tcW w:w="1117" w:type="dxa"/>
          </w:tcPr>
          <w:p w14:paraId="109BEB7E" w14:textId="77777777" w:rsidR="002913DE" w:rsidRPr="00C905FB" w:rsidRDefault="002913DE" w:rsidP="00C905FB">
            <w:r w:rsidRPr="00C905FB">
              <w:t>4</w:t>
            </w:r>
          </w:p>
        </w:tc>
        <w:tc>
          <w:tcPr>
            <w:tcW w:w="8522" w:type="dxa"/>
          </w:tcPr>
          <w:p w14:paraId="48A60D46" w14:textId="77777777" w:rsidR="002913DE" w:rsidRPr="00C905FB" w:rsidRDefault="002913DE" w:rsidP="00C905FB">
            <w:pPr>
              <w:cnfStyle w:val="000000000000" w:firstRow="0" w:lastRow="0" w:firstColumn="0" w:lastColumn="0" w:oddVBand="0" w:evenVBand="0" w:oddHBand="0" w:evenHBand="0" w:firstRowFirstColumn="0" w:firstRowLastColumn="0" w:lastRowFirstColumn="0" w:lastRowLastColumn="0"/>
            </w:pPr>
            <w:r w:rsidRPr="00C905FB">
              <w:t xml:space="preserve">Four patients </w:t>
            </w:r>
            <w:r w:rsidR="003969D1" w:rsidRPr="00C905FB">
              <w:t xml:space="preserve">experienced </w:t>
            </w:r>
            <w:r w:rsidRPr="00C905FB">
              <w:t>delay</w:t>
            </w:r>
            <w:r w:rsidR="00711D10" w:rsidRPr="00C905FB">
              <w:t>s</w:t>
            </w:r>
            <w:r w:rsidRPr="00C905FB">
              <w:t xml:space="preserve"> in</w:t>
            </w:r>
            <w:r w:rsidR="00711D10" w:rsidRPr="00C905FB">
              <w:t xml:space="preserve"> having a procedure </w:t>
            </w:r>
            <w:r w:rsidR="003969D1" w:rsidRPr="00C905FB">
              <w:t>or surgery</w:t>
            </w:r>
            <w:r w:rsidRPr="00C905FB">
              <w:t xml:space="preserve"> </w:t>
            </w:r>
          </w:p>
        </w:tc>
      </w:tr>
      <w:tr w:rsidR="002913DE" w:rsidRPr="00C05445" w14:paraId="02EF7432" w14:textId="77777777" w:rsidTr="00494D8B">
        <w:tc>
          <w:tcPr>
            <w:cnfStyle w:val="001000000000" w:firstRow="0" w:lastRow="0" w:firstColumn="1" w:lastColumn="0" w:oddVBand="0" w:evenVBand="0" w:oddHBand="0" w:evenHBand="0" w:firstRowFirstColumn="0" w:firstRowLastColumn="0" w:lastRowFirstColumn="0" w:lastRowLastColumn="0"/>
            <w:tcW w:w="1117" w:type="dxa"/>
          </w:tcPr>
          <w:p w14:paraId="4112BA9B" w14:textId="77777777" w:rsidR="002913DE" w:rsidRPr="00C905FB" w:rsidRDefault="002913DE" w:rsidP="00C905FB">
            <w:r w:rsidRPr="00C905FB">
              <w:t>3</w:t>
            </w:r>
          </w:p>
        </w:tc>
        <w:tc>
          <w:tcPr>
            <w:tcW w:w="8522" w:type="dxa"/>
          </w:tcPr>
          <w:p w14:paraId="068DA494" w14:textId="77777777" w:rsidR="002913DE" w:rsidRPr="00C905FB" w:rsidRDefault="002913DE" w:rsidP="00C905FB">
            <w:pPr>
              <w:cnfStyle w:val="000000000000" w:firstRow="0" w:lastRow="0" w:firstColumn="0" w:lastColumn="0" w:oddVBand="0" w:evenVBand="0" w:oddHBand="0" w:evenHBand="0" w:firstRowFirstColumn="0" w:firstRowLastColumn="0" w:lastRowFirstColumn="0" w:lastRowLastColumn="0"/>
            </w:pPr>
            <w:r w:rsidRPr="00C905FB">
              <w:t>Three patients experienced delays in having a scan</w:t>
            </w:r>
          </w:p>
        </w:tc>
      </w:tr>
      <w:tr w:rsidR="002913DE" w:rsidRPr="00C05445" w14:paraId="5460A9F9" w14:textId="77777777" w:rsidTr="00494D8B">
        <w:tc>
          <w:tcPr>
            <w:cnfStyle w:val="001000000000" w:firstRow="0" w:lastRow="0" w:firstColumn="1" w:lastColumn="0" w:oddVBand="0" w:evenVBand="0" w:oddHBand="0" w:evenHBand="0" w:firstRowFirstColumn="0" w:firstRowLastColumn="0" w:lastRowFirstColumn="0" w:lastRowLastColumn="0"/>
            <w:tcW w:w="1117" w:type="dxa"/>
          </w:tcPr>
          <w:p w14:paraId="37495F02" w14:textId="77777777" w:rsidR="002913DE" w:rsidRPr="00C905FB" w:rsidRDefault="002913DE" w:rsidP="00C905FB">
            <w:r w:rsidRPr="00C905FB">
              <w:t>2</w:t>
            </w:r>
          </w:p>
        </w:tc>
        <w:tc>
          <w:tcPr>
            <w:tcW w:w="8522" w:type="dxa"/>
          </w:tcPr>
          <w:p w14:paraId="14CE9617" w14:textId="77777777" w:rsidR="002913DE" w:rsidRPr="00C905FB" w:rsidRDefault="002913DE" w:rsidP="00C905FB">
            <w:pPr>
              <w:cnfStyle w:val="000000000000" w:firstRow="0" w:lastRow="0" w:firstColumn="0" w:lastColumn="0" w:oddVBand="0" w:evenVBand="0" w:oddHBand="0" w:evenHBand="0" w:firstRowFirstColumn="0" w:firstRowLastColumn="0" w:lastRowFirstColumn="0" w:lastRowLastColumn="0"/>
            </w:pPr>
            <w:r w:rsidRPr="00C905FB">
              <w:t>Two patients had a delay in receiving medication</w:t>
            </w:r>
          </w:p>
        </w:tc>
      </w:tr>
    </w:tbl>
    <w:p w14:paraId="1B65A973" w14:textId="77777777" w:rsidR="007E12E3" w:rsidRDefault="007E12E3" w:rsidP="007E12E3">
      <w:pPr>
        <w:spacing w:before="0" w:after="160" w:line="259" w:lineRule="auto"/>
      </w:pPr>
    </w:p>
    <w:p w14:paraId="26225B26" w14:textId="77777777" w:rsidR="007E12E3" w:rsidRPr="0021771E" w:rsidRDefault="002913DE" w:rsidP="007E12E3">
      <w:pPr>
        <w:pStyle w:val="Box"/>
        <w:shd w:val="clear" w:color="auto" w:fill="F6F4EC" w:themeFill="background2"/>
        <w:rPr>
          <w:b/>
          <w:bCs/>
        </w:rPr>
      </w:pPr>
      <w:r>
        <w:rPr>
          <w:b/>
          <w:bCs/>
        </w:rPr>
        <w:t>What we are doing to reduce delays in treatment:</w:t>
      </w:r>
    </w:p>
    <w:p w14:paraId="0F0F8764" w14:textId="77777777" w:rsidR="007E12E3" w:rsidRDefault="001362A2" w:rsidP="007E12E3">
      <w:pPr>
        <w:pStyle w:val="BoxBullet"/>
        <w:shd w:val="clear" w:color="auto" w:fill="F6F4EC" w:themeFill="background2"/>
      </w:pPr>
      <w:r>
        <w:t xml:space="preserve">A new process </w:t>
      </w:r>
      <w:r w:rsidR="003969D1">
        <w:t>is in place</w:t>
      </w:r>
      <w:r>
        <w:t xml:space="preserve"> to ensure all operating theatres are utilised across the district to address delays for patients </w:t>
      </w:r>
      <w:r w:rsidR="003969D1">
        <w:t xml:space="preserve">having </w:t>
      </w:r>
      <w:r>
        <w:t>elective surgery. This includes</w:t>
      </w:r>
      <w:r w:rsidR="003969D1">
        <w:t xml:space="preserve"> patients having</w:t>
      </w:r>
      <w:r>
        <w:t xml:space="preserve"> regular review</w:t>
      </w:r>
      <w:r w:rsidR="003969D1">
        <w:t>s by their specialist</w:t>
      </w:r>
      <w:r>
        <w:t xml:space="preserve"> </w:t>
      </w:r>
      <w:r w:rsidR="003969D1">
        <w:t>while on a</w:t>
      </w:r>
      <w:r>
        <w:t xml:space="preserve"> waitlist</w:t>
      </w:r>
      <w:r w:rsidR="00711D10">
        <w:t>,</w:t>
      </w:r>
      <w:r>
        <w:t xml:space="preserve"> and outsourcing whe</w:t>
      </w:r>
      <w:r w:rsidR="00531AC9">
        <w:t>n</w:t>
      </w:r>
      <w:r>
        <w:t xml:space="preserve"> available</w:t>
      </w:r>
    </w:p>
    <w:p w14:paraId="61C9BED9" w14:textId="77777777" w:rsidR="001362A2" w:rsidRDefault="001362A2" w:rsidP="007E12E3">
      <w:pPr>
        <w:pStyle w:val="BoxBullet"/>
        <w:shd w:val="clear" w:color="auto" w:fill="F6F4EC" w:themeFill="background2"/>
      </w:pPr>
      <w:r>
        <w:t xml:space="preserve">The Patient Flow Council has been established and </w:t>
      </w:r>
      <w:r w:rsidR="00FE778D">
        <w:t>leads</w:t>
      </w:r>
      <w:r>
        <w:t xml:space="preserve"> several key pieces of work in alignment with the National Acute Flow Standards. </w:t>
      </w:r>
      <w:r w:rsidR="00531AC9">
        <w:t>P</w:t>
      </w:r>
      <w:r>
        <w:t>riorit</w:t>
      </w:r>
      <w:r w:rsidR="00872490">
        <w:t>y projects</w:t>
      </w:r>
      <w:r>
        <w:t xml:space="preserve"> are reducing waiting times to be see</w:t>
      </w:r>
      <w:r w:rsidR="00E306AE">
        <w:t>n in ED and shorter stays in ED</w:t>
      </w:r>
    </w:p>
    <w:p w14:paraId="13AB7B87" w14:textId="77777777" w:rsidR="007E12E3" w:rsidRDefault="001362A2" w:rsidP="007E12E3">
      <w:pPr>
        <w:pStyle w:val="BoxBullet"/>
        <w:shd w:val="clear" w:color="auto" w:fill="F6F4EC" w:themeFill="background2"/>
      </w:pPr>
      <w:r>
        <w:t>The server software suite which is used to process radiology scans has been replaced and upgraded</w:t>
      </w:r>
    </w:p>
    <w:p w14:paraId="34AEA4B6" w14:textId="77777777" w:rsidR="00C733B9" w:rsidRDefault="001362A2" w:rsidP="00C733B9">
      <w:pPr>
        <w:pStyle w:val="BoxBullet"/>
        <w:shd w:val="clear" w:color="auto" w:fill="F6F4EC" w:themeFill="background2"/>
      </w:pPr>
      <w:r>
        <w:t>There has been targeted education for different clinical staff on</w:t>
      </w:r>
      <w:r w:rsidR="00711D10">
        <w:t xml:space="preserve"> the</w:t>
      </w:r>
      <w:r>
        <w:t xml:space="preserve"> treatment of pulmonary embolism</w:t>
      </w:r>
    </w:p>
    <w:p w14:paraId="2AF1BC93" w14:textId="77777777" w:rsidR="001362A2" w:rsidRDefault="001362A2">
      <w:r>
        <w:br w:type="page"/>
      </w:r>
    </w:p>
    <w:p w14:paraId="16DC20CE" w14:textId="77777777" w:rsidR="001362A2" w:rsidRPr="00F65820" w:rsidRDefault="001362A2" w:rsidP="004C7C5F">
      <w:pPr>
        <w:pStyle w:val="Heading4"/>
        <w:numPr>
          <w:ilvl w:val="0"/>
          <w:numId w:val="36"/>
        </w:numPr>
      </w:pPr>
      <w:r w:rsidRPr="75D5E3BE">
        <w:lastRenderedPageBreak/>
        <w:t xml:space="preserve">Complication during or following a procedure </w:t>
      </w:r>
    </w:p>
    <w:p w14:paraId="15E34AAB" w14:textId="77777777" w:rsidR="001362A2" w:rsidRPr="00F65820" w:rsidRDefault="001362A2" w:rsidP="001362A2">
      <w:pPr>
        <w:rPr>
          <w:lang w:eastAsia="ja-JP"/>
        </w:rPr>
      </w:pPr>
      <w:r w:rsidRPr="5C5025B5">
        <w:rPr>
          <w:lang w:eastAsia="ja-JP"/>
        </w:rPr>
        <w:t>There were six events related to complications</w:t>
      </w:r>
      <w:r w:rsidR="00531AC9">
        <w:rPr>
          <w:lang w:eastAsia="ja-JP"/>
        </w:rPr>
        <w:t xml:space="preserve"> that occurred</w:t>
      </w:r>
      <w:r w:rsidRPr="5C5025B5">
        <w:rPr>
          <w:lang w:eastAsia="ja-JP"/>
        </w:rPr>
        <w:t xml:space="preserve"> during or following a procedure. One of these was a SAC 1 event.</w:t>
      </w:r>
    </w:p>
    <w:p w14:paraId="4BB42EB4" w14:textId="77777777" w:rsidR="001362A2" w:rsidRPr="00F65820" w:rsidRDefault="001362A2" w:rsidP="001362A2">
      <w:pPr>
        <w:rPr>
          <w:lang w:eastAsia="ja-JP"/>
        </w:rPr>
      </w:pPr>
      <w:r w:rsidRPr="75D5E3BE">
        <w:rPr>
          <w:lang w:eastAsia="ja-JP"/>
        </w:rPr>
        <w:t>Healthcare is complex and all procedures carry a risk of complication.</w:t>
      </w:r>
      <w:r>
        <w:rPr>
          <w:lang w:eastAsia="ja-JP"/>
        </w:rPr>
        <w:t xml:space="preserve"> Some of the complications experienced by patients in these events were known complications of their procedures. </w:t>
      </w:r>
      <w:r w:rsidRPr="75D5E3BE">
        <w:rPr>
          <w:lang w:eastAsia="ja-JP"/>
        </w:rPr>
        <w:t xml:space="preserve">While steps can be taken to reduce the risk of adverse effects from interventions, we acknowledge that not all complications are avoidable. </w:t>
      </w:r>
    </w:p>
    <w:p w14:paraId="5A708C27" w14:textId="77777777" w:rsidR="001362A2" w:rsidRDefault="001362A2" w:rsidP="00C05445">
      <w:pPr>
        <w:rPr>
          <w:lang w:eastAsia="ja-JP"/>
        </w:rPr>
      </w:pPr>
      <w:r w:rsidRPr="16D22437">
        <w:rPr>
          <w:lang w:eastAsia="ja-JP"/>
        </w:rPr>
        <w:t>Patient ethnicity: Māori (n=3) and European (n=3)</w:t>
      </w:r>
    </w:p>
    <w:p w14:paraId="2ABD8910" w14:textId="6D76DEC9" w:rsidR="001362A2" w:rsidRDefault="001362A2" w:rsidP="00540569">
      <w:pPr>
        <w:pStyle w:val="Figure"/>
      </w:pPr>
      <w:r>
        <w:t xml:space="preserve">Table </w:t>
      </w:r>
      <w:r>
        <w:fldChar w:fldCharType="begin"/>
      </w:r>
      <w:r>
        <w:instrText>SEQ Table \* ARABIC</w:instrText>
      </w:r>
      <w:r>
        <w:fldChar w:fldCharType="separate"/>
      </w:r>
      <w:r w:rsidR="00392FC2">
        <w:rPr>
          <w:noProof/>
        </w:rPr>
        <w:t>7</w:t>
      </w:r>
      <w:r>
        <w:fldChar w:fldCharType="end"/>
      </w:r>
      <w:r>
        <w:t xml:space="preserve">: </w:t>
      </w:r>
      <w:r w:rsidRPr="001362A2">
        <w:t xml:space="preserve">Complication during or following a procedure </w:t>
      </w:r>
      <w:r w:rsidRPr="00323C7C">
        <w:t>events 1 July 2023 to 30 June 2024</w:t>
      </w:r>
    </w:p>
    <w:tbl>
      <w:tblPr>
        <w:tblStyle w:val="TeWhatuOra"/>
        <w:tblW w:w="9639" w:type="dxa"/>
        <w:tblLook w:val="04A0" w:firstRow="1" w:lastRow="0" w:firstColumn="1" w:lastColumn="0" w:noHBand="0" w:noVBand="1"/>
      </w:tblPr>
      <w:tblGrid>
        <w:gridCol w:w="1117"/>
        <w:gridCol w:w="8522"/>
      </w:tblGrid>
      <w:tr w:rsidR="00DA61C7" w:rsidRPr="00C05445" w14:paraId="65D739A9" w14:textId="77777777" w:rsidTr="00855B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17" w:type="dxa"/>
            <w:tcBorders>
              <w:top w:val="single" w:sz="4" w:space="0" w:color="003399" w:themeColor="accent3"/>
              <w:bottom w:val="single" w:sz="4" w:space="0" w:color="003399" w:themeColor="accent3"/>
              <w:right w:val="single" w:sz="4" w:space="0" w:color="003399" w:themeColor="accent3"/>
            </w:tcBorders>
          </w:tcPr>
          <w:p w14:paraId="4F3F34CE" w14:textId="6277E1AF" w:rsidR="00DA61C7" w:rsidRPr="00855B0F" w:rsidRDefault="00855B0F" w:rsidP="00494D8B">
            <w:pPr>
              <w:spacing w:before="0" w:after="160" w:line="259" w:lineRule="auto"/>
              <w:rPr>
                <w:bCs/>
              </w:rPr>
            </w:pPr>
            <w:r>
              <w:rPr>
                <w:bCs/>
              </w:rPr>
              <w:t>Number</w:t>
            </w:r>
          </w:p>
        </w:tc>
        <w:tc>
          <w:tcPr>
            <w:tcW w:w="8522" w:type="dxa"/>
            <w:tcBorders>
              <w:top w:val="single" w:sz="4" w:space="0" w:color="003399" w:themeColor="accent3"/>
              <w:left w:val="single" w:sz="4" w:space="0" w:color="003399" w:themeColor="accent3"/>
              <w:bottom w:val="single" w:sz="4" w:space="0" w:color="003399" w:themeColor="accent3"/>
            </w:tcBorders>
          </w:tcPr>
          <w:p w14:paraId="443FFCEF" w14:textId="15897378" w:rsidR="00DA61C7" w:rsidRPr="00C05445" w:rsidRDefault="00855B0F" w:rsidP="00494D8B">
            <w:pPr>
              <w:spacing w:before="0" w:after="160" w:line="259" w:lineRule="auto"/>
              <w:cnfStyle w:val="100000000000" w:firstRow="1" w:lastRow="0" w:firstColumn="0" w:lastColumn="0" w:oddVBand="0" w:evenVBand="0" w:oddHBand="0" w:evenHBand="0" w:firstRowFirstColumn="0" w:firstRowLastColumn="0" w:lastRowFirstColumn="0" w:lastRowLastColumn="0"/>
            </w:pPr>
            <w:r>
              <w:t>Event summaries</w:t>
            </w:r>
          </w:p>
        </w:tc>
      </w:tr>
      <w:tr w:rsidR="001362A2" w:rsidRPr="00C05445" w14:paraId="0020A509" w14:textId="77777777" w:rsidTr="00DA61C7">
        <w:tc>
          <w:tcPr>
            <w:cnfStyle w:val="001000000000" w:firstRow="0" w:lastRow="0" w:firstColumn="1" w:lastColumn="0" w:oddVBand="0" w:evenVBand="0" w:oddHBand="0" w:evenHBand="0" w:firstRowFirstColumn="0" w:firstRowLastColumn="0" w:lastRowFirstColumn="0" w:lastRowLastColumn="0"/>
            <w:tcW w:w="1117" w:type="dxa"/>
            <w:tcBorders>
              <w:top w:val="single" w:sz="4" w:space="0" w:color="003399" w:themeColor="accent3"/>
            </w:tcBorders>
          </w:tcPr>
          <w:p w14:paraId="0CCBE443" w14:textId="77777777" w:rsidR="001362A2" w:rsidRPr="007B75CA" w:rsidRDefault="001362A2" w:rsidP="00721621">
            <w:r w:rsidRPr="007B75CA">
              <w:t>3</w:t>
            </w:r>
          </w:p>
        </w:tc>
        <w:tc>
          <w:tcPr>
            <w:tcW w:w="8522" w:type="dxa"/>
            <w:tcBorders>
              <w:top w:val="single" w:sz="4" w:space="0" w:color="003399" w:themeColor="accent3"/>
            </w:tcBorders>
          </w:tcPr>
          <w:p w14:paraId="050085FB" w14:textId="77777777" w:rsidR="001362A2" w:rsidRPr="001362A2" w:rsidRDefault="001362A2" w:rsidP="00721621">
            <w:pPr>
              <w:cnfStyle w:val="000000000000" w:firstRow="0" w:lastRow="0" w:firstColumn="0" w:lastColumn="0" w:oddVBand="0" w:evenVBand="0" w:oddHBand="0" w:evenHBand="0" w:firstRowFirstColumn="0" w:firstRowLastColumn="0" w:lastRowFirstColumn="0" w:lastRowLastColumn="0"/>
            </w:pPr>
            <w:r w:rsidRPr="001362A2">
              <w:t>Three patients experienced complications related to a line or catheter</w:t>
            </w:r>
          </w:p>
        </w:tc>
      </w:tr>
      <w:tr w:rsidR="001362A2" w:rsidRPr="00C05445" w14:paraId="13D1936A" w14:textId="77777777" w:rsidTr="00494D8B">
        <w:tc>
          <w:tcPr>
            <w:cnfStyle w:val="001000000000" w:firstRow="0" w:lastRow="0" w:firstColumn="1" w:lastColumn="0" w:oddVBand="0" w:evenVBand="0" w:oddHBand="0" w:evenHBand="0" w:firstRowFirstColumn="0" w:firstRowLastColumn="0" w:lastRowFirstColumn="0" w:lastRowLastColumn="0"/>
            <w:tcW w:w="1117" w:type="dxa"/>
          </w:tcPr>
          <w:p w14:paraId="7F67FC3E" w14:textId="77777777" w:rsidR="001362A2" w:rsidRPr="007B75CA" w:rsidRDefault="001362A2" w:rsidP="00721621">
            <w:r w:rsidRPr="007B75CA">
              <w:t>3</w:t>
            </w:r>
          </w:p>
        </w:tc>
        <w:tc>
          <w:tcPr>
            <w:tcW w:w="8522" w:type="dxa"/>
          </w:tcPr>
          <w:p w14:paraId="5344DCA5" w14:textId="77777777" w:rsidR="001362A2" w:rsidRPr="001362A2" w:rsidRDefault="001362A2" w:rsidP="00721621">
            <w:pPr>
              <w:cnfStyle w:val="000000000000" w:firstRow="0" w:lastRow="0" w:firstColumn="0" w:lastColumn="0" w:oddVBand="0" w:evenVBand="0" w:oddHBand="0" w:evenHBand="0" w:firstRowFirstColumn="0" w:firstRowLastColumn="0" w:lastRowFirstColumn="0" w:lastRowLastColumn="0"/>
            </w:pPr>
            <w:r w:rsidRPr="001362A2">
              <w:t xml:space="preserve">Three patients experienced complications </w:t>
            </w:r>
            <w:r w:rsidR="00531AC9">
              <w:t>related to</w:t>
            </w:r>
            <w:r w:rsidRPr="001362A2">
              <w:t xml:space="preserve"> their surger</w:t>
            </w:r>
            <w:r w:rsidR="00531AC9">
              <w:t>y</w:t>
            </w:r>
          </w:p>
        </w:tc>
      </w:tr>
    </w:tbl>
    <w:p w14:paraId="6A110B71" w14:textId="77777777" w:rsidR="007E12E3" w:rsidRDefault="007E12E3" w:rsidP="007E12E3">
      <w:pPr>
        <w:spacing w:before="0" w:after="160" w:line="259" w:lineRule="auto"/>
      </w:pPr>
    </w:p>
    <w:p w14:paraId="2AF0E843" w14:textId="77777777" w:rsidR="007E12E3" w:rsidRPr="0021771E" w:rsidRDefault="001362A2" w:rsidP="007E12E3">
      <w:pPr>
        <w:pStyle w:val="Box"/>
        <w:shd w:val="clear" w:color="auto" w:fill="F6F4EC" w:themeFill="background2"/>
        <w:rPr>
          <w:b/>
          <w:bCs/>
        </w:rPr>
      </w:pPr>
      <w:r>
        <w:rPr>
          <w:b/>
          <w:bCs/>
        </w:rPr>
        <w:t>What we are doing to reduce complications during or following procedures:</w:t>
      </w:r>
    </w:p>
    <w:p w14:paraId="770B0FA1" w14:textId="77777777" w:rsidR="007E12E3" w:rsidRDefault="001362A2" w:rsidP="007E12E3">
      <w:pPr>
        <w:pStyle w:val="BoxBullet"/>
        <w:shd w:val="clear" w:color="auto" w:fill="F6F4EC" w:themeFill="background2"/>
      </w:pPr>
      <w:r>
        <w:t>A district wide procedural sedation and analgesia policy has been developed to standardise how we use procedural sedation</w:t>
      </w:r>
    </w:p>
    <w:p w14:paraId="7E6383A7" w14:textId="77777777" w:rsidR="007E12E3" w:rsidRDefault="001362A2" w:rsidP="007E12E3">
      <w:pPr>
        <w:pStyle w:val="BoxBullet"/>
        <w:shd w:val="clear" w:color="auto" w:fill="F6F4EC" w:themeFill="background2"/>
      </w:pPr>
      <w:r>
        <w:t>Specialist support for the paediatric surgery team has been provided to help build paediatric surgical expertise within the district</w:t>
      </w:r>
    </w:p>
    <w:p w14:paraId="4ABE9AB9" w14:textId="77777777" w:rsidR="007E12E3" w:rsidRDefault="00CA7C78" w:rsidP="007E12E3">
      <w:pPr>
        <w:pStyle w:val="BoxBullet"/>
        <w:shd w:val="clear" w:color="auto" w:fill="F6F4EC" w:themeFill="background2"/>
      </w:pPr>
      <w:r>
        <w:t xml:space="preserve">The policy that provides guidance on how to document items used in surgery is </w:t>
      </w:r>
      <w:r w:rsidR="00531AC9">
        <w:t xml:space="preserve">currently </w:t>
      </w:r>
      <w:r>
        <w:t>being updated</w:t>
      </w:r>
    </w:p>
    <w:p w14:paraId="0D428B32" w14:textId="77777777" w:rsidR="00494D8B" w:rsidRDefault="00494D8B" w:rsidP="00C05445"/>
    <w:p w14:paraId="4CE2A46D" w14:textId="77777777" w:rsidR="00C60DCC" w:rsidRDefault="00C60DCC" w:rsidP="00C05445"/>
    <w:p w14:paraId="2DCACA55" w14:textId="77777777" w:rsidR="00C60DCC" w:rsidRDefault="00C60DCC" w:rsidP="00C05445"/>
    <w:p w14:paraId="57C0E576" w14:textId="77777777" w:rsidR="00C60DCC" w:rsidRDefault="00C60DCC" w:rsidP="00C05445"/>
    <w:p w14:paraId="1E2FBDC1" w14:textId="77777777" w:rsidR="00C60DCC" w:rsidRDefault="00C60DCC" w:rsidP="00C05445"/>
    <w:p w14:paraId="288F5F72" w14:textId="77777777" w:rsidR="00531AC9" w:rsidRDefault="00531AC9" w:rsidP="00C05445"/>
    <w:p w14:paraId="1F4D5316" w14:textId="77777777" w:rsidR="00531AC9" w:rsidRDefault="00531AC9" w:rsidP="00C05445"/>
    <w:p w14:paraId="74792F15" w14:textId="77777777" w:rsidR="00CA7C78" w:rsidRPr="005E2B42" w:rsidRDefault="00CA7C78" w:rsidP="004C7C5F">
      <w:pPr>
        <w:pStyle w:val="Heading4"/>
        <w:numPr>
          <w:ilvl w:val="0"/>
          <w:numId w:val="36"/>
        </w:numPr>
      </w:pPr>
      <w:r w:rsidRPr="005E2B42">
        <w:lastRenderedPageBreak/>
        <w:t xml:space="preserve">Process of care </w:t>
      </w:r>
    </w:p>
    <w:p w14:paraId="68102C64" w14:textId="77777777" w:rsidR="00CA7C78" w:rsidRDefault="00531AC9" w:rsidP="00CA7C78">
      <w:pPr>
        <w:rPr>
          <w:lang w:eastAsia="ja-JP"/>
        </w:rPr>
      </w:pPr>
      <w:r w:rsidRPr="16D22437">
        <w:rPr>
          <w:lang w:eastAsia="ja-JP"/>
        </w:rPr>
        <w:t>Process of care refers to actions or interventions performed during the delivery of patient care in accordance with evidence based best practice.</w:t>
      </w:r>
      <w:r>
        <w:rPr>
          <w:lang w:eastAsia="ja-JP"/>
        </w:rPr>
        <w:t xml:space="preserve"> </w:t>
      </w:r>
      <w:r w:rsidR="00CA7C78" w:rsidRPr="16D22437">
        <w:rPr>
          <w:lang w:eastAsia="ja-JP"/>
        </w:rPr>
        <w:t>There were nine process of care events, one of which was a historical event. Three of these were SAC 1 events.</w:t>
      </w:r>
    </w:p>
    <w:p w14:paraId="4F83EA98" w14:textId="25D2C84A" w:rsidR="00CA7C78" w:rsidRDefault="00CA7C78" w:rsidP="00C05445">
      <w:r w:rsidRPr="16D22437">
        <w:rPr>
          <w:rStyle w:val="hgkelc"/>
          <w:rFonts w:ascii="Arial" w:hAnsi="Arial" w:cs="Arial"/>
        </w:rPr>
        <w:t xml:space="preserve">Patient ethnicity:  </w:t>
      </w:r>
      <w:r w:rsidR="00162EA9">
        <w:t xml:space="preserve">Māori (n=2), MELAA (n=1), </w:t>
      </w:r>
      <w:r w:rsidRPr="16D22437">
        <w:t xml:space="preserve">European (n=6)  </w:t>
      </w:r>
    </w:p>
    <w:p w14:paraId="12CBA323" w14:textId="2D33D55B" w:rsidR="00CA7C78" w:rsidRDefault="00CA7C78" w:rsidP="00540569">
      <w:pPr>
        <w:pStyle w:val="Figure"/>
      </w:pPr>
      <w:r>
        <w:t xml:space="preserve">Table </w:t>
      </w:r>
      <w:r>
        <w:fldChar w:fldCharType="begin"/>
      </w:r>
      <w:r>
        <w:instrText>SEQ Table \* ARABIC</w:instrText>
      </w:r>
      <w:r>
        <w:fldChar w:fldCharType="separate"/>
      </w:r>
      <w:r w:rsidR="00392FC2">
        <w:rPr>
          <w:noProof/>
        </w:rPr>
        <w:t>8</w:t>
      </w:r>
      <w:r>
        <w:fldChar w:fldCharType="end"/>
      </w:r>
      <w:r>
        <w:t xml:space="preserve">: Process of care </w:t>
      </w:r>
      <w:r w:rsidRPr="00AA232F">
        <w:t>events 1 July 2023 to 30 June 2024</w:t>
      </w:r>
    </w:p>
    <w:tbl>
      <w:tblPr>
        <w:tblStyle w:val="TeWhatuOra"/>
        <w:tblW w:w="5000" w:type="pct"/>
        <w:tblLook w:val="04A0" w:firstRow="1" w:lastRow="0" w:firstColumn="1" w:lastColumn="0" w:noHBand="0" w:noVBand="1"/>
      </w:tblPr>
      <w:tblGrid>
        <w:gridCol w:w="1117"/>
        <w:gridCol w:w="8521"/>
      </w:tblGrid>
      <w:tr w:rsidR="00DA61C7" w:rsidRPr="00C05445" w14:paraId="5091108B" w14:textId="77777777" w:rsidTr="00855B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17" w:type="dxa"/>
            <w:tcBorders>
              <w:top w:val="single" w:sz="4" w:space="0" w:color="003399" w:themeColor="accent3"/>
              <w:bottom w:val="single" w:sz="4" w:space="0" w:color="003399" w:themeColor="accent3"/>
              <w:right w:val="single" w:sz="4" w:space="0" w:color="003399" w:themeColor="accent3"/>
            </w:tcBorders>
          </w:tcPr>
          <w:p w14:paraId="7683D354" w14:textId="6898FBA4" w:rsidR="00DA61C7" w:rsidRPr="00855B0F" w:rsidRDefault="00855B0F" w:rsidP="00494D8B">
            <w:pPr>
              <w:spacing w:before="0" w:after="160" w:line="259" w:lineRule="auto"/>
              <w:rPr>
                <w:bCs/>
              </w:rPr>
            </w:pPr>
            <w:r w:rsidRPr="00855B0F">
              <w:rPr>
                <w:bCs/>
              </w:rPr>
              <w:t>Number</w:t>
            </w:r>
          </w:p>
        </w:tc>
        <w:tc>
          <w:tcPr>
            <w:tcW w:w="8521" w:type="dxa"/>
            <w:tcBorders>
              <w:top w:val="single" w:sz="4" w:space="0" w:color="003399" w:themeColor="accent3"/>
              <w:left w:val="single" w:sz="4" w:space="0" w:color="003399" w:themeColor="accent3"/>
              <w:bottom w:val="single" w:sz="4" w:space="0" w:color="003399" w:themeColor="accent3"/>
            </w:tcBorders>
          </w:tcPr>
          <w:p w14:paraId="293E27FE" w14:textId="61AF15C0" w:rsidR="00DA61C7" w:rsidRPr="00C05445" w:rsidRDefault="00855B0F" w:rsidP="00494D8B">
            <w:pPr>
              <w:spacing w:before="0" w:after="160" w:line="259" w:lineRule="auto"/>
              <w:cnfStyle w:val="100000000000" w:firstRow="1" w:lastRow="0" w:firstColumn="0" w:lastColumn="0" w:oddVBand="0" w:evenVBand="0" w:oddHBand="0" w:evenHBand="0" w:firstRowFirstColumn="0" w:firstRowLastColumn="0" w:lastRowFirstColumn="0" w:lastRowLastColumn="0"/>
            </w:pPr>
            <w:r>
              <w:t>Event summaries</w:t>
            </w:r>
          </w:p>
        </w:tc>
      </w:tr>
      <w:tr w:rsidR="00CA7C78" w:rsidRPr="00C05445" w14:paraId="3B3930CC" w14:textId="77777777" w:rsidTr="00DA61C7">
        <w:tc>
          <w:tcPr>
            <w:cnfStyle w:val="001000000000" w:firstRow="0" w:lastRow="0" w:firstColumn="1" w:lastColumn="0" w:oddVBand="0" w:evenVBand="0" w:oddHBand="0" w:evenHBand="0" w:firstRowFirstColumn="0" w:firstRowLastColumn="0" w:lastRowFirstColumn="0" w:lastRowLastColumn="0"/>
            <w:tcW w:w="1117" w:type="dxa"/>
            <w:tcBorders>
              <w:top w:val="single" w:sz="4" w:space="0" w:color="003399" w:themeColor="accent3"/>
            </w:tcBorders>
          </w:tcPr>
          <w:p w14:paraId="68347318" w14:textId="77777777" w:rsidR="00CA7C78" w:rsidRPr="00CA7C78" w:rsidRDefault="00CA7C78" w:rsidP="00721621">
            <w:r w:rsidRPr="00CA7C78">
              <w:t>2</w:t>
            </w:r>
          </w:p>
        </w:tc>
        <w:tc>
          <w:tcPr>
            <w:tcW w:w="8521" w:type="dxa"/>
            <w:tcBorders>
              <w:top w:val="single" w:sz="4" w:space="0" w:color="003399" w:themeColor="accent3"/>
            </w:tcBorders>
          </w:tcPr>
          <w:p w14:paraId="3F304E50" w14:textId="77777777" w:rsidR="00CA7C78" w:rsidRPr="00CA7C78" w:rsidRDefault="00CA7C78" w:rsidP="00721621">
            <w:pPr>
              <w:cnfStyle w:val="000000000000" w:firstRow="0" w:lastRow="0" w:firstColumn="0" w:lastColumn="0" w:oddVBand="0" w:evenVBand="0" w:oddHBand="0" w:evenHBand="0" w:firstRowFirstColumn="0" w:firstRowLastColumn="0" w:lastRowFirstColumn="0" w:lastRowLastColumn="0"/>
            </w:pPr>
            <w:r w:rsidRPr="00CA7C78">
              <w:t>Two events related to processes for ordering and reporting laboratory results</w:t>
            </w:r>
          </w:p>
        </w:tc>
      </w:tr>
      <w:tr w:rsidR="00CA7C78" w:rsidRPr="00C05445" w14:paraId="2B44DEA8" w14:textId="77777777" w:rsidTr="00DA61C7">
        <w:tc>
          <w:tcPr>
            <w:cnfStyle w:val="001000000000" w:firstRow="0" w:lastRow="0" w:firstColumn="1" w:lastColumn="0" w:oddVBand="0" w:evenVBand="0" w:oddHBand="0" w:evenHBand="0" w:firstRowFirstColumn="0" w:firstRowLastColumn="0" w:lastRowFirstColumn="0" w:lastRowLastColumn="0"/>
            <w:tcW w:w="1117" w:type="dxa"/>
          </w:tcPr>
          <w:p w14:paraId="1C11E4DE" w14:textId="77777777" w:rsidR="00CA7C78" w:rsidRPr="00CA7C78" w:rsidRDefault="00CA7C78" w:rsidP="00721621">
            <w:r w:rsidRPr="00CA7C78">
              <w:t>2</w:t>
            </w:r>
          </w:p>
        </w:tc>
        <w:tc>
          <w:tcPr>
            <w:tcW w:w="8521" w:type="dxa"/>
          </w:tcPr>
          <w:p w14:paraId="7585DB8E" w14:textId="77777777" w:rsidR="00CA7C78" w:rsidRPr="00CA7C78" w:rsidRDefault="00CA7C78" w:rsidP="00721621">
            <w:pPr>
              <w:cnfStyle w:val="000000000000" w:firstRow="0" w:lastRow="0" w:firstColumn="0" w:lastColumn="0" w:oddVBand="0" w:evenVBand="0" w:oddHBand="0" w:evenHBand="0" w:firstRowFirstColumn="0" w:firstRowLastColumn="0" w:lastRowFirstColumn="0" w:lastRowLastColumn="0"/>
            </w:pPr>
            <w:r w:rsidRPr="00CA7C78">
              <w:t>Two events involved management of food and fluid intake</w:t>
            </w:r>
          </w:p>
        </w:tc>
      </w:tr>
      <w:tr w:rsidR="00CA7C78" w:rsidRPr="00C05445" w14:paraId="511E22D6" w14:textId="77777777" w:rsidTr="00DA61C7">
        <w:tc>
          <w:tcPr>
            <w:cnfStyle w:val="001000000000" w:firstRow="0" w:lastRow="0" w:firstColumn="1" w:lastColumn="0" w:oddVBand="0" w:evenVBand="0" w:oddHBand="0" w:evenHBand="0" w:firstRowFirstColumn="0" w:firstRowLastColumn="0" w:lastRowFirstColumn="0" w:lastRowLastColumn="0"/>
            <w:tcW w:w="1117" w:type="dxa"/>
          </w:tcPr>
          <w:p w14:paraId="0C1EA77B" w14:textId="77777777" w:rsidR="00CA7C78" w:rsidRPr="00CA7C78" w:rsidRDefault="00CA7C78" w:rsidP="00721621">
            <w:r w:rsidRPr="00CA7C78">
              <w:t>2</w:t>
            </w:r>
          </w:p>
        </w:tc>
        <w:tc>
          <w:tcPr>
            <w:tcW w:w="8521" w:type="dxa"/>
          </w:tcPr>
          <w:p w14:paraId="0F0BC200" w14:textId="77777777" w:rsidR="00CA7C78" w:rsidRPr="00CA7C78" w:rsidRDefault="00CA7C78" w:rsidP="00721621">
            <w:pPr>
              <w:cnfStyle w:val="000000000000" w:firstRow="0" w:lastRow="0" w:firstColumn="0" w:lastColumn="0" w:oddVBand="0" w:evenVBand="0" w:oddHBand="0" w:evenHBand="0" w:firstRowFirstColumn="0" w:firstRowLastColumn="0" w:lastRowFirstColumn="0" w:lastRowLastColumn="0"/>
            </w:pPr>
            <w:r w:rsidRPr="00CA7C78">
              <w:t>Two events related to communication issues with external providers</w:t>
            </w:r>
          </w:p>
        </w:tc>
      </w:tr>
      <w:tr w:rsidR="00CA7C78" w:rsidRPr="00C05445" w14:paraId="5E84F230" w14:textId="77777777" w:rsidTr="00DA61C7">
        <w:tc>
          <w:tcPr>
            <w:cnfStyle w:val="001000000000" w:firstRow="0" w:lastRow="0" w:firstColumn="1" w:lastColumn="0" w:oddVBand="0" w:evenVBand="0" w:oddHBand="0" w:evenHBand="0" w:firstRowFirstColumn="0" w:firstRowLastColumn="0" w:lastRowFirstColumn="0" w:lastRowLastColumn="0"/>
            <w:tcW w:w="1117" w:type="dxa"/>
          </w:tcPr>
          <w:p w14:paraId="0C2B455C" w14:textId="77777777" w:rsidR="00CA7C78" w:rsidRPr="00CA7C78" w:rsidRDefault="00CA7C78" w:rsidP="00721621">
            <w:r w:rsidRPr="00CA7C78">
              <w:t>1</w:t>
            </w:r>
          </w:p>
        </w:tc>
        <w:tc>
          <w:tcPr>
            <w:tcW w:w="8521" w:type="dxa"/>
          </w:tcPr>
          <w:p w14:paraId="73109730" w14:textId="77777777" w:rsidR="00CA7C78" w:rsidRPr="00CA7C78" w:rsidRDefault="00CA7C78" w:rsidP="00721621">
            <w:pPr>
              <w:cnfStyle w:val="000000000000" w:firstRow="0" w:lastRow="0" w:firstColumn="0" w:lastColumn="0" w:oddVBand="0" w:evenVBand="0" w:oddHBand="0" w:evenHBand="0" w:firstRowFirstColumn="0" w:firstRowLastColumn="0" w:lastRowFirstColumn="0" w:lastRowLastColumn="0"/>
            </w:pPr>
            <w:r w:rsidRPr="00CA7C78">
              <w:t>One event related to support available for a patient</w:t>
            </w:r>
          </w:p>
        </w:tc>
      </w:tr>
      <w:tr w:rsidR="00CA7C78" w:rsidRPr="00C05445" w14:paraId="0C24D703" w14:textId="77777777" w:rsidTr="00DA61C7">
        <w:tc>
          <w:tcPr>
            <w:cnfStyle w:val="001000000000" w:firstRow="0" w:lastRow="0" w:firstColumn="1" w:lastColumn="0" w:oddVBand="0" w:evenVBand="0" w:oddHBand="0" w:evenHBand="0" w:firstRowFirstColumn="0" w:firstRowLastColumn="0" w:lastRowFirstColumn="0" w:lastRowLastColumn="0"/>
            <w:tcW w:w="1117" w:type="dxa"/>
          </w:tcPr>
          <w:p w14:paraId="2D4C0F0E" w14:textId="77777777" w:rsidR="00CA7C78" w:rsidRPr="00CA7C78" w:rsidRDefault="00CA7C78" w:rsidP="00721621">
            <w:r w:rsidRPr="00CA7C78">
              <w:t>1</w:t>
            </w:r>
          </w:p>
        </w:tc>
        <w:tc>
          <w:tcPr>
            <w:tcW w:w="8521" w:type="dxa"/>
          </w:tcPr>
          <w:p w14:paraId="59EA49FA" w14:textId="77777777" w:rsidR="00CA7C78" w:rsidRPr="00CA7C78" w:rsidRDefault="00CA7C78" w:rsidP="00721621">
            <w:pPr>
              <w:cnfStyle w:val="000000000000" w:firstRow="0" w:lastRow="0" w:firstColumn="0" w:lastColumn="0" w:oddVBand="0" w:evenVBand="0" w:oddHBand="0" w:evenHBand="0" w:firstRowFirstColumn="0" w:firstRowLastColumn="0" w:lastRowFirstColumn="0" w:lastRowLastColumn="0"/>
            </w:pPr>
            <w:r w:rsidRPr="00CA7C78">
              <w:t>One event related to processes around assessment and discharge</w:t>
            </w:r>
          </w:p>
        </w:tc>
      </w:tr>
      <w:tr w:rsidR="00CA7C78" w:rsidRPr="00C05445" w14:paraId="1B7A13A1" w14:textId="77777777" w:rsidTr="00DA61C7">
        <w:tc>
          <w:tcPr>
            <w:cnfStyle w:val="001000000000" w:firstRow="0" w:lastRow="0" w:firstColumn="1" w:lastColumn="0" w:oddVBand="0" w:evenVBand="0" w:oddHBand="0" w:evenHBand="0" w:firstRowFirstColumn="0" w:firstRowLastColumn="0" w:lastRowFirstColumn="0" w:lastRowLastColumn="0"/>
            <w:tcW w:w="1117" w:type="dxa"/>
          </w:tcPr>
          <w:p w14:paraId="7C5943BC" w14:textId="77777777" w:rsidR="00CA7C78" w:rsidRPr="00CA7C78" w:rsidRDefault="00CA7C78" w:rsidP="00721621">
            <w:r w:rsidRPr="00CA7C78">
              <w:t>1</w:t>
            </w:r>
          </w:p>
        </w:tc>
        <w:tc>
          <w:tcPr>
            <w:tcW w:w="8521" w:type="dxa"/>
          </w:tcPr>
          <w:p w14:paraId="0788859A" w14:textId="77777777" w:rsidR="00CA7C78" w:rsidRPr="00CA7C78" w:rsidRDefault="00CA7C78" w:rsidP="00721621">
            <w:pPr>
              <w:cnfStyle w:val="000000000000" w:firstRow="0" w:lastRow="0" w:firstColumn="0" w:lastColumn="0" w:oddVBand="0" w:evenVBand="0" w:oddHBand="0" w:evenHBand="0" w:firstRowFirstColumn="0" w:firstRowLastColumn="0" w:lastRowFirstColumn="0" w:lastRowLastColumn="0"/>
            </w:pPr>
            <w:r w:rsidRPr="00CA7C78">
              <w:t>One event related to non-medication-based pain relief</w:t>
            </w:r>
          </w:p>
        </w:tc>
      </w:tr>
    </w:tbl>
    <w:p w14:paraId="354FC12F" w14:textId="77777777" w:rsidR="007E12E3" w:rsidRDefault="007E12E3" w:rsidP="007E12E3">
      <w:pPr>
        <w:spacing w:before="0" w:after="160" w:line="259" w:lineRule="auto"/>
      </w:pPr>
    </w:p>
    <w:p w14:paraId="4FB2FCAB" w14:textId="77777777" w:rsidR="007E12E3" w:rsidRPr="0021771E" w:rsidRDefault="00CA7C78" w:rsidP="007E12E3">
      <w:pPr>
        <w:pStyle w:val="Box"/>
        <w:shd w:val="clear" w:color="auto" w:fill="F6F4EC" w:themeFill="background2"/>
        <w:rPr>
          <w:b/>
          <w:bCs/>
        </w:rPr>
      </w:pPr>
      <w:r>
        <w:rPr>
          <w:b/>
          <w:bCs/>
        </w:rPr>
        <w:t>What we are doing to reduce patient harm due to process of care events:</w:t>
      </w:r>
    </w:p>
    <w:p w14:paraId="209408BC" w14:textId="77777777" w:rsidR="007E12E3" w:rsidRDefault="00CA7C78" w:rsidP="007E12E3">
      <w:pPr>
        <w:pStyle w:val="BoxBullet"/>
        <w:shd w:val="clear" w:color="auto" w:fill="F6F4EC" w:themeFill="background2"/>
      </w:pPr>
      <w:r>
        <w:t>There have been improvements made to the reporting of urgent CT scans at Hutt Hospital. This includes overnight reporting cover from an external provider with access to an on-call radiologist</w:t>
      </w:r>
    </w:p>
    <w:p w14:paraId="6A1FDB40" w14:textId="77777777" w:rsidR="007E12E3" w:rsidRDefault="000B225D" w:rsidP="007E12E3">
      <w:pPr>
        <w:pStyle w:val="BoxBullet"/>
        <w:shd w:val="clear" w:color="auto" w:fill="F6F4EC" w:themeFill="background2"/>
      </w:pPr>
      <w:r>
        <w:t>Investigation</w:t>
      </w:r>
      <w:r w:rsidR="00CA7C78">
        <w:t xml:space="preserve"> of options for safe provision </w:t>
      </w:r>
      <w:r>
        <w:t>of heat therapy for pain relief is underway</w:t>
      </w:r>
    </w:p>
    <w:p w14:paraId="632B26FA" w14:textId="77777777" w:rsidR="000B225D" w:rsidRDefault="000B225D" w:rsidP="007E12E3">
      <w:pPr>
        <w:pStyle w:val="BoxBullet"/>
        <w:shd w:val="clear" w:color="auto" w:fill="F6F4EC" w:themeFill="background2"/>
      </w:pPr>
      <w:r>
        <w:t>We continue to advocate for information and communication technology (ICT) local and national improvements, escalating through HNZ | Te Whatu Ora governance structures as needed</w:t>
      </w:r>
    </w:p>
    <w:p w14:paraId="098320E9" w14:textId="77777777" w:rsidR="007E12E3" w:rsidRDefault="000B225D" w:rsidP="007E12E3">
      <w:pPr>
        <w:pStyle w:val="BoxBullet"/>
        <w:shd w:val="clear" w:color="auto" w:fill="F6F4EC" w:themeFill="background2"/>
      </w:pPr>
      <w:r>
        <w:t xml:space="preserve">A project </w:t>
      </w:r>
      <w:r w:rsidR="00531AC9">
        <w:t>is underway</w:t>
      </w:r>
      <w:r>
        <w:t xml:space="preserve"> to review and redesign patient care plans and assessments</w:t>
      </w:r>
    </w:p>
    <w:p w14:paraId="06924731" w14:textId="77777777" w:rsidR="000B225D" w:rsidRDefault="000B225D" w:rsidP="007E12E3">
      <w:pPr>
        <w:pStyle w:val="BoxBullet"/>
        <w:shd w:val="clear" w:color="auto" w:fill="F6F4EC" w:themeFill="background2"/>
      </w:pPr>
      <w:r>
        <w:t>There has been targeted education for clinical staff on caring for patients with swallowing concerns</w:t>
      </w:r>
    </w:p>
    <w:p w14:paraId="34C1CD49" w14:textId="77777777" w:rsidR="00494D8B" w:rsidRDefault="00494D8B" w:rsidP="00C05445"/>
    <w:p w14:paraId="09ED42FD" w14:textId="77777777" w:rsidR="00C60DCC" w:rsidRDefault="00C60DCC" w:rsidP="00C05445"/>
    <w:p w14:paraId="6E2F92BD" w14:textId="77777777" w:rsidR="00531AC9" w:rsidRDefault="00531AC9" w:rsidP="00C05445"/>
    <w:p w14:paraId="321D4AA8" w14:textId="77777777" w:rsidR="00531AC9" w:rsidRDefault="00531AC9" w:rsidP="00C05445"/>
    <w:p w14:paraId="28C5DB63" w14:textId="77777777" w:rsidR="007B75CA" w:rsidRPr="007B75CA" w:rsidRDefault="007B75CA" w:rsidP="007B75CA">
      <w:pPr>
        <w:pStyle w:val="Heading2"/>
        <w:rPr>
          <w:rFonts w:ascii="Segoe UI" w:eastAsia="Times New Roman" w:hAnsi="Segoe UI" w:cs="Segoe UI"/>
          <w:sz w:val="18"/>
          <w:szCs w:val="18"/>
          <w:lang w:eastAsia="en-NZ"/>
        </w:rPr>
      </w:pPr>
      <w:bookmarkStart w:id="16" w:name="_Toc209611235"/>
      <w:r w:rsidRPr="007B75CA">
        <w:rPr>
          <w:rFonts w:eastAsia="Times New Roman"/>
          <w:lang w:eastAsia="en-NZ"/>
        </w:rPr>
        <w:lastRenderedPageBreak/>
        <w:t>Documentation</w:t>
      </w:r>
      <w:bookmarkEnd w:id="16"/>
      <w:r w:rsidRPr="007B75CA">
        <w:rPr>
          <w:rFonts w:eastAsia="Times New Roman"/>
          <w:lang w:eastAsia="en-NZ"/>
        </w:rPr>
        <w:t> </w:t>
      </w:r>
    </w:p>
    <w:p w14:paraId="497E1BF6" w14:textId="77777777" w:rsidR="007B75CA" w:rsidRPr="007B75CA" w:rsidRDefault="007B75CA" w:rsidP="007B75CA">
      <w:pPr>
        <w:rPr>
          <w:rFonts w:ascii="Segoe UI" w:hAnsi="Segoe UI" w:cs="Segoe UI"/>
          <w:sz w:val="18"/>
          <w:szCs w:val="18"/>
          <w:lang w:eastAsia="en-NZ"/>
        </w:rPr>
      </w:pPr>
      <w:r w:rsidRPr="007B75CA">
        <w:rPr>
          <w:lang w:eastAsia="en-NZ"/>
        </w:rPr>
        <w:t>There were two SAC 2 events related to documentation.  </w:t>
      </w:r>
    </w:p>
    <w:p w14:paraId="060392A6" w14:textId="77777777" w:rsidR="007B75CA" w:rsidRPr="007B75CA" w:rsidRDefault="007B75CA" w:rsidP="00C05445">
      <w:pPr>
        <w:rPr>
          <w:rFonts w:ascii="Segoe UI" w:hAnsi="Segoe UI" w:cs="Segoe UI"/>
          <w:sz w:val="18"/>
          <w:szCs w:val="18"/>
          <w:lang w:eastAsia="en-NZ"/>
        </w:rPr>
      </w:pPr>
      <w:r w:rsidRPr="007B75CA">
        <w:rPr>
          <w:lang w:eastAsia="en-NZ"/>
        </w:rPr>
        <w:t>Patient ethnicity: Māori (n=1) Pacific peoples (n=1) </w:t>
      </w:r>
    </w:p>
    <w:p w14:paraId="521D9B75" w14:textId="093FE729" w:rsidR="009330CD" w:rsidRDefault="009330CD" w:rsidP="00540569">
      <w:pPr>
        <w:pStyle w:val="Figure"/>
      </w:pPr>
      <w:r>
        <w:t xml:space="preserve">Table </w:t>
      </w:r>
      <w:r>
        <w:fldChar w:fldCharType="begin"/>
      </w:r>
      <w:r>
        <w:instrText>SEQ Table \* ARABIC</w:instrText>
      </w:r>
      <w:r>
        <w:fldChar w:fldCharType="separate"/>
      </w:r>
      <w:r w:rsidR="00392FC2">
        <w:rPr>
          <w:noProof/>
        </w:rPr>
        <w:t>9</w:t>
      </w:r>
      <w:r>
        <w:fldChar w:fldCharType="end"/>
      </w:r>
      <w:r>
        <w:t xml:space="preserve">: Documentation </w:t>
      </w:r>
      <w:r w:rsidRPr="007825C1">
        <w:t>events 1 July 2023 to 30 June 2024</w:t>
      </w:r>
    </w:p>
    <w:tbl>
      <w:tblPr>
        <w:tblStyle w:val="TeWhatuOra"/>
        <w:tblW w:w="9639" w:type="dxa"/>
        <w:tblLook w:val="04A0" w:firstRow="1" w:lastRow="0" w:firstColumn="1" w:lastColumn="0" w:noHBand="0" w:noVBand="1"/>
      </w:tblPr>
      <w:tblGrid>
        <w:gridCol w:w="1117"/>
        <w:gridCol w:w="8522"/>
      </w:tblGrid>
      <w:tr w:rsidR="00DA61C7" w:rsidRPr="00C05445" w14:paraId="7243444B" w14:textId="77777777" w:rsidTr="00855B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17" w:type="dxa"/>
            <w:tcBorders>
              <w:top w:val="single" w:sz="4" w:space="0" w:color="003399" w:themeColor="accent3"/>
              <w:bottom w:val="single" w:sz="4" w:space="0" w:color="003399" w:themeColor="accent3"/>
              <w:right w:val="single" w:sz="4" w:space="0" w:color="003399" w:themeColor="accent3"/>
            </w:tcBorders>
          </w:tcPr>
          <w:p w14:paraId="3901F61C" w14:textId="3E8CC879" w:rsidR="00DA61C7" w:rsidRPr="00855B0F" w:rsidRDefault="00855B0F" w:rsidP="009330CD">
            <w:pPr>
              <w:spacing w:before="0" w:after="160" w:line="259" w:lineRule="auto"/>
              <w:rPr>
                <w:bCs/>
              </w:rPr>
            </w:pPr>
            <w:r>
              <w:rPr>
                <w:bCs/>
              </w:rPr>
              <w:t>Number</w:t>
            </w:r>
          </w:p>
        </w:tc>
        <w:tc>
          <w:tcPr>
            <w:tcW w:w="8522" w:type="dxa"/>
            <w:tcBorders>
              <w:top w:val="single" w:sz="4" w:space="0" w:color="003399" w:themeColor="accent3"/>
              <w:left w:val="single" w:sz="4" w:space="0" w:color="003399" w:themeColor="accent3"/>
              <w:bottom w:val="single" w:sz="4" w:space="0" w:color="003399" w:themeColor="accent3"/>
            </w:tcBorders>
          </w:tcPr>
          <w:p w14:paraId="54E1B756" w14:textId="05813FC9" w:rsidR="00DA61C7" w:rsidRPr="00C05445" w:rsidRDefault="00855B0F" w:rsidP="009330CD">
            <w:pPr>
              <w:spacing w:before="0" w:after="160" w:line="259" w:lineRule="auto"/>
              <w:cnfStyle w:val="100000000000" w:firstRow="1" w:lastRow="0" w:firstColumn="0" w:lastColumn="0" w:oddVBand="0" w:evenVBand="0" w:oddHBand="0" w:evenHBand="0" w:firstRowFirstColumn="0" w:firstRowLastColumn="0" w:lastRowFirstColumn="0" w:lastRowLastColumn="0"/>
            </w:pPr>
            <w:r>
              <w:t>Event summaries</w:t>
            </w:r>
          </w:p>
        </w:tc>
      </w:tr>
      <w:tr w:rsidR="007B75CA" w:rsidRPr="00C05445" w14:paraId="6436ACEE" w14:textId="77777777" w:rsidTr="00DA61C7">
        <w:trPr>
          <w:trHeight w:val="20"/>
        </w:trPr>
        <w:tc>
          <w:tcPr>
            <w:cnfStyle w:val="001000000000" w:firstRow="0" w:lastRow="0" w:firstColumn="1" w:lastColumn="0" w:oddVBand="0" w:evenVBand="0" w:oddHBand="0" w:evenHBand="0" w:firstRowFirstColumn="0" w:firstRowLastColumn="0" w:lastRowFirstColumn="0" w:lastRowLastColumn="0"/>
            <w:tcW w:w="1117" w:type="dxa"/>
            <w:tcBorders>
              <w:top w:val="single" w:sz="4" w:space="0" w:color="003399" w:themeColor="accent3"/>
            </w:tcBorders>
          </w:tcPr>
          <w:p w14:paraId="199FDA39" w14:textId="77777777" w:rsidR="007B75CA" w:rsidRPr="00721621" w:rsidRDefault="007B75CA" w:rsidP="00721621">
            <w:r w:rsidRPr="00721621">
              <w:t>2 </w:t>
            </w:r>
          </w:p>
        </w:tc>
        <w:tc>
          <w:tcPr>
            <w:tcW w:w="8522" w:type="dxa"/>
            <w:tcBorders>
              <w:top w:val="single" w:sz="4" w:space="0" w:color="003399" w:themeColor="accent3"/>
            </w:tcBorders>
          </w:tcPr>
          <w:p w14:paraId="2483829E" w14:textId="77777777" w:rsidR="007B75CA" w:rsidRPr="00721621" w:rsidRDefault="007B75CA" w:rsidP="00721621">
            <w:pPr>
              <w:cnfStyle w:val="000000000000" w:firstRow="0" w:lastRow="0" w:firstColumn="0" w:lastColumn="0" w:oddVBand="0" w:evenVBand="0" w:oddHBand="0" w:evenHBand="0" w:firstRowFirstColumn="0" w:firstRowLastColumn="0" w:lastRowFirstColumn="0" w:lastRowLastColumn="0"/>
            </w:pPr>
            <w:r w:rsidRPr="00721621">
              <w:t xml:space="preserve">Two events </w:t>
            </w:r>
            <w:r w:rsidR="00531AC9" w:rsidRPr="00721621">
              <w:t>involved</w:t>
            </w:r>
            <w:r w:rsidRPr="00721621">
              <w:t xml:space="preserve"> gaps in documentation related to a procedure resulting in emotional harm </w:t>
            </w:r>
          </w:p>
        </w:tc>
      </w:tr>
    </w:tbl>
    <w:p w14:paraId="209515E2" w14:textId="77777777" w:rsidR="007B75CA" w:rsidRDefault="007B75CA" w:rsidP="007B75CA">
      <w:pPr>
        <w:spacing w:before="0" w:after="160" w:line="259" w:lineRule="auto"/>
      </w:pPr>
    </w:p>
    <w:p w14:paraId="12753667" w14:textId="77777777" w:rsidR="007B75CA" w:rsidRPr="0021771E" w:rsidRDefault="007B75CA" w:rsidP="007B75CA">
      <w:pPr>
        <w:pStyle w:val="Box"/>
        <w:shd w:val="clear" w:color="auto" w:fill="F6F4EC" w:themeFill="background2"/>
        <w:rPr>
          <w:b/>
          <w:bCs/>
        </w:rPr>
      </w:pPr>
      <w:r>
        <w:rPr>
          <w:b/>
          <w:bCs/>
        </w:rPr>
        <w:t>What we have done to improve the quality of our documentation:</w:t>
      </w:r>
    </w:p>
    <w:p w14:paraId="35B4C2D8" w14:textId="77777777" w:rsidR="007B75CA" w:rsidRDefault="007B75CA" w:rsidP="007B75CA">
      <w:pPr>
        <w:pStyle w:val="BoxBullet"/>
        <w:shd w:val="clear" w:color="auto" w:fill="F6F4EC" w:themeFill="background2"/>
      </w:pPr>
      <w:r>
        <w:t xml:space="preserve">A </w:t>
      </w:r>
      <w:r w:rsidR="00531AC9">
        <w:t>pre-procedure</w:t>
      </w:r>
      <w:r>
        <w:t xml:space="preserve"> checklist has been reviewed and revised to give more clarity around conversations and documentation requirements before a procedure</w:t>
      </w:r>
    </w:p>
    <w:p w14:paraId="72A39F7F" w14:textId="77777777" w:rsidR="00DC7DE3" w:rsidRDefault="00DC7DE3" w:rsidP="007B75CA">
      <w:pPr>
        <w:pStyle w:val="BoxBullet"/>
        <w:shd w:val="clear" w:color="auto" w:fill="F6F4EC" w:themeFill="background2"/>
      </w:pPr>
      <w:r>
        <w:t>The district wide Medical Records (electronic and hard copy) Content and Documentation Policy is currently under review. This will clarify the organisations obligations and encourage robust documentation</w:t>
      </w:r>
    </w:p>
    <w:p w14:paraId="0A2AD2D6" w14:textId="77777777" w:rsidR="007B75CA" w:rsidRDefault="00C60DCC" w:rsidP="007B75CA">
      <w:r>
        <w:br w:type="page"/>
      </w:r>
    </w:p>
    <w:p w14:paraId="27E70D6C" w14:textId="77777777" w:rsidR="007B75CA" w:rsidRPr="007B75CA" w:rsidRDefault="007B75CA" w:rsidP="007B75CA">
      <w:pPr>
        <w:pStyle w:val="Heading2"/>
        <w:rPr>
          <w:rFonts w:ascii="Segoe UI" w:eastAsia="Times New Roman" w:hAnsi="Segoe UI" w:cs="Segoe UI"/>
          <w:sz w:val="18"/>
          <w:szCs w:val="18"/>
          <w:lang w:eastAsia="en-NZ"/>
        </w:rPr>
      </w:pPr>
      <w:bookmarkStart w:id="17" w:name="_Toc209611236"/>
      <w:r w:rsidRPr="007B75CA">
        <w:rPr>
          <w:rFonts w:eastAsia="Times New Roman"/>
          <w:lang w:eastAsia="en-NZ"/>
        </w:rPr>
        <w:lastRenderedPageBreak/>
        <w:t>Healthcare associated infection (HAI)</w:t>
      </w:r>
      <w:bookmarkEnd w:id="17"/>
      <w:r w:rsidRPr="007B75CA">
        <w:rPr>
          <w:rFonts w:eastAsia="Times New Roman"/>
          <w:lang w:eastAsia="en-NZ"/>
        </w:rPr>
        <w:t> </w:t>
      </w:r>
    </w:p>
    <w:p w14:paraId="65FAAC1E" w14:textId="77777777" w:rsidR="007B75CA" w:rsidRPr="007B75CA" w:rsidRDefault="007B75CA" w:rsidP="007B75CA">
      <w:pPr>
        <w:rPr>
          <w:rFonts w:ascii="Segoe UI" w:hAnsi="Segoe UI" w:cs="Segoe UI"/>
          <w:sz w:val="18"/>
          <w:szCs w:val="18"/>
          <w:lang w:eastAsia="en-NZ"/>
        </w:rPr>
      </w:pPr>
      <w:r w:rsidRPr="007B75CA">
        <w:rPr>
          <w:lang w:eastAsia="en-NZ"/>
        </w:rPr>
        <w:t>There was one SAC 2 healthcare associated infection event.  </w:t>
      </w:r>
    </w:p>
    <w:p w14:paraId="5CA9EA77" w14:textId="77777777" w:rsidR="00494D8B" w:rsidRPr="007B75CA" w:rsidRDefault="007B75CA" w:rsidP="00C05445">
      <w:pPr>
        <w:rPr>
          <w:rFonts w:ascii="Segoe UI" w:hAnsi="Segoe UI" w:cs="Segoe UI"/>
          <w:sz w:val="18"/>
          <w:szCs w:val="18"/>
          <w:lang w:eastAsia="en-NZ"/>
        </w:rPr>
      </w:pPr>
      <w:r w:rsidRPr="007B75CA">
        <w:rPr>
          <w:lang w:eastAsia="en-NZ"/>
        </w:rPr>
        <w:t>Patient ethnicity: European (n=1) </w:t>
      </w:r>
    </w:p>
    <w:p w14:paraId="7D94C2D3" w14:textId="60FB21E9" w:rsidR="009330CD" w:rsidRDefault="009330CD" w:rsidP="00540569">
      <w:pPr>
        <w:pStyle w:val="Figure"/>
      </w:pPr>
      <w:r>
        <w:t xml:space="preserve">Table </w:t>
      </w:r>
      <w:r>
        <w:fldChar w:fldCharType="begin"/>
      </w:r>
      <w:r>
        <w:instrText>SEQ Table \* ARABIC</w:instrText>
      </w:r>
      <w:r>
        <w:fldChar w:fldCharType="separate"/>
      </w:r>
      <w:r w:rsidR="00392FC2">
        <w:rPr>
          <w:noProof/>
        </w:rPr>
        <w:t>10</w:t>
      </w:r>
      <w:r>
        <w:fldChar w:fldCharType="end"/>
      </w:r>
      <w:r>
        <w:t xml:space="preserve">: HAI </w:t>
      </w:r>
      <w:r w:rsidRPr="00FD09BA">
        <w:t>events 1 July 2023 to 30 June 2024</w:t>
      </w:r>
    </w:p>
    <w:tbl>
      <w:tblPr>
        <w:tblStyle w:val="TeWhatuOra"/>
        <w:tblW w:w="9639" w:type="dxa"/>
        <w:tblLook w:val="04A0" w:firstRow="1" w:lastRow="0" w:firstColumn="1" w:lastColumn="0" w:noHBand="0" w:noVBand="1"/>
      </w:tblPr>
      <w:tblGrid>
        <w:gridCol w:w="1117"/>
        <w:gridCol w:w="8522"/>
      </w:tblGrid>
      <w:tr w:rsidR="005F68AF" w:rsidRPr="00C05445" w14:paraId="43EBE62B" w14:textId="77777777" w:rsidTr="00855B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17" w:type="dxa"/>
            <w:tcBorders>
              <w:top w:val="single" w:sz="4" w:space="0" w:color="003399" w:themeColor="accent3"/>
              <w:bottom w:val="single" w:sz="4" w:space="0" w:color="003399" w:themeColor="accent3"/>
              <w:right w:val="single" w:sz="4" w:space="0" w:color="003399" w:themeColor="accent3"/>
            </w:tcBorders>
          </w:tcPr>
          <w:p w14:paraId="3C04DDA3" w14:textId="7129CB71" w:rsidR="005F68AF" w:rsidRPr="00855B0F" w:rsidRDefault="00855B0F" w:rsidP="00494D8B">
            <w:pPr>
              <w:spacing w:before="0" w:after="160" w:line="259" w:lineRule="auto"/>
              <w:rPr>
                <w:bCs/>
              </w:rPr>
            </w:pPr>
            <w:r>
              <w:rPr>
                <w:bCs/>
              </w:rPr>
              <w:t>Number</w:t>
            </w:r>
          </w:p>
        </w:tc>
        <w:tc>
          <w:tcPr>
            <w:tcW w:w="8522" w:type="dxa"/>
            <w:tcBorders>
              <w:top w:val="single" w:sz="4" w:space="0" w:color="003399" w:themeColor="accent3"/>
              <w:left w:val="single" w:sz="4" w:space="0" w:color="003399" w:themeColor="accent3"/>
              <w:bottom w:val="single" w:sz="4" w:space="0" w:color="003399" w:themeColor="accent3"/>
            </w:tcBorders>
          </w:tcPr>
          <w:p w14:paraId="4F03128F" w14:textId="0C181B9F" w:rsidR="005F68AF" w:rsidRPr="00C05445" w:rsidRDefault="00855B0F" w:rsidP="00494D8B">
            <w:pPr>
              <w:spacing w:before="0" w:after="160" w:line="259" w:lineRule="auto"/>
              <w:cnfStyle w:val="100000000000" w:firstRow="1" w:lastRow="0" w:firstColumn="0" w:lastColumn="0" w:oddVBand="0" w:evenVBand="0" w:oddHBand="0" w:evenHBand="0" w:firstRowFirstColumn="0" w:firstRowLastColumn="0" w:lastRowFirstColumn="0" w:lastRowLastColumn="0"/>
            </w:pPr>
            <w:r>
              <w:t>Event summaries</w:t>
            </w:r>
          </w:p>
        </w:tc>
      </w:tr>
      <w:tr w:rsidR="007B75CA" w:rsidRPr="00C05445" w14:paraId="48415BB3" w14:textId="77777777" w:rsidTr="00DA61C7">
        <w:tc>
          <w:tcPr>
            <w:cnfStyle w:val="001000000000" w:firstRow="0" w:lastRow="0" w:firstColumn="1" w:lastColumn="0" w:oddVBand="0" w:evenVBand="0" w:oddHBand="0" w:evenHBand="0" w:firstRowFirstColumn="0" w:firstRowLastColumn="0" w:lastRowFirstColumn="0" w:lastRowLastColumn="0"/>
            <w:tcW w:w="1117" w:type="dxa"/>
            <w:tcBorders>
              <w:top w:val="single" w:sz="4" w:space="0" w:color="003399" w:themeColor="accent3"/>
            </w:tcBorders>
          </w:tcPr>
          <w:p w14:paraId="4BE9E0E1" w14:textId="77777777" w:rsidR="007B75CA" w:rsidRPr="00721621" w:rsidRDefault="007B75CA" w:rsidP="00721621">
            <w:r w:rsidRPr="00721621">
              <w:t>1 </w:t>
            </w:r>
          </w:p>
        </w:tc>
        <w:tc>
          <w:tcPr>
            <w:tcW w:w="8522" w:type="dxa"/>
            <w:tcBorders>
              <w:top w:val="single" w:sz="4" w:space="0" w:color="003399" w:themeColor="accent3"/>
            </w:tcBorders>
          </w:tcPr>
          <w:p w14:paraId="6664E8BC" w14:textId="77777777" w:rsidR="007B75CA" w:rsidRPr="00721621" w:rsidRDefault="007B75CA" w:rsidP="00721621">
            <w:pPr>
              <w:cnfStyle w:val="000000000000" w:firstRow="0" w:lastRow="0" w:firstColumn="0" w:lastColumn="0" w:oddVBand="0" w:evenVBand="0" w:oddHBand="0" w:evenHBand="0" w:firstRowFirstColumn="0" w:firstRowLastColumn="0" w:lastRowFirstColumn="0" w:lastRowLastColumn="0"/>
            </w:pPr>
            <w:r w:rsidRPr="00721621">
              <w:t>One patient developed an infection from a</w:t>
            </w:r>
            <w:r w:rsidR="00A55B3D" w:rsidRPr="00721621">
              <w:t>n inserted</w:t>
            </w:r>
            <w:r w:rsidRPr="00721621">
              <w:t xml:space="preserve"> </w:t>
            </w:r>
            <w:r w:rsidR="00A55B3D" w:rsidRPr="00721621">
              <w:t>line</w:t>
            </w:r>
          </w:p>
        </w:tc>
      </w:tr>
    </w:tbl>
    <w:p w14:paraId="0E67AEFB" w14:textId="77777777" w:rsidR="007E12E3" w:rsidRDefault="007E12E3" w:rsidP="007E12E3">
      <w:pPr>
        <w:spacing w:before="0" w:after="160" w:line="259" w:lineRule="auto"/>
      </w:pPr>
    </w:p>
    <w:p w14:paraId="3AB09B91" w14:textId="77777777" w:rsidR="007E12E3" w:rsidRPr="0021771E" w:rsidRDefault="007B75CA" w:rsidP="007E12E3">
      <w:pPr>
        <w:pStyle w:val="Box"/>
        <w:shd w:val="clear" w:color="auto" w:fill="F6F4EC" w:themeFill="background2"/>
        <w:rPr>
          <w:b/>
          <w:bCs/>
        </w:rPr>
      </w:pPr>
      <w:r>
        <w:rPr>
          <w:b/>
          <w:bCs/>
        </w:rPr>
        <w:t>What we have done to reduce patient harm from HAI:</w:t>
      </w:r>
    </w:p>
    <w:p w14:paraId="244CCEFD" w14:textId="77777777" w:rsidR="007E12E3" w:rsidRDefault="007B75CA" w:rsidP="007E12E3">
      <w:pPr>
        <w:pStyle w:val="BoxBullet"/>
        <w:shd w:val="clear" w:color="auto" w:fill="F6F4EC" w:themeFill="background2"/>
      </w:pPr>
      <w:r>
        <w:t>New guidelines for the length of time an IV line can remain in place have been implemented</w:t>
      </w:r>
    </w:p>
    <w:p w14:paraId="31AD7410" w14:textId="77777777" w:rsidR="007E12E3" w:rsidRDefault="007B75CA" w:rsidP="009330CD">
      <w:pPr>
        <w:pStyle w:val="BoxBullet"/>
        <w:shd w:val="clear" w:color="auto" w:fill="F6F4EC" w:themeFill="background2"/>
      </w:pPr>
      <w:r>
        <w:t>A new paediatric sepsis pa</w:t>
      </w:r>
      <w:r w:rsidR="009330CD">
        <w:t>thway is being used in</w:t>
      </w:r>
      <w:r w:rsidR="00A55B3D">
        <w:t xml:space="preserve"> both</w:t>
      </w:r>
      <w:r w:rsidR="009330CD">
        <w:t xml:space="preserve"> emergency departments</w:t>
      </w:r>
      <w:r w:rsidR="00A55B3D">
        <w:t xml:space="preserve"> (EDs)</w:t>
      </w:r>
      <w:r w:rsidR="009330CD">
        <w:t xml:space="preserve"> and an adult pathway will be </w:t>
      </w:r>
      <w:r w:rsidR="00A55B3D">
        <w:t>trialled</w:t>
      </w:r>
      <w:r w:rsidR="009330CD">
        <w:t xml:space="preserve"> in the surgical assessment and planning unit (SAPU)</w:t>
      </w:r>
      <w:r w:rsidR="00C733B9">
        <w:t>, Medical Assessment and Pl</w:t>
      </w:r>
      <w:r w:rsidR="00E306AE">
        <w:t>anning Unit (MAPU) and both EDs</w:t>
      </w:r>
    </w:p>
    <w:p w14:paraId="664A4D79" w14:textId="77777777" w:rsidR="00494D8B" w:rsidRDefault="00C60DCC" w:rsidP="00C05445">
      <w:r>
        <w:br w:type="page"/>
      </w:r>
    </w:p>
    <w:p w14:paraId="4B8AF59F" w14:textId="77777777" w:rsidR="009330CD" w:rsidRPr="009330CD" w:rsidRDefault="009330CD" w:rsidP="009330CD">
      <w:pPr>
        <w:pStyle w:val="Heading2"/>
        <w:rPr>
          <w:rFonts w:ascii="Segoe UI" w:eastAsia="Times New Roman" w:hAnsi="Segoe UI" w:cs="Segoe UI"/>
          <w:sz w:val="18"/>
          <w:szCs w:val="18"/>
          <w:lang w:eastAsia="en-NZ"/>
        </w:rPr>
      </w:pPr>
      <w:bookmarkStart w:id="18" w:name="_Toc209611237"/>
      <w:r w:rsidRPr="009330CD">
        <w:rPr>
          <w:rFonts w:eastAsia="Times New Roman"/>
          <w:lang w:eastAsia="en-NZ"/>
        </w:rPr>
        <w:lastRenderedPageBreak/>
        <w:t>Medication</w:t>
      </w:r>
      <w:r w:rsidR="00A55B3D">
        <w:rPr>
          <w:rFonts w:eastAsia="Times New Roman"/>
          <w:lang w:eastAsia="en-NZ"/>
        </w:rPr>
        <w:t>/</w:t>
      </w:r>
      <w:r w:rsidRPr="009330CD">
        <w:rPr>
          <w:rFonts w:eastAsia="Times New Roman"/>
          <w:lang w:eastAsia="en-NZ"/>
        </w:rPr>
        <w:t>Intravenous (IV) Fluids</w:t>
      </w:r>
      <w:bookmarkEnd w:id="18"/>
      <w:r w:rsidRPr="009330CD">
        <w:rPr>
          <w:rFonts w:eastAsia="Times New Roman"/>
          <w:lang w:eastAsia="en-NZ"/>
        </w:rPr>
        <w:t> </w:t>
      </w:r>
    </w:p>
    <w:p w14:paraId="2CFDA65C" w14:textId="77777777" w:rsidR="009330CD" w:rsidRPr="009330CD" w:rsidRDefault="009330CD" w:rsidP="009330CD">
      <w:pPr>
        <w:rPr>
          <w:rFonts w:ascii="Segoe UI" w:hAnsi="Segoe UI" w:cs="Segoe UI"/>
          <w:sz w:val="18"/>
          <w:szCs w:val="18"/>
          <w:lang w:eastAsia="en-NZ"/>
        </w:rPr>
      </w:pPr>
      <w:r w:rsidRPr="009330CD">
        <w:rPr>
          <w:lang w:eastAsia="en-NZ"/>
        </w:rPr>
        <w:t>There were seven medication</w:t>
      </w:r>
      <w:r w:rsidR="00D86ABE">
        <w:rPr>
          <w:lang w:eastAsia="en-NZ"/>
        </w:rPr>
        <w:t xml:space="preserve"> or </w:t>
      </w:r>
      <w:r w:rsidR="00A55B3D">
        <w:rPr>
          <w:lang w:eastAsia="en-NZ"/>
        </w:rPr>
        <w:t>IV Fluid events</w:t>
      </w:r>
      <w:r w:rsidRPr="009330CD">
        <w:rPr>
          <w:lang w:eastAsia="en-NZ"/>
        </w:rPr>
        <w:t>, one of these was a SAC 1 event. There</w:t>
      </w:r>
      <w:r w:rsidR="00A55B3D">
        <w:rPr>
          <w:lang w:eastAsia="en-NZ"/>
        </w:rPr>
        <w:t xml:space="preserve"> were six events related to medication and</w:t>
      </w:r>
      <w:r w:rsidRPr="009330CD">
        <w:rPr>
          <w:lang w:eastAsia="en-NZ"/>
        </w:rPr>
        <w:t xml:space="preserve"> one event related to intravenous fluid administration.  </w:t>
      </w:r>
    </w:p>
    <w:p w14:paraId="19E3E9D8" w14:textId="154ECA97" w:rsidR="00494D8B" w:rsidRDefault="009330CD" w:rsidP="009330CD">
      <w:pPr>
        <w:rPr>
          <w:lang w:val="mi-NZ" w:eastAsia="en-NZ"/>
        </w:rPr>
      </w:pPr>
      <w:r w:rsidRPr="009330CD">
        <w:rPr>
          <w:lang w:eastAsia="en-NZ"/>
        </w:rPr>
        <w:t>Patient ethnicity: M</w:t>
      </w:r>
      <w:r w:rsidRPr="009330CD">
        <w:rPr>
          <w:lang w:val="mi-NZ" w:eastAsia="en-NZ"/>
        </w:rPr>
        <w:t>āori (n=3), European (n=4)</w:t>
      </w:r>
    </w:p>
    <w:p w14:paraId="578ED5D0" w14:textId="425A09F4" w:rsidR="009330CD" w:rsidRDefault="009330CD" w:rsidP="00540569">
      <w:pPr>
        <w:pStyle w:val="Figure"/>
      </w:pPr>
      <w:r>
        <w:t xml:space="preserve">Table </w:t>
      </w:r>
      <w:r>
        <w:fldChar w:fldCharType="begin"/>
      </w:r>
      <w:r>
        <w:instrText>SEQ Table \* ARABIC</w:instrText>
      </w:r>
      <w:r>
        <w:fldChar w:fldCharType="separate"/>
      </w:r>
      <w:r w:rsidR="00392FC2">
        <w:rPr>
          <w:noProof/>
        </w:rPr>
        <w:t>11</w:t>
      </w:r>
      <w:r>
        <w:fldChar w:fldCharType="end"/>
      </w:r>
      <w:r>
        <w:t xml:space="preserve">: Medication and IV fluid </w:t>
      </w:r>
      <w:r w:rsidRPr="00945466">
        <w:t>events 1 July 2023 to 30 June 2024</w:t>
      </w:r>
    </w:p>
    <w:tbl>
      <w:tblPr>
        <w:tblStyle w:val="TeWhatuOra"/>
        <w:tblW w:w="9639" w:type="dxa"/>
        <w:tblLook w:val="04A0" w:firstRow="1" w:lastRow="0" w:firstColumn="1" w:lastColumn="0" w:noHBand="0" w:noVBand="1"/>
      </w:tblPr>
      <w:tblGrid>
        <w:gridCol w:w="1117"/>
        <w:gridCol w:w="8522"/>
      </w:tblGrid>
      <w:tr w:rsidR="00DA61C7" w:rsidRPr="00C05445" w14:paraId="23D345D6" w14:textId="77777777" w:rsidTr="006E13C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17" w:type="dxa"/>
            <w:tcBorders>
              <w:top w:val="single" w:sz="4" w:space="0" w:color="003399" w:themeColor="accent3"/>
              <w:bottom w:val="single" w:sz="4" w:space="0" w:color="003399" w:themeColor="accent3"/>
              <w:right w:val="single" w:sz="4" w:space="0" w:color="A6A6A6" w:themeColor="background1" w:themeShade="A6"/>
            </w:tcBorders>
          </w:tcPr>
          <w:p w14:paraId="2E8143AF" w14:textId="0D07390F" w:rsidR="00DA61C7" w:rsidRPr="00855B0F" w:rsidRDefault="00855B0F" w:rsidP="00494D8B">
            <w:pPr>
              <w:spacing w:before="0" w:after="160" w:line="259" w:lineRule="auto"/>
              <w:rPr>
                <w:bCs/>
              </w:rPr>
            </w:pPr>
            <w:r>
              <w:rPr>
                <w:bCs/>
              </w:rPr>
              <w:t>Number</w:t>
            </w:r>
          </w:p>
        </w:tc>
        <w:tc>
          <w:tcPr>
            <w:tcW w:w="8522" w:type="dxa"/>
            <w:tcBorders>
              <w:top w:val="single" w:sz="4" w:space="0" w:color="003399" w:themeColor="accent3"/>
              <w:left w:val="single" w:sz="4" w:space="0" w:color="A6A6A6" w:themeColor="background1" w:themeShade="A6"/>
              <w:bottom w:val="single" w:sz="4" w:space="0" w:color="003399" w:themeColor="accent3"/>
            </w:tcBorders>
          </w:tcPr>
          <w:p w14:paraId="1DAD7E4E" w14:textId="291F73E9" w:rsidR="00DA61C7" w:rsidRPr="00C05445" w:rsidRDefault="00855B0F" w:rsidP="00494D8B">
            <w:pPr>
              <w:spacing w:before="0" w:after="160" w:line="259" w:lineRule="auto"/>
              <w:cnfStyle w:val="100000000000" w:firstRow="1" w:lastRow="0" w:firstColumn="0" w:lastColumn="0" w:oddVBand="0" w:evenVBand="0" w:oddHBand="0" w:evenHBand="0" w:firstRowFirstColumn="0" w:firstRowLastColumn="0" w:lastRowFirstColumn="0" w:lastRowLastColumn="0"/>
            </w:pPr>
            <w:r>
              <w:t>Event summaries</w:t>
            </w:r>
          </w:p>
        </w:tc>
      </w:tr>
      <w:tr w:rsidR="009330CD" w:rsidRPr="00721621" w14:paraId="09E4B893" w14:textId="77777777" w:rsidTr="00855B0F">
        <w:tc>
          <w:tcPr>
            <w:cnfStyle w:val="001000000000" w:firstRow="0" w:lastRow="0" w:firstColumn="1" w:lastColumn="0" w:oddVBand="0" w:evenVBand="0" w:oddHBand="0" w:evenHBand="0" w:firstRowFirstColumn="0" w:firstRowLastColumn="0" w:lastRowFirstColumn="0" w:lastRowLastColumn="0"/>
            <w:tcW w:w="1117" w:type="dxa"/>
            <w:tcBorders>
              <w:top w:val="single" w:sz="4" w:space="0" w:color="003399" w:themeColor="accent3"/>
            </w:tcBorders>
          </w:tcPr>
          <w:p w14:paraId="7B2AF1DD" w14:textId="77777777" w:rsidR="009330CD" w:rsidRPr="00721621" w:rsidRDefault="009330CD" w:rsidP="00721621">
            <w:r w:rsidRPr="00721621">
              <w:t>2 </w:t>
            </w:r>
          </w:p>
        </w:tc>
        <w:tc>
          <w:tcPr>
            <w:tcW w:w="8522" w:type="dxa"/>
            <w:tcBorders>
              <w:top w:val="single" w:sz="4" w:space="0" w:color="003399" w:themeColor="accent3"/>
              <w:bottom w:val="single" w:sz="8" w:space="0" w:color="BFBFBF" w:themeColor="text1" w:themeTint="40"/>
            </w:tcBorders>
          </w:tcPr>
          <w:p w14:paraId="398DA44C" w14:textId="77777777" w:rsidR="009330CD" w:rsidRPr="00721621" w:rsidRDefault="009330CD" w:rsidP="00721621">
            <w:pPr>
              <w:cnfStyle w:val="000000000000" w:firstRow="0" w:lastRow="0" w:firstColumn="0" w:lastColumn="0" w:oddVBand="0" w:evenVBand="0" w:oddHBand="0" w:evenHBand="0" w:firstRowFirstColumn="0" w:firstRowLastColumn="0" w:lastRowFirstColumn="0" w:lastRowLastColumn="0"/>
            </w:pPr>
            <w:r w:rsidRPr="00721621">
              <w:t xml:space="preserve">Two people received </w:t>
            </w:r>
            <w:r w:rsidR="00A55B3D" w:rsidRPr="00721621">
              <w:t xml:space="preserve">an </w:t>
            </w:r>
            <w:r w:rsidRPr="00721621">
              <w:t>incorrect dose of medication </w:t>
            </w:r>
          </w:p>
        </w:tc>
      </w:tr>
      <w:tr w:rsidR="009330CD" w:rsidRPr="00721621" w14:paraId="0A182788" w14:textId="77777777" w:rsidTr="00855B0F">
        <w:tc>
          <w:tcPr>
            <w:cnfStyle w:val="001000000000" w:firstRow="0" w:lastRow="0" w:firstColumn="1" w:lastColumn="0" w:oddVBand="0" w:evenVBand="0" w:oddHBand="0" w:evenHBand="0" w:firstRowFirstColumn="0" w:firstRowLastColumn="0" w:lastRowFirstColumn="0" w:lastRowLastColumn="0"/>
            <w:tcW w:w="1117" w:type="dxa"/>
          </w:tcPr>
          <w:p w14:paraId="2689A563" w14:textId="77777777" w:rsidR="009330CD" w:rsidRPr="00721621" w:rsidRDefault="009330CD" w:rsidP="00721621">
            <w:r w:rsidRPr="00721621">
              <w:t>2 </w:t>
            </w:r>
          </w:p>
        </w:tc>
        <w:tc>
          <w:tcPr>
            <w:tcW w:w="8522" w:type="dxa"/>
            <w:tcBorders>
              <w:top w:val="single" w:sz="8" w:space="0" w:color="BFBFBF" w:themeColor="text1" w:themeTint="40"/>
              <w:bottom w:val="single" w:sz="8" w:space="0" w:color="BFBFBF" w:themeColor="text1" w:themeTint="40"/>
            </w:tcBorders>
          </w:tcPr>
          <w:p w14:paraId="099A9378" w14:textId="77777777" w:rsidR="009330CD" w:rsidRPr="00721621" w:rsidRDefault="009330CD" w:rsidP="00721621">
            <w:pPr>
              <w:cnfStyle w:val="000000000000" w:firstRow="0" w:lastRow="0" w:firstColumn="0" w:lastColumn="0" w:oddVBand="0" w:evenVBand="0" w:oddHBand="0" w:evenHBand="0" w:firstRowFirstColumn="0" w:firstRowLastColumn="0" w:lastRowFirstColumn="0" w:lastRowLastColumn="0"/>
            </w:pPr>
            <w:r w:rsidRPr="00721621">
              <w:t>Two people received the incorrect medication </w:t>
            </w:r>
          </w:p>
        </w:tc>
      </w:tr>
      <w:tr w:rsidR="009330CD" w:rsidRPr="00721621" w14:paraId="632EB932" w14:textId="77777777" w:rsidTr="00855B0F">
        <w:tc>
          <w:tcPr>
            <w:cnfStyle w:val="001000000000" w:firstRow="0" w:lastRow="0" w:firstColumn="1" w:lastColumn="0" w:oddVBand="0" w:evenVBand="0" w:oddHBand="0" w:evenHBand="0" w:firstRowFirstColumn="0" w:firstRowLastColumn="0" w:lastRowFirstColumn="0" w:lastRowLastColumn="0"/>
            <w:tcW w:w="1117" w:type="dxa"/>
          </w:tcPr>
          <w:p w14:paraId="5BB14414" w14:textId="77777777" w:rsidR="009330CD" w:rsidRPr="00721621" w:rsidRDefault="009330CD" w:rsidP="00721621">
            <w:r w:rsidRPr="00721621">
              <w:t>1 </w:t>
            </w:r>
          </w:p>
        </w:tc>
        <w:tc>
          <w:tcPr>
            <w:tcW w:w="8522" w:type="dxa"/>
            <w:tcBorders>
              <w:top w:val="single" w:sz="8" w:space="0" w:color="BFBFBF" w:themeColor="text1" w:themeTint="40"/>
            </w:tcBorders>
          </w:tcPr>
          <w:p w14:paraId="3A8D8B88" w14:textId="77777777" w:rsidR="009330CD" w:rsidRPr="00721621" w:rsidRDefault="009330CD" w:rsidP="00721621">
            <w:pPr>
              <w:cnfStyle w:val="000000000000" w:firstRow="0" w:lastRow="0" w:firstColumn="0" w:lastColumn="0" w:oddVBand="0" w:evenVBand="0" w:oddHBand="0" w:evenHBand="0" w:firstRowFirstColumn="0" w:firstRowLastColumn="0" w:lastRowFirstColumn="0" w:lastRowLastColumn="0"/>
            </w:pPr>
            <w:r w:rsidRPr="00721621">
              <w:t>One person received a medication to which they had a known allergy </w:t>
            </w:r>
          </w:p>
        </w:tc>
      </w:tr>
      <w:tr w:rsidR="009330CD" w:rsidRPr="00721621" w14:paraId="0F58B3FF" w14:textId="77777777" w:rsidTr="00494D8B">
        <w:tc>
          <w:tcPr>
            <w:cnfStyle w:val="001000000000" w:firstRow="0" w:lastRow="0" w:firstColumn="1" w:lastColumn="0" w:oddVBand="0" w:evenVBand="0" w:oddHBand="0" w:evenHBand="0" w:firstRowFirstColumn="0" w:firstRowLastColumn="0" w:lastRowFirstColumn="0" w:lastRowLastColumn="0"/>
            <w:tcW w:w="1117" w:type="dxa"/>
          </w:tcPr>
          <w:p w14:paraId="1283965F" w14:textId="77777777" w:rsidR="009330CD" w:rsidRPr="00721621" w:rsidRDefault="009330CD" w:rsidP="00721621">
            <w:r w:rsidRPr="00721621">
              <w:t>1 </w:t>
            </w:r>
          </w:p>
        </w:tc>
        <w:tc>
          <w:tcPr>
            <w:tcW w:w="8522" w:type="dxa"/>
          </w:tcPr>
          <w:p w14:paraId="5D2C80DE" w14:textId="77777777" w:rsidR="009330CD" w:rsidRPr="00721621" w:rsidRDefault="009330CD" w:rsidP="00721621">
            <w:pPr>
              <w:cnfStyle w:val="000000000000" w:firstRow="0" w:lastRow="0" w:firstColumn="0" w:lastColumn="0" w:oddVBand="0" w:evenVBand="0" w:oddHBand="0" w:evenHBand="0" w:firstRowFirstColumn="0" w:firstRowLastColumn="0" w:lastRowFirstColumn="0" w:lastRowLastColumn="0"/>
            </w:pPr>
            <w:r w:rsidRPr="00721621">
              <w:t>One person did not have their medication restarted  </w:t>
            </w:r>
          </w:p>
        </w:tc>
      </w:tr>
      <w:tr w:rsidR="009330CD" w:rsidRPr="00721621" w14:paraId="0E4EE63D" w14:textId="77777777" w:rsidTr="00494D8B">
        <w:tc>
          <w:tcPr>
            <w:cnfStyle w:val="001000000000" w:firstRow="0" w:lastRow="0" w:firstColumn="1" w:lastColumn="0" w:oddVBand="0" w:evenVBand="0" w:oddHBand="0" w:evenHBand="0" w:firstRowFirstColumn="0" w:firstRowLastColumn="0" w:lastRowFirstColumn="0" w:lastRowLastColumn="0"/>
            <w:tcW w:w="1117" w:type="dxa"/>
          </w:tcPr>
          <w:p w14:paraId="58FDEDF7" w14:textId="77777777" w:rsidR="009330CD" w:rsidRPr="00721621" w:rsidRDefault="009330CD" w:rsidP="00721621">
            <w:r w:rsidRPr="00721621">
              <w:t>1 </w:t>
            </w:r>
          </w:p>
        </w:tc>
        <w:tc>
          <w:tcPr>
            <w:tcW w:w="8522" w:type="dxa"/>
          </w:tcPr>
          <w:p w14:paraId="209EFCA4" w14:textId="77777777" w:rsidR="009330CD" w:rsidRPr="00721621" w:rsidRDefault="009330CD" w:rsidP="00721621">
            <w:pPr>
              <w:cnfStyle w:val="000000000000" w:firstRow="0" w:lastRow="0" w:firstColumn="0" w:lastColumn="0" w:oddVBand="0" w:evenVBand="0" w:oddHBand="0" w:evenHBand="0" w:firstRowFirstColumn="0" w:firstRowLastColumn="0" w:lastRowFirstColumn="0" w:lastRowLastColumn="0"/>
            </w:pPr>
            <w:r w:rsidRPr="00721621">
              <w:t>One person received an inadvertent bolus of intravenous fluid  </w:t>
            </w:r>
          </w:p>
        </w:tc>
      </w:tr>
    </w:tbl>
    <w:p w14:paraId="03E370A8" w14:textId="77777777" w:rsidR="007E12E3" w:rsidRPr="00721621" w:rsidRDefault="007E12E3" w:rsidP="00721621"/>
    <w:p w14:paraId="47657CE0" w14:textId="77777777" w:rsidR="007E12E3" w:rsidRPr="0021771E" w:rsidRDefault="009330CD" w:rsidP="007E12E3">
      <w:pPr>
        <w:pStyle w:val="Box"/>
        <w:shd w:val="clear" w:color="auto" w:fill="F6F4EC" w:themeFill="background2"/>
        <w:rPr>
          <w:b/>
          <w:bCs/>
        </w:rPr>
      </w:pPr>
      <w:r>
        <w:rPr>
          <w:b/>
          <w:bCs/>
        </w:rPr>
        <w:t>What we are doing to reduce medication and IV fluid related events:</w:t>
      </w:r>
    </w:p>
    <w:p w14:paraId="1B747EC9" w14:textId="77777777" w:rsidR="007E12E3" w:rsidRDefault="009330CD" w:rsidP="007E12E3">
      <w:pPr>
        <w:pStyle w:val="BoxBullet"/>
        <w:shd w:val="clear" w:color="auto" w:fill="F6F4EC" w:themeFill="background2"/>
      </w:pPr>
      <w:r>
        <w:t xml:space="preserve">We have contributed to the development of a national anti-coagulation stewardship programme in collaboration with Te Tāhū Hauora </w:t>
      </w:r>
      <w:r w:rsidR="00A55B3D">
        <w:t>HQSC</w:t>
      </w:r>
    </w:p>
    <w:p w14:paraId="5F309D97" w14:textId="77777777" w:rsidR="007E12E3" w:rsidRDefault="009330CD" w:rsidP="007E12E3">
      <w:pPr>
        <w:pStyle w:val="BoxBullet"/>
        <w:shd w:val="clear" w:color="auto" w:fill="F6F4EC" w:themeFill="background2"/>
      </w:pPr>
      <w:r>
        <w:t xml:space="preserve">A dedicated smart pump pharmacist continues to build and improve the drug library on the </w:t>
      </w:r>
      <w:r w:rsidR="00A55B3D">
        <w:t xml:space="preserve">IV </w:t>
      </w:r>
      <w:r>
        <w:t>pumps</w:t>
      </w:r>
      <w:r w:rsidR="001E2262">
        <w:t xml:space="preserve"> used to deliver IV medication and fluids</w:t>
      </w:r>
      <w:r>
        <w:t>. This supports safe administration of IV medications</w:t>
      </w:r>
      <w:r w:rsidR="001E2262">
        <w:t xml:space="preserve"> and fluids</w:t>
      </w:r>
      <w:r>
        <w:t xml:space="preserve"> and reduces the potential for error</w:t>
      </w:r>
    </w:p>
    <w:p w14:paraId="671A8903" w14:textId="77777777" w:rsidR="007E12E3" w:rsidRDefault="009330CD" w:rsidP="007E12E3">
      <w:pPr>
        <w:pStyle w:val="BoxBullet"/>
        <w:shd w:val="clear" w:color="auto" w:fill="F6F4EC" w:themeFill="background2"/>
      </w:pPr>
      <w:r>
        <w:t xml:space="preserve">A neurosurgical venous thromboembolism (VTE) guideline </w:t>
      </w:r>
      <w:r w:rsidR="001E2262">
        <w:t>was</w:t>
      </w:r>
      <w:r>
        <w:t xml:space="preserve"> developed at CCHV with national collaboration</w:t>
      </w:r>
      <w:r w:rsidR="001E2262">
        <w:t>.</w:t>
      </w:r>
      <w:r>
        <w:t xml:space="preserve"> </w:t>
      </w:r>
      <w:r w:rsidR="001E2262">
        <w:t xml:space="preserve">The guideline </w:t>
      </w:r>
      <w:r>
        <w:t>has</w:t>
      </w:r>
      <w:r w:rsidR="001E2262">
        <w:t xml:space="preserve"> now</w:t>
      </w:r>
      <w:r>
        <w:t xml:space="preserve"> been adopted by neurosurgical units</w:t>
      </w:r>
      <w:r w:rsidR="00E306AE">
        <w:t xml:space="preserve"> nationwide</w:t>
      </w:r>
    </w:p>
    <w:p w14:paraId="00072C28" w14:textId="77777777" w:rsidR="00C733B9" w:rsidRDefault="00C733B9" w:rsidP="007E12E3">
      <w:pPr>
        <w:pStyle w:val="BoxBullet"/>
        <w:shd w:val="clear" w:color="auto" w:fill="F6F4EC" w:themeFill="background2"/>
      </w:pPr>
      <w:r>
        <w:t>We continue to advocate for the implementation of an electronic medication management system for the prescribing and administ</w:t>
      </w:r>
      <w:r w:rsidR="00E306AE">
        <w:t>ration of inpatient medications</w:t>
      </w:r>
    </w:p>
    <w:p w14:paraId="2E35BBDF" w14:textId="77777777" w:rsidR="00494D8B" w:rsidRDefault="00C60DCC" w:rsidP="00C05445">
      <w:r>
        <w:br w:type="page"/>
      </w:r>
    </w:p>
    <w:p w14:paraId="5E751C79" w14:textId="77777777" w:rsidR="009330CD" w:rsidRPr="009330CD" w:rsidRDefault="009330CD" w:rsidP="009330CD">
      <w:pPr>
        <w:pStyle w:val="Heading2"/>
        <w:rPr>
          <w:rFonts w:ascii="Segoe UI" w:eastAsia="Times New Roman" w:hAnsi="Segoe UI" w:cs="Segoe UI"/>
          <w:sz w:val="18"/>
          <w:szCs w:val="18"/>
          <w:lang w:eastAsia="en-NZ"/>
        </w:rPr>
      </w:pPr>
      <w:bookmarkStart w:id="19" w:name="_Toc209611238"/>
      <w:r w:rsidRPr="009330CD">
        <w:rPr>
          <w:rFonts w:eastAsia="Times New Roman"/>
          <w:lang w:eastAsia="en-NZ"/>
        </w:rPr>
        <w:lastRenderedPageBreak/>
        <w:t>Nutrition</w:t>
      </w:r>
      <w:bookmarkEnd w:id="19"/>
      <w:r w:rsidRPr="009330CD">
        <w:rPr>
          <w:rFonts w:eastAsia="Times New Roman"/>
          <w:lang w:eastAsia="en-NZ"/>
        </w:rPr>
        <w:t> </w:t>
      </w:r>
    </w:p>
    <w:p w14:paraId="4DD239DA" w14:textId="77777777" w:rsidR="009330CD" w:rsidRPr="009330CD" w:rsidRDefault="009330CD" w:rsidP="009330CD">
      <w:pPr>
        <w:rPr>
          <w:rFonts w:ascii="Segoe UI" w:hAnsi="Segoe UI" w:cs="Segoe UI"/>
          <w:sz w:val="18"/>
          <w:szCs w:val="18"/>
          <w:lang w:eastAsia="en-NZ"/>
        </w:rPr>
      </w:pPr>
      <w:r w:rsidRPr="009330CD">
        <w:rPr>
          <w:lang w:eastAsia="en-NZ"/>
        </w:rPr>
        <w:t>There were three nutrition related events. All were SAC 2</w:t>
      </w:r>
      <w:r w:rsidR="001E2262">
        <w:rPr>
          <w:lang w:eastAsia="en-NZ"/>
        </w:rPr>
        <w:t xml:space="preserve"> events</w:t>
      </w:r>
      <w:r w:rsidRPr="009330CD">
        <w:rPr>
          <w:b/>
          <w:bCs/>
          <w:lang w:eastAsia="en-NZ"/>
        </w:rPr>
        <w:t>.</w:t>
      </w:r>
      <w:r w:rsidRPr="009330CD">
        <w:rPr>
          <w:lang w:eastAsia="en-NZ"/>
        </w:rPr>
        <w:t> </w:t>
      </w:r>
    </w:p>
    <w:p w14:paraId="15024F9E" w14:textId="77777777" w:rsidR="00494D8B" w:rsidRPr="00307F59" w:rsidRDefault="009330CD" w:rsidP="00C05445">
      <w:pPr>
        <w:rPr>
          <w:rFonts w:ascii="Segoe UI" w:hAnsi="Segoe UI" w:cs="Segoe UI"/>
          <w:sz w:val="18"/>
          <w:szCs w:val="18"/>
          <w:lang w:eastAsia="en-NZ"/>
        </w:rPr>
      </w:pPr>
      <w:r w:rsidRPr="009330CD">
        <w:rPr>
          <w:lang w:eastAsia="en-NZ"/>
        </w:rPr>
        <w:t xml:space="preserve">Patient ethnicity: </w:t>
      </w:r>
      <w:r w:rsidRPr="009330CD">
        <w:rPr>
          <w:lang w:val="mi-NZ" w:eastAsia="en-NZ"/>
        </w:rPr>
        <w:t>European (n=3)</w:t>
      </w:r>
      <w:r w:rsidRPr="009330CD">
        <w:rPr>
          <w:lang w:eastAsia="en-NZ"/>
        </w:rPr>
        <w:t> </w:t>
      </w:r>
    </w:p>
    <w:p w14:paraId="14B517B3" w14:textId="130701D1" w:rsidR="00307F59" w:rsidRDefault="00307F59" w:rsidP="00721621">
      <w:pPr>
        <w:pStyle w:val="Figure"/>
      </w:pPr>
      <w:r>
        <w:t xml:space="preserve">Table </w:t>
      </w:r>
      <w:r>
        <w:fldChar w:fldCharType="begin"/>
      </w:r>
      <w:r>
        <w:instrText>SEQ Table \* ARABIC</w:instrText>
      </w:r>
      <w:r>
        <w:fldChar w:fldCharType="separate"/>
      </w:r>
      <w:r w:rsidR="00392FC2">
        <w:rPr>
          <w:noProof/>
        </w:rPr>
        <w:t>12</w:t>
      </w:r>
      <w:r>
        <w:fldChar w:fldCharType="end"/>
      </w:r>
      <w:r>
        <w:t xml:space="preserve">: Nutrition </w:t>
      </w:r>
      <w:r w:rsidRPr="000C77B1">
        <w:t>events 1 July 2023 to 30 June 2024</w:t>
      </w:r>
    </w:p>
    <w:tbl>
      <w:tblPr>
        <w:tblStyle w:val="TeWhatuOra"/>
        <w:tblW w:w="9639" w:type="dxa"/>
        <w:tblLook w:val="04A0" w:firstRow="1" w:lastRow="0" w:firstColumn="1" w:lastColumn="0" w:noHBand="0" w:noVBand="1"/>
      </w:tblPr>
      <w:tblGrid>
        <w:gridCol w:w="1117"/>
        <w:gridCol w:w="8522"/>
      </w:tblGrid>
      <w:tr w:rsidR="00DA61C7" w:rsidRPr="00C05445" w14:paraId="73D4A02B" w14:textId="77777777" w:rsidTr="006E13C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17" w:type="dxa"/>
            <w:tcBorders>
              <w:top w:val="single" w:sz="4" w:space="0" w:color="003399" w:themeColor="accent3"/>
              <w:bottom w:val="single" w:sz="4" w:space="0" w:color="003399" w:themeColor="accent3"/>
              <w:right w:val="single" w:sz="4" w:space="0" w:color="auto"/>
            </w:tcBorders>
          </w:tcPr>
          <w:p w14:paraId="05F00295" w14:textId="20A62034" w:rsidR="00DA61C7" w:rsidRPr="006E13C8" w:rsidRDefault="006E13C8" w:rsidP="00494D8B">
            <w:pPr>
              <w:spacing w:before="0" w:after="160" w:line="259" w:lineRule="auto"/>
              <w:rPr>
                <w:bCs/>
              </w:rPr>
            </w:pPr>
            <w:r>
              <w:rPr>
                <w:bCs/>
              </w:rPr>
              <w:t>Number</w:t>
            </w:r>
          </w:p>
        </w:tc>
        <w:tc>
          <w:tcPr>
            <w:tcW w:w="8522" w:type="dxa"/>
            <w:tcBorders>
              <w:top w:val="single" w:sz="4" w:space="0" w:color="003399" w:themeColor="accent3"/>
              <w:left w:val="single" w:sz="4" w:space="0" w:color="auto"/>
              <w:bottom w:val="single" w:sz="4" w:space="0" w:color="003399" w:themeColor="accent3"/>
            </w:tcBorders>
          </w:tcPr>
          <w:p w14:paraId="025AE375" w14:textId="474AA3A6" w:rsidR="00DA61C7" w:rsidRPr="00C05445" w:rsidRDefault="006E13C8" w:rsidP="00494D8B">
            <w:pPr>
              <w:spacing w:before="0" w:after="160" w:line="259" w:lineRule="auto"/>
              <w:cnfStyle w:val="100000000000" w:firstRow="1" w:lastRow="0" w:firstColumn="0" w:lastColumn="0" w:oddVBand="0" w:evenVBand="0" w:oddHBand="0" w:evenHBand="0" w:firstRowFirstColumn="0" w:firstRowLastColumn="0" w:lastRowFirstColumn="0" w:lastRowLastColumn="0"/>
            </w:pPr>
            <w:r>
              <w:t>Event summaries</w:t>
            </w:r>
          </w:p>
        </w:tc>
      </w:tr>
      <w:tr w:rsidR="00307F59" w:rsidRPr="00C05445" w14:paraId="55A9A7E7" w14:textId="77777777" w:rsidTr="00DA61C7">
        <w:tc>
          <w:tcPr>
            <w:cnfStyle w:val="001000000000" w:firstRow="0" w:lastRow="0" w:firstColumn="1" w:lastColumn="0" w:oddVBand="0" w:evenVBand="0" w:oddHBand="0" w:evenHBand="0" w:firstRowFirstColumn="0" w:firstRowLastColumn="0" w:lastRowFirstColumn="0" w:lastRowLastColumn="0"/>
            <w:tcW w:w="1117" w:type="dxa"/>
            <w:tcBorders>
              <w:top w:val="single" w:sz="4" w:space="0" w:color="003399" w:themeColor="accent3"/>
            </w:tcBorders>
          </w:tcPr>
          <w:p w14:paraId="3F119952" w14:textId="77777777" w:rsidR="00307F59" w:rsidRPr="00721621" w:rsidRDefault="00307F59" w:rsidP="00721621">
            <w:r w:rsidRPr="00721621">
              <w:t>3  </w:t>
            </w:r>
          </w:p>
        </w:tc>
        <w:tc>
          <w:tcPr>
            <w:tcW w:w="8522" w:type="dxa"/>
            <w:tcBorders>
              <w:top w:val="single" w:sz="4" w:space="0" w:color="003399" w:themeColor="accent3"/>
            </w:tcBorders>
          </w:tcPr>
          <w:p w14:paraId="2133A766" w14:textId="77777777" w:rsidR="00307F59" w:rsidRPr="00721621" w:rsidRDefault="00307F59" w:rsidP="00721621">
            <w:pPr>
              <w:cnfStyle w:val="000000000000" w:firstRow="0" w:lastRow="0" w:firstColumn="0" w:lastColumn="0" w:oddVBand="0" w:evenVBand="0" w:oddHBand="0" w:evenHBand="0" w:firstRowFirstColumn="0" w:firstRowLastColumn="0" w:lastRowFirstColumn="0" w:lastRowLastColumn="0"/>
            </w:pPr>
            <w:r w:rsidRPr="00721621">
              <w:t>Three patients received food to which they had a known allergy </w:t>
            </w:r>
          </w:p>
        </w:tc>
      </w:tr>
    </w:tbl>
    <w:p w14:paraId="689B3D6E" w14:textId="77777777" w:rsidR="00C60DCC" w:rsidRDefault="00C60DCC" w:rsidP="00C733B9"/>
    <w:p w14:paraId="2690901C" w14:textId="77777777" w:rsidR="00C60DCC" w:rsidRPr="0021771E" w:rsidRDefault="00C60DCC" w:rsidP="00C60DCC">
      <w:pPr>
        <w:pStyle w:val="Box"/>
        <w:shd w:val="clear" w:color="auto" w:fill="F6F4EC" w:themeFill="background2"/>
        <w:rPr>
          <w:b/>
          <w:bCs/>
        </w:rPr>
      </w:pPr>
      <w:r>
        <w:rPr>
          <w:b/>
          <w:bCs/>
        </w:rPr>
        <w:t>What we are doing to reduce nutrition and hydration related adverse events:</w:t>
      </w:r>
    </w:p>
    <w:p w14:paraId="12F55246" w14:textId="77777777" w:rsidR="00C60DCC" w:rsidRDefault="001E2262" w:rsidP="00C60DCC">
      <w:pPr>
        <w:pStyle w:val="BoxBullet"/>
        <w:shd w:val="clear" w:color="auto" w:fill="F6F4EC" w:themeFill="background2"/>
      </w:pPr>
      <w:r>
        <w:t xml:space="preserve">A </w:t>
      </w:r>
      <w:r w:rsidR="00C60DCC">
        <w:t>district wide Kai Committee has been established</w:t>
      </w:r>
      <w:r>
        <w:t xml:space="preserve"> to review</w:t>
      </w:r>
      <w:r w:rsidR="00C60DCC">
        <w:t xml:space="preserve"> multiple aspects of food provision. The committee includes clinical, man</w:t>
      </w:r>
      <w:r w:rsidR="00E306AE">
        <w:t>agement and food services staff</w:t>
      </w:r>
    </w:p>
    <w:p w14:paraId="68620192" w14:textId="77777777" w:rsidR="00C60DCC" w:rsidRDefault="00C60DCC" w:rsidP="00C60DCC">
      <w:pPr>
        <w:pStyle w:val="BoxBullet"/>
        <w:shd w:val="clear" w:color="auto" w:fill="F6F4EC" w:themeFill="background2"/>
      </w:pPr>
      <w:r>
        <w:t>Work ha</w:t>
      </w:r>
      <w:r w:rsidR="001E2262">
        <w:t>s</w:t>
      </w:r>
      <w:r>
        <w:t xml:space="preserve"> begun on a project to improve food allergy documentation and management </w:t>
      </w:r>
    </w:p>
    <w:p w14:paraId="12E33C72" w14:textId="77777777" w:rsidR="00C60DCC" w:rsidRDefault="00C60DCC" w:rsidP="00C60DCC">
      <w:pPr>
        <w:pStyle w:val="BoxBullet"/>
        <w:shd w:val="clear" w:color="auto" w:fill="F6F4EC" w:themeFill="background2"/>
      </w:pPr>
      <w:r>
        <w:t>Peanuts have been removed from</w:t>
      </w:r>
      <w:r w:rsidR="001E2262">
        <w:t xml:space="preserve"> patient</w:t>
      </w:r>
      <w:r>
        <w:t xml:space="preserve"> menu items prepared on site at all </w:t>
      </w:r>
      <w:r w:rsidR="001E2262">
        <w:t xml:space="preserve">our </w:t>
      </w:r>
      <w:r>
        <w:t>hospitals</w:t>
      </w:r>
    </w:p>
    <w:p w14:paraId="3292A54D" w14:textId="77777777" w:rsidR="007E12E3" w:rsidRDefault="00C733B9" w:rsidP="00C733B9">
      <w:r>
        <w:br w:type="page"/>
      </w:r>
    </w:p>
    <w:p w14:paraId="3EDC442E" w14:textId="77777777" w:rsidR="00307F59" w:rsidRPr="00307F59" w:rsidRDefault="00307F59" w:rsidP="00307F59">
      <w:pPr>
        <w:pStyle w:val="Heading2"/>
        <w:rPr>
          <w:rFonts w:ascii="Segoe UI" w:eastAsia="Times New Roman" w:hAnsi="Segoe UI" w:cs="Segoe UI"/>
          <w:sz w:val="18"/>
          <w:szCs w:val="18"/>
          <w:lang w:eastAsia="en-NZ"/>
        </w:rPr>
      </w:pPr>
      <w:bookmarkStart w:id="20" w:name="_Toc209611239"/>
      <w:r w:rsidRPr="00307F59">
        <w:rPr>
          <w:rFonts w:eastAsia="Times New Roman"/>
          <w:lang w:eastAsia="en-NZ"/>
        </w:rPr>
        <w:lastRenderedPageBreak/>
        <w:t>Medical device/equipment</w:t>
      </w:r>
      <w:bookmarkEnd w:id="20"/>
      <w:r w:rsidRPr="00307F59">
        <w:rPr>
          <w:rFonts w:eastAsia="Times New Roman"/>
          <w:lang w:eastAsia="en-NZ"/>
        </w:rPr>
        <w:t> </w:t>
      </w:r>
    </w:p>
    <w:p w14:paraId="23305DF2" w14:textId="77777777" w:rsidR="00307F59" w:rsidRPr="00307F59" w:rsidRDefault="00307F59" w:rsidP="00307F59">
      <w:pPr>
        <w:rPr>
          <w:rFonts w:ascii="Segoe UI" w:hAnsi="Segoe UI" w:cs="Segoe UI"/>
          <w:sz w:val="18"/>
          <w:szCs w:val="18"/>
          <w:lang w:eastAsia="en-NZ"/>
        </w:rPr>
      </w:pPr>
      <w:r w:rsidRPr="00307F59">
        <w:rPr>
          <w:lang w:eastAsia="en-NZ"/>
        </w:rPr>
        <w:t>There was one SAC 2 event</w:t>
      </w:r>
      <w:r w:rsidR="001E2262">
        <w:rPr>
          <w:lang w:eastAsia="en-NZ"/>
        </w:rPr>
        <w:t xml:space="preserve"> related to a medical device or equipment</w:t>
      </w:r>
      <w:r w:rsidRPr="00307F59">
        <w:rPr>
          <w:lang w:eastAsia="en-NZ"/>
        </w:rPr>
        <w:t>.  </w:t>
      </w:r>
    </w:p>
    <w:p w14:paraId="1190E076" w14:textId="77777777" w:rsidR="00494D8B" w:rsidRPr="00307F59" w:rsidRDefault="00307F59" w:rsidP="00C05445">
      <w:pPr>
        <w:rPr>
          <w:rFonts w:ascii="Segoe UI" w:hAnsi="Segoe UI" w:cs="Segoe UI"/>
          <w:sz w:val="18"/>
          <w:szCs w:val="18"/>
          <w:lang w:eastAsia="en-NZ"/>
        </w:rPr>
      </w:pPr>
      <w:r w:rsidRPr="00307F59">
        <w:rPr>
          <w:lang w:eastAsia="en-NZ"/>
        </w:rPr>
        <w:t>Patient ethnicity: Asian</w:t>
      </w:r>
      <w:r w:rsidRPr="00307F59">
        <w:rPr>
          <w:lang w:val="mi-NZ" w:eastAsia="en-NZ"/>
        </w:rPr>
        <w:t xml:space="preserve"> (n=1)</w:t>
      </w:r>
      <w:r w:rsidRPr="00307F59">
        <w:rPr>
          <w:lang w:eastAsia="en-NZ"/>
        </w:rPr>
        <w:t> </w:t>
      </w:r>
    </w:p>
    <w:p w14:paraId="7DFFD6A5" w14:textId="44D03B30" w:rsidR="00307F59" w:rsidRDefault="00307F59" w:rsidP="00721621">
      <w:pPr>
        <w:pStyle w:val="Figure"/>
      </w:pPr>
      <w:r>
        <w:t xml:space="preserve">Table </w:t>
      </w:r>
      <w:r>
        <w:fldChar w:fldCharType="begin"/>
      </w:r>
      <w:r>
        <w:instrText>SEQ Table \* ARABIC</w:instrText>
      </w:r>
      <w:r>
        <w:fldChar w:fldCharType="separate"/>
      </w:r>
      <w:r w:rsidR="00392FC2">
        <w:rPr>
          <w:noProof/>
        </w:rPr>
        <w:t>13</w:t>
      </w:r>
      <w:r>
        <w:fldChar w:fldCharType="end"/>
      </w:r>
      <w:r>
        <w:t xml:space="preserve">: Medical device/equipment </w:t>
      </w:r>
      <w:r w:rsidRPr="002B6EF5">
        <w:t>events 1 July 2023 to 30 June 2024</w:t>
      </w:r>
    </w:p>
    <w:tbl>
      <w:tblPr>
        <w:tblStyle w:val="TeWhatuOra"/>
        <w:tblW w:w="9639" w:type="dxa"/>
        <w:tblLook w:val="04A0" w:firstRow="1" w:lastRow="0" w:firstColumn="1" w:lastColumn="0" w:noHBand="0" w:noVBand="1"/>
      </w:tblPr>
      <w:tblGrid>
        <w:gridCol w:w="1117"/>
        <w:gridCol w:w="8522"/>
      </w:tblGrid>
      <w:tr w:rsidR="00DA61C7" w:rsidRPr="00C05445" w14:paraId="0A51346A" w14:textId="77777777" w:rsidTr="008A595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17" w:type="dxa"/>
            <w:tcBorders>
              <w:top w:val="single" w:sz="4" w:space="0" w:color="003399" w:themeColor="accent3"/>
              <w:bottom w:val="single" w:sz="4" w:space="0" w:color="003399" w:themeColor="accent3"/>
              <w:right w:val="single" w:sz="4" w:space="0" w:color="auto"/>
            </w:tcBorders>
          </w:tcPr>
          <w:p w14:paraId="02733712" w14:textId="191C3434" w:rsidR="00DA61C7" w:rsidRPr="008A5958" w:rsidRDefault="008A5958" w:rsidP="00494D8B">
            <w:pPr>
              <w:spacing w:before="0" w:after="160" w:line="259" w:lineRule="auto"/>
              <w:rPr>
                <w:bCs/>
              </w:rPr>
            </w:pPr>
            <w:r w:rsidRPr="008A5958">
              <w:rPr>
                <w:bCs/>
              </w:rPr>
              <w:t>Number</w:t>
            </w:r>
          </w:p>
        </w:tc>
        <w:tc>
          <w:tcPr>
            <w:tcW w:w="8522" w:type="dxa"/>
            <w:tcBorders>
              <w:top w:val="single" w:sz="4" w:space="0" w:color="003399" w:themeColor="accent3"/>
              <w:left w:val="single" w:sz="4" w:space="0" w:color="auto"/>
              <w:bottom w:val="single" w:sz="4" w:space="0" w:color="003399" w:themeColor="accent3"/>
            </w:tcBorders>
          </w:tcPr>
          <w:p w14:paraId="5ADA7898" w14:textId="27AFA7B9" w:rsidR="00DA61C7" w:rsidRPr="00C05445" w:rsidRDefault="008A5958" w:rsidP="00494D8B">
            <w:pPr>
              <w:spacing w:before="0" w:after="160" w:line="259" w:lineRule="auto"/>
              <w:cnfStyle w:val="100000000000" w:firstRow="1" w:lastRow="0" w:firstColumn="0" w:lastColumn="0" w:oddVBand="0" w:evenVBand="0" w:oddHBand="0" w:evenHBand="0" w:firstRowFirstColumn="0" w:firstRowLastColumn="0" w:lastRowFirstColumn="0" w:lastRowLastColumn="0"/>
            </w:pPr>
            <w:r>
              <w:t>Event summaries</w:t>
            </w:r>
          </w:p>
        </w:tc>
      </w:tr>
      <w:tr w:rsidR="00307F59" w:rsidRPr="00C05445" w14:paraId="6D38A452" w14:textId="77777777" w:rsidTr="00DA61C7">
        <w:tc>
          <w:tcPr>
            <w:cnfStyle w:val="001000000000" w:firstRow="0" w:lastRow="0" w:firstColumn="1" w:lastColumn="0" w:oddVBand="0" w:evenVBand="0" w:oddHBand="0" w:evenHBand="0" w:firstRowFirstColumn="0" w:firstRowLastColumn="0" w:lastRowFirstColumn="0" w:lastRowLastColumn="0"/>
            <w:tcW w:w="1117" w:type="dxa"/>
            <w:tcBorders>
              <w:top w:val="single" w:sz="4" w:space="0" w:color="003399" w:themeColor="accent3"/>
            </w:tcBorders>
          </w:tcPr>
          <w:p w14:paraId="68548E23" w14:textId="77777777" w:rsidR="00307F59" w:rsidRPr="00721621" w:rsidRDefault="00307F59" w:rsidP="00721621">
            <w:r w:rsidRPr="00721621">
              <w:t>1 </w:t>
            </w:r>
          </w:p>
        </w:tc>
        <w:tc>
          <w:tcPr>
            <w:tcW w:w="8522" w:type="dxa"/>
            <w:tcBorders>
              <w:top w:val="single" w:sz="4" w:space="0" w:color="003399" w:themeColor="accent3"/>
            </w:tcBorders>
          </w:tcPr>
          <w:p w14:paraId="0EDDC76F" w14:textId="77777777" w:rsidR="00307F59" w:rsidRPr="00721621" w:rsidRDefault="00307F59" w:rsidP="00721621">
            <w:pPr>
              <w:cnfStyle w:val="000000000000" w:firstRow="0" w:lastRow="0" w:firstColumn="0" w:lastColumn="0" w:oddVBand="0" w:evenVBand="0" w:oddHBand="0" w:evenHBand="0" w:firstRowFirstColumn="0" w:firstRowLastColumn="0" w:lastRowFirstColumn="0" w:lastRowLastColumn="0"/>
            </w:pPr>
            <w:r w:rsidRPr="00721621">
              <w:t>One event involved failure of equipment used to deliver oxygen </w:t>
            </w:r>
          </w:p>
        </w:tc>
      </w:tr>
    </w:tbl>
    <w:p w14:paraId="3104C411" w14:textId="77777777" w:rsidR="007E12E3" w:rsidRDefault="007E12E3" w:rsidP="007E12E3">
      <w:pPr>
        <w:spacing w:before="0" w:after="160" w:line="259" w:lineRule="auto"/>
      </w:pPr>
    </w:p>
    <w:p w14:paraId="1EE297C5" w14:textId="77777777" w:rsidR="007E12E3" w:rsidRPr="0021771E" w:rsidRDefault="00307F59" w:rsidP="007E12E3">
      <w:pPr>
        <w:pStyle w:val="Box"/>
        <w:shd w:val="clear" w:color="auto" w:fill="F6F4EC" w:themeFill="background2"/>
        <w:rPr>
          <w:b/>
          <w:bCs/>
        </w:rPr>
      </w:pPr>
      <w:r>
        <w:rPr>
          <w:b/>
          <w:bCs/>
        </w:rPr>
        <w:t>What we are doing to reduce medical device related events:</w:t>
      </w:r>
    </w:p>
    <w:p w14:paraId="75E52100" w14:textId="77777777" w:rsidR="007E12E3" w:rsidRDefault="00C71967" w:rsidP="007E12E3">
      <w:pPr>
        <w:pStyle w:val="BoxBullet"/>
        <w:shd w:val="clear" w:color="auto" w:fill="F6F4EC" w:themeFill="background2"/>
      </w:pPr>
      <w:r>
        <w:t>The district wide airway committee has reviewed the equipment used to deliver oxygen to patients in an emergency</w:t>
      </w:r>
    </w:p>
    <w:p w14:paraId="7230054B" w14:textId="77777777" w:rsidR="007E12E3" w:rsidRDefault="00C71967" w:rsidP="00C71967">
      <w:pPr>
        <w:pStyle w:val="BoxBullet"/>
        <w:shd w:val="clear" w:color="auto" w:fill="F6F4EC" w:themeFill="background2"/>
      </w:pPr>
      <w:r>
        <w:t>The patient safety team work with procurement to review any product shortages or issues, assess patient risk and communicate information to relevant clinical teams</w:t>
      </w:r>
    </w:p>
    <w:p w14:paraId="3747F7AC" w14:textId="77777777" w:rsidR="00494D8B" w:rsidRDefault="00C60DCC" w:rsidP="00C05445">
      <w:r>
        <w:br w:type="page"/>
      </w:r>
    </w:p>
    <w:p w14:paraId="5EF54AD6" w14:textId="77777777" w:rsidR="00307F59" w:rsidRPr="00307F59" w:rsidRDefault="00307F59" w:rsidP="00307F59">
      <w:pPr>
        <w:pStyle w:val="Heading2"/>
        <w:rPr>
          <w:rFonts w:ascii="Segoe UI" w:eastAsia="Times New Roman" w:hAnsi="Segoe UI" w:cs="Segoe UI"/>
          <w:sz w:val="18"/>
          <w:szCs w:val="18"/>
          <w:lang w:eastAsia="en-NZ"/>
        </w:rPr>
      </w:pPr>
      <w:bookmarkStart w:id="21" w:name="_Toc209611240"/>
      <w:r w:rsidRPr="00307F59">
        <w:rPr>
          <w:rFonts w:eastAsia="Times New Roman"/>
          <w:lang w:eastAsia="en-NZ"/>
        </w:rPr>
        <w:lastRenderedPageBreak/>
        <w:t>Behaviour</w:t>
      </w:r>
      <w:bookmarkEnd w:id="21"/>
      <w:r w:rsidRPr="00307F59">
        <w:rPr>
          <w:rFonts w:eastAsia="Times New Roman"/>
          <w:lang w:eastAsia="en-NZ"/>
        </w:rPr>
        <w:t> </w:t>
      </w:r>
    </w:p>
    <w:p w14:paraId="0344ED48" w14:textId="77777777" w:rsidR="00307F59" w:rsidRPr="00307F59" w:rsidRDefault="00307F59" w:rsidP="00307F59">
      <w:pPr>
        <w:rPr>
          <w:rFonts w:ascii="Segoe UI" w:hAnsi="Segoe UI" w:cs="Segoe UI"/>
          <w:sz w:val="18"/>
          <w:szCs w:val="18"/>
          <w:lang w:eastAsia="en-NZ"/>
        </w:rPr>
      </w:pPr>
      <w:r w:rsidRPr="00307F59">
        <w:rPr>
          <w:lang w:eastAsia="en-NZ"/>
        </w:rPr>
        <w:t>There was one behaviour related event. This was a SAC 2 event.  </w:t>
      </w:r>
    </w:p>
    <w:p w14:paraId="064F881A" w14:textId="77777777" w:rsidR="00494D8B" w:rsidRPr="00307F59" w:rsidRDefault="00307F59" w:rsidP="00C05445">
      <w:pPr>
        <w:rPr>
          <w:rFonts w:ascii="Segoe UI" w:hAnsi="Segoe UI" w:cs="Segoe UI"/>
          <w:sz w:val="18"/>
          <w:szCs w:val="18"/>
          <w:lang w:eastAsia="en-NZ"/>
        </w:rPr>
      </w:pPr>
      <w:r w:rsidRPr="00307F59">
        <w:rPr>
          <w:lang w:eastAsia="en-NZ"/>
        </w:rPr>
        <w:t xml:space="preserve">Patient ethnicity: </w:t>
      </w:r>
      <w:r w:rsidRPr="00307F59">
        <w:rPr>
          <w:lang w:val="mi-NZ" w:eastAsia="en-NZ"/>
        </w:rPr>
        <w:t>European (n=1)</w:t>
      </w:r>
      <w:r w:rsidRPr="00307F59">
        <w:rPr>
          <w:lang w:eastAsia="en-NZ"/>
        </w:rPr>
        <w:t> </w:t>
      </w:r>
    </w:p>
    <w:p w14:paraId="3424EF9E" w14:textId="764AE665" w:rsidR="00307F59" w:rsidRDefault="00307F59" w:rsidP="00721621">
      <w:pPr>
        <w:pStyle w:val="Figure"/>
      </w:pPr>
      <w:r>
        <w:t xml:space="preserve">Table </w:t>
      </w:r>
      <w:r>
        <w:fldChar w:fldCharType="begin"/>
      </w:r>
      <w:r>
        <w:instrText>SEQ Table \* ARABIC</w:instrText>
      </w:r>
      <w:r>
        <w:fldChar w:fldCharType="separate"/>
      </w:r>
      <w:r w:rsidR="00392FC2">
        <w:rPr>
          <w:noProof/>
        </w:rPr>
        <w:t>14</w:t>
      </w:r>
      <w:r>
        <w:fldChar w:fldCharType="end"/>
      </w:r>
      <w:r>
        <w:t xml:space="preserve">: Behaviour </w:t>
      </w:r>
      <w:r w:rsidRPr="00177476">
        <w:t>events 1 July 2023 to 30 June 2024</w:t>
      </w:r>
    </w:p>
    <w:tbl>
      <w:tblPr>
        <w:tblStyle w:val="TeWhatuOra"/>
        <w:tblW w:w="5000" w:type="pct"/>
        <w:tblLook w:val="04A0" w:firstRow="1" w:lastRow="0" w:firstColumn="1" w:lastColumn="0" w:noHBand="0" w:noVBand="1"/>
      </w:tblPr>
      <w:tblGrid>
        <w:gridCol w:w="1117"/>
        <w:gridCol w:w="8521"/>
      </w:tblGrid>
      <w:tr w:rsidR="00DA61C7" w:rsidRPr="00C05445" w14:paraId="668D11BF" w14:textId="77777777" w:rsidTr="0013756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17" w:type="dxa"/>
            <w:tcBorders>
              <w:top w:val="single" w:sz="4" w:space="0" w:color="003399" w:themeColor="accent3"/>
              <w:bottom w:val="single" w:sz="4" w:space="0" w:color="003399" w:themeColor="accent3"/>
              <w:right w:val="single" w:sz="4" w:space="0" w:color="auto"/>
            </w:tcBorders>
          </w:tcPr>
          <w:p w14:paraId="7271F914" w14:textId="1DEE5CF6" w:rsidR="00DA61C7" w:rsidRPr="0048172C" w:rsidRDefault="0048172C" w:rsidP="00494D8B">
            <w:pPr>
              <w:spacing w:before="0" w:after="160" w:line="259" w:lineRule="auto"/>
              <w:rPr>
                <w:bCs/>
              </w:rPr>
            </w:pPr>
            <w:r>
              <w:rPr>
                <w:bCs/>
              </w:rPr>
              <w:t>Number</w:t>
            </w:r>
          </w:p>
        </w:tc>
        <w:tc>
          <w:tcPr>
            <w:tcW w:w="8521" w:type="dxa"/>
            <w:tcBorders>
              <w:top w:val="single" w:sz="4" w:space="0" w:color="003399" w:themeColor="accent3"/>
              <w:left w:val="single" w:sz="4" w:space="0" w:color="auto"/>
              <w:bottom w:val="single" w:sz="4" w:space="0" w:color="003399" w:themeColor="accent3"/>
            </w:tcBorders>
          </w:tcPr>
          <w:p w14:paraId="08094447" w14:textId="385FD39F" w:rsidR="00DA61C7" w:rsidRPr="00C05445" w:rsidRDefault="0048172C" w:rsidP="00494D8B">
            <w:pPr>
              <w:spacing w:before="0" w:after="160" w:line="259" w:lineRule="auto"/>
              <w:cnfStyle w:val="100000000000" w:firstRow="1" w:lastRow="0" w:firstColumn="0" w:lastColumn="0" w:oddVBand="0" w:evenVBand="0" w:oddHBand="0" w:evenHBand="0" w:firstRowFirstColumn="0" w:firstRowLastColumn="0" w:lastRowFirstColumn="0" w:lastRowLastColumn="0"/>
            </w:pPr>
            <w:r>
              <w:t>Event summaries</w:t>
            </w:r>
          </w:p>
        </w:tc>
      </w:tr>
      <w:tr w:rsidR="00C71967" w:rsidRPr="00C05445" w14:paraId="6AE5E56C" w14:textId="77777777" w:rsidTr="00DA61C7">
        <w:tc>
          <w:tcPr>
            <w:cnfStyle w:val="001000000000" w:firstRow="0" w:lastRow="0" w:firstColumn="1" w:lastColumn="0" w:oddVBand="0" w:evenVBand="0" w:oddHBand="0" w:evenHBand="0" w:firstRowFirstColumn="0" w:firstRowLastColumn="0" w:lastRowFirstColumn="0" w:lastRowLastColumn="0"/>
            <w:tcW w:w="1117" w:type="dxa"/>
            <w:tcBorders>
              <w:top w:val="single" w:sz="4" w:space="0" w:color="003399" w:themeColor="accent3"/>
            </w:tcBorders>
          </w:tcPr>
          <w:p w14:paraId="4CEECC8D" w14:textId="77777777" w:rsidR="00C71967" w:rsidRPr="00721621" w:rsidRDefault="00C71967" w:rsidP="00721621">
            <w:r w:rsidRPr="00721621">
              <w:t>1 </w:t>
            </w:r>
          </w:p>
        </w:tc>
        <w:tc>
          <w:tcPr>
            <w:tcW w:w="8521" w:type="dxa"/>
            <w:tcBorders>
              <w:top w:val="single" w:sz="4" w:space="0" w:color="003399" w:themeColor="accent3"/>
            </w:tcBorders>
          </w:tcPr>
          <w:p w14:paraId="002A1EA2" w14:textId="77777777" w:rsidR="00C71967" w:rsidRPr="00721621" w:rsidRDefault="00C71967" w:rsidP="00721621">
            <w:pPr>
              <w:cnfStyle w:val="000000000000" w:firstRow="0" w:lastRow="0" w:firstColumn="0" w:lastColumn="0" w:oddVBand="0" w:evenVBand="0" w:oddHBand="0" w:evenHBand="0" w:firstRowFirstColumn="0" w:firstRowLastColumn="0" w:lastRowFirstColumn="0" w:lastRowLastColumn="0"/>
            </w:pPr>
            <w:r w:rsidRPr="00721621">
              <w:t>One patient experienced psychological harm as a result of inpatient care </w:t>
            </w:r>
          </w:p>
        </w:tc>
      </w:tr>
    </w:tbl>
    <w:p w14:paraId="109F3F66" w14:textId="77777777" w:rsidR="007E12E3" w:rsidRDefault="007E12E3" w:rsidP="007E12E3">
      <w:pPr>
        <w:spacing w:before="0" w:after="160" w:line="259" w:lineRule="auto"/>
      </w:pPr>
    </w:p>
    <w:p w14:paraId="484FE1C7" w14:textId="77777777" w:rsidR="007E12E3" w:rsidRPr="0021771E" w:rsidRDefault="00C71967" w:rsidP="007E12E3">
      <w:pPr>
        <w:pStyle w:val="Box"/>
        <w:shd w:val="clear" w:color="auto" w:fill="F6F4EC" w:themeFill="background2"/>
        <w:rPr>
          <w:b/>
          <w:bCs/>
        </w:rPr>
      </w:pPr>
      <w:r>
        <w:rPr>
          <w:b/>
          <w:bCs/>
        </w:rPr>
        <w:t>What we are doing to reduce behaviour related events:</w:t>
      </w:r>
    </w:p>
    <w:p w14:paraId="3B957233" w14:textId="77777777" w:rsidR="007E12E3" w:rsidRDefault="00C60DCC" w:rsidP="007E12E3">
      <w:pPr>
        <w:pStyle w:val="BoxBullet"/>
        <w:shd w:val="clear" w:color="auto" w:fill="F6F4EC" w:themeFill="background2"/>
      </w:pPr>
      <w:r>
        <w:t xml:space="preserve">The feasibility of developing an AI teaching and feedback tool for clinicians to improve person and whānau-centred care and communication </w:t>
      </w:r>
      <w:r w:rsidR="001E2262">
        <w:t>is</w:t>
      </w:r>
      <w:r>
        <w:t xml:space="preserve"> currently under investigation</w:t>
      </w:r>
    </w:p>
    <w:p w14:paraId="6F4ADF5F" w14:textId="77777777" w:rsidR="007E12E3" w:rsidRDefault="00C71967" w:rsidP="007E12E3">
      <w:pPr>
        <w:pStyle w:val="BoxBullet"/>
        <w:shd w:val="clear" w:color="auto" w:fill="F6F4EC" w:themeFill="background2"/>
      </w:pPr>
      <w:r>
        <w:t>Te Mauri o Rongo (The New Zealand Health Charter) sets out expectations for staff, management, and organisational behaviour. Training on putting Te Mauri o Rongo into prac</w:t>
      </w:r>
      <w:r w:rsidR="009C055C">
        <w:t>tice is available for all staff</w:t>
      </w:r>
    </w:p>
    <w:p w14:paraId="26683F57" w14:textId="77777777" w:rsidR="007E12E3" w:rsidRDefault="001E2262" w:rsidP="007E12E3">
      <w:pPr>
        <w:pStyle w:val="BoxBullet"/>
        <w:shd w:val="clear" w:color="auto" w:fill="F6F4EC" w:themeFill="background2"/>
      </w:pPr>
      <w:r>
        <w:t xml:space="preserve">Findings from the HNZ Pulse survey, a tool for measuring staff wellbeing, have been </w:t>
      </w:r>
      <w:r w:rsidR="00C71967">
        <w:t>disseminated to managers</w:t>
      </w:r>
      <w:r>
        <w:t>. The findings will be used</w:t>
      </w:r>
      <w:r w:rsidR="00C71967">
        <w:t xml:space="preserve"> to guide </w:t>
      </w:r>
      <w:r w:rsidR="00CD34B8">
        <w:t xml:space="preserve">organisational development </w:t>
      </w:r>
      <w:r w:rsidR="00C71967">
        <w:t xml:space="preserve">activities to improve wellbeing </w:t>
      </w:r>
      <w:r w:rsidR="00CD34B8">
        <w:t>within</w:t>
      </w:r>
      <w:r w:rsidR="009C055C">
        <w:t xml:space="preserve"> teams</w:t>
      </w:r>
    </w:p>
    <w:p w14:paraId="0852C1F4" w14:textId="77777777" w:rsidR="00C733B9" w:rsidRDefault="00C733B9" w:rsidP="007E12E3">
      <w:pPr>
        <w:pStyle w:val="BoxBullet"/>
        <w:shd w:val="clear" w:color="auto" w:fill="F6F4EC" w:themeFill="background2"/>
      </w:pPr>
      <w:r>
        <w:t xml:space="preserve">HNZ has released a new training series for all frontline clinical </w:t>
      </w:r>
      <w:r w:rsidR="001E2262">
        <w:t>staff that</w:t>
      </w:r>
      <w:r>
        <w:t xml:space="preserve"> focuses on de-escalation techniques and communication with patients and </w:t>
      </w:r>
      <w:r w:rsidR="003010A1">
        <w:t>whānau</w:t>
      </w:r>
      <w:r w:rsidR="001E2262">
        <w:t>. This has been advertised and we have encouraged our staff to complete the training</w:t>
      </w:r>
    </w:p>
    <w:p w14:paraId="69E75CD8" w14:textId="77777777" w:rsidR="00494D8B" w:rsidRDefault="00C60DCC" w:rsidP="00C05445">
      <w:r>
        <w:br w:type="page"/>
      </w:r>
    </w:p>
    <w:p w14:paraId="6BE1B4F1" w14:textId="77777777" w:rsidR="00307F59" w:rsidRPr="00307F59" w:rsidRDefault="00307F59" w:rsidP="00307F59">
      <w:pPr>
        <w:pStyle w:val="Heading2"/>
        <w:rPr>
          <w:rFonts w:ascii="Segoe UI" w:eastAsia="Times New Roman" w:hAnsi="Segoe UI" w:cs="Segoe UI"/>
          <w:sz w:val="18"/>
          <w:szCs w:val="18"/>
          <w:lang w:eastAsia="en-NZ"/>
        </w:rPr>
      </w:pPr>
      <w:bookmarkStart w:id="22" w:name="_Toc209611241"/>
      <w:r w:rsidRPr="00307F59">
        <w:rPr>
          <w:rFonts w:eastAsia="Times New Roman"/>
          <w:lang w:eastAsia="en-NZ"/>
        </w:rPr>
        <w:lastRenderedPageBreak/>
        <w:t>Falls</w:t>
      </w:r>
      <w:bookmarkEnd w:id="22"/>
      <w:r w:rsidRPr="00307F59">
        <w:rPr>
          <w:rFonts w:eastAsia="Times New Roman"/>
          <w:lang w:eastAsia="en-NZ"/>
        </w:rPr>
        <w:t xml:space="preserve"> </w:t>
      </w:r>
    </w:p>
    <w:p w14:paraId="4CE75FA9" w14:textId="77777777" w:rsidR="00307F59" w:rsidRPr="00307F59" w:rsidRDefault="00307F59" w:rsidP="00307F59">
      <w:pPr>
        <w:rPr>
          <w:rFonts w:ascii="Segoe UI" w:hAnsi="Segoe UI" w:cs="Segoe UI"/>
          <w:sz w:val="18"/>
          <w:szCs w:val="18"/>
          <w:lang w:eastAsia="en-NZ"/>
        </w:rPr>
      </w:pPr>
      <w:r w:rsidRPr="00307F59">
        <w:rPr>
          <w:lang w:eastAsia="en-NZ"/>
        </w:rPr>
        <w:t xml:space="preserve">There were 24 falls causing serious harm in this reporting period. </w:t>
      </w:r>
      <w:r w:rsidR="008F0EFB">
        <w:rPr>
          <w:lang w:eastAsia="en-NZ"/>
        </w:rPr>
        <w:t xml:space="preserve">A fall with serious harm is considered to be one in which a patient experiences a head injury or significant fracture as a result of a fall. </w:t>
      </w:r>
      <w:r w:rsidRPr="00307F59">
        <w:rPr>
          <w:lang w:eastAsia="en-NZ"/>
        </w:rPr>
        <w:t>One of the</w:t>
      </w:r>
      <w:r w:rsidR="008F0EFB">
        <w:rPr>
          <w:lang w:eastAsia="en-NZ"/>
        </w:rPr>
        <w:t xml:space="preserve"> fall events</w:t>
      </w:r>
      <w:r w:rsidRPr="00307F59">
        <w:rPr>
          <w:lang w:eastAsia="en-NZ"/>
        </w:rPr>
        <w:t xml:space="preserve"> was a SAC 1.  </w:t>
      </w:r>
    </w:p>
    <w:p w14:paraId="634DB5A0" w14:textId="77777777" w:rsidR="00307F59" w:rsidRPr="00307F59" w:rsidRDefault="008F0EFB" w:rsidP="00307F59">
      <w:pPr>
        <w:rPr>
          <w:rFonts w:ascii="Segoe UI" w:hAnsi="Segoe UI" w:cs="Segoe UI"/>
          <w:sz w:val="18"/>
          <w:szCs w:val="18"/>
          <w:lang w:eastAsia="en-NZ"/>
        </w:rPr>
      </w:pPr>
      <w:r w:rsidRPr="00307F59">
        <w:rPr>
          <w:lang w:eastAsia="en-NZ"/>
        </w:rPr>
        <w:t>Th</w:t>
      </w:r>
      <w:r>
        <w:rPr>
          <w:lang w:eastAsia="en-NZ"/>
        </w:rPr>
        <w:t>ese</w:t>
      </w:r>
      <w:r w:rsidRPr="00307F59">
        <w:rPr>
          <w:lang w:eastAsia="en-NZ"/>
        </w:rPr>
        <w:t xml:space="preserve"> </w:t>
      </w:r>
      <w:r w:rsidR="00307F59" w:rsidRPr="00307F59">
        <w:rPr>
          <w:lang w:eastAsia="en-NZ"/>
        </w:rPr>
        <w:t>fall</w:t>
      </w:r>
      <w:r>
        <w:rPr>
          <w:lang w:eastAsia="en-NZ"/>
        </w:rPr>
        <w:t xml:space="preserve"> events</w:t>
      </w:r>
      <w:r w:rsidR="00307F59" w:rsidRPr="00307F59">
        <w:rPr>
          <w:lang w:eastAsia="en-NZ"/>
        </w:rPr>
        <w:t xml:space="preserve"> primarily occurred amongst the older adult population across different hospital locations. A range of environmental, assessment, care planning, and process factors were found to have contributed to these events. Unfortunately, sometimes falls do occur despite safety huddles and appropriate falls assessment and management.  </w:t>
      </w:r>
    </w:p>
    <w:p w14:paraId="373DB628" w14:textId="77777777" w:rsidR="00307F59" w:rsidRPr="00307F59" w:rsidRDefault="00307F59" w:rsidP="00307F59">
      <w:pPr>
        <w:rPr>
          <w:rFonts w:ascii="Segoe UI" w:hAnsi="Segoe UI" w:cs="Segoe UI"/>
          <w:sz w:val="18"/>
          <w:szCs w:val="18"/>
          <w:lang w:eastAsia="en-NZ"/>
        </w:rPr>
      </w:pPr>
      <w:r w:rsidRPr="00307F59">
        <w:rPr>
          <w:lang w:eastAsia="en-NZ"/>
        </w:rPr>
        <w:t>Patient ethnicity: Māori (n=3), Asian (n=2) and European (n=19)  </w:t>
      </w:r>
    </w:p>
    <w:p w14:paraId="5582001C" w14:textId="773ADE46" w:rsidR="00307F59" w:rsidRDefault="00307F59" w:rsidP="00AB1D3E">
      <w:pPr>
        <w:pStyle w:val="Figure"/>
      </w:pPr>
      <w:r>
        <w:t xml:space="preserve">Table </w:t>
      </w:r>
      <w:r>
        <w:fldChar w:fldCharType="begin"/>
      </w:r>
      <w:r>
        <w:instrText>SEQ Table \* ARABIC</w:instrText>
      </w:r>
      <w:r>
        <w:fldChar w:fldCharType="separate"/>
      </w:r>
      <w:r w:rsidR="00392FC2">
        <w:rPr>
          <w:noProof/>
        </w:rPr>
        <w:t>15</w:t>
      </w:r>
      <w:r>
        <w:fldChar w:fldCharType="end"/>
      </w:r>
      <w:r>
        <w:t>: Fall</w:t>
      </w:r>
      <w:r w:rsidR="008F0EFB">
        <w:t xml:space="preserve">s </w:t>
      </w:r>
      <w:r w:rsidRPr="00DC1BFA">
        <w:t>1 July 2023 to 30 June 2024</w:t>
      </w:r>
    </w:p>
    <w:tbl>
      <w:tblPr>
        <w:tblStyle w:val="TeWhatuOra"/>
        <w:tblW w:w="9639" w:type="dxa"/>
        <w:tblLook w:val="04A0" w:firstRow="1" w:lastRow="0" w:firstColumn="1" w:lastColumn="0" w:noHBand="0" w:noVBand="1"/>
      </w:tblPr>
      <w:tblGrid>
        <w:gridCol w:w="1117"/>
        <w:gridCol w:w="8522"/>
      </w:tblGrid>
      <w:tr w:rsidR="00DA61C7" w:rsidRPr="00C05445" w14:paraId="1765E641" w14:textId="77777777" w:rsidTr="003C4FA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17" w:type="dxa"/>
            <w:tcBorders>
              <w:top w:val="single" w:sz="4" w:space="0" w:color="003399" w:themeColor="accent3"/>
              <w:bottom w:val="single" w:sz="4" w:space="0" w:color="003399" w:themeColor="accent3"/>
              <w:right w:val="single" w:sz="4" w:space="0" w:color="auto"/>
            </w:tcBorders>
          </w:tcPr>
          <w:p w14:paraId="34C39129" w14:textId="56BA3CA2" w:rsidR="00DA61C7" w:rsidRPr="003C4FA5" w:rsidRDefault="00137566" w:rsidP="00845F13">
            <w:pPr>
              <w:spacing w:before="0" w:after="160" w:line="259" w:lineRule="auto"/>
              <w:rPr>
                <w:bCs/>
              </w:rPr>
            </w:pPr>
            <w:r w:rsidRPr="003C4FA5">
              <w:rPr>
                <w:bCs/>
              </w:rPr>
              <w:t>Number</w:t>
            </w:r>
          </w:p>
        </w:tc>
        <w:tc>
          <w:tcPr>
            <w:tcW w:w="8522" w:type="dxa"/>
            <w:tcBorders>
              <w:top w:val="single" w:sz="4" w:space="0" w:color="003399" w:themeColor="accent3"/>
              <w:left w:val="single" w:sz="4" w:space="0" w:color="auto"/>
              <w:bottom w:val="single" w:sz="4" w:space="0" w:color="003399" w:themeColor="accent3"/>
            </w:tcBorders>
          </w:tcPr>
          <w:p w14:paraId="774B1B5E" w14:textId="0E04E23C" w:rsidR="00DA61C7" w:rsidRPr="00C05445" w:rsidRDefault="00137566" w:rsidP="00845F13">
            <w:pPr>
              <w:spacing w:before="0" w:after="160" w:line="259" w:lineRule="auto"/>
              <w:cnfStyle w:val="100000000000" w:firstRow="1" w:lastRow="0" w:firstColumn="0" w:lastColumn="0" w:oddVBand="0" w:evenVBand="0" w:oddHBand="0" w:evenHBand="0" w:firstRowFirstColumn="0" w:firstRowLastColumn="0" w:lastRowFirstColumn="0" w:lastRowLastColumn="0"/>
            </w:pPr>
            <w:r>
              <w:t>Event summaries</w:t>
            </w:r>
          </w:p>
        </w:tc>
      </w:tr>
      <w:tr w:rsidR="00074CEB" w:rsidRPr="00C05445" w14:paraId="3D6132AF" w14:textId="77777777" w:rsidTr="00DA61C7">
        <w:tc>
          <w:tcPr>
            <w:cnfStyle w:val="001000000000" w:firstRow="0" w:lastRow="0" w:firstColumn="1" w:lastColumn="0" w:oddVBand="0" w:evenVBand="0" w:oddHBand="0" w:evenHBand="0" w:firstRowFirstColumn="0" w:firstRowLastColumn="0" w:lastRowFirstColumn="0" w:lastRowLastColumn="0"/>
            <w:tcW w:w="1117" w:type="dxa"/>
            <w:tcBorders>
              <w:top w:val="single" w:sz="4" w:space="0" w:color="003399" w:themeColor="accent3"/>
            </w:tcBorders>
          </w:tcPr>
          <w:p w14:paraId="3B3EFDE4" w14:textId="77777777" w:rsidR="00074CEB" w:rsidRPr="00721621" w:rsidRDefault="00074CEB" w:rsidP="00721621">
            <w:r w:rsidRPr="00721621">
              <w:t>4  </w:t>
            </w:r>
          </w:p>
        </w:tc>
        <w:tc>
          <w:tcPr>
            <w:tcW w:w="8522" w:type="dxa"/>
            <w:tcBorders>
              <w:top w:val="single" w:sz="4" w:space="0" w:color="003399" w:themeColor="accent3"/>
            </w:tcBorders>
          </w:tcPr>
          <w:p w14:paraId="7A9EE918" w14:textId="77777777" w:rsidR="00074CEB" w:rsidRPr="00721621" w:rsidRDefault="00074CEB" w:rsidP="00721621">
            <w:pPr>
              <w:cnfStyle w:val="000000000000" w:firstRow="0" w:lastRow="0" w:firstColumn="0" w:lastColumn="0" w:oddVBand="0" w:evenVBand="0" w:oddHBand="0" w:evenHBand="0" w:firstRowFirstColumn="0" w:firstRowLastColumn="0" w:lastRowFirstColumn="0" w:lastRowLastColumn="0"/>
            </w:pPr>
            <w:r w:rsidRPr="00721621">
              <w:t>Four patients had a fall while supervised resulting in fracture or head injury </w:t>
            </w:r>
          </w:p>
        </w:tc>
      </w:tr>
      <w:tr w:rsidR="00074CEB" w:rsidRPr="00C05445" w14:paraId="1A873CB0" w14:textId="77777777" w:rsidTr="00845F13">
        <w:tc>
          <w:tcPr>
            <w:cnfStyle w:val="001000000000" w:firstRow="0" w:lastRow="0" w:firstColumn="1" w:lastColumn="0" w:oddVBand="0" w:evenVBand="0" w:oddHBand="0" w:evenHBand="0" w:firstRowFirstColumn="0" w:firstRowLastColumn="0" w:lastRowFirstColumn="0" w:lastRowLastColumn="0"/>
            <w:tcW w:w="1117" w:type="dxa"/>
          </w:tcPr>
          <w:p w14:paraId="54E22BE1" w14:textId="77777777" w:rsidR="00074CEB" w:rsidRPr="00721621" w:rsidRDefault="00074CEB" w:rsidP="00721621">
            <w:r w:rsidRPr="00721621">
              <w:t>10  </w:t>
            </w:r>
          </w:p>
        </w:tc>
        <w:tc>
          <w:tcPr>
            <w:tcW w:w="8522" w:type="dxa"/>
          </w:tcPr>
          <w:p w14:paraId="03BA3B72" w14:textId="77777777" w:rsidR="00074CEB" w:rsidRPr="00721621" w:rsidRDefault="00074CEB" w:rsidP="00721621">
            <w:pPr>
              <w:cnfStyle w:val="000000000000" w:firstRow="0" w:lastRow="0" w:firstColumn="0" w:lastColumn="0" w:oddVBand="0" w:evenVBand="0" w:oddHBand="0" w:evenHBand="0" w:firstRowFirstColumn="0" w:firstRowLastColumn="0" w:lastRowFirstColumn="0" w:lastRowLastColumn="0"/>
            </w:pPr>
            <w:r w:rsidRPr="00721621">
              <w:t>Ten patients had an unwitnessed fall while mobilising resulting in a fracture </w:t>
            </w:r>
          </w:p>
        </w:tc>
      </w:tr>
      <w:tr w:rsidR="00074CEB" w:rsidRPr="00C05445" w14:paraId="127B8009" w14:textId="77777777" w:rsidTr="00845F13">
        <w:tc>
          <w:tcPr>
            <w:cnfStyle w:val="001000000000" w:firstRow="0" w:lastRow="0" w:firstColumn="1" w:lastColumn="0" w:oddVBand="0" w:evenVBand="0" w:oddHBand="0" w:evenHBand="0" w:firstRowFirstColumn="0" w:firstRowLastColumn="0" w:lastRowFirstColumn="0" w:lastRowLastColumn="0"/>
            <w:tcW w:w="1117" w:type="dxa"/>
          </w:tcPr>
          <w:p w14:paraId="512FEF39" w14:textId="77777777" w:rsidR="00074CEB" w:rsidRPr="00721621" w:rsidRDefault="00074CEB" w:rsidP="00721621">
            <w:r w:rsidRPr="00721621">
              <w:t>7 </w:t>
            </w:r>
          </w:p>
        </w:tc>
        <w:tc>
          <w:tcPr>
            <w:tcW w:w="8522" w:type="dxa"/>
          </w:tcPr>
          <w:p w14:paraId="36F93BE5" w14:textId="77777777" w:rsidR="00074CEB" w:rsidRPr="00721621" w:rsidRDefault="00074CEB" w:rsidP="00721621">
            <w:pPr>
              <w:cnfStyle w:val="000000000000" w:firstRow="0" w:lastRow="0" w:firstColumn="0" w:lastColumn="0" w:oddVBand="0" w:evenVBand="0" w:oddHBand="0" w:evenHBand="0" w:firstRowFirstColumn="0" w:firstRowLastColumn="0" w:lastRowFirstColumn="0" w:lastRowLastColumn="0"/>
            </w:pPr>
            <w:r w:rsidRPr="00721621">
              <w:t>Seven patients had an unwitnessed fall from a bed chair or the toilet resulting in a fracture </w:t>
            </w:r>
          </w:p>
        </w:tc>
      </w:tr>
      <w:tr w:rsidR="00074CEB" w:rsidRPr="00C05445" w14:paraId="1F14C766" w14:textId="77777777" w:rsidTr="00845F13">
        <w:tc>
          <w:tcPr>
            <w:cnfStyle w:val="001000000000" w:firstRow="0" w:lastRow="0" w:firstColumn="1" w:lastColumn="0" w:oddVBand="0" w:evenVBand="0" w:oddHBand="0" w:evenHBand="0" w:firstRowFirstColumn="0" w:firstRowLastColumn="0" w:lastRowFirstColumn="0" w:lastRowLastColumn="0"/>
            <w:tcW w:w="1117" w:type="dxa"/>
          </w:tcPr>
          <w:p w14:paraId="26EB8375" w14:textId="77777777" w:rsidR="00074CEB" w:rsidRPr="00721621" w:rsidRDefault="00074CEB" w:rsidP="00721621">
            <w:r w:rsidRPr="00721621">
              <w:t>3 </w:t>
            </w:r>
          </w:p>
        </w:tc>
        <w:tc>
          <w:tcPr>
            <w:tcW w:w="8522" w:type="dxa"/>
          </w:tcPr>
          <w:p w14:paraId="341EDD19" w14:textId="77777777" w:rsidR="00074CEB" w:rsidRPr="00721621" w:rsidRDefault="00074CEB" w:rsidP="00721621">
            <w:pPr>
              <w:cnfStyle w:val="000000000000" w:firstRow="0" w:lastRow="0" w:firstColumn="0" w:lastColumn="0" w:oddVBand="0" w:evenVBand="0" w:oddHBand="0" w:evenHBand="0" w:firstRowFirstColumn="0" w:firstRowLastColumn="0" w:lastRowFirstColumn="0" w:lastRowLastColumn="0"/>
            </w:pPr>
            <w:r w:rsidRPr="00721621">
              <w:t>Three patients had an unwitnessed fall resulting in a head injury or non-bony injury </w:t>
            </w:r>
          </w:p>
        </w:tc>
      </w:tr>
    </w:tbl>
    <w:p w14:paraId="7B325A2F" w14:textId="77777777" w:rsidR="00307F59" w:rsidRDefault="00307F59" w:rsidP="00307F59">
      <w:pPr>
        <w:spacing w:before="0" w:after="160" w:line="259" w:lineRule="auto"/>
      </w:pPr>
    </w:p>
    <w:p w14:paraId="55BABDE0" w14:textId="77777777" w:rsidR="00307F59" w:rsidRPr="0021771E" w:rsidRDefault="00410155" w:rsidP="00307F59">
      <w:pPr>
        <w:pStyle w:val="Box"/>
        <w:shd w:val="clear" w:color="auto" w:fill="F6F4EC" w:themeFill="background2"/>
        <w:rPr>
          <w:b/>
          <w:bCs/>
        </w:rPr>
      </w:pPr>
      <w:r>
        <w:rPr>
          <w:b/>
          <w:bCs/>
        </w:rPr>
        <w:t xml:space="preserve">What </w:t>
      </w:r>
      <w:r w:rsidR="00074CEB">
        <w:rPr>
          <w:b/>
          <w:bCs/>
        </w:rPr>
        <w:t>we</w:t>
      </w:r>
      <w:r>
        <w:rPr>
          <w:b/>
          <w:bCs/>
        </w:rPr>
        <w:t xml:space="preserve"> are</w:t>
      </w:r>
      <w:r w:rsidR="00074CEB">
        <w:rPr>
          <w:b/>
          <w:bCs/>
        </w:rPr>
        <w:t xml:space="preserve"> doing to reduce patient harm from falls:</w:t>
      </w:r>
    </w:p>
    <w:p w14:paraId="78131D81" w14:textId="77777777" w:rsidR="00307F59" w:rsidRDefault="00EA0FD4" w:rsidP="00307F59">
      <w:pPr>
        <w:pStyle w:val="BoxBullet"/>
        <w:shd w:val="clear" w:color="auto" w:fill="F6F4EC" w:themeFill="background2"/>
      </w:pPr>
      <w:r w:rsidRPr="00A42043">
        <w:rPr>
          <w:rFonts w:ascii="Arial" w:eastAsia="Arial" w:hAnsi="Arial" w:cs="Arial"/>
        </w:rPr>
        <w:t xml:space="preserve">We have re-established the </w:t>
      </w:r>
      <w:r w:rsidR="008F0EFB">
        <w:rPr>
          <w:rFonts w:ascii="Arial" w:eastAsia="Arial" w:hAnsi="Arial" w:cs="Arial"/>
        </w:rPr>
        <w:t>F</w:t>
      </w:r>
      <w:r w:rsidRPr="00A42043">
        <w:rPr>
          <w:rFonts w:ascii="Arial" w:eastAsia="Arial" w:hAnsi="Arial" w:cs="Arial"/>
        </w:rPr>
        <w:t xml:space="preserve">alls </w:t>
      </w:r>
      <w:r w:rsidR="008F0EFB">
        <w:rPr>
          <w:rFonts w:ascii="Arial" w:eastAsia="Arial" w:hAnsi="Arial" w:cs="Arial"/>
        </w:rPr>
        <w:t>C</w:t>
      </w:r>
      <w:r w:rsidRPr="00A42043">
        <w:rPr>
          <w:rFonts w:ascii="Arial" w:eastAsia="Arial" w:hAnsi="Arial" w:cs="Arial"/>
        </w:rPr>
        <w:t xml:space="preserve">ommittee as </w:t>
      </w:r>
      <w:r w:rsidR="00D86ABE">
        <w:rPr>
          <w:rFonts w:ascii="Arial" w:eastAsia="Arial" w:hAnsi="Arial" w:cs="Arial"/>
        </w:rPr>
        <w:t>the</w:t>
      </w:r>
      <w:r w:rsidRPr="00A42043">
        <w:rPr>
          <w:rFonts w:ascii="Arial" w:eastAsia="Arial" w:hAnsi="Arial" w:cs="Arial"/>
        </w:rPr>
        <w:t xml:space="preserve"> district wide</w:t>
      </w:r>
      <w:r w:rsidR="00074CEB">
        <w:t xml:space="preserve"> Falls Prevention Committee </w:t>
      </w:r>
      <w:r w:rsidR="008F0EFB">
        <w:rPr>
          <w:rFonts w:ascii="Arial" w:eastAsia="Arial" w:hAnsi="Arial" w:cs="Arial"/>
        </w:rPr>
        <w:t>with</w:t>
      </w:r>
      <w:r w:rsidRPr="00A42043">
        <w:rPr>
          <w:rFonts w:ascii="Arial" w:eastAsia="Arial" w:hAnsi="Arial" w:cs="Arial"/>
        </w:rPr>
        <w:t xml:space="preserve"> representation from a range of professional groups</w:t>
      </w:r>
      <w:r w:rsidR="008F0EFB">
        <w:rPr>
          <w:rFonts w:ascii="Arial" w:eastAsia="Arial" w:hAnsi="Arial" w:cs="Arial"/>
        </w:rPr>
        <w:t>. The Committee</w:t>
      </w:r>
      <w:r w:rsidRPr="00A42043">
        <w:rPr>
          <w:rFonts w:ascii="Arial" w:eastAsia="Arial" w:hAnsi="Arial" w:cs="Arial"/>
        </w:rPr>
        <w:t xml:space="preserve"> is working on aligning policies and procedures related to falls prevention</w:t>
      </w:r>
      <w:r w:rsidR="008F0EFB">
        <w:rPr>
          <w:rFonts w:ascii="Arial" w:eastAsia="Arial" w:hAnsi="Arial" w:cs="Arial"/>
        </w:rPr>
        <w:t>, education</w:t>
      </w:r>
      <w:r w:rsidRPr="00A42043">
        <w:rPr>
          <w:rFonts w:ascii="Arial" w:eastAsia="Arial" w:hAnsi="Arial" w:cs="Arial"/>
        </w:rPr>
        <w:t xml:space="preserve"> and management, and falls risk assessments. </w:t>
      </w:r>
      <w:r w:rsidR="008F0EFB">
        <w:rPr>
          <w:rFonts w:ascii="Arial" w:eastAsia="Arial" w:hAnsi="Arial" w:cs="Arial"/>
        </w:rPr>
        <w:t>The Committee works</w:t>
      </w:r>
      <w:r w:rsidRPr="00A42043">
        <w:rPr>
          <w:rFonts w:ascii="Arial" w:eastAsia="Arial" w:hAnsi="Arial" w:cs="Arial"/>
        </w:rPr>
        <w:t xml:space="preserve"> closel</w:t>
      </w:r>
      <w:r>
        <w:rPr>
          <w:rFonts w:ascii="Arial" w:eastAsia="Arial" w:hAnsi="Arial" w:cs="Arial"/>
        </w:rPr>
        <w:t>y with</w:t>
      </w:r>
      <w:r w:rsidR="008F0EFB">
        <w:rPr>
          <w:rFonts w:ascii="Arial" w:eastAsia="Arial" w:hAnsi="Arial" w:cs="Arial"/>
        </w:rPr>
        <w:t xml:space="preserve"> nursing and allied health profession leaders</w:t>
      </w:r>
      <w:r>
        <w:rPr>
          <w:rFonts w:ascii="Arial" w:eastAsia="Arial" w:hAnsi="Arial" w:cs="Arial"/>
        </w:rPr>
        <w:t xml:space="preserve"> and the group has set “decreasing patients</w:t>
      </w:r>
      <w:r w:rsidR="00E80071">
        <w:rPr>
          <w:rFonts w:ascii="Arial" w:eastAsia="Arial" w:hAnsi="Arial" w:cs="Arial"/>
        </w:rPr>
        <w:t xml:space="preserve"> falls” as a key focus for 2025</w:t>
      </w:r>
    </w:p>
    <w:p w14:paraId="105FC39F" w14:textId="77777777" w:rsidR="00307F59" w:rsidRDefault="00074CEB" w:rsidP="00307F59">
      <w:pPr>
        <w:pStyle w:val="BoxBullet"/>
        <w:shd w:val="clear" w:color="auto" w:fill="F6F4EC" w:themeFill="background2"/>
      </w:pPr>
      <w:r>
        <w:t>A new multi-systems tracer audit which provides up to date feedback on nursing cares and assessment has been created. Tracer audits encompass all aspects of the patient stay, following a patient’s journey from admission to discharge, and capture a snapshot that helps to identify gaps in care processes</w:t>
      </w:r>
    </w:p>
    <w:p w14:paraId="44E051A6" w14:textId="77777777" w:rsidR="00074CEB" w:rsidRDefault="00074CEB" w:rsidP="00307F59">
      <w:pPr>
        <w:pStyle w:val="BoxBullet"/>
        <w:shd w:val="clear" w:color="auto" w:fill="F6F4EC" w:themeFill="background2"/>
      </w:pPr>
      <w:r>
        <w:t>Access to equipment to minimise risk of falls</w:t>
      </w:r>
      <w:r w:rsidR="00E83347">
        <w:t>,</w:t>
      </w:r>
      <w:r>
        <w:t xml:space="preserve"> and to assist patients following a fal</w:t>
      </w:r>
      <w:r w:rsidR="00E80071">
        <w:t>l</w:t>
      </w:r>
      <w:r w:rsidR="00E83347">
        <w:t>,</w:t>
      </w:r>
      <w:r w:rsidR="00E80071">
        <w:t xml:space="preserve"> has been improved across CCHV</w:t>
      </w:r>
    </w:p>
    <w:p w14:paraId="31DF1623" w14:textId="3B8D4975" w:rsidR="00307F59" w:rsidRDefault="00E80071" w:rsidP="00C05445">
      <w:pPr>
        <w:pStyle w:val="BoxBullet"/>
        <w:shd w:val="clear" w:color="auto" w:fill="F6F4EC" w:themeFill="background2"/>
      </w:pPr>
      <w:r>
        <w:t>Moving and Handling education includes assessing mobility needs and safe ways of supporting patients to mobilise</w:t>
      </w:r>
    </w:p>
    <w:p w14:paraId="566118CD" w14:textId="77777777" w:rsidR="00307F59" w:rsidRPr="00307F59" w:rsidRDefault="00307F59" w:rsidP="00307F59">
      <w:pPr>
        <w:pStyle w:val="Heading2"/>
        <w:rPr>
          <w:rFonts w:ascii="Segoe UI" w:eastAsia="Times New Roman" w:hAnsi="Segoe UI" w:cs="Segoe UI"/>
          <w:sz w:val="18"/>
          <w:szCs w:val="18"/>
          <w:lang w:eastAsia="en-NZ"/>
        </w:rPr>
      </w:pPr>
      <w:bookmarkStart w:id="23" w:name="_Toc209611242"/>
      <w:r w:rsidRPr="00307F59">
        <w:rPr>
          <w:rFonts w:eastAsia="Times New Roman"/>
          <w:lang w:eastAsia="en-NZ"/>
        </w:rPr>
        <w:lastRenderedPageBreak/>
        <w:t>Resource/</w:t>
      </w:r>
      <w:r w:rsidR="00E83347">
        <w:rPr>
          <w:rFonts w:eastAsia="Times New Roman"/>
          <w:lang w:eastAsia="en-NZ"/>
        </w:rPr>
        <w:t>o</w:t>
      </w:r>
      <w:r w:rsidRPr="00307F59">
        <w:rPr>
          <w:rFonts w:eastAsia="Times New Roman"/>
          <w:lang w:eastAsia="en-NZ"/>
        </w:rPr>
        <w:t>rganisation</w:t>
      </w:r>
      <w:r w:rsidR="00E83347">
        <w:rPr>
          <w:rFonts w:eastAsia="Times New Roman"/>
          <w:lang w:eastAsia="en-NZ"/>
        </w:rPr>
        <w:t>al m</w:t>
      </w:r>
      <w:r w:rsidRPr="00307F59">
        <w:rPr>
          <w:rFonts w:eastAsia="Times New Roman"/>
          <w:lang w:eastAsia="en-NZ"/>
        </w:rPr>
        <w:t>anagement</w:t>
      </w:r>
      <w:bookmarkEnd w:id="23"/>
      <w:r w:rsidRPr="00307F59">
        <w:rPr>
          <w:rFonts w:eastAsia="Times New Roman"/>
          <w:lang w:eastAsia="en-NZ"/>
        </w:rPr>
        <w:t> </w:t>
      </w:r>
    </w:p>
    <w:p w14:paraId="66015360" w14:textId="77777777" w:rsidR="00307F59" w:rsidRPr="00307F59" w:rsidRDefault="00307F59" w:rsidP="00307F59">
      <w:pPr>
        <w:rPr>
          <w:rFonts w:ascii="Segoe UI" w:hAnsi="Segoe UI" w:cs="Segoe UI"/>
          <w:sz w:val="18"/>
          <w:szCs w:val="18"/>
          <w:lang w:eastAsia="en-NZ"/>
        </w:rPr>
      </w:pPr>
      <w:r w:rsidRPr="00307F59">
        <w:rPr>
          <w:lang w:eastAsia="en-NZ"/>
        </w:rPr>
        <w:t>There were five events related to organisational resources, three of these were SAC 1 events.  </w:t>
      </w:r>
    </w:p>
    <w:p w14:paraId="5BE88116" w14:textId="77777777" w:rsidR="00307F59" w:rsidRPr="00074CEB" w:rsidRDefault="00307F59" w:rsidP="00307F59">
      <w:pPr>
        <w:rPr>
          <w:rFonts w:ascii="Segoe UI" w:hAnsi="Segoe UI" w:cs="Segoe UI"/>
          <w:sz w:val="18"/>
          <w:szCs w:val="18"/>
          <w:lang w:eastAsia="en-NZ"/>
        </w:rPr>
      </w:pPr>
      <w:r w:rsidRPr="00307F59">
        <w:rPr>
          <w:lang w:eastAsia="en-NZ"/>
        </w:rPr>
        <w:t>Patient ethnicity: Māori (n=2), European (n=3) </w:t>
      </w:r>
    </w:p>
    <w:p w14:paraId="01AD0276" w14:textId="408EF2F9" w:rsidR="00307F59" w:rsidRDefault="00307F59" w:rsidP="00AB1D3E">
      <w:pPr>
        <w:pStyle w:val="Figure"/>
      </w:pPr>
      <w:r>
        <w:t xml:space="preserve">Table </w:t>
      </w:r>
      <w:r>
        <w:fldChar w:fldCharType="begin"/>
      </w:r>
      <w:r>
        <w:instrText>SEQ Table \* ARABIC</w:instrText>
      </w:r>
      <w:r>
        <w:fldChar w:fldCharType="separate"/>
      </w:r>
      <w:r w:rsidR="00392FC2">
        <w:rPr>
          <w:noProof/>
        </w:rPr>
        <w:t>16</w:t>
      </w:r>
      <w:r>
        <w:fldChar w:fldCharType="end"/>
      </w:r>
      <w:r>
        <w:t>: Resource/organisation</w:t>
      </w:r>
      <w:r w:rsidR="00E83347">
        <w:t xml:space="preserve">al </w:t>
      </w:r>
      <w:r>
        <w:t xml:space="preserve">management </w:t>
      </w:r>
      <w:r w:rsidRPr="000F7B21">
        <w:t>events 1 July 2023 to 30 June 2024</w:t>
      </w:r>
    </w:p>
    <w:tbl>
      <w:tblPr>
        <w:tblStyle w:val="TeWhatuOra"/>
        <w:tblW w:w="9639" w:type="dxa"/>
        <w:tblLook w:val="04A0" w:firstRow="1" w:lastRow="0" w:firstColumn="1" w:lastColumn="0" w:noHBand="0" w:noVBand="1"/>
      </w:tblPr>
      <w:tblGrid>
        <w:gridCol w:w="1117"/>
        <w:gridCol w:w="8522"/>
      </w:tblGrid>
      <w:tr w:rsidR="00DA61C7" w:rsidRPr="00C05445" w14:paraId="004DF5AA" w14:textId="77777777" w:rsidTr="00A1044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17" w:type="dxa"/>
            <w:tcBorders>
              <w:top w:val="single" w:sz="4" w:space="0" w:color="003399" w:themeColor="accent3"/>
              <w:bottom w:val="single" w:sz="4" w:space="0" w:color="003399" w:themeColor="accent3"/>
              <w:right w:val="single" w:sz="4" w:space="0" w:color="auto"/>
            </w:tcBorders>
          </w:tcPr>
          <w:p w14:paraId="2427F5C2" w14:textId="465A09E3" w:rsidR="00DA61C7" w:rsidRPr="00A10447" w:rsidRDefault="00A10447" w:rsidP="00845F13">
            <w:pPr>
              <w:spacing w:before="0" w:after="160" w:line="259" w:lineRule="auto"/>
              <w:rPr>
                <w:bCs/>
              </w:rPr>
            </w:pPr>
            <w:r>
              <w:rPr>
                <w:bCs/>
              </w:rPr>
              <w:t>Number</w:t>
            </w:r>
          </w:p>
        </w:tc>
        <w:tc>
          <w:tcPr>
            <w:tcW w:w="8522" w:type="dxa"/>
            <w:tcBorders>
              <w:top w:val="single" w:sz="4" w:space="0" w:color="003399" w:themeColor="accent3"/>
              <w:left w:val="single" w:sz="4" w:space="0" w:color="auto"/>
              <w:bottom w:val="single" w:sz="4" w:space="0" w:color="003399" w:themeColor="accent3"/>
            </w:tcBorders>
          </w:tcPr>
          <w:p w14:paraId="654417B2" w14:textId="51B3A742" w:rsidR="00DA61C7" w:rsidRPr="00C05445" w:rsidRDefault="00377A6D" w:rsidP="00845F13">
            <w:pPr>
              <w:spacing w:before="0" w:after="160" w:line="259" w:lineRule="auto"/>
              <w:cnfStyle w:val="100000000000" w:firstRow="1" w:lastRow="0" w:firstColumn="0" w:lastColumn="0" w:oddVBand="0" w:evenVBand="0" w:oddHBand="0" w:evenHBand="0" w:firstRowFirstColumn="0" w:firstRowLastColumn="0" w:lastRowFirstColumn="0" w:lastRowLastColumn="0"/>
            </w:pPr>
            <w:r>
              <w:t>Event summaries</w:t>
            </w:r>
          </w:p>
        </w:tc>
      </w:tr>
      <w:tr w:rsidR="00074CEB" w:rsidRPr="00C05445" w14:paraId="4ED3BC7C" w14:textId="77777777" w:rsidTr="00DA61C7">
        <w:tc>
          <w:tcPr>
            <w:cnfStyle w:val="001000000000" w:firstRow="0" w:lastRow="0" w:firstColumn="1" w:lastColumn="0" w:oddVBand="0" w:evenVBand="0" w:oddHBand="0" w:evenHBand="0" w:firstRowFirstColumn="0" w:firstRowLastColumn="0" w:lastRowFirstColumn="0" w:lastRowLastColumn="0"/>
            <w:tcW w:w="1117" w:type="dxa"/>
            <w:tcBorders>
              <w:top w:val="single" w:sz="4" w:space="0" w:color="003399" w:themeColor="accent3"/>
            </w:tcBorders>
          </w:tcPr>
          <w:p w14:paraId="49D637C0" w14:textId="77777777" w:rsidR="00074CEB" w:rsidRPr="00721621" w:rsidRDefault="00074CEB" w:rsidP="00721621">
            <w:r w:rsidRPr="00721621">
              <w:t>4 </w:t>
            </w:r>
          </w:p>
        </w:tc>
        <w:tc>
          <w:tcPr>
            <w:tcW w:w="8522" w:type="dxa"/>
            <w:tcBorders>
              <w:top w:val="single" w:sz="4" w:space="0" w:color="003399" w:themeColor="accent3"/>
            </w:tcBorders>
          </w:tcPr>
          <w:p w14:paraId="3A25950C" w14:textId="77777777" w:rsidR="00074CEB" w:rsidRPr="00721621" w:rsidRDefault="00074CEB" w:rsidP="00721621">
            <w:pPr>
              <w:cnfStyle w:val="000000000000" w:firstRow="0" w:lastRow="0" w:firstColumn="0" w:lastColumn="0" w:oddVBand="0" w:evenVBand="0" w:oddHBand="0" w:evenHBand="0" w:firstRowFirstColumn="0" w:firstRowLastColumn="0" w:lastRowFirstColumn="0" w:lastRowLastColumn="0"/>
            </w:pPr>
            <w:r w:rsidRPr="00721621">
              <w:t>Four patients had prolonged wait times for a surgery or procedure due to resourcing. Sadly, three of these people died</w:t>
            </w:r>
            <w:r w:rsidR="00E83347" w:rsidRPr="00721621">
              <w:t xml:space="preserve"> before receiving their surgery or procedure</w:t>
            </w:r>
            <w:r w:rsidRPr="00721621">
              <w:t>  </w:t>
            </w:r>
          </w:p>
        </w:tc>
      </w:tr>
      <w:tr w:rsidR="00074CEB" w:rsidRPr="00C05445" w14:paraId="0F582A9B" w14:textId="77777777" w:rsidTr="00AB1D3E">
        <w:trPr>
          <w:trHeight w:val="20"/>
        </w:trPr>
        <w:tc>
          <w:tcPr>
            <w:cnfStyle w:val="001000000000" w:firstRow="0" w:lastRow="0" w:firstColumn="1" w:lastColumn="0" w:oddVBand="0" w:evenVBand="0" w:oddHBand="0" w:evenHBand="0" w:firstRowFirstColumn="0" w:firstRowLastColumn="0" w:lastRowFirstColumn="0" w:lastRowLastColumn="0"/>
            <w:tcW w:w="1117" w:type="dxa"/>
          </w:tcPr>
          <w:p w14:paraId="2BF2B3B2" w14:textId="77777777" w:rsidR="00074CEB" w:rsidRPr="00721621" w:rsidRDefault="00074CEB" w:rsidP="00721621">
            <w:r w:rsidRPr="00721621">
              <w:t>1 </w:t>
            </w:r>
          </w:p>
        </w:tc>
        <w:tc>
          <w:tcPr>
            <w:tcW w:w="8522" w:type="dxa"/>
          </w:tcPr>
          <w:p w14:paraId="18E4748E" w14:textId="47C7EB72" w:rsidR="00074CEB" w:rsidRPr="00721621" w:rsidRDefault="00074CEB" w:rsidP="00721621">
            <w:pPr>
              <w:cnfStyle w:val="000000000000" w:firstRow="0" w:lastRow="0" w:firstColumn="0" w:lastColumn="0" w:oddVBand="0" w:evenVBand="0" w:oddHBand="0" w:evenHBand="0" w:firstRowFirstColumn="0" w:firstRowLastColumn="0" w:lastRowFirstColumn="0" w:lastRowLastColumn="0"/>
            </w:pPr>
            <w:r w:rsidRPr="00721621">
              <w:t>One patient had a prolonged ED wait time</w:t>
            </w:r>
            <w:r w:rsidR="00067BF2" w:rsidRPr="00721621">
              <w:t xml:space="preserve"> </w:t>
            </w:r>
            <w:r w:rsidRPr="00721621">
              <w:t> </w:t>
            </w:r>
          </w:p>
        </w:tc>
      </w:tr>
    </w:tbl>
    <w:p w14:paraId="44672691" w14:textId="77777777" w:rsidR="00307F59" w:rsidRDefault="00307F59" w:rsidP="00307F59">
      <w:pPr>
        <w:spacing w:before="0" w:after="160" w:line="259" w:lineRule="auto"/>
      </w:pPr>
    </w:p>
    <w:p w14:paraId="443F7399" w14:textId="77777777" w:rsidR="00307F59" w:rsidRPr="0021771E" w:rsidRDefault="00074CEB" w:rsidP="00307F59">
      <w:pPr>
        <w:pStyle w:val="Box"/>
        <w:shd w:val="clear" w:color="auto" w:fill="F6F4EC" w:themeFill="background2"/>
        <w:rPr>
          <w:b/>
          <w:bCs/>
        </w:rPr>
      </w:pPr>
      <w:r>
        <w:rPr>
          <w:b/>
          <w:bCs/>
        </w:rPr>
        <w:t>What we are doing to improve our resourcing:</w:t>
      </w:r>
    </w:p>
    <w:p w14:paraId="51429623" w14:textId="77777777" w:rsidR="00307F59" w:rsidRDefault="00074CEB" w:rsidP="00307F59">
      <w:pPr>
        <w:pStyle w:val="BoxBullet"/>
        <w:shd w:val="clear" w:color="auto" w:fill="F6F4EC" w:themeFill="background2"/>
      </w:pPr>
      <w:r>
        <w:t>There has been an increase to the number o</w:t>
      </w:r>
      <w:r w:rsidR="00E83347">
        <w:t>f</w:t>
      </w:r>
      <w:r>
        <w:t xml:space="preserve"> nurses and senior medical officers in </w:t>
      </w:r>
      <w:r w:rsidR="00E83347">
        <w:t xml:space="preserve">Te Pae Tiaki </w:t>
      </w:r>
      <w:r w:rsidR="00E83347" w:rsidRPr="000C56C3">
        <w:rPr>
          <w:rStyle w:val="normaltextrun"/>
          <w:rFonts w:cstheme="minorHAnsi"/>
          <w:szCs w:val="24"/>
        </w:rPr>
        <w:t>|</w:t>
      </w:r>
      <w:r w:rsidR="00E83347">
        <w:rPr>
          <w:rStyle w:val="normaltextrun"/>
          <w:rFonts w:cstheme="minorHAnsi"/>
          <w:szCs w:val="24"/>
        </w:rPr>
        <w:t xml:space="preserve"> </w:t>
      </w:r>
      <w:r w:rsidR="00E83347">
        <w:t>Emergency Department (Wellington)</w:t>
      </w:r>
    </w:p>
    <w:p w14:paraId="0286A997" w14:textId="77777777" w:rsidR="00307F59" w:rsidRDefault="00074CEB" w:rsidP="00307F59">
      <w:pPr>
        <w:pStyle w:val="BoxBullet"/>
        <w:shd w:val="clear" w:color="auto" w:fill="F6F4EC" w:themeFill="background2"/>
      </w:pPr>
      <w:r>
        <w:t xml:space="preserve">The </w:t>
      </w:r>
      <w:r w:rsidR="00E83347">
        <w:t>c</w:t>
      </w:r>
      <w:r>
        <w:t xml:space="preserve">reation of a hybrid theatre suite at Wellington Regional Hospital has been </w:t>
      </w:r>
      <w:r w:rsidR="00E83347">
        <w:t xml:space="preserve">approved </w:t>
      </w:r>
      <w:r>
        <w:t>by HNZ and work wi</w:t>
      </w:r>
      <w:r w:rsidR="00AC523C">
        <w:t>ll commence in 2025</w:t>
      </w:r>
    </w:p>
    <w:p w14:paraId="0324B66A" w14:textId="77777777" w:rsidR="00307F59" w:rsidRDefault="00AC523C" w:rsidP="00307F59">
      <w:pPr>
        <w:pStyle w:val="BoxBullet"/>
        <w:shd w:val="clear" w:color="auto" w:fill="F6F4EC" w:themeFill="background2"/>
      </w:pPr>
      <w:r>
        <w:t xml:space="preserve">A Patient Flow </w:t>
      </w:r>
      <w:r w:rsidR="00D2518B">
        <w:t>Council</w:t>
      </w:r>
      <w:r>
        <w:t xml:space="preserve"> has been established and is leading several key pieces of work in </w:t>
      </w:r>
      <w:r w:rsidR="00D2518B">
        <w:t>alignment</w:t>
      </w:r>
      <w:r>
        <w:t xml:space="preserve"> with the National Acute Flow Standards. Two priorities are reducing ED waiting times to be seen and </w:t>
      </w:r>
      <w:r w:rsidR="00D2518B">
        <w:t xml:space="preserve">reducing </w:t>
      </w:r>
      <w:r>
        <w:t>total ED length of stay</w:t>
      </w:r>
    </w:p>
    <w:p w14:paraId="3276A899" w14:textId="77777777" w:rsidR="00307F59" w:rsidRDefault="00AC523C" w:rsidP="00845F13">
      <w:pPr>
        <w:pStyle w:val="BoxBullet"/>
        <w:shd w:val="clear" w:color="auto" w:fill="F6F4EC" w:themeFill="background2"/>
      </w:pPr>
      <w:r>
        <w:t>A high dependency</w:t>
      </w:r>
      <w:r w:rsidR="00571680">
        <w:t xml:space="preserve"> unit (HDU) is due to open at</w:t>
      </w:r>
      <w:r w:rsidRPr="00AC523C">
        <w:t xml:space="preserve"> </w:t>
      </w:r>
      <w:r>
        <w:t>Wellingt</w:t>
      </w:r>
      <w:r w:rsidR="00EA0FD4">
        <w:t>on Regional Hospital in</w:t>
      </w:r>
      <w:r>
        <w:t xml:space="preserve"> 2025. This will create an additional 12 critica</w:t>
      </w:r>
      <w:r w:rsidR="009C055C">
        <w:t>l care beds</w:t>
      </w:r>
    </w:p>
    <w:p w14:paraId="0D2EC6E1" w14:textId="77777777" w:rsidR="00CD34B8" w:rsidRDefault="00CD34B8" w:rsidP="00845F13">
      <w:pPr>
        <w:pStyle w:val="BoxBullet"/>
        <w:shd w:val="clear" w:color="auto" w:fill="F6F4EC" w:themeFill="background2"/>
      </w:pPr>
      <w:r>
        <w:t>A business case for the angiography suite upgrade has been approved with completion of a new angiography suite scheduled for 2025. There are further improvements scheduled as staged upgrades over 2025 – 2027, which will improve capacity for interventional procedu</w:t>
      </w:r>
      <w:r w:rsidR="009C055C">
        <w:t>res across multiple specialties</w:t>
      </w:r>
    </w:p>
    <w:p w14:paraId="569054A4" w14:textId="77777777" w:rsidR="00675D47" w:rsidRDefault="00675D47">
      <w:pPr>
        <w:rPr>
          <w:rFonts w:asciiTheme="majorHAnsi" w:eastAsia="Times New Roman" w:hAnsiTheme="majorHAnsi" w:cstheme="majorBidi"/>
          <w:b/>
          <w:color w:val="15284C" w:themeColor="text2"/>
          <w:sz w:val="52"/>
          <w:szCs w:val="32"/>
          <w:lang w:eastAsia="en-NZ"/>
        </w:rPr>
      </w:pPr>
      <w:r>
        <w:rPr>
          <w:rFonts w:eastAsia="Times New Roman"/>
          <w:lang w:eastAsia="en-NZ"/>
        </w:rPr>
        <w:br w:type="page"/>
      </w:r>
    </w:p>
    <w:p w14:paraId="7A0C0C8A" w14:textId="77777777" w:rsidR="00307F59" w:rsidRPr="00307F59" w:rsidRDefault="00307F59" w:rsidP="00307F59">
      <w:pPr>
        <w:pStyle w:val="Heading1"/>
        <w:rPr>
          <w:rFonts w:ascii="Segoe UI" w:eastAsia="Times New Roman" w:hAnsi="Segoe UI" w:cs="Segoe UI"/>
          <w:sz w:val="18"/>
          <w:szCs w:val="18"/>
          <w:lang w:eastAsia="en-NZ"/>
        </w:rPr>
      </w:pPr>
      <w:bookmarkStart w:id="24" w:name="_Toc209611243"/>
      <w:r w:rsidRPr="00307F59">
        <w:rPr>
          <w:rFonts w:eastAsia="Times New Roman"/>
          <w:lang w:eastAsia="en-NZ"/>
        </w:rPr>
        <w:lastRenderedPageBreak/>
        <w:t>Final comment</w:t>
      </w:r>
      <w:bookmarkEnd w:id="24"/>
      <w:r w:rsidRPr="00307F59">
        <w:rPr>
          <w:rFonts w:eastAsia="Times New Roman"/>
          <w:lang w:eastAsia="en-NZ"/>
        </w:rPr>
        <w:t>  </w:t>
      </w:r>
    </w:p>
    <w:p w14:paraId="3B49F8BA" w14:textId="77777777" w:rsidR="00307F59" w:rsidRPr="00307F59" w:rsidRDefault="00307F59" w:rsidP="00307F59">
      <w:pPr>
        <w:rPr>
          <w:rFonts w:ascii="Segoe UI" w:hAnsi="Segoe UI" w:cs="Segoe UI"/>
          <w:sz w:val="18"/>
          <w:szCs w:val="18"/>
          <w:lang w:eastAsia="en-NZ"/>
        </w:rPr>
      </w:pPr>
      <w:r w:rsidRPr="00307F59">
        <w:rPr>
          <w:lang w:eastAsia="en-NZ"/>
        </w:rPr>
        <w:t xml:space="preserve">The </w:t>
      </w:r>
      <w:r w:rsidR="008E5735">
        <w:rPr>
          <w:lang w:eastAsia="en-NZ"/>
        </w:rPr>
        <w:t>staff</w:t>
      </w:r>
      <w:r w:rsidRPr="00307F59">
        <w:rPr>
          <w:lang w:eastAsia="en-NZ"/>
        </w:rPr>
        <w:t xml:space="preserve"> at Health New Zealand | Te Whatu Ora Capital Coast and Hutt Valley work every day to improve the care provided for people in our district</w:t>
      </w:r>
      <w:r w:rsidR="00410155">
        <w:rPr>
          <w:lang w:eastAsia="en-NZ"/>
        </w:rPr>
        <w:t>,</w:t>
      </w:r>
      <w:r w:rsidRPr="00307F59">
        <w:rPr>
          <w:lang w:eastAsia="en-NZ"/>
        </w:rPr>
        <w:t xml:space="preserve"> but there is always more that can be done to ensure the care we deliver is safer, more effective and more equitable for everyone in our community.  </w:t>
      </w:r>
    </w:p>
    <w:p w14:paraId="1FD7D54F" w14:textId="77777777" w:rsidR="00307F59" w:rsidRPr="00307F59" w:rsidRDefault="00307F59" w:rsidP="00307F59">
      <w:pPr>
        <w:rPr>
          <w:rFonts w:ascii="Segoe UI" w:hAnsi="Segoe UI" w:cs="Segoe UI"/>
          <w:sz w:val="18"/>
          <w:szCs w:val="18"/>
          <w:lang w:eastAsia="en-NZ"/>
        </w:rPr>
      </w:pPr>
      <w:r w:rsidRPr="00307F59">
        <w:rPr>
          <w:lang w:eastAsia="en-NZ"/>
        </w:rPr>
        <w:t>Most people who come to us for care and treatment do so without preventable harm occurring to them. However, those patients who were affected by the adverse events in this report have</w:t>
      </w:r>
      <w:r w:rsidR="00E83347">
        <w:rPr>
          <w:lang w:eastAsia="en-NZ"/>
        </w:rPr>
        <w:t xml:space="preserve"> either</w:t>
      </w:r>
      <w:r w:rsidRPr="00307F59">
        <w:rPr>
          <w:lang w:eastAsia="en-NZ"/>
        </w:rPr>
        <w:t xml:space="preserve"> experienced serious harm or in some cases, have died. We acknowledge that each event described in this report represents an individual who is loved by their whānau and wider community, and we sincerely apologise to all who have been affected. </w:t>
      </w:r>
    </w:p>
    <w:p w14:paraId="361EF418" w14:textId="77777777" w:rsidR="000C56C3" w:rsidRDefault="000C56C3" w:rsidP="00C05445"/>
    <w:sectPr w:rsidR="000C56C3" w:rsidSect="00FF6720">
      <w:headerReference w:type="default" r:id="rId13"/>
      <w:footerReference w:type="default" r:id="rId14"/>
      <w:headerReference w:type="first" r:id="rId15"/>
      <w:footerReference w:type="first" r:id="rId16"/>
      <w:pgSz w:w="11906" w:h="16838" w:code="9"/>
      <w:pgMar w:top="737" w:right="1134" w:bottom="1134" w:left="1134" w:header="130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1A11D0" w14:textId="77777777" w:rsidR="00E238DF" w:rsidRDefault="00E238DF" w:rsidP="00817A32">
      <w:pPr>
        <w:spacing w:before="0" w:after="0" w:line="240" w:lineRule="auto"/>
      </w:pPr>
      <w:r>
        <w:separator/>
      </w:r>
    </w:p>
  </w:endnote>
  <w:endnote w:type="continuationSeparator" w:id="0">
    <w:p w14:paraId="686CFE2C" w14:textId="77777777" w:rsidR="00E238DF" w:rsidRDefault="00E238DF" w:rsidP="00817A3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panose1 w:val="00000500000000000000"/>
    <w:charset w:val="00"/>
    <w:family w:val="auto"/>
    <w:pitch w:val="variable"/>
    <w:sig w:usb0="00008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15284C" w:themeColor="text2"/>
      </w:rPr>
      <w:id w:val="994370493"/>
      <w:docPartObj>
        <w:docPartGallery w:val="Page Numbers (Bottom of Page)"/>
        <w:docPartUnique/>
      </w:docPartObj>
    </w:sdtPr>
    <w:sdtContent>
      <w:p w14:paraId="3056FDEF" w14:textId="7030C2A5" w:rsidR="00162EA9" w:rsidRPr="00FE11FA" w:rsidRDefault="00162EA9" w:rsidP="00287343">
        <w:pPr>
          <w:tabs>
            <w:tab w:val="left" w:pos="8364"/>
          </w:tabs>
          <w:rPr>
            <w:color w:val="15284C" w:themeColor="text2"/>
          </w:rPr>
        </w:pPr>
        <w:r>
          <w:rPr>
            <w:color w:val="15284C" w:themeColor="text2"/>
          </w:rPr>
          <w:t>Serious Adverse Event Repo</w:t>
        </w:r>
        <w:r w:rsidR="007A32AB">
          <w:rPr>
            <w:color w:val="15284C" w:themeColor="text2"/>
          </w:rPr>
          <w:t xml:space="preserve">rt, </w:t>
        </w:r>
        <w:r>
          <w:rPr>
            <w:color w:val="15284C" w:themeColor="text2"/>
          </w:rPr>
          <w:t>C</w:t>
        </w:r>
        <w:r w:rsidR="007A32AB">
          <w:rPr>
            <w:color w:val="15284C" w:themeColor="text2"/>
          </w:rPr>
          <w:t xml:space="preserve">apital, </w:t>
        </w:r>
        <w:r>
          <w:rPr>
            <w:color w:val="15284C" w:themeColor="text2"/>
          </w:rPr>
          <w:t>C</w:t>
        </w:r>
        <w:r w:rsidR="007A32AB">
          <w:rPr>
            <w:color w:val="15284C" w:themeColor="text2"/>
          </w:rPr>
          <w:t xml:space="preserve">oast and </w:t>
        </w:r>
        <w:r>
          <w:rPr>
            <w:color w:val="15284C" w:themeColor="text2"/>
          </w:rPr>
          <w:t>H</w:t>
        </w:r>
        <w:r w:rsidR="007A32AB">
          <w:rPr>
            <w:color w:val="15284C" w:themeColor="text2"/>
          </w:rPr>
          <w:t xml:space="preserve">utt </w:t>
        </w:r>
        <w:r>
          <w:rPr>
            <w:color w:val="15284C" w:themeColor="text2"/>
          </w:rPr>
          <w:t>V</w:t>
        </w:r>
        <w:r w:rsidR="007A32AB">
          <w:rPr>
            <w:color w:val="15284C" w:themeColor="text2"/>
          </w:rPr>
          <w:t>alley,</w:t>
        </w:r>
        <w:r>
          <w:rPr>
            <w:color w:val="15284C" w:themeColor="text2"/>
          </w:rPr>
          <w:t xml:space="preserve"> 2023</w:t>
        </w:r>
        <w:r w:rsidR="007A32AB">
          <w:rPr>
            <w:color w:val="15284C" w:themeColor="text2"/>
          </w:rPr>
          <w:t>/</w:t>
        </w:r>
        <w:r w:rsidR="00C24C44">
          <w:rPr>
            <w:color w:val="15284C" w:themeColor="text2"/>
          </w:rPr>
          <w:t>20</w:t>
        </w:r>
        <w:r>
          <w:rPr>
            <w:color w:val="15284C" w:themeColor="text2"/>
          </w:rPr>
          <w:t>24</w:t>
        </w:r>
        <w:r w:rsidRPr="00FE11FA">
          <w:rPr>
            <w:color w:val="15284C" w:themeColor="text2"/>
          </w:rPr>
          <w:tab/>
        </w:r>
        <w:r w:rsidRPr="00FE11FA">
          <w:rPr>
            <w:b/>
            <w:color w:val="15284C" w:themeColor="text2"/>
          </w:rPr>
          <w:t xml:space="preserve">Page | </w:t>
        </w:r>
        <w:r w:rsidRPr="00FE11FA">
          <w:rPr>
            <w:b/>
            <w:color w:val="15284C" w:themeColor="text2"/>
          </w:rPr>
          <w:fldChar w:fldCharType="begin"/>
        </w:r>
        <w:r w:rsidRPr="00FE11FA">
          <w:rPr>
            <w:b/>
            <w:color w:val="15284C" w:themeColor="text2"/>
          </w:rPr>
          <w:instrText xml:space="preserve"> PAGE   \* MERGEFORMAT </w:instrText>
        </w:r>
        <w:r w:rsidRPr="00FE11FA">
          <w:rPr>
            <w:b/>
            <w:color w:val="15284C" w:themeColor="text2"/>
          </w:rPr>
          <w:fldChar w:fldCharType="separate"/>
        </w:r>
        <w:r w:rsidR="004355B5">
          <w:rPr>
            <w:b/>
            <w:noProof/>
            <w:color w:val="15284C" w:themeColor="text2"/>
          </w:rPr>
          <w:t>13</w:t>
        </w:r>
        <w:r w:rsidRPr="00FE11FA">
          <w:rPr>
            <w:b/>
            <w:noProof/>
            <w:color w:val="15284C" w:themeColor="text2"/>
          </w:rPr>
          <w:fldChar w:fldCharType="end"/>
        </w:r>
        <w:r w:rsidRPr="00FE11FA">
          <w:rPr>
            <w:color w:val="15284C" w:themeColor="text2"/>
          </w:rPr>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F35C8" w14:textId="252C4466" w:rsidR="00162EA9" w:rsidRPr="00FE11FA" w:rsidRDefault="00162EA9" w:rsidP="00CC3F1C">
    <w:pPr>
      <w:tabs>
        <w:tab w:val="left" w:pos="8364"/>
      </w:tabs>
      <w:rPr>
        <w:color w:val="15284C" w:themeColor="text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83293F" w14:textId="77777777" w:rsidR="00E238DF" w:rsidRDefault="00E238DF" w:rsidP="00817A32">
      <w:pPr>
        <w:spacing w:before="0" w:after="0" w:line="240" w:lineRule="auto"/>
      </w:pPr>
    </w:p>
  </w:footnote>
  <w:footnote w:type="continuationSeparator" w:id="0">
    <w:p w14:paraId="2C747697" w14:textId="77777777" w:rsidR="00E238DF" w:rsidRDefault="00E238DF" w:rsidP="00817A32">
      <w:pPr>
        <w:spacing w:before="0" w:after="0" w:line="240" w:lineRule="auto"/>
      </w:pPr>
      <w:r>
        <w:continuationSeparator/>
      </w:r>
    </w:p>
  </w:footnote>
  <w:footnote w:id="1">
    <w:p w14:paraId="7EF00206" w14:textId="57601389" w:rsidR="000D2FBA" w:rsidRPr="00CB3AA0" w:rsidRDefault="00162EA9" w:rsidP="00C6177A">
      <w:pPr>
        <w:pStyle w:val="FootnoteText"/>
        <w:rPr>
          <w:lang w:val="en-US"/>
        </w:rPr>
      </w:pPr>
      <w:r w:rsidRPr="00BF6683">
        <w:rPr>
          <w:rStyle w:val="FootnoteReference"/>
          <w:b/>
          <w:bCs/>
        </w:rPr>
        <w:footnoteRef/>
      </w:r>
    </w:p>
  </w:footnote>
  <w:footnote w:id="2">
    <w:p w14:paraId="6EA6A1F0" w14:textId="0CB89994" w:rsidR="00162EA9" w:rsidRPr="002824BD" w:rsidRDefault="00162EA9" w:rsidP="00CB3AA0">
      <w:pPr>
        <w:pStyle w:val="FootnoteText"/>
        <w:rPr>
          <w:rStyle w:val="Hyperlink"/>
          <w:rFonts w:ascii="Arial" w:hAnsi="Arial" w:cs="Arial"/>
          <w:b w:val="0"/>
          <w:bCs/>
          <w:lang w:val="mi-NZ"/>
        </w:rPr>
      </w:pPr>
      <w:r w:rsidRPr="002824BD">
        <w:rPr>
          <w:rStyle w:val="FootnoteReference"/>
          <w:b/>
          <w:bCs/>
        </w:rPr>
        <w:footnoteRef/>
      </w:r>
      <w:r w:rsidRPr="002824BD">
        <w:rPr>
          <w:b/>
          <w:bCs/>
        </w:rPr>
        <w:t xml:space="preserve"> </w:t>
      </w:r>
      <w:hyperlink r:id="rId1" w:history="1">
        <w:r w:rsidRPr="002824BD">
          <w:rPr>
            <w:rStyle w:val="Hyperlink"/>
            <w:rFonts w:ascii="Arial" w:hAnsi="Arial" w:cs="Arial"/>
            <w:b w:val="0"/>
            <w:bCs/>
            <w:lang w:val="mi-NZ"/>
          </w:rPr>
          <w:t xml:space="preserve">HQSC. (2022). </w:t>
        </w:r>
        <w:proofErr w:type="spellStart"/>
        <w:r w:rsidRPr="002824BD">
          <w:rPr>
            <w:rStyle w:val="Hyperlink"/>
            <w:rFonts w:ascii="Arial" w:hAnsi="Arial" w:cs="Arial"/>
            <w:b w:val="0"/>
            <w:bCs/>
            <w:lang w:val="mi-NZ"/>
          </w:rPr>
          <w:t>Always</w:t>
        </w:r>
        <w:proofErr w:type="spellEnd"/>
        <w:r w:rsidRPr="002824BD">
          <w:rPr>
            <w:rStyle w:val="Hyperlink"/>
            <w:rFonts w:ascii="Arial" w:hAnsi="Arial" w:cs="Arial"/>
            <w:b w:val="0"/>
            <w:bCs/>
            <w:lang w:val="mi-NZ"/>
          </w:rPr>
          <w:t xml:space="preserve"> </w:t>
        </w:r>
        <w:proofErr w:type="spellStart"/>
        <w:r w:rsidRPr="002824BD">
          <w:rPr>
            <w:rStyle w:val="Hyperlink"/>
            <w:rFonts w:ascii="Arial" w:hAnsi="Arial" w:cs="Arial"/>
            <w:b w:val="0"/>
            <w:bCs/>
            <w:lang w:val="mi-NZ"/>
          </w:rPr>
          <w:t>Report</w:t>
        </w:r>
        <w:proofErr w:type="spellEnd"/>
        <w:r w:rsidRPr="002824BD">
          <w:rPr>
            <w:rStyle w:val="Hyperlink"/>
            <w:rFonts w:ascii="Arial" w:hAnsi="Arial" w:cs="Arial"/>
            <w:b w:val="0"/>
            <w:bCs/>
            <w:lang w:val="mi-NZ"/>
          </w:rPr>
          <w:t xml:space="preserve"> and </w:t>
        </w:r>
        <w:proofErr w:type="spellStart"/>
        <w:r w:rsidRPr="002824BD">
          <w:rPr>
            <w:rStyle w:val="Hyperlink"/>
            <w:rFonts w:ascii="Arial" w:hAnsi="Arial" w:cs="Arial"/>
            <w:b w:val="0"/>
            <w:bCs/>
            <w:lang w:val="mi-NZ"/>
          </w:rPr>
          <w:t>Review</w:t>
        </w:r>
        <w:proofErr w:type="spellEnd"/>
        <w:r w:rsidRPr="002824BD">
          <w:rPr>
            <w:rStyle w:val="Hyperlink"/>
            <w:rFonts w:ascii="Arial" w:hAnsi="Arial" w:cs="Arial"/>
            <w:b w:val="0"/>
            <w:bCs/>
            <w:lang w:val="mi-NZ"/>
          </w:rPr>
          <w:t xml:space="preserve"> </w:t>
        </w:r>
        <w:proofErr w:type="spellStart"/>
        <w:r w:rsidRPr="002824BD">
          <w:rPr>
            <w:rStyle w:val="Hyperlink"/>
            <w:rFonts w:ascii="Arial" w:hAnsi="Arial" w:cs="Arial"/>
            <w:b w:val="0"/>
            <w:bCs/>
            <w:lang w:val="mi-NZ"/>
          </w:rPr>
          <w:t>list</w:t>
        </w:r>
        <w:proofErr w:type="spellEnd"/>
        <w:r w:rsidRPr="002824BD">
          <w:rPr>
            <w:rStyle w:val="Hyperlink"/>
            <w:rFonts w:ascii="Arial" w:hAnsi="Arial" w:cs="Arial"/>
            <w:b w:val="0"/>
            <w:bCs/>
            <w:lang w:val="mi-NZ"/>
          </w:rPr>
          <w:t xml:space="preserve"> 2021-22.</w:t>
        </w:r>
      </w:hyperlink>
    </w:p>
    <w:p w14:paraId="099F5646" w14:textId="77777777" w:rsidR="00162EA9" w:rsidRPr="00AD4C4E" w:rsidRDefault="00162EA9">
      <w:pPr>
        <w:pStyle w:val="FootnoteText"/>
        <w:rPr>
          <w:lang w:val="en-US"/>
        </w:rPr>
      </w:pPr>
    </w:p>
  </w:footnote>
  <w:footnote w:id="3">
    <w:p w14:paraId="3D015B37" w14:textId="2666D25A" w:rsidR="00162EA9" w:rsidRPr="00CB0E94" w:rsidRDefault="00162EA9" w:rsidP="00AB1D3E">
      <w:pPr>
        <w:pStyle w:val="FootnoteText"/>
        <w:rPr>
          <w:b/>
          <w:bCs/>
          <w:u w:val="single"/>
        </w:rPr>
      </w:pPr>
      <w:r w:rsidRPr="00CB0E94">
        <w:rPr>
          <w:rStyle w:val="FootnoteReference"/>
          <w:b/>
          <w:bCs/>
        </w:rPr>
        <w:footnoteRef/>
      </w:r>
      <w:r w:rsidRPr="00CB0E94">
        <w:rPr>
          <w:b/>
          <w:bCs/>
        </w:rPr>
        <w:t xml:space="preserve"> </w:t>
      </w:r>
      <w:hyperlink r:id="rId2" w:history="1">
        <w:r w:rsidRPr="00CB0E94">
          <w:rPr>
            <w:rStyle w:val="Hyperlink"/>
            <w:b w:val="0"/>
            <w:bCs/>
          </w:rPr>
          <w:t>Te Whatu Ora (2023) ‘</w:t>
        </w:r>
        <w:r w:rsidRPr="00CB0E94">
          <w:rPr>
            <w:rStyle w:val="Hyperlink"/>
            <w:b w:val="0"/>
            <w:bCs/>
            <w:iCs/>
          </w:rPr>
          <w:t>Changing the system’</w:t>
        </w:r>
        <w:r w:rsidRPr="00CB0E94">
          <w:rPr>
            <w:rStyle w:val="Hyperlink"/>
            <w:b w:val="0"/>
            <w:bCs/>
            <w:i/>
            <w:iCs/>
          </w:rPr>
          <w:t>.</w:t>
        </w:r>
      </w:hyperlink>
    </w:p>
  </w:footnote>
  <w:footnote w:id="4">
    <w:p w14:paraId="5C90AE34" w14:textId="5E625DBB" w:rsidR="00162EA9" w:rsidRPr="00CB0E94" w:rsidRDefault="00162EA9" w:rsidP="00AB1D3E">
      <w:pPr>
        <w:pStyle w:val="FootnoteText"/>
        <w:rPr>
          <w:b/>
          <w:bCs/>
        </w:rPr>
      </w:pPr>
      <w:r w:rsidRPr="00CB0E94">
        <w:rPr>
          <w:rStyle w:val="FootnoteReference"/>
          <w:b/>
          <w:bCs/>
        </w:rPr>
        <w:footnoteRef/>
      </w:r>
      <w:r w:rsidRPr="00CB0E94">
        <w:rPr>
          <w:b/>
          <w:bCs/>
        </w:rPr>
        <w:t xml:space="preserve"> </w:t>
      </w:r>
      <w:hyperlink r:id="rId3" w:history="1">
        <w:r w:rsidRPr="00CB0E94">
          <w:rPr>
            <w:rStyle w:val="Hyperlink"/>
            <w:b w:val="0"/>
            <w:bCs/>
            <w:lang w:val="mi-NZ"/>
          </w:rPr>
          <w:t xml:space="preserve">Waitangi </w:t>
        </w:r>
        <w:proofErr w:type="spellStart"/>
        <w:r w:rsidRPr="00CB0E94">
          <w:rPr>
            <w:rStyle w:val="Hyperlink"/>
            <w:b w:val="0"/>
            <w:bCs/>
            <w:lang w:val="mi-NZ"/>
          </w:rPr>
          <w:t>Tribunal</w:t>
        </w:r>
        <w:proofErr w:type="spellEnd"/>
        <w:r w:rsidRPr="00CB0E94">
          <w:rPr>
            <w:rStyle w:val="Hyperlink"/>
            <w:b w:val="0"/>
            <w:bCs/>
            <w:lang w:val="mi-NZ"/>
          </w:rPr>
          <w:t xml:space="preserve">. (2023). </w:t>
        </w:r>
        <w:r w:rsidRPr="00CB0E94">
          <w:rPr>
            <w:rStyle w:val="Hyperlink"/>
            <w:b w:val="0"/>
            <w:bCs/>
            <w:i/>
          </w:rPr>
          <w:t xml:space="preserve">Hauora report on stage one of the health services and outcomes </w:t>
        </w:r>
        <w:proofErr w:type="spellStart"/>
        <w:r w:rsidRPr="00CB0E94">
          <w:rPr>
            <w:rStyle w:val="Hyperlink"/>
            <w:b w:val="0"/>
            <w:bCs/>
            <w:i/>
          </w:rPr>
          <w:t>kaupapa</w:t>
        </w:r>
        <w:proofErr w:type="spellEnd"/>
        <w:r w:rsidRPr="00CB0E94">
          <w:rPr>
            <w:rStyle w:val="Hyperlink"/>
            <w:b w:val="0"/>
            <w:bCs/>
            <w:i/>
          </w:rPr>
          <w:t xml:space="preserve"> inquiry: WAI 2575 Waitangi tribunal report</w:t>
        </w:r>
        <w:r w:rsidR="00AB1D3E" w:rsidRPr="00CB0E94">
          <w:rPr>
            <w:rStyle w:val="Hyperlink"/>
            <w:b w:val="0"/>
            <w:bCs/>
            <w:i/>
          </w:rPr>
          <w:t>.</w:t>
        </w:r>
      </w:hyperlink>
    </w:p>
  </w:footnote>
  <w:footnote w:id="5">
    <w:p w14:paraId="54C0EA91" w14:textId="36932F63" w:rsidR="00162EA9" w:rsidRPr="00CB0E94" w:rsidRDefault="00162EA9" w:rsidP="00AB1D3E">
      <w:pPr>
        <w:spacing w:after="0"/>
        <w:rPr>
          <w:rFonts w:ascii="Arial" w:hAnsi="Arial" w:cs="Arial"/>
          <w:b/>
          <w:bCs/>
          <w:sz w:val="20"/>
          <w:szCs w:val="20"/>
        </w:rPr>
      </w:pPr>
      <w:r w:rsidRPr="00CB0E94">
        <w:rPr>
          <w:rStyle w:val="FootnoteReference"/>
          <w:b/>
          <w:bCs/>
          <w:sz w:val="20"/>
          <w:szCs w:val="20"/>
        </w:rPr>
        <w:footnoteRef/>
      </w:r>
      <w:r w:rsidRPr="00CB0E94">
        <w:rPr>
          <w:b/>
          <w:bCs/>
          <w:sz w:val="20"/>
          <w:szCs w:val="20"/>
        </w:rPr>
        <w:t xml:space="preserve"> </w:t>
      </w:r>
      <w:hyperlink r:id="rId4" w:history="1">
        <w:r w:rsidRPr="00CB0E94">
          <w:rPr>
            <w:rStyle w:val="Hyperlink"/>
            <w:rFonts w:ascii="Arial" w:hAnsi="Arial" w:cs="Arial"/>
            <w:b w:val="0"/>
            <w:bCs/>
            <w:sz w:val="20"/>
            <w:szCs w:val="20"/>
          </w:rPr>
          <w:t xml:space="preserve">Capital &amp; Coast District Health Board (2021). </w:t>
        </w:r>
        <w:r w:rsidRPr="00CB0E94">
          <w:rPr>
            <w:rStyle w:val="Hyperlink"/>
            <w:rFonts w:ascii="Arial" w:hAnsi="Arial" w:cs="Arial"/>
            <w:b w:val="0"/>
            <w:bCs/>
            <w:i/>
            <w:sz w:val="20"/>
            <w:szCs w:val="20"/>
          </w:rPr>
          <w:t>Capital &amp; Coast District Health Board Annual Report</w:t>
        </w:r>
        <w:r w:rsidRPr="00CB0E94">
          <w:rPr>
            <w:rStyle w:val="Hyperlink"/>
            <w:rFonts w:ascii="Arial" w:hAnsi="Arial" w:cs="Arial"/>
            <w:b w:val="0"/>
            <w:bCs/>
            <w:sz w:val="20"/>
            <w:szCs w:val="20"/>
          </w:rPr>
          <w:t>.</w:t>
        </w:r>
      </w:hyperlink>
      <w:r w:rsidRPr="00CB0E94">
        <w:rPr>
          <w:rFonts w:ascii="Arial" w:hAnsi="Arial" w:cs="Arial"/>
          <w:b/>
          <w:bCs/>
          <w:sz w:val="20"/>
          <w:szCs w:val="20"/>
        </w:rPr>
        <w:t xml:space="preserve">  </w:t>
      </w:r>
    </w:p>
  </w:footnote>
  <w:footnote w:id="6">
    <w:p w14:paraId="2812C9EB" w14:textId="4A4E0754" w:rsidR="00162EA9" w:rsidRPr="00C87D79" w:rsidRDefault="00162EA9" w:rsidP="00C87D79">
      <w:pPr>
        <w:pStyle w:val="FootnoteText"/>
        <w:rPr>
          <w:b/>
          <w:bCs/>
          <w:lang w:val="mi-NZ"/>
        </w:rPr>
      </w:pPr>
      <w:r w:rsidRPr="00CB0E94">
        <w:rPr>
          <w:rStyle w:val="FootnoteReference"/>
          <w:b/>
          <w:bCs/>
        </w:rPr>
        <w:footnoteRef/>
      </w:r>
      <w:r w:rsidRPr="00CB0E94">
        <w:rPr>
          <w:b/>
          <w:bCs/>
        </w:rPr>
        <w:t xml:space="preserve"> </w:t>
      </w:r>
      <w:hyperlink r:id="rId5" w:anchor=":~:text=New%20Zealand's%20population%20continues%20to%20diversify&amp;text=In%20the%202023%20Census%20we,8.9%20percent)%20as%20Pacific%20peoples" w:history="1">
        <w:proofErr w:type="spellStart"/>
        <w:r w:rsidRPr="00CB0E94">
          <w:rPr>
            <w:rStyle w:val="Hyperlink"/>
            <w:b w:val="0"/>
            <w:bCs/>
            <w:lang w:val="mi-NZ"/>
          </w:rPr>
          <w:t>Statistics</w:t>
        </w:r>
        <w:proofErr w:type="spellEnd"/>
        <w:r w:rsidRPr="00CB0E94">
          <w:rPr>
            <w:rStyle w:val="Hyperlink"/>
            <w:b w:val="0"/>
            <w:bCs/>
            <w:lang w:val="mi-NZ"/>
          </w:rPr>
          <w:t xml:space="preserve"> NZ (2024). 2023 </w:t>
        </w:r>
        <w:proofErr w:type="spellStart"/>
        <w:r w:rsidRPr="00CB0E94">
          <w:rPr>
            <w:rStyle w:val="Hyperlink"/>
            <w:b w:val="0"/>
            <w:bCs/>
            <w:lang w:val="mi-NZ"/>
          </w:rPr>
          <w:t>Census</w:t>
        </w:r>
        <w:proofErr w:type="spellEnd"/>
        <w:r w:rsidRPr="00CB0E94">
          <w:rPr>
            <w:rStyle w:val="Hyperlink"/>
            <w:b w:val="0"/>
            <w:bCs/>
            <w:lang w:val="mi-NZ"/>
          </w:rPr>
          <w:t xml:space="preserve"> </w:t>
        </w:r>
        <w:proofErr w:type="spellStart"/>
        <w:r w:rsidRPr="00CB0E94">
          <w:rPr>
            <w:rStyle w:val="Hyperlink"/>
            <w:b w:val="0"/>
            <w:bCs/>
            <w:lang w:val="mi-NZ"/>
          </w:rPr>
          <w:t>national</w:t>
        </w:r>
        <w:proofErr w:type="spellEnd"/>
        <w:r w:rsidRPr="00CB0E94">
          <w:rPr>
            <w:rStyle w:val="Hyperlink"/>
            <w:b w:val="0"/>
            <w:bCs/>
            <w:lang w:val="mi-NZ"/>
          </w:rPr>
          <w:t xml:space="preserve"> and </w:t>
        </w:r>
        <w:proofErr w:type="spellStart"/>
        <w:r w:rsidRPr="00CB0E94">
          <w:rPr>
            <w:rStyle w:val="Hyperlink"/>
            <w:b w:val="0"/>
            <w:bCs/>
            <w:lang w:val="mi-NZ"/>
          </w:rPr>
          <w:t>subnational</w:t>
        </w:r>
        <w:proofErr w:type="spellEnd"/>
        <w:r w:rsidRPr="00CB0E94">
          <w:rPr>
            <w:rStyle w:val="Hyperlink"/>
            <w:b w:val="0"/>
            <w:bCs/>
            <w:lang w:val="mi-NZ"/>
          </w:rPr>
          <w:t xml:space="preserve"> </w:t>
        </w:r>
        <w:proofErr w:type="spellStart"/>
        <w:r w:rsidRPr="00CB0E94">
          <w:rPr>
            <w:rStyle w:val="Hyperlink"/>
            <w:b w:val="0"/>
            <w:bCs/>
            <w:lang w:val="mi-NZ"/>
          </w:rPr>
          <w:t>usually</w:t>
        </w:r>
        <w:proofErr w:type="spellEnd"/>
        <w:r w:rsidRPr="00CB0E94">
          <w:rPr>
            <w:rStyle w:val="Hyperlink"/>
            <w:b w:val="0"/>
            <w:bCs/>
            <w:lang w:val="mi-NZ"/>
          </w:rPr>
          <w:t xml:space="preserve"> </w:t>
        </w:r>
        <w:proofErr w:type="spellStart"/>
        <w:r w:rsidRPr="00CB0E94">
          <w:rPr>
            <w:rStyle w:val="Hyperlink"/>
            <w:b w:val="0"/>
            <w:bCs/>
            <w:lang w:val="mi-NZ"/>
          </w:rPr>
          <w:t>resident</w:t>
        </w:r>
        <w:proofErr w:type="spellEnd"/>
        <w:r w:rsidRPr="00CB0E94">
          <w:rPr>
            <w:rStyle w:val="Hyperlink"/>
            <w:b w:val="0"/>
            <w:bCs/>
            <w:lang w:val="mi-NZ"/>
          </w:rPr>
          <w:t xml:space="preserve"> </w:t>
        </w:r>
        <w:proofErr w:type="spellStart"/>
        <w:r w:rsidRPr="00CB0E94">
          <w:rPr>
            <w:rStyle w:val="Hyperlink"/>
            <w:b w:val="0"/>
            <w:bCs/>
            <w:lang w:val="mi-NZ"/>
          </w:rPr>
          <w:t>population</w:t>
        </w:r>
        <w:proofErr w:type="spellEnd"/>
        <w:r w:rsidRPr="00CB0E94">
          <w:rPr>
            <w:rStyle w:val="Hyperlink"/>
            <w:b w:val="0"/>
            <w:bCs/>
            <w:lang w:val="mi-NZ"/>
          </w:rPr>
          <w:t xml:space="preserve"> </w:t>
        </w:r>
        <w:proofErr w:type="spellStart"/>
        <w:r w:rsidRPr="00CB0E94">
          <w:rPr>
            <w:rStyle w:val="Hyperlink"/>
            <w:b w:val="0"/>
            <w:bCs/>
            <w:lang w:val="mi-NZ"/>
          </w:rPr>
          <w:t>counts</w:t>
        </w:r>
        <w:proofErr w:type="spellEnd"/>
        <w:r w:rsidRPr="00CB0E94">
          <w:rPr>
            <w:rStyle w:val="Hyperlink"/>
            <w:b w:val="0"/>
            <w:bCs/>
            <w:lang w:val="mi-NZ"/>
          </w:rPr>
          <w:t xml:space="preserve"> and </w:t>
        </w:r>
        <w:proofErr w:type="spellStart"/>
        <w:r w:rsidRPr="00CB0E94">
          <w:rPr>
            <w:rStyle w:val="Hyperlink"/>
            <w:b w:val="0"/>
            <w:bCs/>
            <w:lang w:val="mi-NZ"/>
          </w:rPr>
          <w:t>dwelling</w:t>
        </w:r>
        <w:proofErr w:type="spellEnd"/>
        <w:r w:rsidRPr="00CB0E94">
          <w:rPr>
            <w:rStyle w:val="Hyperlink"/>
            <w:b w:val="0"/>
            <w:bCs/>
            <w:lang w:val="mi-NZ"/>
          </w:rPr>
          <w:t xml:space="preserve"> </w:t>
        </w:r>
        <w:proofErr w:type="spellStart"/>
        <w:r w:rsidRPr="00CB0E94">
          <w:rPr>
            <w:rStyle w:val="Hyperlink"/>
            <w:b w:val="0"/>
            <w:bCs/>
            <w:lang w:val="mi-NZ"/>
          </w:rPr>
          <w:t>counts</w:t>
        </w:r>
        <w:proofErr w:type="spellEnd"/>
      </w:hyperlink>
    </w:p>
  </w:footnote>
  <w:footnote w:id="7">
    <w:p w14:paraId="73D906EC" w14:textId="31ED7C40" w:rsidR="00162EA9" w:rsidRPr="007C0ABD" w:rsidRDefault="00162EA9" w:rsidP="009D3EAA">
      <w:pPr>
        <w:spacing w:before="40" w:after="40" w:line="240" w:lineRule="auto"/>
        <w:rPr>
          <w:rFonts w:ascii="Arial" w:hAnsi="Arial" w:cs="Arial"/>
          <w:b/>
          <w:bCs/>
          <w:sz w:val="20"/>
          <w:szCs w:val="20"/>
          <w:lang w:val="en-US"/>
        </w:rPr>
      </w:pPr>
      <w:r w:rsidRPr="007C0ABD">
        <w:rPr>
          <w:rStyle w:val="FootnoteReference"/>
          <w:b/>
          <w:bCs/>
          <w:sz w:val="20"/>
          <w:szCs w:val="20"/>
        </w:rPr>
        <w:footnoteRef/>
      </w:r>
      <w:r w:rsidRPr="007C0ABD">
        <w:rPr>
          <w:b/>
          <w:bCs/>
          <w:sz w:val="20"/>
          <w:szCs w:val="20"/>
        </w:rPr>
        <w:t xml:space="preserve"> </w:t>
      </w:r>
      <w:hyperlink r:id="rId6" w:history="1">
        <w:r w:rsidRPr="007C0ABD">
          <w:rPr>
            <w:rStyle w:val="Hyperlink"/>
            <w:rFonts w:ascii="Arial" w:hAnsi="Arial" w:cs="Arial"/>
            <w:b w:val="0"/>
            <w:bCs/>
            <w:sz w:val="20"/>
            <w:szCs w:val="20"/>
            <w:lang w:val="en-US"/>
          </w:rPr>
          <w:t>Ministry of Health (2017) Ethnicity Data Protocols</w:t>
        </w:r>
      </w:hyperlink>
    </w:p>
  </w:footnote>
  <w:footnote w:id="8">
    <w:p w14:paraId="50DA79BA" w14:textId="3A86B5C7" w:rsidR="00162EA9" w:rsidRPr="00721621" w:rsidRDefault="00162EA9" w:rsidP="009D3EAA">
      <w:pPr>
        <w:pStyle w:val="FootnoteText"/>
        <w:spacing w:before="40" w:after="40"/>
        <w:ind w:left="0" w:firstLine="0"/>
        <w:rPr>
          <w:b/>
          <w:bCs/>
        </w:rPr>
      </w:pPr>
      <w:r w:rsidRPr="00721621">
        <w:rPr>
          <w:rStyle w:val="FootnoteReference"/>
        </w:rPr>
        <w:footnoteRef/>
      </w:r>
      <w:r w:rsidR="00721621" w:rsidRPr="00721621">
        <w:t xml:space="preserve"> </w:t>
      </w:r>
      <w:hyperlink r:id="rId7" w:history="1">
        <w:r w:rsidRPr="00721621">
          <w:rPr>
            <w:rStyle w:val="Hyperlink"/>
            <w:b w:val="0"/>
            <w:bCs/>
          </w:rPr>
          <w:t>McLeod, M., &amp; Harris, R. (2023</w:t>
        </w:r>
        <w:r w:rsidRPr="00721621">
          <w:rPr>
            <w:rStyle w:val="Hyperlink"/>
            <w:b w:val="0"/>
            <w:bCs/>
            <w:i/>
          </w:rPr>
          <w:t xml:space="preserve">). Action plan for achieving high quality ethnicity data in the health and disability sector; A report for Te Aka </w:t>
        </w:r>
        <w:proofErr w:type="spellStart"/>
        <w:r w:rsidRPr="00721621">
          <w:rPr>
            <w:rStyle w:val="Hyperlink"/>
            <w:b w:val="0"/>
            <w:bCs/>
            <w:i/>
          </w:rPr>
          <w:t>Whai</w:t>
        </w:r>
        <w:proofErr w:type="spellEnd"/>
        <w:r w:rsidRPr="00721621">
          <w:rPr>
            <w:rStyle w:val="Hyperlink"/>
            <w:b w:val="0"/>
            <w:bCs/>
            <w:i/>
          </w:rPr>
          <w:t xml:space="preserve"> Ora: M</w:t>
        </w:r>
        <w:r w:rsidRPr="00721621">
          <w:rPr>
            <w:rStyle w:val="Hyperlink"/>
            <w:b w:val="0"/>
            <w:bCs/>
            <w:i/>
            <w:lang w:val="mi-NZ"/>
          </w:rPr>
          <w:t>ā</w:t>
        </w:r>
        <w:proofErr w:type="spellStart"/>
        <w:r w:rsidRPr="00721621">
          <w:rPr>
            <w:rStyle w:val="Hyperlink"/>
            <w:b w:val="0"/>
            <w:bCs/>
            <w:i/>
          </w:rPr>
          <w:t>ori</w:t>
        </w:r>
        <w:proofErr w:type="spellEnd"/>
        <w:r w:rsidRPr="00721621">
          <w:rPr>
            <w:rStyle w:val="Hyperlink"/>
            <w:b w:val="0"/>
            <w:bCs/>
            <w:i/>
          </w:rPr>
          <w:t xml:space="preserve"> Health Authority</w:t>
        </w:r>
        <w:r w:rsidRPr="00721621">
          <w:rPr>
            <w:rStyle w:val="Hyperlink"/>
            <w:b w:val="0"/>
            <w:bCs/>
          </w:rPr>
          <w:t>.</w:t>
        </w:r>
      </w:hyperlink>
      <w:r w:rsidRPr="00721621">
        <w:rPr>
          <w:b/>
          <w:bCs/>
        </w:rPr>
        <w:t xml:space="preserve"> </w:t>
      </w:r>
    </w:p>
  </w:footnote>
  <w:footnote w:id="9">
    <w:p w14:paraId="687CB108" w14:textId="5DA073C2" w:rsidR="00162EA9" w:rsidRPr="00721621" w:rsidRDefault="00162EA9" w:rsidP="009D3EAA">
      <w:pPr>
        <w:spacing w:before="40" w:after="40" w:line="240" w:lineRule="auto"/>
        <w:rPr>
          <w:b/>
          <w:bCs/>
          <w:sz w:val="20"/>
          <w:szCs w:val="20"/>
        </w:rPr>
      </w:pPr>
      <w:r w:rsidRPr="00721621">
        <w:rPr>
          <w:rStyle w:val="FootnoteReference"/>
          <w:b/>
          <w:bCs/>
          <w:sz w:val="20"/>
          <w:szCs w:val="20"/>
        </w:rPr>
        <w:footnoteRef/>
      </w:r>
      <w:r w:rsidRPr="00721621">
        <w:rPr>
          <w:b/>
          <w:bCs/>
          <w:sz w:val="20"/>
          <w:szCs w:val="20"/>
        </w:rPr>
        <w:t xml:space="preserve"> </w:t>
      </w:r>
      <w:hyperlink r:id="rId8" w:history="1">
        <w:r w:rsidRPr="00721621">
          <w:rPr>
            <w:rStyle w:val="Hyperlink"/>
            <w:b w:val="0"/>
            <w:bCs/>
            <w:sz w:val="20"/>
            <w:szCs w:val="20"/>
          </w:rPr>
          <w:t xml:space="preserve">Te Whatu Ora (2023) </w:t>
        </w:r>
        <w:r w:rsidRPr="00721621">
          <w:rPr>
            <w:rStyle w:val="Hyperlink"/>
            <w:b w:val="0"/>
            <w:bCs/>
            <w:i/>
            <w:iCs/>
            <w:sz w:val="20"/>
            <w:szCs w:val="20"/>
          </w:rPr>
          <w:t>Achieving equity</w:t>
        </w:r>
      </w:hyperlink>
    </w:p>
  </w:footnote>
  <w:footnote w:id="10">
    <w:p w14:paraId="12A05F4B" w14:textId="46071312" w:rsidR="00162EA9" w:rsidRPr="00721621" w:rsidRDefault="00162EA9" w:rsidP="009D3EAA">
      <w:pPr>
        <w:spacing w:before="40" w:after="40" w:line="240" w:lineRule="auto"/>
        <w:rPr>
          <w:b/>
          <w:bCs/>
          <w:sz w:val="20"/>
          <w:szCs w:val="20"/>
        </w:rPr>
      </w:pPr>
      <w:r w:rsidRPr="00721621">
        <w:rPr>
          <w:rStyle w:val="FootnoteReference"/>
          <w:b/>
          <w:bCs/>
          <w:sz w:val="20"/>
          <w:szCs w:val="20"/>
        </w:rPr>
        <w:footnoteRef/>
      </w:r>
      <w:r w:rsidRPr="00721621">
        <w:rPr>
          <w:b/>
          <w:bCs/>
          <w:sz w:val="20"/>
          <w:szCs w:val="20"/>
        </w:rPr>
        <w:t xml:space="preserve"> </w:t>
      </w:r>
      <w:hyperlink r:id="rId9" w:history="1">
        <w:r w:rsidRPr="00721621">
          <w:rPr>
            <w:rStyle w:val="Hyperlink"/>
            <w:b w:val="0"/>
            <w:bCs/>
            <w:sz w:val="20"/>
            <w:szCs w:val="20"/>
          </w:rPr>
          <w:t xml:space="preserve">Te Whatu Ora Capital Coast &amp; Hutt Valley (2023) </w:t>
        </w:r>
        <w:r w:rsidRPr="00721621">
          <w:rPr>
            <w:rStyle w:val="Hyperlink"/>
            <w:b w:val="0"/>
            <w:bCs/>
            <w:i/>
            <w:iCs/>
            <w:sz w:val="20"/>
            <w:szCs w:val="20"/>
          </w:rPr>
          <w:t>Pro-equity</w:t>
        </w:r>
      </w:hyperlink>
    </w:p>
  </w:footnote>
  <w:footnote w:id="11">
    <w:p w14:paraId="2D747C7D" w14:textId="28E06CD5" w:rsidR="00162EA9" w:rsidRPr="00721621" w:rsidRDefault="00162EA9" w:rsidP="009D3EAA">
      <w:pPr>
        <w:pStyle w:val="FootnoteText"/>
        <w:spacing w:before="40" w:after="40"/>
        <w:rPr>
          <w:b/>
          <w:bCs/>
          <w:sz w:val="14"/>
          <w:szCs w:val="14"/>
          <w:lang w:val="mi-NZ"/>
        </w:rPr>
      </w:pPr>
      <w:r w:rsidRPr="00721621">
        <w:rPr>
          <w:rStyle w:val="FootnoteReference"/>
          <w:b/>
          <w:bCs/>
        </w:rPr>
        <w:footnoteRef/>
      </w:r>
      <w:r w:rsidRPr="00721621">
        <w:rPr>
          <w:b/>
          <w:bCs/>
        </w:rPr>
        <w:t xml:space="preserve"> </w:t>
      </w:r>
      <w:hyperlink r:id="rId10" w:history="1">
        <w:r w:rsidRPr="00721621">
          <w:rPr>
            <w:rStyle w:val="Hyperlink"/>
            <w:b w:val="0"/>
            <w:bCs/>
          </w:rPr>
          <w:t xml:space="preserve">HQSC. (2019). </w:t>
        </w:r>
        <w:r w:rsidRPr="00721621">
          <w:rPr>
            <w:rStyle w:val="Hyperlink"/>
            <w:b w:val="0"/>
            <w:bCs/>
            <w:i/>
          </w:rPr>
          <w:t>Ng</w:t>
        </w:r>
        <w:r w:rsidRPr="00721621">
          <w:rPr>
            <w:rStyle w:val="Hyperlink"/>
            <w:b w:val="0"/>
            <w:bCs/>
            <w:i/>
            <w:lang w:val="mi-NZ"/>
          </w:rPr>
          <w:t xml:space="preserve">ā </w:t>
        </w:r>
        <w:proofErr w:type="spellStart"/>
        <w:r w:rsidRPr="00721621">
          <w:rPr>
            <w:rStyle w:val="Hyperlink"/>
            <w:b w:val="0"/>
            <w:bCs/>
            <w:i/>
            <w:lang w:val="mi-NZ"/>
          </w:rPr>
          <w:t>Taeoro</w:t>
        </w:r>
        <w:proofErr w:type="spellEnd"/>
        <w:r w:rsidRPr="00721621">
          <w:rPr>
            <w:rStyle w:val="Hyperlink"/>
            <w:b w:val="0"/>
            <w:bCs/>
            <w:i/>
            <w:lang w:val="mi-NZ"/>
          </w:rPr>
          <w:t xml:space="preserve"> a Kupe:</w:t>
        </w:r>
        <w:r w:rsidR="00792C09" w:rsidRPr="00721621">
          <w:rPr>
            <w:rStyle w:val="Hyperlink"/>
            <w:b w:val="0"/>
            <w:bCs/>
            <w:i/>
            <w:lang w:val="mi-NZ"/>
          </w:rPr>
          <w:t xml:space="preserve"> W</w:t>
        </w:r>
        <w:r w:rsidRPr="00721621">
          <w:rPr>
            <w:rStyle w:val="Hyperlink"/>
            <w:b w:val="0"/>
            <w:bCs/>
            <w:i/>
            <w:lang w:val="mi-NZ"/>
          </w:rPr>
          <w:t xml:space="preserve">hānau </w:t>
        </w:r>
        <w:proofErr w:type="spellStart"/>
        <w:r w:rsidRPr="00721621">
          <w:rPr>
            <w:rStyle w:val="Hyperlink"/>
            <w:b w:val="0"/>
            <w:bCs/>
            <w:i/>
            <w:lang w:val="mi-NZ"/>
          </w:rPr>
          <w:t>experiences</w:t>
        </w:r>
        <w:proofErr w:type="spellEnd"/>
        <w:r w:rsidRPr="00721621">
          <w:rPr>
            <w:rStyle w:val="Hyperlink"/>
            <w:b w:val="0"/>
            <w:bCs/>
            <w:i/>
            <w:lang w:val="mi-NZ"/>
          </w:rPr>
          <w:t xml:space="preserve"> of </w:t>
        </w:r>
        <w:proofErr w:type="spellStart"/>
        <w:r w:rsidRPr="00721621">
          <w:rPr>
            <w:rStyle w:val="Hyperlink"/>
            <w:b w:val="0"/>
            <w:bCs/>
            <w:i/>
            <w:lang w:val="mi-NZ"/>
          </w:rPr>
          <w:t>in-hospital</w:t>
        </w:r>
        <w:proofErr w:type="spellEnd"/>
        <w:r w:rsidRPr="00721621">
          <w:rPr>
            <w:rStyle w:val="Hyperlink"/>
            <w:b w:val="0"/>
            <w:bCs/>
            <w:i/>
            <w:lang w:val="mi-NZ"/>
          </w:rPr>
          <w:t xml:space="preserve"> </w:t>
        </w:r>
        <w:proofErr w:type="spellStart"/>
        <w:r w:rsidRPr="00721621">
          <w:rPr>
            <w:rStyle w:val="Hyperlink"/>
            <w:b w:val="0"/>
            <w:bCs/>
            <w:i/>
            <w:lang w:val="mi-NZ"/>
          </w:rPr>
          <w:t>adverse</w:t>
        </w:r>
        <w:proofErr w:type="spellEnd"/>
        <w:r w:rsidRPr="00721621">
          <w:rPr>
            <w:rStyle w:val="Hyperlink"/>
            <w:b w:val="0"/>
            <w:bCs/>
            <w:i/>
            <w:lang w:val="mi-NZ"/>
          </w:rPr>
          <w:t xml:space="preserve"> </w:t>
        </w:r>
        <w:proofErr w:type="spellStart"/>
        <w:r w:rsidRPr="00721621">
          <w:rPr>
            <w:rStyle w:val="Hyperlink"/>
            <w:b w:val="0"/>
            <w:bCs/>
            <w:i/>
            <w:lang w:val="mi-NZ"/>
          </w:rPr>
          <w:t>events</w:t>
        </w:r>
        <w:proofErr w:type="spellEnd"/>
        <w:r w:rsidRPr="00721621">
          <w:rPr>
            <w:rStyle w:val="Hyperlink"/>
            <w:b w:val="0"/>
            <w:bCs/>
            <w:i/>
            <w:lang w:val="mi-NZ"/>
          </w:rPr>
          <w:t>.</w:t>
        </w:r>
      </w:hyperlink>
    </w:p>
  </w:footnote>
  <w:footnote w:id="12">
    <w:p w14:paraId="59E86356" w14:textId="037FAEAB" w:rsidR="00162EA9" w:rsidRPr="009D3EAA" w:rsidRDefault="00162EA9" w:rsidP="009D3EAA">
      <w:pPr>
        <w:pStyle w:val="FootnoteText"/>
        <w:spacing w:before="40" w:after="40"/>
        <w:rPr>
          <w:rFonts w:cstheme="minorHAnsi"/>
        </w:rPr>
      </w:pPr>
      <w:r w:rsidRPr="00721621">
        <w:rPr>
          <w:rStyle w:val="FootnoteReference"/>
          <w:rFonts w:cstheme="minorHAnsi"/>
        </w:rPr>
        <w:footnoteRef/>
      </w:r>
      <w:r w:rsidRPr="00721621">
        <w:rPr>
          <w:rFonts w:cstheme="minorHAnsi"/>
        </w:rPr>
        <w:t xml:space="preserve"> Ryan D., Grey C., Mischewski B. (2019). Tofa Saili: A review of evidence about health equity for Pacific Peoples in New Zealand. Wellington: Pacific Perspectives Ltd. ISBN 978-0-473-48927-4</w:t>
      </w:r>
    </w:p>
  </w:footnote>
  <w:footnote w:id="13">
    <w:p w14:paraId="4337ADF0" w14:textId="77777777" w:rsidR="00162EA9" w:rsidRPr="00721621" w:rsidRDefault="00162EA9" w:rsidP="009D3EAA">
      <w:pPr>
        <w:pStyle w:val="FootnoteText"/>
        <w:spacing w:before="40" w:after="40"/>
        <w:rPr>
          <w:rFonts w:eastAsia="Calibri" w:cstheme="minorHAnsi"/>
        </w:rPr>
      </w:pPr>
      <w:r w:rsidRPr="00721621">
        <w:rPr>
          <w:rStyle w:val="FootnoteReference"/>
          <w:rFonts w:cstheme="minorHAnsi"/>
        </w:rPr>
        <w:footnoteRef/>
      </w:r>
      <w:r w:rsidRPr="00721621">
        <w:rPr>
          <w:rFonts w:cstheme="minorHAnsi"/>
        </w:rPr>
        <w:t xml:space="preserve"> </w:t>
      </w:r>
      <w:r w:rsidRPr="00721621">
        <w:rPr>
          <w:rFonts w:eastAsia="Calibri" w:cstheme="minorHAnsi"/>
        </w:rPr>
        <w:t xml:space="preserve">Graham, R. &amp; Masters-Awatere, B. (2020) Experiences of Māori of Aotearoa New Zealand's public health system: a systematic review of two decades of published qualitative research, </w:t>
      </w:r>
      <w:r w:rsidRPr="00721621">
        <w:rPr>
          <w:rFonts w:eastAsia="Calibri" w:cstheme="minorHAnsi"/>
          <w:i/>
          <w:iCs/>
        </w:rPr>
        <w:t>Australian  and New Zealand Journal of Public health</w:t>
      </w:r>
      <w:r w:rsidRPr="00721621">
        <w:rPr>
          <w:rFonts w:eastAsia="Calibri" w:cstheme="minorHAnsi"/>
        </w:rPr>
        <w:t xml:space="preserve"> 44(3) p193-200</w:t>
      </w:r>
    </w:p>
    <w:p w14:paraId="4A18A5E8" w14:textId="77777777" w:rsidR="00162EA9" w:rsidRPr="0018083A" w:rsidRDefault="00162EA9" w:rsidP="00384841">
      <w:pPr>
        <w:pStyle w:val="FootnoteText"/>
        <w:rPr>
          <w:sz w:val="14"/>
          <w:szCs w:val="14"/>
          <w:lang w:val="mi-NZ"/>
        </w:rPr>
      </w:pPr>
    </w:p>
  </w:footnote>
  <w:footnote w:id="14">
    <w:p w14:paraId="05D17763" w14:textId="62ED1C7C" w:rsidR="00162EA9" w:rsidRPr="00F074C3" w:rsidRDefault="00162EA9" w:rsidP="00F074C3">
      <w:pPr>
        <w:rPr>
          <w:rFonts w:ascii="Arial" w:hAnsi="Arial" w:cs="Arial"/>
          <w:b/>
          <w:bCs/>
          <w:sz w:val="20"/>
          <w:szCs w:val="20"/>
          <w:lang w:val="en-US"/>
        </w:rPr>
      </w:pPr>
      <w:r w:rsidRPr="00F074C3">
        <w:rPr>
          <w:rStyle w:val="FootnoteReference"/>
          <w:b/>
          <w:bCs/>
          <w:sz w:val="20"/>
          <w:szCs w:val="20"/>
        </w:rPr>
        <w:footnoteRef/>
      </w:r>
      <w:r w:rsidRPr="00F074C3">
        <w:rPr>
          <w:b/>
          <w:bCs/>
          <w:sz w:val="20"/>
          <w:szCs w:val="20"/>
        </w:rPr>
        <w:t xml:space="preserve"> </w:t>
      </w:r>
      <w:hyperlink r:id="rId11" w:history="1">
        <w:r w:rsidRPr="00F074C3">
          <w:rPr>
            <w:rStyle w:val="Hyperlink"/>
            <w:rFonts w:ascii="Arial" w:hAnsi="Arial" w:cs="Arial"/>
            <w:b w:val="0"/>
            <w:bCs/>
            <w:sz w:val="20"/>
            <w:szCs w:val="20"/>
            <w:lang w:val="en-US"/>
          </w:rPr>
          <w:t>Ministry of Health (2017) Ethnicity Data Protocols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1DECA" w14:textId="460F0677" w:rsidR="00162EA9" w:rsidRPr="00C67AE0" w:rsidRDefault="00162EA9" w:rsidP="000F1B62">
    <w:pPr>
      <w:pStyle w:val="Header"/>
      <w:spacing w:before="0"/>
      <w:rPr>
        <w:sz w:val="2"/>
        <w:szCs w:val="2"/>
      </w:rPr>
    </w:pPr>
    <w:r w:rsidRPr="00C67AE0">
      <w:rPr>
        <w:noProof/>
        <w:sz w:val="2"/>
        <w:szCs w:val="2"/>
        <w:lang w:eastAsia="en-NZ"/>
      </w:rPr>
      <w:drawing>
        <wp:anchor distT="0" distB="0" distL="114300" distR="114300" simplePos="0" relativeHeight="251656704" behindDoc="0" locked="0" layoutInCell="1" allowOverlap="1" wp14:anchorId="528D74E5" wp14:editId="17CA59D3">
          <wp:simplePos x="0" y="0"/>
          <wp:positionH relativeFrom="column">
            <wp:posOffset>-714375</wp:posOffset>
          </wp:positionH>
          <wp:positionV relativeFrom="paragraph">
            <wp:posOffset>-821690</wp:posOffset>
          </wp:positionV>
          <wp:extent cx="7559675" cy="539750"/>
          <wp:effectExtent l="0" t="0" r="3175" b="0"/>
          <wp:wrapSquare wrapText="bothSides"/>
          <wp:docPr id="2086820228"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251039"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675" cy="53975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A4381" w14:textId="4B1B8FA2" w:rsidR="00162EA9" w:rsidRDefault="00C56C32" w:rsidP="0021771E">
    <w:pPr>
      <w:pStyle w:val="Header"/>
      <w:rPr>
        <w:noProof/>
        <w:lang w:eastAsia="en-NZ"/>
      </w:rPr>
    </w:pPr>
    <w:r>
      <w:rPr>
        <w:noProof/>
        <w:lang w:eastAsia="en-NZ"/>
      </w:rPr>
      <w:drawing>
        <wp:anchor distT="0" distB="0" distL="114300" distR="114300" simplePos="0" relativeHeight="251655679" behindDoc="1" locked="0" layoutInCell="1" allowOverlap="1" wp14:anchorId="349EA59D" wp14:editId="429DF199">
          <wp:simplePos x="0" y="0"/>
          <wp:positionH relativeFrom="page">
            <wp:align>left</wp:align>
          </wp:positionH>
          <wp:positionV relativeFrom="paragraph">
            <wp:posOffset>-806450</wp:posOffset>
          </wp:positionV>
          <wp:extent cx="7559673" cy="10690492"/>
          <wp:effectExtent l="0" t="0" r="3810" b="0"/>
          <wp:wrapNone/>
          <wp:docPr id="10510328"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631694"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673" cy="10690492"/>
                  </a:xfrm>
                  <a:prstGeom prst="rect">
                    <a:avLst/>
                  </a:prstGeom>
                </pic:spPr>
              </pic:pic>
            </a:graphicData>
          </a:graphic>
          <wp14:sizeRelH relativeFrom="page">
            <wp14:pctWidth>0</wp14:pctWidth>
          </wp14:sizeRelH>
          <wp14:sizeRelV relativeFrom="page">
            <wp14:pctHeight>0</wp14:pctHeight>
          </wp14:sizeRelV>
        </wp:anchor>
      </w:drawing>
    </w:r>
  </w:p>
  <w:p w14:paraId="55EC65C8" w14:textId="5064EE6C" w:rsidR="00162EA9" w:rsidRPr="0021771E" w:rsidRDefault="00162EA9" w:rsidP="002177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E2F2EE9C"/>
    <w:lvl w:ilvl="0">
      <w:start w:val="1"/>
      <w:numFmt w:val="decimal"/>
      <w:pStyle w:val="ListNumber2"/>
      <w:lvlText w:val="%1."/>
      <w:lvlJc w:val="left"/>
      <w:pPr>
        <w:tabs>
          <w:tab w:val="num" w:pos="643"/>
        </w:tabs>
        <w:ind w:left="643" w:hanging="360"/>
      </w:pPr>
    </w:lvl>
  </w:abstractNum>
  <w:abstractNum w:abstractNumId="1" w15:restartNumberingAfterBreak="0">
    <w:nsid w:val="FFFFFF82"/>
    <w:multiLevelType w:val="singleLevel"/>
    <w:tmpl w:val="5FA4A2C6"/>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B2A87B30"/>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19682294"/>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64A808EC"/>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1D90891"/>
    <w:multiLevelType w:val="hybridMultilevel"/>
    <w:tmpl w:val="DCFA0166"/>
    <w:lvl w:ilvl="0" w:tplc="45CE6F50">
      <w:numFmt w:val="bullet"/>
      <w:lvlText w:val=""/>
      <w:lvlJc w:val="left"/>
      <w:pPr>
        <w:ind w:left="720" w:hanging="360"/>
      </w:pPr>
      <w:rPr>
        <w:rFonts w:ascii="Symbol" w:eastAsiaTheme="minorHAnsi" w:hAnsi="Symbol"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6120F4E"/>
    <w:multiLevelType w:val="hybridMultilevel"/>
    <w:tmpl w:val="43F47CC8"/>
    <w:lvl w:ilvl="0" w:tplc="1A40728E">
      <w:start w:val="1"/>
      <w:numFmt w:val="decimal"/>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0A047A15"/>
    <w:multiLevelType w:val="hybridMultilevel"/>
    <w:tmpl w:val="4F5ABD0C"/>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8" w15:restartNumberingAfterBreak="0">
    <w:nsid w:val="0AB43B3E"/>
    <w:multiLevelType w:val="hybridMultilevel"/>
    <w:tmpl w:val="0A9A293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15:restartNumberingAfterBreak="0">
    <w:nsid w:val="11F178B7"/>
    <w:multiLevelType w:val="hybridMultilevel"/>
    <w:tmpl w:val="893C384A"/>
    <w:lvl w:ilvl="0" w:tplc="F904C0F2">
      <w:start w:val="1"/>
      <w:numFmt w:val="bullet"/>
      <w:pStyle w:val="Bulletpoin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15:restartNumberingAfterBreak="0">
    <w:nsid w:val="129A4751"/>
    <w:multiLevelType w:val="hybridMultilevel"/>
    <w:tmpl w:val="71D8ECB2"/>
    <w:lvl w:ilvl="0" w:tplc="C3BC7AEE">
      <w:numFmt w:val="bullet"/>
      <w:lvlText w:val="•"/>
      <w:lvlJc w:val="left"/>
      <w:pPr>
        <w:ind w:left="1440" w:hanging="720"/>
      </w:pPr>
      <w:rPr>
        <w:rFonts w:ascii="Arial" w:eastAsiaTheme="minorHAnsi" w:hAnsi="Arial" w:cs="Aria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1" w15:restartNumberingAfterBreak="0">
    <w:nsid w:val="141F1B1F"/>
    <w:multiLevelType w:val="hybridMultilevel"/>
    <w:tmpl w:val="66BCA292"/>
    <w:lvl w:ilvl="0" w:tplc="A5A675D0">
      <w:start w:val="1"/>
      <w:numFmt w:val="bullet"/>
      <w:pStyle w:val="BoxBullet"/>
      <w:lvlText w:val=""/>
      <w:lvlJc w:val="left"/>
      <w:pPr>
        <w:ind w:left="890" w:hanging="360"/>
      </w:pPr>
      <w:rPr>
        <w:rFonts w:ascii="Symbol" w:hAnsi="Symbol" w:hint="default"/>
      </w:rPr>
    </w:lvl>
    <w:lvl w:ilvl="1" w:tplc="14090003" w:tentative="1">
      <w:start w:val="1"/>
      <w:numFmt w:val="bullet"/>
      <w:lvlText w:val="o"/>
      <w:lvlJc w:val="left"/>
      <w:pPr>
        <w:ind w:left="1610" w:hanging="360"/>
      </w:pPr>
      <w:rPr>
        <w:rFonts w:ascii="Courier New" w:hAnsi="Courier New" w:cs="Courier New" w:hint="default"/>
      </w:rPr>
    </w:lvl>
    <w:lvl w:ilvl="2" w:tplc="14090005" w:tentative="1">
      <w:start w:val="1"/>
      <w:numFmt w:val="bullet"/>
      <w:lvlText w:val=""/>
      <w:lvlJc w:val="left"/>
      <w:pPr>
        <w:ind w:left="2330" w:hanging="360"/>
      </w:pPr>
      <w:rPr>
        <w:rFonts w:ascii="Wingdings" w:hAnsi="Wingdings" w:hint="default"/>
      </w:rPr>
    </w:lvl>
    <w:lvl w:ilvl="3" w:tplc="14090001" w:tentative="1">
      <w:start w:val="1"/>
      <w:numFmt w:val="bullet"/>
      <w:lvlText w:val=""/>
      <w:lvlJc w:val="left"/>
      <w:pPr>
        <w:ind w:left="3050" w:hanging="360"/>
      </w:pPr>
      <w:rPr>
        <w:rFonts w:ascii="Symbol" w:hAnsi="Symbol" w:hint="default"/>
      </w:rPr>
    </w:lvl>
    <w:lvl w:ilvl="4" w:tplc="14090003" w:tentative="1">
      <w:start w:val="1"/>
      <w:numFmt w:val="bullet"/>
      <w:lvlText w:val="o"/>
      <w:lvlJc w:val="left"/>
      <w:pPr>
        <w:ind w:left="3770" w:hanging="360"/>
      </w:pPr>
      <w:rPr>
        <w:rFonts w:ascii="Courier New" w:hAnsi="Courier New" w:cs="Courier New" w:hint="default"/>
      </w:rPr>
    </w:lvl>
    <w:lvl w:ilvl="5" w:tplc="14090005" w:tentative="1">
      <w:start w:val="1"/>
      <w:numFmt w:val="bullet"/>
      <w:lvlText w:val=""/>
      <w:lvlJc w:val="left"/>
      <w:pPr>
        <w:ind w:left="4490" w:hanging="360"/>
      </w:pPr>
      <w:rPr>
        <w:rFonts w:ascii="Wingdings" w:hAnsi="Wingdings" w:hint="default"/>
      </w:rPr>
    </w:lvl>
    <w:lvl w:ilvl="6" w:tplc="14090001" w:tentative="1">
      <w:start w:val="1"/>
      <w:numFmt w:val="bullet"/>
      <w:lvlText w:val=""/>
      <w:lvlJc w:val="left"/>
      <w:pPr>
        <w:ind w:left="5210" w:hanging="360"/>
      </w:pPr>
      <w:rPr>
        <w:rFonts w:ascii="Symbol" w:hAnsi="Symbol" w:hint="default"/>
      </w:rPr>
    </w:lvl>
    <w:lvl w:ilvl="7" w:tplc="14090003" w:tentative="1">
      <w:start w:val="1"/>
      <w:numFmt w:val="bullet"/>
      <w:lvlText w:val="o"/>
      <w:lvlJc w:val="left"/>
      <w:pPr>
        <w:ind w:left="5930" w:hanging="360"/>
      </w:pPr>
      <w:rPr>
        <w:rFonts w:ascii="Courier New" w:hAnsi="Courier New" w:cs="Courier New" w:hint="default"/>
      </w:rPr>
    </w:lvl>
    <w:lvl w:ilvl="8" w:tplc="14090005" w:tentative="1">
      <w:start w:val="1"/>
      <w:numFmt w:val="bullet"/>
      <w:lvlText w:val=""/>
      <w:lvlJc w:val="left"/>
      <w:pPr>
        <w:ind w:left="6650" w:hanging="360"/>
      </w:pPr>
      <w:rPr>
        <w:rFonts w:ascii="Wingdings" w:hAnsi="Wingdings" w:hint="default"/>
      </w:rPr>
    </w:lvl>
  </w:abstractNum>
  <w:abstractNum w:abstractNumId="12" w15:restartNumberingAfterBreak="0">
    <w:nsid w:val="14FF2905"/>
    <w:multiLevelType w:val="hybridMultilevel"/>
    <w:tmpl w:val="73261ACA"/>
    <w:lvl w:ilvl="0" w:tplc="5FF22E2A">
      <w:start w:val="1"/>
      <w:numFmt w:val="decimal"/>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20951DFA"/>
    <w:multiLevelType w:val="hybridMultilevel"/>
    <w:tmpl w:val="6D421652"/>
    <w:lvl w:ilvl="0" w:tplc="1409000F">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4" w15:restartNumberingAfterBreak="0">
    <w:nsid w:val="22A95897"/>
    <w:multiLevelType w:val="multilevel"/>
    <w:tmpl w:val="7E784D5A"/>
    <w:lvl w:ilvl="0">
      <w:start w:val="1"/>
      <w:numFmt w:val="decimal"/>
      <w:pStyle w:val="NumberedHeading1"/>
      <w:lvlText w:val="%1"/>
      <w:lvlJc w:val="left"/>
      <w:pPr>
        <w:ind w:left="360" w:hanging="360"/>
      </w:pPr>
      <w:rPr>
        <w:rFonts w:hint="default"/>
      </w:rPr>
    </w:lvl>
    <w:lvl w:ilvl="1">
      <w:start w:val="1"/>
      <w:numFmt w:val="decimal"/>
      <w:pStyle w:val="NumberedHeading2"/>
      <w:lvlText w:val="%1.%2"/>
      <w:lvlJc w:val="left"/>
      <w:pPr>
        <w:ind w:left="720" w:hanging="360"/>
      </w:pPr>
      <w:rPr>
        <w:rFonts w:hint="default"/>
      </w:rPr>
    </w:lvl>
    <w:lvl w:ilvl="2">
      <w:start w:val="1"/>
      <w:numFmt w:val="decimal"/>
      <w:pStyle w:val="NumberedHeading3"/>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45E562E"/>
    <w:multiLevelType w:val="hybridMultilevel"/>
    <w:tmpl w:val="4344D9E4"/>
    <w:lvl w:ilvl="0" w:tplc="1409000F">
      <w:start w:val="1"/>
      <w:numFmt w:val="decimal"/>
      <w:lvlText w:val="%1."/>
      <w:lvlJc w:val="left"/>
      <w:pPr>
        <w:ind w:left="720" w:hanging="360"/>
      </w:pPr>
      <w:rPr>
        <w:rFonts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2CA4548F"/>
    <w:multiLevelType w:val="multilevel"/>
    <w:tmpl w:val="1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7491015"/>
    <w:multiLevelType w:val="hybridMultilevel"/>
    <w:tmpl w:val="028612AA"/>
    <w:lvl w:ilvl="0" w:tplc="FFFFFFFF">
      <w:start w:val="1"/>
      <w:numFmt w:val="bullet"/>
      <w:lvlText w:val=""/>
      <w:lvlJc w:val="left"/>
      <w:pPr>
        <w:ind w:left="360" w:hanging="360"/>
      </w:pPr>
      <w:rPr>
        <w:rFonts w:ascii="Symbol" w:hAnsi="Symbol" w:hint="default"/>
      </w:rPr>
    </w:lvl>
    <w:lvl w:ilvl="1" w:tplc="14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4D444897"/>
    <w:multiLevelType w:val="hybridMultilevel"/>
    <w:tmpl w:val="C5561B26"/>
    <w:lvl w:ilvl="0" w:tplc="F6AE09A6">
      <w:start w:val="1"/>
      <w:numFmt w:val="decimal"/>
      <w:lvlText w:val="%1."/>
      <w:lvlJc w:val="left"/>
      <w:pPr>
        <w:ind w:left="360" w:hanging="360"/>
      </w:pPr>
    </w:lvl>
    <w:lvl w:ilvl="1" w:tplc="7FEAC54E">
      <w:start w:val="1"/>
      <w:numFmt w:val="lowerLetter"/>
      <w:lvlText w:val="%2."/>
      <w:lvlJc w:val="left"/>
      <w:pPr>
        <w:ind w:left="1080" w:hanging="360"/>
      </w:pPr>
    </w:lvl>
    <w:lvl w:ilvl="2" w:tplc="C304F2D4">
      <w:start w:val="1"/>
      <w:numFmt w:val="lowerRoman"/>
      <w:lvlText w:val="%3."/>
      <w:lvlJc w:val="right"/>
      <w:pPr>
        <w:ind w:left="1800" w:hanging="180"/>
      </w:pPr>
    </w:lvl>
    <w:lvl w:ilvl="3" w:tplc="4E16106C">
      <w:start w:val="1"/>
      <w:numFmt w:val="decimal"/>
      <w:lvlText w:val="%4."/>
      <w:lvlJc w:val="left"/>
      <w:pPr>
        <w:ind w:left="2520" w:hanging="360"/>
      </w:pPr>
    </w:lvl>
    <w:lvl w:ilvl="4" w:tplc="51F210AC">
      <w:start w:val="1"/>
      <w:numFmt w:val="lowerLetter"/>
      <w:lvlText w:val="%5."/>
      <w:lvlJc w:val="left"/>
      <w:pPr>
        <w:ind w:left="3240" w:hanging="360"/>
      </w:pPr>
    </w:lvl>
    <w:lvl w:ilvl="5" w:tplc="02BE73AC">
      <w:start w:val="1"/>
      <w:numFmt w:val="lowerRoman"/>
      <w:lvlText w:val="%6."/>
      <w:lvlJc w:val="right"/>
      <w:pPr>
        <w:ind w:left="3960" w:hanging="180"/>
      </w:pPr>
    </w:lvl>
    <w:lvl w:ilvl="6" w:tplc="1BE23270">
      <w:start w:val="1"/>
      <w:numFmt w:val="decimal"/>
      <w:lvlText w:val="%7."/>
      <w:lvlJc w:val="left"/>
      <w:pPr>
        <w:ind w:left="4680" w:hanging="360"/>
      </w:pPr>
    </w:lvl>
    <w:lvl w:ilvl="7" w:tplc="663EF32E">
      <w:start w:val="1"/>
      <w:numFmt w:val="lowerLetter"/>
      <w:lvlText w:val="%8."/>
      <w:lvlJc w:val="left"/>
      <w:pPr>
        <w:ind w:left="5400" w:hanging="360"/>
      </w:pPr>
    </w:lvl>
    <w:lvl w:ilvl="8" w:tplc="F5382C24">
      <w:start w:val="1"/>
      <w:numFmt w:val="lowerRoman"/>
      <w:lvlText w:val="%9."/>
      <w:lvlJc w:val="right"/>
      <w:pPr>
        <w:ind w:left="6120" w:hanging="180"/>
      </w:pPr>
    </w:lvl>
  </w:abstractNum>
  <w:abstractNum w:abstractNumId="19" w15:restartNumberingAfterBreak="0">
    <w:nsid w:val="4E497B20"/>
    <w:multiLevelType w:val="hybridMultilevel"/>
    <w:tmpl w:val="B1A47052"/>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0" w15:restartNumberingAfterBreak="0">
    <w:nsid w:val="4F6264F9"/>
    <w:multiLevelType w:val="hybridMultilevel"/>
    <w:tmpl w:val="D6C626C8"/>
    <w:lvl w:ilvl="0" w:tplc="4D760A80">
      <w:start w:val="1"/>
      <w:numFmt w:val="bullet"/>
      <w:lvlText w:val=""/>
      <w:lvlJc w:val="left"/>
      <w:pPr>
        <w:ind w:left="720" w:hanging="360"/>
      </w:pPr>
      <w:rPr>
        <w:rFonts w:ascii="Symbol" w:hAnsi="Symbol" w:hint="default"/>
      </w:rPr>
    </w:lvl>
    <w:lvl w:ilvl="1" w:tplc="1FE043B4">
      <w:start w:val="1"/>
      <w:numFmt w:val="bullet"/>
      <w:lvlText w:val="o"/>
      <w:lvlJc w:val="left"/>
      <w:pPr>
        <w:ind w:left="1440" w:hanging="360"/>
      </w:pPr>
      <w:rPr>
        <w:rFonts w:ascii="Courier New" w:hAnsi="Courier New" w:hint="default"/>
      </w:rPr>
    </w:lvl>
    <w:lvl w:ilvl="2" w:tplc="BE8A3BA8">
      <w:start w:val="1"/>
      <w:numFmt w:val="bullet"/>
      <w:lvlText w:val=""/>
      <w:lvlJc w:val="left"/>
      <w:pPr>
        <w:ind w:left="2160" w:hanging="360"/>
      </w:pPr>
      <w:rPr>
        <w:rFonts w:ascii="Wingdings" w:hAnsi="Wingdings" w:hint="default"/>
      </w:rPr>
    </w:lvl>
    <w:lvl w:ilvl="3" w:tplc="E49A7DE0">
      <w:start w:val="1"/>
      <w:numFmt w:val="bullet"/>
      <w:lvlText w:val=""/>
      <w:lvlJc w:val="left"/>
      <w:pPr>
        <w:ind w:left="2880" w:hanging="360"/>
      </w:pPr>
      <w:rPr>
        <w:rFonts w:ascii="Symbol" w:hAnsi="Symbol" w:hint="default"/>
      </w:rPr>
    </w:lvl>
    <w:lvl w:ilvl="4" w:tplc="6680963C">
      <w:start w:val="1"/>
      <w:numFmt w:val="bullet"/>
      <w:lvlText w:val="o"/>
      <w:lvlJc w:val="left"/>
      <w:pPr>
        <w:ind w:left="3600" w:hanging="360"/>
      </w:pPr>
      <w:rPr>
        <w:rFonts w:ascii="Courier New" w:hAnsi="Courier New" w:hint="default"/>
      </w:rPr>
    </w:lvl>
    <w:lvl w:ilvl="5" w:tplc="29167D7E">
      <w:start w:val="1"/>
      <w:numFmt w:val="bullet"/>
      <w:lvlText w:val=""/>
      <w:lvlJc w:val="left"/>
      <w:pPr>
        <w:ind w:left="4320" w:hanging="360"/>
      </w:pPr>
      <w:rPr>
        <w:rFonts w:ascii="Wingdings" w:hAnsi="Wingdings" w:hint="default"/>
      </w:rPr>
    </w:lvl>
    <w:lvl w:ilvl="6" w:tplc="D34A76CE">
      <w:start w:val="1"/>
      <w:numFmt w:val="bullet"/>
      <w:lvlText w:val=""/>
      <w:lvlJc w:val="left"/>
      <w:pPr>
        <w:ind w:left="5040" w:hanging="360"/>
      </w:pPr>
      <w:rPr>
        <w:rFonts w:ascii="Symbol" w:hAnsi="Symbol" w:hint="default"/>
      </w:rPr>
    </w:lvl>
    <w:lvl w:ilvl="7" w:tplc="24729F62">
      <w:start w:val="1"/>
      <w:numFmt w:val="bullet"/>
      <w:lvlText w:val="o"/>
      <w:lvlJc w:val="left"/>
      <w:pPr>
        <w:ind w:left="5760" w:hanging="360"/>
      </w:pPr>
      <w:rPr>
        <w:rFonts w:ascii="Courier New" w:hAnsi="Courier New" w:hint="default"/>
      </w:rPr>
    </w:lvl>
    <w:lvl w:ilvl="8" w:tplc="E5988330">
      <w:start w:val="1"/>
      <w:numFmt w:val="bullet"/>
      <w:lvlText w:val=""/>
      <w:lvlJc w:val="left"/>
      <w:pPr>
        <w:ind w:left="6480" w:hanging="360"/>
      </w:pPr>
      <w:rPr>
        <w:rFonts w:ascii="Wingdings" w:hAnsi="Wingdings" w:hint="default"/>
      </w:rPr>
    </w:lvl>
  </w:abstractNum>
  <w:abstractNum w:abstractNumId="21" w15:restartNumberingAfterBreak="0">
    <w:nsid w:val="54BC79C7"/>
    <w:multiLevelType w:val="hybridMultilevel"/>
    <w:tmpl w:val="718C88DC"/>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 w15:restartNumberingAfterBreak="0">
    <w:nsid w:val="56CB7AB7"/>
    <w:multiLevelType w:val="hybridMultilevel"/>
    <w:tmpl w:val="1A242F1E"/>
    <w:lvl w:ilvl="0" w:tplc="97D8B7D6">
      <w:numFmt w:val="bullet"/>
      <w:lvlText w:val="•"/>
      <w:lvlJc w:val="left"/>
      <w:pPr>
        <w:ind w:left="1080" w:hanging="72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5E5657A8"/>
    <w:multiLevelType w:val="hybridMultilevel"/>
    <w:tmpl w:val="2F4250D4"/>
    <w:lvl w:ilvl="0" w:tplc="C3BC7AEE">
      <w:numFmt w:val="bullet"/>
      <w:lvlText w:val="•"/>
      <w:lvlJc w:val="left"/>
      <w:pPr>
        <w:ind w:left="720" w:hanging="720"/>
      </w:pPr>
      <w:rPr>
        <w:rFonts w:ascii="Arial" w:eastAsiaTheme="minorHAnsi"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6115306E"/>
    <w:multiLevelType w:val="hybridMultilevel"/>
    <w:tmpl w:val="7B1C7D76"/>
    <w:lvl w:ilvl="0" w:tplc="C3BC7AEE">
      <w:numFmt w:val="bullet"/>
      <w:lvlText w:val="•"/>
      <w:lvlJc w:val="left"/>
      <w:pPr>
        <w:ind w:left="1080" w:hanging="72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6B015BCD"/>
    <w:multiLevelType w:val="hybridMultilevel"/>
    <w:tmpl w:val="9278A10A"/>
    <w:lvl w:ilvl="0" w:tplc="66F66A7A">
      <w:start w:val="1"/>
      <w:numFmt w:val="bullet"/>
      <w:lvlText w:val=""/>
      <w:lvlJc w:val="left"/>
      <w:pPr>
        <w:ind w:left="720" w:hanging="360"/>
      </w:pPr>
      <w:rPr>
        <w:rFonts w:ascii="Symbol" w:hAnsi="Symbol" w:hint="default"/>
      </w:rPr>
    </w:lvl>
    <w:lvl w:ilvl="1" w:tplc="48AC460E">
      <w:start w:val="1"/>
      <w:numFmt w:val="bullet"/>
      <w:lvlText w:val="o"/>
      <w:lvlJc w:val="left"/>
      <w:pPr>
        <w:ind w:left="1440" w:hanging="360"/>
      </w:pPr>
      <w:rPr>
        <w:rFonts w:ascii="Courier New" w:hAnsi="Courier New" w:hint="default"/>
      </w:rPr>
    </w:lvl>
    <w:lvl w:ilvl="2" w:tplc="FECA3C16">
      <w:start w:val="1"/>
      <w:numFmt w:val="bullet"/>
      <w:lvlText w:val=""/>
      <w:lvlJc w:val="left"/>
      <w:pPr>
        <w:ind w:left="2160" w:hanging="360"/>
      </w:pPr>
      <w:rPr>
        <w:rFonts w:ascii="Wingdings" w:hAnsi="Wingdings" w:hint="default"/>
      </w:rPr>
    </w:lvl>
    <w:lvl w:ilvl="3" w:tplc="6E7AD19C">
      <w:start w:val="1"/>
      <w:numFmt w:val="bullet"/>
      <w:lvlText w:val=""/>
      <w:lvlJc w:val="left"/>
      <w:pPr>
        <w:ind w:left="2880" w:hanging="360"/>
      </w:pPr>
      <w:rPr>
        <w:rFonts w:ascii="Symbol" w:hAnsi="Symbol" w:hint="default"/>
      </w:rPr>
    </w:lvl>
    <w:lvl w:ilvl="4" w:tplc="0B3ECDBC">
      <w:start w:val="1"/>
      <w:numFmt w:val="bullet"/>
      <w:lvlText w:val="o"/>
      <w:lvlJc w:val="left"/>
      <w:pPr>
        <w:ind w:left="3600" w:hanging="360"/>
      </w:pPr>
      <w:rPr>
        <w:rFonts w:ascii="Courier New" w:hAnsi="Courier New" w:hint="default"/>
      </w:rPr>
    </w:lvl>
    <w:lvl w:ilvl="5" w:tplc="42BA427A">
      <w:start w:val="1"/>
      <w:numFmt w:val="bullet"/>
      <w:lvlText w:val=""/>
      <w:lvlJc w:val="left"/>
      <w:pPr>
        <w:ind w:left="4320" w:hanging="360"/>
      </w:pPr>
      <w:rPr>
        <w:rFonts w:ascii="Wingdings" w:hAnsi="Wingdings" w:hint="default"/>
      </w:rPr>
    </w:lvl>
    <w:lvl w:ilvl="6" w:tplc="9B64E56E">
      <w:start w:val="1"/>
      <w:numFmt w:val="bullet"/>
      <w:lvlText w:val=""/>
      <w:lvlJc w:val="left"/>
      <w:pPr>
        <w:ind w:left="5040" w:hanging="360"/>
      </w:pPr>
      <w:rPr>
        <w:rFonts w:ascii="Symbol" w:hAnsi="Symbol" w:hint="default"/>
      </w:rPr>
    </w:lvl>
    <w:lvl w:ilvl="7" w:tplc="5A9A26E8">
      <w:start w:val="1"/>
      <w:numFmt w:val="bullet"/>
      <w:lvlText w:val="o"/>
      <w:lvlJc w:val="left"/>
      <w:pPr>
        <w:ind w:left="5760" w:hanging="360"/>
      </w:pPr>
      <w:rPr>
        <w:rFonts w:ascii="Courier New" w:hAnsi="Courier New" w:hint="default"/>
      </w:rPr>
    </w:lvl>
    <w:lvl w:ilvl="8" w:tplc="FDAA13E8">
      <w:start w:val="1"/>
      <w:numFmt w:val="bullet"/>
      <w:lvlText w:val=""/>
      <w:lvlJc w:val="left"/>
      <w:pPr>
        <w:ind w:left="6480" w:hanging="360"/>
      </w:pPr>
      <w:rPr>
        <w:rFonts w:ascii="Wingdings" w:hAnsi="Wingdings" w:hint="default"/>
      </w:rPr>
    </w:lvl>
  </w:abstractNum>
  <w:abstractNum w:abstractNumId="26" w15:restartNumberingAfterBreak="0">
    <w:nsid w:val="7AE156D1"/>
    <w:multiLevelType w:val="hybridMultilevel"/>
    <w:tmpl w:val="8EB899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597832863">
    <w:abstractNumId w:val="14"/>
  </w:num>
  <w:num w:numId="2" w16cid:durableId="627396218">
    <w:abstractNumId w:val="4"/>
  </w:num>
  <w:num w:numId="3" w16cid:durableId="1863278052">
    <w:abstractNumId w:val="2"/>
  </w:num>
  <w:num w:numId="4" w16cid:durableId="1768499855">
    <w:abstractNumId w:val="1"/>
  </w:num>
  <w:num w:numId="5" w16cid:durableId="313922407">
    <w:abstractNumId w:val="3"/>
  </w:num>
  <w:num w:numId="6" w16cid:durableId="1308634260">
    <w:abstractNumId w:val="0"/>
  </w:num>
  <w:num w:numId="7" w16cid:durableId="37244896">
    <w:abstractNumId w:val="11"/>
  </w:num>
  <w:num w:numId="8" w16cid:durableId="951863355">
    <w:abstractNumId w:val="26"/>
  </w:num>
  <w:num w:numId="9" w16cid:durableId="1498614409">
    <w:abstractNumId w:val="24"/>
  </w:num>
  <w:num w:numId="10" w16cid:durableId="1257906066">
    <w:abstractNumId w:val="10"/>
  </w:num>
  <w:num w:numId="11" w16cid:durableId="1319993024">
    <w:abstractNumId w:val="23"/>
  </w:num>
  <w:num w:numId="12" w16cid:durableId="249891738">
    <w:abstractNumId w:val="8"/>
  </w:num>
  <w:num w:numId="13" w16cid:durableId="1194465057">
    <w:abstractNumId w:val="3"/>
  </w:num>
  <w:num w:numId="14" w16cid:durableId="106392114">
    <w:abstractNumId w:val="0"/>
  </w:num>
  <w:num w:numId="15" w16cid:durableId="1564174585">
    <w:abstractNumId w:val="3"/>
  </w:num>
  <w:num w:numId="16" w16cid:durableId="1045255427">
    <w:abstractNumId w:val="0"/>
  </w:num>
  <w:num w:numId="17" w16cid:durableId="278804897">
    <w:abstractNumId w:val="3"/>
  </w:num>
  <w:num w:numId="18" w16cid:durableId="1465466495">
    <w:abstractNumId w:val="0"/>
  </w:num>
  <w:num w:numId="19" w16cid:durableId="154880513">
    <w:abstractNumId w:val="3"/>
  </w:num>
  <w:num w:numId="20" w16cid:durableId="181746030">
    <w:abstractNumId w:val="0"/>
  </w:num>
  <w:num w:numId="21" w16cid:durableId="1753232876">
    <w:abstractNumId w:val="3"/>
  </w:num>
  <w:num w:numId="22" w16cid:durableId="122115623">
    <w:abstractNumId w:val="0"/>
  </w:num>
  <w:num w:numId="23" w16cid:durableId="1381174233">
    <w:abstractNumId w:val="9"/>
  </w:num>
  <w:num w:numId="24" w16cid:durableId="1889031653">
    <w:abstractNumId w:val="22"/>
  </w:num>
  <w:num w:numId="25" w16cid:durableId="1257792009">
    <w:abstractNumId w:val="13"/>
  </w:num>
  <w:num w:numId="26" w16cid:durableId="196549363">
    <w:abstractNumId w:val="6"/>
  </w:num>
  <w:num w:numId="27" w16cid:durableId="1345941769">
    <w:abstractNumId w:val="12"/>
  </w:num>
  <w:num w:numId="28" w16cid:durableId="2113940044">
    <w:abstractNumId w:val="17"/>
  </w:num>
  <w:num w:numId="29" w16cid:durableId="1391687818">
    <w:abstractNumId w:val="16"/>
  </w:num>
  <w:num w:numId="30" w16cid:durableId="1460685958">
    <w:abstractNumId w:val="21"/>
  </w:num>
  <w:num w:numId="31" w16cid:durableId="2124764843">
    <w:abstractNumId w:val="20"/>
  </w:num>
  <w:num w:numId="32" w16cid:durableId="795369174">
    <w:abstractNumId w:val="15"/>
  </w:num>
  <w:num w:numId="33" w16cid:durableId="1438057937">
    <w:abstractNumId w:val="18"/>
  </w:num>
  <w:num w:numId="34" w16cid:durableId="1139685206">
    <w:abstractNumId w:val="7"/>
  </w:num>
  <w:num w:numId="35" w16cid:durableId="288780510">
    <w:abstractNumId w:val="25"/>
  </w:num>
  <w:num w:numId="36" w16cid:durableId="448790576">
    <w:abstractNumId w:val="19"/>
  </w:num>
  <w:num w:numId="37" w16cid:durableId="131861334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rQwMDczNDWwsDQ0NbVQ0lEKTi0uzszPAykwrAUAIPm0eSwAAAA="/>
  </w:docVars>
  <w:rsids>
    <w:rsidRoot w:val="007B75CA"/>
    <w:rsid w:val="0000748A"/>
    <w:rsid w:val="00014BB0"/>
    <w:rsid w:val="00016212"/>
    <w:rsid w:val="0002438E"/>
    <w:rsid w:val="00031B75"/>
    <w:rsid w:val="000408BE"/>
    <w:rsid w:val="00044E68"/>
    <w:rsid w:val="00054AE6"/>
    <w:rsid w:val="0005680F"/>
    <w:rsid w:val="00064A96"/>
    <w:rsid w:val="00065884"/>
    <w:rsid w:val="00067BF2"/>
    <w:rsid w:val="00074477"/>
    <w:rsid w:val="00074CEB"/>
    <w:rsid w:val="00076257"/>
    <w:rsid w:val="000A0561"/>
    <w:rsid w:val="000A5357"/>
    <w:rsid w:val="000A5E2A"/>
    <w:rsid w:val="000B225D"/>
    <w:rsid w:val="000B6E24"/>
    <w:rsid w:val="000C006E"/>
    <w:rsid w:val="000C56C3"/>
    <w:rsid w:val="000D0501"/>
    <w:rsid w:val="000D2FBA"/>
    <w:rsid w:val="000D5F0E"/>
    <w:rsid w:val="000D64AF"/>
    <w:rsid w:val="000E6AD9"/>
    <w:rsid w:val="000F1B62"/>
    <w:rsid w:val="000F6423"/>
    <w:rsid w:val="001051A6"/>
    <w:rsid w:val="001056BB"/>
    <w:rsid w:val="00110C2B"/>
    <w:rsid w:val="00115C19"/>
    <w:rsid w:val="001179E5"/>
    <w:rsid w:val="00124A55"/>
    <w:rsid w:val="00125D16"/>
    <w:rsid w:val="00127F6D"/>
    <w:rsid w:val="0013443D"/>
    <w:rsid w:val="001362A2"/>
    <w:rsid w:val="00137566"/>
    <w:rsid w:val="00141184"/>
    <w:rsid w:val="00147D9F"/>
    <w:rsid w:val="00155C8B"/>
    <w:rsid w:val="00162EA9"/>
    <w:rsid w:val="001646CE"/>
    <w:rsid w:val="00184663"/>
    <w:rsid w:val="00184CAD"/>
    <w:rsid w:val="001877E5"/>
    <w:rsid w:val="0019075A"/>
    <w:rsid w:val="001B0A27"/>
    <w:rsid w:val="001B7704"/>
    <w:rsid w:val="001C1BDD"/>
    <w:rsid w:val="001C37CA"/>
    <w:rsid w:val="001C4C86"/>
    <w:rsid w:val="001C6FD8"/>
    <w:rsid w:val="001E2262"/>
    <w:rsid w:val="001F173F"/>
    <w:rsid w:val="001F3843"/>
    <w:rsid w:val="001F5862"/>
    <w:rsid w:val="001F7FFB"/>
    <w:rsid w:val="00201348"/>
    <w:rsid w:val="002030D9"/>
    <w:rsid w:val="002119B2"/>
    <w:rsid w:val="002165B7"/>
    <w:rsid w:val="0021771E"/>
    <w:rsid w:val="00222274"/>
    <w:rsid w:val="002263B0"/>
    <w:rsid w:val="00231B83"/>
    <w:rsid w:val="0024046B"/>
    <w:rsid w:val="00241E0A"/>
    <w:rsid w:val="00247027"/>
    <w:rsid w:val="002824BD"/>
    <w:rsid w:val="00287343"/>
    <w:rsid w:val="002913DE"/>
    <w:rsid w:val="002947F7"/>
    <w:rsid w:val="00296ABA"/>
    <w:rsid w:val="002B2CCA"/>
    <w:rsid w:val="002E4992"/>
    <w:rsid w:val="002F0C9A"/>
    <w:rsid w:val="002F6DC2"/>
    <w:rsid w:val="003010A1"/>
    <w:rsid w:val="00307F59"/>
    <w:rsid w:val="00317DCE"/>
    <w:rsid w:val="00326EDB"/>
    <w:rsid w:val="003314F4"/>
    <w:rsid w:val="00332DA5"/>
    <w:rsid w:val="00345BD0"/>
    <w:rsid w:val="0035551B"/>
    <w:rsid w:val="00363B9E"/>
    <w:rsid w:val="0036498B"/>
    <w:rsid w:val="00377A6D"/>
    <w:rsid w:val="00384841"/>
    <w:rsid w:val="003852DA"/>
    <w:rsid w:val="00392FC2"/>
    <w:rsid w:val="003969D1"/>
    <w:rsid w:val="003A3674"/>
    <w:rsid w:val="003A49F2"/>
    <w:rsid w:val="003C4FA5"/>
    <w:rsid w:val="003D5647"/>
    <w:rsid w:val="003F1842"/>
    <w:rsid w:val="0040084D"/>
    <w:rsid w:val="004018DB"/>
    <w:rsid w:val="00401CFA"/>
    <w:rsid w:val="00403272"/>
    <w:rsid w:val="00405B77"/>
    <w:rsid w:val="00407875"/>
    <w:rsid w:val="00410155"/>
    <w:rsid w:val="0042639D"/>
    <w:rsid w:val="004355B5"/>
    <w:rsid w:val="00443468"/>
    <w:rsid w:val="00445089"/>
    <w:rsid w:val="00453F2A"/>
    <w:rsid w:val="00454046"/>
    <w:rsid w:val="004707BB"/>
    <w:rsid w:val="004753F0"/>
    <w:rsid w:val="0048103A"/>
    <w:rsid w:val="0048172C"/>
    <w:rsid w:val="00485A19"/>
    <w:rsid w:val="00494D8B"/>
    <w:rsid w:val="0049539E"/>
    <w:rsid w:val="00496FA5"/>
    <w:rsid w:val="004A0DE1"/>
    <w:rsid w:val="004A146F"/>
    <w:rsid w:val="004A33D8"/>
    <w:rsid w:val="004A4A6A"/>
    <w:rsid w:val="004C0A00"/>
    <w:rsid w:val="004C1ACC"/>
    <w:rsid w:val="004C2E5B"/>
    <w:rsid w:val="004C766C"/>
    <w:rsid w:val="004C7C5F"/>
    <w:rsid w:val="004D25D9"/>
    <w:rsid w:val="004D65CF"/>
    <w:rsid w:val="00503C8D"/>
    <w:rsid w:val="0051321F"/>
    <w:rsid w:val="00514357"/>
    <w:rsid w:val="005179F8"/>
    <w:rsid w:val="005225D4"/>
    <w:rsid w:val="00524F71"/>
    <w:rsid w:val="005300F4"/>
    <w:rsid w:val="00531AC9"/>
    <w:rsid w:val="00532137"/>
    <w:rsid w:val="00533781"/>
    <w:rsid w:val="00540569"/>
    <w:rsid w:val="005561E4"/>
    <w:rsid w:val="005631D0"/>
    <w:rsid w:val="00571680"/>
    <w:rsid w:val="00575F52"/>
    <w:rsid w:val="00581CC0"/>
    <w:rsid w:val="005833B4"/>
    <w:rsid w:val="005868FC"/>
    <w:rsid w:val="005938BD"/>
    <w:rsid w:val="0059771F"/>
    <w:rsid w:val="005A1557"/>
    <w:rsid w:val="005B34EC"/>
    <w:rsid w:val="005C22C2"/>
    <w:rsid w:val="005C41B9"/>
    <w:rsid w:val="005C4CDD"/>
    <w:rsid w:val="005C52C9"/>
    <w:rsid w:val="005F68AF"/>
    <w:rsid w:val="00600C89"/>
    <w:rsid w:val="00610FD7"/>
    <w:rsid w:val="00620E37"/>
    <w:rsid w:val="00622D09"/>
    <w:rsid w:val="00630DE1"/>
    <w:rsid w:val="006322A9"/>
    <w:rsid w:val="00637B84"/>
    <w:rsid w:val="00651A06"/>
    <w:rsid w:val="00654480"/>
    <w:rsid w:val="0067530B"/>
    <w:rsid w:val="00675D47"/>
    <w:rsid w:val="00687AB6"/>
    <w:rsid w:val="006A0348"/>
    <w:rsid w:val="006A08A8"/>
    <w:rsid w:val="006E11B7"/>
    <w:rsid w:val="006E13C8"/>
    <w:rsid w:val="006E1AF8"/>
    <w:rsid w:val="006F532C"/>
    <w:rsid w:val="00704937"/>
    <w:rsid w:val="00711D10"/>
    <w:rsid w:val="00715993"/>
    <w:rsid w:val="00721621"/>
    <w:rsid w:val="00727144"/>
    <w:rsid w:val="00736447"/>
    <w:rsid w:val="007505B2"/>
    <w:rsid w:val="00751250"/>
    <w:rsid w:val="00761B21"/>
    <w:rsid w:val="007633BA"/>
    <w:rsid w:val="0078669E"/>
    <w:rsid w:val="00792C09"/>
    <w:rsid w:val="00794352"/>
    <w:rsid w:val="007A1443"/>
    <w:rsid w:val="007A2B86"/>
    <w:rsid w:val="007A32AB"/>
    <w:rsid w:val="007A3B20"/>
    <w:rsid w:val="007B05AD"/>
    <w:rsid w:val="007B4C6A"/>
    <w:rsid w:val="007B5AB0"/>
    <w:rsid w:val="007B6916"/>
    <w:rsid w:val="007B75CA"/>
    <w:rsid w:val="007C0ABD"/>
    <w:rsid w:val="007E12E3"/>
    <w:rsid w:val="007E513E"/>
    <w:rsid w:val="007E6A5A"/>
    <w:rsid w:val="00802AD1"/>
    <w:rsid w:val="00803283"/>
    <w:rsid w:val="00817A32"/>
    <w:rsid w:val="00841B11"/>
    <w:rsid w:val="00845859"/>
    <w:rsid w:val="00845F13"/>
    <w:rsid w:val="008508A6"/>
    <w:rsid w:val="00852A28"/>
    <w:rsid w:val="00852A45"/>
    <w:rsid w:val="00855B0F"/>
    <w:rsid w:val="00860B3C"/>
    <w:rsid w:val="0086438E"/>
    <w:rsid w:val="008648E4"/>
    <w:rsid w:val="00870259"/>
    <w:rsid w:val="00872490"/>
    <w:rsid w:val="008744C4"/>
    <w:rsid w:val="008760EB"/>
    <w:rsid w:val="00876948"/>
    <w:rsid w:val="0087795F"/>
    <w:rsid w:val="00881E41"/>
    <w:rsid w:val="008869DB"/>
    <w:rsid w:val="008A1F2D"/>
    <w:rsid w:val="008A5958"/>
    <w:rsid w:val="008B0D86"/>
    <w:rsid w:val="008B1F36"/>
    <w:rsid w:val="008B42C2"/>
    <w:rsid w:val="008B577E"/>
    <w:rsid w:val="008D15C3"/>
    <w:rsid w:val="008D4746"/>
    <w:rsid w:val="008E1B1B"/>
    <w:rsid w:val="008E5735"/>
    <w:rsid w:val="008E5E0F"/>
    <w:rsid w:val="008F0EFB"/>
    <w:rsid w:val="008F24D2"/>
    <w:rsid w:val="00905671"/>
    <w:rsid w:val="0092286A"/>
    <w:rsid w:val="00925445"/>
    <w:rsid w:val="009330CD"/>
    <w:rsid w:val="00951776"/>
    <w:rsid w:val="009520A9"/>
    <w:rsid w:val="009527F7"/>
    <w:rsid w:val="00961C8D"/>
    <w:rsid w:val="00974CD0"/>
    <w:rsid w:val="00991E7F"/>
    <w:rsid w:val="009A6EA1"/>
    <w:rsid w:val="009A7B02"/>
    <w:rsid w:val="009C055C"/>
    <w:rsid w:val="009C155A"/>
    <w:rsid w:val="009D3EAA"/>
    <w:rsid w:val="009D759E"/>
    <w:rsid w:val="009E0119"/>
    <w:rsid w:val="009F0C2D"/>
    <w:rsid w:val="009F37CD"/>
    <w:rsid w:val="00A03067"/>
    <w:rsid w:val="00A10447"/>
    <w:rsid w:val="00A11D60"/>
    <w:rsid w:val="00A1728D"/>
    <w:rsid w:val="00A21E84"/>
    <w:rsid w:val="00A33E8B"/>
    <w:rsid w:val="00A37F33"/>
    <w:rsid w:val="00A45540"/>
    <w:rsid w:val="00A55B3D"/>
    <w:rsid w:val="00A637A6"/>
    <w:rsid w:val="00A702AF"/>
    <w:rsid w:val="00A82B46"/>
    <w:rsid w:val="00A9140A"/>
    <w:rsid w:val="00AB1D3E"/>
    <w:rsid w:val="00AC2F6F"/>
    <w:rsid w:val="00AC38B9"/>
    <w:rsid w:val="00AC523C"/>
    <w:rsid w:val="00AD1625"/>
    <w:rsid w:val="00AD4C4E"/>
    <w:rsid w:val="00AE6110"/>
    <w:rsid w:val="00AF52B0"/>
    <w:rsid w:val="00B14008"/>
    <w:rsid w:val="00B23315"/>
    <w:rsid w:val="00B24E4F"/>
    <w:rsid w:val="00B27275"/>
    <w:rsid w:val="00B274AB"/>
    <w:rsid w:val="00B3691E"/>
    <w:rsid w:val="00B46127"/>
    <w:rsid w:val="00B61BFC"/>
    <w:rsid w:val="00B711EE"/>
    <w:rsid w:val="00B729E0"/>
    <w:rsid w:val="00B744F7"/>
    <w:rsid w:val="00B75F7F"/>
    <w:rsid w:val="00B84EC6"/>
    <w:rsid w:val="00B95CD1"/>
    <w:rsid w:val="00B96970"/>
    <w:rsid w:val="00B96B41"/>
    <w:rsid w:val="00B975B0"/>
    <w:rsid w:val="00BA7228"/>
    <w:rsid w:val="00BC140F"/>
    <w:rsid w:val="00BC5E92"/>
    <w:rsid w:val="00BC78C4"/>
    <w:rsid w:val="00BD0CFF"/>
    <w:rsid w:val="00BD38B9"/>
    <w:rsid w:val="00BD4785"/>
    <w:rsid w:val="00BE6B5D"/>
    <w:rsid w:val="00BF4E6D"/>
    <w:rsid w:val="00BF6683"/>
    <w:rsid w:val="00C0313E"/>
    <w:rsid w:val="00C033FA"/>
    <w:rsid w:val="00C05445"/>
    <w:rsid w:val="00C061D2"/>
    <w:rsid w:val="00C24C44"/>
    <w:rsid w:val="00C335A6"/>
    <w:rsid w:val="00C34696"/>
    <w:rsid w:val="00C43A0D"/>
    <w:rsid w:val="00C56C32"/>
    <w:rsid w:val="00C60DCC"/>
    <w:rsid w:val="00C6177A"/>
    <w:rsid w:val="00C66936"/>
    <w:rsid w:val="00C67AE0"/>
    <w:rsid w:val="00C71967"/>
    <w:rsid w:val="00C71F34"/>
    <w:rsid w:val="00C733B9"/>
    <w:rsid w:val="00C839C4"/>
    <w:rsid w:val="00C84F13"/>
    <w:rsid w:val="00C87D79"/>
    <w:rsid w:val="00C9049E"/>
    <w:rsid w:val="00C905FB"/>
    <w:rsid w:val="00CA1757"/>
    <w:rsid w:val="00CA51B4"/>
    <w:rsid w:val="00CA7C78"/>
    <w:rsid w:val="00CB0E94"/>
    <w:rsid w:val="00CB3AA0"/>
    <w:rsid w:val="00CB4091"/>
    <w:rsid w:val="00CC3F1C"/>
    <w:rsid w:val="00CC594A"/>
    <w:rsid w:val="00CD34B8"/>
    <w:rsid w:val="00CE664F"/>
    <w:rsid w:val="00D038B9"/>
    <w:rsid w:val="00D0703D"/>
    <w:rsid w:val="00D10243"/>
    <w:rsid w:val="00D11625"/>
    <w:rsid w:val="00D170F6"/>
    <w:rsid w:val="00D2518B"/>
    <w:rsid w:val="00D25DD8"/>
    <w:rsid w:val="00D35C9E"/>
    <w:rsid w:val="00D416A6"/>
    <w:rsid w:val="00D52218"/>
    <w:rsid w:val="00D528F2"/>
    <w:rsid w:val="00D54CDF"/>
    <w:rsid w:val="00D55DFB"/>
    <w:rsid w:val="00D564FA"/>
    <w:rsid w:val="00D61300"/>
    <w:rsid w:val="00D71A41"/>
    <w:rsid w:val="00D83D00"/>
    <w:rsid w:val="00D86ABE"/>
    <w:rsid w:val="00D86BE2"/>
    <w:rsid w:val="00D86C5B"/>
    <w:rsid w:val="00D97E20"/>
    <w:rsid w:val="00DA22C3"/>
    <w:rsid w:val="00DA61C7"/>
    <w:rsid w:val="00DB04D3"/>
    <w:rsid w:val="00DB219A"/>
    <w:rsid w:val="00DB6471"/>
    <w:rsid w:val="00DC12B0"/>
    <w:rsid w:val="00DC76A5"/>
    <w:rsid w:val="00DC7D66"/>
    <w:rsid w:val="00DC7DE3"/>
    <w:rsid w:val="00DE2257"/>
    <w:rsid w:val="00DF19E5"/>
    <w:rsid w:val="00DF3560"/>
    <w:rsid w:val="00DF777A"/>
    <w:rsid w:val="00E10D19"/>
    <w:rsid w:val="00E23674"/>
    <w:rsid w:val="00E238DF"/>
    <w:rsid w:val="00E260A4"/>
    <w:rsid w:val="00E306AE"/>
    <w:rsid w:val="00E317AD"/>
    <w:rsid w:val="00E33855"/>
    <w:rsid w:val="00E341B6"/>
    <w:rsid w:val="00E545AE"/>
    <w:rsid w:val="00E71750"/>
    <w:rsid w:val="00E80071"/>
    <w:rsid w:val="00E83347"/>
    <w:rsid w:val="00E866BB"/>
    <w:rsid w:val="00EA0FD4"/>
    <w:rsid w:val="00EA2A96"/>
    <w:rsid w:val="00EB34E9"/>
    <w:rsid w:val="00EB57A9"/>
    <w:rsid w:val="00EB58E1"/>
    <w:rsid w:val="00EC0AF0"/>
    <w:rsid w:val="00EC2566"/>
    <w:rsid w:val="00EC595C"/>
    <w:rsid w:val="00EC7BC1"/>
    <w:rsid w:val="00ED0E3D"/>
    <w:rsid w:val="00ED4008"/>
    <w:rsid w:val="00ED40B7"/>
    <w:rsid w:val="00EE4CBE"/>
    <w:rsid w:val="00EE5A5C"/>
    <w:rsid w:val="00EE5E59"/>
    <w:rsid w:val="00EE6FC2"/>
    <w:rsid w:val="00F01BD5"/>
    <w:rsid w:val="00F074C3"/>
    <w:rsid w:val="00F10DE1"/>
    <w:rsid w:val="00F16C65"/>
    <w:rsid w:val="00F217AA"/>
    <w:rsid w:val="00F27EB5"/>
    <w:rsid w:val="00F3183B"/>
    <w:rsid w:val="00F3771E"/>
    <w:rsid w:val="00F45B8C"/>
    <w:rsid w:val="00F54119"/>
    <w:rsid w:val="00F57361"/>
    <w:rsid w:val="00F7248F"/>
    <w:rsid w:val="00F942AF"/>
    <w:rsid w:val="00FA02E1"/>
    <w:rsid w:val="00FB01A9"/>
    <w:rsid w:val="00FB1484"/>
    <w:rsid w:val="00FC4B1F"/>
    <w:rsid w:val="00FE11FA"/>
    <w:rsid w:val="00FE1AA8"/>
    <w:rsid w:val="00FE778D"/>
    <w:rsid w:val="00FF6720"/>
    <w:rsid w:val="13E662E1"/>
    <w:rsid w:val="22B1FB9D"/>
    <w:rsid w:val="77062BAF"/>
    <w:rsid w:val="7EA0D35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FE5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before="120" w:after="24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58E1"/>
    <w:rPr>
      <w:sz w:val="24"/>
    </w:rPr>
  </w:style>
  <w:style w:type="paragraph" w:styleId="Heading1">
    <w:name w:val="heading 1"/>
    <w:basedOn w:val="Normal"/>
    <w:next w:val="Normal"/>
    <w:link w:val="Heading1Char"/>
    <w:uiPriority w:val="4"/>
    <w:qFormat/>
    <w:rsid w:val="00C335A6"/>
    <w:pPr>
      <w:keepNext/>
      <w:keepLines/>
      <w:spacing w:before="360" w:after="120"/>
      <w:outlineLvl w:val="0"/>
    </w:pPr>
    <w:rPr>
      <w:rFonts w:ascii="Poppins" w:eastAsiaTheme="majorEastAsia" w:hAnsi="Poppins" w:cstheme="majorBidi"/>
      <w:color w:val="15284C" w:themeColor="text2"/>
      <w:sz w:val="48"/>
      <w:szCs w:val="32"/>
    </w:rPr>
  </w:style>
  <w:style w:type="paragraph" w:styleId="Heading2">
    <w:name w:val="heading 2"/>
    <w:basedOn w:val="Normal"/>
    <w:next w:val="Normal"/>
    <w:link w:val="Heading2Char"/>
    <w:uiPriority w:val="4"/>
    <w:qFormat/>
    <w:rsid w:val="00F217AA"/>
    <w:pPr>
      <w:keepNext/>
      <w:keepLines/>
      <w:spacing w:before="360" w:after="120"/>
      <w:outlineLvl w:val="1"/>
    </w:pPr>
    <w:rPr>
      <w:rFonts w:asciiTheme="majorHAnsi" w:eastAsiaTheme="majorEastAsia" w:hAnsiTheme="majorHAnsi" w:cstheme="majorBidi"/>
      <w:b/>
      <w:color w:val="15284C"/>
      <w:sz w:val="32"/>
      <w:szCs w:val="26"/>
    </w:rPr>
  </w:style>
  <w:style w:type="paragraph" w:styleId="Heading3">
    <w:name w:val="heading 3"/>
    <w:basedOn w:val="Normal"/>
    <w:next w:val="Normal"/>
    <w:link w:val="Heading3Char"/>
    <w:uiPriority w:val="4"/>
    <w:qFormat/>
    <w:rsid w:val="00A1728D"/>
    <w:pPr>
      <w:keepNext/>
      <w:keepLines/>
      <w:spacing w:before="360" w:after="120"/>
      <w:outlineLvl w:val="2"/>
    </w:pPr>
    <w:rPr>
      <w:rFonts w:asciiTheme="majorHAnsi" w:eastAsiaTheme="majorEastAsia" w:hAnsiTheme="majorHAnsi" w:cstheme="majorBidi"/>
      <w:color w:val="000000" w:themeColor="text1"/>
      <w:sz w:val="32"/>
      <w:szCs w:val="24"/>
    </w:rPr>
  </w:style>
  <w:style w:type="paragraph" w:styleId="Heading4">
    <w:name w:val="heading 4"/>
    <w:basedOn w:val="Normal"/>
    <w:next w:val="Normal"/>
    <w:link w:val="Heading4Char"/>
    <w:uiPriority w:val="4"/>
    <w:unhideWhenUsed/>
    <w:qFormat/>
    <w:rsid w:val="00AD1625"/>
    <w:pPr>
      <w:keepNext/>
      <w:keepLines/>
      <w:spacing w:before="40" w:after="0"/>
      <w:outlineLvl w:val="3"/>
    </w:pPr>
    <w:rPr>
      <w:rFonts w:asciiTheme="majorHAnsi" w:eastAsiaTheme="majorEastAsia" w:hAnsiTheme="majorHAnsi" w:cstheme="majorBidi"/>
      <w:b/>
      <w:iCs/>
      <w:color w:val="000000" w:themeColor="text1"/>
    </w:rPr>
  </w:style>
  <w:style w:type="paragraph" w:styleId="Heading5">
    <w:name w:val="heading 5"/>
    <w:basedOn w:val="Normal"/>
    <w:next w:val="Normal"/>
    <w:link w:val="Heading5Char"/>
    <w:uiPriority w:val="9"/>
    <w:semiHidden/>
    <w:qFormat/>
    <w:rsid w:val="00794352"/>
    <w:pPr>
      <w:keepNext/>
      <w:keepLines/>
      <w:spacing w:before="40" w:after="0"/>
      <w:outlineLvl w:val="4"/>
    </w:pPr>
    <w:rPr>
      <w:rFonts w:asciiTheme="majorHAnsi" w:eastAsiaTheme="majorEastAsia" w:hAnsiTheme="majorHAnsi" w:cstheme="majorBidi"/>
      <w:color w:val="09606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99"/>
    <w:qFormat/>
    <w:rsid w:val="00C56C32"/>
    <w:pPr>
      <w:spacing w:before="0" w:after="0" w:line="240" w:lineRule="auto"/>
    </w:pPr>
    <w:rPr>
      <w:rFonts w:ascii="Poppins" w:eastAsiaTheme="majorEastAsia" w:hAnsi="Poppins" w:cstheme="majorBidi"/>
      <w:b/>
      <w:color w:val="F6F4EC" w:themeColor="background2"/>
      <w:spacing w:val="-10"/>
      <w:kern w:val="28"/>
      <w:sz w:val="72"/>
      <w:szCs w:val="56"/>
    </w:rPr>
  </w:style>
  <w:style w:type="character" w:customStyle="1" w:styleId="TitleChar">
    <w:name w:val="Title Char"/>
    <w:basedOn w:val="DefaultParagraphFont"/>
    <w:link w:val="Title"/>
    <w:uiPriority w:val="99"/>
    <w:rsid w:val="00C56C32"/>
    <w:rPr>
      <w:rFonts w:ascii="Poppins" w:eastAsiaTheme="majorEastAsia" w:hAnsi="Poppins" w:cstheme="majorBidi"/>
      <w:b/>
      <w:color w:val="F6F4EC" w:themeColor="background2"/>
      <w:spacing w:val="-10"/>
      <w:kern w:val="28"/>
      <w:sz w:val="72"/>
      <w:szCs w:val="56"/>
    </w:rPr>
  </w:style>
  <w:style w:type="paragraph" w:styleId="Subtitle">
    <w:name w:val="Subtitle"/>
    <w:basedOn w:val="Normal"/>
    <w:next w:val="Normal"/>
    <w:link w:val="SubtitleChar"/>
    <w:uiPriority w:val="99"/>
    <w:qFormat/>
    <w:rsid w:val="00F074C3"/>
    <w:pPr>
      <w:numPr>
        <w:ilvl w:val="1"/>
      </w:numPr>
      <w:spacing w:after="0"/>
    </w:pPr>
    <w:rPr>
      <w:rFonts w:eastAsiaTheme="minorEastAsia"/>
      <w:b/>
      <w:color w:val="15284C" w:themeColor="text2"/>
      <w:sz w:val="40"/>
    </w:rPr>
  </w:style>
  <w:style w:type="character" w:customStyle="1" w:styleId="SubtitleChar">
    <w:name w:val="Subtitle Char"/>
    <w:basedOn w:val="DefaultParagraphFont"/>
    <w:link w:val="Subtitle"/>
    <w:uiPriority w:val="99"/>
    <w:rsid w:val="00F074C3"/>
    <w:rPr>
      <w:rFonts w:eastAsiaTheme="minorEastAsia"/>
      <w:b/>
      <w:color w:val="15284C" w:themeColor="text2"/>
      <w:sz w:val="40"/>
    </w:rPr>
  </w:style>
  <w:style w:type="paragraph" w:styleId="Header">
    <w:name w:val="header"/>
    <w:basedOn w:val="Normal"/>
    <w:link w:val="HeaderChar"/>
    <w:uiPriority w:val="99"/>
    <w:semiHidden/>
    <w:rsid w:val="00817A3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033FA"/>
    <w:rPr>
      <w:sz w:val="24"/>
    </w:rPr>
  </w:style>
  <w:style w:type="paragraph" w:styleId="Footer">
    <w:name w:val="footer"/>
    <w:basedOn w:val="Normal"/>
    <w:link w:val="FooterChar"/>
    <w:uiPriority w:val="99"/>
    <w:rsid w:val="00817A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2E5B"/>
    <w:rPr>
      <w:sz w:val="24"/>
    </w:rPr>
  </w:style>
  <w:style w:type="character" w:customStyle="1" w:styleId="Heading1Char">
    <w:name w:val="Heading 1 Char"/>
    <w:basedOn w:val="DefaultParagraphFont"/>
    <w:link w:val="Heading1"/>
    <w:uiPriority w:val="4"/>
    <w:rsid w:val="00C335A6"/>
    <w:rPr>
      <w:rFonts w:ascii="Poppins" w:eastAsiaTheme="majorEastAsia" w:hAnsi="Poppins" w:cstheme="majorBidi"/>
      <w:color w:val="15284C" w:themeColor="text2"/>
      <w:sz w:val="48"/>
      <w:szCs w:val="32"/>
    </w:rPr>
  </w:style>
  <w:style w:type="paragraph" w:customStyle="1" w:styleId="NumberedHeading1">
    <w:name w:val="Numbered Heading 1"/>
    <w:basedOn w:val="Heading1"/>
    <w:next w:val="Normal"/>
    <w:uiPriority w:val="5"/>
    <w:qFormat/>
    <w:rsid w:val="005938BD"/>
    <w:pPr>
      <w:numPr>
        <w:numId w:val="1"/>
      </w:numPr>
      <w:tabs>
        <w:tab w:val="left" w:pos="1021"/>
      </w:tabs>
      <w:ind w:left="1021" w:hanging="1021"/>
    </w:pPr>
  </w:style>
  <w:style w:type="character" w:customStyle="1" w:styleId="Heading2Char">
    <w:name w:val="Heading 2 Char"/>
    <w:basedOn w:val="DefaultParagraphFont"/>
    <w:link w:val="Heading2"/>
    <w:uiPriority w:val="4"/>
    <w:rsid w:val="00715993"/>
    <w:rPr>
      <w:rFonts w:asciiTheme="majorHAnsi" w:eastAsiaTheme="majorEastAsia" w:hAnsiTheme="majorHAnsi" w:cstheme="majorBidi"/>
      <w:b/>
      <w:color w:val="15284C"/>
      <w:sz w:val="32"/>
      <w:szCs w:val="26"/>
    </w:rPr>
  </w:style>
  <w:style w:type="character" w:customStyle="1" w:styleId="Heading3Char">
    <w:name w:val="Heading 3 Char"/>
    <w:basedOn w:val="DefaultParagraphFont"/>
    <w:link w:val="Heading3"/>
    <w:uiPriority w:val="4"/>
    <w:rsid w:val="00715993"/>
    <w:rPr>
      <w:rFonts w:asciiTheme="majorHAnsi" w:eastAsiaTheme="majorEastAsia" w:hAnsiTheme="majorHAnsi" w:cstheme="majorBidi"/>
      <w:color w:val="000000" w:themeColor="text1"/>
      <w:sz w:val="32"/>
      <w:szCs w:val="24"/>
    </w:rPr>
  </w:style>
  <w:style w:type="paragraph" w:customStyle="1" w:styleId="NumberedHeading2">
    <w:name w:val="Numbered Heading 2"/>
    <w:basedOn w:val="Heading2"/>
    <w:next w:val="Normal"/>
    <w:uiPriority w:val="5"/>
    <w:qFormat/>
    <w:rsid w:val="005938BD"/>
    <w:pPr>
      <w:numPr>
        <w:ilvl w:val="1"/>
        <w:numId w:val="1"/>
      </w:numPr>
      <w:tabs>
        <w:tab w:val="left" w:pos="1021"/>
      </w:tabs>
      <w:ind w:left="1021" w:hanging="1021"/>
    </w:pPr>
  </w:style>
  <w:style w:type="paragraph" w:customStyle="1" w:styleId="NumberedHeading3">
    <w:name w:val="Numbered Heading 3"/>
    <w:basedOn w:val="Heading3"/>
    <w:next w:val="Normal"/>
    <w:uiPriority w:val="5"/>
    <w:qFormat/>
    <w:rsid w:val="005938BD"/>
    <w:pPr>
      <w:numPr>
        <w:ilvl w:val="2"/>
        <w:numId w:val="1"/>
      </w:numPr>
      <w:tabs>
        <w:tab w:val="left" w:pos="1021"/>
      </w:tabs>
      <w:ind w:left="1021" w:hanging="1021"/>
    </w:pPr>
  </w:style>
  <w:style w:type="paragraph" w:styleId="TOCHeading">
    <w:name w:val="TOC Heading"/>
    <w:next w:val="Normal"/>
    <w:uiPriority w:val="39"/>
    <w:qFormat/>
    <w:rsid w:val="002E4992"/>
    <w:pPr>
      <w:spacing w:before="360"/>
    </w:pPr>
    <w:rPr>
      <w:rFonts w:asciiTheme="majorHAnsi" w:eastAsiaTheme="majorEastAsia" w:hAnsiTheme="majorHAnsi" w:cstheme="majorBidi"/>
      <w:b/>
      <w:color w:val="15284C" w:themeColor="text2"/>
      <w:sz w:val="68"/>
      <w:szCs w:val="32"/>
    </w:rPr>
  </w:style>
  <w:style w:type="paragraph" w:styleId="TOC1">
    <w:name w:val="toc 1"/>
    <w:basedOn w:val="Normal"/>
    <w:next w:val="Normal"/>
    <w:autoRedefine/>
    <w:uiPriority w:val="39"/>
    <w:rsid w:val="00630DE1"/>
    <w:pPr>
      <w:spacing w:before="300" w:after="100"/>
    </w:pPr>
    <w:rPr>
      <w:b/>
    </w:rPr>
  </w:style>
  <w:style w:type="paragraph" w:styleId="TOC2">
    <w:name w:val="toc 2"/>
    <w:basedOn w:val="Normal"/>
    <w:next w:val="Normal"/>
    <w:autoRedefine/>
    <w:uiPriority w:val="39"/>
    <w:rsid w:val="00630DE1"/>
    <w:pPr>
      <w:spacing w:after="100"/>
      <w:ind w:left="240"/>
    </w:pPr>
  </w:style>
  <w:style w:type="paragraph" w:styleId="TOC3">
    <w:name w:val="toc 3"/>
    <w:basedOn w:val="Normal"/>
    <w:next w:val="Normal"/>
    <w:autoRedefine/>
    <w:uiPriority w:val="39"/>
    <w:rsid w:val="00630DE1"/>
    <w:pPr>
      <w:spacing w:after="100"/>
      <w:ind w:left="480"/>
    </w:pPr>
  </w:style>
  <w:style w:type="character" w:styleId="Hyperlink">
    <w:name w:val="Hyperlink"/>
    <w:basedOn w:val="DefaultParagraphFont"/>
    <w:uiPriority w:val="99"/>
    <w:rsid w:val="00B75F7F"/>
    <w:rPr>
      <w:b/>
      <w:color w:val="auto"/>
      <w:u w:val="single"/>
    </w:rPr>
  </w:style>
  <w:style w:type="character" w:customStyle="1" w:styleId="UnresolvedMention1">
    <w:name w:val="Unresolved Mention1"/>
    <w:basedOn w:val="DefaultParagraphFont"/>
    <w:uiPriority w:val="99"/>
    <w:semiHidden/>
    <w:unhideWhenUsed/>
    <w:rsid w:val="00B75F7F"/>
    <w:rPr>
      <w:color w:val="605E5C"/>
      <w:shd w:val="clear" w:color="auto" w:fill="E1DFDD"/>
    </w:rPr>
  </w:style>
  <w:style w:type="table" w:styleId="TableGrid">
    <w:name w:val="Table Grid"/>
    <w:basedOn w:val="TableNormal"/>
    <w:uiPriority w:val="39"/>
    <w:rsid w:val="00B75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6"/>
    <w:rsid w:val="00C033FA"/>
    <w:pPr>
      <w:numPr>
        <w:numId w:val="2"/>
      </w:numPr>
      <w:tabs>
        <w:tab w:val="clear" w:pos="360"/>
        <w:tab w:val="left" w:pos="425"/>
      </w:tabs>
      <w:spacing w:after="120"/>
      <w:ind w:left="425" w:hanging="425"/>
    </w:pPr>
  </w:style>
  <w:style w:type="paragraph" w:styleId="ListBullet2">
    <w:name w:val="List Bullet 2"/>
    <w:basedOn w:val="Normal"/>
    <w:uiPriority w:val="6"/>
    <w:rsid w:val="00C033FA"/>
    <w:pPr>
      <w:numPr>
        <w:numId w:val="3"/>
      </w:numPr>
      <w:tabs>
        <w:tab w:val="clear" w:pos="643"/>
        <w:tab w:val="left" w:pos="851"/>
      </w:tabs>
      <w:spacing w:after="120"/>
      <w:ind w:left="850" w:hanging="425"/>
    </w:pPr>
  </w:style>
  <w:style w:type="paragraph" w:styleId="ListBullet3">
    <w:name w:val="List Bullet 3"/>
    <w:basedOn w:val="Normal"/>
    <w:uiPriority w:val="6"/>
    <w:rsid w:val="005938BD"/>
    <w:pPr>
      <w:numPr>
        <w:numId w:val="4"/>
      </w:numPr>
      <w:tabs>
        <w:tab w:val="clear" w:pos="926"/>
        <w:tab w:val="left" w:pos="1276"/>
      </w:tabs>
      <w:spacing w:after="120"/>
      <w:ind w:left="1276" w:hanging="425"/>
    </w:pPr>
  </w:style>
  <w:style w:type="paragraph" w:styleId="ListNumber">
    <w:name w:val="List Number"/>
    <w:basedOn w:val="Normal"/>
    <w:uiPriority w:val="6"/>
    <w:rsid w:val="005938BD"/>
    <w:pPr>
      <w:numPr>
        <w:numId w:val="5"/>
      </w:numPr>
      <w:tabs>
        <w:tab w:val="clear" w:pos="360"/>
        <w:tab w:val="left" w:pos="425"/>
      </w:tabs>
      <w:spacing w:after="120"/>
      <w:ind w:left="425" w:hanging="425"/>
    </w:pPr>
  </w:style>
  <w:style w:type="paragraph" w:styleId="ListNumber2">
    <w:name w:val="List Number 2"/>
    <w:basedOn w:val="Normal"/>
    <w:uiPriority w:val="6"/>
    <w:rsid w:val="005938BD"/>
    <w:pPr>
      <w:numPr>
        <w:numId w:val="6"/>
      </w:numPr>
      <w:tabs>
        <w:tab w:val="left" w:pos="851"/>
      </w:tabs>
      <w:spacing w:after="120"/>
      <w:ind w:left="850" w:hanging="425"/>
    </w:pPr>
  </w:style>
  <w:style w:type="character" w:customStyle="1" w:styleId="Heading4Char">
    <w:name w:val="Heading 4 Char"/>
    <w:basedOn w:val="DefaultParagraphFont"/>
    <w:link w:val="Heading4"/>
    <w:uiPriority w:val="4"/>
    <w:rsid w:val="00AD1625"/>
    <w:rPr>
      <w:rFonts w:asciiTheme="majorHAnsi" w:eastAsiaTheme="majorEastAsia" w:hAnsiTheme="majorHAnsi" w:cstheme="majorBidi"/>
      <w:b/>
      <w:iCs/>
      <w:color w:val="000000" w:themeColor="text1"/>
      <w:sz w:val="24"/>
    </w:rPr>
  </w:style>
  <w:style w:type="paragraph" w:styleId="FootnoteText">
    <w:name w:val="footnote text"/>
    <w:basedOn w:val="Normal"/>
    <w:link w:val="FootnoteTextChar"/>
    <w:uiPriority w:val="99"/>
    <w:semiHidden/>
    <w:rsid w:val="004C2E5B"/>
    <w:pPr>
      <w:tabs>
        <w:tab w:val="left" w:pos="170"/>
      </w:tabs>
      <w:spacing w:before="0" w:after="0" w:line="240" w:lineRule="auto"/>
      <w:ind w:left="170" w:hanging="170"/>
    </w:pPr>
    <w:rPr>
      <w:sz w:val="20"/>
      <w:szCs w:val="20"/>
    </w:rPr>
  </w:style>
  <w:style w:type="character" w:customStyle="1" w:styleId="FootnoteTextChar">
    <w:name w:val="Footnote Text Char"/>
    <w:basedOn w:val="DefaultParagraphFont"/>
    <w:link w:val="FootnoteText"/>
    <w:uiPriority w:val="99"/>
    <w:semiHidden/>
    <w:rsid w:val="00852A28"/>
    <w:rPr>
      <w:sz w:val="20"/>
      <w:szCs w:val="20"/>
    </w:rPr>
  </w:style>
  <w:style w:type="character" w:styleId="FootnoteReference">
    <w:name w:val="footnote reference"/>
    <w:basedOn w:val="DefaultParagraphFont"/>
    <w:uiPriority w:val="99"/>
    <w:semiHidden/>
    <w:unhideWhenUsed/>
    <w:rsid w:val="004C2E5B"/>
    <w:rPr>
      <w:vertAlign w:val="superscript"/>
    </w:rPr>
  </w:style>
  <w:style w:type="table" w:customStyle="1" w:styleId="GridTable41">
    <w:name w:val="Grid Table 41"/>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eWhatuOra">
    <w:name w:val="Te Whatu Ora"/>
    <w:basedOn w:val="TableNormal"/>
    <w:uiPriority w:val="99"/>
    <w:rsid w:val="00C05445"/>
    <w:pPr>
      <w:spacing w:before="100" w:beforeAutospacing="1" w:after="100" w:afterAutospacing="1" w:line="240" w:lineRule="auto"/>
    </w:pPr>
    <w:rPr>
      <w:rFonts w:ascii="Arial" w:hAnsi="Arial"/>
      <w:sz w:val="24"/>
    </w:rPr>
    <w:tblPr>
      <w:tblBorders>
        <w:insideH w:val="single" w:sz="8" w:space="0" w:color="BFBFBF" w:themeColor="text1" w:themeTint="40"/>
        <w:insideV w:val="single" w:sz="8" w:space="0" w:color="BFBFBF" w:themeColor="text1" w:themeTint="40"/>
      </w:tblBorders>
      <w:tblCellMar>
        <w:top w:w="85" w:type="dxa"/>
        <w:left w:w="85" w:type="dxa"/>
        <w:bottom w:w="85" w:type="dxa"/>
        <w:right w:w="85" w:type="dxa"/>
      </w:tblCellMar>
    </w:tblPr>
    <w:tblStylePr w:type="firstRow">
      <w:pPr>
        <w:wordWrap/>
        <w:spacing w:beforeLines="0" w:before="100" w:beforeAutospacing="1" w:afterLines="0" w:after="100" w:afterAutospacing="1"/>
        <w:jc w:val="left"/>
      </w:pPr>
      <w:rPr>
        <w:b/>
      </w:rPr>
      <w:tblPr/>
      <w:tcPr>
        <w:tcBorders>
          <w:top w:val="single" w:sz="12" w:space="0" w:color="003399" w:themeColor="accent3"/>
          <w:bottom w:val="single" w:sz="12" w:space="0" w:color="003399" w:themeColor="accent3"/>
        </w:tcBorders>
        <w:shd w:val="clear" w:color="auto" w:fill="F6F4EC" w:themeFill="background2"/>
      </w:tcPr>
    </w:tblStylePr>
    <w:tblStylePr w:type="lastRow">
      <w:rPr>
        <w:b/>
      </w:rPr>
    </w:tblStylePr>
    <w:tblStylePr w:type="firstCol">
      <w:rPr>
        <w:b/>
      </w:rPr>
    </w:tblStylePr>
    <w:tblStylePr w:type="lastCol">
      <w:rPr>
        <w:b/>
      </w:rPr>
    </w:tblStylePr>
  </w:style>
  <w:style w:type="table" w:customStyle="1" w:styleId="ListTable41">
    <w:name w:val="List Table 41"/>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1">
    <w:name w:val="Table Grid 1"/>
    <w:basedOn w:val="TableNormal"/>
    <w:uiPriority w:val="99"/>
    <w:semiHidden/>
    <w:unhideWhenUsed/>
    <w:rsid w:val="00C0313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Text">
    <w:name w:val="Table Text"/>
    <w:basedOn w:val="Normal"/>
    <w:uiPriority w:val="16"/>
    <w:qFormat/>
    <w:rsid w:val="00C0313E"/>
    <w:pPr>
      <w:spacing w:before="0" w:after="0"/>
    </w:pPr>
  </w:style>
  <w:style w:type="paragraph" w:customStyle="1" w:styleId="Figure">
    <w:name w:val="Figure"/>
    <w:basedOn w:val="Normal"/>
    <w:uiPriority w:val="2"/>
    <w:qFormat/>
    <w:rsid w:val="00852A28"/>
    <w:rPr>
      <w:b/>
    </w:rPr>
  </w:style>
  <w:style w:type="paragraph" w:customStyle="1" w:styleId="Box">
    <w:name w:val="Box"/>
    <w:basedOn w:val="Normal"/>
    <w:uiPriority w:val="3"/>
    <w:qFormat/>
    <w:rsid w:val="00FB01A9"/>
    <w:pPr>
      <w:pBdr>
        <w:top w:val="single" w:sz="12" w:space="8" w:color="FFFFFF" w:themeColor="background1"/>
        <w:left w:val="single" w:sz="12" w:space="8" w:color="FFFFFF" w:themeColor="background1"/>
        <w:bottom w:val="single" w:sz="12" w:space="8" w:color="FFFFFF" w:themeColor="background1"/>
        <w:right w:val="single" w:sz="12" w:space="8" w:color="FFFFFF" w:themeColor="background1"/>
      </w:pBdr>
      <w:spacing w:after="120"/>
      <w:ind w:left="170" w:right="170"/>
    </w:pPr>
  </w:style>
  <w:style w:type="paragraph" w:customStyle="1" w:styleId="BoxBullet">
    <w:name w:val="Box Bullet"/>
    <w:basedOn w:val="Box"/>
    <w:uiPriority w:val="3"/>
    <w:qFormat/>
    <w:rsid w:val="00FB01A9"/>
    <w:pPr>
      <w:numPr>
        <w:numId w:val="7"/>
      </w:numPr>
      <w:ind w:left="527" w:hanging="357"/>
    </w:pPr>
  </w:style>
  <w:style w:type="paragraph" w:styleId="BalloonText">
    <w:name w:val="Balloon Text"/>
    <w:basedOn w:val="Normal"/>
    <w:link w:val="BalloonTextChar"/>
    <w:uiPriority w:val="99"/>
    <w:semiHidden/>
    <w:unhideWhenUsed/>
    <w:rsid w:val="00F217AA"/>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17AA"/>
    <w:rPr>
      <w:rFonts w:ascii="Tahoma" w:hAnsi="Tahoma" w:cs="Tahoma"/>
      <w:sz w:val="16"/>
      <w:szCs w:val="16"/>
    </w:rPr>
  </w:style>
  <w:style w:type="paragraph" w:customStyle="1" w:styleId="Dividerheading">
    <w:name w:val="Divider heading"/>
    <w:next w:val="Normal"/>
    <w:qFormat/>
    <w:rsid w:val="00201348"/>
    <w:pPr>
      <w:spacing w:before="60" w:after="0" w:line="240" w:lineRule="auto"/>
      <w:ind w:left="1134" w:right="1134"/>
    </w:pPr>
    <w:rPr>
      <w:rFonts w:ascii="Arial" w:eastAsia="Calibri" w:hAnsi="Arial"/>
      <w:b/>
      <w:color w:val="15284C" w:themeColor="text2"/>
      <w:sz w:val="110"/>
      <w:szCs w:val="24"/>
      <w14:ligatures w14:val="standardContextual"/>
    </w:rPr>
  </w:style>
  <w:style w:type="paragraph" w:customStyle="1" w:styleId="Section3heading1">
    <w:name w:val="Section 3 heading 1"/>
    <w:basedOn w:val="Heading1"/>
    <w:next w:val="Normal"/>
    <w:link w:val="Section3heading1Char"/>
    <w:uiPriority w:val="10"/>
    <w:qFormat/>
    <w:rsid w:val="000C006E"/>
    <w:rPr>
      <w:color w:val="003399" w:themeColor="accent3"/>
    </w:rPr>
  </w:style>
  <w:style w:type="character" w:customStyle="1" w:styleId="Section3heading1Char">
    <w:name w:val="Section 3 heading 1 Char"/>
    <w:basedOn w:val="Section2Heading1Char"/>
    <w:link w:val="Section3heading1"/>
    <w:uiPriority w:val="10"/>
    <w:rsid w:val="008F24D2"/>
    <w:rPr>
      <w:rFonts w:asciiTheme="majorHAnsi" w:eastAsiaTheme="majorEastAsia" w:hAnsiTheme="majorHAnsi" w:cstheme="majorBidi"/>
      <w:b w:val="0"/>
      <w:color w:val="003399" w:themeColor="accent3"/>
      <w:sz w:val="52"/>
      <w:szCs w:val="32"/>
    </w:rPr>
  </w:style>
  <w:style w:type="paragraph" w:customStyle="1" w:styleId="Section3heading2">
    <w:name w:val="Section 3 heading 2"/>
    <w:basedOn w:val="Heading2"/>
    <w:next w:val="Normal"/>
    <w:uiPriority w:val="10"/>
    <w:qFormat/>
    <w:rsid w:val="000C006E"/>
    <w:rPr>
      <w:color w:val="003399" w:themeColor="accent3"/>
    </w:rPr>
  </w:style>
  <w:style w:type="paragraph" w:customStyle="1" w:styleId="Section3heading3">
    <w:name w:val="Section 3 heading 3"/>
    <w:basedOn w:val="Heading3"/>
    <w:uiPriority w:val="10"/>
    <w:qFormat/>
    <w:rsid w:val="000C006E"/>
    <w:rPr>
      <w:color w:val="003399" w:themeColor="accent3"/>
    </w:rPr>
  </w:style>
  <w:style w:type="paragraph" w:customStyle="1" w:styleId="Section4Heading1">
    <w:name w:val="Section 4 Heading 1"/>
    <w:basedOn w:val="Heading1"/>
    <w:next w:val="Normal"/>
    <w:uiPriority w:val="11"/>
    <w:qFormat/>
    <w:rsid w:val="00065884"/>
    <w:rPr>
      <w:color w:val="4D2379" w:themeColor="accent4"/>
    </w:rPr>
  </w:style>
  <w:style w:type="paragraph" w:customStyle="1" w:styleId="Section4Heading2">
    <w:name w:val="Section 4 Heading 2"/>
    <w:basedOn w:val="Heading2"/>
    <w:next w:val="Normal"/>
    <w:uiPriority w:val="11"/>
    <w:qFormat/>
    <w:rsid w:val="00065884"/>
    <w:rPr>
      <w:color w:val="4D2379" w:themeColor="accent4"/>
    </w:rPr>
  </w:style>
  <w:style w:type="paragraph" w:styleId="ListParagraph">
    <w:name w:val="List Paragraph"/>
    <w:aliases w:val="List Level 1"/>
    <w:basedOn w:val="Normal"/>
    <w:link w:val="ListParagraphChar"/>
    <w:uiPriority w:val="34"/>
    <w:qFormat/>
    <w:rsid w:val="00A1728D"/>
    <w:pPr>
      <w:ind w:left="720"/>
      <w:contextualSpacing/>
    </w:pPr>
  </w:style>
  <w:style w:type="paragraph" w:customStyle="1" w:styleId="Section2Heading1">
    <w:name w:val="Section 2 Heading 1"/>
    <w:basedOn w:val="Heading1"/>
    <w:next w:val="Normal"/>
    <w:link w:val="Section2Heading1Char"/>
    <w:uiPriority w:val="9"/>
    <w:qFormat/>
    <w:rsid w:val="006F532C"/>
    <w:rPr>
      <w:color w:val="0C818E" w:themeColor="accent1"/>
    </w:rPr>
  </w:style>
  <w:style w:type="character" w:customStyle="1" w:styleId="Section2Heading1Char">
    <w:name w:val="Section 2 Heading 1 Char"/>
    <w:basedOn w:val="Heading1Char"/>
    <w:link w:val="Section2Heading1"/>
    <w:uiPriority w:val="9"/>
    <w:rsid w:val="008F24D2"/>
    <w:rPr>
      <w:rFonts w:asciiTheme="majorHAnsi" w:eastAsiaTheme="majorEastAsia" w:hAnsiTheme="majorHAnsi" w:cstheme="majorBidi"/>
      <w:b w:val="0"/>
      <w:color w:val="0C818E" w:themeColor="accent1"/>
      <w:sz w:val="52"/>
      <w:szCs w:val="32"/>
    </w:rPr>
  </w:style>
  <w:style w:type="paragraph" w:customStyle="1" w:styleId="Section2Heading2">
    <w:name w:val="Section 2 Heading 2"/>
    <w:basedOn w:val="Heading2"/>
    <w:next w:val="Normal"/>
    <w:link w:val="Section2Heading2Char"/>
    <w:uiPriority w:val="9"/>
    <w:qFormat/>
    <w:rsid w:val="006F532C"/>
    <w:rPr>
      <w:color w:val="0C818E" w:themeColor="accent1"/>
    </w:rPr>
  </w:style>
  <w:style w:type="character" w:customStyle="1" w:styleId="Section2Heading2Char">
    <w:name w:val="Section 2 Heading 2 Char"/>
    <w:basedOn w:val="Heading2Char"/>
    <w:link w:val="Section2Heading2"/>
    <w:uiPriority w:val="9"/>
    <w:rsid w:val="008F24D2"/>
    <w:rPr>
      <w:rFonts w:asciiTheme="majorHAnsi" w:eastAsiaTheme="majorEastAsia" w:hAnsiTheme="majorHAnsi" w:cstheme="majorBidi"/>
      <w:b/>
      <w:color w:val="0C818E" w:themeColor="accent1"/>
      <w:sz w:val="32"/>
      <w:szCs w:val="26"/>
    </w:rPr>
  </w:style>
  <w:style w:type="paragraph" w:customStyle="1" w:styleId="Section2heading3">
    <w:name w:val="Section 2 heading 3"/>
    <w:basedOn w:val="Heading3"/>
    <w:link w:val="Section2heading3Char"/>
    <w:uiPriority w:val="9"/>
    <w:qFormat/>
    <w:rsid w:val="006F532C"/>
    <w:rPr>
      <w:color w:val="0C818E" w:themeColor="accent1"/>
    </w:rPr>
  </w:style>
  <w:style w:type="character" w:customStyle="1" w:styleId="Section2heading3Char">
    <w:name w:val="Section 2 heading 3 Char"/>
    <w:basedOn w:val="Heading3Char"/>
    <w:link w:val="Section2heading3"/>
    <w:uiPriority w:val="9"/>
    <w:rsid w:val="008F24D2"/>
    <w:rPr>
      <w:rFonts w:asciiTheme="majorHAnsi" w:eastAsiaTheme="majorEastAsia" w:hAnsiTheme="majorHAnsi" w:cstheme="majorBidi"/>
      <w:color w:val="0C818E" w:themeColor="accent1"/>
      <w:sz w:val="32"/>
      <w:szCs w:val="24"/>
    </w:rPr>
  </w:style>
  <w:style w:type="paragraph" w:customStyle="1" w:styleId="Section4Heading3">
    <w:name w:val="Section 4 Heading 3"/>
    <w:basedOn w:val="Heading3"/>
    <w:next w:val="Normal"/>
    <w:uiPriority w:val="11"/>
    <w:qFormat/>
    <w:rsid w:val="00065884"/>
    <w:rPr>
      <w:color w:val="4D2379" w:themeColor="accent4"/>
    </w:rPr>
  </w:style>
  <w:style w:type="paragraph" w:customStyle="1" w:styleId="Section5Heading1">
    <w:name w:val="Section 5 Heading 1"/>
    <w:basedOn w:val="Heading1"/>
    <w:next w:val="Normal"/>
    <w:link w:val="Section5Heading1Char"/>
    <w:uiPriority w:val="12"/>
    <w:qFormat/>
    <w:rsid w:val="0049539E"/>
    <w:rPr>
      <w:color w:val="006060" w:themeColor="accent5"/>
    </w:rPr>
  </w:style>
  <w:style w:type="character" w:customStyle="1" w:styleId="Section5Heading1Char">
    <w:name w:val="Section 5 Heading 1 Char"/>
    <w:basedOn w:val="Heading1Char"/>
    <w:link w:val="Section5Heading1"/>
    <w:uiPriority w:val="12"/>
    <w:rsid w:val="008F24D2"/>
    <w:rPr>
      <w:rFonts w:asciiTheme="majorHAnsi" w:eastAsiaTheme="majorEastAsia" w:hAnsiTheme="majorHAnsi" w:cstheme="majorBidi"/>
      <w:b w:val="0"/>
      <w:color w:val="006060" w:themeColor="accent5"/>
      <w:sz w:val="52"/>
      <w:szCs w:val="32"/>
    </w:rPr>
  </w:style>
  <w:style w:type="paragraph" w:customStyle="1" w:styleId="Section5Heading2">
    <w:name w:val="Section 5 Heading 2"/>
    <w:basedOn w:val="Heading2"/>
    <w:link w:val="Section5Heading2Char"/>
    <w:uiPriority w:val="12"/>
    <w:qFormat/>
    <w:rsid w:val="0049539E"/>
    <w:rPr>
      <w:color w:val="006060" w:themeColor="accent5"/>
    </w:rPr>
  </w:style>
  <w:style w:type="character" w:customStyle="1" w:styleId="Section5Heading2Char">
    <w:name w:val="Section 5 Heading 2 Char"/>
    <w:basedOn w:val="Heading2Char"/>
    <w:link w:val="Section5Heading2"/>
    <w:uiPriority w:val="12"/>
    <w:rsid w:val="008F24D2"/>
    <w:rPr>
      <w:rFonts w:asciiTheme="majorHAnsi" w:eastAsiaTheme="majorEastAsia" w:hAnsiTheme="majorHAnsi" w:cstheme="majorBidi"/>
      <w:b/>
      <w:color w:val="006060" w:themeColor="accent5"/>
      <w:sz w:val="32"/>
      <w:szCs w:val="26"/>
    </w:rPr>
  </w:style>
  <w:style w:type="paragraph" w:customStyle="1" w:styleId="Section5Heading3">
    <w:name w:val="Section 5 Heading 3"/>
    <w:basedOn w:val="Heading3"/>
    <w:link w:val="Section5Heading3Char"/>
    <w:uiPriority w:val="12"/>
    <w:qFormat/>
    <w:rsid w:val="0049539E"/>
    <w:rPr>
      <w:color w:val="006060" w:themeColor="accent5"/>
    </w:rPr>
  </w:style>
  <w:style w:type="character" w:customStyle="1" w:styleId="Section5Heading3Char">
    <w:name w:val="Section 5 Heading 3 Char"/>
    <w:basedOn w:val="Heading3Char"/>
    <w:link w:val="Section5Heading3"/>
    <w:uiPriority w:val="12"/>
    <w:rsid w:val="008F24D2"/>
    <w:rPr>
      <w:rFonts w:asciiTheme="majorHAnsi" w:eastAsiaTheme="majorEastAsia" w:hAnsiTheme="majorHAnsi" w:cstheme="majorBidi"/>
      <w:color w:val="006060" w:themeColor="accent5"/>
      <w:sz w:val="32"/>
      <w:szCs w:val="24"/>
    </w:rPr>
  </w:style>
  <w:style w:type="paragraph" w:customStyle="1" w:styleId="Section6Heading1">
    <w:name w:val="Section 6 Heading 1"/>
    <w:basedOn w:val="Heading1"/>
    <w:next w:val="Normal"/>
    <w:link w:val="Section6Heading1Char"/>
    <w:uiPriority w:val="13"/>
    <w:qFormat/>
    <w:rsid w:val="0049539E"/>
    <w:rPr>
      <w:color w:val="660033" w:themeColor="accent6"/>
    </w:rPr>
  </w:style>
  <w:style w:type="character" w:customStyle="1" w:styleId="Section6Heading1Char">
    <w:name w:val="Section 6 Heading 1 Char"/>
    <w:basedOn w:val="Heading1Char"/>
    <w:link w:val="Section6Heading1"/>
    <w:uiPriority w:val="13"/>
    <w:rsid w:val="008F24D2"/>
    <w:rPr>
      <w:rFonts w:asciiTheme="majorHAnsi" w:eastAsiaTheme="majorEastAsia" w:hAnsiTheme="majorHAnsi" w:cstheme="majorBidi"/>
      <w:b w:val="0"/>
      <w:color w:val="660033" w:themeColor="accent6"/>
      <w:sz w:val="52"/>
      <w:szCs w:val="32"/>
    </w:rPr>
  </w:style>
  <w:style w:type="paragraph" w:customStyle="1" w:styleId="Section6Heading2">
    <w:name w:val="Section 6 Heading 2"/>
    <w:basedOn w:val="Heading2"/>
    <w:next w:val="Normal"/>
    <w:link w:val="Section6Heading2Char"/>
    <w:uiPriority w:val="13"/>
    <w:qFormat/>
    <w:rsid w:val="0049539E"/>
    <w:rPr>
      <w:color w:val="660033" w:themeColor="accent6"/>
    </w:rPr>
  </w:style>
  <w:style w:type="character" w:customStyle="1" w:styleId="Section6Heading2Char">
    <w:name w:val="Section 6 Heading 2 Char"/>
    <w:basedOn w:val="Heading2Char"/>
    <w:link w:val="Section6Heading2"/>
    <w:uiPriority w:val="13"/>
    <w:rsid w:val="008F24D2"/>
    <w:rPr>
      <w:rFonts w:asciiTheme="majorHAnsi" w:eastAsiaTheme="majorEastAsia" w:hAnsiTheme="majorHAnsi" w:cstheme="majorBidi"/>
      <w:b/>
      <w:color w:val="660033" w:themeColor="accent6"/>
      <w:sz w:val="32"/>
      <w:szCs w:val="26"/>
    </w:rPr>
  </w:style>
  <w:style w:type="paragraph" w:customStyle="1" w:styleId="Section6Heading3">
    <w:name w:val="Section 6 Heading 3"/>
    <w:basedOn w:val="Heading3"/>
    <w:next w:val="Normal"/>
    <w:link w:val="Section6Heading3Char"/>
    <w:uiPriority w:val="13"/>
    <w:qFormat/>
    <w:rsid w:val="0049539E"/>
    <w:rPr>
      <w:color w:val="660033" w:themeColor="accent6"/>
    </w:rPr>
  </w:style>
  <w:style w:type="character" w:customStyle="1" w:styleId="Section6Heading3Char">
    <w:name w:val="Section 6 Heading 3 Char"/>
    <w:basedOn w:val="Heading3Char"/>
    <w:link w:val="Section6Heading3"/>
    <w:uiPriority w:val="13"/>
    <w:rsid w:val="008F24D2"/>
    <w:rPr>
      <w:rFonts w:asciiTheme="majorHAnsi" w:eastAsiaTheme="majorEastAsia" w:hAnsiTheme="majorHAnsi" w:cstheme="majorBidi"/>
      <w:color w:val="660033" w:themeColor="accent6"/>
      <w:sz w:val="32"/>
      <w:szCs w:val="24"/>
    </w:rPr>
  </w:style>
  <w:style w:type="paragraph" w:customStyle="1" w:styleId="Bulletpoint">
    <w:name w:val="Bullet point"/>
    <w:basedOn w:val="Normal"/>
    <w:next w:val="Normal"/>
    <w:link w:val="BulletpointChar"/>
    <w:uiPriority w:val="1"/>
    <w:qFormat/>
    <w:rsid w:val="006E1AF8"/>
    <w:pPr>
      <w:numPr>
        <w:numId w:val="23"/>
      </w:numPr>
    </w:pPr>
  </w:style>
  <w:style w:type="character" w:customStyle="1" w:styleId="BulletpointChar">
    <w:name w:val="Bullet point Char"/>
    <w:basedOn w:val="DefaultParagraphFont"/>
    <w:link w:val="Bulletpoint"/>
    <w:uiPriority w:val="1"/>
    <w:rsid w:val="008F24D2"/>
    <w:rPr>
      <w:sz w:val="24"/>
    </w:rPr>
  </w:style>
  <w:style w:type="table" w:customStyle="1" w:styleId="HealthNewZealand">
    <w:name w:val="Health New Zealand"/>
    <w:basedOn w:val="TableNormal"/>
    <w:uiPriority w:val="99"/>
    <w:rsid w:val="004A146F"/>
    <w:pPr>
      <w:spacing w:after="0" w:line="240" w:lineRule="auto"/>
    </w:pPr>
    <w:tblPr/>
  </w:style>
  <w:style w:type="character" w:customStyle="1" w:styleId="Heading5Char">
    <w:name w:val="Heading 5 Char"/>
    <w:basedOn w:val="DefaultParagraphFont"/>
    <w:link w:val="Heading5"/>
    <w:uiPriority w:val="9"/>
    <w:semiHidden/>
    <w:rsid w:val="00794352"/>
    <w:rPr>
      <w:rFonts w:asciiTheme="majorHAnsi" w:eastAsiaTheme="majorEastAsia" w:hAnsiTheme="majorHAnsi" w:cstheme="majorBidi"/>
      <w:color w:val="09606A" w:themeColor="accent1" w:themeShade="BF"/>
      <w:sz w:val="24"/>
    </w:rPr>
  </w:style>
  <w:style w:type="paragraph" w:customStyle="1" w:styleId="Datenewsletterdocument">
    <w:name w:val="Date newsletter document"/>
    <w:basedOn w:val="Subtitle"/>
    <w:next w:val="Normal"/>
    <w:uiPriority w:val="99"/>
    <w:qFormat/>
    <w:rsid w:val="00794352"/>
    <w:pPr>
      <w:spacing w:after="840"/>
    </w:pPr>
    <w:rPr>
      <w:color w:val="FFFFFF" w:themeColor="background1"/>
    </w:rPr>
  </w:style>
  <w:style w:type="paragraph" w:customStyle="1" w:styleId="paragraph">
    <w:name w:val="paragraph"/>
    <w:basedOn w:val="Normal"/>
    <w:rsid w:val="00B23315"/>
    <w:pPr>
      <w:spacing w:before="100" w:beforeAutospacing="1" w:after="100" w:afterAutospacing="1" w:line="240" w:lineRule="auto"/>
    </w:pPr>
    <w:rPr>
      <w:rFonts w:ascii="Times New Roman" w:eastAsia="Times New Roman" w:hAnsi="Times New Roman" w:cs="Times New Roman"/>
      <w:szCs w:val="24"/>
      <w:lang w:eastAsia="en-NZ"/>
    </w:rPr>
  </w:style>
  <w:style w:type="character" w:customStyle="1" w:styleId="normaltextrun">
    <w:name w:val="normaltextrun"/>
    <w:basedOn w:val="DefaultParagraphFont"/>
    <w:rsid w:val="00B23315"/>
  </w:style>
  <w:style w:type="character" w:customStyle="1" w:styleId="superscript">
    <w:name w:val="superscript"/>
    <w:basedOn w:val="DefaultParagraphFont"/>
    <w:rsid w:val="00B23315"/>
  </w:style>
  <w:style w:type="character" w:customStyle="1" w:styleId="eop">
    <w:name w:val="eop"/>
    <w:basedOn w:val="DefaultParagraphFont"/>
    <w:rsid w:val="00B23315"/>
  </w:style>
  <w:style w:type="paragraph" w:styleId="Caption">
    <w:name w:val="caption"/>
    <w:basedOn w:val="Normal"/>
    <w:next w:val="Normal"/>
    <w:uiPriority w:val="35"/>
    <w:unhideWhenUsed/>
    <w:qFormat/>
    <w:rsid w:val="00F54119"/>
    <w:pPr>
      <w:spacing w:before="0" w:after="200" w:line="240" w:lineRule="auto"/>
    </w:pPr>
    <w:rPr>
      <w:i/>
      <w:iCs/>
      <w:color w:val="15284C" w:themeColor="text2"/>
      <w:sz w:val="18"/>
      <w:szCs w:val="18"/>
    </w:rPr>
  </w:style>
  <w:style w:type="character" w:styleId="CommentReference">
    <w:name w:val="annotation reference"/>
    <w:basedOn w:val="DefaultParagraphFont"/>
    <w:uiPriority w:val="99"/>
    <w:semiHidden/>
    <w:unhideWhenUsed/>
    <w:rsid w:val="00384841"/>
    <w:rPr>
      <w:sz w:val="16"/>
      <w:szCs w:val="16"/>
    </w:rPr>
  </w:style>
  <w:style w:type="paragraph" w:styleId="CommentText">
    <w:name w:val="annotation text"/>
    <w:basedOn w:val="Normal"/>
    <w:link w:val="CommentTextChar"/>
    <w:uiPriority w:val="99"/>
    <w:unhideWhenUsed/>
    <w:rsid w:val="00384841"/>
    <w:pPr>
      <w:spacing w:before="0" w:after="200"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384841"/>
    <w:rPr>
      <w:rFonts w:ascii="Calibri" w:eastAsia="Calibri" w:hAnsi="Calibri" w:cs="Times New Roman"/>
      <w:sz w:val="20"/>
      <w:szCs w:val="20"/>
    </w:rPr>
  </w:style>
  <w:style w:type="paragraph" w:customStyle="1" w:styleId="Subheading1">
    <w:name w:val="Sub heading 1"/>
    <w:basedOn w:val="Heading1"/>
    <w:qFormat/>
    <w:rsid w:val="00494D8B"/>
    <w:pPr>
      <w:spacing w:line="240" w:lineRule="auto"/>
    </w:pPr>
    <w:rPr>
      <w:rFonts w:ascii="Arial" w:eastAsia="Malgun Gothic" w:hAnsi="Arial" w:cs="Arial"/>
      <w:color w:val="0C818F"/>
      <w:sz w:val="36"/>
      <w:szCs w:val="36"/>
    </w:rPr>
  </w:style>
  <w:style w:type="character" w:customStyle="1" w:styleId="ListParagraphChar">
    <w:name w:val="List Paragraph Char"/>
    <w:aliases w:val="List Level 1 Char"/>
    <w:basedOn w:val="DefaultParagraphFont"/>
    <w:link w:val="ListParagraph"/>
    <w:uiPriority w:val="34"/>
    <w:rsid w:val="007E12E3"/>
    <w:rPr>
      <w:sz w:val="24"/>
    </w:rPr>
  </w:style>
  <w:style w:type="character" w:customStyle="1" w:styleId="hgkelc">
    <w:name w:val="hgkelc"/>
    <w:basedOn w:val="DefaultParagraphFont"/>
    <w:rsid w:val="00CA7C78"/>
  </w:style>
  <w:style w:type="paragraph" w:styleId="CommentSubject">
    <w:name w:val="annotation subject"/>
    <w:basedOn w:val="CommentText"/>
    <w:next w:val="CommentText"/>
    <w:link w:val="CommentSubjectChar"/>
    <w:uiPriority w:val="99"/>
    <w:semiHidden/>
    <w:unhideWhenUsed/>
    <w:rsid w:val="00DC7DE3"/>
    <w:pPr>
      <w:spacing w:before="120" w:after="24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DC7DE3"/>
    <w:rPr>
      <w:rFonts w:ascii="Calibri" w:eastAsia="Calibri" w:hAnsi="Calibri" w:cs="Times New Roman"/>
      <w:b/>
      <w:bCs/>
      <w:sz w:val="20"/>
      <w:szCs w:val="20"/>
    </w:rPr>
  </w:style>
  <w:style w:type="character" w:styleId="FollowedHyperlink">
    <w:name w:val="FollowedHyperlink"/>
    <w:basedOn w:val="DefaultParagraphFont"/>
    <w:uiPriority w:val="99"/>
    <w:semiHidden/>
    <w:unhideWhenUsed/>
    <w:rsid w:val="00403272"/>
    <w:rPr>
      <w:color w:val="0072BC" w:themeColor="followedHyperlink"/>
      <w:u w:val="single"/>
    </w:rPr>
  </w:style>
  <w:style w:type="paragraph" w:styleId="Revision">
    <w:name w:val="Revision"/>
    <w:hidden/>
    <w:uiPriority w:val="99"/>
    <w:semiHidden/>
    <w:rsid w:val="00B84EC6"/>
    <w:pPr>
      <w:spacing w:before="0" w:after="0" w:line="240" w:lineRule="auto"/>
    </w:pPr>
    <w:rPr>
      <w:sz w:val="24"/>
    </w:rPr>
  </w:style>
  <w:style w:type="character" w:styleId="UnresolvedMention">
    <w:name w:val="Unresolved Mention"/>
    <w:basedOn w:val="DefaultParagraphFont"/>
    <w:uiPriority w:val="99"/>
    <w:semiHidden/>
    <w:unhideWhenUsed/>
    <w:rsid w:val="00AB1D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687605">
      <w:bodyDiv w:val="1"/>
      <w:marLeft w:val="0"/>
      <w:marRight w:val="0"/>
      <w:marTop w:val="0"/>
      <w:marBottom w:val="0"/>
      <w:divBdr>
        <w:top w:val="none" w:sz="0" w:space="0" w:color="auto"/>
        <w:left w:val="none" w:sz="0" w:space="0" w:color="auto"/>
        <w:bottom w:val="none" w:sz="0" w:space="0" w:color="auto"/>
        <w:right w:val="none" w:sz="0" w:space="0" w:color="auto"/>
      </w:divBdr>
      <w:divsChild>
        <w:div w:id="1220287646">
          <w:marLeft w:val="0"/>
          <w:marRight w:val="0"/>
          <w:marTop w:val="0"/>
          <w:marBottom w:val="0"/>
          <w:divBdr>
            <w:top w:val="none" w:sz="0" w:space="0" w:color="auto"/>
            <w:left w:val="none" w:sz="0" w:space="0" w:color="auto"/>
            <w:bottom w:val="none" w:sz="0" w:space="0" w:color="auto"/>
            <w:right w:val="none" w:sz="0" w:space="0" w:color="auto"/>
          </w:divBdr>
        </w:div>
        <w:div w:id="2036730916">
          <w:marLeft w:val="0"/>
          <w:marRight w:val="0"/>
          <w:marTop w:val="0"/>
          <w:marBottom w:val="0"/>
          <w:divBdr>
            <w:top w:val="none" w:sz="0" w:space="0" w:color="auto"/>
            <w:left w:val="none" w:sz="0" w:space="0" w:color="auto"/>
            <w:bottom w:val="none" w:sz="0" w:space="0" w:color="auto"/>
            <w:right w:val="none" w:sz="0" w:space="0" w:color="auto"/>
          </w:divBdr>
        </w:div>
        <w:div w:id="1291864660">
          <w:marLeft w:val="0"/>
          <w:marRight w:val="0"/>
          <w:marTop w:val="0"/>
          <w:marBottom w:val="0"/>
          <w:divBdr>
            <w:top w:val="none" w:sz="0" w:space="0" w:color="auto"/>
            <w:left w:val="none" w:sz="0" w:space="0" w:color="auto"/>
            <w:bottom w:val="none" w:sz="0" w:space="0" w:color="auto"/>
            <w:right w:val="none" w:sz="0" w:space="0" w:color="auto"/>
          </w:divBdr>
        </w:div>
      </w:divsChild>
    </w:div>
    <w:div w:id="149294934">
      <w:bodyDiv w:val="1"/>
      <w:marLeft w:val="0"/>
      <w:marRight w:val="0"/>
      <w:marTop w:val="0"/>
      <w:marBottom w:val="0"/>
      <w:divBdr>
        <w:top w:val="none" w:sz="0" w:space="0" w:color="auto"/>
        <w:left w:val="none" w:sz="0" w:space="0" w:color="auto"/>
        <w:bottom w:val="none" w:sz="0" w:space="0" w:color="auto"/>
        <w:right w:val="none" w:sz="0" w:space="0" w:color="auto"/>
      </w:divBdr>
    </w:div>
    <w:div w:id="366568001">
      <w:bodyDiv w:val="1"/>
      <w:marLeft w:val="0"/>
      <w:marRight w:val="0"/>
      <w:marTop w:val="0"/>
      <w:marBottom w:val="0"/>
      <w:divBdr>
        <w:top w:val="none" w:sz="0" w:space="0" w:color="auto"/>
        <w:left w:val="none" w:sz="0" w:space="0" w:color="auto"/>
        <w:bottom w:val="none" w:sz="0" w:space="0" w:color="auto"/>
        <w:right w:val="none" w:sz="0" w:space="0" w:color="auto"/>
      </w:divBdr>
      <w:divsChild>
        <w:div w:id="972557275">
          <w:marLeft w:val="0"/>
          <w:marRight w:val="0"/>
          <w:marTop w:val="0"/>
          <w:marBottom w:val="0"/>
          <w:divBdr>
            <w:top w:val="none" w:sz="0" w:space="0" w:color="auto"/>
            <w:left w:val="none" w:sz="0" w:space="0" w:color="auto"/>
            <w:bottom w:val="none" w:sz="0" w:space="0" w:color="auto"/>
            <w:right w:val="none" w:sz="0" w:space="0" w:color="auto"/>
          </w:divBdr>
        </w:div>
        <w:div w:id="1388408974">
          <w:marLeft w:val="0"/>
          <w:marRight w:val="0"/>
          <w:marTop w:val="0"/>
          <w:marBottom w:val="0"/>
          <w:divBdr>
            <w:top w:val="none" w:sz="0" w:space="0" w:color="auto"/>
            <w:left w:val="none" w:sz="0" w:space="0" w:color="auto"/>
            <w:bottom w:val="none" w:sz="0" w:space="0" w:color="auto"/>
            <w:right w:val="none" w:sz="0" w:space="0" w:color="auto"/>
          </w:divBdr>
        </w:div>
      </w:divsChild>
    </w:div>
    <w:div w:id="603608102">
      <w:bodyDiv w:val="1"/>
      <w:marLeft w:val="0"/>
      <w:marRight w:val="0"/>
      <w:marTop w:val="0"/>
      <w:marBottom w:val="0"/>
      <w:divBdr>
        <w:top w:val="none" w:sz="0" w:space="0" w:color="auto"/>
        <w:left w:val="none" w:sz="0" w:space="0" w:color="auto"/>
        <w:bottom w:val="none" w:sz="0" w:space="0" w:color="auto"/>
        <w:right w:val="none" w:sz="0" w:space="0" w:color="auto"/>
      </w:divBdr>
      <w:divsChild>
        <w:div w:id="666326827">
          <w:marLeft w:val="0"/>
          <w:marRight w:val="0"/>
          <w:marTop w:val="60"/>
          <w:marBottom w:val="60"/>
          <w:divBdr>
            <w:top w:val="none" w:sz="0" w:space="0" w:color="auto"/>
            <w:left w:val="none" w:sz="0" w:space="0" w:color="auto"/>
            <w:bottom w:val="none" w:sz="0" w:space="0" w:color="auto"/>
            <w:right w:val="none" w:sz="0" w:space="0" w:color="auto"/>
          </w:divBdr>
        </w:div>
      </w:divsChild>
    </w:div>
    <w:div w:id="883177038">
      <w:bodyDiv w:val="1"/>
      <w:marLeft w:val="0"/>
      <w:marRight w:val="0"/>
      <w:marTop w:val="0"/>
      <w:marBottom w:val="0"/>
      <w:divBdr>
        <w:top w:val="none" w:sz="0" w:space="0" w:color="auto"/>
        <w:left w:val="none" w:sz="0" w:space="0" w:color="auto"/>
        <w:bottom w:val="none" w:sz="0" w:space="0" w:color="auto"/>
        <w:right w:val="none" w:sz="0" w:space="0" w:color="auto"/>
      </w:divBdr>
      <w:divsChild>
        <w:div w:id="1253854345">
          <w:marLeft w:val="0"/>
          <w:marRight w:val="0"/>
          <w:marTop w:val="0"/>
          <w:marBottom w:val="0"/>
          <w:divBdr>
            <w:top w:val="none" w:sz="0" w:space="0" w:color="auto"/>
            <w:left w:val="none" w:sz="0" w:space="0" w:color="auto"/>
            <w:bottom w:val="none" w:sz="0" w:space="0" w:color="auto"/>
            <w:right w:val="none" w:sz="0" w:space="0" w:color="auto"/>
          </w:divBdr>
        </w:div>
      </w:divsChild>
    </w:div>
    <w:div w:id="919215595">
      <w:bodyDiv w:val="1"/>
      <w:marLeft w:val="0"/>
      <w:marRight w:val="0"/>
      <w:marTop w:val="0"/>
      <w:marBottom w:val="0"/>
      <w:divBdr>
        <w:top w:val="none" w:sz="0" w:space="0" w:color="auto"/>
        <w:left w:val="none" w:sz="0" w:space="0" w:color="auto"/>
        <w:bottom w:val="none" w:sz="0" w:space="0" w:color="auto"/>
        <w:right w:val="none" w:sz="0" w:space="0" w:color="auto"/>
      </w:divBdr>
      <w:divsChild>
        <w:div w:id="1558472372">
          <w:marLeft w:val="0"/>
          <w:marRight w:val="0"/>
          <w:marTop w:val="0"/>
          <w:marBottom w:val="0"/>
          <w:divBdr>
            <w:top w:val="none" w:sz="0" w:space="0" w:color="auto"/>
            <w:left w:val="none" w:sz="0" w:space="0" w:color="auto"/>
            <w:bottom w:val="none" w:sz="0" w:space="0" w:color="auto"/>
            <w:right w:val="none" w:sz="0" w:space="0" w:color="auto"/>
          </w:divBdr>
        </w:div>
        <w:div w:id="893737397">
          <w:marLeft w:val="0"/>
          <w:marRight w:val="0"/>
          <w:marTop w:val="0"/>
          <w:marBottom w:val="0"/>
          <w:divBdr>
            <w:top w:val="none" w:sz="0" w:space="0" w:color="auto"/>
            <w:left w:val="none" w:sz="0" w:space="0" w:color="auto"/>
            <w:bottom w:val="none" w:sz="0" w:space="0" w:color="auto"/>
            <w:right w:val="none" w:sz="0" w:space="0" w:color="auto"/>
          </w:divBdr>
        </w:div>
        <w:div w:id="637883453">
          <w:marLeft w:val="0"/>
          <w:marRight w:val="0"/>
          <w:marTop w:val="0"/>
          <w:marBottom w:val="0"/>
          <w:divBdr>
            <w:top w:val="none" w:sz="0" w:space="0" w:color="auto"/>
            <w:left w:val="none" w:sz="0" w:space="0" w:color="auto"/>
            <w:bottom w:val="none" w:sz="0" w:space="0" w:color="auto"/>
            <w:right w:val="none" w:sz="0" w:space="0" w:color="auto"/>
          </w:divBdr>
        </w:div>
      </w:divsChild>
    </w:div>
    <w:div w:id="1028405882">
      <w:bodyDiv w:val="1"/>
      <w:marLeft w:val="0"/>
      <w:marRight w:val="0"/>
      <w:marTop w:val="0"/>
      <w:marBottom w:val="0"/>
      <w:divBdr>
        <w:top w:val="none" w:sz="0" w:space="0" w:color="auto"/>
        <w:left w:val="none" w:sz="0" w:space="0" w:color="auto"/>
        <w:bottom w:val="none" w:sz="0" w:space="0" w:color="auto"/>
        <w:right w:val="none" w:sz="0" w:space="0" w:color="auto"/>
      </w:divBdr>
      <w:divsChild>
        <w:div w:id="333849101">
          <w:marLeft w:val="0"/>
          <w:marRight w:val="0"/>
          <w:marTop w:val="0"/>
          <w:marBottom w:val="0"/>
          <w:divBdr>
            <w:top w:val="none" w:sz="0" w:space="0" w:color="auto"/>
            <w:left w:val="none" w:sz="0" w:space="0" w:color="auto"/>
            <w:bottom w:val="none" w:sz="0" w:space="0" w:color="auto"/>
            <w:right w:val="none" w:sz="0" w:space="0" w:color="auto"/>
          </w:divBdr>
        </w:div>
        <w:div w:id="1563636747">
          <w:marLeft w:val="0"/>
          <w:marRight w:val="0"/>
          <w:marTop w:val="0"/>
          <w:marBottom w:val="0"/>
          <w:divBdr>
            <w:top w:val="none" w:sz="0" w:space="0" w:color="auto"/>
            <w:left w:val="none" w:sz="0" w:space="0" w:color="auto"/>
            <w:bottom w:val="none" w:sz="0" w:space="0" w:color="auto"/>
            <w:right w:val="none" w:sz="0" w:space="0" w:color="auto"/>
          </w:divBdr>
        </w:div>
        <w:div w:id="332999868">
          <w:marLeft w:val="0"/>
          <w:marRight w:val="0"/>
          <w:marTop w:val="0"/>
          <w:marBottom w:val="0"/>
          <w:divBdr>
            <w:top w:val="none" w:sz="0" w:space="0" w:color="auto"/>
            <w:left w:val="none" w:sz="0" w:space="0" w:color="auto"/>
            <w:bottom w:val="none" w:sz="0" w:space="0" w:color="auto"/>
            <w:right w:val="none" w:sz="0" w:space="0" w:color="auto"/>
          </w:divBdr>
        </w:div>
      </w:divsChild>
    </w:div>
    <w:div w:id="1045640191">
      <w:bodyDiv w:val="1"/>
      <w:marLeft w:val="0"/>
      <w:marRight w:val="0"/>
      <w:marTop w:val="0"/>
      <w:marBottom w:val="0"/>
      <w:divBdr>
        <w:top w:val="none" w:sz="0" w:space="0" w:color="auto"/>
        <w:left w:val="none" w:sz="0" w:space="0" w:color="auto"/>
        <w:bottom w:val="none" w:sz="0" w:space="0" w:color="auto"/>
        <w:right w:val="none" w:sz="0" w:space="0" w:color="auto"/>
      </w:divBdr>
      <w:divsChild>
        <w:div w:id="159546709">
          <w:marLeft w:val="0"/>
          <w:marRight w:val="0"/>
          <w:marTop w:val="0"/>
          <w:marBottom w:val="0"/>
          <w:divBdr>
            <w:top w:val="none" w:sz="0" w:space="0" w:color="auto"/>
            <w:left w:val="none" w:sz="0" w:space="0" w:color="auto"/>
            <w:bottom w:val="none" w:sz="0" w:space="0" w:color="auto"/>
            <w:right w:val="none" w:sz="0" w:space="0" w:color="auto"/>
          </w:divBdr>
        </w:div>
        <w:div w:id="1206603802">
          <w:marLeft w:val="0"/>
          <w:marRight w:val="0"/>
          <w:marTop w:val="0"/>
          <w:marBottom w:val="0"/>
          <w:divBdr>
            <w:top w:val="none" w:sz="0" w:space="0" w:color="auto"/>
            <w:left w:val="none" w:sz="0" w:space="0" w:color="auto"/>
            <w:bottom w:val="none" w:sz="0" w:space="0" w:color="auto"/>
            <w:right w:val="none" w:sz="0" w:space="0" w:color="auto"/>
          </w:divBdr>
        </w:div>
        <w:div w:id="535508544">
          <w:marLeft w:val="0"/>
          <w:marRight w:val="0"/>
          <w:marTop w:val="0"/>
          <w:marBottom w:val="0"/>
          <w:divBdr>
            <w:top w:val="none" w:sz="0" w:space="0" w:color="auto"/>
            <w:left w:val="none" w:sz="0" w:space="0" w:color="auto"/>
            <w:bottom w:val="none" w:sz="0" w:space="0" w:color="auto"/>
            <w:right w:val="none" w:sz="0" w:space="0" w:color="auto"/>
          </w:divBdr>
        </w:div>
      </w:divsChild>
    </w:div>
    <w:div w:id="1124039614">
      <w:bodyDiv w:val="1"/>
      <w:marLeft w:val="0"/>
      <w:marRight w:val="0"/>
      <w:marTop w:val="0"/>
      <w:marBottom w:val="0"/>
      <w:divBdr>
        <w:top w:val="none" w:sz="0" w:space="0" w:color="auto"/>
        <w:left w:val="none" w:sz="0" w:space="0" w:color="auto"/>
        <w:bottom w:val="none" w:sz="0" w:space="0" w:color="auto"/>
        <w:right w:val="none" w:sz="0" w:space="0" w:color="auto"/>
      </w:divBdr>
      <w:divsChild>
        <w:div w:id="2050909530">
          <w:marLeft w:val="0"/>
          <w:marRight w:val="0"/>
          <w:marTop w:val="0"/>
          <w:marBottom w:val="0"/>
          <w:divBdr>
            <w:top w:val="none" w:sz="0" w:space="0" w:color="auto"/>
            <w:left w:val="none" w:sz="0" w:space="0" w:color="auto"/>
            <w:bottom w:val="none" w:sz="0" w:space="0" w:color="auto"/>
            <w:right w:val="none" w:sz="0" w:space="0" w:color="auto"/>
          </w:divBdr>
        </w:div>
        <w:div w:id="1149632530">
          <w:marLeft w:val="0"/>
          <w:marRight w:val="0"/>
          <w:marTop w:val="0"/>
          <w:marBottom w:val="0"/>
          <w:divBdr>
            <w:top w:val="none" w:sz="0" w:space="0" w:color="auto"/>
            <w:left w:val="none" w:sz="0" w:space="0" w:color="auto"/>
            <w:bottom w:val="none" w:sz="0" w:space="0" w:color="auto"/>
            <w:right w:val="none" w:sz="0" w:space="0" w:color="auto"/>
          </w:divBdr>
        </w:div>
        <w:div w:id="747534011">
          <w:marLeft w:val="0"/>
          <w:marRight w:val="0"/>
          <w:marTop w:val="0"/>
          <w:marBottom w:val="0"/>
          <w:divBdr>
            <w:top w:val="none" w:sz="0" w:space="0" w:color="auto"/>
            <w:left w:val="none" w:sz="0" w:space="0" w:color="auto"/>
            <w:bottom w:val="none" w:sz="0" w:space="0" w:color="auto"/>
            <w:right w:val="none" w:sz="0" w:space="0" w:color="auto"/>
          </w:divBdr>
        </w:div>
        <w:div w:id="2144106759">
          <w:marLeft w:val="0"/>
          <w:marRight w:val="0"/>
          <w:marTop w:val="0"/>
          <w:marBottom w:val="0"/>
          <w:divBdr>
            <w:top w:val="none" w:sz="0" w:space="0" w:color="auto"/>
            <w:left w:val="none" w:sz="0" w:space="0" w:color="auto"/>
            <w:bottom w:val="none" w:sz="0" w:space="0" w:color="auto"/>
            <w:right w:val="none" w:sz="0" w:space="0" w:color="auto"/>
          </w:divBdr>
        </w:div>
        <w:div w:id="812716389">
          <w:marLeft w:val="0"/>
          <w:marRight w:val="0"/>
          <w:marTop w:val="0"/>
          <w:marBottom w:val="0"/>
          <w:divBdr>
            <w:top w:val="none" w:sz="0" w:space="0" w:color="auto"/>
            <w:left w:val="none" w:sz="0" w:space="0" w:color="auto"/>
            <w:bottom w:val="none" w:sz="0" w:space="0" w:color="auto"/>
            <w:right w:val="none" w:sz="0" w:space="0" w:color="auto"/>
          </w:divBdr>
        </w:div>
        <w:div w:id="1490251136">
          <w:marLeft w:val="0"/>
          <w:marRight w:val="0"/>
          <w:marTop w:val="0"/>
          <w:marBottom w:val="0"/>
          <w:divBdr>
            <w:top w:val="none" w:sz="0" w:space="0" w:color="auto"/>
            <w:left w:val="none" w:sz="0" w:space="0" w:color="auto"/>
            <w:bottom w:val="none" w:sz="0" w:space="0" w:color="auto"/>
            <w:right w:val="none" w:sz="0" w:space="0" w:color="auto"/>
          </w:divBdr>
        </w:div>
        <w:div w:id="1613512815">
          <w:marLeft w:val="0"/>
          <w:marRight w:val="0"/>
          <w:marTop w:val="0"/>
          <w:marBottom w:val="0"/>
          <w:divBdr>
            <w:top w:val="none" w:sz="0" w:space="0" w:color="auto"/>
            <w:left w:val="none" w:sz="0" w:space="0" w:color="auto"/>
            <w:bottom w:val="none" w:sz="0" w:space="0" w:color="auto"/>
            <w:right w:val="none" w:sz="0" w:space="0" w:color="auto"/>
          </w:divBdr>
        </w:div>
        <w:div w:id="166412024">
          <w:marLeft w:val="0"/>
          <w:marRight w:val="0"/>
          <w:marTop w:val="0"/>
          <w:marBottom w:val="0"/>
          <w:divBdr>
            <w:top w:val="none" w:sz="0" w:space="0" w:color="auto"/>
            <w:left w:val="none" w:sz="0" w:space="0" w:color="auto"/>
            <w:bottom w:val="none" w:sz="0" w:space="0" w:color="auto"/>
            <w:right w:val="none" w:sz="0" w:space="0" w:color="auto"/>
          </w:divBdr>
        </w:div>
      </w:divsChild>
    </w:div>
    <w:div w:id="1132478044">
      <w:bodyDiv w:val="1"/>
      <w:marLeft w:val="0"/>
      <w:marRight w:val="0"/>
      <w:marTop w:val="0"/>
      <w:marBottom w:val="0"/>
      <w:divBdr>
        <w:top w:val="none" w:sz="0" w:space="0" w:color="auto"/>
        <w:left w:val="none" w:sz="0" w:space="0" w:color="auto"/>
        <w:bottom w:val="none" w:sz="0" w:space="0" w:color="auto"/>
        <w:right w:val="none" w:sz="0" w:space="0" w:color="auto"/>
      </w:divBdr>
      <w:divsChild>
        <w:div w:id="1158232401">
          <w:marLeft w:val="0"/>
          <w:marRight w:val="0"/>
          <w:marTop w:val="0"/>
          <w:marBottom w:val="0"/>
          <w:divBdr>
            <w:top w:val="none" w:sz="0" w:space="0" w:color="auto"/>
            <w:left w:val="none" w:sz="0" w:space="0" w:color="auto"/>
            <w:bottom w:val="none" w:sz="0" w:space="0" w:color="auto"/>
            <w:right w:val="none" w:sz="0" w:space="0" w:color="auto"/>
          </w:divBdr>
        </w:div>
        <w:div w:id="2065642541">
          <w:marLeft w:val="0"/>
          <w:marRight w:val="0"/>
          <w:marTop w:val="0"/>
          <w:marBottom w:val="0"/>
          <w:divBdr>
            <w:top w:val="none" w:sz="0" w:space="0" w:color="auto"/>
            <w:left w:val="none" w:sz="0" w:space="0" w:color="auto"/>
            <w:bottom w:val="none" w:sz="0" w:space="0" w:color="auto"/>
            <w:right w:val="none" w:sz="0" w:space="0" w:color="auto"/>
          </w:divBdr>
        </w:div>
        <w:div w:id="783499020">
          <w:marLeft w:val="0"/>
          <w:marRight w:val="0"/>
          <w:marTop w:val="0"/>
          <w:marBottom w:val="0"/>
          <w:divBdr>
            <w:top w:val="none" w:sz="0" w:space="0" w:color="auto"/>
            <w:left w:val="none" w:sz="0" w:space="0" w:color="auto"/>
            <w:bottom w:val="none" w:sz="0" w:space="0" w:color="auto"/>
            <w:right w:val="none" w:sz="0" w:space="0" w:color="auto"/>
          </w:divBdr>
        </w:div>
      </w:divsChild>
    </w:div>
    <w:div w:id="1273636043">
      <w:bodyDiv w:val="1"/>
      <w:marLeft w:val="0"/>
      <w:marRight w:val="0"/>
      <w:marTop w:val="0"/>
      <w:marBottom w:val="0"/>
      <w:divBdr>
        <w:top w:val="none" w:sz="0" w:space="0" w:color="auto"/>
        <w:left w:val="none" w:sz="0" w:space="0" w:color="auto"/>
        <w:bottom w:val="none" w:sz="0" w:space="0" w:color="auto"/>
        <w:right w:val="none" w:sz="0" w:space="0" w:color="auto"/>
      </w:divBdr>
      <w:divsChild>
        <w:div w:id="644696942">
          <w:marLeft w:val="0"/>
          <w:marRight w:val="0"/>
          <w:marTop w:val="0"/>
          <w:marBottom w:val="0"/>
          <w:divBdr>
            <w:top w:val="none" w:sz="0" w:space="0" w:color="auto"/>
            <w:left w:val="none" w:sz="0" w:space="0" w:color="auto"/>
            <w:bottom w:val="none" w:sz="0" w:space="0" w:color="auto"/>
            <w:right w:val="none" w:sz="0" w:space="0" w:color="auto"/>
          </w:divBdr>
        </w:div>
        <w:div w:id="1790394905">
          <w:marLeft w:val="0"/>
          <w:marRight w:val="0"/>
          <w:marTop w:val="0"/>
          <w:marBottom w:val="0"/>
          <w:divBdr>
            <w:top w:val="none" w:sz="0" w:space="0" w:color="auto"/>
            <w:left w:val="none" w:sz="0" w:space="0" w:color="auto"/>
            <w:bottom w:val="none" w:sz="0" w:space="0" w:color="auto"/>
            <w:right w:val="none" w:sz="0" w:space="0" w:color="auto"/>
          </w:divBdr>
        </w:div>
        <w:div w:id="1519390422">
          <w:marLeft w:val="0"/>
          <w:marRight w:val="0"/>
          <w:marTop w:val="0"/>
          <w:marBottom w:val="0"/>
          <w:divBdr>
            <w:top w:val="none" w:sz="0" w:space="0" w:color="auto"/>
            <w:left w:val="none" w:sz="0" w:space="0" w:color="auto"/>
            <w:bottom w:val="none" w:sz="0" w:space="0" w:color="auto"/>
            <w:right w:val="none" w:sz="0" w:space="0" w:color="auto"/>
          </w:divBdr>
        </w:div>
        <w:div w:id="608196256">
          <w:marLeft w:val="0"/>
          <w:marRight w:val="0"/>
          <w:marTop w:val="0"/>
          <w:marBottom w:val="0"/>
          <w:divBdr>
            <w:top w:val="none" w:sz="0" w:space="0" w:color="auto"/>
            <w:left w:val="none" w:sz="0" w:space="0" w:color="auto"/>
            <w:bottom w:val="none" w:sz="0" w:space="0" w:color="auto"/>
            <w:right w:val="none" w:sz="0" w:space="0" w:color="auto"/>
          </w:divBdr>
        </w:div>
      </w:divsChild>
    </w:div>
    <w:div w:id="1652059226">
      <w:bodyDiv w:val="1"/>
      <w:marLeft w:val="0"/>
      <w:marRight w:val="0"/>
      <w:marTop w:val="0"/>
      <w:marBottom w:val="0"/>
      <w:divBdr>
        <w:top w:val="none" w:sz="0" w:space="0" w:color="auto"/>
        <w:left w:val="none" w:sz="0" w:space="0" w:color="auto"/>
        <w:bottom w:val="none" w:sz="0" w:space="0" w:color="auto"/>
        <w:right w:val="none" w:sz="0" w:space="0" w:color="auto"/>
      </w:divBdr>
      <w:divsChild>
        <w:div w:id="666059824">
          <w:marLeft w:val="0"/>
          <w:marRight w:val="0"/>
          <w:marTop w:val="0"/>
          <w:marBottom w:val="0"/>
          <w:divBdr>
            <w:top w:val="none" w:sz="0" w:space="0" w:color="auto"/>
            <w:left w:val="none" w:sz="0" w:space="0" w:color="auto"/>
            <w:bottom w:val="none" w:sz="0" w:space="0" w:color="auto"/>
            <w:right w:val="none" w:sz="0" w:space="0" w:color="auto"/>
          </w:divBdr>
        </w:div>
        <w:div w:id="2074237109">
          <w:marLeft w:val="0"/>
          <w:marRight w:val="0"/>
          <w:marTop w:val="0"/>
          <w:marBottom w:val="0"/>
          <w:divBdr>
            <w:top w:val="none" w:sz="0" w:space="0" w:color="auto"/>
            <w:left w:val="none" w:sz="0" w:space="0" w:color="auto"/>
            <w:bottom w:val="none" w:sz="0" w:space="0" w:color="auto"/>
            <w:right w:val="none" w:sz="0" w:space="0" w:color="auto"/>
          </w:divBdr>
        </w:div>
        <w:div w:id="880944890">
          <w:marLeft w:val="0"/>
          <w:marRight w:val="0"/>
          <w:marTop w:val="0"/>
          <w:marBottom w:val="0"/>
          <w:divBdr>
            <w:top w:val="none" w:sz="0" w:space="0" w:color="auto"/>
            <w:left w:val="none" w:sz="0" w:space="0" w:color="auto"/>
            <w:bottom w:val="none" w:sz="0" w:space="0" w:color="auto"/>
            <w:right w:val="none" w:sz="0" w:space="0" w:color="auto"/>
          </w:divBdr>
        </w:div>
      </w:divsChild>
    </w:div>
    <w:div w:id="1714690544">
      <w:bodyDiv w:val="1"/>
      <w:marLeft w:val="0"/>
      <w:marRight w:val="0"/>
      <w:marTop w:val="0"/>
      <w:marBottom w:val="0"/>
      <w:divBdr>
        <w:top w:val="none" w:sz="0" w:space="0" w:color="auto"/>
        <w:left w:val="none" w:sz="0" w:space="0" w:color="auto"/>
        <w:bottom w:val="none" w:sz="0" w:space="0" w:color="auto"/>
        <w:right w:val="none" w:sz="0" w:space="0" w:color="auto"/>
      </w:divBdr>
      <w:divsChild>
        <w:div w:id="948119137">
          <w:marLeft w:val="0"/>
          <w:marRight w:val="0"/>
          <w:marTop w:val="0"/>
          <w:marBottom w:val="0"/>
          <w:divBdr>
            <w:top w:val="none" w:sz="0" w:space="0" w:color="auto"/>
            <w:left w:val="none" w:sz="0" w:space="0" w:color="auto"/>
            <w:bottom w:val="none" w:sz="0" w:space="0" w:color="auto"/>
            <w:right w:val="none" w:sz="0" w:space="0" w:color="auto"/>
          </w:divBdr>
        </w:div>
        <w:div w:id="1915360099">
          <w:marLeft w:val="0"/>
          <w:marRight w:val="0"/>
          <w:marTop w:val="0"/>
          <w:marBottom w:val="0"/>
          <w:divBdr>
            <w:top w:val="none" w:sz="0" w:space="0" w:color="auto"/>
            <w:left w:val="none" w:sz="0" w:space="0" w:color="auto"/>
            <w:bottom w:val="none" w:sz="0" w:space="0" w:color="auto"/>
            <w:right w:val="none" w:sz="0" w:space="0" w:color="auto"/>
          </w:divBdr>
        </w:div>
        <w:div w:id="1365205291">
          <w:marLeft w:val="0"/>
          <w:marRight w:val="0"/>
          <w:marTop w:val="0"/>
          <w:marBottom w:val="0"/>
          <w:divBdr>
            <w:top w:val="none" w:sz="0" w:space="0" w:color="auto"/>
            <w:left w:val="none" w:sz="0" w:space="0" w:color="auto"/>
            <w:bottom w:val="none" w:sz="0" w:space="0" w:color="auto"/>
            <w:right w:val="none" w:sz="0" w:space="0" w:color="auto"/>
          </w:divBdr>
        </w:div>
      </w:divsChild>
    </w:div>
    <w:div w:id="1855263488">
      <w:bodyDiv w:val="1"/>
      <w:marLeft w:val="0"/>
      <w:marRight w:val="0"/>
      <w:marTop w:val="0"/>
      <w:marBottom w:val="0"/>
      <w:divBdr>
        <w:top w:val="none" w:sz="0" w:space="0" w:color="auto"/>
        <w:left w:val="none" w:sz="0" w:space="0" w:color="auto"/>
        <w:bottom w:val="none" w:sz="0" w:space="0" w:color="auto"/>
        <w:right w:val="none" w:sz="0" w:space="0" w:color="auto"/>
      </w:divBdr>
      <w:divsChild>
        <w:div w:id="1653488374">
          <w:marLeft w:val="0"/>
          <w:marRight w:val="0"/>
          <w:marTop w:val="0"/>
          <w:marBottom w:val="0"/>
          <w:divBdr>
            <w:top w:val="none" w:sz="0" w:space="0" w:color="auto"/>
            <w:left w:val="none" w:sz="0" w:space="0" w:color="auto"/>
            <w:bottom w:val="none" w:sz="0" w:space="0" w:color="auto"/>
            <w:right w:val="none" w:sz="0" w:space="0" w:color="auto"/>
          </w:divBdr>
        </w:div>
        <w:div w:id="2053991414">
          <w:marLeft w:val="0"/>
          <w:marRight w:val="0"/>
          <w:marTop w:val="0"/>
          <w:marBottom w:val="0"/>
          <w:divBdr>
            <w:top w:val="none" w:sz="0" w:space="0" w:color="auto"/>
            <w:left w:val="none" w:sz="0" w:space="0" w:color="auto"/>
            <w:bottom w:val="none" w:sz="0" w:space="0" w:color="auto"/>
            <w:right w:val="none" w:sz="0" w:space="0" w:color="auto"/>
          </w:divBdr>
        </w:div>
      </w:divsChild>
    </w:div>
    <w:div w:id="1862274940">
      <w:bodyDiv w:val="1"/>
      <w:marLeft w:val="0"/>
      <w:marRight w:val="0"/>
      <w:marTop w:val="0"/>
      <w:marBottom w:val="0"/>
      <w:divBdr>
        <w:top w:val="none" w:sz="0" w:space="0" w:color="auto"/>
        <w:left w:val="none" w:sz="0" w:space="0" w:color="auto"/>
        <w:bottom w:val="none" w:sz="0" w:space="0" w:color="auto"/>
        <w:right w:val="none" w:sz="0" w:space="0" w:color="auto"/>
      </w:divBdr>
      <w:divsChild>
        <w:div w:id="1895969921">
          <w:marLeft w:val="0"/>
          <w:marRight w:val="0"/>
          <w:marTop w:val="0"/>
          <w:marBottom w:val="0"/>
          <w:divBdr>
            <w:top w:val="none" w:sz="0" w:space="0" w:color="auto"/>
            <w:left w:val="none" w:sz="0" w:space="0" w:color="auto"/>
            <w:bottom w:val="none" w:sz="0" w:space="0" w:color="auto"/>
            <w:right w:val="none" w:sz="0" w:space="0" w:color="auto"/>
          </w:divBdr>
        </w:div>
        <w:div w:id="1082407412">
          <w:marLeft w:val="0"/>
          <w:marRight w:val="0"/>
          <w:marTop w:val="0"/>
          <w:marBottom w:val="0"/>
          <w:divBdr>
            <w:top w:val="none" w:sz="0" w:space="0" w:color="auto"/>
            <w:left w:val="none" w:sz="0" w:space="0" w:color="auto"/>
            <w:bottom w:val="none" w:sz="0" w:space="0" w:color="auto"/>
            <w:right w:val="none" w:sz="0" w:space="0" w:color="auto"/>
          </w:divBdr>
        </w:div>
      </w:divsChild>
    </w:div>
    <w:div w:id="2006856291">
      <w:bodyDiv w:val="1"/>
      <w:marLeft w:val="0"/>
      <w:marRight w:val="0"/>
      <w:marTop w:val="0"/>
      <w:marBottom w:val="0"/>
      <w:divBdr>
        <w:top w:val="none" w:sz="0" w:space="0" w:color="auto"/>
        <w:left w:val="none" w:sz="0" w:space="0" w:color="auto"/>
        <w:bottom w:val="none" w:sz="0" w:space="0" w:color="auto"/>
        <w:right w:val="none" w:sz="0" w:space="0" w:color="auto"/>
      </w:divBdr>
      <w:divsChild>
        <w:div w:id="48847586">
          <w:marLeft w:val="0"/>
          <w:marRight w:val="0"/>
          <w:marTop w:val="0"/>
          <w:marBottom w:val="0"/>
          <w:divBdr>
            <w:top w:val="none" w:sz="0" w:space="0" w:color="auto"/>
            <w:left w:val="none" w:sz="0" w:space="0" w:color="auto"/>
            <w:bottom w:val="none" w:sz="0" w:space="0" w:color="auto"/>
            <w:right w:val="none" w:sz="0" w:space="0" w:color="auto"/>
          </w:divBdr>
        </w:div>
        <w:div w:id="591358688">
          <w:marLeft w:val="0"/>
          <w:marRight w:val="0"/>
          <w:marTop w:val="0"/>
          <w:marBottom w:val="0"/>
          <w:divBdr>
            <w:top w:val="none" w:sz="0" w:space="0" w:color="auto"/>
            <w:left w:val="none" w:sz="0" w:space="0" w:color="auto"/>
            <w:bottom w:val="none" w:sz="0" w:space="0" w:color="auto"/>
            <w:right w:val="none" w:sz="0" w:space="0" w:color="auto"/>
          </w:divBdr>
        </w:div>
        <w:div w:id="743794518">
          <w:marLeft w:val="0"/>
          <w:marRight w:val="0"/>
          <w:marTop w:val="0"/>
          <w:marBottom w:val="0"/>
          <w:divBdr>
            <w:top w:val="none" w:sz="0" w:space="0" w:color="auto"/>
            <w:left w:val="none" w:sz="0" w:space="0" w:color="auto"/>
            <w:bottom w:val="none" w:sz="0" w:space="0" w:color="auto"/>
            <w:right w:val="none" w:sz="0" w:space="0" w:color="auto"/>
          </w:divBdr>
        </w:div>
      </w:divsChild>
    </w:div>
    <w:div w:id="2108229044">
      <w:bodyDiv w:val="1"/>
      <w:marLeft w:val="0"/>
      <w:marRight w:val="0"/>
      <w:marTop w:val="0"/>
      <w:marBottom w:val="0"/>
      <w:divBdr>
        <w:top w:val="none" w:sz="0" w:space="0" w:color="auto"/>
        <w:left w:val="none" w:sz="0" w:space="0" w:color="auto"/>
        <w:bottom w:val="none" w:sz="0" w:space="0" w:color="auto"/>
        <w:right w:val="none" w:sz="0" w:space="0" w:color="auto"/>
      </w:divBdr>
      <w:divsChild>
        <w:div w:id="576938217">
          <w:marLeft w:val="0"/>
          <w:marRight w:val="0"/>
          <w:marTop w:val="0"/>
          <w:marBottom w:val="0"/>
          <w:divBdr>
            <w:top w:val="none" w:sz="0" w:space="0" w:color="auto"/>
            <w:left w:val="none" w:sz="0" w:space="0" w:color="auto"/>
            <w:bottom w:val="none" w:sz="0" w:space="0" w:color="auto"/>
            <w:right w:val="none" w:sz="0" w:space="0" w:color="auto"/>
          </w:divBdr>
        </w:div>
      </w:divsChild>
    </w:div>
    <w:div w:id="2146848343">
      <w:bodyDiv w:val="1"/>
      <w:marLeft w:val="0"/>
      <w:marRight w:val="0"/>
      <w:marTop w:val="0"/>
      <w:marBottom w:val="0"/>
      <w:divBdr>
        <w:top w:val="none" w:sz="0" w:space="0" w:color="auto"/>
        <w:left w:val="none" w:sz="0" w:space="0" w:color="auto"/>
        <w:bottom w:val="none" w:sz="0" w:space="0" w:color="auto"/>
        <w:right w:val="none" w:sz="0" w:space="0" w:color="auto"/>
      </w:divBdr>
      <w:divsChild>
        <w:div w:id="896625370">
          <w:marLeft w:val="0"/>
          <w:marRight w:val="0"/>
          <w:marTop w:val="0"/>
          <w:marBottom w:val="0"/>
          <w:divBdr>
            <w:top w:val="none" w:sz="0" w:space="0" w:color="auto"/>
            <w:left w:val="none" w:sz="0" w:space="0" w:color="auto"/>
            <w:bottom w:val="none" w:sz="0" w:space="0" w:color="auto"/>
            <w:right w:val="none" w:sz="0" w:space="0" w:color="auto"/>
          </w:divBdr>
        </w:div>
        <w:div w:id="1201669778">
          <w:marLeft w:val="0"/>
          <w:marRight w:val="0"/>
          <w:marTop w:val="0"/>
          <w:marBottom w:val="0"/>
          <w:divBdr>
            <w:top w:val="none" w:sz="0" w:space="0" w:color="auto"/>
            <w:left w:val="none" w:sz="0" w:space="0" w:color="auto"/>
            <w:bottom w:val="none" w:sz="0" w:space="0" w:color="auto"/>
            <w:right w:val="none" w:sz="0" w:space="0" w:color="auto"/>
          </w:divBdr>
        </w:div>
        <w:div w:id="1873297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tewhatuora.govt.nz/" TargetMode="Externa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www.tewhatuora.govt.nz/whats-happening/about-us/who-we-are/achieving-equity/" TargetMode="External"/><Relationship Id="rId3" Type="http://schemas.openxmlformats.org/officeDocument/2006/relationships/hyperlink" Target="https://forms.justice.govt.nz/search/Documents/WT/wt_DOC_195476216/Hauora%202023%20W.pdf" TargetMode="External"/><Relationship Id="rId7" Type="http://schemas.openxmlformats.org/officeDocument/2006/relationships/hyperlink" Target="https://www.tewhatuora.govt.nz/assets/Publications/Maori-health/Ethnicity-Data-Action-Plan.pdf" TargetMode="External"/><Relationship Id="rId2" Type="http://schemas.openxmlformats.org/officeDocument/2006/relationships/hyperlink" Target="https://www.tewhatuora.govt.nz/whats-happening/changing-the-system/" TargetMode="External"/><Relationship Id="rId1" Type="http://schemas.openxmlformats.org/officeDocument/2006/relationships/hyperlink" Target="https://www.hqsc.govt.nz/resources/resource-library/always-report-and-review-list-202122/" TargetMode="External"/><Relationship Id="rId6" Type="http://schemas.openxmlformats.org/officeDocument/2006/relationships/hyperlink" Target="https://www.health.govt.nz/publication/hiso-100012017-ethnicity-data-protocols" TargetMode="External"/><Relationship Id="rId11" Type="http://schemas.openxmlformats.org/officeDocument/2006/relationships/hyperlink" Target="https://www.health.govt.nz/publication/hiso-100012017-ethnicity-data-protocols" TargetMode="External"/><Relationship Id="rId5" Type="http://schemas.openxmlformats.org/officeDocument/2006/relationships/hyperlink" Target="https://www.stats.govt.nz/information-releases/2023-census-population-counts-by-ethnic-group-age-and-maori-descent-and-dwelling-counts/" TargetMode="External"/><Relationship Id="rId10" Type="http://schemas.openxmlformats.org/officeDocument/2006/relationships/hyperlink" Target="http://www.hqsc.govt.nz/assets/Our-work/System-safety/Adverse-events/Publications-resources/Nga_Taero_a_Kupe_final_web.pdf" TargetMode="External"/><Relationship Id="rId4" Type="http://schemas.openxmlformats.org/officeDocument/2006/relationships/hyperlink" Target="https://www.ccdhb.org.nz/news-publications/publications-and-consultation-documents/ccdhb-2021-22-annual-plan-final.pdf" TargetMode="External"/><Relationship Id="rId9" Type="http://schemas.openxmlformats.org/officeDocument/2006/relationships/hyperlink" Target="https://3dhb.sharepoint.com/sites/spc/SitePages/Equity.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a:t>Sub-categorisation of clinical process or procedure events</a:t>
            </a:r>
          </a:p>
        </c:rich>
      </c:tx>
      <c:layout>
        <c:manualLayout>
          <c:xMode val="edge"/>
          <c:yMode val="edge"/>
          <c:x val="5.8796296296296114E-3"/>
          <c:y val="2.38095238095238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Number</c:v>
                </c:pt>
              </c:strCache>
            </c:strRef>
          </c:tx>
          <c:spPr>
            <a:solidFill>
              <a:schemeClr val="accent1"/>
            </a:solidFill>
            <a:ln>
              <a:noFill/>
            </a:ln>
            <a:effectLst/>
          </c:spPr>
          <c:invertIfNegative val="0"/>
          <c:cat>
            <c:strRef>
              <c:f>Sheet1!$A$2:$A$6</c:f>
              <c:strCache>
                <c:ptCount val="5"/>
                <c:pt idx="0">
                  <c:v>Complication during or following a procedure</c:v>
                </c:pt>
                <c:pt idx="1">
                  <c:v>Delay in treatment</c:v>
                </c:pt>
                <c:pt idx="2">
                  <c:v>Delay in recognition of patient deterioration</c:v>
                </c:pt>
                <c:pt idx="3">
                  <c:v>Process of care</c:v>
                </c:pt>
                <c:pt idx="4">
                  <c:v>Pressure injury</c:v>
                </c:pt>
              </c:strCache>
            </c:strRef>
          </c:cat>
          <c:val>
            <c:numRef>
              <c:f>Sheet1!$B$2:$B$6</c:f>
              <c:numCache>
                <c:formatCode>General</c:formatCode>
                <c:ptCount val="5"/>
                <c:pt idx="0">
                  <c:v>6</c:v>
                </c:pt>
                <c:pt idx="1">
                  <c:v>12</c:v>
                </c:pt>
                <c:pt idx="2">
                  <c:v>13</c:v>
                </c:pt>
                <c:pt idx="3">
                  <c:v>10</c:v>
                </c:pt>
                <c:pt idx="4">
                  <c:v>18</c:v>
                </c:pt>
              </c:numCache>
            </c:numRef>
          </c:val>
          <c:extLst>
            <c:ext xmlns:c16="http://schemas.microsoft.com/office/drawing/2014/chart" uri="{C3380CC4-5D6E-409C-BE32-E72D297353CC}">
              <c16:uniqueId val="{00000000-B3A0-4DFF-AA37-46A02BB97AD4}"/>
            </c:ext>
          </c:extLst>
        </c:ser>
        <c:dLbls>
          <c:showLegendKey val="0"/>
          <c:showVal val="0"/>
          <c:showCatName val="0"/>
          <c:showSerName val="0"/>
          <c:showPercent val="0"/>
          <c:showBubbleSize val="0"/>
        </c:dLbls>
        <c:gapWidth val="219"/>
        <c:axId val="134142592"/>
        <c:axId val="135551616"/>
      </c:barChart>
      <c:catAx>
        <c:axId val="1341425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551616"/>
        <c:crosses val="autoZero"/>
        <c:auto val="1"/>
        <c:lblAlgn val="ctr"/>
        <c:lblOffset val="100"/>
        <c:noMultiLvlLbl val="0"/>
      </c:catAx>
      <c:valAx>
        <c:axId val="13555161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Number of events</a:t>
                </a:r>
              </a:p>
              <a:p>
                <a:pPr>
                  <a:defRPr/>
                </a:pPr>
                <a:endParaRPr lang="en-NZ"/>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14259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a:t>Health outcomes from SAC 1 and 2 events</a:t>
            </a:r>
          </a:p>
        </c:rich>
      </c:tx>
      <c:layout>
        <c:manualLayout>
          <c:xMode val="edge"/>
          <c:yMode val="edge"/>
          <c:x val="9.5118959979540799E-2"/>
          <c:y val="1.98412698412698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No. of events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Paralysis</c:v>
                </c:pt>
                <c:pt idx="1">
                  <c:v>Head injury</c:v>
                </c:pt>
                <c:pt idx="2">
                  <c:v>Progression of disease</c:v>
                </c:pt>
                <c:pt idx="3">
                  <c:v>Pressure injury</c:v>
                </c:pt>
                <c:pt idx="4">
                  <c:v>Transferred to higher level care</c:v>
                </c:pt>
                <c:pt idx="5">
                  <c:v>Died</c:v>
                </c:pt>
                <c:pt idx="6">
                  <c:v>Fracture</c:v>
                </c:pt>
                <c:pt idx="7">
                  <c:v>Other</c:v>
                </c:pt>
              </c:strCache>
            </c:strRef>
          </c:cat>
          <c:val>
            <c:numRef>
              <c:f>Sheet1!$B$2:$B$9</c:f>
              <c:numCache>
                <c:formatCode>General</c:formatCode>
                <c:ptCount val="8"/>
                <c:pt idx="0">
                  <c:v>1</c:v>
                </c:pt>
                <c:pt idx="1">
                  <c:v>4</c:v>
                </c:pt>
                <c:pt idx="2">
                  <c:v>8</c:v>
                </c:pt>
                <c:pt idx="3">
                  <c:v>17</c:v>
                </c:pt>
                <c:pt idx="4">
                  <c:v>17</c:v>
                </c:pt>
                <c:pt idx="5">
                  <c:v>18</c:v>
                </c:pt>
                <c:pt idx="6">
                  <c:v>18</c:v>
                </c:pt>
                <c:pt idx="7">
                  <c:v>21</c:v>
                </c:pt>
              </c:numCache>
            </c:numRef>
          </c:val>
          <c:extLst>
            <c:ext xmlns:c16="http://schemas.microsoft.com/office/drawing/2014/chart" uri="{C3380CC4-5D6E-409C-BE32-E72D297353CC}">
              <c16:uniqueId val="{00000000-CBFC-470D-A9CA-21452217C0B3}"/>
            </c:ext>
          </c:extLst>
        </c:ser>
        <c:dLbls>
          <c:showLegendKey val="0"/>
          <c:showVal val="0"/>
          <c:showCatName val="0"/>
          <c:showSerName val="0"/>
          <c:showPercent val="0"/>
          <c:showBubbleSize val="0"/>
        </c:dLbls>
        <c:gapWidth val="219"/>
        <c:axId val="134142592"/>
        <c:axId val="135551616"/>
      </c:barChart>
      <c:catAx>
        <c:axId val="1341425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551616"/>
        <c:crosses val="autoZero"/>
        <c:auto val="1"/>
        <c:lblAlgn val="ctr"/>
        <c:lblOffset val="100"/>
        <c:noMultiLvlLbl val="0"/>
      </c:catAx>
      <c:valAx>
        <c:axId val="13555161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Number of events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14259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HNZ">
      <a:dk1>
        <a:sysClr val="windowText" lastClr="000000"/>
      </a:dk1>
      <a:lt1>
        <a:sysClr val="window" lastClr="FFFFFF"/>
      </a:lt1>
      <a:dk2>
        <a:srgbClr val="15284C"/>
      </a:dk2>
      <a:lt2>
        <a:srgbClr val="F6F4EC"/>
      </a:lt2>
      <a:accent1>
        <a:srgbClr val="0C818E"/>
      </a:accent1>
      <a:accent2>
        <a:srgbClr val="28A1AC"/>
      </a:accent2>
      <a:accent3>
        <a:srgbClr val="003399"/>
      </a:accent3>
      <a:accent4>
        <a:srgbClr val="4D2379"/>
      </a:accent4>
      <a:accent5>
        <a:srgbClr val="006060"/>
      </a:accent5>
      <a:accent6>
        <a:srgbClr val="660033"/>
      </a:accent6>
      <a:hlink>
        <a:srgbClr val="0072BC"/>
      </a:hlink>
      <a:folHlink>
        <a:srgbClr val="0072BC"/>
      </a:folHlink>
    </a:clrScheme>
    <a:fontScheme name="Custom">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43C214-7D0C-44C7-BCBD-C4202E5D0B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5580</Words>
  <Characters>31810</Characters>
  <Application>Microsoft Office Word</Application>
  <DocSecurity>0</DocSecurity>
  <Lines>265</Lines>
  <Paragraphs>74</Paragraphs>
  <ScaleCrop>false</ScaleCrop>
  <Company/>
  <LinksUpToDate>false</LinksUpToDate>
  <CharactersWithSpaces>37316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2025-09-24T02:21:00Z</dcterms:created>
  <dcterms:modified xsi:type="dcterms:W3CDTF">2025-09-24T02:22:00Z</dcterms:modified>
</cp:coreProperties>
</file>