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3E0191" w14:textId="77777777" w:rsidR="00162833" w:rsidRPr="00162833" w:rsidRDefault="00162833" w:rsidP="002F6C3F">
      <w:pPr>
        <w:pStyle w:val="Subhead"/>
        <w:spacing w:before="0"/>
      </w:pPr>
      <w:bookmarkStart w:id="0" w:name="_GoBack"/>
      <w:bookmarkEnd w:id="0"/>
      <w:r>
        <w:t>HISO 10064:2017</w:t>
      </w:r>
    </w:p>
    <w:p w14:paraId="1DCEE7DA" w14:textId="3827BEC0" w:rsidR="00C86248" w:rsidRPr="00D54D50" w:rsidRDefault="00162833" w:rsidP="00D54D50">
      <w:pPr>
        <w:pStyle w:val="Title"/>
      </w:pPr>
      <w:r>
        <w:t>Health Information</w:t>
      </w:r>
      <w:r w:rsidR="001B68FB">
        <w:t xml:space="preserve"> </w:t>
      </w:r>
      <w:r>
        <w:br/>
        <w:t>Governance Guidelines</w:t>
      </w:r>
    </w:p>
    <w:p w14:paraId="25A1574F" w14:textId="0B5093E0" w:rsidR="00455CC9" w:rsidRDefault="005B1D4D" w:rsidP="00455CC9">
      <w:pPr>
        <w:pStyle w:val="Year"/>
      </w:pPr>
      <w:r>
        <w:t>August</w:t>
      </w:r>
      <w:r w:rsidR="00162833">
        <w:t xml:space="preserve"> 2017</w:t>
      </w:r>
    </w:p>
    <w:p w14:paraId="399F459F" w14:textId="77777777" w:rsidR="00142954" w:rsidRDefault="00142954" w:rsidP="00142954"/>
    <w:p w14:paraId="07E4B72E" w14:textId="77777777" w:rsidR="00567054" w:rsidRDefault="00567054" w:rsidP="00142954"/>
    <w:p w14:paraId="6C54235E" w14:textId="77777777" w:rsidR="00567054" w:rsidRDefault="00567054" w:rsidP="00142954"/>
    <w:p w14:paraId="72DDCE2C" w14:textId="5C70B8DD" w:rsidR="00567054" w:rsidRPr="00567054" w:rsidRDefault="00567054" w:rsidP="00142954">
      <w:pPr>
        <w:rPr>
          <w:color w:val="FF0000"/>
        </w:rPr>
        <w:sectPr w:rsidR="00567054" w:rsidRPr="00567054" w:rsidSect="00295DC3">
          <w:headerReference w:type="even" r:id="rId8"/>
          <w:headerReference w:type="default" r:id="rId9"/>
          <w:footerReference w:type="even" r:id="rId10"/>
          <w:footerReference w:type="default" r:id="rId11"/>
          <w:headerReference w:type="first" r:id="rId12"/>
          <w:footerReference w:type="first" r:id="rId13"/>
          <w:pgSz w:w="11907" w:h="16834" w:code="9"/>
          <w:pgMar w:top="5670" w:right="1418" w:bottom="851" w:left="1418" w:header="851" w:footer="851" w:gutter="0"/>
          <w:cols w:space="720"/>
        </w:sectPr>
      </w:pPr>
    </w:p>
    <w:p w14:paraId="2E3EA906" w14:textId="77777777" w:rsidR="00295DC3" w:rsidRPr="00D56B08" w:rsidRDefault="00295DC3" w:rsidP="002F6C3F">
      <w:pPr>
        <w:spacing w:before="0" w:after="240"/>
        <w:rPr>
          <w:rFonts w:ascii="Arial" w:eastAsia="Cambria" w:hAnsi="Arial" w:cs="Arial"/>
          <w:b/>
          <w:color w:val="1F497D" w:themeColor="text2"/>
          <w:sz w:val="28"/>
          <w:szCs w:val="28"/>
        </w:rPr>
      </w:pPr>
      <w:r w:rsidRPr="00D56B08">
        <w:rPr>
          <w:rFonts w:ascii="Arial" w:eastAsia="Cambria" w:hAnsi="Arial" w:cs="Arial"/>
          <w:b/>
          <w:color w:val="1F497D" w:themeColor="text2"/>
          <w:sz w:val="28"/>
          <w:szCs w:val="28"/>
        </w:rPr>
        <w:lastRenderedPageBreak/>
        <w:t>Document information</w:t>
      </w:r>
    </w:p>
    <w:p w14:paraId="34E710DD" w14:textId="77777777" w:rsidR="00295DC3" w:rsidRDefault="00295DC3">
      <w:pPr>
        <w:pStyle w:val="Imprint"/>
      </w:pPr>
      <w:r>
        <w:t>HISO 10064:2017 Health Information Governance Guidelines</w:t>
      </w:r>
    </w:p>
    <w:p w14:paraId="1F7EC547" w14:textId="77777777" w:rsidR="00295DC3" w:rsidRPr="00295DC3" w:rsidRDefault="00295DC3">
      <w:pPr>
        <w:pStyle w:val="Imprint"/>
      </w:pPr>
      <w:r>
        <w:t>ISBN 978-1-98-850275-5 (online)</w:t>
      </w:r>
    </w:p>
    <w:p w14:paraId="5D630A36" w14:textId="2D45A3D6" w:rsidR="00295DC3" w:rsidRDefault="00295DC3" w:rsidP="00295DC3">
      <w:pPr>
        <w:pStyle w:val="Imprint"/>
      </w:pPr>
      <w:r>
        <w:t xml:space="preserve">Published in </w:t>
      </w:r>
      <w:r w:rsidR="005B1D4D">
        <w:t>August</w:t>
      </w:r>
      <w:r>
        <w:t xml:space="preserve"> 2017 by the Ministry of Health</w:t>
      </w:r>
    </w:p>
    <w:p w14:paraId="3B8B9627" w14:textId="77777777" w:rsidR="00A80363" w:rsidRPr="00442C1C" w:rsidRDefault="00295DC3">
      <w:pPr>
        <w:pStyle w:val="Imprint"/>
      </w:pPr>
      <w:r>
        <w:t>Health Information Standards Organisation (HISO) standards are published by the Ministry of Health for the New Zealand health and disability sector.</w:t>
      </w:r>
    </w:p>
    <w:p w14:paraId="750C3C84" w14:textId="633A9E4B" w:rsidR="00C86248" w:rsidRDefault="00C86248">
      <w:pPr>
        <w:pStyle w:val="Imprint"/>
      </w:pPr>
      <w:r>
        <w:t xml:space="preserve">This document is available </w:t>
      </w:r>
      <w:r w:rsidR="0071741C">
        <w:t xml:space="preserve">at </w:t>
      </w:r>
      <w:r w:rsidR="00945B3E" w:rsidRPr="00945B3E">
        <w:rPr>
          <w:rStyle w:val="Hyperlink"/>
        </w:rPr>
        <w:t>http://www.health.govt.nz/our-work/ehealth/digital-health-standards-and-governance/health-information-standards/approved-standards</w:t>
      </w:r>
    </w:p>
    <w:p w14:paraId="717A98CC" w14:textId="77777777" w:rsidR="00295DC3" w:rsidRPr="00D56B08" w:rsidRDefault="00295DC3" w:rsidP="00AD46AA">
      <w:pPr>
        <w:spacing w:before="360" w:after="180"/>
        <w:rPr>
          <w:rFonts w:ascii="Arial" w:eastAsia="Cambria" w:hAnsi="Arial" w:cs="Arial"/>
          <w:b/>
          <w:color w:val="1F497D" w:themeColor="text2"/>
          <w:sz w:val="28"/>
          <w:szCs w:val="28"/>
        </w:rPr>
      </w:pPr>
      <w:r w:rsidRPr="00D56B08">
        <w:rPr>
          <w:rFonts w:ascii="Arial" w:eastAsia="Cambria" w:hAnsi="Arial" w:cs="Arial"/>
          <w:b/>
          <w:color w:val="1F497D" w:themeColor="text2"/>
          <w:sz w:val="28"/>
          <w:szCs w:val="28"/>
        </w:rPr>
        <w:t>Contributors</w:t>
      </w:r>
    </w:p>
    <w:tbl>
      <w:tblPr>
        <w:tblStyle w:val="TableGrid"/>
        <w:tblW w:w="0" w:type="auto"/>
        <w:tblLook w:val="04A0" w:firstRow="1" w:lastRow="0" w:firstColumn="1" w:lastColumn="0" w:noHBand="0" w:noVBand="1"/>
      </w:tblPr>
      <w:tblGrid>
        <w:gridCol w:w="4672"/>
        <w:gridCol w:w="4673"/>
      </w:tblGrid>
      <w:tr w:rsidR="009D7A62" w14:paraId="1E322E94" w14:textId="77777777" w:rsidTr="009D7A62">
        <w:tc>
          <w:tcPr>
            <w:tcW w:w="4672" w:type="dxa"/>
          </w:tcPr>
          <w:p w14:paraId="425228C2" w14:textId="77777777" w:rsidR="009D7A62" w:rsidRDefault="009D7A62" w:rsidP="009D7A62">
            <w:pPr>
              <w:spacing w:before="120"/>
            </w:pPr>
            <w:r w:rsidRPr="006264E2">
              <w:t>Dr Sandra Hicks</w:t>
            </w:r>
          </w:p>
          <w:p w14:paraId="2A7FCD5E" w14:textId="460E85F5" w:rsidR="009D7A62" w:rsidRDefault="009D7A62" w:rsidP="009D7A62">
            <w:pPr>
              <w:spacing w:before="120"/>
            </w:pPr>
            <w:r w:rsidRPr="006264E2">
              <w:t>New Zealand Medical Association</w:t>
            </w:r>
          </w:p>
        </w:tc>
        <w:tc>
          <w:tcPr>
            <w:tcW w:w="4673" w:type="dxa"/>
          </w:tcPr>
          <w:p w14:paraId="3293030E" w14:textId="77777777" w:rsidR="009D7A62" w:rsidRDefault="009D7A62" w:rsidP="009D7A62">
            <w:pPr>
              <w:spacing w:before="120"/>
            </w:pPr>
            <w:r w:rsidRPr="006264E2">
              <w:t>Denise Irvine</w:t>
            </w:r>
          </w:p>
          <w:p w14:paraId="03F6629F" w14:textId="4CE902A8" w:rsidR="009D7A62" w:rsidRDefault="009D7A62" w:rsidP="009D7A62">
            <w:pPr>
              <w:spacing w:before="120"/>
            </w:pPr>
            <w:r w:rsidRPr="006264E2">
              <w:t>New Zealand Nurses Organi</w:t>
            </w:r>
            <w:r>
              <w:t>s</w:t>
            </w:r>
            <w:r w:rsidRPr="006264E2">
              <w:t>ation and College of Nurses</w:t>
            </w:r>
          </w:p>
        </w:tc>
      </w:tr>
      <w:tr w:rsidR="009D7A62" w14:paraId="23764DE3" w14:textId="77777777" w:rsidTr="009D7A62">
        <w:tc>
          <w:tcPr>
            <w:tcW w:w="4672" w:type="dxa"/>
          </w:tcPr>
          <w:p w14:paraId="34B51A06" w14:textId="77777777" w:rsidR="009D7A62" w:rsidRDefault="009D7A62" w:rsidP="009D7A62">
            <w:pPr>
              <w:spacing w:before="120"/>
            </w:pPr>
            <w:r w:rsidRPr="006264E2">
              <w:t>Sebastian Morgan-Lynch</w:t>
            </w:r>
          </w:p>
          <w:p w14:paraId="06319BD1" w14:textId="22B42043" w:rsidR="009D7A62" w:rsidRDefault="009D7A62" w:rsidP="009D7A62">
            <w:pPr>
              <w:spacing w:before="120"/>
            </w:pPr>
            <w:r w:rsidRPr="006264E2">
              <w:t>Office of the Privacy Commissioner</w:t>
            </w:r>
          </w:p>
        </w:tc>
        <w:tc>
          <w:tcPr>
            <w:tcW w:w="4673" w:type="dxa"/>
          </w:tcPr>
          <w:p w14:paraId="2E182636" w14:textId="77777777" w:rsidR="009D7A62" w:rsidRDefault="009D7A62" w:rsidP="009D7A62">
            <w:pPr>
              <w:spacing w:before="120"/>
            </w:pPr>
            <w:r w:rsidRPr="006264E2">
              <w:t>Stephanie Fletcher</w:t>
            </w:r>
          </w:p>
          <w:p w14:paraId="38334F4F" w14:textId="6F7EB8B6" w:rsidR="009D7A62" w:rsidRDefault="009D7A62" w:rsidP="009D7A62">
            <w:pPr>
              <w:spacing w:before="120"/>
            </w:pPr>
            <w:r w:rsidRPr="006264E2">
              <w:t>Chair, NHITB Consumer Panel</w:t>
            </w:r>
          </w:p>
        </w:tc>
      </w:tr>
      <w:tr w:rsidR="009D7A62" w14:paraId="4ED872B2" w14:textId="77777777" w:rsidTr="009D7A62">
        <w:tc>
          <w:tcPr>
            <w:tcW w:w="4672" w:type="dxa"/>
          </w:tcPr>
          <w:p w14:paraId="5EFFA7F1" w14:textId="77777777" w:rsidR="009D7A62" w:rsidRDefault="009D7A62" w:rsidP="009D7A62">
            <w:pPr>
              <w:spacing w:before="120"/>
            </w:pPr>
            <w:r w:rsidRPr="006264E2">
              <w:t>Dr Inga Hunter</w:t>
            </w:r>
          </w:p>
          <w:p w14:paraId="0C96BC2F" w14:textId="10DAC024" w:rsidR="009D7A62" w:rsidRDefault="009D7A62" w:rsidP="009D7A62">
            <w:pPr>
              <w:spacing w:before="120"/>
            </w:pPr>
            <w:r w:rsidRPr="006264E2">
              <w:t>General Practice New Zealand and Royal New Zealand College of General Practitioners</w:t>
            </w:r>
          </w:p>
        </w:tc>
        <w:tc>
          <w:tcPr>
            <w:tcW w:w="4673" w:type="dxa"/>
          </w:tcPr>
          <w:p w14:paraId="5B6F8377" w14:textId="05545EF4" w:rsidR="009D7A62" w:rsidRDefault="009D7A62" w:rsidP="009D7A62">
            <w:pPr>
              <w:spacing w:before="120"/>
            </w:pPr>
            <w:r w:rsidRPr="006264E2">
              <w:t>Sharron Cole</w:t>
            </w:r>
            <w:r w:rsidR="00D52FD0">
              <w:t xml:space="preserve"> (resigned March 2014</w:t>
            </w:r>
          </w:p>
          <w:p w14:paraId="0DBE0BD4" w14:textId="601342D9" w:rsidR="009D7A62" w:rsidRDefault="009D7A62" w:rsidP="009D7A62">
            <w:pPr>
              <w:spacing w:before="120"/>
            </w:pPr>
            <w:r w:rsidRPr="006264E2">
              <w:t>Midwifery Council of New Zealand</w:t>
            </w:r>
          </w:p>
        </w:tc>
      </w:tr>
      <w:tr w:rsidR="009D7A62" w14:paraId="0F87F416" w14:textId="77777777" w:rsidTr="009D7A62">
        <w:tc>
          <w:tcPr>
            <w:tcW w:w="4672" w:type="dxa"/>
          </w:tcPr>
          <w:p w14:paraId="7209B6F3" w14:textId="77777777" w:rsidR="009D7A62" w:rsidRDefault="009D7A62" w:rsidP="009D7A62">
            <w:pPr>
              <w:spacing w:before="120"/>
            </w:pPr>
            <w:r w:rsidRPr="006264E2">
              <w:t xml:space="preserve">Dr </w:t>
            </w:r>
            <w:proofErr w:type="spellStart"/>
            <w:r w:rsidRPr="006264E2">
              <w:t>Lyndy</w:t>
            </w:r>
            <w:proofErr w:type="spellEnd"/>
            <w:r w:rsidRPr="006264E2">
              <w:t xml:space="preserve"> Matthews</w:t>
            </w:r>
          </w:p>
          <w:p w14:paraId="60B4F6B8" w14:textId="79BC8B19" w:rsidR="009D7A62" w:rsidRDefault="009D7A62" w:rsidP="009D7A62">
            <w:pPr>
              <w:spacing w:before="120"/>
            </w:pPr>
            <w:r w:rsidRPr="006264E2">
              <w:t>Council of Medical Colleges</w:t>
            </w:r>
          </w:p>
        </w:tc>
        <w:tc>
          <w:tcPr>
            <w:tcW w:w="4673" w:type="dxa"/>
          </w:tcPr>
          <w:p w14:paraId="75F7C031" w14:textId="598338A2" w:rsidR="009D7A62" w:rsidRDefault="009D7A62" w:rsidP="009D7A62">
            <w:pPr>
              <w:spacing w:before="120"/>
            </w:pPr>
            <w:r w:rsidRPr="006264E2">
              <w:t>Barbara Phi</w:t>
            </w:r>
            <w:r>
              <w:t>l</w:t>
            </w:r>
            <w:r w:rsidRPr="006264E2">
              <w:t>lips</w:t>
            </w:r>
            <w:r>
              <w:t xml:space="preserve"> – Delegated to Phil Knipe (</w:t>
            </w:r>
            <w:r w:rsidR="00945B3E">
              <w:t xml:space="preserve">from </w:t>
            </w:r>
            <w:r>
              <w:t>March 2013)</w:t>
            </w:r>
          </w:p>
          <w:p w14:paraId="1969EBCE" w14:textId="3C950605" w:rsidR="009D7A62" w:rsidRDefault="009D7A62" w:rsidP="009D7A62">
            <w:pPr>
              <w:spacing w:before="120"/>
            </w:pPr>
            <w:r w:rsidRPr="006264E2">
              <w:t>Ministry of Health</w:t>
            </w:r>
          </w:p>
        </w:tc>
      </w:tr>
      <w:tr w:rsidR="009D7A62" w14:paraId="775309D0" w14:textId="77777777" w:rsidTr="009D7A62">
        <w:tc>
          <w:tcPr>
            <w:tcW w:w="4672" w:type="dxa"/>
          </w:tcPr>
          <w:p w14:paraId="59172E40" w14:textId="77777777" w:rsidR="009D7A62" w:rsidRDefault="00D52FD0" w:rsidP="009D7A62">
            <w:pPr>
              <w:spacing w:before="120"/>
            </w:pPr>
            <w:r w:rsidRPr="007B34F2">
              <w:t xml:space="preserve">Julia </w:t>
            </w:r>
            <w:proofErr w:type="spellStart"/>
            <w:r w:rsidRPr="007B34F2">
              <w:t>Fomison</w:t>
            </w:r>
            <w:proofErr w:type="spellEnd"/>
            <w:r>
              <w:t xml:space="preserve"> from May 2014</w:t>
            </w:r>
          </w:p>
          <w:p w14:paraId="6DABB6F2" w14:textId="69563DDD" w:rsidR="00D52FD0" w:rsidRDefault="00D52FD0" w:rsidP="009D7A62">
            <w:pPr>
              <w:spacing w:before="120"/>
            </w:pPr>
            <w:r>
              <w:t>Canterbury DHB</w:t>
            </w:r>
          </w:p>
        </w:tc>
        <w:tc>
          <w:tcPr>
            <w:tcW w:w="4673" w:type="dxa"/>
          </w:tcPr>
          <w:p w14:paraId="781BA00D" w14:textId="64FCBF83" w:rsidR="00D52FD0" w:rsidRDefault="00D52FD0" w:rsidP="00D52FD0">
            <w:pPr>
              <w:spacing w:before="120"/>
            </w:pPr>
            <w:r w:rsidRPr="007B34F2">
              <w:t>Fiona Thomson</w:t>
            </w:r>
            <w:r>
              <w:t xml:space="preserve"> from</w:t>
            </w:r>
            <w:r w:rsidRPr="007B34F2">
              <w:t xml:space="preserve"> July 2014</w:t>
            </w:r>
            <w:r>
              <w:t>.</w:t>
            </w:r>
          </w:p>
          <w:p w14:paraId="6F9662A3" w14:textId="6C1620B6" w:rsidR="009D7A62" w:rsidRDefault="00D52FD0" w:rsidP="007F3958">
            <w:pPr>
              <w:spacing w:before="120"/>
            </w:pPr>
            <w:r w:rsidRPr="007B34F2">
              <w:t>G</w:t>
            </w:r>
            <w:r>
              <w:t xml:space="preserve">eneral </w:t>
            </w:r>
            <w:r w:rsidRPr="007B34F2">
              <w:t>P</w:t>
            </w:r>
            <w:r>
              <w:t xml:space="preserve">ractice </w:t>
            </w:r>
            <w:r w:rsidRPr="007B34F2">
              <w:t>N</w:t>
            </w:r>
            <w:r>
              <w:t xml:space="preserve">ew </w:t>
            </w:r>
            <w:r w:rsidRPr="007B34F2">
              <w:t>Z</w:t>
            </w:r>
            <w:r>
              <w:t>ealand</w:t>
            </w:r>
          </w:p>
        </w:tc>
      </w:tr>
    </w:tbl>
    <w:p w14:paraId="755CED72" w14:textId="6719BE31" w:rsidR="00295DC3" w:rsidRPr="00D56B08" w:rsidRDefault="00295DC3" w:rsidP="00AD46AA">
      <w:pPr>
        <w:spacing w:before="360" w:after="180"/>
        <w:rPr>
          <w:rFonts w:ascii="Arial" w:eastAsia="Cambria" w:hAnsi="Arial" w:cs="Arial"/>
          <w:b/>
          <w:color w:val="1F497D" w:themeColor="text2"/>
          <w:sz w:val="28"/>
          <w:szCs w:val="28"/>
        </w:rPr>
      </w:pPr>
      <w:r w:rsidRPr="00D56B08">
        <w:rPr>
          <w:rFonts w:ascii="Arial" w:eastAsia="Cambria" w:hAnsi="Arial" w:cs="Arial"/>
          <w:b/>
          <w:color w:val="1F497D" w:themeColor="text2"/>
          <w:sz w:val="28"/>
          <w:szCs w:val="28"/>
        </w:rPr>
        <w:t>C</w:t>
      </w:r>
      <w:r w:rsidR="00863624">
        <w:rPr>
          <w:rFonts w:ascii="Arial" w:eastAsia="Cambria" w:hAnsi="Arial" w:cs="Arial"/>
          <w:b/>
          <w:color w:val="1F497D" w:themeColor="text2"/>
          <w:sz w:val="28"/>
          <w:szCs w:val="28"/>
        </w:rPr>
        <w:t>opyright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7620"/>
      </w:tblGrid>
      <w:tr w:rsidR="00295DC3" w:rsidRPr="00D56B08" w14:paraId="5E85D9CE" w14:textId="77777777" w:rsidTr="00295DC3">
        <w:trPr>
          <w:cantSplit/>
        </w:trPr>
        <w:tc>
          <w:tcPr>
            <w:tcW w:w="1951" w:type="dxa"/>
          </w:tcPr>
          <w:p w14:paraId="090E16B8" w14:textId="4CD59495" w:rsidR="00AD46AA" w:rsidRDefault="00295DC3" w:rsidP="00295DC3">
            <w:pPr>
              <w:rPr>
                <w:rFonts w:eastAsia="Cambria"/>
              </w:rPr>
            </w:pPr>
            <w:r w:rsidRPr="001F45A7">
              <w:rPr>
                <w:b/>
                <w:noProof/>
                <w:sz w:val="18"/>
                <w:szCs w:val="18"/>
                <w:lang w:eastAsia="en-NZ"/>
              </w:rPr>
              <w:drawing>
                <wp:inline distT="0" distB="0" distL="0" distR="0" wp14:anchorId="19C09777" wp14:editId="49E8D757">
                  <wp:extent cx="1083427" cy="382386"/>
                  <wp:effectExtent l="0" t="0" r="2540"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3427" cy="382386"/>
                          </a:xfrm>
                          <a:prstGeom prst="rect">
                            <a:avLst/>
                          </a:prstGeom>
                          <a:noFill/>
                          <a:ln>
                            <a:noFill/>
                          </a:ln>
                        </pic:spPr>
                      </pic:pic>
                    </a:graphicData>
                  </a:graphic>
                </wp:inline>
              </w:drawing>
            </w:r>
          </w:p>
          <w:p w14:paraId="5D947D5F" w14:textId="77777777" w:rsidR="00AD46AA" w:rsidRPr="00AD46AA" w:rsidRDefault="00AD46AA" w:rsidP="00AD46AA">
            <w:pPr>
              <w:rPr>
                <w:rFonts w:eastAsia="Cambria"/>
              </w:rPr>
            </w:pPr>
          </w:p>
          <w:p w14:paraId="38B20274" w14:textId="2046F793" w:rsidR="00295DC3" w:rsidRPr="00AD46AA" w:rsidRDefault="00295DC3" w:rsidP="00AD46AA">
            <w:pPr>
              <w:rPr>
                <w:rFonts w:eastAsia="Cambria"/>
              </w:rPr>
            </w:pPr>
          </w:p>
        </w:tc>
        <w:tc>
          <w:tcPr>
            <w:tcW w:w="7620" w:type="dxa"/>
          </w:tcPr>
          <w:p w14:paraId="692027AB" w14:textId="0B590B76" w:rsidR="00295DC3" w:rsidRPr="000E5919" w:rsidRDefault="00295DC3" w:rsidP="000E5919">
            <w:pPr>
              <w:pStyle w:val="Imprint"/>
              <w:rPr>
                <w:rFonts w:eastAsia="Cambria"/>
              </w:rPr>
            </w:pPr>
            <w:r w:rsidRPr="001F45A7">
              <w:t xml:space="preserve">This work is licensed under the Creative Commons Attribution 4.0 International licence. In essence, </w:t>
            </w:r>
            <w:r w:rsidRPr="001F45A7">
              <w:rPr>
                <w:bCs/>
              </w:rPr>
              <w:t xml:space="preserve">you are free to: </w:t>
            </w:r>
            <w:r w:rsidRPr="001F45A7">
              <w:t xml:space="preserve">share </w:t>
            </w:r>
            <w:proofErr w:type="spellStart"/>
            <w:r w:rsidRPr="001F45A7">
              <w:t>ie</w:t>
            </w:r>
            <w:proofErr w:type="spellEnd"/>
            <w:r w:rsidRPr="001F45A7">
              <w:t xml:space="preserve">, copy and redistribute the material in any medium or format; adapt </w:t>
            </w:r>
            <w:proofErr w:type="spellStart"/>
            <w:r w:rsidRPr="001F45A7">
              <w:t>ie</w:t>
            </w:r>
            <w:proofErr w:type="spellEnd"/>
            <w:r w:rsidRPr="001F45A7">
              <w:t>, remix,</w:t>
            </w:r>
            <w:r w:rsidR="005B1D4D">
              <w:t xml:space="preserve"> transform,</w:t>
            </w:r>
            <w:r w:rsidR="005B1D4D" w:rsidRPr="001F45A7">
              <w:t xml:space="preserve"> and build upon the material. You must give appropriate credit, provide a link to the licence and indicate if changes</w:t>
            </w:r>
            <w:r w:rsidR="00314C83">
              <w:t xml:space="preserve"> </w:t>
            </w:r>
            <w:r w:rsidR="005B1D4D" w:rsidRPr="001F45A7">
              <w:t>were made</w:t>
            </w:r>
            <w:r w:rsidR="00314C83">
              <w:t xml:space="preserve">. </w:t>
            </w:r>
            <w:r w:rsidR="00314C83" w:rsidRPr="000D7F01">
              <w:rPr>
                <w:rFonts w:cs="Arial"/>
                <w:color w:val="000000"/>
                <w:lang w:eastAsia="en-NZ"/>
              </w:rPr>
              <w:t>To view a copy of this licence, visit</w:t>
            </w:r>
            <w:r w:rsidR="00314C83" w:rsidRPr="000D7F01">
              <w:rPr>
                <w:rFonts w:cs="Arial Mäori"/>
                <w:color w:val="000000"/>
                <w:lang w:eastAsia="en-NZ"/>
              </w:rPr>
              <w:t xml:space="preserve"> </w:t>
            </w:r>
            <w:hyperlink r:id="rId15" w:history="1">
              <w:r w:rsidR="00314C83" w:rsidRPr="000D7F01">
                <w:rPr>
                  <w:rStyle w:val="Hyperlink"/>
                  <w:rFonts w:cs="Arial Mäori"/>
                  <w:lang w:eastAsia="en-NZ"/>
                </w:rPr>
                <w:t>http://creativecommons.org/licenses/by-nd/4.0/</w:t>
              </w:r>
            </w:hyperlink>
          </w:p>
        </w:tc>
      </w:tr>
    </w:tbl>
    <w:p w14:paraId="6A0350B8" w14:textId="2CA0E219" w:rsidR="00446D3E" w:rsidRPr="00D56B08" w:rsidRDefault="00446D3E" w:rsidP="00AD46AA">
      <w:pPr>
        <w:spacing w:before="360" w:after="180"/>
        <w:rPr>
          <w:rFonts w:ascii="Arial" w:eastAsia="Cambria" w:hAnsi="Arial" w:cs="Arial"/>
          <w:b/>
          <w:color w:val="1F497D" w:themeColor="text2"/>
          <w:sz w:val="28"/>
          <w:szCs w:val="28"/>
        </w:rPr>
      </w:pPr>
      <w:r w:rsidRPr="00D56B08">
        <w:rPr>
          <w:rFonts w:ascii="Arial" w:eastAsia="Cambria" w:hAnsi="Arial" w:cs="Arial"/>
          <w:b/>
          <w:color w:val="1F497D" w:themeColor="text2"/>
          <w:sz w:val="28"/>
          <w:szCs w:val="28"/>
        </w:rPr>
        <w:t>Keeping standards up to date</w:t>
      </w:r>
    </w:p>
    <w:p w14:paraId="1C3C99E8" w14:textId="77777777" w:rsidR="00295DC3" w:rsidRPr="001F45A7" w:rsidRDefault="00295DC3" w:rsidP="005D01ED">
      <w:pPr>
        <w:pStyle w:val="Imprint"/>
      </w:pPr>
      <w:r w:rsidRPr="00295DC3">
        <w:t>HISO standards are regularly updated to reflect advances in health information science and technology. See the Ministry of Health website at health.govt.nz for information about the standards development process. We welcome your ideas for improving this standard. Email standards@health.govt.nz or write to HISO, Ministry of Health</w:t>
      </w:r>
      <w:r>
        <w:t xml:space="preserve">, </w:t>
      </w:r>
      <w:proofErr w:type="gramStart"/>
      <w:r>
        <w:t>PO</w:t>
      </w:r>
      <w:proofErr w:type="gramEnd"/>
      <w:r>
        <w:t xml:space="preserve"> Box 5013, Wellington 6140.</w:t>
      </w:r>
    </w:p>
    <w:p w14:paraId="5BE924CF" w14:textId="77777777" w:rsidR="00C86248" w:rsidRDefault="00C86248">
      <w:pPr>
        <w:jc w:val="center"/>
        <w:sectPr w:rsidR="00C86248" w:rsidSect="000E5919">
          <w:footerReference w:type="even" r:id="rId16"/>
          <w:footerReference w:type="default" r:id="rId17"/>
          <w:pgSz w:w="11907" w:h="16834" w:code="9"/>
          <w:pgMar w:top="1418" w:right="1134" w:bottom="1418" w:left="1418" w:header="0" w:footer="0" w:gutter="0"/>
          <w:pgNumType w:fmt="lowerRoman"/>
          <w:cols w:space="720"/>
          <w:docGrid w:linePitch="299"/>
        </w:sectPr>
      </w:pPr>
    </w:p>
    <w:p w14:paraId="1A35F6A3" w14:textId="77777777" w:rsidR="00C86248" w:rsidRDefault="00C86248">
      <w:pPr>
        <w:pStyle w:val="IntroHead"/>
      </w:pPr>
      <w:bookmarkStart w:id="1" w:name="_Toc405792991"/>
      <w:bookmarkStart w:id="2" w:name="_Toc405793224"/>
      <w:r>
        <w:lastRenderedPageBreak/>
        <w:t>Contents</w:t>
      </w:r>
      <w:bookmarkEnd w:id="1"/>
      <w:bookmarkEnd w:id="2"/>
    </w:p>
    <w:p w14:paraId="07511312" w14:textId="77777777" w:rsidR="00E6085D" w:rsidRDefault="0050208D">
      <w:pPr>
        <w:pStyle w:val="TOC1"/>
        <w:rPr>
          <w:rFonts w:asciiTheme="minorHAnsi" w:eastAsiaTheme="minorEastAsia" w:hAnsiTheme="minorHAnsi" w:cstheme="minorBidi"/>
          <w:b w:val="0"/>
          <w:noProof/>
          <w:color w:val="auto"/>
          <w:szCs w:val="22"/>
          <w:lang w:eastAsia="en-NZ"/>
        </w:rPr>
      </w:pPr>
      <w:r>
        <w:fldChar w:fldCharType="begin"/>
      </w:r>
      <w:r>
        <w:instrText xml:space="preserve"> TOC \o "1-1" \t "Heading 2,2" </w:instrText>
      </w:r>
      <w:r>
        <w:fldChar w:fldCharType="separate"/>
      </w:r>
      <w:r w:rsidR="00E6085D">
        <w:rPr>
          <w:noProof/>
        </w:rPr>
        <w:t>1</w:t>
      </w:r>
      <w:r w:rsidR="00E6085D">
        <w:rPr>
          <w:rFonts w:asciiTheme="minorHAnsi" w:eastAsiaTheme="minorEastAsia" w:hAnsiTheme="minorHAnsi" w:cstheme="minorBidi"/>
          <w:b w:val="0"/>
          <w:noProof/>
          <w:color w:val="auto"/>
          <w:szCs w:val="22"/>
          <w:lang w:eastAsia="en-NZ"/>
        </w:rPr>
        <w:tab/>
      </w:r>
      <w:r w:rsidR="00E6085D">
        <w:rPr>
          <w:noProof/>
        </w:rPr>
        <w:t>Purpose</w:t>
      </w:r>
      <w:r w:rsidR="00E6085D">
        <w:rPr>
          <w:noProof/>
        </w:rPr>
        <w:tab/>
      </w:r>
      <w:r w:rsidR="00E6085D">
        <w:rPr>
          <w:noProof/>
        </w:rPr>
        <w:fldChar w:fldCharType="begin"/>
      </w:r>
      <w:r w:rsidR="00E6085D">
        <w:rPr>
          <w:noProof/>
        </w:rPr>
        <w:instrText xml:space="preserve"> PAGEREF _Toc491259707 \h </w:instrText>
      </w:r>
      <w:r w:rsidR="00E6085D">
        <w:rPr>
          <w:noProof/>
        </w:rPr>
      </w:r>
      <w:r w:rsidR="00E6085D">
        <w:rPr>
          <w:noProof/>
        </w:rPr>
        <w:fldChar w:fldCharType="separate"/>
      </w:r>
      <w:r w:rsidR="00E6085D">
        <w:rPr>
          <w:noProof/>
        </w:rPr>
        <w:t>5</w:t>
      </w:r>
      <w:r w:rsidR="00E6085D">
        <w:rPr>
          <w:noProof/>
        </w:rPr>
        <w:fldChar w:fldCharType="end"/>
      </w:r>
    </w:p>
    <w:p w14:paraId="4C555A6D"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t>1.1</w:t>
      </w:r>
      <w:r>
        <w:rPr>
          <w:rFonts w:asciiTheme="minorHAnsi" w:eastAsiaTheme="minorEastAsia" w:hAnsiTheme="minorHAnsi" w:cstheme="minorBidi"/>
          <w:noProof/>
          <w:szCs w:val="22"/>
          <w:lang w:eastAsia="en-NZ"/>
        </w:rPr>
        <w:tab/>
      </w:r>
      <w:r>
        <w:rPr>
          <w:noProof/>
        </w:rPr>
        <w:t>Why these Guidelines are important</w:t>
      </w:r>
      <w:r>
        <w:rPr>
          <w:noProof/>
        </w:rPr>
        <w:tab/>
      </w:r>
      <w:r>
        <w:rPr>
          <w:noProof/>
        </w:rPr>
        <w:fldChar w:fldCharType="begin"/>
      </w:r>
      <w:r>
        <w:rPr>
          <w:noProof/>
        </w:rPr>
        <w:instrText xml:space="preserve"> PAGEREF _Toc491259708 \h </w:instrText>
      </w:r>
      <w:r>
        <w:rPr>
          <w:noProof/>
        </w:rPr>
      </w:r>
      <w:r>
        <w:rPr>
          <w:noProof/>
        </w:rPr>
        <w:fldChar w:fldCharType="separate"/>
      </w:r>
      <w:r>
        <w:rPr>
          <w:noProof/>
        </w:rPr>
        <w:t>5</w:t>
      </w:r>
      <w:r>
        <w:rPr>
          <w:noProof/>
        </w:rPr>
        <w:fldChar w:fldCharType="end"/>
      </w:r>
    </w:p>
    <w:p w14:paraId="017AECFB"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t>1.2</w:t>
      </w:r>
      <w:r>
        <w:rPr>
          <w:rFonts w:asciiTheme="minorHAnsi" w:eastAsiaTheme="minorEastAsia" w:hAnsiTheme="minorHAnsi" w:cstheme="minorBidi"/>
          <w:noProof/>
          <w:szCs w:val="22"/>
          <w:lang w:eastAsia="en-NZ"/>
        </w:rPr>
        <w:tab/>
      </w:r>
      <w:r>
        <w:rPr>
          <w:noProof/>
        </w:rPr>
        <w:t>How to use these Guidelines</w:t>
      </w:r>
      <w:r>
        <w:rPr>
          <w:noProof/>
        </w:rPr>
        <w:tab/>
      </w:r>
      <w:r>
        <w:rPr>
          <w:noProof/>
        </w:rPr>
        <w:fldChar w:fldCharType="begin"/>
      </w:r>
      <w:r>
        <w:rPr>
          <w:noProof/>
        </w:rPr>
        <w:instrText xml:space="preserve"> PAGEREF _Toc491259709 \h </w:instrText>
      </w:r>
      <w:r>
        <w:rPr>
          <w:noProof/>
        </w:rPr>
      </w:r>
      <w:r>
        <w:rPr>
          <w:noProof/>
        </w:rPr>
        <w:fldChar w:fldCharType="separate"/>
      </w:r>
      <w:r>
        <w:rPr>
          <w:noProof/>
        </w:rPr>
        <w:t>6</w:t>
      </w:r>
      <w:r>
        <w:rPr>
          <w:noProof/>
        </w:rPr>
        <w:fldChar w:fldCharType="end"/>
      </w:r>
    </w:p>
    <w:p w14:paraId="63E20371"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t>1.3</w:t>
      </w:r>
      <w:r>
        <w:rPr>
          <w:rFonts w:asciiTheme="minorHAnsi" w:eastAsiaTheme="minorEastAsia" w:hAnsiTheme="minorHAnsi" w:cstheme="minorBidi"/>
          <w:noProof/>
          <w:szCs w:val="22"/>
          <w:lang w:eastAsia="en-NZ"/>
        </w:rPr>
        <w:tab/>
      </w:r>
      <w:r>
        <w:rPr>
          <w:noProof/>
        </w:rPr>
        <w:t>History</w:t>
      </w:r>
      <w:r>
        <w:rPr>
          <w:noProof/>
        </w:rPr>
        <w:tab/>
      </w:r>
      <w:r>
        <w:rPr>
          <w:noProof/>
        </w:rPr>
        <w:fldChar w:fldCharType="begin"/>
      </w:r>
      <w:r>
        <w:rPr>
          <w:noProof/>
        </w:rPr>
        <w:instrText xml:space="preserve"> PAGEREF _Toc491259710 \h </w:instrText>
      </w:r>
      <w:r>
        <w:rPr>
          <w:noProof/>
        </w:rPr>
      </w:r>
      <w:r>
        <w:rPr>
          <w:noProof/>
        </w:rPr>
        <w:fldChar w:fldCharType="separate"/>
      </w:r>
      <w:r>
        <w:rPr>
          <w:noProof/>
        </w:rPr>
        <w:t>6</w:t>
      </w:r>
      <w:r>
        <w:rPr>
          <w:noProof/>
        </w:rPr>
        <w:fldChar w:fldCharType="end"/>
      </w:r>
    </w:p>
    <w:p w14:paraId="70AAF0F9"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t>1.4</w:t>
      </w:r>
      <w:r>
        <w:rPr>
          <w:rFonts w:asciiTheme="minorHAnsi" w:eastAsiaTheme="minorEastAsia" w:hAnsiTheme="minorHAnsi" w:cstheme="minorBidi"/>
          <w:noProof/>
          <w:szCs w:val="22"/>
          <w:lang w:eastAsia="en-NZ"/>
        </w:rPr>
        <w:tab/>
      </w:r>
      <w:r>
        <w:rPr>
          <w:noProof/>
        </w:rPr>
        <w:t>What is information governance?</w:t>
      </w:r>
      <w:r>
        <w:rPr>
          <w:noProof/>
        </w:rPr>
        <w:tab/>
      </w:r>
      <w:r>
        <w:rPr>
          <w:noProof/>
        </w:rPr>
        <w:fldChar w:fldCharType="begin"/>
      </w:r>
      <w:r>
        <w:rPr>
          <w:noProof/>
        </w:rPr>
        <w:instrText xml:space="preserve"> PAGEREF _Toc491259711 \h </w:instrText>
      </w:r>
      <w:r>
        <w:rPr>
          <w:noProof/>
        </w:rPr>
      </w:r>
      <w:r>
        <w:rPr>
          <w:noProof/>
        </w:rPr>
        <w:fldChar w:fldCharType="separate"/>
      </w:r>
      <w:r>
        <w:rPr>
          <w:noProof/>
        </w:rPr>
        <w:t>6</w:t>
      </w:r>
      <w:r>
        <w:rPr>
          <w:noProof/>
        </w:rPr>
        <w:fldChar w:fldCharType="end"/>
      </w:r>
    </w:p>
    <w:p w14:paraId="68EB6D7A"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t>1.5</w:t>
      </w:r>
      <w:r>
        <w:rPr>
          <w:rFonts w:asciiTheme="minorHAnsi" w:eastAsiaTheme="minorEastAsia" w:hAnsiTheme="minorHAnsi" w:cstheme="minorBidi"/>
          <w:noProof/>
          <w:szCs w:val="22"/>
          <w:lang w:eastAsia="en-NZ"/>
        </w:rPr>
        <w:tab/>
      </w:r>
      <w:r>
        <w:rPr>
          <w:noProof/>
        </w:rPr>
        <w:t>Ownership of information</w:t>
      </w:r>
      <w:r>
        <w:rPr>
          <w:noProof/>
        </w:rPr>
        <w:tab/>
      </w:r>
      <w:r>
        <w:rPr>
          <w:noProof/>
        </w:rPr>
        <w:fldChar w:fldCharType="begin"/>
      </w:r>
      <w:r>
        <w:rPr>
          <w:noProof/>
        </w:rPr>
        <w:instrText xml:space="preserve"> PAGEREF _Toc491259712 \h </w:instrText>
      </w:r>
      <w:r>
        <w:rPr>
          <w:noProof/>
        </w:rPr>
      </w:r>
      <w:r>
        <w:rPr>
          <w:noProof/>
        </w:rPr>
        <w:fldChar w:fldCharType="separate"/>
      </w:r>
      <w:r>
        <w:rPr>
          <w:noProof/>
        </w:rPr>
        <w:t>7</w:t>
      </w:r>
      <w:r>
        <w:rPr>
          <w:noProof/>
        </w:rPr>
        <w:fldChar w:fldCharType="end"/>
      </w:r>
    </w:p>
    <w:p w14:paraId="2AD3C640"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t>1.6</w:t>
      </w:r>
      <w:r>
        <w:rPr>
          <w:rFonts w:asciiTheme="minorHAnsi" w:eastAsiaTheme="minorEastAsia" w:hAnsiTheme="minorHAnsi" w:cstheme="minorBidi"/>
          <w:noProof/>
          <w:szCs w:val="22"/>
          <w:lang w:eastAsia="en-NZ"/>
        </w:rPr>
        <w:tab/>
      </w:r>
      <w:r>
        <w:rPr>
          <w:noProof/>
        </w:rPr>
        <w:t>Definitions</w:t>
      </w:r>
      <w:r>
        <w:rPr>
          <w:noProof/>
        </w:rPr>
        <w:tab/>
      </w:r>
      <w:r>
        <w:rPr>
          <w:noProof/>
        </w:rPr>
        <w:fldChar w:fldCharType="begin"/>
      </w:r>
      <w:r>
        <w:rPr>
          <w:noProof/>
        </w:rPr>
        <w:instrText xml:space="preserve"> PAGEREF _Toc491259713 \h </w:instrText>
      </w:r>
      <w:r>
        <w:rPr>
          <w:noProof/>
        </w:rPr>
      </w:r>
      <w:r>
        <w:rPr>
          <w:noProof/>
        </w:rPr>
        <w:fldChar w:fldCharType="separate"/>
      </w:r>
      <w:r>
        <w:rPr>
          <w:noProof/>
        </w:rPr>
        <w:t>7</w:t>
      </w:r>
      <w:r>
        <w:rPr>
          <w:noProof/>
        </w:rPr>
        <w:fldChar w:fldCharType="end"/>
      </w:r>
    </w:p>
    <w:p w14:paraId="1969526E"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t>1.7</w:t>
      </w:r>
      <w:r>
        <w:rPr>
          <w:rFonts w:asciiTheme="minorHAnsi" w:eastAsiaTheme="minorEastAsia" w:hAnsiTheme="minorHAnsi" w:cstheme="minorBidi"/>
          <w:noProof/>
          <w:szCs w:val="22"/>
          <w:lang w:eastAsia="en-NZ"/>
        </w:rPr>
        <w:tab/>
      </w:r>
      <w:r>
        <w:rPr>
          <w:noProof/>
        </w:rPr>
        <w:t>Requirements</w:t>
      </w:r>
      <w:r>
        <w:rPr>
          <w:noProof/>
        </w:rPr>
        <w:tab/>
      </w:r>
      <w:r>
        <w:rPr>
          <w:noProof/>
        </w:rPr>
        <w:fldChar w:fldCharType="begin"/>
      </w:r>
      <w:r>
        <w:rPr>
          <w:noProof/>
        </w:rPr>
        <w:instrText xml:space="preserve"> PAGEREF _Toc491259714 \h </w:instrText>
      </w:r>
      <w:r>
        <w:rPr>
          <w:noProof/>
        </w:rPr>
      </w:r>
      <w:r>
        <w:rPr>
          <w:noProof/>
        </w:rPr>
        <w:fldChar w:fldCharType="separate"/>
      </w:r>
      <w:r>
        <w:rPr>
          <w:noProof/>
        </w:rPr>
        <w:t>8</w:t>
      </w:r>
      <w:r>
        <w:rPr>
          <w:noProof/>
        </w:rPr>
        <w:fldChar w:fldCharType="end"/>
      </w:r>
    </w:p>
    <w:p w14:paraId="788BFCE1" w14:textId="77777777" w:rsidR="00E6085D" w:rsidRDefault="00E6085D">
      <w:pPr>
        <w:pStyle w:val="TOC1"/>
        <w:rPr>
          <w:rFonts w:asciiTheme="minorHAnsi" w:eastAsiaTheme="minorEastAsia" w:hAnsiTheme="minorHAnsi" w:cstheme="minorBidi"/>
          <w:b w:val="0"/>
          <w:noProof/>
          <w:color w:val="auto"/>
          <w:szCs w:val="22"/>
          <w:lang w:eastAsia="en-NZ"/>
        </w:rPr>
      </w:pPr>
      <w:r>
        <w:rPr>
          <w:noProof/>
        </w:rPr>
        <w:t>2</w:t>
      </w:r>
      <w:r>
        <w:rPr>
          <w:rFonts w:asciiTheme="minorHAnsi" w:eastAsiaTheme="minorEastAsia" w:hAnsiTheme="minorHAnsi" w:cstheme="minorBidi"/>
          <w:b w:val="0"/>
          <w:noProof/>
          <w:color w:val="auto"/>
          <w:szCs w:val="22"/>
          <w:lang w:eastAsia="en-NZ"/>
        </w:rPr>
        <w:tab/>
      </w:r>
      <w:r>
        <w:rPr>
          <w:noProof/>
        </w:rPr>
        <w:t>Maintaining quality and trust</w:t>
      </w:r>
      <w:r>
        <w:rPr>
          <w:noProof/>
        </w:rPr>
        <w:tab/>
      </w:r>
      <w:r>
        <w:rPr>
          <w:noProof/>
        </w:rPr>
        <w:fldChar w:fldCharType="begin"/>
      </w:r>
      <w:r>
        <w:rPr>
          <w:noProof/>
        </w:rPr>
        <w:instrText xml:space="preserve"> PAGEREF _Toc491259715 \h </w:instrText>
      </w:r>
      <w:r>
        <w:rPr>
          <w:noProof/>
        </w:rPr>
      </w:r>
      <w:r>
        <w:rPr>
          <w:noProof/>
        </w:rPr>
        <w:fldChar w:fldCharType="separate"/>
      </w:r>
      <w:r>
        <w:rPr>
          <w:noProof/>
        </w:rPr>
        <w:t>9</w:t>
      </w:r>
      <w:r>
        <w:rPr>
          <w:noProof/>
        </w:rPr>
        <w:fldChar w:fldCharType="end"/>
      </w:r>
    </w:p>
    <w:p w14:paraId="2D714969"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t>2.1</w:t>
      </w:r>
      <w:r>
        <w:rPr>
          <w:rFonts w:asciiTheme="minorHAnsi" w:eastAsiaTheme="minorEastAsia" w:hAnsiTheme="minorHAnsi" w:cstheme="minorBidi"/>
          <w:noProof/>
          <w:szCs w:val="22"/>
          <w:lang w:eastAsia="en-NZ"/>
        </w:rPr>
        <w:tab/>
      </w:r>
      <w:r>
        <w:rPr>
          <w:noProof/>
        </w:rPr>
        <w:t>Objective</w:t>
      </w:r>
      <w:r>
        <w:rPr>
          <w:noProof/>
        </w:rPr>
        <w:tab/>
      </w:r>
      <w:r>
        <w:rPr>
          <w:noProof/>
        </w:rPr>
        <w:fldChar w:fldCharType="begin"/>
      </w:r>
      <w:r>
        <w:rPr>
          <w:noProof/>
        </w:rPr>
        <w:instrText xml:space="preserve"> PAGEREF _Toc491259716 \h </w:instrText>
      </w:r>
      <w:r>
        <w:rPr>
          <w:noProof/>
        </w:rPr>
      </w:r>
      <w:r>
        <w:rPr>
          <w:noProof/>
        </w:rPr>
        <w:fldChar w:fldCharType="separate"/>
      </w:r>
      <w:r>
        <w:rPr>
          <w:noProof/>
        </w:rPr>
        <w:t>10</w:t>
      </w:r>
      <w:r>
        <w:rPr>
          <w:noProof/>
        </w:rPr>
        <w:fldChar w:fldCharType="end"/>
      </w:r>
    </w:p>
    <w:p w14:paraId="6E1A1CC8"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t>2.2</w:t>
      </w:r>
      <w:r>
        <w:rPr>
          <w:rFonts w:asciiTheme="minorHAnsi" w:eastAsiaTheme="minorEastAsia" w:hAnsiTheme="minorHAnsi" w:cstheme="minorBidi"/>
          <w:noProof/>
          <w:szCs w:val="22"/>
          <w:lang w:eastAsia="en-NZ"/>
        </w:rPr>
        <w:tab/>
      </w:r>
      <w:r>
        <w:rPr>
          <w:noProof/>
        </w:rPr>
        <w:t>Policy statements</w:t>
      </w:r>
      <w:r>
        <w:rPr>
          <w:noProof/>
        </w:rPr>
        <w:tab/>
      </w:r>
      <w:r>
        <w:rPr>
          <w:noProof/>
        </w:rPr>
        <w:fldChar w:fldCharType="begin"/>
      </w:r>
      <w:r>
        <w:rPr>
          <w:noProof/>
        </w:rPr>
        <w:instrText xml:space="preserve"> PAGEREF _Toc491259717 \h </w:instrText>
      </w:r>
      <w:r>
        <w:rPr>
          <w:noProof/>
        </w:rPr>
      </w:r>
      <w:r>
        <w:rPr>
          <w:noProof/>
        </w:rPr>
        <w:fldChar w:fldCharType="separate"/>
      </w:r>
      <w:r>
        <w:rPr>
          <w:noProof/>
        </w:rPr>
        <w:t>10</w:t>
      </w:r>
      <w:r>
        <w:rPr>
          <w:noProof/>
        </w:rPr>
        <w:fldChar w:fldCharType="end"/>
      </w:r>
    </w:p>
    <w:p w14:paraId="7ACF041D"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t>2.3</w:t>
      </w:r>
      <w:r>
        <w:rPr>
          <w:rFonts w:asciiTheme="minorHAnsi" w:eastAsiaTheme="minorEastAsia" w:hAnsiTheme="minorHAnsi" w:cstheme="minorBidi"/>
          <w:noProof/>
          <w:szCs w:val="22"/>
          <w:lang w:eastAsia="en-NZ"/>
        </w:rPr>
        <w:tab/>
      </w:r>
      <w:r>
        <w:rPr>
          <w:noProof/>
        </w:rPr>
        <w:t>Data quality</w:t>
      </w:r>
      <w:r>
        <w:rPr>
          <w:noProof/>
        </w:rPr>
        <w:tab/>
      </w:r>
      <w:r>
        <w:rPr>
          <w:noProof/>
        </w:rPr>
        <w:fldChar w:fldCharType="begin"/>
      </w:r>
      <w:r>
        <w:rPr>
          <w:noProof/>
        </w:rPr>
        <w:instrText xml:space="preserve"> PAGEREF _Toc491259718 \h </w:instrText>
      </w:r>
      <w:r>
        <w:rPr>
          <w:noProof/>
        </w:rPr>
      </w:r>
      <w:r>
        <w:rPr>
          <w:noProof/>
        </w:rPr>
        <w:fldChar w:fldCharType="separate"/>
      </w:r>
      <w:r>
        <w:rPr>
          <w:noProof/>
        </w:rPr>
        <w:t>11</w:t>
      </w:r>
      <w:r>
        <w:rPr>
          <w:noProof/>
        </w:rPr>
        <w:fldChar w:fldCharType="end"/>
      </w:r>
    </w:p>
    <w:p w14:paraId="72DDB642"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t>2.4</w:t>
      </w:r>
      <w:r>
        <w:rPr>
          <w:rFonts w:asciiTheme="minorHAnsi" w:eastAsiaTheme="minorEastAsia" w:hAnsiTheme="minorHAnsi" w:cstheme="minorBidi"/>
          <w:noProof/>
          <w:szCs w:val="22"/>
          <w:lang w:eastAsia="en-NZ"/>
        </w:rPr>
        <w:tab/>
      </w:r>
      <w:r>
        <w:rPr>
          <w:noProof/>
        </w:rPr>
        <w:t>Managing information privacy policy</w:t>
      </w:r>
      <w:r>
        <w:rPr>
          <w:noProof/>
        </w:rPr>
        <w:tab/>
      </w:r>
      <w:r>
        <w:rPr>
          <w:noProof/>
        </w:rPr>
        <w:fldChar w:fldCharType="begin"/>
      </w:r>
      <w:r>
        <w:rPr>
          <w:noProof/>
        </w:rPr>
        <w:instrText xml:space="preserve"> PAGEREF _Toc491259719 \h </w:instrText>
      </w:r>
      <w:r>
        <w:rPr>
          <w:noProof/>
        </w:rPr>
      </w:r>
      <w:r>
        <w:rPr>
          <w:noProof/>
        </w:rPr>
        <w:fldChar w:fldCharType="separate"/>
      </w:r>
      <w:r>
        <w:rPr>
          <w:noProof/>
        </w:rPr>
        <w:t>12</w:t>
      </w:r>
      <w:r>
        <w:rPr>
          <w:noProof/>
        </w:rPr>
        <w:fldChar w:fldCharType="end"/>
      </w:r>
    </w:p>
    <w:p w14:paraId="3EA5E735"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t>2.5</w:t>
      </w:r>
      <w:r>
        <w:rPr>
          <w:rFonts w:asciiTheme="minorHAnsi" w:eastAsiaTheme="minorEastAsia" w:hAnsiTheme="minorHAnsi" w:cstheme="minorBidi"/>
          <w:noProof/>
          <w:szCs w:val="22"/>
          <w:lang w:eastAsia="en-NZ"/>
        </w:rPr>
        <w:tab/>
      </w:r>
      <w:r>
        <w:rPr>
          <w:noProof/>
        </w:rPr>
        <w:t>Code of conduct</w:t>
      </w:r>
      <w:r>
        <w:rPr>
          <w:noProof/>
        </w:rPr>
        <w:tab/>
      </w:r>
      <w:r>
        <w:rPr>
          <w:noProof/>
        </w:rPr>
        <w:fldChar w:fldCharType="begin"/>
      </w:r>
      <w:r>
        <w:rPr>
          <w:noProof/>
        </w:rPr>
        <w:instrText xml:space="preserve"> PAGEREF _Toc491259720 \h </w:instrText>
      </w:r>
      <w:r>
        <w:rPr>
          <w:noProof/>
        </w:rPr>
      </w:r>
      <w:r>
        <w:rPr>
          <w:noProof/>
        </w:rPr>
        <w:fldChar w:fldCharType="separate"/>
      </w:r>
      <w:r>
        <w:rPr>
          <w:noProof/>
        </w:rPr>
        <w:t>13</w:t>
      </w:r>
      <w:r>
        <w:rPr>
          <w:noProof/>
        </w:rPr>
        <w:fldChar w:fldCharType="end"/>
      </w:r>
    </w:p>
    <w:p w14:paraId="7DA39F03"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t>2.6</w:t>
      </w:r>
      <w:r>
        <w:rPr>
          <w:rFonts w:asciiTheme="minorHAnsi" w:eastAsiaTheme="minorEastAsia" w:hAnsiTheme="minorHAnsi" w:cstheme="minorBidi"/>
          <w:noProof/>
          <w:szCs w:val="22"/>
          <w:lang w:eastAsia="en-NZ"/>
        </w:rPr>
        <w:tab/>
      </w:r>
      <w:r>
        <w:rPr>
          <w:noProof/>
        </w:rPr>
        <w:t>Privacy complaints and breach of privacy procedure</w:t>
      </w:r>
      <w:r>
        <w:rPr>
          <w:noProof/>
        </w:rPr>
        <w:tab/>
      </w:r>
      <w:r>
        <w:rPr>
          <w:noProof/>
        </w:rPr>
        <w:fldChar w:fldCharType="begin"/>
      </w:r>
      <w:r>
        <w:rPr>
          <w:noProof/>
        </w:rPr>
        <w:instrText xml:space="preserve"> PAGEREF _Toc491259721 \h </w:instrText>
      </w:r>
      <w:r>
        <w:rPr>
          <w:noProof/>
        </w:rPr>
      </w:r>
      <w:r>
        <w:rPr>
          <w:noProof/>
        </w:rPr>
        <w:fldChar w:fldCharType="separate"/>
      </w:r>
      <w:r>
        <w:rPr>
          <w:noProof/>
        </w:rPr>
        <w:t>14</w:t>
      </w:r>
      <w:r>
        <w:rPr>
          <w:noProof/>
        </w:rPr>
        <w:fldChar w:fldCharType="end"/>
      </w:r>
    </w:p>
    <w:p w14:paraId="0918303A"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t>2.7</w:t>
      </w:r>
      <w:r>
        <w:rPr>
          <w:rFonts w:asciiTheme="minorHAnsi" w:eastAsiaTheme="minorEastAsia" w:hAnsiTheme="minorHAnsi" w:cstheme="minorBidi"/>
          <w:noProof/>
          <w:szCs w:val="22"/>
          <w:lang w:eastAsia="en-NZ"/>
        </w:rPr>
        <w:tab/>
      </w:r>
      <w:r>
        <w:rPr>
          <w:noProof/>
        </w:rPr>
        <w:t>Privacy impact assessments</w:t>
      </w:r>
      <w:r>
        <w:rPr>
          <w:noProof/>
        </w:rPr>
        <w:tab/>
      </w:r>
      <w:r>
        <w:rPr>
          <w:noProof/>
        </w:rPr>
        <w:fldChar w:fldCharType="begin"/>
      </w:r>
      <w:r>
        <w:rPr>
          <w:noProof/>
        </w:rPr>
        <w:instrText xml:space="preserve"> PAGEREF _Toc491259722 \h </w:instrText>
      </w:r>
      <w:r>
        <w:rPr>
          <w:noProof/>
        </w:rPr>
      </w:r>
      <w:r>
        <w:rPr>
          <w:noProof/>
        </w:rPr>
        <w:fldChar w:fldCharType="separate"/>
      </w:r>
      <w:r>
        <w:rPr>
          <w:noProof/>
        </w:rPr>
        <w:t>14</w:t>
      </w:r>
      <w:r>
        <w:rPr>
          <w:noProof/>
        </w:rPr>
        <w:fldChar w:fldCharType="end"/>
      </w:r>
    </w:p>
    <w:p w14:paraId="7FFED78A" w14:textId="77777777" w:rsidR="00E6085D" w:rsidRDefault="00E6085D">
      <w:pPr>
        <w:pStyle w:val="TOC1"/>
        <w:rPr>
          <w:rFonts w:asciiTheme="minorHAnsi" w:eastAsiaTheme="minorEastAsia" w:hAnsiTheme="minorHAnsi" w:cstheme="minorBidi"/>
          <w:b w:val="0"/>
          <w:noProof/>
          <w:color w:val="auto"/>
          <w:szCs w:val="22"/>
          <w:lang w:eastAsia="en-NZ"/>
        </w:rPr>
      </w:pPr>
      <w:r>
        <w:rPr>
          <w:noProof/>
        </w:rPr>
        <w:t>3</w:t>
      </w:r>
      <w:r>
        <w:rPr>
          <w:rFonts w:asciiTheme="minorHAnsi" w:eastAsiaTheme="minorEastAsia" w:hAnsiTheme="minorHAnsi" w:cstheme="minorBidi"/>
          <w:b w:val="0"/>
          <w:noProof/>
          <w:color w:val="auto"/>
          <w:szCs w:val="22"/>
          <w:lang w:eastAsia="en-NZ"/>
        </w:rPr>
        <w:tab/>
      </w:r>
      <w:r>
        <w:rPr>
          <w:noProof/>
        </w:rPr>
        <w:t>Upholding consumer rights and maintaining transparency</w:t>
      </w:r>
      <w:r>
        <w:rPr>
          <w:noProof/>
        </w:rPr>
        <w:tab/>
      </w:r>
      <w:r>
        <w:rPr>
          <w:noProof/>
        </w:rPr>
        <w:fldChar w:fldCharType="begin"/>
      </w:r>
      <w:r>
        <w:rPr>
          <w:noProof/>
        </w:rPr>
        <w:instrText xml:space="preserve"> PAGEREF _Toc491259723 \h </w:instrText>
      </w:r>
      <w:r>
        <w:rPr>
          <w:noProof/>
        </w:rPr>
      </w:r>
      <w:r>
        <w:rPr>
          <w:noProof/>
        </w:rPr>
        <w:fldChar w:fldCharType="separate"/>
      </w:r>
      <w:r>
        <w:rPr>
          <w:noProof/>
        </w:rPr>
        <w:t>16</w:t>
      </w:r>
      <w:r>
        <w:rPr>
          <w:noProof/>
        </w:rPr>
        <w:fldChar w:fldCharType="end"/>
      </w:r>
    </w:p>
    <w:p w14:paraId="6E9FCB5B"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t>3.1</w:t>
      </w:r>
      <w:r>
        <w:rPr>
          <w:rFonts w:asciiTheme="minorHAnsi" w:eastAsiaTheme="minorEastAsia" w:hAnsiTheme="minorHAnsi" w:cstheme="minorBidi"/>
          <w:noProof/>
          <w:szCs w:val="22"/>
          <w:lang w:eastAsia="en-NZ"/>
        </w:rPr>
        <w:tab/>
      </w:r>
      <w:r>
        <w:rPr>
          <w:noProof/>
        </w:rPr>
        <w:t>Objective</w:t>
      </w:r>
      <w:r>
        <w:rPr>
          <w:noProof/>
        </w:rPr>
        <w:tab/>
      </w:r>
      <w:r>
        <w:rPr>
          <w:noProof/>
        </w:rPr>
        <w:fldChar w:fldCharType="begin"/>
      </w:r>
      <w:r>
        <w:rPr>
          <w:noProof/>
        </w:rPr>
        <w:instrText xml:space="preserve"> PAGEREF _Toc491259724 \h </w:instrText>
      </w:r>
      <w:r>
        <w:rPr>
          <w:noProof/>
        </w:rPr>
      </w:r>
      <w:r>
        <w:rPr>
          <w:noProof/>
        </w:rPr>
        <w:fldChar w:fldCharType="separate"/>
      </w:r>
      <w:r>
        <w:rPr>
          <w:noProof/>
        </w:rPr>
        <w:t>16</w:t>
      </w:r>
      <w:r>
        <w:rPr>
          <w:noProof/>
        </w:rPr>
        <w:fldChar w:fldCharType="end"/>
      </w:r>
    </w:p>
    <w:p w14:paraId="03495693"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t>3.2</w:t>
      </w:r>
      <w:r>
        <w:rPr>
          <w:rFonts w:asciiTheme="minorHAnsi" w:eastAsiaTheme="minorEastAsia" w:hAnsiTheme="minorHAnsi" w:cstheme="minorBidi"/>
          <w:noProof/>
          <w:szCs w:val="22"/>
          <w:lang w:eastAsia="en-NZ"/>
        </w:rPr>
        <w:tab/>
      </w:r>
      <w:r>
        <w:rPr>
          <w:noProof/>
        </w:rPr>
        <w:t>Policy statements</w:t>
      </w:r>
      <w:r>
        <w:rPr>
          <w:noProof/>
        </w:rPr>
        <w:tab/>
      </w:r>
      <w:r>
        <w:rPr>
          <w:noProof/>
        </w:rPr>
        <w:fldChar w:fldCharType="begin"/>
      </w:r>
      <w:r>
        <w:rPr>
          <w:noProof/>
        </w:rPr>
        <w:instrText xml:space="preserve"> PAGEREF _Toc491259725 \h </w:instrText>
      </w:r>
      <w:r>
        <w:rPr>
          <w:noProof/>
        </w:rPr>
      </w:r>
      <w:r>
        <w:rPr>
          <w:noProof/>
        </w:rPr>
        <w:fldChar w:fldCharType="separate"/>
      </w:r>
      <w:r>
        <w:rPr>
          <w:noProof/>
        </w:rPr>
        <w:t>16</w:t>
      </w:r>
      <w:r>
        <w:rPr>
          <w:noProof/>
        </w:rPr>
        <w:fldChar w:fldCharType="end"/>
      </w:r>
    </w:p>
    <w:p w14:paraId="2F8B0A43"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t>3.3</w:t>
      </w:r>
      <w:r>
        <w:rPr>
          <w:rFonts w:asciiTheme="minorHAnsi" w:eastAsiaTheme="minorEastAsia" w:hAnsiTheme="minorHAnsi" w:cstheme="minorBidi"/>
          <w:noProof/>
          <w:szCs w:val="22"/>
          <w:lang w:eastAsia="en-NZ"/>
        </w:rPr>
        <w:tab/>
      </w:r>
      <w:r>
        <w:rPr>
          <w:noProof/>
        </w:rPr>
        <w:t>Health literacy</w:t>
      </w:r>
      <w:r>
        <w:rPr>
          <w:noProof/>
        </w:rPr>
        <w:tab/>
      </w:r>
      <w:r>
        <w:rPr>
          <w:noProof/>
        </w:rPr>
        <w:fldChar w:fldCharType="begin"/>
      </w:r>
      <w:r>
        <w:rPr>
          <w:noProof/>
        </w:rPr>
        <w:instrText xml:space="preserve"> PAGEREF _Toc491259726 \h </w:instrText>
      </w:r>
      <w:r>
        <w:rPr>
          <w:noProof/>
        </w:rPr>
      </w:r>
      <w:r>
        <w:rPr>
          <w:noProof/>
        </w:rPr>
        <w:fldChar w:fldCharType="separate"/>
      </w:r>
      <w:r>
        <w:rPr>
          <w:noProof/>
        </w:rPr>
        <w:t>17</w:t>
      </w:r>
      <w:r>
        <w:rPr>
          <w:noProof/>
        </w:rPr>
        <w:fldChar w:fldCharType="end"/>
      </w:r>
    </w:p>
    <w:p w14:paraId="0415836A"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t>3.4</w:t>
      </w:r>
      <w:r>
        <w:rPr>
          <w:rFonts w:asciiTheme="minorHAnsi" w:eastAsiaTheme="minorEastAsia" w:hAnsiTheme="minorHAnsi" w:cstheme="minorBidi"/>
          <w:noProof/>
          <w:szCs w:val="22"/>
          <w:lang w:eastAsia="en-NZ"/>
        </w:rPr>
        <w:tab/>
      </w:r>
      <w:r>
        <w:rPr>
          <w:noProof/>
        </w:rPr>
        <w:t>Information on privacy, patient notification and consent</w:t>
      </w:r>
      <w:r>
        <w:rPr>
          <w:noProof/>
        </w:rPr>
        <w:tab/>
      </w:r>
      <w:r>
        <w:rPr>
          <w:noProof/>
        </w:rPr>
        <w:fldChar w:fldCharType="begin"/>
      </w:r>
      <w:r>
        <w:rPr>
          <w:noProof/>
        </w:rPr>
        <w:instrText xml:space="preserve"> PAGEREF _Toc491259727 \h </w:instrText>
      </w:r>
      <w:r>
        <w:rPr>
          <w:noProof/>
        </w:rPr>
      </w:r>
      <w:r>
        <w:rPr>
          <w:noProof/>
        </w:rPr>
        <w:fldChar w:fldCharType="separate"/>
      </w:r>
      <w:r>
        <w:rPr>
          <w:noProof/>
        </w:rPr>
        <w:t>18</w:t>
      </w:r>
      <w:r>
        <w:rPr>
          <w:noProof/>
        </w:rPr>
        <w:fldChar w:fldCharType="end"/>
      </w:r>
    </w:p>
    <w:p w14:paraId="485F202C"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t>3.5</w:t>
      </w:r>
      <w:r>
        <w:rPr>
          <w:rFonts w:asciiTheme="minorHAnsi" w:eastAsiaTheme="minorEastAsia" w:hAnsiTheme="minorHAnsi" w:cstheme="minorBidi"/>
          <w:noProof/>
          <w:szCs w:val="22"/>
          <w:lang w:eastAsia="en-NZ"/>
        </w:rPr>
        <w:tab/>
      </w:r>
      <w:r>
        <w:rPr>
          <w:noProof/>
        </w:rPr>
        <w:t>Rights of access and correction</w:t>
      </w:r>
      <w:r>
        <w:rPr>
          <w:noProof/>
        </w:rPr>
        <w:tab/>
      </w:r>
      <w:r>
        <w:rPr>
          <w:noProof/>
        </w:rPr>
        <w:fldChar w:fldCharType="begin"/>
      </w:r>
      <w:r>
        <w:rPr>
          <w:noProof/>
        </w:rPr>
        <w:instrText xml:space="preserve"> PAGEREF _Toc491259728 \h </w:instrText>
      </w:r>
      <w:r>
        <w:rPr>
          <w:noProof/>
        </w:rPr>
      </w:r>
      <w:r>
        <w:rPr>
          <w:noProof/>
        </w:rPr>
        <w:fldChar w:fldCharType="separate"/>
      </w:r>
      <w:r>
        <w:rPr>
          <w:noProof/>
        </w:rPr>
        <w:t>19</w:t>
      </w:r>
      <w:r>
        <w:rPr>
          <w:noProof/>
        </w:rPr>
        <w:fldChar w:fldCharType="end"/>
      </w:r>
    </w:p>
    <w:p w14:paraId="04620756"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t>3.6</w:t>
      </w:r>
      <w:r>
        <w:rPr>
          <w:rFonts w:asciiTheme="minorHAnsi" w:eastAsiaTheme="minorEastAsia" w:hAnsiTheme="minorHAnsi" w:cstheme="minorBidi"/>
          <w:noProof/>
          <w:szCs w:val="22"/>
          <w:lang w:eastAsia="en-NZ"/>
        </w:rPr>
        <w:tab/>
      </w:r>
      <w:r>
        <w:rPr>
          <w:noProof/>
        </w:rPr>
        <w:t>Training and education</w:t>
      </w:r>
      <w:r>
        <w:rPr>
          <w:noProof/>
        </w:rPr>
        <w:tab/>
      </w:r>
      <w:r>
        <w:rPr>
          <w:noProof/>
        </w:rPr>
        <w:fldChar w:fldCharType="begin"/>
      </w:r>
      <w:r>
        <w:rPr>
          <w:noProof/>
        </w:rPr>
        <w:instrText xml:space="preserve"> PAGEREF _Toc491259729 \h </w:instrText>
      </w:r>
      <w:r>
        <w:rPr>
          <w:noProof/>
        </w:rPr>
      </w:r>
      <w:r>
        <w:rPr>
          <w:noProof/>
        </w:rPr>
        <w:fldChar w:fldCharType="separate"/>
      </w:r>
      <w:r>
        <w:rPr>
          <w:noProof/>
        </w:rPr>
        <w:t>21</w:t>
      </w:r>
      <w:r>
        <w:rPr>
          <w:noProof/>
        </w:rPr>
        <w:fldChar w:fldCharType="end"/>
      </w:r>
    </w:p>
    <w:p w14:paraId="3FC02F6E"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t>3.7</w:t>
      </w:r>
      <w:r>
        <w:rPr>
          <w:rFonts w:asciiTheme="minorHAnsi" w:eastAsiaTheme="minorEastAsia" w:hAnsiTheme="minorHAnsi" w:cstheme="minorBidi"/>
          <w:noProof/>
          <w:szCs w:val="22"/>
          <w:lang w:eastAsia="en-NZ"/>
        </w:rPr>
        <w:tab/>
      </w:r>
      <w:r>
        <w:rPr>
          <w:noProof/>
        </w:rPr>
        <w:t>Audit logs and proximity reports</w:t>
      </w:r>
      <w:r>
        <w:rPr>
          <w:noProof/>
        </w:rPr>
        <w:tab/>
      </w:r>
      <w:r>
        <w:rPr>
          <w:noProof/>
        </w:rPr>
        <w:fldChar w:fldCharType="begin"/>
      </w:r>
      <w:r>
        <w:rPr>
          <w:noProof/>
        </w:rPr>
        <w:instrText xml:space="preserve"> PAGEREF _Toc491259730 \h </w:instrText>
      </w:r>
      <w:r>
        <w:rPr>
          <w:noProof/>
        </w:rPr>
      </w:r>
      <w:r>
        <w:rPr>
          <w:noProof/>
        </w:rPr>
        <w:fldChar w:fldCharType="separate"/>
      </w:r>
      <w:r>
        <w:rPr>
          <w:noProof/>
        </w:rPr>
        <w:t>21</w:t>
      </w:r>
      <w:r>
        <w:rPr>
          <w:noProof/>
        </w:rPr>
        <w:fldChar w:fldCharType="end"/>
      </w:r>
    </w:p>
    <w:p w14:paraId="4AE869D9"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t>3.8</w:t>
      </w:r>
      <w:r>
        <w:rPr>
          <w:rFonts w:asciiTheme="minorHAnsi" w:eastAsiaTheme="minorEastAsia" w:hAnsiTheme="minorHAnsi" w:cstheme="minorBidi"/>
          <w:noProof/>
          <w:szCs w:val="22"/>
          <w:lang w:eastAsia="en-NZ"/>
        </w:rPr>
        <w:tab/>
      </w:r>
      <w:r>
        <w:rPr>
          <w:noProof/>
        </w:rPr>
        <w:t>Patient portals</w:t>
      </w:r>
      <w:r>
        <w:rPr>
          <w:noProof/>
        </w:rPr>
        <w:tab/>
      </w:r>
      <w:r>
        <w:rPr>
          <w:noProof/>
        </w:rPr>
        <w:fldChar w:fldCharType="begin"/>
      </w:r>
      <w:r>
        <w:rPr>
          <w:noProof/>
        </w:rPr>
        <w:instrText xml:space="preserve"> PAGEREF _Toc491259731 \h </w:instrText>
      </w:r>
      <w:r>
        <w:rPr>
          <w:noProof/>
        </w:rPr>
      </w:r>
      <w:r>
        <w:rPr>
          <w:noProof/>
        </w:rPr>
        <w:fldChar w:fldCharType="separate"/>
      </w:r>
      <w:r>
        <w:rPr>
          <w:noProof/>
        </w:rPr>
        <w:t>22</w:t>
      </w:r>
      <w:r>
        <w:rPr>
          <w:noProof/>
        </w:rPr>
        <w:fldChar w:fldCharType="end"/>
      </w:r>
    </w:p>
    <w:p w14:paraId="51319055" w14:textId="77777777" w:rsidR="00E6085D" w:rsidRDefault="00E6085D">
      <w:pPr>
        <w:pStyle w:val="TOC1"/>
        <w:rPr>
          <w:rFonts w:asciiTheme="minorHAnsi" w:eastAsiaTheme="minorEastAsia" w:hAnsiTheme="minorHAnsi" w:cstheme="minorBidi"/>
          <w:b w:val="0"/>
          <w:noProof/>
          <w:color w:val="auto"/>
          <w:szCs w:val="22"/>
          <w:lang w:eastAsia="en-NZ"/>
        </w:rPr>
      </w:pPr>
      <w:r>
        <w:rPr>
          <w:noProof/>
        </w:rPr>
        <w:t>4</w:t>
      </w:r>
      <w:r>
        <w:rPr>
          <w:rFonts w:asciiTheme="minorHAnsi" w:eastAsiaTheme="minorEastAsia" w:hAnsiTheme="minorHAnsi" w:cstheme="minorBidi"/>
          <w:b w:val="0"/>
          <w:noProof/>
          <w:color w:val="auto"/>
          <w:szCs w:val="22"/>
          <w:lang w:eastAsia="en-NZ"/>
        </w:rPr>
        <w:tab/>
      </w:r>
      <w:r>
        <w:rPr>
          <w:noProof/>
        </w:rPr>
        <w:t>Appropriate disclosure and sharing</w:t>
      </w:r>
      <w:r>
        <w:rPr>
          <w:noProof/>
        </w:rPr>
        <w:tab/>
      </w:r>
      <w:r>
        <w:rPr>
          <w:noProof/>
        </w:rPr>
        <w:fldChar w:fldCharType="begin"/>
      </w:r>
      <w:r>
        <w:rPr>
          <w:noProof/>
        </w:rPr>
        <w:instrText xml:space="preserve"> PAGEREF _Toc491259732 \h </w:instrText>
      </w:r>
      <w:r>
        <w:rPr>
          <w:noProof/>
        </w:rPr>
      </w:r>
      <w:r>
        <w:rPr>
          <w:noProof/>
        </w:rPr>
        <w:fldChar w:fldCharType="separate"/>
      </w:r>
      <w:r>
        <w:rPr>
          <w:noProof/>
        </w:rPr>
        <w:t>24</w:t>
      </w:r>
      <w:r>
        <w:rPr>
          <w:noProof/>
        </w:rPr>
        <w:fldChar w:fldCharType="end"/>
      </w:r>
    </w:p>
    <w:p w14:paraId="757AF94C"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t>4.1</w:t>
      </w:r>
      <w:r>
        <w:rPr>
          <w:rFonts w:asciiTheme="minorHAnsi" w:eastAsiaTheme="minorEastAsia" w:hAnsiTheme="minorHAnsi" w:cstheme="minorBidi"/>
          <w:noProof/>
          <w:szCs w:val="22"/>
          <w:lang w:eastAsia="en-NZ"/>
        </w:rPr>
        <w:tab/>
      </w:r>
      <w:r>
        <w:rPr>
          <w:noProof/>
        </w:rPr>
        <w:t>Objective</w:t>
      </w:r>
      <w:r>
        <w:rPr>
          <w:noProof/>
        </w:rPr>
        <w:tab/>
      </w:r>
      <w:r>
        <w:rPr>
          <w:noProof/>
        </w:rPr>
        <w:fldChar w:fldCharType="begin"/>
      </w:r>
      <w:r>
        <w:rPr>
          <w:noProof/>
        </w:rPr>
        <w:instrText xml:space="preserve"> PAGEREF _Toc491259733 \h </w:instrText>
      </w:r>
      <w:r>
        <w:rPr>
          <w:noProof/>
        </w:rPr>
      </w:r>
      <w:r>
        <w:rPr>
          <w:noProof/>
        </w:rPr>
        <w:fldChar w:fldCharType="separate"/>
      </w:r>
      <w:r>
        <w:rPr>
          <w:noProof/>
        </w:rPr>
        <w:t>24</w:t>
      </w:r>
      <w:r>
        <w:rPr>
          <w:noProof/>
        </w:rPr>
        <w:fldChar w:fldCharType="end"/>
      </w:r>
    </w:p>
    <w:p w14:paraId="09BAD272"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t>4.2</w:t>
      </w:r>
      <w:r>
        <w:rPr>
          <w:rFonts w:asciiTheme="minorHAnsi" w:eastAsiaTheme="minorEastAsia" w:hAnsiTheme="minorHAnsi" w:cstheme="minorBidi"/>
          <w:noProof/>
          <w:szCs w:val="22"/>
          <w:lang w:eastAsia="en-NZ"/>
        </w:rPr>
        <w:tab/>
      </w:r>
      <w:r>
        <w:rPr>
          <w:noProof/>
        </w:rPr>
        <w:t>Policy statements</w:t>
      </w:r>
      <w:r>
        <w:rPr>
          <w:noProof/>
        </w:rPr>
        <w:tab/>
      </w:r>
      <w:r>
        <w:rPr>
          <w:noProof/>
        </w:rPr>
        <w:fldChar w:fldCharType="begin"/>
      </w:r>
      <w:r>
        <w:rPr>
          <w:noProof/>
        </w:rPr>
        <w:instrText xml:space="preserve"> PAGEREF _Toc491259734 \h </w:instrText>
      </w:r>
      <w:r>
        <w:rPr>
          <w:noProof/>
        </w:rPr>
      </w:r>
      <w:r>
        <w:rPr>
          <w:noProof/>
        </w:rPr>
        <w:fldChar w:fldCharType="separate"/>
      </w:r>
      <w:r>
        <w:rPr>
          <w:noProof/>
        </w:rPr>
        <w:t>24</w:t>
      </w:r>
      <w:r>
        <w:rPr>
          <w:noProof/>
        </w:rPr>
        <w:fldChar w:fldCharType="end"/>
      </w:r>
    </w:p>
    <w:p w14:paraId="5F282060"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t>4.3</w:t>
      </w:r>
      <w:r>
        <w:rPr>
          <w:rFonts w:asciiTheme="minorHAnsi" w:eastAsiaTheme="minorEastAsia" w:hAnsiTheme="minorHAnsi" w:cstheme="minorBidi"/>
          <w:noProof/>
          <w:szCs w:val="22"/>
          <w:lang w:eastAsia="en-NZ"/>
        </w:rPr>
        <w:tab/>
      </w:r>
      <w:r>
        <w:rPr>
          <w:noProof/>
        </w:rPr>
        <w:t>Consumer preferences for sharing information through shared care and electronic health record systems</w:t>
      </w:r>
      <w:r>
        <w:rPr>
          <w:noProof/>
        </w:rPr>
        <w:tab/>
      </w:r>
      <w:r>
        <w:rPr>
          <w:noProof/>
        </w:rPr>
        <w:fldChar w:fldCharType="begin"/>
      </w:r>
      <w:r>
        <w:rPr>
          <w:noProof/>
        </w:rPr>
        <w:instrText xml:space="preserve"> PAGEREF _Toc491259735 \h </w:instrText>
      </w:r>
      <w:r>
        <w:rPr>
          <w:noProof/>
        </w:rPr>
      </w:r>
      <w:r>
        <w:rPr>
          <w:noProof/>
        </w:rPr>
        <w:fldChar w:fldCharType="separate"/>
      </w:r>
      <w:r>
        <w:rPr>
          <w:noProof/>
        </w:rPr>
        <w:t>25</w:t>
      </w:r>
      <w:r>
        <w:rPr>
          <w:noProof/>
        </w:rPr>
        <w:fldChar w:fldCharType="end"/>
      </w:r>
    </w:p>
    <w:p w14:paraId="216EEF39"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t>4.4</w:t>
      </w:r>
      <w:r>
        <w:rPr>
          <w:rFonts w:asciiTheme="minorHAnsi" w:eastAsiaTheme="minorEastAsia" w:hAnsiTheme="minorHAnsi" w:cstheme="minorBidi"/>
          <w:noProof/>
          <w:szCs w:val="22"/>
          <w:lang w:eastAsia="en-NZ"/>
        </w:rPr>
        <w:tab/>
      </w:r>
      <w:r>
        <w:rPr>
          <w:noProof/>
        </w:rPr>
        <w:t>Disclosure outside the health and disability sector</w:t>
      </w:r>
      <w:r>
        <w:rPr>
          <w:noProof/>
        </w:rPr>
        <w:tab/>
      </w:r>
      <w:r>
        <w:rPr>
          <w:noProof/>
        </w:rPr>
        <w:fldChar w:fldCharType="begin"/>
      </w:r>
      <w:r>
        <w:rPr>
          <w:noProof/>
        </w:rPr>
        <w:instrText xml:space="preserve"> PAGEREF _Toc491259736 \h </w:instrText>
      </w:r>
      <w:r>
        <w:rPr>
          <w:noProof/>
        </w:rPr>
      </w:r>
      <w:r>
        <w:rPr>
          <w:noProof/>
        </w:rPr>
        <w:fldChar w:fldCharType="separate"/>
      </w:r>
      <w:r>
        <w:rPr>
          <w:noProof/>
        </w:rPr>
        <w:t>27</w:t>
      </w:r>
      <w:r>
        <w:rPr>
          <w:noProof/>
        </w:rPr>
        <w:fldChar w:fldCharType="end"/>
      </w:r>
    </w:p>
    <w:p w14:paraId="37DC2A36"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t>4.5</w:t>
      </w:r>
      <w:r>
        <w:rPr>
          <w:rFonts w:asciiTheme="minorHAnsi" w:eastAsiaTheme="minorEastAsia" w:hAnsiTheme="minorHAnsi" w:cstheme="minorBidi"/>
          <w:noProof/>
          <w:szCs w:val="22"/>
          <w:lang w:eastAsia="en-NZ"/>
        </w:rPr>
        <w:tab/>
      </w:r>
      <w:r>
        <w:rPr>
          <w:noProof/>
        </w:rPr>
        <w:t>Secondary use of information</w:t>
      </w:r>
      <w:r>
        <w:rPr>
          <w:noProof/>
        </w:rPr>
        <w:tab/>
      </w:r>
      <w:r>
        <w:rPr>
          <w:noProof/>
        </w:rPr>
        <w:fldChar w:fldCharType="begin"/>
      </w:r>
      <w:r>
        <w:rPr>
          <w:noProof/>
        </w:rPr>
        <w:instrText xml:space="preserve"> PAGEREF _Toc491259737 \h </w:instrText>
      </w:r>
      <w:r>
        <w:rPr>
          <w:noProof/>
        </w:rPr>
      </w:r>
      <w:r>
        <w:rPr>
          <w:noProof/>
        </w:rPr>
        <w:fldChar w:fldCharType="separate"/>
      </w:r>
      <w:r>
        <w:rPr>
          <w:noProof/>
        </w:rPr>
        <w:t>28</w:t>
      </w:r>
      <w:r>
        <w:rPr>
          <w:noProof/>
        </w:rPr>
        <w:fldChar w:fldCharType="end"/>
      </w:r>
    </w:p>
    <w:p w14:paraId="144C1E8E"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t>4.6</w:t>
      </w:r>
      <w:r>
        <w:rPr>
          <w:rFonts w:asciiTheme="minorHAnsi" w:eastAsiaTheme="minorEastAsia" w:hAnsiTheme="minorHAnsi" w:cstheme="minorBidi"/>
          <w:noProof/>
          <w:szCs w:val="22"/>
          <w:lang w:eastAsia="en-NZ"/>
        </w:rPr>
        <w:tab/>
      </w:r>
      <w:r>
        <w:rPr>
          <w:noProof/>
        </w:rPr>
        <w:t>Access control</w:t>
      </w:r>
      <w:r>
        <w:rPr>
          <w:noProof/>
        </w:rPr>
        <w:tab/>
      </w:r>
      <w:r>
        <w:rPr>
          <w:noProof/>
        </w:rPr>
        <w:fldChar w:fldCharType="begin"/>
      </w:r>
      <w:r>
        <w:rPr>
          <w:noProof/>
        </w:rPr>
        <w:instrText xml:space="preserve"> PAGEREF _Toc491259738 \h </w:instrText>
      </w:r>
      <w:r>
        <w:rPr>
          <w:noProof/>
        </w:rPr>
      </w:r>
      <w:r>
        <w:rPr>
          <w:noProof/>
        </w:rPr>
        <w:fldChar w:fldCharType="separate"/>
      </w:r>
      <w:r>
        <w:rPr>
          <w:noProof/>
        </w:rPr>
        <w:t>29</w:t>
      </w:r>
      <w:r>
        <w:rPr>
          <w:noProof/>
        </w:rPr>
        <w:fldChar w:fldCharType="end"/>
      </w:r>
    </w:p>
    <w:p w14:paraId="473CE542"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t>4.7</w:t>
      </w:r>
      <w:r>
        <w:rPr>
          <w:rFonts w:asciiTheme="minorHAnsi" w:eastAsiaTheme="minorEastAsia" w:hAnsiTheme="minorHAnsi" w:cstheme="minorBidi"/>
          <w:noProof/>
          <w:szCs w:val="22"/>
          <w:lang w:eastAsia="en-NZ"/>
        </w:rPr>
        <w:tab/>
      </w:r>
      <w:r>
        <w:rPr>
          <w:noProof/>
        </w:rPr>
        <w:t>Role-based access control</w:t>
      </w:r>
      <w:r>
        <w:rPr>
          <w:noProof/>
        </w:rPr>
        <w:tab/>
      </w:r>
      <w:r>
        <w:rPr>
          <w:noProof/>
        </w:rPr>
        <w:fldChar w:fldCharType="begin"/>
      </w:r>
      <w:r>
        <w:rPr>
          <w:noProof/>
        </w:rPr>
        <w:instrText xml:space="preserve"> PAGEREF _Toc491259739 \h </w:instrText>
      </w:r>
      <w:r>
        <w:rPr>
          <w:noProof/>
        </w:rPr>
      </w:r>
      <w:r>
        <w:rPr>
          <w:noProof/>
        </w:rPr>
        <w:fldChar w:fldCharType="separate"/>
      </w:r>
      <w:r>
        <w:rPr>
          <w:noProof/>
        </w:rPr>
        <w:t>30</w:t>
      </w:r>
      <w:r>
        <w:rPr>
          <w:noProof/>
        </w:rPr>
        <w:fldChar w:fldCharType="end"/>
      </w:r>
    </w:p>
    <w:p w14:paraId="0633ED3F"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t>4.8</w:t>
      </w:r>
      <w:r>
        <w:rPr>
          <w:rFonts w:asciiTheme="minorHAnsi" w:eastAsiaTheme="minorEastAsia" w:hAnsiTheme="minorHAnsi" w:cstheme="minorBidi"/>
          <w:noProof/>
          <w:szCs w:val="22"/>
          <w:lang w:eastAsia="en-NZ"/>
        </w:rPr>
        <w:tab/>
      </w:r>
      <w:r>
        <w:rPr>
          <w:noProof/>
        </w:rPr>
        <w:t>Resource</w:t>
      </w:r>
      <w:r>
        <w:rPr>
          <w:noProof/>
        </w:rPr>
        <w:tab/>
      </w:r>
      <w:r>
        <w:rPr>
          <w:noProof/>
        </w:rPr>
        <w:fldChar w:fldCharType="begin"/>
      </w:r>
      <w:r>
        <w:rPr>
          <w:noProof/>
        </w:rPr>
        <w:instrText xml:space="preserve"> PAGEREF _Toc491259740 \h </w:instrText>
      </w:r>
      <w:r>
        <w:rPr>
          <w:noProof/>
        </w:rPr>
      </w:r>
      <w:r>
        <w:rPr>
          <w:noProof/>
        </w:rPr>
        <w:fldChar w:fldCharType="separate"/>
      </w:r>
      <w:r>
        <w:rPr>
          <w:noProof/>
        </w:rPr>
        <w:t>31</w:t>
      </w:r>
      <w:r>
        <w:rPr>
          <w:noProof/>
        </w:rPr>
        <w:fldChar w:fldCharType="end"/>
      </w:r>
    </w:p>
    <w:p w14:paraId="11213C51" w14:textId="77777777" w:rsidR="00E6085D" w:rsidRDefault="00E6085D">
      <w:pPr>
        <w:pStyle w:val="TOC1"/>
        <w:rPr>
          <w:rFonts w:asciiTheme="minorHAnsi" w:eastAsiaTheme="minorEastAsia" w:hAnsiTheme="minorHAnsi" w:cstheme="minorBidi"/>
          <w:b w:val="0"/>
          <w:noProof/>
          <w:color w:val="auto"/>
          <w:szCs w:val="22"/>
          <w:lang w:eastAsia="en-NZ"/>
        </w:rPr>
      </w:pPr>
      <w:r>
        <w:rPr>
          <w:noProof/>
        </w:rPr>
        <w:t>5</w:t>
      </w:r>
      <w:r>
        <w:rPr>
          <w:rFonts w:asciiTheme="minorHAnsi" w:eastAsiaTheme="minorEastAsia" w:hAnsiTheme="minorHAnsi" w:cstheme="minorBidi"/>
          <w:b w:val="0"/>
          <w:noProof/>
          <w:color w:val="auto"/>
          <w:szCs w:val="22"/>
          <w:lang w:eastAsia="en-NZ"/>
        </w:rPr>
        <w:tab/>
      </w:r>
      <w:r>
        <w:rPr>
          <w:noProof/>
        </w:rPr>
        <w:t>Securing and protecting personal health information</w:t>
      </w:r>
      <w:r>
        <w:rPr>
          <w:noProof/>
        </w:rPr>
        <w:tab/>
      </w:r>
      <w:r>
        <w:rPr>
          <w:noProof/>
        </w:rPr>
        <w:fldChar w:fldCharType="begin"/>
      </w:r>
      <w:r>
        <w:rPr>
          <w:noProof/>
        </w:rPr>
        <w:instrText xml:space="preserve"> PAGEREF _Toc491259741 \h </w:instrText>
      </w:r>
      <w:r>
        <w:rPr>
          <w:noProof/>
        </w:rPr>
      </w:r>
      <w:r>
        <w:rPr>
          <w:noProof/>
        </w:rPr>
        <w:fldChar w:fldCharType="separate"/>
      </w:r>
      <w:r>
        <w:rPr>
          <w:noProof/>
        </w:rPr>
        <w:t>32</w:t>
      </w:r>
      <w:r>
        <w:rPr>
          <w:noProof/>
        </w:rPr>
        <w:fldChar w:fldCharType="end"/>
      </w:r>
    </w:p>
    <w:p w14:paraId="4313AC45"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lastRenderedPageBreak/>
        <w:t>5.1</w:t>
      </w:r>
      <w:r>
        <w:rPr>
          <w:rFonts w:asciiTheme="minorHAnsi" w:eastAsiaTheme="minorEastAsia" w:hAnsiTheme="minorHAnsi" w:cstheme="minorBidi"/>
          <w:noProof/>
          <w:szCs w:val="22"/>
          <w:lang w:eastAsia="en-NZ"/>
        </w:rPr>
        <w:tab/>
      </w:r>
      <w:r>
        <w:rPr>
          <w:noProof/>
        </w:rPr>
        <w:t>Objective</w:t>
      </w:r>
      <w:r>
        <w:rPr>
          <w:noProof/>
        </w:rPr>
        <w:tab/>
      </w:r>
      <w:r>
        <w:rPr>
          <w:noProof/>
        </w:rPr>
        <w:fldChar w:fldCharType="begin"/>
      </w:r>
      <w:r>
        <w:rPr>
          <w:noProof/>
        </w:rPr>
        <w:instrText xml:space="preserve"> PAGEREF _Toc491259742 \h </w:instrText>
      </w:r>
      <w:r>
        <w:rPr>
          <w:noProof/>
        </w:rPr>
      </w:r>
      <w:r>
        <w:rPr>
          <w:noProof/>
        </w:rPr>
        <w:fldChar w:fldCharType="separate"/>
      </w:r>
      <w:r>
        <w:rPr>
          <w:noProof/>
        </w:rPr>
        <w:t>32</w:t>
      </w:r>
      <w:r>
        <w:rPr>
          <w:noProof/>
        </w:rPr>
        <w:fldChar w:fldCharType="end"/>
      </w:r>
    </w:p>
    <w:p w14:paraId="64C4996C"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t>5.2</w:t>
      </w:r>
      <w:r>
        <w:rPr>
          <w:rFonts w:asciiTheme="minorHAnsi" w:eastAsiaTheme="minorEastAsia" w:hAnsiTheme="minorHAnsi" w:cstheme="minorBidi"/>
          <w:noProof/>
          <w:szCs w:val="22"/>
          <w:lang w:eastAsia="en-NZ"/>
        </w:rPr>
        <w:tab/>
      </w:r>
      <w:r>
        <w:rPr>
          <w:noProof/>
        </w:rPr>
        <w:t>Policy statements</w:t>
      </w:r>
      <w:r>
        <w:rPr>
          <w:noProof/>
        </w:rPr>
        <w:tab/>
      </w:r>
      <w:r>
        <w:rPr>
          <w:noProof/>
        </w:rPr>
        <w:fldChar w:fldCharType="begin"/>
      </w:r>
      <w:r>
        <w:rPr>
          <w:noProof/>
        </w:rPr>
        <w:instrText xml:space="preserve"> PAGEREF _Toc491259743 \h </w:instrText>
      </w:r>
      <w:r>
        <w:rPr>
          <w:noProof/>
        </w:rPr>
      </w:r>
      <w:r>
        <w:rPr>
          <w:noProof/>
        </w:rPr>
        <w:fldChar w:fldCharType="separate"/>
      </w:r>
      <w:r>
        <w:rPr>
          <w:noProof/>
        </w:rPr>
        <w:t>32</w:t>
      </w:r>
      <w:r>
        <w:rPr>
          <w:noProof/>
        </w:rPr>
        <w:fldChar w:fldCharType="end"/>
      </w:r>
    </w:p>
    <w:p w14:paraId="653EB393" w14:textId="77777777" w:rsidR="00E6085D" w:rsidRDefault="00E6085D">
      <w:pPr>
        <w:pStyle w:val="TOC2"/>
        <w:tabs>
          <w:tab w:val="left" w:pos="1134"/>
        </w:tabs>
        <w:rPr>
          <w:rFonts w:asciiTheme="minorHAnsi" w:eastAsiaTheme="minorEastAsia" w:hAnsiTheme="minorHAnsi" w:cstheme="minorBidi"/>
          <w:noProof/>
          <w:szCs w:val="22"/>
          <w:lang w:eastAsia="en-NZ"/>
        </w:rPr>
      </w:pPr>
      <w:r>
        <w:rPr>
          <w:noProof/>
        </w:rPr>
        <w:t>5.3</w:t>
      </w:r>
      <w:r>
        <w:rPr>
          <w:rFonts w:asciiTheme="minorHAnsi" w:eastAsiaTheme="minorEastAsia" w:hAnsiTheme="minorHAnsi" w:cstheme="minorBidi"/>
          <w:noProof/>
          <w:szCs w:val="22"/>
          <w:lang w:eastAsia="en-NZ"/>
        </w:rPr>
        <w:tab/>
      </w:r>
      <w:r>
        <w:rPr>
          <w:noProof/>
        </w:rPr>
        <w:t>Use of cloud or hosted services for managing health information</w:t>
      </w:r>
      <w:r>
        <w:rPr>
          <w:noProof/>
        </w:rPr>
        <w:tab/>
      </w:r>
      <w:r>
        <w:rPr>
          <w:noProof/>
        </w:rPr>
        <w:fldChar w:fldCharType="begin"/>
      </w:r>
      <w:r>
        <w:rPr>
          <w:noProof/>
        </w:rPr>
        <w:instrText xml:space="preserve"> PAGEREF _Toc491259744 \h </w:instrText>
      </w:r>
      <w:r>
        <w:rPr>
          <w:noProof/>
        </w:rPr>
      </w:r>
      <w:r>
        <w:rPr>
          <w:noProof/>
        </w:rPr>
        <w:fldChar w:fldCharType="separate"/>
      </w:r>
      <w:r>
        <w:rPr>
          <w:noProof/>
        </w:rPr>
        <w:t>33</w:t>
      </w:r>
      <w:r>
        <w:rPr>
          <w:noProof/>
        </w:rPr>
        <w:fldChar w:fldCharType="end"/>
      </w:r>
    </w:p>
    <w:p w14:paraId="317C0B75" w14:textId="77777777" w:rsidR="00E6085D" w:rsidRDefault="00E6085D">
      <w:pPr>
        <w:pStyle w:val="TOC1"/>
        <w:rPr>
          <w:rFonts w:asciiTheme="minorHAnsi" w:eastAsiaTheme="minorEastAsia" w:hAnsiTheme="minorHAnsi" w:cstheme="minorBidi"/>
          <w:b w:val="0"/>
          <w:noProof/>
          <w:color w:val="auto"/>
          <w:szCs w:val="22"/>
          <w:lang w:eastAsia="en-NZ"/>
        </w:rPr>
      </w:pPr>
      <w:r>
        <w:rPr>
          <w:noProof/>
        </w:rPr>
        <w:t>6</w:t>
      </w:r>
      <w:r>
        <w:rPr>
          <w:rFonts w:asciiTheme="minorHAnsi" w:eastAsiaTheme="minorEastAsia" w:hAnsiTheme="minorHAnsi" w:cstheme="minorBidi"/>
          <w:b w:val="0"/>
          <w:noProof/>
          <w:color w:val="auto"/>
          <w:szCs w:val="22"/>
          <w:lang w:eastAsia="en-NZ"/>
        </w:rPr>
        <w:tab/>
      </w:r>
      <w:r>
        <w:rPr>
          <w:noProof/>
        </w:rPr>
        <w:t>Governance and implementation of these Guidelines</w:t>
      </w:r>
      <w:r>
        <w:rPr>
          <w:noProof/>
        </w:rPr>
        <w:tab/>
      </w:r>
      <w:r>
        <w:rPr>
          <w:noProof/>
        </w:rPr>
        <w:fldChar w:fldCharType="begin"/>
      </w:r>
      <w:r>
        <w:rPr>
          <w:noProof/>
        </w:rPr>
        <w:instrText xml:space="preserve"> PAGEREF _Toc491259745 \h </w:instrText>
      </w:r>
      <w:r>
        <w:rPr>
          <w:noProof/>
        </w:rPr>
      </w:r>
      <w:r>
        <w:rPr>
          <w:noProof/>
        </w:rPr>
        <w:fldChar w:fldCharType="separate"/>
      </w:r>
      <w:r>
        <w:rPr>
          <w:noProof/>
        </w:rPr>
        <w:t>35</w:t>
      </w:r>
      <w:r>
        <w:rPr>
          <w:noProof/>
        </w:rPr>
        <w:fldChar w:fldCharType="end"/>
      </w:r>
    </w:p>
    <w:p w14:paraId="7ED06769" w14:textId="77777777" w:rsidR="00E6085D" w:rsidRDefault="00E6085D">
      <w:pPr>
        <w:pStyle w:val="TOC1"/>
        <w:rPr>
          <w:rFonts w:asciiTheme="minorHAnsi" w:eastAsiaTheme="minorEastAsia" w:hAnsiTheme="minorHAnsi" w:cstheme="minorBidi"/>
          <w:b w:val="0"/>
          <w:noProof/>
          <w:color w:val="auto"/>
          <w:szCs w:val="22"/>
          <w:lang w:eastAsia="en-NZ"/>
        </w:rPr>
      </w:pPr>
      <w:r>
        <w:rPr>
          <w:noProof/>
        </w:rPr>
        <w:t>Appendix 1: Compliance checklist</w:t>
      </w:r>
      <w:r>
        <w:rPr>
          <w:noProof/>
        </w:rPr>
        <w:tab/>
      </w:r>
      <w:r>
        <w:rPr>
          <w:noProof/>
        </w:rPr>
        <w:fldChar w:fldCharType="begin"/>
      </w:r>
      <w:r>
        <w:rPr>
          <w:noProof/>
        </w:rPr>
        <w:instrText xml:space="preserve"> PAGEREF _Toc491259746 \h </w:instrText>
      </w:r>
      <w:r>
        <w:rPr>
          <w:noProof/>
        </w:rPr>
      </w:r>
      <w:r>
        <w:rPr>
          <w:noProof/>
        </w:rPr>
        <w:fldChar w:fldCharType="separate"/>
      </w:r>
      <w:r>
        <w:rPr>
          <w:noProof/>
        </w:rPr>
        <w:t>36</w:t>
      </w:r>
      <w:r>
        <w:rPr>
          <w:noProof/>
        </w:rPr>
        <w:fldChar w:fldCharType="end"/>
      </w:r>
    </w:p>
    <w:p w14:paraId="1C1C142B" w14:textId="77777777" w:rsidR="00E6085D" w:rsidRDefault="00E6085D">
      <w:pPr>
        <w:pStyle w:val="TOC1"/>
        <w:rPr>
          <w:rFonts w:asciiTheme="minorHAnsi" w:eastAsiaTheme="minorEastAsia" w:hAnsiTheme="minorHAnsi" w:cstheme="minorBidi"/>
          <w:b w:val="0"/>
          <w:noProof/>
          <w:color w:val="auto"/>
          <w:szCs w:val="22"/>
          <w:lang w:eastAsia="en-NZ"/>
        </w:rPr>
      </w:pPr>
      <w:r>
        <w:rPr>
          <w:noProof/>
        </w:rPr>
        <w:t>Appendix 2: Relevant legislation</w:t>
      </w:r>
      <w:r>
        <w:rPr>
          <w:noProof/>
        </w:rPr>
        <w:tab/>
      </w:r>
      <w:r>
        <w:rPr>
          <w:noProof/>
        </w:rPr>
        <w:fldChar w:fldCharType="begin"/>
      </w:r>
      <w:r>
        <w:rPr>
          <w:noProof/>
        </w:rPr>
        <w:instrText xml:space="preserve"> PAGEREF _Toc491259747 \h </w:instrText>
      </w:r>
      <w:r>
        <w:rPr>
          <w:noProof/>
        </w:rPr>
      </w:r>
      <w:r>
        <w:rPr>
          <w:noProof/>
        </w:rPr>
        <w:fldChar w:fldCharType="separate"/>
      </w:r>
      <w:r>
        <w:rPr>
          <w:noProof/>
        </w:rPr>
        <w:t>39</w:t>
      </w:r>
      <w:r>
        <w:rPr>
          <w:noProof/>
        </w:rPr>
        <w:fldChar w:fldCharType="end"/>
      </w:r>
    </w:p>
    <w:p w14:paraId="7C3E742F" w14:textId="77777777" w:rsidR="00E6085D" w:rsidRDefault="00E6085D">
      <w:pPr>
        <w:pStyle w:val="TOC1"/>
        <w:rPr>
          <w:rFonts w:asciiTheme="minorHAnsi" w:eastAsiaTheme="minorEastAsia" w:hAnsiTheme="minorHAnsi" w:cstheme="minorBidi"/>
          <w:b w:val="0"/>
          <w:noProof/>
          <w:color w:val="auto"/>
          <w:szCs w:val="22"/>
          <w:lang w:eastAsia="en-NZ"/>
        </w:rPr>
      </w:pPr>
      <w:r>
        <w:rPr>
          <w:noProof/>
        </w:rPr>
        <w:t>Appendix 3: Definitions</w:t>
      </w:r>
      <w:r>
        <w:rPr>
          <w:noProof/>
        </w:rPr>
        <w:tab/>
      </w:r>
      <w:r>
        <w:rPr>
          <w:noProof/>
        </w:rPr>
        <w:fldChar w:fldCharType="begin"/>
      </w:r>
      <w:r>
        <w:rPr>
          <w:noProof/>
        </w:rPr>
        <w:instrText xml:space="preserve"> PAGEREF _Toc491259748 \h </w:instrText>
      </w:r>
      <w:r>
        <w:rPr>
          <w:noProof/>
        </w:rPr>
      </w:r>
      <w:r>
        <w:rPr>
          <w:noProof/>
        </w:rPr>
        <w:fldChar w:fldCharType="separate"/>
      </w:r>
      <w:r>
        <w:rPr>
          <w:noProof/>
        </w:rPr>
        <w:t>42</w:t>
      </w:r>
      <w:r>
        <w:rPr>
          <w:noProof/>
        </w:rPr>
        <w:fldChar w:fldCharType="end"/>
      </w:r>
    </w:p>
    <w:p w14:paraId="02FC229E" w14:textId="77777777" w:rsidR="00E6085D" w:rsidRDefault="00E6085D">
      <w:pPr>
        <w:pStyle w:val="TOC1"/>
        <w:rPr>
          <w:rFonts w:asciiTheme="minorHAnsi" w:eastAsiaTheme="minorEastAsia" w:hAnsiTheme="minorHAnsi" w:cstheme="minorBidi"/>
          <w:b w:val="0"/>
          <w:noProof/>
          <w:color w:val="auto"/>
          <w:szCs w:val="22"/>
          <w:lang w:eastAsia="en-NZ"/>
        </w:rPr>
      </w:pPr>
      <w:r>
        <w:rPr>
          <w:noProof/>
        </w:rPr>
        <w:t>Appendix 4: Key information governance principles</w:t>
      </w:r>
      <w:r>
        <w:rPr>
          <w:noProof/>
        </w:rPr>
        <w:tab/>
      </w:r>
      <w:r>
        <w:rPr>
          <w:noProof/>
        </w:rPr>
        <w:fldChar w:fldCharType="begin"/>
      </w:r>
      <w:r>
        <w:rPr>
          <w:noProof/>
        </w:rPr>
        <w:instrText xml:space="preserve"> PAGEREF _Toc491259749 \h </w:instrText>
      </w:r>
      <w:r>
        <w:rPr>
          <w:noProof/>
        </w:rPr>
      </w:r>
      <w:r>
        <w:rPr>
          <w:noProof/>
        </w:rPr>
        <w:fldChar w:fldCharType="separate"/>
      </w:r>
      <w:r>
        <w:rPr>
          <w:noProof/>
        </w:rPr>
        <w:t>48</w:t>
      </w:r>
      <w:r>
        <w:rPr>
          <w:noProof/>
        </w:rPr>
        <w:fldChar w:fldCharType="end"/>
      </w:r>
    </w:p>
    <w:p w14:paraId="1DC8BE79" w14:textId="77777777" w:rsidR="00E6085D" w:rsidRDefault="00E6085D">
      <w:pPr>
        <w:pStyle w:val="TOC1"/>
        <w:rPr>
          <w:rFonts w:asciiTheme="minorHAnsi" w:eastAsiaTheme="minorEastAsia" w:hAnsiTheme="minorHAnsi" w:cstheme="minorBidi"/>
          <w:b w:val="0"/>
          <w:noProof/>
          <w:color w:val="auto"/>
          <w:szCs w:val="22"/>
          <w:lang w:eastAsia="en-NZ"/>
        </w:rPr>
      </w:pPr>
      <w:r>
        <w:rPr>
          <w:noProof/>
        </w:rPr>
        <w:t>Appendix 5: Privacy access escalation ladder</w:t>
      </w:r>
      <w:r>
        <w:rPr>
          <w:noProof/>
        </w:rPr>
        <w:tab/>
      </w:r>
      <w:r>
        <w:rPr>
          <w:noProof/>
        </w:rPr>
        <w:fldChar w:fldCharType="begin"/>
      </w:r>
      <w:r>
        <w:rPr>
          <w:noProof/>
        </w:rPr>
        <w:instrText xml:space="preserve"> PAGEREF _Toc491259750 \h </w:instrText>
      </w:r>
      <w:r>
        <w:rPr>
          <w:noProof/>
        </w:rPr>
      </w:r>
      <w:r>
        <w:rPr>
          <w:noProof/>
        </w:rPr>
        <w:fldChar w:fldCharType="separate"/>
      </w:r>
      <w:r>
        <w:rPr>
          <w:noProof/>
        </w:rPr>
        <w:t>51</w:t>
      </w:r>
      <w:r>
        <w:rPr>
          <w:noProof/>
        </w:rPr>
        <w:fldChar w:fldCharType="end"/>
      </w:r>
    </w:p>
    <w:p w14:paraId="393FEED8" w14:textId="77777777" w:rsidR="00E6085D" w:rsidRDefault="00E6085D">
      <w:pPr>
        <w:pStyle w:val="TOC1"/>
        <w:rPr>
          <w:rFonts w:asciiTheme="minorHAnsi" w:eastAsiaTheme="minorEastAsia" w:hAnsiTheme="minorHAnsi" w:cstheme="minorBidi"/>
          <w:b w:val="0"/>
          <w:noProof/>
          <w:color w:val="auto"/>
          <w:szCs w:val="22"/>
          <w:lang w:eastAsia="en-NZ"/>
        </w:rPr>
      </w:pPr>
      <w:r>
        <w:rPr>
          <w:noProof/>
        </w:rPr>
        <w:t>Appendix 6: Privacy fact sheet</w:t>
      </w:r>
      <w:r>
        <w:rPr>
          <w:noProof/>
        </w:rPr>
        <w:tab/>
      </w:r>
      <w:r>
        <w:rPr>
          <w:noProof/>
        </w:rPr>
        <w:fldChar w:fldCharType="begin"/>
      </w:r>
      <w:r>
        <w:rPr>
          <w:noProof/>
        </w:rPr>
        <w:instrText xml:space="preserve"> PAGEREF _Toc491259751 \h </w:instrText>
      </w:r>
      <w:r>
        <w:rPr>
          <w:noProof/>
        </w:rPr>
      </w:r>
      <w:r>
        <w:rPr>
          <w:noProof/>
        </w:rPr>
        <w:fldChar w:fldCharType="separate"/>
      </w:r>
      <w:r>
        <w:rPr>
          <w:noProof/>
        </w:rPr>
        <w:t>53</w:t>
      </w:r>
      <w:r>
        <w:rPr>
          <w:noProof/>
        </w:rPr>
        <w:fldChar w:fldCharType="end"/>
      </w:r>
    </w:p>
    <w:p w14:paraId="64BA9880" w14:textId="77777777" w:rsidR="00E6085D" w:rsidRDefault="00E6085D">
      <w:pPr>
        <w:pStyle w:val="TOC1"/>
        <w:rPr>
          <w:rFonts w:asciiTheme="minorHAnsi" w:eastAsiaTheme="minorEastAsia" w:hAnsiTheme="minorHAnsi" w:cstheme="minorBidi"/>
          <w:b w:val="0"/>
          <w:noProof/>
          <w:color w:val="auto"/>
          <w:szCs w:val="22"/>
          <w:lang w:eastAsia="en-NZ"/>
        </w:rPr>
      </w:pPr>
      <w:r>
        <w:rPr>
          <w:noProof/>
        </w:rPr>
        <w:t>Appendix 7: Privacy poster</w:t>
      </w:r>
      <w:r>
        <w:rPr>
          <w:noProof/>
        </w:rPr>
        <w:tab/>
      </w:r>
      <w:r>
        <w:rPr>
          <w:noProof/>
        </w:rPr>
        <w:fldChar w:fldCharType="begin"/>
      </w:r>
      <w:r>
        <w:rPr>
          <w:noProof/>
        </w:rPr>
        <w:instrText xml:space="preserve"> PAGEREF _Toc491259752 \h </w:instrText>
      </w:r>
      <w:r>
        <w:rPr>
          <w:noProof/>
        </w:rPr>
      </w:r>
      <w:r>
        <w:rPr>
          <w:noProof/>
        </w:rPr>
        <w:fldChar w:fldCharType="separate"/>
      </w:r>
      <w:r>
        <w:rPr>
          <w:noProof/>
        </w:rPr>
        <w:t>56</w:t>
      </w:r>
      <w:r>
        <w:rPr>
          <w:noProof/>
        </w:rPr>
        <w:fldChar w:fldCharType="end"/>
      </w:r>
    </w:p>
    <w:p w14:paraId="65796401" w14:textId="77777777" w:rsidR="00E6085D" w:rsidRDefault="00E6085D">
      <w:pPr>
        <w:pStyle w:val="TOC1"/>
        <w:rPr>
          <w:rFonts w:asciiTheme="minorHAnsi" w:eastAsiaTheme="minorEastAsia" w:hAnsiTheme="minorHAnsi" w:cstheme="minorBidi"/>
          <w:b w:val="0"/>
          <w:noProof/>
          <w:color w:val="auto"/>
          <w:szCs w:val="22"/>
          <w:lang w:eastAsia="en-NZ"/>
        </w:rPr>
      </w:pPr>
      <w:r>
        <w:rPr>
          <w:noProof/>
        </w:rPr>
        <w:t>Appendix 8: Code of conduct to safeguard the privacy and confidentiality of patient health information</w:t>
      </w:r>
      <w:r>
        <w:rPr>
          <w:noProof/>
        </w:rPr>
        <w:tab/>
      </w:r>
      <w:r>
        <w:rPr>
          <w:noProof/>
        </w:rPr>
        <w:fldChar w:fldCharType="begin"/>
      </w:r>
      <w:r>
        <w:rPr>
          <w:noProof/>
        </w:rPr>
        <w:instrText xml:space="preserve"> PAGEREF _Toc491259753 \h </w:instrText>
      </w:r>
      <w:r>
        <w:rPr>
          <w:noProof/>
        </w:rPr>
      </w:r>
      <w:r>
        <w:rPr>
          <w:noProof/>
        </w:rPr>
        <w:fldChar w:fldCharType="separate"/>
      </w:r>
      <w:r>
        <w:rPr>
          <w:noProof/>
        </w:rPr>
        <w:t>57</w:t>
      </w:r>
      <w:r>
        <w:rPr>
          <w:noProof/>
        </w:rPr>
        <w:fldChar w:fldCharType="end"/>
      </w:r>
    </w:p>
    <w:p w14:paraId="7CFE5DB7" w14:textId="77777777" w:rsidR="00E6085D" w:rsidRDefault="00E6085D">
      <w:pPr>
        <w:pStyle w:val="TOC1"/>
        <w:rPr>
          <w:rFonts w:asciiTheme="minorHAnsi" w:eastAsiaTheme="minorEastAsia" w:hAnsiTheme="minorHAnsi" w:cstheme="minorBidi"/>
          <w:b w:val="0"/>
          <w:noProof/>
          <w:color w:val="auto"/>
          <w:szCs w:val="22"/>
          <w:lang w:eastAsia="en-NZ"/>
        </w:rPr>
      </w:pPr>
      <w:r>
        <w:rPr>
          <w:noProof/>
        </w:rPr>
        <w:t>Appendix 9: Privacy impact assessments</w:t>
      </w:r>
      <w:r>
        <w:rPr>
          <w:noProof/>
        </w:rPr>
        <w:tab/>
      </w:r>
      <w:r>
        <w:rPr>
          <w:noProof/>
        </w:rPr>
        <w:fldChar w:fldCharType="begin"/>
      </w:r>
      <w:r>
        <w:rPr>
          <w:noProof/>
        </w:rPr>
        <w:instrText xml:space="preserve"> PAGEREF _Toc491259754 \h </w:instrText>
      </w:r>
      <w:r>
        <w:rPr>
          <w:noProof/>
        </w:rPr>
      </w:r>
      <w:r>
        <w:rPr>
          <w:noProof/>
        </w:rPr>
        <w:fldChar w:fldCharType="separate"/>
      </w:r>
      <w:r>
        <w:rPr>
          <w:noProof/>
        </w:rPr>
        <w:t>59</w:t>
      </w:r>
      <w:r>
        <w:rPr>
          <w:noProof/>
        </w:rPr>
        <w:fldChar w:fldCharType="end"/>
      </w:r>
    </w:p>
    <w:p w14:paraId="455E3023" w14:textId="77777777" w:rsidR="00E6085D" w:rsidRDefault="00E6085D">
      <w:pPr>
        <w:pStyle w:val="TOC1"/>
        <w:rPr>
          <w:rFonts w:asciiTheme="minorHAnsi" w:eastAsiaTheme="minorEastAsia" w:hAnsiTheme="minorHAnsi" w:cstheme="minorBidi"/>
          <w:b w:val="0"/>
          <w:noProof/>
          <w:color w:val="auto"/>
          <w:szCs w:val="22"/>
          <w:lang w:eastAsia="en-NZ"/>
        </w:rPr>
      </w:pPr>
      <w:r>
        <w:rPr>
          <w:noProof/>
        </w:rPr>
        <w:t>Appendix 10: Disclosure to third parties</w:t>
      </w:r>
      <w:r>
        <w:rPr>
          <w:noProof/>
        </w:rPr>
        <w:tab/>
      </w:r>
      <w:r>
        <w:rPr>
          <w:noProof/>
        </w:rPr>
        <w:fldChar w:fldCharType="begin"/>
      </w:r>
      <w:r>
        <w:rPr>
          <w:noProof/>
        </w:rPr>
        <w:instrText xml:space="preserve"> PAGEREF _Toc491259755 \h </w:instrText>
      </w:r>
      <w:r>
        <w:rPr>
          <w:noProof/>
        </w:rPr>
      </w:r>
      <w:r>
        <w:rPr>
          <w:noProof/>
        </w:rPr>
        <w:fldChar w:fldCharType="separate"/>
      </w:r>
      <w:r>
        <w:rPr>
          <w:noProof/>
        </w:rPr>
        <w:t>63</w:t>
      </w:r>
      <w:r>
        <w:rPr>
          <w:noProof/>
        </w:rPr>
        <w:fldChar w:fldCharType="end"/>
      </w:r>
    </w:p>
    <w:p w14:paraId="496995E4" w14:textId="77777777" w:rsidR="00E6085D" w:rsidRDefault="00E6085D">
      <w:pPr>
        <w:pStyle w:val="TOC1"/>
        <w:rPr>
          <w:rFonts w:asciiTheme="minorHAnsi" w:eastAsiaTheme="minorEastAsia" w:hAnsiTheme="minorHAnsi" w:cstheme="minorBidi"/>
          <w:b w:val="0"/>
          <w:noProof/>
          <w:color w:val="auto"/>
          <w:szCs w:val="22"/>
          <w:lang w:eastAsia="en-NZ"/>
        </w:rPr>
      </w:pPr>
      <w:r>
        <w:rPr>
          <w:noProof/>
        </w:rPr>
        <w:t>Appendix 11: Information matching</w:t>
      </w:r>
      <w:r>
        <w:rPr>
          <w:noProof/>
        </w:rPr>
        <w:tab/>
      </w:r>
      <w:r>
        <w:rPr>
          <w:noProof/>
        </w:rPr>
        <w:fldChar w:fldCharType="begin"/>
      </w:r>
      <w:r>
        <w:rPr>
          <w:noProof/>
        </w:rPr>
        <w:instrText xml:space="preserve"> PAGEREF _Toc491259756 \h </w:instrText>
      </w:r>
      <w:r>
        <w:rPr>
          <w:noProof/>
        </w:rPr>
      </w:r>
      <w:r>
        <w:rPr>
          <w:noProof/>
        </w:rPr>
        <w:fldChar w:fldCharType="separate"/>
      </w:r>
      <w:r>
        <w:rPr>
          <w:noProof/>
        </w:rPr>
        <w:t>67</w:t>
      </w:r>
      <w:r>
        <w:rPr>
          <w:noProof/>
        </w:rPr>
        <w:fldChar w:fldCharType="end"/>
      </w:r>
    </w:p>
    <w:p w14:paraId="72A82A3C" w14:textId="77777777" w:rsidR="00E6085D" w:rsidRDefault="00E6085D">
      <w:pPr>
        <w:pStyle w:val="TOC1"/>
        <w:rPr>
          <w:rFonts w:asciiTheme="minorHAnsi" w:eastAsiaTheme="minorEastAsia" w:hAnsiTheme="minorHAnsi" w:cstheme="minorBidi"/>
          <w:b w:val="0"/>
          <w:noProof/>
          <w:color w:val="auto"/>
          <w:szCs w:val="22"/>
          <w:lang w:eastAsia="en-NZ"/>
        </w:rPr>
      </w:pPr>
      <w:r>
        <w:rPr>
          <w:noProof/>
        </w:rPr>
        <w:t>Appendix 12: Approved information sharing agreement</w:t>
      </w:r>
      <w:r>
        <w:rPr>
          <w:noProof/>
        </w:rPr>
        <w:tab/>
      </w:r>
      <w:r>
        <w:rPr>
          <w:noProof/>
        </w:rPr>
        <w:fldChar w:fldCharType="begin"/>
      </w:r>
      <w:r>
        <w:rPr>
          <w:noProof/>
        </w:rPr>
        <w:instrText xml:space="preserve"> PAGEREF _Toc491259757 \h </w:instrText>
      </w:r>
      <w:r>
        <w:rPr>
          <w:noProof/>
        </w:rPr>
      </w:r>
      <w:r>
        <w:rPr>
          <w:noProof/>
        </w:rPr>
        <w:fldChar w:fldCharType="separate"/>
      </w:r>
      <w:r>
        <w:rPr>
          <w:noProof/>
        </w:rPr>
        <w:t>68</w:t>
      </w:r>
      <w:r>
        <w:rPr>
          <w:noProof/>
        </w:rPr>
        <w:fldChar w:fldCharType="end"/>
      </w:r>
    </w:p>
    <w:p w14:paraId="38693AE8" w14:textId="77777777" w:rsidR="00E6085D" w:rsidRDefault="00E6085D">
      <w:pPr>
        <w:pStyle w:val="TOC1"/>
        <w:rPr>
          <w:rFonts w:asciiTheme="minorHAnsi" w:eastAsiaTheme="minorEastAsia" w:hAnsiTheme="minorHAnsi" w:cstheme="minorBidi"/>
          <w:b w:val="0"/>
          <w:noProof/>
          <w:color w:val="auto"/>
          <w:szCs w:val="22"/>
          <w:lang w:eastAsia="en-NZ"/>
        </w:rPr>
      </w:pPr>
      <w:r>
        <w:rPr>
          <w:noProof/>
        </w:rPr>
        <w:t>Appendix 13: Secondary use of data</w:t>
      </w:r>
      <w:r>
        <w:rPr>
          <w:noProof/>
        </w:rPr>
        <w:tab/>
      </w:r>
      <w:r>
        <w:rPr>
          <w:noProof/>
        </w:rPr>
        <w:fldChar w:fldCharType="begin"/>
      </w:r>
      <w:r>
        <w:rPr>
          <w:noProof/>
        </w:rPr>
        <w:instrText xml:space="preserve"> PAGEREF _Toc491259758 \h </w:instrText>
      </w:r>
      <w:r>
        <w:rPr>
          <w:noProof/>
        </w:rPr>
      </w:r>
      <w:r>
        <w:rPr>
          <w:noProof/>
        </w:rPr>
        <w:fldChar w:fldCharType="separate"/>
      </w:r>
      <w:r>
        <w:rPr>
          <w:noProof/>
        </w:rPr>
        <w:t>70</w:t>
      </w:r>
      <w:r>
        <w:rPr>
          <w:noProof/>
        </w:rPr>
        <w:fldChar w:fldCharType="end"/>
      </w:r>
    </w:p>
    <w:p w14:paraId="38059A8B" w14:textId="77777777" w:rsidR="00E6085D" w:rsidRDefault="00E6085D">
      <w:pPr>
        <w:pStyle w:val="TOC1"/>
        <w:rPr>
          <w:rFonts w:asciiTheme="minorHAnsi" w:eastAsiaTheme="minorEastAsia" w:hAnsiTheme="minorHAnsi" w:cstheme="minorBidi"/>
          <w:b w:val="0"/>
          <w:noProof/>
          <w:color w:val="auto"/>
          <w:szCs w:val="22"/>
          <w:lang w:eastAsia="en-NZ"/>
        </w:rPr>
      </w:pPr>
      <w:r>
        <w:rPr>
          <w:noProof/>
        </w:rPr>
        <w:t>Appendix 14: Example of role based access control matrix</w:t>
      </w:r>
      <w:r>
        <w:rPr>
          <w:noProof/>
        </w:rPr>
        <w:tab/>
      </w:r>
      <w:r>
        <w:rPr>
          <w:noProof/>
        </w:rPr>
        <w:fldChar w:fldCharType="begin"/>
      </w:r>
      <w:r>
        <w:rPr>
          <w:noProof/>
        </w:rPr>
        <w:instrText xml:space="preserve"> PAGEREF _Toc491259759 \h </w:instrText>
      </w:r>
      <w:r>
        <w:rPr>
          <w:noProof/>
        </w:rPr>
      </w:r>
      <w:r>
        <w:rPr>
          <w:noProof/>
        </w:rPr>
        <w:fldChar w:fldCharType="separate"/>
      </w:r>
      <w:r>
        <w:rPr>
          <w:noProof/>
        </w:rPr>
        <w:t>73</w:t>
      </w:r>
      <w:r>
        <w:rPr>
          <w:noProof/>
        </w:rPr>
        <w:fldChar w:fldCharType="end"/>
      </w:r>
    </w:p>
    <w:p w14:paraId="07419202" w14:textId="77777777" w:rsidR="00455CC9" w:rsidRDefault="0050208D" w:rsidP="0086388B">
      <w:r>
        <w:rPr>
          <w:color w:val="1F497D"/>
        </w:rPr>
        <w:fldChar w:fldCharType="end"/>
      </w:r>
    </w:p>
    <w:p w14:paraId="798B18BC" w14:textId="77777777" w:rsidR="00C86248" w:rsidRDefault="00C86248">
      <w:pPr>
        <w:sectPr w:rsidR="00C86248" w:rsidSect="000E5919">
          <w:headerReference w:type="even" r:id="rId18"/>
          <w:headerReference w:type="default" r:id="rId19"/>
          <w:footerReference w:type="even" r:id="rId20"/>
          <w:footerReference w:type="default" r:id="rId21"/>
          <w:pgSz w:w="11907" w:h="16840" w:code="9"/>
          <w:pgMar w:top="851" w:right="1134" w:bottom="1134" w:left="1134" w:header="284" w:footer="567" w:gutter="284"/>
          <w:pgNumType w:fmt="lowerRoman"/>
          <w:cols w:space="720"/>
          <w:docGrid w:linePitch="299"/>
        </w:sectPr>
      </w:pPr>
    </w:p>
    <w:p w14:paraId="6840E579" w14:textId="77777777" w:rsidR="008C2973" w:rsidRDefault="00011AC7" w:rsidP="00CA3985">
      <w:pPr>
        <w:pStyle w:val="Heading1"/>
      </w:pPr>
      <w:bookmarkStart w:id="3" w:name="_Toc491259707"/>
      <w:r>
        <w:lastRenderedPageBreak/>
        <w:t>Purpose</w:t>
      </w:r>
      <w:bookmarkEnd w:id="3"/>
    </w:p>
    <w:p w14:paraId="1CB0327E" w14:textId="77777777" w:rsidR="00011AC7" w:rsidRDefault="00011AC7" w:rsidP="002F0480">
      <w:r>
        <w:t xml:space="preserve">The Health Information Governance Guidelines provides good practice advice on </w:t>
      </w:r>
      <w:r w:rsidRPr="00D57A5B">
        <w:t xml:space="preserve">the safe </w:t>
      </w:r>
      <w:r>
        <w:t>sharing of personal</w:t>
      </w:r>
      <w:r w:rsidRPr="00D57A5B">
        <w:t xml:space="preserve"> </w:t>
      </w:r>
      <w:r>
        <w:t xml:space="preserve">health information. It provides information on the policies and procedures </w:t>
      </w:r>
      <w:r w:rsidRPr="00D57A5B">
        <w:rPr>
          <w:color w:val="000000" w:themeColor="text1"/>
        </w:rPr>
        <w:t xml:space="preserve">that are </w:t>
      </w:r>
      <w:r>
        <w:t>to be implemented to ensure that any health provider who holds health information meets its obligations in terms of the Privacy Act 1993,</w:t>
      </w:r>
      <w:r w:rsidRPr="00DB1983">
        <w:t xml:space="preserve"> the</w:t>
      </w:r>
      <w:r>
        <w:t xml:space="preserve"> Health Information Privacy Code 1994 and other </w:t>
      </w:r>
      <w:r w:rsidRPr="00D57A5B">
        <w:t xml:space="preserve">relevant </w:t>
      </w:r>
      <w:r>
        <w:t>legislation.</w:t>
      </w:r>
    </w:p>
    <w:p w14:paraId="2E8DD5F4" w14:textId="088D3502" w:rsidR="00011AC7" w:rsidRPr="00ED7337" w:rsidRDefault="00011AC7" w:rsidP="002F0480">
      <w:r>
        <w:t>Dovetailing into th</w:t>
      </w:r>
      <w:r w:rsidR="001C2FA7">
        <w:t>ese</w:t>
      </w:r>
      <w:r w:rsidRPr="00D57A5B">
        <w:t xml:space="preserve"> </w:t>
      </w:r>
      <w:r w:rsidR="0048174A">
        <w:t xml:space="preserve">Guidelines </w:t>
      </w:r>
      <w:r>
        <w:t xml:space="preserve">is the </w:t>
      </w:r>
      <w:hyperlink r:id="rId22" w:history="1">
        <w:r w:rsidRPr="00D57A5B">
          <w:t>Health Information Security</w:t>
        </w:r>
      </w:hyperlink>
      <w:r>
        <w:t xml:space="preserve"> Framework, which provides </w:t>
      </w:r>
      <w:r w:rsidRPr="00D57A5B">
        <w:t xml:space="preserve">policy </w:t>
      </w:r>
      <w:r>
        <w:t>guidance on</w:t>
      </w:r>
      <w:r w:rsidRPr="00D57A5B">
        <w:t xml:space="preserve"> securing health information</w:t>
      </w:r>
      <w:r>
        <w:t>. The two are strongly intertwined. How information can be held secure</w:t>
      </w:r>
      <w:r w:rsidR="0048174A">
        <w:t>,</w:t>
      </w:r>
      <w:r>
        <w:t xml:space="preserve"> however, is a large field of its own, and rather than repeat here what is said under </w:t>
      </w:r>
      <w:r w:rsidR="000E5919">
        <w:t xml:space="preserve">HISO 10029:2015 </w:t>
      </w:r>
      <w:r>
        <w:t xml:space="preserve">Health Information </w:t>
      </w:r>
      <w:r w:rsidRPr="00D57A5B">
        <w:t>Security</w:t>
      </w:r>
      <w:r>
        <w:t xml:space="preserve"> Framework</w:t>
      </w:r>
      <w:r w:rsidR="000E5919">
        <w:rPr>
          <w:rStyle w:val="FootnoteReference"/>
        </w:rPr>
        <w:footnoteReference w:id="1"/>
      </w:r>
      <w:r>
        <w:t>, it is recommended that the Security Framework and this guidance be read together.</w:t>
      </w:r>
    </w:p>
    <w:p w14:paraId="1255C4BD" w14:textId="77777777" w:rsidR="00011AC7" w:rsidRPr="002852D6" w:rsidRDefault="00011AC7" w:rsidP="001152E8">
      <w:pPr>
        <w:pStyle w:val="Heading2"/>
      </w:pPr>
      <w:bookmarkStart w:id="4" w:name="_Toc476648158"/>
      <w:bookmarkStart w:id="5" w:name="_Toc489004249"/>
      <w:bookmarkStart w:id="6" w:name="_Toc491259708"/>
      <w:r>
        <w:t>Why these Guidelines are important</w:t>
      </w:r>
      <w:bookmarkEnd w:id="4"/>
      <w:bookmarkEnd w:id="5"/>
      <w:bookmarkEnd w:id="6"/>
    </w:p>
    <w:p w14:paraId="7F694AFE" w14:textId="77777777" w:rsidR="00D56B08" w:rsidRDefault="00011AC7" w:rsidP="002F0480">
      <w:r w:rsidRPr="00B36F8B">
        <w:t xml:space="preserve">Our health system continues to demand higher levels of </w:t>
      </w:r>
      <w:r>
        <w:t>information use</w:t>
      </w:r>
      <w:r w:rsidRPr="00B36F8B">
        <w:t xml:space="preserve"> to </w:t>
      </w:r>
      <w:r>
        <w:t>achieve better health care</w:t>
      </w:r>
      <w:r w:rsidRPr="00B36F8B">
        <w:t xml:space="preserve">. In response to this demand, health practitioners have increased their use of technology </w:t>
      </w:r>
      <w:r>
        <w:t>and are</w:t>
      </w:r>
      <w:r w:rsidRPr="00B36F8B">
        <w:t xml:space="preserve"> shar</w:t>
      </w:r>
      <w:r>
        <w:t>ing</w:t>
      </w:r>
      <w:r w:rsidRPr="00B36F8B">
        <w:t xml:space="preserve"> the information they need with each other</w:t>
      </w:r>
      <w:r>
        <w:t xml:space="preserve"> electronically</w:t>
      </w:r>
      <w:r w:rsidRPr="00B36F8B">
        <w:t xml:space="preserve">. While this makes sharing health information easier and more reliable, greater attention must be given to ensuring consumer and </w:t>
      </w:r>
      <w:r>
        <w:t>health provider</w:t>
      </w:r>
      <w:r w:rsidRPr="00B36F8B">
        <w:t xml:space="preserve"> trust in systems is maintained.</w:t>
      </w:r>
    </w:p>
    <w:p w14:paraId="0A5F1AD5" w14:textId="46FF229A" w:rsidR="00011AC7" w:rsidRPr="00B36F8B" w:rsidRDefault="00011AC7" w:rsidP="002F0480">
      <w:r>
        <w:t xml:space="preserve">The </w:t>
      </w:r>
      <w:r w:rsidRPr="00D14AE8">
        <w:t xml:space="preserve">Health Information Governance </w:t>
      </w:r>
      <w:r>
        <w:t>Guidelines (</w:t>
      </w:r>
      <w:r w:rsidR="001C2FA7">
        <w:t xml:space="preserve">the </w:t>
      </w:r>
      <w:r>
        <w:t xml:space="preserve">Guidelines) </w:t>
      </w:r>
      <w:r w:rsidRPr="00B36F8B">
        <w:t xml:space="preserve">provides essential </w:t>
      </w:r>
      <w:r>
        <w:t xml:space="preserve">policies and </w:t>
      </w:r>
      <w:r w:rsidRPr="00B36F8B">
        <w:t>guidelines on how to share health information safely</w:t>
      </w:r>
      <w:r>
        <w:t>.</w:t>
      </w:r>
      <w:r w:rsidRPr="00B36F8B">
        <w:t xml:space="preserve"> It </w:t>
      </w:r>
      <w:r>
        <w:t>sets out</w:t>
      </w:r>
      <w:r w:rsidRPr="00B36F8B">
        <w:t xml:space="preserve"> how </w:t>
      </w:r>
      <w:r>
        <w:t>health provider</w:t>
      </w:r>
      <w:r w:rsidRPr="00B36F8B">
        <w:t>s</w:t>
      </w:r>
      <w:r>
        <w:t>, working in partnership with consumers,</w:t>
      </w:r>
      <w:r w:rsidRPr="00B36F8B">
        <w:t xml:space="preserve"> can share information legitimately in the performance of their duties without infringing patients</w:t>
      </w:r>
      <w:r w:rsidR="00D56B08">
        <w:t>’</w:t>
      </w:r>
      <w:r w:rsidRPr="00B36F8B">
        <w:t xml:space="preserve"> rights to privacy. </w:t>
      </w:r>
      <w:r>
        <w:t>Safe sharing</w:t>
      </w:r>
      <w:r w:rsidRPr="00B36F8B">
        <w:t xml:space="preserve"> involve</w:t>
      </w:r>
      <w:r>
        <w:t>s</w:t>
      </w:r>
      <w:r w:rsidRPr="00B36F8B">
        <w:t xml:space="preserve"> </w:t>
      </w:r>
      <w:r>
        <w:t xml:space="preserve">building on good cultural practices around trust in information, alongside </w:t>
      </w:r>
      <w:r w:rsidRPr="00B36F8B">
        <w:t>changes to processes and practices,</w:t>
      </w:r>
      <w:r>
        <w:t xml:space="preserve"> and</w:t>
      </w:r>
      <w:r w:rsidRPr="00B36F8B">
        <w:t xml:space="preserve"> technical enhancements to health information systems.</w:t>
      </w:r>
    </w:p>
    <w:p w14:paraId="7D9513C6" w14:textId="77777777" w:rsidR="00011AC7" w:rsidRPr="00B36F8B" w:rsidRDefault="00011AC7" w:rsidP="002F0480">
      <w:r>
        <w:t>Health providers</w:t>
      </w:r>
      <w:r w:rsidRPr="00B36F8B">
        <w:t xml:space="preserve"> are not expected to be information governance experts</w:t>
      </w:r>
      <w:r>
        <w:t>.</w:t>
      </w:r>
      <w:r w:rsidRPr="00B36F8B" w:rsidDel="00AD0548">
        <w:t xml:space="preserve"> </w:t>
      </w:r>
      <w:r>
        <w:t>T</w:t>
      </w:r>
      <w:r w:rsidRPr="00B36F8B">
        <w:t xml:space="preserve">he Privacy Act </w:t>
      </w:r>
      <w:r>
        <w:t xml:space="preserve">1993 </w:t>
      </w:r>
      <w:r w:rsidRPr="00B36F8B">
        <w:t>and Health Information Privacy Code</w:t>
      </w:r>
      <w:r>
        <w:t xml:space="preserve"> 1994</w:t>
      </w:r>
      <w:r w:rsidRPr="00B36F8B">
        <w:t xml:space="preserve"> have </w:t>
      </w:r>
      <w:r>
        <w:t>set out</w:t>
      </w:r>
      <w:r w:rsidRPr="00B36F8B">
        <w:t xml:space="preserve"> the principles of how health information should be collected, stored, corrected, disclosed and disposed of, </w:t>
      </w:r>
      <w:r>
        <w:t xml:space="preserve">but do not </w:t>
      </w:r>
      <w:r w:rsidRPr="00B36F8B">
        <w:t xml:space="preserve">provide a </w:t>
      </w:r>
      <w:r>
        <w:t>detailed</w:t>
      </w:r>
      <w:r w:rsidRPr="00B36F8B">
        <w:t xml:space="preserve"> set of guidelines on how to apply the principles in practice. As a consequence each DHB, community </w:t>
      </w:r>
      <w:r>
        <w:t>health provider</w:t>
      </w:r>
      <w:r w:rsidRPr="00B36F8B">
        <w:t xml:space="preserve"> and IT vendor applies their own approach to </w:t>
      </w:r>
      <w:r>
        <w:t xml:space="preserve">health </w:t>
      </w:r>
      <w:r w:rsidRPr="00B36F8B">
        <w:t xml:space="preserve">information governance, </w:t>
      </w:r>
      <w:r>
        <w:t xml:space="preserve">which can lead </w:t>
      </w:r>
      <w:r w:rsidRPr="00B36F8B">
        <w:t>to duplication, uncertainty and misinterpretation of health information-related policies and legislation.</w:t>
      </w:r>
    </w:p>
    <w:p w14:paraId="5B248E2F" w14:textId="56F06E11" w:rsidR="00D56B08" w:rsidRDefault="00011AC7" w:rsidP="002F0480">
      <w:r>
        <w:t xml:space="preserve">It is important to strike the right balance between easy access to information and constraints on information sharing. </w:t>
      </w:r>
      <w:r w:rsidRPr="00B36F8B">
        <w:t xml:space="preserve">Taking an approach which is too conservative in the sharing of information can lead to </w:t>
      </w:r>
      <w:r>
        <w:t>undesirable</w:t>
      </w:r>
      <w:r w:rsidRPr="00B36F8B">
        <w:t xml:space="preserve"> outcomes for patients and ongoing inefficiencies in the health system.</w:t>
      </w:r>
      <w:r>
        <w:t xml:space="preserve"> Conversely, making information too easily accessible risks privacy breaches and a loss of consumer and provider trust.</w:t>
      </w:r>
    </w:p>
    <w:p w14:paraId="246F99A3" w14:textId="5C9CB2C8" w:rsidR="00D56B08" w:rsidRDefault="00011AC7" w:rsidP="00AD46AA">
      <w:pPr>
        <w:keepLines/>
      </w:pPr>
      <w:r w:rsidRPr="00B36F8B">
        <w:lastRenderedPageBreak/>
        <w:t>Th</w:t>
      </w:r>
      <w:r w:rsidR="001C2FA7">
        <w:t>ese</w:t>
      </w:r>
      <w:r w:rsidRPr="00B36F8B">
        <w:t xml:space="preserve"> </w:t>
      </w:r>
      <w:r>
        <w:t>Guidelines</w:t>
      </w:r>
      <w:r w:rsidRPr="00B36F8B">
        <w:t xml:space="preserve"> </w:t>
      </w:r>
      <w:r>
        <w:t>respond to</w:t>
      </w:r>
      <w:r w:rsidRPr="00B36F8B">
        <w:t xml:space="preserve"> key questions which have persisted in the sector for many years. What types of access controls do I need to have in my systems? Can a patient opt-off collecting or sharing information? When is it appropriate to disclose information without the direct consent of the patient? What are the consumer</w:t>
      </w:r>
      <w:r w:rsidR="00D56B08">
        <w:t>’</w:t>
      </w:r>
      <w:r w:rsidRPr="00B36F8B">
        <w:t>s rights and expectations over their health information?</w:t>
      </w:r>
    </w:p>
    <w:p w14:paraId="6865BFA7" w14:textId="3FD8A262" w:rsidR="00011AC7" w:rsidRPr="00326BEE" w:rsidRDefault="00011AC7" w:rsidP="002F0480">
      <w:r>
        <w:t>Th</w:t>
      </w:r>
      <w:r w:rsidR="001C2FA7">
        <w:t>ese</w:t>
      </w:r>
      <w:r>
        <w:t xml:space="preserve"> Guidelines appl</w:t>
      </w:r>
      <w:r w:rsidR="001C2FA7">
        <w:t>y</w:t>
      </w:r>
      <w:r>
        <w:t xml:space="preserve"> to any health provider that collects, stores, uses or comes into contact with personal health information.</w:t>
      </w:r>
    </w:p>
    <w:p w14:paraId="227667C6" w14:textId="77777777" w:rsidR="00D56B08" w:rsidRDefault="00011AC7" w:rsidP="002F0480">
      <w:pPr>
        <w:pStyle w:val="Heading2"/>
      </w:pPr>
      <w:bookmarkStart w:id="7" w:name="_Toc476648159"/>
      <w:bookmarkStart w:id="8" w:name="_Toc489004250"/>
      <w:bookmarkStart w:id="9" w:name="_Toc491259709"/>
      <w:r>
        <w:t>How to use these Guidelines</w:t>
      </w:r>
      <w:bookmarkEnd w:id="7"/>
      <w:bookmarkEnd w:id="8"/>
      <w:bookmarkEnd w:id="9"/>
    </w:p>
    <w:p w14:paraId="3377E54E" w14:textId="77777777" w:rsidR="00011AC7" w:rsidRDefault="00011AC7" w:rsidP="002F0480">
      <w:r>
        <w:t xml:space="preserve">These Guidelines sets out the policies and procedures for health providers who collect and share personal health information. It </w:t>
      </w:r>
      <w:r w:rsidRPr="00DB4DA2">
        <w:t>uses a structured language</w:t>
      </w:r>
      <w:r>
        <w:t xml:space="preserve"> and set of concepts within which to think about the governance of health information.</w:t>
      </w:r>
    </w:p>
    <w:p w14:paraId="19A4BB07" w14:textId="77777777" w:rsidR="00011AC7" w:rsidRDefault="00011AC7" w:rsidP="002F0480">
      <w:r>
        <w:t>The policies are set out under four major subject areas:</w:t>
      </w:r>
    </w:p>
    <w:p w14:paraId="5FA7BF47" w14:textId="77777777" w:rsidR="00011AC7" w:rsidRPr="00DB4DA2" w:rsidRDefault="00011AC7" w:rsidP="002F0480">
      <w:pPr>
        <w:pStyle w:val="Bullet"/>
      </w:pPr>
      <w:r w:rsidRPr="00DB4DA2">
        <w:t xml:space="preserve">Maintaining </w:t>
      </w:r>
      <w:r>
        <w:t>q</w:t>
      </w:r>
      <w:r w:rsidRPr="00DB4DA2">
        <w:t xml:space="preserve">uality and </w:t>
      </w:r>
      <w:r>
        <w:t>t</w:t>
      </w:r>
      <w:r w:rsidRPr="00DB4DA2">
        <w:t>rust</w:t>
      </w:r>
    </w:p>
    <w:p w14:paraId="4161E86D" w14:textId="77777777" w:rsidR="00011AC7" w:rsidRPr="00DB4DA2" w:rsidRDefault="00011AC7" w:rsidP="002F0480">
      <w:pPr>
        <w:pStyle w:val="Bullet"/>
      </w:pPr>
      <w:r w:rsidRPr="00DB4DA2">
        <w:t xml:space="preserve">Upholding </w:t>
      </w:r>
      <w:r>
        <w:t>consumer rights and maintaining t</w:t>
      </w:r>
      <w:r w:rsidRPr="00DB4DA2">
        <w:t>ransparency</w:t>
      </w:r>
    </w:p>
    <w:p w14:paraId="641E6B12" w14:textId="77777777" w:rsidR="00011AC7" w:rsidRPr="00DB4DA2" w:rsidRDefault="00011AC7" w:rsidP="002F0480">
      <w:pPr>
        <w:pStyle w:val="Bullet"/>
      </w:pPr>
      <w:r w:rsidRPr="00DB4DA2">
        <w:t xml:space="preserve">Appropriate </w:t>
      </w:r>
      <w:r>
        <w:t>d</w:t>
      </w:r>
      <w:r w:rsidRPr="00DB4DA2">
        <w:t xml:space="preserve">isclosure and </w:t>
      </w:r>
      <w:r>
        <w:t>s</w:t>
      </w:r>
      <w:r w:rsidRPr="00DB4DA2">
        <w:t>haring</w:t>
      </w:r>
    </w:p>
    <w:p w14:paraId="7DFE8AB2" w14:textId="77777777" w:rsidR="00011AC7" w:rsidRPr="00DB4DA2" w:rsidRDefault="00011AC7" w:rsidP="002F0480">
      <w:pPr>
        <w:pStyle w:val="Bullet"/>
      </w:pPr>
      <w:r w:rsidRPr="00DB4DA2">
        <w:t xml:space="preserve">Securing and </w:t>
      </w:r>
      <w:r>
        <w:t>protecting personal health i</w:t>
      </w:r>
      <w:r w:rsidRPr="00DB4DA2">
        <w:t>nformation</w:t>
      </w:r>
      <w:r>
        <w:t>.</w:t>
      </w:r>
    </w:p>
    <w:p w14:paraId="291BC3DB" w14:textId="77777777" w:rsidR="00011AC7" w:rsidRDefault="00011AC7" w:rsidP="002F0480">
      <w:r>
        <w:t>Each subject area provides the legal and policy context, and then a set of tangible requirements which are auditable. A compliance checklist is included in Appendix 1.</w:t>
      </w:r>
    </w:p>
    <w:p w14:paraId="29355F55" w14:textId="74DA6484" w:rsidR="00011AC7" w:rsidRDefault="00011AC7" w:rsidP="002F0480">
      <w:r>
        <w:t>How th</w:t>
      </w:r>
      <w:r w:rsidR="001C2FA7">
        <w:t>ese</w:t>
      </w:r>
      <w:r>
        <w:t xml:space="preserve"> Guidelines will be governed and adopted by the sector is discussed in Chapter Nine.</w:t>
      </w:r>
    </w:p>
    <w:p w14:paraId="7F97113F" w14:textId="77777777" w:rsidR="00011AC7" w:rsidRDefault="00011AC7" w:rsidP="002F0480">
      <w:r>
        <w:t>Supporting resources and important references are included in the appendices.</w:t>
      </w:r>
    </w:p>
    <w:p w14:paraId="617DA821" w14:textId="77777777" w:rsidR="00011AC7" w:rsidRPr="0075139E" w:rsidRDefault="00011AC7" w:rsidP="002F0480">
      <w:pPr>
        <w:pStyle w:val="Heading2"/>
      </w:pPr>
      <w:bookmarkStart w:id="10" w:name="_Toc489004251"/>
      <w:bookmarkStart w:id="11" w:name="_Toc491259710"/>
      <w:r w:rsidRPr="0075139E">
        <w:t>History</w:t>
      </w:r>
      <w:bookmarkEnd w:id="10"/>
      <w:bookmarkEnd w:id="11"/>
    </w:p>
    <w:p w14:paraId="2CA7D8C6" w14:textId="77777777" w:rsidR="00011AC7" w:rsidRDefault="00011AC7" w:rsidP="002F0480">
      <w:r w:rsidRPr="000811E2">
        <w:t xml:space="preserve">The need for </w:t>
      </w:r>
      <w:r>
        <w:t>some</w:t>
      </w:r>
      <w:r w:rsidRPr="000811E2">
        <w:t xml:space="preserve"> </w:t>
      </w:r>
      <w:r>
        <w:t>Guidelines</w:t>
      </w:r>
      <w:r w:rsidRPr="002F0480">
        <w:rPr>
          <w:rStyle w:val="FootnoteReference"/>
        </w:rPr>
        <w:footnoteReference w:id="2"/>
      </w:r>
      <w:r>
        <w:t xml:space="preserve"> </w:t>
      </w:r>
      <w:r w:rsidRPr="000811E2">
        <w:t>arose from the requirements of the first National Health IT Plan in 2010 (IT Plan</w:t>
      </w:r>
      <w:r>
        <w:t xml:space="preserve"> 2010</w:t>
      </w:r>
      <w:r w:rsidRPr="000811E2">
        <w:t>)</w:t>
      </w:r>
      <w:r>
        <w:t xml:space="preserve"> following consultation with the sector</w:t>
      </w:r>
      <w:r w:rsidRPr="000811E2">
        <w:t>.</w:t>
      </w:r>
      <w:r>
        <w:t xml:space="preserve"> As a result the Health Information Governance Expert Advisory Group (HIGEAG) was created. HIGEAG had its first meeting in June 2012.</w:t>
      </w:r>
    </w:p>
    <w:p w14:paraId="3E33F527" w14:textId="794F09DF" w:rsidR="00011AC7" w:rsidRPr="004C2A33" w:rsidRDefault="00011AC7" w:rsidP="002F0480">
      <w:r>
        <w:t>HIGEAG also developed a paper on the withholding of health information. This looked into how consumers could control access to their health information in a shared information ecosystem. The key findings from this paper have been incorporated into th</w:t>
      </w:r>
      <w:r w:rsidR="001C2FA7">
        <w:t>ese</w:t>
      </w:r>
      <w:r>
        <w:t xml:space="preserve"> Guidelines</w:t>
      </w:r>
      <w:r w:rsidRPr="004C2A33">
        <w:t>.</w:t>
      </w:r>
    </w:p>
    <w:p w14:paraId="345AAC20" w14:textId="77777777" w:rsidR="00011AC7" w:rsidRPr="00E93628" w:rsidRDefault="00011AC7" w:rsidP="002F0480">
      <w:pPr>
        <w:pStyle w:val="Heading2"/>
      </w:pPr>
      <w:bookmarkStart w:id="12" w:name="_Toc489004252"/>
      <w:bookmarkStart w:id="13" w:name="_Toc491259711"/>
      <w:r w:rsidRPr="00E93628">
        <w:t xml:space="preserve">What is </w:t>
      </w:r>
      <w:r>
        <w:t>i</w:t>
      </w:r>
      <w:r w:rsidRPr="00E93628">
        <w:t xml:space="preserve">nformation </w:t>
      </w:r>
      <w:r>
        <w:t>g</w:t>
      </w:r>
      <w:r w:rsidRPr="00E93628">
        <w:t>overnance?</w:t>
      </w:r>
      <w:bookmarkEnd w:id="12"/>
      <w:bookmarkEnd w:id="13"/>
    </w:p>
    <w:p w14:paraId="158A1122" w14:textId="059CA439" w:rsidR="00011AC7" w:rsidRPr="0035559C" w:rsidRDefault="00011AC7" w:rsidP="002F0480">
      <w:r w:rsidRPr="0035559C">
        <w:t>Information governance</w:t>
      </w:r>
      <w:r w:rsidRPr="002F0480">
        <w:rPr>
          <w:rStyle w:val="FootnoteReference"/>
        </w:rPr>
        <w:footnoteReference w:id="3"/>
      </w:r>
      <w:r w:rsidRPr="0035559C">
        <w:t xml:space="preserve"> provides a means of bringing together all the relevant legislation, guidance and evidence-based practice that apply to the handling of information and offers a consistent way for people working in health and social care to deal with the many different legal </w:t>
      </w:r>
      <w:r w:rsidRPr="0035559C">
        <w:lastRenderedPageBreak/>
        <w:t>provisions, guidance, and professional codes of conduct that apply to handling personal health information.</w:t>
      </w:r>
    </w:p>
    <w:p w14:paraId="6CC00018" w14:textId="77777777" w:rsidR="00011AC7" w:rsidRPr="0035559C" w:rsidRDefault="00D56B08" w:rsidP="002F0480">
      <w:pPr>
        <w:pStyle w:val="Quote"/>
      </w:pPr>
      <w:r>
        <w:t>“</w:t>
      </w:r>
      <w:r w:rsidR="00011AC7" w:rsidRPr="0035559C">
        <w:t>Good information governance enables personal health information, such as that contained in a health or social care record, to be handled legally, securely, efficiently and effectively in order to deliver the best possible care to people who use health and social care services. It also includes the appropriate sharing of relevant personal health information between health and social care professionals involved in the provision of care</w:t>
      </w:r>
      <w:r w:rsidR="00011AC7">
        <w:t>,</w:t>
      </w:r>
      <w:r w:rsidR="00011AC7" w:rsidRPr="0035559C">
        <w:t xml:space="preserve"> with a view to informing the development of this care.</w:t>
      </w:r>
    </w:p>
    <w:p w14:paraId="1CD08225" w14:textId="77777777" w:rsidR="00011AC7" w:rsidRPr="00E20E80" w:rsidRDefault="00D56B08" w:rsidP="002F0480">
      <w:pPr>
        <w:pStyle w:val="Quote"/>
        <w:rPr>
          <w:sz w:val="20"/>
        </w:rPr>
      </w:pPr>
      <w:r>
        <w:t>“</w:t>
      </w:r>
      <w:r w:rsidR="00011AC7" w:rsidRPr="0035559C">
        <w:t>Information governance involves the development of processes and procedures for handling personal health information that support the efficient location and retrieval of records where and when they are needed. It is about setting a high standard for the handling of personal health information and giving staff and</w:t>
      </w:r>
      <w:r w:rsidR="00011AC7" w:rsidRPr="00E20E80">
        <w:rPr>
          <w:sz w:val="20"/>
        </w:rPr>
        <w:t xml:space="preserve"> </w:t>
      </w:r>
      <w:r w:rsidR="00011AC7" w:rsidRPr="0035559C">
        <w:t>service providers the tools they need to achieve that standard</w:t>
      </w:r>
      <w:r w:rsidR="00011AC7">
        <w:t>.</w:t>
      </w:r>
      <w:r>
        <w:t>”</w:t>
      </w:r>
    </w:p>
    <w:p w14:paraId="061D8ECD" w14:textId="77777777" w:rsidR="00011AC7" w:rsidRDefault="00011AC7" w:rsidP="002F0480">
      <w:r>
        <w:t>G</w:t>
      </w:r>
      <w:r w:rsidRPr="00843BDE">
        <w:t>overning the collection, use and disclosure of personal health information</w:t>
      </w:r>
      <w:r w:rsidRPr="008C5DE2">
        <w:t xml:space="preserve"> </w:t>
      </w:r>
      <w:r w:rsidRPr="00100A4E">
        <w:t>needs to be led from the top</w:t>
      </w:r>
      <w:r>
        <w:t>. T</w:t>
      </w:r>
      <w:r w:rsidRPr="0025384E">
        <w:t>he culture</w:t>
      </w:r>
      <w:r>
        <w:t xml:space="preserve"> needs to be focused on ways of appropriately sharing health inform</w:t>
      </w:r>
      <w:r w:rsidR="004710E0">
        <w:t>a</w:t>
      </w:r>
      <w:r>
        <w:t>tion.</w:t>
      </w:r>
      <w:r w:rsidRPr="0025384E">
        <w:t xml:space="preserve"> In this way</w:t>
      </w:r>
      <w:r>
        <w:t xml:space="preserve">, information governance can </w:t>
      </w:r>
      <w:r w:rsidRPr="0025384E">
        <w:t xml:space="preserve">and should become a source of knowledge and guidance for staff. </w:t>
      </w:r>
      <w:r w:rsidRPr="00DC5C63">
        <w:t>Information governance needs to be more than t</w:t>
      </w:r>
      <w:r w:rsidRPr="00AD7450">
        <w:t xml:space="preserve">he responsibility of just one </w:t>
      </w:r>
      <w:r>
        <w:t>person</w:t>
      </w:r>
      <w:r w:rsidRPr="00AD7450">
        <w:t xml:space="preserve"> within an organisation.</w:t>
      </w:r>
      <w:r>
        <w:t xml:space="preserve"> </w:t>
      </w:r>
      <w:r w:rsidRPr="00AD7450">
        <w:t>It should also not be seen solely as a defensive</w:t>
      </w:r>
      <w:r>
        <w:t xml:space="preserve"> role the organisation takes on.</w:t>
      </w:r>
    </w:p>
    <w:p w14:paraId="36FBFB48" w14:textId="77777777" w:rsidR="00011AC7" w:rsidRPr="00827B01" w:rsidRDefault="00011AC7" w:rsidP="002F0480">
      <w:pPr>
        <w:pStyle w:val="Heading2"/>
      </w:pPr>
      <w:bookmarkStart w:id="14" w:name="_Toc489004253"/>
      <w:bookmarkStart w:id="15" w:name="_Toc491259712"/>
      <w:r>
        <w:t>Ownership of i</w:t>
      </w:r>
      <w:r w:rsidRPr="00827B01">
        <w:t>nformation</w:t>
      </w:r>
      <w:bookmarkEnd w:id="14"/>
      <w:bookmarkEnd w:id="15"/>
    </w:p>
    <w:p w14:paraId="7BE3C475" w14:textId="77777777" w:rsidR="00D56B08" w:rsidRDefault="00011AC7" w:rsidP="002F0480">
      <w:r>
        <w:t xml:space="preserve">Historically, there has been </w:t>
      </w:r>
      <w:r w:rsidRPr="00827B01">
        <w:t>debate over who owns the information contained within t</w:t>
      </w:r>
      <w:r>
        <w:t>he patient information system</w:t>
      </w:r>
      <w:r w:rsidRPr="00827B01">
        <w:t xml:space="preserve">. </w:t>
      </w:r>
      <w:r>
        <w:t>A</w:t>
      </w:r>
      <w:r w:rsidRPr="00827B01">
        <w:t xml:space="preserve"> patient </w:t>
      </w:r>
      <w:r>
        <w:t xml:space="preserve">might consider </w:t>
      </w:r>
      <w:r w:rsidRPr="00827B01">
        <w:t xml:space="preserve">they own any information relating to their health while </w:t>
      </w:r>
      <w:r>
        <w:t>a</w:t>
      </w:r>
      <w:r w:rsidRPr="00827B01">
        <w:t xml:space="preserve"> health practitioner may consider that any notes they record about the patient as a result of a medical examination belong to them</w:t>
      </w:r>
      <w:r>
        <w:t xml:space="preserve">, or may state that </w:t>
      </w:r>
      <w:r w:rsidR="00D56B08">
        <w:t>‘</w:t>
      </w:r>
      <w:r>
        <w:t>the patient owns their own information</w:t>
      </w:r>
      <w:r w:rsidR="00D56B08">
        <w:t>’</w:t>
      </w:r>
      <w:r>
        <w:t xml:space="preserve"> as a way of expressing how carefully it will be managed</w:t>
      </w:r>
      <w:r w:rsidRPr="00827B01">
        <w:t>.</w:t>
      </w:r>
    </w:p>
    <w:p w14:paraId="6BF4AB65" w14:textId="77777777" w:rsidR="00011AC7" w:rsidRPr="00FB22A5" w:rsidRDefault="00011AC7" w:rsidP="002F0480">
      <w:bookmarkStart w:id="16" w:name="_Toc428370255"/>
      <w:bookmarkStart w:id="17" w:name="_Toc428370256"/>
      <w:bookmarkStart w:id="18" w:name="_Toc428370257"/>
      <w:bookmarkStart w:id="19" w:name="_Toc437930851"/>
      <w:bookmarkStart w:id="20" w:name="_Toc437932896"/>
      <w:bookmarkStart w:id="21" w:name="_Toc437930852"/>
      <w:bookmarkStart w:id="22" w:name="_Toc437932897"/>
      <w:bookmarkStart w:id="23" w:name="_Toc437930855"/>
      <w:bookmarkStart w:id="24" w:name="_Toc437932900"/>
      <w:bookmarkStart w:id="25" w:name="_Toc442872646"/>
      <w:bookmarkStart w:id="26" w:name="_Toc442872814"/>
      <w:bookmarkStart w:id="27" w:name="_Toc437930856"/>
      <w:bookmarkStart w:id="28" w:name="_Toc437932901"/>
      <w:bookmarkStart w:id="29" w:name="_Toc442872647"/>
      <w:bookmarkStart w:id="30" w:name="_Toc442872815"/>
      <w:bookmarkStart w:id="31" w:name="_Toc437930857"/>
      <w:bookmarkStart w:id="32" w:name="_Toc437932902"/>
      <w:bookmarkStart w:id="33" w:name="_Toc442872648"/>
      <w:bookmarkStart w:id="34" w:name="_Toc442872816"/>
      <w:bookmarkStart w:id="35" w:name="_Toc437930858"/>
      <w:bookmarkStart w:id="36" w:name="_Toc437932903"/>
      <w:bookmarkStart w:id="37" w:name="_Toc442872649"/>
      <w:bookmarkStart w:id="38" w:name="_Toc442872817"/>
      <w:bookmarkStart w:id="39" w:name="_Toc437930859"/>
      <w:bookmarkStart w:id="40" w:name="_Toc437932904"/>
      <w:bookmarkStart w:id="41" w:name="_Toc442872650"/>
      <w:bookmarkStart w:id="42" w:name="_Toc442872818"/>
      <w:bookmarkStart w:id="43" w:name="_Toc437930860"/>
      <w:bookmarkStart w:id="44" w:name="_Toc437932905"/>
      <w:bookmarkStart w:id="45" w:name="_Toc442872651"/>
      <w:bookmarkStart w:id="46" w:name="_Toc442872819"/>
      <w:bookmarkStart w:id="47" w:name="_Toc437930861"/>
      <w:bookmarkStart w:id="48" w:name="_Toc437932906"/>
      <w:bookmarkStart w:id="49" w:name="_Toc442872652"/>
      <w:bookmarkStart w:id="50" w:name="_Toc442872820"/>
      <w:bookmarkStart w:id="51" w:name="_Toc437930862"/>
      <w:bookmarkStart w:id="52" w:name="_Toc437932907"/>
      <w:bookmarkStart w:id="53" w:name="_Toc442872653"/>
      <w:bookmarkStart w:id="54" w:name="_Toc442872821"/>
      <w:bookmarkStart w:id="55" w:name="_Toc437930863"/>
      <w:bookmarkStart w:id="56" w:name="_Toc437932908"/>
      <w:bookmarkStart w:id="57" w:name="_Toc442872654"/>
      <w:bookmarkStart w:id="58" w:name="_Toc442872822"/>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t>T</w:t>
      </w:r>
      <w:r w:rsidRPr="00827B01">
        <w:t xml:space="preserve">he Privacy Commissioner </w:t>
      </w:r>
      <w:r>
        <w:t xml:space="preserve">has </w:t>
      </w:r>
      <w:r w:rsidRPr="00827B01">
        <w:t>said</w:t>
      </w:r>
      <w:r>
        <w:t xml:space="preserve"> that rather than thinking in terms of </w:t>
      </w:r>
      <w:r w:rsidR="00D56B08">
        <w:t>“</w:t>
      </w:r>
      <w:r>
        <w:t>property</w:t>
      </w:r>
      <w:r w:rsidR="00D56B08">
        <w:t>”</w:t>
      </w:r>
      <w:r>
        <w:t xml:space="preserve"> ownership, it is more accurate to say:</w:t>
      </w:r>
    </w:p>
    <w:p w14:paraId="24603B4D" w14:textId="77777777" w:rsidR="00011AC7" w:rsidRPr="0035559C" w:rsidRDefault="00D56B08" w:rsidP="002F0480">
      <w:pPr>
        <w:pStyle w:val="Quote"/>
      </w:pPr>
      <w:r>
        <w:t>“</w:t>
      </w:r>
      <w:r w:rsidR="00011AC7" w:rsidRPr="0035559C">
        <w:t xml:space="preserve">People have rights over health information about themselves and health agencies have obligations over the health information they hold. Rule 6 </w:t>
      </w:r>
      <w:r w:rsidR="00011AC7">
        <w:t xml:space="preserve">[of the Health Information Privacy Code 1994] </w:t>
      </w:r>
      <w:r w:rsidR="00011AC7" w:rsidRPr="0035559C">
        <w:t>gives individuals the right to access information about themselves and rule</w:t>
      </w:r>
      <w:r w:rsidR="002F0480">
        <w:t> </w:t>
      </w:r>
      <w:r w:rsidR="00011AC7" w:rsidRPr="0035559C">
        <w:t>7 gives them the right to seek correction of that information if they think it is inaccurate or misleading.</w:t>
      </w:r>
      <w:r>
        <w:t>”</w:t>
      </w:r>
      <w:r w:rsidR="00011AC7" w:rsidRPr="002F0480">
        <w:rPr>
          <w:rStyle w:val="FootnoteReference"/>
        </w:rPr>
        <w:footnoteReference w:id="4"/>
      </w:r>
    </w:p>
    <w:p w14:paraId="1ACFCB52" w14:textId="77777777" w:rsidR="00011AC7" w:rsidRDefault="00011AC7" w:rsidP="002F0480">
      <w:pPr>
        <w:pStyle w:val="Heading2"/>
      </w:pPr>
      <w:bookmarkStart w:id="59" w:name="_Toc489004254"/>
      <w:bookmarkStart w:id="60" w:name="_Toc491259713"/>
      <w:r w:rsidRPr="00DB4DA2">
        <w:t>Definitions</w:t>
      </w:r>
      <w:bookmarkEnd w:id="59"/>
      <w:bookmarkEnd w:id="60"/>
    </w:p>
    <w:p w14:paraId="30B7D42B" w14:textId="77777777" w:rsidR="00011AC7" w:rsidRDefault="00011AC7" w:rsidP="002F0480">
      <w:r>
        <w:t>A full list of definitions of key terms can be found in Appendix 3.</w:t>
      </w:r>
    </w:p>
    <w:p w14:paraId="1753451F" w14:textId="77777777" w:rsidR="00D56B08" w:rsidRDefault="00011AC7" w:rsidP="002F0480">
      <w:r>
        <w:t xml:space="preserve">Many terms will be familiar to those who work in the health and disability sector, however there are some important </w:t>
      </w:r>
      <w:r w:rsidRPr="00D55CD7">
        <w:t>distinctions</w:t>
      </w:r>
      <w:r>
        <w:t xml:space="preserve"> to be made amongst commonly used terms.</w:t>
      </w:r>
    </w:p>
    <w:p w14:paraId="708F8562" w14:textId="58A5B784" w:rsidR="00D56B08" w:rsidRDefault="002F0480" w:rsidP="00AD46AA">
      <w:pPr>
        <w:keepLines/>
      </w:pPr>
      <w:r>
        <w:lastRenderedPageBreak/>
        <w:t>‘</w:t>
      </w:r>
      <w:r w:rsidR="00011AC7">
        <w:t>Health provider</w:t>
      </w:r>
      <w:r>
        <w:t>’</w:t>
      </w:r>
      <w:r w:rsidR="00011AC7">
        <w:t xml:space="preserve"> describes an organisation or a person involved in the provision of health care services. An individual health provider can be either a registered health practitioner (which is a term defined in the Health Practitioners Competence Assurance Act 2003) or a health worker (a</w:t>
      </w:r>
      <w:r>
        <w:t> </w:t>
      </w:r>
      <w:r w:rsidR="00011AC7">
        <w:t>person who works in health services who is not registered under that Act).</w:t>
      </w:r>
    </w:p>
    <w:p w14:paraId="4CFCF99C" w14:textId="667FFBEC" w:rsidR="00011AC7" w:rsidRDefault="002F0480" w:rsidP="002F0480">
      <w:r>
        <w:t>‘</w:t>
      </w:r>
      <w:r w:rsidR="00011AC7">
        <w:t>Health information</w:t>
      </w:r>
      <w:r>
        <w:t>’</w:t>
      </w:r>
      <w:r w:rsidR="00011AC7">
        <w:t xml:space="preserve"> or </w:t>
      </w:r>
      <w:r>
        <w:t>‘</w:t>
      </w:r>
      <w:r w:rsidR="00011AC7">
        <w:t>personal health information</w:t>
      </w:r>
      <w:r>
        <w:t>’</w:t>
      </w:r>
      <w:r w:rsidR="00011AC7">
        <w:t xml:space="preserve"> refers to information associated with an individual. Anonymous or aggregated data (</w:t>
      </w:r>
      <w:proofErr w:type="spellStart"/>
      <w:r w:rsidR="00011AC7">
        <w:t>ie</w:t>
      </w:r>
      <w:proofErr w:type="spellEnd"/>
      <w:r w:rsidR="00011AC7">
        <w:t>, data that does not directly identify an individual) is not regulated in law.</w:t>
      </w:r>
      <w:r w:rsidR="00011AC7" w:rsidRPr="002F0480">
        <w:rPr>
          <w:rStyle w:val="FootnoteReference"/>
        </w:rPr>
        <w:footnoteReference w:id="5"/>
      </w:r>
      <w:r w:rsidR="00011AC7">
        <w:t xml:space="preserve"> A subset of health information is the health record, which is the record of an individual</w:t>
      </w:r>
      <w:r w:rsidR="00D56B08">
        <w:t>’</w:t>
      </w:r>
      <w:r w:rsidR="00011AC7">
        <w:t>s health care, and which may be kept in multiple files, and in either electronic or paper form.</w:t>
      </w:r>
    </w:p>
    <w:p w14:paraId="2000BD00" w14:textId="71D878D8" w:rsidR="00011AC7" w:rsidRDefault="00011AC7" w:rsidP="002F0480">
      <w:r>
        <w:t>Sometimes non</w:t>
      </w:r>
      <w:r w:rsidR="002F0480">
        <w:t>-</w:t>
      </w:r>
      <w:r>
        <w:t>personal health information may be mixed with health information. Where this happens the non</w:t>
      </w:r>
      <w:r w:rsidR="00043F5D">
        <w:t>-</w:t>
      </w:r>
      <w:r>
        <w:t>personal health information should be treated as health information for the purposes of these protocols.</w:t>
      </w:r>
    </w:p>
    <w:p w14:paraId="575F6EFB" w14:textId="11FA68C0" w:rsidR="00011AC7" w:rsidRDefault="002F0480" w:rsidP="002F0480">
      <w:r>
        <w:t>‘</w:t>
      </w:r>
      <w:r w:rsidR="00011AC7">
        <w:t>Point-of-care information systems</w:t>
      </w:r>
      <w:r>
        <w:t>’</w:t>
      </w:r>
      <w:r w:rsidR="00011AC7">
        <w:t xml:space="preserve"> are those that hold the master copy of the patient</w:t>
      </w:r>
      <w:r w:rsidR="00D56B08">
        <w:t>’</w:t>
      </w:r>
      <w:r w:rsidR="00011AC7">
        <w:t>s information for that point-of-care health provider. An example is a practice management system. A shared care information system is designed to share health information across providers by accumulating data from point-of-care systems and allowing health providers to access that data or health information through a secure online portal.</w:t>
      </w:r>
    </w:p>
    <w:p w14:paraId="0331860D" w14:textId="77777777" w:rsidR="00D56B08" w:rsidRDefault="00011AC7" w:rsidP="002F0480">
      <w:pPr>
        <w:pStyle w:val="Heading2"/>
      </w:pPr>
      <w:bookmarkStart w:id="61" w:name="_Toc489004255"/>
      <w:bookmarkStart w:id="62" w:name="_Toc491259714"/>
      <w:r w:rsidRPr="00DF618B">
        <w:t>Requirements</w:t>
      </w:r>
      <w:bookmarkEnd w:id="61"/>
      <w:bookmarkEnd w:id="62"/>
    </w:p>
    <w:p w14:paraId="1DF065A9" w14:textId="77777777" w:rsidR="00011AC7" w:rsidRDefault="00011AC7" w:rsidP="002F0480">
      <w:r>
        <w:t>The requirements set out under each subject area in these Guidelines contain the core information governance requirements expected of all health providers and are based on the key principles underpinning these Guidelines. A copy of the principles can be found in Appendix</w:t>
      </w:r>
      <w:r w:rsidR="002F0480">
        <w:t> </w:t>
      </w:r>
      <w:r>
        <w:t>4.</w:t>
      </w:r>
    </w:p>
    <w:p w14:paraId="2A78BC12" w14:textId="77777777" w:rsidR="00011AC7" w:rsidRPr="001D2E9C" w:rsidRDefault="00011AC7" w:rsidP="002F0480">
      <w:r w:rsidRPr="00957351">
        <w:t>The subject areas</w:t>
      </w:r>
      <w:r>
        <w:t xml:space="preserve"> are</w:t>
      </w:r>
      <w:r w:rsidRPr="00957351">
        <w:t>:</w:t>
      </w:r>
    </w:p>
    <w:p w14:paraId="74D3C771" w14:textId="7FC66342" w:rsidR="00011AC7" w:rsidRDefault="00011AC7" w:rsidP="002F0480">
      <w:pPr>
        <w:pStyle w:val="Bullet"/>
      </w:pPr>
      <w:r w:rsidRPr="00E93628">
        <w:t xml:space="preserve">Maintaining </w:t>
      </w:r>
      <w:r w:rsidR="0041414F" w:rsidRPr="00E93628">
        <w:t xml:space="preserve">quality </w:t>
      </w:r>
      <w:r w:rsidRPr="00E93628">
        <w:t xml:space="preserve">and </w:t>
      </w:r>
      <w:r w:rsidR="0041414F" w:rsidRPr="00E93628">
        <w:t>trust</w:t>
      </w:r>
      <w:r w:rsidR="0041414F">
        <w:t xml:space="preserve"> </w:t>
      </w:r>
      <w:r>
        <w:t xml:space="preserve">– </w:t>
      </w:r>
      <w:r w:rsidR="0041414F">
        <w:t xml:space="preserve">this </w:t>
      </w:r>
      <w:r>
        <w:t>chapter sets out how these Guidelines will support information sharing to enable health practitioners to have access to relevant and high-quality information at point of care, while assuring consumers their personal health information remains confidential.</w:t>
      </w:r>
    </w:p>
    <w:p w14:paraId="7B973022" w14:textId="32359CB4" w:rsidR="00011AC7" w:rsidRPr="00B1251F" w:rsidRDefault="00011AC7" w:rsidP="002F0480">
      <w:pPr>
        <w:pStyle w:val="Bullet"/>
      </w:pPr>
      <w:r>
        <w:t>Upholding c</w:t>
      </w:r>
      <w:r w:rsidRPr="00E93628">
        <w:t xml:space="preserve">onsumer </w:t>
      </w:r>
      <w:r>
        <w:t xml:space="preserve">rights and maintaining transparency – </w:t>
      </w:r>
      <w:r w:rsidR="0041414F" w:rsidRPr="00B1251F">
        <w:t xml:space="preserve">this </w:t>
      </w:r>
      <w:r w:rsidRPr="00B1251F">
        <w:t>chapter sets out consumers</w:t>
      </w:r>
      <w:r w:rsidR="00D56B08">
        <w:t>’</w:t>
      </w:r>
      <w:r w:rsidRPr="00B1251F">
        <w:t xml:space="preserve"> privacy rights in regard to their personal health information and the requirement that all health agencies maintain transparency in their use of personal health information.</w:t>
      </w:r>
    </w:p>
    <w:p w14:paraId="721E92BE" w14:textId="725F31AF" w:rsidR="00011AC7" w:rsidRPr="00B1251F" w:rsidRDefault="00011AC7" w:rsidP="002F0480">
      <w:pPr>
        <w:pStyle w:val="Bullet"/>
      </w:pPr>
      <w:r>
        <w:t xml:space="preserve">Appropriate disclosure and sharing – </w:t>
      </w:r>
      <w:r w:rsidR="0041414F" w:rsidRPr="00B1251F">
        <w:t xml:space="preserve">this </w:t>
      </w:r>
      <w:r w:rsidRPr="00B1251F">
        <w:t>chapter sets out the rules for information sharing and disclosure.</w:t>
      </w:r>
    </w:p>
    <w:p w14:paraId="19F06FBF" w14:textId="743496C7" w:rsidR="00D56B08" w:rsidRDefault="00011AC7" w:rsidP="002F0480">
      <w:pPr>
        <w:pStyle w:val="Bullet"/>
      </w:pPr>
      <w:r w:rsidRPr="00E93628">
        <w:t>Securi</w:t>
      </w:r>
      <w:r>
        <w:t>ng</w:t>
      </w:r>
      <w:r w:rsidRPr="00E93628">
        <w:t xml:space="preserve"> and </w:t>
      </w:r>
      <w:r>
        <w:t>p</w:t>
      </w:r>
      <w:r w:rsidRPr="00E93628">
        <w:t>rotecti</w:t>
      </w:r>
      <w:r>
        <w:t>ng</w:t>
      </w:r>
      <w:r w:rsidRPr="00E93628">
        <w:t xml:space="preserve"> </w:t>
      </w:r>
      <w:r>
        <w:t>personal health i</w:t>
      </w:r>
      <w:r w:rsidRPr="00E93628">
        <w:t>nformation</w:t>
      </w:r>
      <w:r>
        <w:t xml:space="preserve"> – </w:t>
      </w:r>
      <w:r w:rsidR="0041414F" w:rsidRPr="00B1251F">
        <w:t xml:space="preserve">this </w:t>
      </w:r>
      <w:r w:rsidRPr="00B1251F">
        <w:t>chapter sets out the minimum requirements for securing and protecting personal health information in storage or in transit.</w:t>
      </w:r>
    </w:p>
    <w:p w14:paraId="37FBBB71" w14:textId="683A9BD5" w:rsidR="00011AC7" w:rsidRPr="00D871A7" w:rsidRDefault="00011AC7" w:rsidP="002F0480">
      <w:pPr>
        <w:pStyle w:val="Bullet"/>
      </w:pPr>
      <w:r>
        <w:t>Governance and implementation of th</w:t>
      </w:r>
      <w:r w:rsidR="001C2FA7">
        <w:t>ese</w:t>
      </w:r>
      <w:r>
        <w:t xml:space="preserve"> Guidelines</w:t>
      </w:r>
      <w:r w:rsidRPr="00D871A7">
        <w:t>.</w:t>
      </w:r>
    </w:p>
    <w:p w14:paraId="4F52BBB6" w14:textId="77777777" w:rsidR="00011AC7" w:rsidRPr="00BF2FFC" w:rsidRDefault="00011AC7" w:rsidP="002F0480">
      <w:pPr>
        <w:pStyle w:val="Heading1"/>
      </w:pPr>
      <w:bookmarkStart w:id="63" w:name="_Toc401744123"/>
      <w:bookmarkStart w:id="64" w:name="_Toc437930867"/>
      <w:bookmarkStart w:id="65" w:name="_Toc437932912"/>
      <w:bookmarkStart w:id="66" w:name="_Toc442872658"/>
      <w:bookmarkStart w:id="67" w:name="_Toc442872826"/>
      <w:bookmarkStart w:id="68" w:name="_Toc437930868"/>
      <w:bookmarkStart w:id="69" w:name="_Toc437932913"/>
      <w:bookmarkStart w:id="70" w:name="_Toc442872659"/>
      <w:bookmarkStart w:id="71" w:name="_Toc442872827"/>
      <w:bookmarkStart w:id="72" w:name="_Toc401744126"/>
      <w:bookmarkStart w:id="73" w:name="_Toc401744127"/>
      <w:bookmarkStart w:id="74" w:name="_Toc401744128"/>
      <w:bookmarkStart w:id="75" w:name="_Toc401744129"/>
      <w:bookmarkStart w:id="76" w:name="_Toc401744130"/>
      <w:bookmarkStart w:id="77" w:name="_Toc401744131"/>
      <w:bookmarkStart w:id="78" w:name="_Toc401744132"/>
      <w:bookmarkStart w:id="79" w:name="_Toc401744133"/>
      <w:bookmarkStart w:id="80" w:name="maintainingqualityandtrust"/>
      <w:bookmarkStart w:id="81" w:name="_Toc476648160"/>
      <w:bookmarkStart w:id="82" w:name="_Toc489004256"/>
      <w:bookmarkStart w:id="83" w:name="_Toc491259715"/>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BF2FFC">
        <w:lastRenderedPageBreak/>
        <w:t xml:space="preserve">Maintaining </w:t>
      </w:r>
      <w:r>
        <w:t>q</w:t>
      </w:r>
      <w:r w:rsidRPr="00BF2FFC">
        <w:t xml:space="preserve">uality and </w:t>
      </w:r>
      <w:r>
        <w:t>t</w:t>
      </w:r>
      <w:r w:rsidRPr="00BF2FFC">
        <w:t>rust</w:t>
      </w:r>
      <w:bookmarkEnd w:id="81"/>
      <w:bookmarkEnd w:id="82"/>
      <w:bookmarkEnd w:id="83"/>
    </w:p>
    <w:p w14:paraId="33F810E8" w14:textId="77777777" w:rsidR="00D56B08" w:rsidRDefault="00011AC7" w:rsidP="002F0480">
      <w:r>
        <w:t>Maintaining quality and trust in health information is critical for both health practitioners and consumers. Trusted health information allows the health practitioner to accurately understand the consumer</w:t>
      </w:r>
      <w:r w:rsidR="00D56B08">
        <w:t>’</w:t>
      </w:r>
      <w:r>
        <w:t>s health status, make well-informed decisions and co-ordinate care with other health providers. The same information provides the consumer with the story of their health care and their journey through the health system.</w:t>
      </w:r>
    </w:p>
    <w:p w14:paraId="4EAD5B50" w14:textId="77777777" w:rsidR="00011AC7" w:rsidRPr="00D62E07" w:rsidRDefault="00011AC7" w:rsidP="002F0480">
      <w:r w:rsidRPr="00D62E07">
        <w:t xml:space="preserve">Good </w:t>
      </w:r>
      <w:r>
        <w:t>health</w:t>
      </w:r>
      <w:r w:rsidRPr="00D62E07">
        <w:t xml:space="preserve"> </w:t>
      </w:r>
      <w:r>
        <w:t>r</w:t>
      </w:r>
      <w:r w:rsidRPr="00D62E07">
        <w:t>ecords are essential for the continuity of care of the patient.</w:t>
      </w:r>
      <w:r>
        <w:t xml:space="preserve"> They</w:t>
      </w:r>
      <w:r w:rsidRPr="00D62E07">
        <w:t xml:space="preserve"> enable the health practitioner to reconstruct the essential parts of each patient contact without reference to memory. They should therefore be comprehensive enough to allow a fellow registered health practitioner to either carry on where the previous practitioner left off, or use the information contained in the record as a basis for any subsequent course of treatment or care</w:t>
      </w:r>
      <w:r>
        <w:t>.</w:t>
      </w:r>
      <w:r w:rsidRPr="002F0480">
        <w:rPr>
          <w:rStyle w:val="FootnoteReference"/>
        </w:rPr>
        <w:footnoteReference w:id="6"/>
      </w:r>
      <w:r w:rsidRPr="004C2A3D">
        <w:rPr>
          <w:vertAlign w:val="superscript"/>
        </w:rPr>
        <w:t>,</w:t>
      </w:r>
      <w:bookmarkStart w:id="84" w:name="_Ref489839440"/>
      <w:r w:rsidRPr="002F0480">
        <w:rPr>
          <w:rStyle w:val="FootnoteReference"/>
        </w:rPr>
        <w:footnoteReference w:id="7"/>
      </w:r>
      <w:bookmarkEnd w:id="84"/>
    </w:p>
    <w:p w14:paraId="6B94ED64" w14:textId="77777777" w:rsidR="00D56B08" w:rsidRDefault="00011AC7" w:rsidP="002F0480">
      <w:r>
        <w:t>Increasingly, care for consumers is delivered by a virtual team operating in many care settings. Electronic health records create the platform for the sharing of health information across a wide set of supporting health providers.</w:t>
      </w:r>
    </w:p>
    <w:p w14:paraId="4B6413A8" w14:textId="77777777" w:rsidR="00D56B08" w:rsidRDefault="00011AC7" w:rsidP="002F0480">
      <w:r>
        <w:t>A workable balance between health practitioner rights and consumer rights to access information needs to be put into practice to ensure consumers maintain some level of control over their information.</w:t>
      </w:r>
    </w:p>
    <w:p w14:paraId="5952F776" w14:textId="6C2C12A7" w:rsidR="00011AC7" w:rsidRDefault="00011AC7" w:rsidP="002F0480">
      <w:r>
        <w:t>Consumers want good quality care. They also want their privacy protected. Most consumers are comfortable that health providers share their information with other providers for the purposes of treatment and care</w:t>
      </w:r>
      <w:r w:rsidR="002F0480">
        <w:t>.</w:t>
      </w:r>
      <w:r w:rsidRPr="002F0480">
        <w:rPr>
          <w:rStyle w:val="FootnoteReference"/>
        </w:rPr>
        <w:footnoteReference w:id="8"/>
      </w:r>
    </w:p>
    <w:p w14:paraId="5EEC4521" w14:textId="77777777" w:rsidR="00011AC7" w:rsidRDefault="00011AC7" w:rsidP="002F0480">
      <w:r>
        <w:t>The trust consumers have in the health care system is enhanced when their health information is managed well. A badly managed privacy breach affects the confidence of both consumers and health practitioners.</w:t>
      </w:r>
      <w:r w:rsidRPr="002F0480">
        <w:rPr>
          <w:rStyle w:val="FootnoteReference"/>
        </w:rPr>
        <w:footnoteReference w:id="9"/>
      </w:r>
      <w:r>
        <w:t xml:space="preserve"> Without sufficient transparency and controls over access to health information, trust in the system is eroded.</w:t>
      </w:r>
      <w:r w:rsidRPr="002F0480">
        <w:rPr>
          <w:rStyle w:val="FootnoteReference"/>
        </w:rPr>
        <w:footnoteReference w:id="10"/>
      </w:r>
    </w:p>
    <w:p w14:paraId="2924E5F8" w14:textId="77777777" w:rsidR="00011AC7" w:rsidRPr="00D871A7" w:rsidRDefault="00011AC7" w:rsidP="000E5919">
      <w:pPr>
        <w:keepLines/>
      </w:pPr>
      <w:r w:rsidRPr="0068465F">
        <w:lastRenderedPageBreak/>
        <w:t xml:space="preserve">To </w:t>
      </w:r>
      <w:r>
        <w:t>maintain trust and confidence,</w:t>
      </w:r>
      <w:r w:rsidRPr="0068465F">
        <w:t xml:space="preserve"> </w:t>
      </w:r>
      <w:r>
        <w:t>health provider</w:t>
      </w:r>
      <w:r w:rsidRPr="0068465F">
        <w:t xml:space="preserve">s need to be transparent about how </w:t>
      </w:r>
      <w:r>
        <w:t xml:space="preserve">personal health </w:t>
      </w:r>
      <w:r w:rsidRPr="0068465F">
        <w:t>information is used.</w:t>
      </w:r>
      <w:r>
        <w:t xml:space="preserve"> </w:t>
      </w:r>
      <w:r w:rsidRPr="0068465F">
        <w:t>In particular</w:t>
      </w:r>
      <w:r>
        <w:t>,</w:t>
      </w:r>
      <w:r w:rsidRPr="0068465F">
        <w:t xml:space="preserve"> </w:t>
      </w:r>
      <w:r>
        <w:t xml:space="preserve">if asked, a health provider should be able to make available to the consumer evidence of </w:t>
      </w:r>
      <w:r w:rsidRPr="0068465F">
        <w:t xml:space="preserve">who </w:t>
      </w:r>
      <w:r>
        <w:t xml:space="preserve">has </w:t>
      </w:r>
      <w:r w:rsidRPr="0068465F">
        <w:t>see</w:t>
      </w:r>
      <w:r>
        <w:t>n</w:t>
      </w:r>
      <w:r w:rsidRPr="0068465F">
        <w:t xml:space="preserve"> </w:t>
      </w:r>
      <w:r>
        <w:t>their information</w:t>
      </w:r>
      <w:r w:rsidRPr="0068465F">
        <w:t xml:space="preserve">, when, where and for what purpose. </w:t>
      </w:r>
      <w:r>
        <w:t>Giving consumers some ability to control access rights will also foster greater trust in the health system.</w:t>
      </w:r>
    </w:p>
    <w:p w14:paraId="079732EA" w14:textId="77777777" w:rsidR="00011AC7" w:rsidRPr="00957351" w:rsidRDefault="00011AC7" w:rsidP="00402308">
      <w:pPr>
        <w:pStyle w:val="Heading2"/>
      </w:pPr>
      <w:bookmarkStart w:id="85" w:name="_Toc476648162"/>
      <w:bookmarkStart w:id="86" w:name="_Toc489004257"/>
      <w:bookmarkStart w:id="87" w:name="_Toc491259716"/>
      <w:r>
        <w:t>Objective</w:t>
      </w:r>
      <w:bookmarkEnd w:id="85"/>
      <w:bookmarkEnd w:id="86"/>
      <w:bookmarkEnd w:id="87"/>
    </w:p>
    <w:p w14:paraId="4E88E9FD" w14:textId="77777777" w:rsidR="00011AC7" w:rsidRPr="00D2799C" w:rsidRDefault="00011AC7" w:rsidP="00402308">
      <w:r w:rsidRPr="00D2799C">
        <w:t xml:space="preserve">Consumers trust </w:t>
      </w:r>
      <w:r>
        <w:t>their health provider</w:t>
      </w:r>
      <w:r w:rsidRPr="00D2799C">
        <w:t xml:space="preserve"> to treat their health information confidentially and are comfortable with all relevant health information being available to </w:t>
      </w:r>
      <w:r>
        <w:t>o</w:t>
      </w:r>
      <w:r w:rsidRPr="00D2799C">
        <w:t>the</w:t>
      </w:r>
      <w:r>
        <w:t>r</w:t>
      </w:r>
      <w:r w:rsidRPr="00D2799C">
        <w:t xml:space="preserve"> </w:t>
      </w:r>
      <w:r>
        <w:t>health providers</w:t>
      </w:r>
      <w:r w:rsidRPr="00D2799C">
        <w:t xml:space="preserve"> </w:t>
      </w:r>
      <w:r>
        <w:t>for the purposes of treatment and care</w:t>
      </w:r>
      <w:r w:rsidRPr="00D2799C">
        <w:t>.</w:t>
      </w:r>
    </w:p>
    <w:p w14:paraId="7585647A" w14:textId="77777777" w:rsidR="00011AC7" w:rsidRDefault="00011AC7" w:rsidP="00402308">
      <w:pPr>
        <w:pStyle w:val="Heading2"/>
      </w:pPr>
      <w:bookmarkStart w:id="88" w:name="_Toc476648163"/>
      <w:bookmarkStart w:id="89" w:name="_Toc489004258"/>
      <w:bookmarkStart w:id="90" w:name="_Toc491259717"/>
      <w:r w:rsidRPr="00BF2FFC">
        <w:t>Policy</w:t>
      </w:r>
      <w:r>
        <w:t xml:space="preserve"> statements</w:t>
      </w:r>
      <w:bookmarkEnd w:id="88"/>
      <w:bookmarkEnd w:id="89"/>
      <w:bookmarkEnd w:id="90"/>
    </w:p>
    <w:p w14:paraId="196C86CC" w14:textId="77777777" w:rsidR="00011AC7" w:rsidRPr="00D2799C" w:rsidRDefault="00011AC7" w:rsidP="00402308">
      <w:r w:rsidRPr="00D2799C">
        <w:t xml:space="preserve">Information held is </w:t>
      </w:r>
      <w:r>
        <w:t>kept</w:t>
      </w:r>
      <w:r w:rsidRPr="00D2799C">
        <w:t xml:space="preserve"> accurate, up-to-date and as relevant as is necessary for the purposes of treatment and care.</w:t>
      </w:r>
    </w:p>
    <w:p w14:paraId="737BF7EE" w14:textId="71D491FE" w:rsidR="00D56B08" w:rsidRDefault="00011AC7" w:rsidP="00402308">
      <w:r w:rsidRPr="00D2799C">
        <w:t xml:space="preserve">All </w:t>
      </w:r>
      <w:r>
        <w:t>h</w:t>
      </w:r>
      <w:r w:rsidRPr="00D2799C">
        <w:t xml:space="preserve">ealth </w:t>
      </w:r>
      <w:r>
        <w:t>i</w:t>
      </w:r>
      <w:r w:rsidRPr="00D2799C">
        <w:t>nformation is treated as</w:t>
      </w:r>
      <w:r>
        <w:t xml:space="preserve"> MEDICAL</w:t>
      </w:r>
      <w:r w:rsidRPr="00D2799C">
        <w:t xml:space="preserve"> </w:t>
      </w:r>
      <w:r>
        <w:t>IN CONFIDENCE</w:t>
      </w:r>
      <w:r w:rsidR="00402308">
        <w:t>.</w:t>
      </w:r>
      <w:r w:rsidRPr="00402308">
        <w:rPr>
          <w:rStyle w:val="FootnoteReference"/>
        </w:rPr>
        <w:footnoteReference w:id="11"/>
      </w:r>
    </w:p>
    <w:p w14:paraId="75E34BA9" w14:textId="77777777" w:rsidR="00011AC7" w:rsidRPr="00D2799C" w:rsidRDefault="00011AC7" w:rsidP="00402308">
      <w:r>
        <w:t>Personal health information shall only be discussed in appropriate settings.</w:t>
      </w:r>
    </w:p>
    <w:p w14:paraId="2BDA894F" w14:textId="77777777" w:rsidR="00D56B08" w:rsidRDefault="00011AC7" w:rsidP="00402308">
      <w:r>
        <w:t>Use of h</w:t>
      </w:r>
      <w:r w:rsidRPr="00D2799C">
        <w:t xml:space="preserve">ealth </w:t>
      </w:r>
      <w:r>
        <w:t>i</w:t>
      </w:r>
      <w:r w:rsidRPr="00D2799C">
        <w:t>nformation</w:t>
      </w:r>
      <w:r>
        <w:t xml:space="preserve"> is clear and evident to the consumer. It is </w:t>
      </w:r>
      <w:r w:rsidRPr="00D2799C">
        <w:t xml:space="preserve">accessed </w:t>
      </w:r>
      <w:r>
        <w:t xml:space="preserve">only </w:t>
      </w:r>
      <w:r w:rsidRPr="00D2799C">
        <w:t xml:space="preserve">by persons who have </w:t>
      </w:r>
      <w:r>
        <w:t>a</w:t>
      </w:r>
      <w:r w:rsidRPr="00D2799C">
        <w:t xml:space="preserve">uthorised </w:t>
      </w:r>
      <w:r>
        <w:t>a</w:t>
      </w:r>
      <w:r w:rsidRPr="00D2799C">
        <w:t>ccess in the performance of their duties.</w:t>
      </w:r>
    </w:p>
    <w:p w14:paraId="79D2595D" w14:textId="77777777" w:rsidR="00D56B08" w:rsidRDefault="00011AC7" w:rsidP="00402308">
      <w:pPr>
        <w:spacing w:after="240"/>
      </w:pPr>
      <w:r w:rsidRPr="00D2799C">
        <w:t xml:space="preserve">Health </w:t>
      </w:r>
      <w:r>
        <w:t>i</w:t>
      </w:r>
      <w:r w:rsidRPr="00D2799C">
        <w:t xml:space="preserve">nformation remains under the jurisdiction of the health and disability sector unless authorised by law or the </w:t>
      </w:r>
      <w:r>
        <w:t>c</w:t>
      </w:r>
      <w:r w:rsidRPr="00D2799C">
        <w:t>onsumer has explicitly given their permission</w:t>
      </w:r>
      <w:r>
        <w:t xml:space="preserve"> for its release</w:t>
      </w:r>
      <w:r w:rsidRPr="00D2799C">
        <w:t>.</w:t>
      </w:r>
    </w:p>
    <w:tbl>
      <w:tblPr>
        <w:tblStyle w:val="TableGrid"/>
        <w:tblW w:w="4888" w:type="pct"/>
        <w:tblInd w:w="108" w:type="dxa"/>
        <w:tblLayout w:type="fixed"/>
        <w:tblLook w:val="0620" w:firstRow="1" w:lastRow="0" w:firstColumn="0" w:lastColumn="0" w:noHBand="1" w:noVBand="1"/>
      </w:tblPr>
      <w:tblGrid>
        <w:gridCol w:w="1120"/>
        <w:gridCol w:w="8293"/>
      </w:tblGrid>
      <w:tr w:rsidR="00402308" w:rsidRPr="00402308" w14:paraId="4964317C" w14:textId="77777777" w:rsidTr="00402308">
        <w:trPr>
          <w:cantSplit/>
        </w:trPr>
        <w:tc>
          <w:tcPr>
            <w:tcW w:w="5000" w:type="pct"/>
            <w:gridSpan w:val="2"/>
            <w:tcBorders>
              <w:top w:val="single" w:sz="4" w:space="0" w:color="1F497D"/>
              <w:left w:val="single" w:sz="4" w:space="0" w:color="1F497D"/>
              <w:bottom w:val="single" w:sz="4" w:space="0" w:color="1F497D"/>
              <w:right w:val="single" w:sz="4" w:space="0" w:color="1F497D"/>
            </w:tcBorders>
            <w:shd w:val="clear" w:color="auto" w:fill="1F497D"/>
          </w:tcPr>
          <w:p w14:paraId="15BB316F" w14:textId="77777777" w:rsidR="00011AC7" w:rsidRPr="00402308" w:rsidRDefault="00011AC7" w:rsidP="00402308">
            <w:pPr>
              <w:pStyle w:val="TableText"/>
              <w:rPr>
                <w:b/>
                <w:color w:val="FFFFFF" w:themeColor="background1"/>
              </w:rPr>
            </w:pPr>
            <w:r w:rsidRPr="00402308">
              <w:rPr>
                <w:b/>
                <w:color w:val="FFFFFF" w:themeColor="background1"/>
              </w:rPr>
              <w:t>Relevant Health Information Privacy Code Rules</w:t>
            </w:r>
            <w:r w:rsidRPr="00402308">
              <w:rPr>
                <w:rStyle w:val="FootnoteReference"/>
                <w:b/>
                <w:color w:val="FFFFFF" w:themeColor="background1"/>
                <w:szCs w:val="18"/>
              </w:rPr>
              <w:footnoteReference w:id="12"/>
            </w:r>
          </w:p>
        </w:tc>
      </w:tr>
      <w:tr w:rsidR="00011AC7" w:rsidRPr="003D3D4E" w14:paraId="7B3FF273" w14:textId="77777777" w:rsidTr="00402308">
        <w:trPr>
          <w:cantSplit/>
        </w:trPr>
        <w:tc>
          <w:tcPr>
            <w:tcW w:w="595" w:type="pct"/>
            <w:tcBorders>
              <w:top w:val="single" w:sz="4" w:space="0" w:color="1F497D"/>
              <w:left w:val="single" w:sz="4" w:space="0" w:color="1F497D"/>
              <w:bottom w:val="single" w:sz="4" w:space="0" w:color="1F497D"/>
              <w:right w:val="single" w:sz="4" w:space="0" w:color="1F497D"/>
            </w:tcBorders>
            <w:shd w:val="clear" w:color="auto" w:fill="DBE5F1" w:themeFill="accent1" w:themeFillTint="33"/>
          </w:tcPr>
          <w:p w14:paraId="23CB4ACC" w14:textId="77777777" w:rsidR="00011AC7" w:rsidRPr="00BF2FFC" w:rsidRDefault="00011AC7" w:rsidP="00402308">
            <w:pPr>
              <w:pStyle w:val="TableText"/>
            </w:pPr>
            <w:r>
              <w:t>Rule 1</w:t>
            </w:r>
          </w:p>
        </w:tc>
        <w:tc>
          <w:tcPr>
            <w:tcW w:w="4405" w:type="pct"/>
            <w:tcBorders>
              <w:top w:val="single" w:sz="4" w:space="0" w:color="1F497D"/>
              <w:left w:val="single" w:sz="4" w:space="0" w:color="1F497D"/>
              <w:bottom w:val="single" w:sz="4" w:space="0" w:color="1F497D"/>
              <w:right w:val="single" w:sz="4" w:space="0" w:color="1F497D"/>
            </w:tcBorders>
            <w:shd w:val="clear" w:color="auto" w:fill="DBE5F1" w:themeFill="accent1" w:themeFillTint="33"/>
          </w:tcPr>
          <w:p w14:paraId="49014B67" w14:textId="77777777" w:rsidR="00011AC7" w:rsidRPr="00577A5D" w:rsidRDefault="00011AC7" w:rsidP="00402308">
            <w:pPr>
              <w:pStyle w:val="TableText"/>
            </w:pPr>
            <w:r w:rsidRPr="00577A5D">
              <w:t>Health information must only be collected when:</w:t>
            </w:r>
          </w:p>
          <w:p w14:paraId="51B67958" w14:textId="02F1AAE6" w:rsidR="00011AC7" w:rsidRPr="00577A5D" w:rsidRDefault="00402308" w:rsidP="00402308">
            <w:pPr>
              <w:pStyle w:val="TableBullet"/>
            </w:pPr>
            <w:r>
              <w:t>t</w:t>
            </w:r>
            <w:r w:rsidR="00011AC7" w:rsidRPr="00577A5D">
              <w:t>he collection is for a lawful purpose, connected with what the agency does, and</w:t>
            </w:r>
          </w:p>
          <w:p w14:paraId="605A1762" w14:textId="0C35E325" w:rsidR="00011AC7" w:rsidRPr="00D56B08" w:rsidRDefault="00402308" w:rsidP="00402308">
            <w:pPr>
              <w:pStyle w:val="TableBullet"/>
              <w:rPr>
                <w:rFonts w:cs="Arial"/>
              </w:rPr>
            </w:pPr>
            <w:proofErr w:type="gramStart"/>
            <w:r>
              <w:t>i</w:t>
            </w:r>
            <w:r w:rsidR="00011AC7" w:rsidRPr="00577A5D">
              <w:t>t</w:t>
            </w:r>
            <w:proofErr w:type="gramEnd"/>
            <w:r w:rsidR="00011AC7" w:rsidRPr="00577A5D">
              <w:t xml:space="preserve"> is necessary to collect the information for that purpose</w:t>
            </w:r>
            <w:r w:rsidR="00011AC7">
              <w:t>.</w:t>
            </w:r>
          </w:p>
        </w:tc>
      </w:tr>
      <w:tr w:rsidR="00011AC7" w:rsidRPr="0016137F" w14:paraId="26C96F99" w14:textId="77777777" w:rsidTr="00402308">
        <w:trPr>
          <w:cantSplit/>
        </w:trPr>
        <w:tc>
          <w:tcPr>
            <w:tcW w:w="595" w:type="pct"/>
            <w:tcBorders>
              <w:top w:val="single" w:sz="4" w:space="0" w:color="1F497D"/>
              <w:left w:val="single" w:sz="4" w:space="0" w:color="1F497D"/>
              <w:bottom w:val="single" w:sz="4" w:space="0" w:color="1F497D"/>
              <w:right w:val="single" w:sz="4" w:space="0" w:color="1F497D"/>
            </w:tcBorders>
            <w:shd w:val="clear" w:color="auto" w:fill="DBE5F1" w:themeFill="accent1" w:themeFillTint="33"/>
          </w:tcPr>
          <w:p w14:paraId="5F451C89" w14:textId="77777777" w:rsidR="00011AC7" w:rsidRPr="00BF2FFC" w:rsidRDefault="00011AC7" w:rsidP="00402308">
            <w:pPr>
              <w:pStyle w:val="TableText"/>
            </w:pPr>
            <w:r>
              <w:t>Rule 4</w:t>
            </w:r>
          </w:p>
        </w:tc>
        <w:tc>
          <w:tcPr>
            <w:tcW w:w="4405" w:type="pct"/>
            <w:tcBorders>
              <w:top w:val="single" w:sz="4" w:space="0" w:color="1F497D"/>
              <w:left w:val="single" w:sz="4" w:space="0" w:color="1F497D"/>
              <w:bottom w:val="single" w:sz="4" w:space="0" w:color="1F497D"/>
              <w:right w:val="single" w:sz="4" w:space="0" w:color="1F497D"/>
            </w:tcBorders>
            <w:shd w:val="clear" w:color="auto" w:fill="DBE5F1" w:themeFill="accent1" w:themeFillTint="33"/>
          </w:tcPr>
          <w:p w14:paraId="7964B039" w14:textId="77777777" w:rsidR="00011AC7" w:rsidRPr="00577A5D" w:rsidRDefault="00011AC7" w:rsidP="00402308">
            <w:pPr>
              <w:pStyle w:val="TableText"/>
            </w:pPr>
            <w:r w:rsidRPr="00D56B08">
              <w:rPr>
                <w:rFonts w:cs="Arial"/>
              </w:rPr>
              <w:t>Health information must not be collected by unlawful means or by means that are unfair or unreasonably intrusive in the circumstances.</w:t>
            </w:r>
          </w:p>
        </w:tc>
      </w:tr>
      <w:tr w:rsidR="00011AC7" w:rsidRPr="003D3D4E" w14:paraId="482A5B88" w14:textId="77777777" w:rsidTr="00402308">
        <w:trPr>
          <w:cantSplit/>
        </w:trPr>
        <w:tc>
          <w:tcPr>
            <w:tcW w:w="595" w:type="pct"/>
            <w:tcBorders>
              <w:top w:val="single" w:sz="4" w:space="0" w:color="1F497D"/>
              <w:left w:val="single" w:sz="4" w:space="0" w:color="1F497D"/>
              <w:bottom w:val="single" w:sz="4" w:space="0" w:color="1F497D"/>
              <w:right w:val="single" w:sz="4" w:space="0" w:color="1F497D"/>
            </w:tcBorders>
            <w:shd w:val="clear" w:color="auto" w:fill="DBE5F1" w:themeFill="accent1" w:themeFillTint="33"/>
          </w:tcPr>
          <w:p w14:paraId="18CB01D9" w14:textId="77777777" w:rsidR="00011AC7" w:rsidRPr="00BF2FFC" w:rsidRDefault="00011AC7" w:rsidP="00402308">
            <w:pPr>
              <w:pStyle w:val="TableText"/>
            </w:pPr>
            <w:r w:rsidRPr="00BF2FFC">
              <w:t>Rule 8</w:t>
            </w:r>
          </w:p>
        </w:tc>
        <w:tc>
          <w:tcPr>
            <w:tcW w:w="4405" w:type="pct"/>
            <w:tcBorders>
              <w:top w:val="single" w:sz="4" w:space="0" w:color="1F497D"/>
              <w:left w:val="single" w:sz="4" w:space="0" w:color="1F497D"/>
              <w:bottom w:val="single" w:sz="4" w:space="0" w:color="1F497D"/>
              <w:right w:val="single" w:sz="4" w:space="0" w:color="1F497D"/>
            </w:tcBorders>
            <w:shd w:val="clear" w:color="auto" w:fill="DBE5F1" w:themeFill="accent1" w:themeFillTint="33"/>
          </w:tcPr>
          <w:p w14:paraId="3F129D53" w14:textId="77777777" w:rsidR="00011AC7" w:rsidRPr="00D56B08" w:rsidRDefault="00011AC7" w:rsidP="00402308">
            <w:pPr>
              <w:pStyle w:val="TableText"/>
              <w:rPr>
                <w:rFonts w:cs="Arial"/>
              </w:rPr>
            </w:pPr>
            <w:r w:rsidRPr="00D56B08">
              <w:rPr>
                <w:rFonts w:cs="Arial"/>
              </w:rPr>
              <w:t>Before it uses or discloses health information, an agency must take reasonable steps to check that information is accurate, complete, relevant, up-to-date and not misleading.</w:t>
            </w:r>
          </w:p>
        </w:tc>
      </w:tr>
      <w:tr w:rsidR="00011AC7" w:rsidRPr="003D3D4E" w14:paraId="34A62A22" w14:textId="77777777" w:rsidTr="00402308">
        <w:trPr>
          <w:cantSplit/>
        </w:trPr>
        <w:tc>
          <w:tcPr>
            <w:tcW w:w="595" w:type="pct"/>
            <w:tcBorders>
              <w:top w:val="single" w:sz="4" w:space="0" w:color="1F497D"/>
              <w:left w:val="single" w:sz="4" w:space="0" w:color="1F497D"/>
              <w:bottom w:val="single" w:sz="4" w:space="0" w:color="1F497D"/>
              <w:right w:val="single" w:sz="4" w:space="0" w:color="1F497D"/>
            </w:tcBorders>
            <w:shd w:val="clear" w:color="auto" w:fill="DBE5F1" w:themeFill="accent1" w:themeFillTint="33"/>
          </w:tcPr>
          <w:p w14:paraId="1C065D34" w14:textId="77777777" w:rsidR="00011AC7" w:rsidRPr="00BF2FFC" w:rsidRDefault="00011AC7" w:rsidP="00402308">
            <w:pPr>
              <w:pStyle w:val="TableText"/>
            </w:pPr>
            <w:r w:rsidRPr="00BF2FFC">
              <w:t>Rule 10</w:t>
            </w:r>
          </w:p>
        </w:tc>
        <w:tc>
          <w:tcPr>
            <w:tcW w:w="4405" w:type="pct"/>
            <w:tcBorders>
              <w:top w:val="single" w:sz="4" w:space="0" w:color="1F497D"/>
              <w:left w:val="single" w:sz="4" w:space="0" w:color="1F497D"/>
              <w:bottom w:val="single" w:sz="4" w:space="0" w:color="1F497D"/>
              <w:right w:val="single" w:sz="4" w:space="0" w:color="1F497D"/>
            </w:tcBorders>
            <w:shd w:val="clear" w:color="auto" w:fill="DBE5F1" w:themeFill="accent1" w:themeFillTint="33"/>
          </w:tcPr>
          <w:p w14:paraId="3B3263D7" w14:textId="77777777" w:rsidR="00011AC7" w:rsidRPr="00D56B08" w:rsidRDefault="00011AC7" w:rsidP="00402308">
            <w:pPr>
              <w:pStyle w:val="TableText"/>
              <w:rPr>
                <w:rFonts w:cs="Arial"/>
              </w:rPr>
            </w:pPr>
            <w:r w:rsidRPr="00D56B08">
              <w:rPr>
                <w:rFonts w:cs="Arial"/>
              </w:rPr>
              <w:t>Agencies must use health information for the same purpose for which they obtained that information.</w:t>
            </w:r>
          </w:p>
          <w:p w14:paraId="172D01AE" w14:textId="77777777" w:rsidR="00011AC7" w:rsidRPr="00577A5D" w:rsidRDefault="00011AC7" w:rsidP="00402308">
            <w:pPr>
              <w:pStyle w:val="TableText"/>
            </w:pPr>
            <w:r w:rsidRPr="00D56B08">
              <w:rPr>
                <w:rFonts w:cs="Arial"/>
              </w:rPr>
              <w:t>Other uses are occasionally permitted (for example, because this is necessary to prevent or lessen a serious threat, enforce the law, or if the use is directly related to the purpose for which t</w:t>
            </w:r>
            <w:r w:rsidR="00402308">
              <w:rPr>
                <w:rFonts w:cs="Arial"/>
              </w:rPr>
              <w:t>he agency got the information).</w:t>
            </w:r>
          </w:p>
        </w:tc>
      </w:tr>
    </w:tbl>
    <w:p w14:paraId="65AB1D7C" w14:textId="77777777" w:rsidR="00011AC7" w:rsidRPr="00170CF7" w:rsidRDefault="00011AC7" w:rsidP="00402308">
      <w:pPr>
        <w:pStyle w:val="Heading2"/>
      </w:pPr>
      <w:bookmarkStart w:id="91" w:name="_Toc476648164"/>
      <w:bookmarkStart w:id="92" w:name="_Toc489004259"/>
      <w:bookmarkStart w:id="93" w:name="_Toc491259718"/>
      <w:r w:rsidRPr="00170CF7">
        <w:lastRenderedPageBreak/>
        <w:t>Data quality</w:t>
      </w:r>
      <w:bookmarkEnd w:id="91"/>
      <w:bookmarkEnd w:id="92"/>
      <w:bookmarkEnd w:id="93"/>
    </w:p>
    <w:p w14:paraId="709714A8" w14:textId="77777777" w:rsidR="00011AC7" w:rsidRPr="001D2E9C" w:rsidRDefault="00011AC7" w:rsidP="00402308">
      <w:pPr>
        <w:pStyle w:val="Heading3"/>
      </w:pPr>
      <w:bookmarkStart w:id="94" w:name="dataqualitypolicy"/>
      <w:bookmarkEnd w:id="94"/>
      <w:r>
        <w:t>Policy</w:t>
      </w:r>
    </w:p>
    <w:p w14:paraId="6F005F79" w14:textId="77777777" w:rsidR="00D56B08" w:rsidRDefault="00011AC7" w:rsidP="00402308">
      <w:r>
        <w:t xml:space="preserve">Health records maintained electronically enable high-quality structured information to be collected and retained for later re-use. </w:t>
      </w:r>
      <w:r w:rsidRPr="005C124E">
        <w:t>The quality of information available at the point of care contributes to the quality of care delivered to the consumer</w:t>
      </w:r>
      <w:r>
        <w:t>.</w:t>
      </w:r>
      <w:r w:rsidRPr="005C124E">
        <w:t xml:space="preserve"> </w:t>
      </w:r>
      <w:r>
        <w:t>Electronic health record systems support better clinical decision-making, process flow and co-ordination of care. Furthermore, the captured information contributes towards the long-term improvement of the health system through data analytics</w:t>
      </w:r>
      <w:r w:rsidRPr="005C124E">
        <w:t>.</w:t>
      </w:r>
    </w:p>
    <w:p w14:paraId="7C5B9B44" w14:textId="77777777" w:rsidR="00011AC7" w:rsidRPr="005C124E" w:rsidRDefault="00011AC7" w:rsidP="00402308">
      <w:r w:rsidRPr="005C124E">
        <w:t xml:space="preserve">The quality of </w:t>
      </w:r>
      <w:r>
        <w:t>information</w:t>
      </w:r>
      <w:r w:rsidRPr="005C124E">
        <w:t xml:space="preserve"> </w:t>
      </w:r>
      <w:r>
        <w:t>is a product of its</w:t>
      </w:r>
      <w:r w:rsidRPr="005C124E">
        <w:t xml:space="preserve"> accuracy, validity, reliability, timeliness, relevance, legibility and completeness. The benefits of good quality data include:</w:t>
      </w:r>
    </w:p>
    <w:p w14:paraId="616078B6" w14:textId="4219DE4E" w:rsidR="00D56B08" w:rsidRDefault="00402308" w:rsidP="00402308">
      <w:pPr>
        <w:pStyle w:val="Bullet"/>
      </w:pPr>
      <w:r>
        <w:t>c</w:t>
      </w:r>
      <w:r w:rsidR="00011AC7" w:rsidRPr="005C124E">
        <w:t>onsumers are more likely to receive safe and effective care if health pro</w:t>
      </w:r>
      <w:r w:rsidR="00011AC7">
        <w:t>viders</w:t>
      </w:r>
      <w:r w:rsidR="00011AC7" w:rsidRPr="005C124E">
        <w:t xml:space="preserve"> have access to accurate and reliable </w:t>
      </w:r>
      <w:r w:rsidR="00011AC7">
        <w:t>information</w:t>
      </w:r>
      <w:r w:rsidR="00011AC7" w:rsidRPr="005C124E">
        <w:t xml:space="preserve"> to support decision</w:t>
      </w:r>
      <w:r>
        <w:t>-</w:t>
      </w:r>
      <w:r w:rsidR="00011AC7" w:rsidRPr="005C124E">
        <w:t>making</w:t>
      </w:r>
    </w:p>
    <w:p w14:paraId="4D03C571" w14:textId="382AC5F8" w:rsidR="00D56B08" w:rsidRDefault="00402308" w:rsidP="00402308">
      <w:pPr>
        <w:pStyle w:val="Bullet"/>
      </w:pPr>
      <w:r>
        <w:t>c</w:t>
      </w:r>
      <w:r w:rsidR="00011AC7" w:rsidRPr="005C124E">
        <w:t xml:space="preserve">onsumers are more likely to receive safer and better care if </w:t>
      </w:r>
      <w:r w:rsidR="00011AC7">
        <w:t>activity</w:t>
      </w:r>
      <w:r w:rsidR="00011AC7" w:rsidRPr="005C124E">
        <w:t xml:space="preserve"> data used to support quality improvement is of good quality and reflects actual </w:t>
      </w:r>
      <w:r w:rsidR="00011AC7">
        <w:t>delivery</w:t>
      </w:r>
    </w:p>
    <w:p w14:paraId="24BA6C66" w14:textId="106BEB28" w:rsidR="00011AC7" w:rsidRPr="005C124E" w:rsidRDefault="00402308" w:rsidP="00402308">
      <w:pPr>
        <w:pStyle w:val="Bullet"/>
      </w:pPr>
      <w:r>
        <w:t>c</w:t>
      </w:r>
      <w:r w:rsidR="00011AC7" w:rsidRPr="005C124E">
        <w:t xml:space="preserve">onsumers will have access to reliable information to </w:t>
      </w:r>
      <w:r w:rsidR="00011AC7">
        <w:t>help them decide</w:t>
      </w:r>
      <w:r w:rsidR="00011AC7" w:rsidRPr="005C124E">
        <w:t xml:space="preserve"> where to access care</w:t>
      </w:r>
    </w:p>
    <w:p w14:paraId="1EDD518F" w14:textId="53A4DC71" w:rsidR="00011AC7" w:rsidRPr="005C124E" w:rsidRDefault="00402308" w:rsidP="00402308">
      <w:pPr>
        <w:pStyle w:val="Bullet"/>
      </w:pPr>
      <w:r>
        <w:t>i</w:t>
      </w:r>
      <w:r w:rsidR="00011AC7" w:rsidRPr="005C124E">
        <w:t xml:space="preserve">f the </w:t>
      </w:r>
      <w:r w:rsidR="00011AC7">
        <w:t>information</w:t>
      </w:r>
      <w:r w:rsidR="00011AC7" w:rsidRPr="005C124E">
        <w:t xml:space="preserve"> used to support decision making is of a high quality, health care services can plan and provide for population needs more effectively and efficiently</w:t>
      </w:r>
      <w:r w:rsidR="004710E0">
        <w:t xml:space="preserve">, </w:t>
      </w:r>
      <w:r>
        <w:t xml:space="preserve">eg, </w:t>
      </w:r>
      <w:r w:rsidR="00011AC7" w:rsidRPr="005C124E">
        <w:t>good quality demographic data that highlights an aging population or a significant increase in immigrants in a specific catchment area can facilitate services in planning for the specific needs of that area</w:t>
      </w:r>
    </w:p>
    <w:p w14:paraId="2B8E9FE3" w14:textId="7C25CC0C" w:rsidR="00011AC7" w:rsidRPr="005C124E" w:rsidRDefault="00402308" w:rsidP="00402308">
      <w:pPr>
        <w:pStyle w:val="Bullet"/>
      </w:pPr>
      <w:proofErr w:type="gramStart"/>
      <w:r>
        <w:t>h</w:t>
      </w:r>
      <w:r w:rsidR="00011AC7" w:rsidRPr="005C124E">
        <w:t>ealth</w:t>
      </w:r>
      <w:proofErr w:type="gramEnd"/>
      <w:r w:rsidR="00011AC7" w:rsidRPr="005C124E">
        <w:t xml:space="preserve"> care research contributes to improved outcomes by providing evidence to support particular care processes. This research can only be relied on if it is based on good quality </w:t>
      </w:r>
      <w:r w:rsidR="00011AC7">
        <w:t>information</w:t>
      </w:r>
      <w:r w:rsidR="00011AC7" w:rsidRPr="005C124E">
        <w:t>.</w:t>
      </w:r>
      <w:r w:rsidR="00011AC7">
        <w:rPr>
          <w:rStyle w:val="FootnoteReference"/>
        </w:rPr>
        <w:footnoteReference w:id="13"/>
      </w:r>
    </w:p>
    <w:p w14:paraId="19987F24" w14:textId="77777777" w:rsidR="00011AC7" w:rsidRPr="008178BF" w:rsidRDefault="00011AC7" w:rsidP="00402308">
      <w:pPr>
        <w:pStyle w:val="Heading3"/>
      </w:pPr>
      <w:r w:rsidRPr="008178BF">
        <w:t>Requirements</w:t>
      </w:r>
    </w:p>
    <w:p w14:paraId="0A5239FC" w14:textId="77777777" w:rsidR="00011AC7" w:rsidRDefault="00011AC7" w:rsidP="00402308">
      <w:r>
        <w:t>It is expected all health records comply with:</w:t>
      </w:r>
    </w:p>
    <w:p w14:paraId="0F872AFA" w14:textId="77777777" w:rsidR="00011AC7" w:rsidRDefault="00011AC7" w:rsidP="00402308">
      <w:pPr>
        <w:pStyle w:val="Bullet"/>
      </w:pPr>
      <w:r w:rsidRPr="00F040BB">
        <w:t>New Zealand Standards requirements in relation to health records</w:t>
      </w:r>
      <w:r w:rsidRPr="00402308">
        <w:rPr>
          <w:rStyle w:val="FootnoteReference"/>
        </w:rPr>
        <w:footnoteReference w:id="14"/>
      </w:r>
      <w:r>
        <w:t xml:space="preserve"> (policy)</w:t>
      </w:r>
    </w:p>
    <w:p w14:paraId="4F8875A9" w14:textId="77777777" w:rsidR="00011AC7" w:rsidRDefault="00011AC7" w:rsidP="00402308">
      <w:pPr>
        <w:pStyle w:val="Bullet"/>
      </w:pPr>
      <w:r>
        <w:t>the Health (Retention of Health Information) Regulations 1996 which requires Identifiable health information to be kept for a minimum of 10 years</w:t>
      </w:r>
      <w:r w:rsidRPr="00402308">
        <w:rPr>
          <w:rStyle w:val="FootnoteReference"/>
        </w:rPr>
        <w:footnoteReference w:id="15"/>
      </w:r>
      <w:r>
        <w:t xml:space="preserve"> (law)</w:t>
      </w:r>
    </w:p>
    <w:p w14:paraId="4116C11E" w14:textId="77777777" w:rsidR="00011AC7" w:rsidRDefault="00011AC7" w:rsidP="00402308">
      <w:pPr>
        <w:pStyle w:val="Bullet"/>
      </w:pPr>
      <w:r>
        <w:t>rule 9 of the Health Information Privacy Code 1994 which requires that health information must not be kept for longer than required</w:t>
      </w:r>
      <w:r w:rsidRPr="00402308">
        <w:rPr>
          <w:rStyle w:val="FootnoteReference"/>
        </w:rPr>
        <w:footnoteReference w:id="16"/>
      </w:r>
      <w:r>
        <w:t xml:space="preserve"> (law)</w:t>
      </w:r>
    </w:p>
    <w:p w14:paraId="20FB64E1" w14:textId="1EFAE31C" w:rsidR="00011AC7" w:rsidRDefault="00011AC7" w:rsidP="00402308">
      <w:pPr>
        <w:pStyle w:val="Bullet"/>
      </w:pPr>
      <w:r>
        <w:t>the governing General Disposal Authority, where information is held by a public sector agency that is subject to the Public Records Act 2005 (policy/law)</w:t>
      </w:r>
    </w:p>
    <w:p w14:paraId="6759E26E" w14:textId="77777777" w:rsidR="00011AC7" w:rsidRPr="00F040BB" w:rsidRDefault="00011AC7" w:rsidP="00402308">
      <w:pPr>
        <w:pStyle w:val="Bullet"/>
      </w:pPr>
      <w:proofErr w:type="gramStart"/>
      <w:r>
        <w:t>health</w:t>
      </w:r>
      <w:proofErr w:type="gramEnd"/>
      <w:r>
        <w:t xml:space="preserve"> providers have a procedure for managing the co-existence of paper and electronic records (policy).</w:t>
      </w:r>
    </w:p>
    <w:p w14:paraId="7E5075DE" w14:textId="77777777" w:rsidR="00011AC7" w:rsidRDefault="00011AC7" w:rsidP="00402308">
      <w:r>
        <w:lastRenderedPageBreak/>
        <w:t>The procedure for managing the co-existence of paper and electronic records must cover:</w:t>
      </w:r>
    </w:p>
    <w:p w14:paraId="6FC6B2AB" w14:textId="77777777" w:rsidR="00011AC7" w:rsidRPr="006C23BC" w:rsidRDefault="00011AC7" w:rsidP="00402308">
      <w:pPr>
        <w:pStyle w:val="Bullet"/>
      </w:pPr>
      <w:r w:rsidRPr="006C23BC">
        <w:t>wh</w:t>
      </w:r>
      <w:r>
        <w:t>ich</w:t>
      </w:r>
      <w:r w:rsidRPr="006C23BC">
        <w:t xml:space="preserve"> record is the master record</w:t>
      </w:r>
    </w:p>
    <w:p w14:paraId="34C12F0D" w14:textId="77777777" w:rsidR="00D56B08" w:rsidRDefault="00011AC7" w:rsidP="00402308">
      <w:pPr>
        <w:pStyle w:val="Bullet"/>
      </w:pPr>
      <w:r w:rsidRPr="006C23BC">
        <w:t xml:space="preserve">the </w:t>
      </w:r>
      <w:r>
        <w:t xml:space="preserve">management of the paper record once the </w:t>
      </w:r>
      <w:r w:rsidRPr="006C23BC">
        <w:t xml:space="preserve">electronic </w:t>
      </w:r>
      <w:r>
        <w:t>record becomes the master record</w:t>
      </w:r>
    </w:p>
    <w:p w14:paraId="7236D2F9" w14:textId="77777777" w:rsidR="00011AC7" w:rsidRPr="006C23BC" w:rsidRDefault="00011AC7" w:rsidP="00402308">
      <w:pPr>
        <w:pStyle w:val="Bullet"/>
      </w:pPr>
      <w:proofErr w:type="gramStart"/>
      <w:r>
        <w:t>how</w:t>
      </w:r>
      <w:proofErr w:type="gramEnd"/>
      <w:r>
        <w:t xml:space="preserve"> updates to the master record are managed.</w:t>
      </w:r>
    </w:p>
    <w:p w14:paraId="3C487EB6" w14:textId="77777777" w:rsidR="00011AC7" w:rsidRDefault="00011AC7" w:rsidP="00402308">
      <w:r>
        <w:t>Health information systems should build in master data management for identity and core reference datasets. Real time interfaces should be developed for:</w:t>
      </w:r>
    </w:p>
    <w:p w14:paraId="4431E774" w14:textId="77777777" w:rsidR="00011AC7" w:rsidRDefault="00011AC7" w:rsidP="00402308">
      <w:pPr>
        <w:pStyle w:val="Bullet"/>
      </w:pPr>
      <w:r>
        <w:t>NHI number and patient demographics via the National Health Index (policy)</w:t>
      </w:r>
    </w:p>
    <w:p w14:paraId="49893717" w14:textId="77777777" w:rsidR="00011AC7" w:rsidRDefault="00011AC7" w:rsidP="00402308">
      <w:pPr>
        <w:pStyle w:val="Bullet"/>
      </w:pPr>
      <w:r>
        <w:t>NZ Universal List of Medicines (NZULM) for whenever medications are referenced</w:t>
      </w:r>
    </w:p>
    <w:p w14:paraId="3013410D" w14:textId="18A0EA76" w:rsidR="00011AC7" w:rsidRPr="00FB1C75" w:rsidRDefault="00011AC7" w:rsidP="00402308">
      <w:pPr>
        <w:pStyle w:val="Bullet"/>
      </w:pPr>
      <w:r>
        <w:t>Health Provider Index for health organisations, locations and health practitioners (real time interface still in development).</w:t>
      </w:r>
    </w:p>
    <w:p w14:paraId="6DB36570" w14:textId="77777777" w:rsidR="00011AC7" w:rsidRDefault="00011AC7" w:rsidP="00402308">
      <w:r>
        <w:t>Health information systems should adopt Health Information Standards Organisation (HISO) standards for the exchange of health information (policy).</w:t>
      </w:r>
    </w:p>
    <w:p w14:paraId="1647721A" w14:textId="37A2D4AC" w:rsidR="00011AC7" w:rsidRPr="00402308" w:rsidRDefault="00011AC7" w:rsidP="00402308">
      <w:r>
        <w:t>Health information systems should use HISO standards</w:t>
      </w:r>
      <w:r w:rsidR="00CB5C43">
        <w:rPr>
          <w:rStyle w:val="FootnoteReference"/>
        </w:rPr>
        <w:footnoteReference w:id="17"/>
      </w:r>
      <w:r>
        <w:t xml:space="preserve"> for storing content or core reference datasets:</w:t>
      </w:r>
    </w:p>
    <w:p w14:paraId="4DF0FF06" w14:textId="77777777" w:rsidR="00011AC7" w:rsidRDefault="00011AC7" w:rsidP="00402308">
      <w:pPr>
        <w:pStyle w:val="Bullet"/>
      </w:pPr>
      <w:r>
        <w:t>New Zealand Pathology Observation Codes (NZPOCS)</w:t>
      </w:r>
    </w:p>
    <w:p w14:paraId="31747022" w14:textId="77777777" w:rsidR="00011AC7" w:rsidRPr="009925F4" w:rsidRDefault="00011AC7" w:rsidP="00402308">
      <w:pPr>
        <w:pStyle w:val="Bullet"/>
      </w:pPr>
      <w:r>
        <w:t>Ethnicity Level 4.</w:t>
      </w:r>
    </w:p>
    <w:p w14:paraId="5AFE91DB" w14:textId="77777777" w:rsidR="00011AC7" w:rsidRPr="009925F4" w:rsidRDefault="00011AC7" w:rsidP="00402308">
      <w:pPr>
        <w:pStyle w:val="Heading3"/>
      </w:pPr>
      <w:r>
        <w:t>Resources</w:t>
      </w:r>
    </w:p>
    <w:p w14:paraId="732E5FAA" w14:textId="77777777" w:rsidR="00011AC7" w:rsidRPr="00782662" w:rsidRDefault="00011AC7" w:rsidP="00402308">
      <w:pPr>
        <w:rPr>
          <w:szCs w:val="22"/>
        </w:rPr>
      </w:pPr>
      <w:r w:rsidRPr="001E269D">
        <w:t>For further information on the management of health records see</w:t>
      </w:r>
      <w:r>
        <w:t>:</w:t>
      </w:r>
    </w:p>
    <w:p w14:paraId="5518E62E" w14:textId="5C8F35D4" w:rsidR="00011AC7" w:rsidRPr="000121FA" w:rsidRDefault="00011AC7" w:rsidP="00402308">
      <w:pPr>
        <w:pStyle w:val="Bullet"/>
      </w:pPr>
      <w:r w:rsidRPr="000121FA">
        <w:t>Coles Medical Practice in New Zealand 2013 edition</w:t>
      </w:r>
      <w:r w:rsidR="00402308">
        <w:t>,</w:t>
      </w:r>
      <w:r w:rsidRPr="00402308">
        <w:rPr>
          <w:rStyle w:val="FootnoteReference"/>
        </w:rPr>
        <w:footnoteReference w:id="18"/>
      </w:r>
      <w:r w:rsidRPr="000121FA">
        <w:t xml:space="preserve"> </w:t>
      </w:r>
      <w:r w:rsidR="00402308">
        <w:t>i</w:t>
      </w:r>
      <w:r w:rsidRPr="000121FA">
        <w:t xml:space="preserve">n particular chapter 13 </w:t>
      </w:r>
      <w:r w:rsidR="00D56B08">
        <w:t>“</w:t>
      </w:r>
      <w:r w:rsidRPr="000121FA">
        <w:t>Medical Records and Patient Access to Information</w:t>
      </w:r>
      <w:r w:rsidR="00D56B08">
        <w:t>”</w:t>
      </w:r>
    </w:p>
    <w:p w14:paraId="3743626E" w14:textId="77777777" w:rsidR="00D56B08" w:rsidRDefault="00D56B08" w:rsidP="00402308">
      <w:pPr>
        <w:pStyle w:val="Bullet"/>
      </w:pPr>
      <w:r>
        <w:t>“</w:t>
      </w:r>
      <w:r w:rsidR="00011AC7" w:rsidRPr="000121FA">
        <w:t>The Maintenance and Retention of Patient Records</w:t>
      </w:r>
      <w:r>
        <w:t>”</w:t>
      </w:r>
      <w:r w:rsidR="00011AC7" w:rsidRPr="000121FA">
        <w:t>, MCNZ Fact Sheet August 2008</w:t>
      </w:r>
      <w:r w:rsidR="00011AC7" w:rsidRPr="00402308">
        <w:rPr>
          <w:rStyle w:val="FootnoteReference"/>
        </w:rPr>
        <w:footnoteReference w:id="19"/>
      </w:r>
    </w:p>
    <w:p w14:paraId="2F23E922" w14:textId="77777777" w:rsidR="00011AC7" w:rsidRDefault="00011AC7" w:rsidP="00402308">
      <w:pPr>
        <w:pStyle w:val="Bullet"/>
      </w:pPr>
      <w:r w:rsidRPr="000121FA">
        <w:t>The Public Records Act 2005 (relevant for DHBs)</w:t>
      </w:r>
    </w:p>
    <w:p w14:paraId="0FB388A8" w14:textId="77777777" w:rsidR="00011AC7" w:rsidRDefault="00011AC7" w:rsidP="00402308">
      <w:pPr>
        <w:pStyle w:val="Bullet"/>
      </w:pPr>
      <w:r>
        <w:t>New Zealand</w:t>
      </w:r>
      <w:r w:rsidRPr="00782662">
        <w:t xml:space="preserve"> </w:t>
      </w:r>
      <w:r w:rsidRPr="00F040BB">
        <w:t>Standard 8153:2002</w:t>
      </w:r>
      <w:r>
        <w:t>.</w:t>
      </w:r>
      <w:r w:rsidRPr="00402308">
        <w:rPr>
          <w:rStyle w:val="FootnoteReference"/>
        </w:rPr>
        <w:footnoteReference w:id="20"/>
      </w:r>
    </w:p>
    <w:p w14:paraId="758E5D8F" w14:textId="77777777" w:rsidR="00011AC7" w:rsidRDefault="00011AC7" w:rsidP="00402308">
      <w:pPr>
        <w:pStyle w:val="Heading2"/>
      </w:pPr>
      <w:bookmarkStart w:id="95" w:name="Managinginformationprivacy"/>
      <w:bookmarkStart w:id="96" w:name="_Toc476648165"/>
      <w:bookmarkStart w:id="97" w:name="_Toc489004260"/>
      <w:bookmarkStart w:id="98" w:name="_Toc491259719"/>
      <w:bookmarkEnd w:id="95"/>
      <w:r>
        <w:t>Managing information privacy policy</w:t>
      </w:r>
      <w:bookmarkEnd w:id="96"/>
      <w:bookmarkEnd w:id="97"/>
      <w:bookmarkEnd w:id="98"/>
    </w:p>
    <w:p w14:paraId="71A8308E" w14:textId="77777777" w:rsidR="00D56B08" w:rsidRDefault="00011AC7" w:rsidP="00402308">
      <w:r>
        <w:t>Part of ensuring health providers maintain the trust of consumers is to have robust and well-governed procedures for managing privacy. Technical tools such as Role Based Access Control and Proximity Audits are considered in more detail later in this document.</w:t>
      </w:r>
    </w:p>
    <w:p w14:paraId="5C5BB04B" w14:textId="77777777" w:rsidR="00011AC7" w:rsidRDefault="00011AC7" w:rsidP="00402308">
      <w:r>
        <w:t>Information systems should incorporate privacy settings into their functionality:</w:t>
      </w:r>
    </w:p>
    <w:p w14:paraId="44871F10" w14:textId="7D10E851" w:rsidR="00011AC7" w:rsidRDefault="00402308" w:rsidP="00402308">
      <w:pPr>
        <w:pStyle w:val="Bullet"/>
      </w:pPr>
      <w:r>
        <w:t>b</w:t>
      </w:r>
      <w:r w:rsidR="00011AC7">
        <w:t>y recording the relationship of the health provider to the patient, for example, through enrolment into a health service</w:t>
      </w:r>
    </w:p>
    <w:p w14:paraId="0EBF7F48" w14:textId="0CAD779F" w:rsidR="00011AC7" w:rsidRDefault="00402308" w:rsidP="00402308">
      <w:pPr>
        <w:pStyle w:val="Bullet"/>
      </w:pPr>
      <w:r>
        <w:t>b</w:t>
      </w:r>
      <w:r w:rsidR="00011AC7">
        <w:t>y recording direct consent or reason for access</w:t>
      </w:r>
    </w:p>
    <w:p w14:paraId="6382B828" w14:textId="75D2BC8A" w:rsidR="00011AC7" w:rsidRDefault="00402308" w:rsidP="00402308">
      <w:pPr>
        <w:pStyle w:val="Bullet"/>
      </w:pPr>
      <w:r>
        <w:lastRenderedPageBreak/>
        <w:t>b</w:t>
      </w:r>
      <w:r w:rsidR="00011AC7">
        <w:t>y recording information which associates the health provider to the patient through proximity, for example, admission to a surgical ward creating an implied consent for those working there.</w:t>
      </w:r>
    </w:p>
    <w:p w14:paraId="28DFCFEB" w14:textId="77777777" w:rsidR="00011AC7" w:rsidRDefault="00011AC7" w:rsidP="00402308">
      <w:pPr>
        <w:pStyle w:val="Heading3"/>
      </w:pPr>
      <w:r>
        <w:t>Requirements</w:t>
      </w:r>
    </w:p>
    <w:p w14:paraId="2D3827BD" w14:textId="77777777" w:rsidR="00011AC7" w:rsidRPr="005C2583" w:rsidRDefault="00011AC7" w:rsidP="00402308">
      <w:r>
        <w:t>Health provider</w:t>
      </w:r>
      <w:r w:rsidRPr="005C2583">
        <w:t xml:space="preserve">s have a designated privacy officer who has responsibility for </w:t>
      </w:r>
      <w:r>
        <w:t>information</w:t>
      </w:r>
      <w:r w:rsidRPr="005C2583">
        <w:t xml:space="preserve"> governance and privacy issues</w:t>
      </w:r>
      <w:r w:rsidR="00402308">
        <w:t>.</w:t>
      </w:r>
      <w:r w:rsidRPr="00402308">
        <w:rPr>
          <w:rStyle w:val="FootnoteReference"/>
        </w:rPr>
        <w:footnoteReference w:id="21"/>
      </w:r>
    </w:p>
    <w:p w14:paraId="5E594E6E" w14:textId="77777777" w:rsidR="00011AC7" w:rsidRPr="00D64381" w:rsidRDefault="00011AC7" w:rsidP="00402308">
      <w:r>
        <w:t>Health provider</w:t>
      </w:r>
      <w:r w:rsidRPr="00D64381">
        <w:t xml:space="preserve">s have in place clear policies and procedures </w:t>
      </w:r>
      <w:r>
        <w:t>covering the collection, use, disclosure, storage and access to personal health information (policy)</w:t>
      </w:r>
      <w:r w:rsidR="00402308">
        <w:t>.</w:t>
      </w:r>
    </w:p>
    <w:p w14:paraId="2322CAD3" w14:textId="77777777" w:rsidR="00011AC7" w:rsidRDefault="00011AC7" w:rsidP="00402308">
      <w:r>
        <w:t>Job descriptions, employment contracts and formal contractual arrangements include the need for compliance with information governance policies and procedures by all persons, groups and health practitioners carrying out work on behalf of the health provider (policy)</w:t>
      </w:r>
      <w:r w:rsidR="00402308">
        <w:t>.</w:t>
      </w:r>
    </w:p>
    <w:p w14:paraId="08CBB39B" w14:textId="5151A83A" w:rsidR="00011AC7" w:rsidRDefault="00011AC7" w:rsidP="00402308">
      <w:r>
        <w:t>Health provider</w:t>
      </w:r>
      <w:r w:rsidRPr="00E46685">
        <w:t xml:space="preserve">s ensure there is a process in place to </w:t>
      </w:r>
      <w:r>
        <w:t>actively monitor</w:t>
      </w:r>
      <w:r w:rsidRPr="00E46685">
        <w:t xml:space="preserve"> information governance policies and procedures, and review adverse incidents </w:t>
      </w:r>
      <w:r>
        <w:t>thus</w:t>
      </w:r>
      <w:r w:rsidRPr="00E46685">
        <w:t xml:space="preserve"> ensuring that effective remedial and preventative action is taken</w:t>
      </w:r>
      <w:r w:rsidRPr="00402308">
        <w:rPr>
          <w:rStyle w:val="FootnoteReference"/>
        </w:rPr>
        <w:footnoteReference w:id="22"/>
      </w:r>
      <w:r>
        <w:t xml:space="preserve"> (policy). </w:t>
      </w:r>
      <w:r w:rsidRPr="005C2583">
        <w:t xml:space="preserve">Any breaches and or </w:t>
      </w:r>
      <w:r w:rsidR="00402308">
        <w:t>‘</w:t>
      </w:r>
      <w:r w:rsidRPr="005C2583">
        <w:t>near misses</w:t>
      </w:r>
      <w:r w:rsidR="00402308">
        <w:t>’</w:t>
      </w:r>
      <w:r w:rsidRPr="005C2583">
        <w:t xml:space="preserve"> are </w:t>
      </w:r>
      <w:r>
        <w:t>managed in accordance with the breach and complaints policy (law).</w:t>
      </w:r>
    </w:p>
    <w:p w14:paraId="09B60892" w14:textId="44AF9F1F" w:rsidR="00D56B08" w:rsidRDefault="00402308" w:rsidP="00402308">
      <w:r>
        <w:t>H</w:t>
      </w:r>
      <w:r w:rsidR="00011AC7">
        <w:t>ealth provider</w:t>
      </w:r>
      <w:r w:rsidR="00011AC7" w:rsidRPr="00A046C1">
        <w:t>s ensure that all new information systems and processes are risk assessed to ensure that they comply with the Privacy Act and Health Information Privacy Code.</w:t>
      </w:r>
      <w:r w:rsidR="00011AC7">
        <w:t xml:space="preserve"> For example, they should undertake a privacy impact assessment (policy).</w:t>
      </w:r>
    </w:p>
    <w:p w14:paraId="2773728D" w14:textId="77777777" w:rsidR="00011AC7" w:rsidRDefault="00011AC7" w:rsidP="00446078">
      <w:pPr>
        <w:pStyle w:val="Heading3"/>
      </w:pPr>
      <w:r w:rsidRPr="00431146">
        <w:t>Resource</w:t>
      </w:r>
      <w:r>
        <w:t>s</w:t>
      </w:r>
    </w:p>
    <w:p w14:paraId="12FE56D4" w14:textId="77777777" w:rsidR="00011AC7" w:rsidRDefault="00011AC7" w:rsidP="00446078">
      <w:r w:rsidRPr="00485E85">
        <w:t xml:space="preserve">The Office of the Privacy Commissioner has produced a Privacy Escalation Ladder which provides guidance on when identifiable information can be </w:t>
      </w:r>
      <w:r>
        <w:t>disclosed</w:t>
      </w:r>
      <w:r w:rsidRPr="00485E85">
        <w:t>.</w:t>
      </w:r>
      <w:r>
        <w:t xml:space="preserve"> </w:t>
      </w:r>
      <w:r w:rsidRPr="00485E85">
        <w:t xml:space="preserve">A copy of this can be found in </w:t>
      </w:r>
      <w:r>
        <w:t>Appendix 5.</w:t>
      </w:r>
    </w:p>
    <w:p w14:paraId="4255C10E" w14:textId="77777777" w:rsidR="00011AC7" w:rsidRDefault="00011AC7" w:rsidP="00446078">
      <w:r>
        <w:t>A Privacy Fact Sheet can be found in Appendix 6. This covers the key purposes for which information is collected in a health context.</w:t>
      </w:r>
    </w:p>
    <w:p w14:paraId="6EDC1F35" w14:textId="77777777" w:rsidR="00011AC7" w:rsidRDefault="00011AC7" w:rsidP="00446078">
      <w:r>
        <w:t>A privacy poster which can be displayed in public waiting rooms can be found in Appendix 7.</w:t>
      </w:r>
    </w:p>
    <w:p w14:paraId="0DA62E64" w14:textId="77777777" w:rsidR="00011AC7" w:rsidRDefault="00011AC7" w:rsidP="00446078">
      <w:r>
        <w:t>Guidance on writing privacy impact assessments can be found in Appendix 9.</w:t>
      </w:r>
    </w:p>
    <w:p w14:paraId="3B4E68CD" w14:textId="77777777" w:rsidR="00011AC7" w:rsidRPr="00104358" w:rsidRDefault="00011AC7" w:rsidP="00446078">
      <w:pPr>
        <w:pStyle w:val="Heading2"/>
      </w:pPr>
      <w:bookmarkStart w:id="99" w:name="codeofconduct"/>
      <w:bookmarkStart w:id="100" w:name="_Toc476648166"/>
      <w:bookmarkStart w:id="101" w:name="_Toc489004261"/>
      <w:bookmarkStart w:id="102" w:name="_Toc491259720"/>
      <w:bookmarkEnd w:id="99"/>
      <w:r>
        <w:t>Code of c</w:t>
      </w:r>
      <w:r w:rsidRPr="00104358">
        <w:t>onduct</w:t>
      </w:r>
      <w:bookmarkEnd w:id="100"/>
      <w:bookmarkEnd w:id="101"/>
      <w:bookmarkEnd w:id="102"/>
    </w:p>
    <w:p w14:paraId="4A175C56" w14:textId="77777777" w:rsidR="00011AC7" w:rsidRDefault="00011AC7" w:rsidP="00446078">
      <w:r>
        <w:t>A code of conduct is</w:t>
      </w:r>
      <w:r w:rsidRPr="00104358">
        <w:t xml:space="preserve"> a set of </w:t>
      </w:r>
      <w:hyperlink r:id="rId23" w:tooltip="Procedural law" w:history="1">
        <w:r w:rsidRPr="00104358">
          <w:t>rules</w:t>
        </w:r>
      </w:hyperlink>
      <w:r w:rsidRPr="00104358">
        <w:t xml:space="preserve"> outlining the responsibilities of, or proper practices for employees and contractors working for</w:t>
      </w:r>
      <w:r>
        <w:t>,</w:t>
      </w:r>
      <w:r w:rsidRPr="00104358">
        <w:t xml:space="preserve"> a </w:t>
      </w:r>
      <w:r>
        <w:t>health provider</w:t>
      </w:r>
      <w:r w:rsidRPr="00104358">
        <w:t>.</w:t>
      </w:r>
      <w:r>
        <w:t xml:space="preserve"> </w:t>
      </w:r>
      <w:r w:rsidRPr="00104358">
        <w:t xml:space="preserve">It sets out the expectations of the </w:t>
      </w:r>
      <w:r>
        <w:t>health provider</w:t>
      </w:r>
      <w:r w:rsidRPr="00104358">
        <w:t xml:space="preserve"> </w:t>
      </w:r>
      <w:r>
        <w:t xml:space="preserve">for </w:t>
      </w:r>
      <w:r w:rsidRPr="00104358">
        <w:t>its staff.</w:t>
      </w:r>
    </w:p>
    <w:p w14:paraId="7D3E1D3D" w14:textId="77777777" w:rsidR="00011AC7" w:rsidRPr="00054E7F" w:rsidRDefault="00011AC7" w:rsidP="00446078">
      <w:pPr>
        <w:pStyle w:val="Heading3"/>
      </w:pPr>
      <w:bookmarkStart w:id="103" w:name="privacycomplaintsandbreachofprivacy"/>
      <w:bookmarkEnd w:id="103"/>
      <w:r w:rsidRPr="007B34F2">
        <w:t>Requirements</w:t>
      </w:r>
    </w:p>
    <w:p w14:paraId="52F4B0BC" w14:textId="77777777" w:rsidR="00011AC7" w:rsidRDefault="00011AC7" w:rsidP="00446078">
      <w:r w:rsidRPr="00267769">
        <w:t xml:space="preserve">All </w:t>
      </w:r>
      <w:r>
        <w:t>health provider</w:t>
      </w:r>
      <w:r w:rsidRPr="00267769">
        <w:t>s have a code of conduc</w:t>
      </w:r>
      <w:r>
        <w:t>t which sets out employees</w:t>
      </w:r>
      <w:r w:rsidR="00D56B08">
        <w:t>’</w:t>
      </w:r>
      <w:r>
        <w:t xml:space="preserve"> and contractors:</w:t>
      </w:r>
    </w:p>
    <w:p w14:paraId="102CF4A4" w14:textId="77777777" w:rsidR="00011AC7" w:rsidRPr="0051774F" w:rsidRDefault="00011AC7" w:rsidP="00446078">
      <w:pPr>
        <w:pStyle w:val="Bullet"/>
      </w:pPr>
      <w:r w:rsidRPr="0051774F">
        <w:t>duty of confidentiality</w:t>
      </w:r>
    </w:p>
    <w:p w14:paraId="27B1F0FA" w14:textId="77777777" w:rsidR="00011AC7" w:rsidRDefault="00011AC7" w:rsidP="00446078">
      <w:pPr>
        <w:pStyle w:val="Bullet"/>
      </w:pPr>
      <w:proofErr w:type="gramStart"/>
      <w:r w:rsidRPr="0051774F">
        <w:lastRenderedPageBreak/>
        <w:t>obligations</w:t>
      </w:r>
      <w:proofErr w:type="gramEnd"/>
      <w:r w:rsidRPr="0051774F">
        <w:t xml:space="preserve"> in respect of the Privacy Act 1993 and Health Information Privacy Code 1994</w:t>
      </w:r>
      <w:r>
        <w:t xml:space="preserve"> (policy).</w:t>
      </w:r>
    </w:p>
    <w:p w14:paraId="70765F8A" w14:textId="77777777" w:rsidR="00011AC7" w:rsidRPr="001146AC" w:rsidRDefault="00011AC7" w:rsidP="00446078">
      <w:pPr>
        <w:pStyle w:val="Heading3"/>
      </w:pPr>
      <w:r>
        <w:t>Resources</w:t>
      </w:r>
    </w:p>
    <w:p w14:paraId="083C1E3B" w14:textId="77777777" w:rsidR="00011AC7" w:rsidRDefault="00011AC7" w:rsidP="00446078">
      <w:r>
        <w:t>A sample code of conduct covering the obligations of privacy and confidentiality in respect of patient health information has been prepared by Canterbury DHB and can be found in Appendix 8.</w:t>
      </w:r>
    </w:p>
    <w:p w14:paraId="056082E5" w14:textId="77777777" w:rsidR="00011AC7" w:rsidRDefault="00011AC7" w:rsidP="00446078">
      <w:pPr>
        <w:pStyle w:val="Heading2"/>
      </w:pPr>
      <w:bookmarkStart w:id="104" w:name="_Toc489004262"/>
      <w:bookmarkStart w:id="105" w:name="_Toc491259721"/>
      <w:r>
        <w:t>Privacy complaints and breach of privacy procedure</w:t>
      </w:r>
      <w:bookmarkEnd w:id="104"/>
      <w:bookmarkEnd w:id="105"/>
    </w:p>
    <w:p w14:paraId="628A4D47" w14:textId="77777777" w:rsidR="00D56B08" w:rsidRDefault="00011AC7" w:rsidP="00446078">
      <w:r>
        <w:t>The way health organisations manage complaints and potential or actual breaches of privacy is important. When there is a breach or complaint, the health organisation must have a formal and transparent way of handling it. This is important for maintaining trust and confidence.</w:t>
      </w:r>
    </w:p>
    <w:p w14:paraId="6EC37E92" w14:textId="77777777" w:rsidR="00D56B08" w:rsidRDefault="00011AC7" w:rsidP="00446078">
      <w:pPr>
        <w:pStyle w:val="Heading3"/>
      </w:pPr>
      <w:r w:rsidRPr="007B34F2">
        <w:t>Requirements</w:t>
      </w:r>
    </w:p>
    <w:p w14:paraId="5CDBA8D0" w14:textId="77777777" w:rsidR="00011AC7" w:rsidRDefault="00011AC7" w:rsidP="00446078">
      <w:r w:rsidRPr="00AB3BDD">
        <w:t xml:space="preserve">All </w:t>
      </w:r>
      <w:r>
        <w:t>health provider</w:t>
      </w:r>
      <w:r w:rsidRPr="00AB3BDD">
        <w:t xml:space="preserve">s have a policy to </w:t>
      </w:r>
      <w:r>
        <w:t>manage privacy</w:t>
      </w:r>
      <w:r w:rsidRPr="00AB3BDD">
        <w:t xml:space="preserve"> complaints and breaches of privacy. </w:t>
      </w:r>
      <w:r w:rsidRPr="0011426D">
        <w:t>The policy must cover the four issues of</w:t>
      </w:r>
      <w:r>
        <w:t>:</w:t>
      </w:r>
    </w:p>
    <w:p w14:paraId="71E8247A" w14:textId="77777777" w:rsidR="00011AC7" w:rsidRPr="00FB1C75" w:rsidRDefault="00011AC7" w:rsidP="00446078">
      <w:pPr>
        <w:pStyle w:val="Bullet"/>
      </w:pPr>
      <w:r>
        <w:t>b</w:t>
      </w:r>
      <w:r w:rsidRPr="00FB1C75">
        <w:t>reach containm</w:t>
      </w:r>
      <w:r>
        <w:t>ent and preliminary assessment</w:t>
      </w:r>
    </w:p>
    <w:p w14:paraId="71CC5241" w14:textId="77777777" w:rsidR="00011AC7" w:rsidRPr="00FB1C75" w:rsidRDefault="00011AC7" w:rsidP="00446078">
      <w:pPr>
        <w:pStyle w:val="Bullet"/>
      </w:pPr>
      <w:r>
        <w:t>e</w:t>
      </w:r>
      <w:r w:rsidRPr="00FB1C75">
        <w:t>valuation of the ri</w:t>
      </w:r>
      <w:r>
        <w:t>sks associated with the breach</w:t>
      </w:r>
    </w:p>
    <w:p w14:paraId="467C8438" w14:textId="77777777" w:rsidR="00D56B08" w:rsidRDefault="00011AC7" w:rsidP="00446078">
      <w:pPr>
        <w:pStyle w:val="Bullet"/>
      </w:pPr>
      <w:r>
        <w:t>no</w:t>
      </w:r>
      <w:r w:rsidRPr="00FB1C75">
        <w:t>tification</w:t>
      </w:r>
    </w:p>
    <w:p w14:paraId="31E934E2" w14:textId="77777777" w:rsidR="00011AC7" w:rsidRPr="00FB1C75" w:rsidRDefault="00011AC7" w:rsidP="00446078">
      <w:pPr>
        <w:pStyle w:val="Bullet"/>
      </w:pPr>
      <w:proofErr w:type="gramStart"/>
      <w:r>
        <w:t>p</w:t>
      </w:r>
      <w:r w:rsidRPr="00FB1C75">
        <w:t>revention</w:t>
      </w:r>
      <w:proofErr w:type="gramEnd"/>
      <w:r>
        <w:t xml:space="preserve"> (policy).</w:t>
      </w:r>
    </w:p>
    <w:p w14:paraId="5A9E8217" w14:textId="77777777" w:rsidR="00011AC7" w:rsidRDefault="00011AC7" w:rsidP="00446078">
      <w:r>
        <w:t>Any deliberate access of another person</w:t>
      </w:r>
      <w:r w:rsidR="00D56B08">
        <w:t>’</w:t>
      </w:r>
      <w:r>
        <w:t>s health record without consent or good cause will generally be treated as serious misconduct (policy).</w:t>
      </w:r>
    </w:p>
    <w:p w14:paraId="0DF18AD8" w14:textId="77777777" w:rsidR="00011AC7" w:rsidRPr="00FB1C75" w:rsidRDefault="00011AC7" w:rsidP="00446078">
      <w:pPr>
        <w:pStyle w:val="Heading3"/>
      </w:pPr>
      <w:r w:rsidRPr="00FB1C75">
        <w:t>Resource</w:t>
      </w:r>
      <w:r>
        <w:t>s</w:t>
      </w:r>
    </w:p>
    <w:p w14:paraId="066835D2" w14:textId="77777777" w:rsidR="00011AC7" w:rsidRDefault="00011AC7" w:rsidP="00446078">
      <w:r w:rsidRPr="00AB3BDD">
        <w:t xml:space="preserve">For guidance on </w:t>
      </w:r>
      <w:r>
        <w:t xml:space="preserve">how to deal with privacy breaches refer </w:t>
      </w:r>
      <w:r w:rsidRPr="00AB3BDD">
        <w:t>to the Office of the Privacy Commissioner</w:t>
      </w:r>
      <w:r w:rsidR="00D56B08">
        <w:t>’</w:t>
      </w:r>
      <w:r w:rsidRPr="00AB3BDD">
        <w:t xml:space="preserve">s </w:t>
      </w:r>
      <w:r w:rsidR="00D56B08">
        <w:t>“</w:t>
      </w:r>
      <w:r w:rsidRPr="00D31E34">
        <w:t>Data Safety Toolkit</w:t>
      </w:r>
      <w:r w:rsidR="00D56B08">
        <w:t>”</w:t>
      </w:r>
      <w:r>
        <w:t>.</w:t>
      </w:r>
      <w:r w:rsidRPr="00446078">
        <w:rPr>
          <w:rStyle w:val="FootnoteReference"/>
        </w:rPr>
        <w:footnoteReference w:id="23"/>
      </w:r>
    </w:p>
    <w:p w14:paraId="66E5795A" w14:textId="77777777" w:rsidR="00011AC7" w:rsidRPr="00635DCD" w:rsidRDefault="00011AC7" w:rsidP="00446078">
      <w:pPr>
        <w:pStyle w:val="Heading2"/>
      </w:pPr>
      <w:bookmarkStart w:id="106" w:name="privacyimpactassessments"/>
      <w:bookmarkStart w:id="107" w:name="_Toc476648167"/>
      <w:bookmarkStart w:id="108" w:name="_Toc489004263"/>
      <w:bookmarkStart w:id="109" w:name="_Toc491259722"/>
      <w:bookmarkEnd w:id="106"/>
      <w:r>
        <w:t>Privacy impact a</w:t>
      </w:r>
      <w:r w:rsidRPr="00635DCD">
        <w:t>ssessments</w:t>
      </w:r>
      <w:bookmarkEnd w:id="107"/>
      <w:bookmarkEnd w:id="108"/>
      <w:bookmarkEnd w:id="109"/>
    </w:p>
    <w:p w14:paraId="0C6D5727" w14:textId="77777777" w:rsidR="00011AC7" w:rsidRPr="00720B5B" w:rsidRDefault="00011AC7" w:rsidP="00446078">
      <w:r w:rsidRPr="00720B5B">
        <w:t xml:space="preserve">A Privacy Impact Assessment (PIA) is a systematic process for evaluating a </w:t>
      </w:r>
      <w:r w:rsidRPr="00F7049E">
        <w:t>proposal in terms of its impact upon privacy. A PIA helps to:</w:t>
      </w:r>
    </w:p>
    <w:p w14:paraId="59B52465" w14:textId="77777777" w:rsidR="00011AC7" w:rsidRPr="00D44D25" w:rsidRDefault="00011AC7" w:rsidP="00446078">
      <w:pPr>
        <w:pStyle w:val="Bullet"/>
      </w:pPr>
      <w:r w:rsidRPr="00D44D25">
        <w:t>identify the potential effects that a proposal may have upon individual privacy</w:t>
      </w:r>
    </w:p>
    <w:p w14:paraId="15421D7F" w14:textId="77777777" w:rsidR="00011AC7" w:rsidRPr="00D44D25" w:rsidRDefault="00011AC7" w:rsidP="00446078">
      <w:pPr>
        <w:pStyle w:val="Bullet"/>
      </w:pPr>
      <w:r w:rsidRPr="00D44D25">
        <w:t>examine how any detrimental effects upon privacy might be overcome</w:t>
      </w:r>
    </w:p>
    <w:p w14:paraId="24724CB5" w14:textId="77777777" w:rsidR="00011AC7" w:rsidRDefault="00011AC7" w:rsidP="00446078">
      <w:pPr>
        <w:pStyle w:val="Bullet"/>
      </w:pPr>
      <w:proofErr w:type="gramStart"/>
      <w:r w:rsidRPr="00D44D25">
        <w:t>ensure</w:t>
      </w:r>
      <w:proofErr w:type="gramEnd"/>
      <w:r w:rsidRPr="00D44D25">
        <w:t xml:space="preserve"> that new projects comply with the information privacy principles</w:t>
      </w:r>
      <w:r>
        <w:t>.</w:t>
      </w:r>
      <w:r w:rsidRPr="00446078">
        <w:rPr>
          <w:rStyle w:val="FootnoteReference"/>
          <w:rFonts w:eastAsiaTheme="minorEastAsia"/>
        </w:rPr>
        <w:footnoteReference w:id="24"/>
      </w:r>
    </w:p>
    <w:p w14:paraId="4FF57EBD" w14:textId="77777777" w:rsidR="00011AC7" w:rsidRDefault="00011AC7" w:rsidP="00446078">
      <w:pPr>
        <w:keepNext/>
      </w:pPr>
      <w:r>
        <w:lastRenderedPageBreak/>
        <w:t>The benefits of a privacy impact assessment have been described by the Office of the Privacy Commissioner as follows:</w:t>
      </w:r>
    </w:p>
    <w:p w14:paraId="180C0156" w14:textId="74033333" w:rsidR="00011AC7" w:rsidRPr="00261286" w:rsidRDefault="00D56B08" w:rsidP="00446078">
      <w:pPr>
        <w:pStyle w:val="Quote"/>
        <w:keepLines/>
      </w:pPr>
      <w:r>
        <w:t>“</w:t>
      </w:r>
      <w:r w:rsidR="00011AC7" w:rsidRPr="00261286">
        <w:t xml:space="preserve">Privacy Impact Assessment can operate as an </w:t>
      </w:r>
      <w:r w:rsidR="00446078">
        <w:t>‘</w:t>
      </w:r>
      <w:r w:rsidR="00011AC7" w:rsidRPr="00261286">
        <w:t>early warning system</w:t>
      </w:r>
      <w:r w:rsidR="00446078">
        <w:t>’</w:t>
      </w:r>
      <w:r w:rsidR="00011AC7" w:rsidRPr="00261286">
        <w:t xml:space="preserve"> for businesses and government organisations. It can help management make better informed decisions and avoid a privacy disaster. No chief executive wants to see his or her organisation</w:t>
      </w:r>
      <w:r>
        <w:t>’</w:t>
      </w:r>
      <w:r w:rsidR="00011AC7" w:rsidRPr="00261286">
        <w:t>s exciting new product or initiative panned in the news media as a danger to customer privacy. While favourable publicity can never be guaranteed, acting on a privacy impact report improves the chances that any privacy headlines are good news for the business rather than a public relations (and possibly share price) disaster</w:t>
      </w:r>
      <w:r w:rsidR="00011AC7">
        <w:t>.</w:t>
      </w:r>
      <w:r w:rsidR="00446078">
        <w:t>”</w:t>
      </w:r>
      <w:r w:rsidR="00011AC7" w:rsidRPr="00446078">
        <w:rPr>
          <w:rStyle w:val="FootnoteReference"/>
          <w:rFonts w:eastAsiaTheme="minorEastAsia"/>
        </w:rPr>
        <w:footnoteReference w:id="25"/>
      </w:r>
    </w:p>
    <w:p w14:paraId="1F9C1091" w14:textId="77777777" w:rsidR="00011AC7" w:rsidRDefault="00011AC7" w:rsidP="00446078">
      <w:r w:rsidRPr="00E50BCC">
        <w:t xml:space="preserve">For further information on </w:t>
      </w:r>
      <w:r>
        <w:t>p</w:t>
      </w:r>
      <w:r w:rsidRPr="00E50BCC">
        <w:t xml:space="preserve">rivacy </w:t>
      </w:r>
      <w:r>
        <w:t>i</w:t>
      </w:r>
      <w:r w:rsidRPr="00E50BCC">
        <w:t xml:space="preserve">mpact </w:t>
      </w:r>
      <w:r>
        <w:t>a</w:t>
      </w:r>
      <w:r w:rsidRPr="00E50BCC">
        <w:t>ssessments</w:t>
      </w:r>
      <w:r>
        <w:t xml:space="preserve"> and links to relevant resources</w:t>
      </w:r>
      <w:r w:rsidRPr="00E50BCC">
        <w:t xml:space="preserve"> see </w:t>
      </w:r>
      <w:r>
        <w:t>Appendix</w:t>
      </w:r>
      <w:r w:rsidR="00446078">
        <w:t> </w:t>
      </w:r>
      <w:r>
        <w:t>9.</w:t>
      </w:r>
    </w:p>
    <w:p w14:paraId="413459BA" w14:textId="77777777" w:rsidR="00011AC7" w:rsidRPr="00261286" w:rsidRDefault="00011AC7" w:rsidP="00446078">
      <w:pPr>
        <w:pStyle w:val="Heading3"/>
      </w:pPr>
      <w:r w:rsidRPr="00261286">
        <w:t>Requirements</w:t>
      </w:r>
    </w:p>
    <w:p w14:paraId="10630040" w14:textId="77777777" w:rsidR="00011AC7" w:rsidRDefault="00011AC7" w:rsidP="00446078">
      <w:r w:rsidRPr="00EE3887">
        <w:t>Health providers undertake a Privacy Impact Assessment whenever they propose to introduce a significant new system (electronic, manual or a combination of both) that affects access to or exchange of personal health information.</w:t>
      </w:r>
      <w:r w:rsidRPr="00EE3887">
        <w:rPr>
          <w:color w:val="000000"/>
          <w:sz w:val="23"/>
          <w:szCs w:val="23"/>
        </w:rPr>
        <w:t xml:space="preserve"> </w:t>
      </w:r>
      <w:r w:rsidRPr="00EE3887">
        <w:t>Any risks identified are addressed (policy).</w:t>
      </w:r>
    </w:p>
    <w:p w14:paraId="410D5C42" w14:textId="77777777" w:rsidR="00011AC7" w:rsidRPr="00BF2FFC" w:rsidRDefault="00011AC7" w:rsidP="00446078">
      <w:pPr>
        <w:pStyle w:val="Heading1"/>
      </w:pPr>
      <w:bookmarkStart w:id="110" w:name="_Toc428370269"/>
      <w:bookmarkStart w:id="111" w:name="upholdingconsumerrightsandmaintainining"/>
      <w:bookmarkStart w:id="112" w:name="_Toc476648168"/>
      <w:bookmarkStart w:id="113" w:name="_Toc489004264"/>
      <w:bookmarkStart w:id="114" w:name="_Toc491259723"/>
      <w:bookmarkEnd w:id="110"/>
      <w:bookmarkEnd w:id="111"/>
      <w:r>
        <w:lastRenderedPageBreak/>
        <w:t>Upholding consumer rights and m</w:t>
      </w:r>
      <w:r w:rsidRPr="00BF2FFC">
        <w:t>aintai</w:t>
      </w:r>
      <w:r>
        <w:t>ning t</w:t>
      </w:r>
      <w:r w:rsidRPr="00BF2FFC">
        <w:t>ransparency</w:t>
      </w:r>
      <w:bookmarkEnd w:id="112"/>
      <w:bookmarkEnd w:id="113"/>
      <w:bookmarkEnd w:id="114"/>
    </w:p>
    <w:p w14:paraId="389934FB" w14:textId="77777777" w:rsidR="00011AC7" w:rsidRDefault="00011AC7" w:rsidP="00446078">
      <w:r>
        <w:t>Consumers</w:t>
      </w:r>
      <w:r w:rsidR="00D56B08">
        <w:t>’</w:t>
      </w:r>
      <w:r>
        <w:t xml:space="preserve"> rights over their health information are protected through privacy legislation and codes of practice. These uphold the right of consumers to know what their information is used for, and to obtain access to, and request correction of, their information.</w:t>
      </w:r>
    </w:p>
    <w:p w14:paraId="68925553" w14:textId="0044AC9E" w:rsidR="00011AC7" w:rsidRDefault="00011AC7" w:rsidP="00446078">
      <w:r>
        <w:t>This section sets out consumers</w:t>
      </w:r>
      <w:r w:rsidR="00D56B08">
        <w:t>’</w:t>
      </w:r>
      <w:r>
        <w:t xml:space="preserve"> rights as well as ways in which health providers must make the sharing of information transparent. </w:t>
      </w:r>
      <w:r w:rsidR="00446078">
        <w:t>‘</w:t>
      </w:r>
      <w:r>
        <w:t>Transparent</w:t>
      </w:r>
      <w:r w:rsidR="00446078">
        <w:t>’</w:t>
      </w:r>
      <w:r>
        <w:t xml:space="preserve"> in these Guidelines means that not only is the sharing of health information traceable but that consumers understand the information they are provided with. Health literacy is a key part of transparency. In particular, health providers should use plain language to improve consumer understanding.</w:t>
      </w:r>
    </w:p>
    <w:p w14:paraId="50E050AE" w14:textId="77777777" w:rsidR="00011AC7" w:rsidRDefault="00011AC7" w:rsidP="00446078">
      <w:pPr>
        <w:pStyle w:val="Heading2"/>
      </w:pPr>
      <w:bookmarkStart w:id="115" w:name="_Toc476648170"/>
      <w:bookmarkStart w:id="116" w:name="_Toc489004265"/>
      <w:bookmarkStart w:id="117" w:name="_Toc491259724"/>
      <w:r>
        <w:t>Objective</w:t>
      </w:r>
      <w:bookmarkEnd w:id="115"/>
      <w:bookmarkEnd w:id="116"/>
      <w:bookmarkEnd w:id="117"/>
    </w:p>
    <w:p w14:paraId="488402E5" w14:textId="749B5EB9" w:rsidR="00011AC7" w:rsidRPr="00396C7E" w:rsidRDefault="00011AC7" w:rsidP="00446078">
      <w:r w:rsidRPr="00396C7E">
        <w:t>Consumers</w:t>
      </w:r>
      <w:r>
        <w:t xml:space="preserve"> understand they have information privacy rights and what those rights are. The</w:t>
      </w:r>
      <w:r w:rsidR="001C2FA7">
        <w:t>se</w:t>
      </w:r>
      <w:r>
        <w:t xml:space="preserve"> Guidelines will support and uphold these rights.</w:t>
      </w:r>
    </w:p>
    <w:p w14:paraId="0B6FE350" w14:textId="77777777" w:rsidR="00011AC7" w:rsidRDefault="00011AC7" w:rsidP="00446078">
      <w:pPr>
        <w:pStyle w:val="Heading2"/>
      </w:pPr>
      <w:bookmarkStart w:id="118" w:name="_Toc476648171"/>
      <w:bookmarkStart w:id="119" w:name="_Toc489004266"/>
      <w:bookmarkStart w:id="120" w:name="_Toc491259725"/>
      <w:r>
        <w:t>Policy statements</w:t>
      </w:r>
      <w:bookmarkEnd w:id="118"/>
      <w:bookmarkEnd w:id="119"/>
      <w:bookmarkEnd w:id="120"/>
    </w:p>
    <w:p w14:paraId="5E70188D" w14:textId="77777777" w:rsidR="00011AC7" w:rsidRPr="00307569" w:rsidRDefault="00011AC7" w:rsidP="00446078">
      <w:r>
        <w:t>Consumers shall not be refused urgent treatment solely on the basis that they do not have adequate evidence of identity or eligibility.</w:t>
      </w:r>
      <w:r w:rsidRPr="00446078">
        <w:rPr>
          <w:rStyle w:val="FootnoteReference"/>
        </w:rPr>
        <w:footnoteReference w:id="26"/>
      </w:r>
    </w:p>
    <w:p w14:paraId="0D6AC4AC" w14:textId="77777777" w:rsidR="00D56B08" w:rsidRDefault="00011AC7" w:rsidP="00446078">
      <w:r>
        <w:t>Health providers</w:t>
      </w:r>
      <w:r w:rsidRPr="00A17DFA">
        <w:t xml:space="preserve"> will tell </w:t>
      </w:r>
      <w:r>
        <w:t>consumers</w:t>
      </w:r>
      <w:r w:rsidRPr="00A17DFA">
        <w:t xml:space="preserve"> why they are collecting </w:t>
      </w:r>
      <w:r>
        <w:t xml:space="preserve">their </w:t>
      </w:r>
      <w:r w:rsidRPr="00A17DFA">
        <w:t>personal health information and how it is likely to be used.</w:t>
      </w:r>
    </w:p>
    <w:p w14:paraId="5407C018" w14:textId="659EC9EA" w:rsidR="00D56B08" w:rsidRDefault="00011AC7" w:rsidP="00446078">
      <w:r w:rsidRPr="00A17DFA">
        <w:t xml:space="preserve">A </w:t>
      </w:r>
      <w:r>
        <w:t>c</w:t>
      </w:r>
      <w:r w:rsidRPr="00A17DFA">
        <w:t xml:space="preserve">onsumer may access and </w:t>
      </w:r>
      <w:r>
        <w:t>have</w:t>
      </w:r>
      <w:r w:rsidRPr="00A17DFA">
        <w:t xml:space="preserve"> a copy of their </w:t>
      </w:r>
      <w:r>
        <w:t>h</w:t>
      </w:r>
      <w:r w:rsidRPr="00A17DFA">
        <w:t xml:space="preserve">ealth </w:t>
      </w:r>
      <w:r>
        <w:t>i</w:t>
      </w:r>
      <w:r w:rsidRPr="00A17DFA">
        <w:t>nformation</w:t>
      </w:r>
      <w:r>
        <w:t xml:space="preserve">. They are also entitled to </w:t>
      </w:r>
      <w:r w:rsidRPr="00A17DFA">
        <w:t>know who has accessed it</w:t>
      </w:r>
      <w:r w:rsidR="00446078">
        <w:t>.</w:t>
      </w:r>
      <w:r w:rsidRPr="00446078">
        <w:rPr>
          <w:rStyle w:val="FootnoteReference"/>
        </w:rPr>
        <w:footnoteReference w:id="27"/>
      </w:r>
    </w:p>
    <w:p w14:paraId="486128BE" w14:textId="77777777" w:rsidR="00011AC7" w:rsidRPr="00A17DFA" w:rsidRDefault="00011AC7" w:rsidP="00446078">
      <w:r w:rsidRPr="00A17DFA">
        <w:t xml:space="preserve">A </w:t>
      </w:r>
      <w:r>
        <w:t>c</w:t>
      </w:r>
      <w:r w:rsidRPr="00A17DFA">
        <w:t xml:space="preserve">onsumer may ask for their </w:t>
      </w:r>
      <w:r>
        <w:t>h</w:t>
      </w:r>
      <w:r w:rsidRPr="00A17DFA">
        <w:t xml:space="preserve">ealth </w:t>
      </w:r>
      <w:r>
        <w:t>i</w:t>
      </w:r>
      <w:r w:rsidRPr="00A17DFA">
        <w:t>nformation to be corrected.</w:t>
      </w:r>
      <w:r>
        <w:t xml:space="preserve"> The health provider must consider the request and either make the correction sought, or advise the consumer that the correction is not to be made but that the consumer has the right to have a copy of the proposed correction appended.</w:t>
      </w:r>
    </w:p>
    <w:p w14:paraId="5264DA90" w14:textId="182AC0CD" w:rsidR="00011AC7" w:rsidRPr="00C53E65" w:rsidRDefault="00011AC7" w:rsidP="00446078">
      <w:pPr>
        <w:spacing w:after="240"/>
      </w:pPr>
      <w:r>
        <w:t>H</w:t>
      </w:r>
      <w:r w:rsidRPr="007736E4">
        <w:t xml:space="preserve">ealth communications and services should be structured around the assumption that every patient </w:t>
      </w:r>
      <w:r>
        <w:t>has</w:t>
      </w:r>
      <w:r w:rsidRPr="007736E4">
        <w:t xml:space="preserve"> limited health literacy</w:t>
      </w:r>
      <w:r>
        <w:t xml:space="preserve"> (a </w:t>
      </w:r>
      <w:r w:rsidR="00446078">
        <w:t>‘</w:t>
      </w:r>
      <w:r>
        <w:t>universal precautions</w:t>
      </w:r>
      <w:r w:rsidR="00446078">
        <w:t>’</w:t>
      </w:r>
      <w:r>
        <w:t xml:space="preserve"> approach)</w:t>
      </w:r>
      <w:r w:rsidRPr="007736E4">
        <w:t>.</w:t>
      </w:r>
    </w:p>
    <w:tbl>
      <w:tblPr>
        <w:tblStyle w:val="TableGrid"/>
        <w:tblW w:w="5000" w:type="pct"/>
        <w:tblInd w:w="108" w:type="dxa"/>
        <w:tblLayout w:type="fixed"/>
        <w:tblLook w:val="0620" w:firstRow="1" w:lastRow="0" w:firstColumn="0" w:lastColumn="0" w:noHBand="1" w:noVBand="1"/>
      </w:tblPr>
      <w:tblGrid>
        <w:gridCol w:w="1130"/>
        <w:gridCol w:w="8499"/>
      </w:tblGrid>
      <w:tr w:rsidR="00446078" w:rsidRPr="00446078" w14:paraId="5F62E5D4" w14:textId="77777777" w:rsidTr="00446078">
        <w:trPr>
          <w:cantSplit/>
        </w:trPr>
        <w:tc>
          <w:tcPr>
            <w:tcW w:w="5000" w:type="pct"/>
            <w:gridSpan w:val="2"/>
            <w:tcBorders>
              <w:top w:val="single" w:sz="4" w:space="0" w:color="1F497D"/>
              <w:left w:val="single" w:sz="4" w:space="0" w:color="1F497D"/>
              <w:bottom w:val="single" w:sz="4" w:space="0" w:color="1F497D"/>
              <w:right w:val="single" w:sz="4" w:space="0" w:color="1F497D"/>
            </w:tcBorders>
            <w:shd w:val="clear" w:color="auto" w:fill="1F497D"/>
          </w:tcPr>
          <w:p w14:paraId="0221A27A" w14:textId="77777777" w:rsidR="00011AC7" w:rsidRPr="00446078" w:rsidRDefault="00011AC7" w:rsidP="00446078">
            <w:pPr>
              <w:pStyle w:val="TableText"/>
              <w:keepNext/>
              <w:rPr>
                <w:b/>
                <w:color w:val="FFFFFF" w:themeColor="background1"/>
              </w:rPr>
            </w:pPr>
            <w:r w:rsidRPr="00446078">
              <w:rPr>
                <w:b/>
                <w:color w:val="FFFFFF" w:themeColor="background1"/>
              </w:rPr>
              <w:lastRenderedPageBreak/>
              <w:t>Relevant Health Information Privacy Code Rules</w:t>
            </w:r>
          </w:p>
        </w:tc>
      </w:tr>
      <w:tr w:rsidR="00011AC7" w:rsidRPr="0016137F" w14:paraId="3A90F77B" w14:textId="77777777" w:rsidTr="00446078">
        <w:trPr>
          <w:cantSplit/>
        </w:trPr>
        <w:tc>
          <w:tcPr>
            <w:tcW w:w="587" w:type="pct"/>
            <w:tcBorders>
              <w:top w:val="single" w:sz="4" w:space="0" w:color="1F497D"/>
              <w:left w:val="single" w:sz="4" w:space="0" w:color="1F497D"/>
              <w:bottom w:val="single" w:sz="4" w:space="0" w:color="1F497D"/>
              <w:right w:val="single" w:sz="4" w:space="0" w:color="1F497D"/>
            </w:tcBorders>
            <w:shd w:val="clear" w:color="auto" w:fill="DBE5F1" w:themeFill="accent1" w:themeFillTint="33"/>
          </w:tcPr>
          <w:p w14:paraId="7017E91B" w14:textId="77777777" w:rsidR="00011AC7" w:rsidRPr="00BF2FFC" w:rsidRDefault="00011AC7" w:rsidP="00446078">
            <w:pPr>
              <w:pStyle w:val="TableText"/>
            </w:pPr>
            <w:r>
              <w:t>Rule 2</w:t>
            </w:r>
          </w:p>
        </w:tc>
        <w:tc>
          <w:tcPr>
            <w:tcW w:w="4413" w:type="pct"/>
            <w:tcBorders>
              <w:top w:val="single" w:sz="4" w:space="0" w:color="1F497D"/>
              <w:left w:val="single" w:sz="4" w:space="0" w:color="1F497D"/>
              <w:bottom w:val="single" w:sz="4" w:space="0" w:color="1F497D"/>
              <w:right w:val="single" w:sz="4" w:space="0" w:color="1F497D"/>
            </w:tcBorders>
            <w:shd w:val="clear" w:color="auto" w:fill="DBE5F1" w:themeFill="accent1" w:themeFillTint="33"/>
          </w:tcPr>
          <w:p w14:paraId="6056A1A6" w14:textId="77777777" w:rsidR="00011AC7" w:rsidRPr="00D56B08" w:rsidRDefault="00011AC7" w:rsidP="00446078">
            <w:pPr>
              <w:pStyle w:val="TableText"/>
              <w:rPr>
                <w:rFonts w:cs="Arial"/>
              </w:rPr>
            </w:pPr>
            <w:r w:rsidRPr="00D56B08">
              <w:rPr>
                <w:rFonts w:cs="Arial"/>
              </w:rPr>
              <w:t>Health information must usually be collected from the person who the information is about. But sometimes it is all right to collect information from other people instead – for instance, when:</w:t>
            </w:r>
          </w:p>
          <w:p w14:paraId="76844C6C" w14:textId="3B332FD8" w:rsidR="00011AC7" w:rsidRPr="00D56B08" w:rsidRDefault="00446078" w:rsidP="00446078">
            <w:pPr>
              <w:pStyle w:val="TableBullet"/>
            </w:pPr>
            <w:r>
              <w:t>g</w:t>
            </w:r>
            <w:r w:rsidR="00011AC7" w:rsidRPr="00D56B08">
              <w:t>etting it from the person concerned would undermine the purpose of the collection</w:t>
            </w:r>
          </w:p>
          <w:p w14:paraId="4C74B362" w14:textId="35BF543A" w:rsidR="00011AC7" w:rsidRPr="00D56B08" w:rsidRDefault="00446078" w:rsidP="00446078">
            <w:pPr>
              <w:pStyle w:val="TableBullet"/>
            </w:pPr>
            <w:r>
              <w:t>c</w:t>
            </w:r>
            <w:r w:rsidR="00011AC7" w:rsidRPr="00D56B08">
              <w:t>ompliance would prejudice the interests of the individual concerned, or the safety of any individual</w:t>
            </w:r>
          </w:p>
          <w:p w14:paraId="3412A306" w14:textId="080EF7FC" w:rsidR="00011AC7" w:rsidRPr="00D56B08" w:rsidRDefault="00446078" w:rsidP="00446078">
            <w:pPr>
              <w:pStyle w:val="TableBullet"/>
            </w:pPr>
            <w:r>
              <w:t>i</w:t>
            </w:r>
            <w:r w:rsidR="00011AC7" w:rsidRPr="00D56B08">
              <w:t>t is necessary so a public sector body can uphold or enforce the law</w:t>
            </w:r>
          </w:p>
          <w:p w14:paraId="4A04F0A6" w14:textId="414C39E4" w:rsidR="00011AC7" w:rsidRPr="00F7049E" w:rsidRDefault="00446078" w:rsidP="00446078">
            <w:pPr>
              <w:pStyle w:val="TableBullet"/>
            </w:pPr>
            <w:proofErr w:type="gramStart"/>
            <w:r>
              <w:t>t</w:t>
            </w:r>
            <w:r w:rsidR="00011AC7" w:rsidRPr="00D56B08">
              <w:t>he</w:t>
            </w:r>
            <w:proofErr w:type="gramEnd"/>
            <w:r w:rsidR="00011AC7" w:rsidRPr="00D56B08">
              <w:t xml:space="preserve"> person concerned authorises collection from someone else.</w:t>
            </w:r>
          </w:p>
        </w:tc>
      </w:tr>
      <w:tr w:rsidR="00011AC7" w:rsidRPr="00CC186C" w14:paraId="107B09C2" w14:textId="77777777" w:rsidTr="00446078">
        <w:trPr>
          <w:cantSplit/>
        </w:trPr>
        <w:tc>
          <w:tcPr>
            <w:tcW w:w="587" w:type="pct"/>
            <w:tcBorders>
              <w:top w:val="single" w:sz="4" w:space="0" w:color="1F497D"/>
              <w:left w:val="single" w:sz="4" w:space="0" w:color="1F497D"/>
              <w:bottom w:val="single" w:sz="4" w:space="0" w:color="1F497D"/>
              <w:right w:val="single" w:sz="4" w:space="0" w:color="1F497D"/>
            </w:tcBorders>
            <w:shd w:val="clear" w:color="auto" w:fill="DBE5F1" w:themeFill="accent1" w:themeFillTint="33"/>
          </w:tcPr>
          <w:p w14:paraId="66730817" w14:textId="77777777" w:rsidR="00011AC7" w:rsidRPr="00BF2FFC" w:rsidRDefault="00011AC7" w:rsidP="00446078">
            <w:pPr>
              <w:pStyle w:val="TableText"/>
            </w:pPr>
            <w:r w:rsidRPr="00BF2FFC">
              <w:t xml:space="preserve">Rule 3 </w:t>
            </w:r>
          </w:p>
        </w:tc>
        <w:tc>
          <w:tcPr>
            <w:tcW w:w="4413" w:type="pct"/>
            <w:tcBorders>
              <w:top w:val="single" w:sz="4" w:space="0" w:color="1F497D"/>
              <w:left w:val="single" w:sz="4" w:space="0" w:color="1F497D"/>
              <w:bottom w:val="single" w:sz="4" w:space="0" w:color="1F497D"/>
              <w:right w:val="single" w:sz="4" w:space="0" w:color="1F497D"/>
            </w:tcBorders>
            <w:shd w:val="clear" w:color="auto" w:fill="DBE5F1" w:themeFill="accent1" w:themeFillTint="33"/>
          </w:tcPr>
          <w:p w14:paraId="660A5576" w14:textId="77777777" w:rsidR="00011AC7" w:rsidRPr="00D56B08" w:rsidRDefault="00011AC7" w:rsidP="00446078">
            <w:pPr>
              <w:pStyle w:val="TableText"/>
              <w:rPr>
                <w:rFonts w:cs="Arial"/>
              </w:rPr>
            </w:pPr>
            <w:r w:rsidRPr="00D56B08">
              <w:rPr>
                <w:rFonts w:cs="Arial"/>
              </w:rPr>
              <w:t>When an agency collects health information from the person the information is about, it has to take reasonable steps to make sure that person knows things like:</w:t>
            </w:r>
          </w:p>
          <w:p w14:paraId="357D7A6B" w14:textId="2455B446" w:rsidR="00011AC7" w:rsidRPr="00D56B08" w:rsidRDefault="00446078" w:rsidP="00446078">
            <w:pPr>
              <w:pStyle w:val="TableBullet"/>
            </w:pPr>
            <w:r>
              <w:t>w</w:t>
            </w:r>
            <w:r w:rsidR="00011AC7" w:rsidRPr="00D56B08">
              <w:t>hy it is being collected</w:t>
            </w:r>
          </w:p>
          <w:p w14:paraId="29CE1996" w14:textId="06F1B01C" w:rsidR="00D56B08" w:rsidRPr="00D56B08" w:rsidRDefault="00446078" w:rsidP="00446078">
            <w:pPr>
              <w:pStyle w:val="TableBullet"/>
            </w:pPr>
            <w:r>
              <w:t>w</w:t>
            </w:r>
            <w:r w:rsidR="00011AC7" w:rsidRPr="00D56B08">
              <w:t>ho will get the information</w:t>
            </w:r>
          </w:p>
          <w:p w14:paraId="62B86A9A" w14:textId="00FDCB03" w:rsidR="00011AC7" w:rsidRPr="00D56B08" w:rsidRDefault="00446078" w:rsidP="00446078">
            <w:pPr>
              <w:pStyle w:val="TableBullet"/>
            </w:pPr>
            <w:r>
              <w:t>w</w:t>
            </w:r>
            <w:r w:rsidR="00011AC7" w:rsidRPr="00D56B08">
              <w:t xml:space="preserve">hether the person </w:t>
            </w:r>
            <w:r w:rsidR="00011AC7" w:rsidRPr="00D56B08">
              <w:rPr>
                <w:i/>
              </w:rPr>
              <w:t>has</w:t>
            </w:r>
            <w:r w:rsidR="00011AC7" w:rsidRPr="00D56B08">
              <w:t xml:space="preserve"> to give the information or whether this is voluntary</w:t>
            </w:r>
          </w:p>
          <w:p w14:paraId="57DE915A" w14:textId="2361E558" w:rsidR="00011AC7" w:rsidRPr="00922E9C" w:rsidRDefault="00446078" w:rsidP="00446078">
            <w:pPr>
              <w:pStyle w:val="TableBullet"/>
            </w:pPr>
            <w:proofErr w:type="gramStart"/>
            <w:r>
              <w:t>w</w:t>
            </w:r>
            <w:r w:rsidR="00011AC7" w:rsidRPr="00D56B08">
              <w:t>hat</w:t>
            </w:r>
            <w:proofErr w:type="gramEnd"/>
            <w:r w:rsidR="00011AC7" w:rsidRPr="00D56B08">
              <w:t xml:space="preserve"> will happen if the information isn</w:t>
            </w:r>
            <w:r w:rsidR="00D56B08">
              <w:t>’</w:t>
            </w:r>
            <w:r w:rsidR="00011AC7" w:rsidRPr="00D56B08">
              <w:t>t provided.</w:t>
            </w:r>
          </w:p>
        </w:tc>
      </w:tr>
      <w:tr w:rsidR="00011AC7" w:rsidRPr="00CC186C" w14:paraId="249CFD72" w14:textId="77777777" w:rsidTr="00446078">
        <w:trPr>
          <w:cantSplit/>
        </w:trPr>
        <w:tc>
          <w:tcPr>
            <w:tcW w:w="587" w:type="pct"/>
            <w:tcBorders>
              <w:top w:val="single" w:sz="4" w:space="0" w:color="1F497D"/>
              <w:left w:val="single" w:sz="4" w:space="0" w:color="1F497D"/>
              <w:bottom w:val="single" w:sz="4" w:space="0" w:color="1F497D"/>
              <w:right w:val="single" w:sz="4" w:space="0" w:color="1F497D"/>
            </w:tcBorders>
            <w:shd w:val="clear" w:color="auto" w:fill="DBE5F1" w:themeFill="accent1" w:themeFillTint="33"/>
          </w:tcPr>
          <w:p w14:paraId="5B3205B5" w14:textId="77777777" w:rsidR="00011AC7" w:rsidRPr="00BF2FFC" w:rsidRDefault="00011AC7" w:rsidP="00446078">
            <w:pPr>
              <w:pStyle w:val="TableText"/>
            </w:pPr>
            <w:r w:rsidRPr="00BF2FFC">
              <w:t>Rule 6</w:t>
            </w:r>
          </w:p>
        </w:tc>
        <w:tc>
          <w:tcPr>
            <w:tcW w:w="4413" w:type="pct"/>
            <w:tcBorders>
              <w:top w:val="single" w:sz="4" w:space="0" w:color="1F497D"/>
              <w:left w:val="single" w:sz="4" w:space="0" w:color="1F497D"/>
              <w:bottom w:val="single" w:sz="4" w:space="0" w:color="1F497D"/>
              <w:right w:val="single" w:sz="4" w:space="0" w:color="1F497D"/>
            </w:tcBorders>
            <w:shd w:val="clear" w:color="auto" w:fill="DBE5F1" w:themeFill="accent1" w:themeFillTint="33"/>
          </w:tcPr>
          <w:p w14:paraId="2911CD5E" w14:textId="77777777" w:rsidR="00011AC7" w:rsidRPr="00D56B08" w:rsidRDefault="00011AC7" w:rsidP="00446078">
            <w:pPr>
              <w:pStyle w:val="TableText"/>
              <w:rPr>
                <w:rFonts w:cs="Arial"/>
              </w:rPr>
            </w:pPr>
            <w:r w:rsidRPr="00D56B08">
              <w:rPr>
                <w:rFonts w:cs="Arial"/>
              </w:rPr>
              <w:t>People have a right to ask for access to health information about themselves. Agencies can refuse to give access in some situations, for instance because giving the information would:</w:t>
            </w:r>
          </w:p>
          <w:p w14:paraId="2B00561B" w14:textId="7DA81DBC" w:rsidR="00011AC7" w:rsidRPr="00D56B08" w:rsidRDefault="00446078" w:rsidP="00446078">
            <w:pPr>
              <w:pStyle w:val="TableBullet"/>
            </w:pPr>
            <w:r>
              <w:t>e</w:t>
            </w:r>
            <w:r w:rsidR="00011AC7" w:rsidRPr="00D56B08">
              <w:t>ndanger a person</w:t>
            </w:r>
            <w:r w:rsidR="00D56B08">
              <w:t>’</w:t>
            </w:r>
            <w:r w:rsidR="00011AC7" w:rsidRPr="00D56B08">
              <w:t>s safety</w:t>
            </w:r>
          </w:p>
          <w:p w14:paraId="46F4242C" w14:textId="3589A68D" w:rsidR="00011AC7" w:rsidRPr="00D56B08" w:rsidRDefault="00446078" w:rsidP="00446078">
            <w:pPr>
              <w:pStyle w:val="TableBullet"/>
            </w:pPr>
            <w:r>
              <w:t>p</w:t>
            </w:r>
            <w:r w:rsidR="00011AC7" w:rsidRPr="00D56B08">
              <w:t>revent detection and investigation of criminal offences</w:t>
            </w:r>
          </w:p>
          <w:p w14:paraId="1F1C8813" w14:textId="7CC74B02" w:rsidR="00011AC7" w:rsidRPr="00D56B08" w:rsidRDefault="00446078" w:rsidP="00446078">
            <w:pPr>
              <w:pStyle w:val="TableBullet"/>
            </w:pPr>
            <w:proofErr w:type="gramStart"/>
            <w:r>
              <w:t>i</w:t>
            </w:r>
            <w:r w:rsidR="00011AC7" w:rsidRPr="00D56B08">
              <w:t>nvolve</w:t>
            </w:r>
            <w:proofErr w:type="gramEnd"/>
            <w:r w:rsidR="00011AC7" w:rsidRPr="00D56B08">
              <w:t xml:space="preserve"> an unwarranted breach of someone else</w:t>
            </w:r>
            <w:r w:rsidR="00D56B08">
              <w:t>’</w:t>
            </w:r>
            <w:r w:rsidR="00011AC7" w:rsidRPr="00D56B08">
              <w:t>s privacy.</w:t>
            </w:r>
            <w:r w:rsidR="00011AC7" w:rsidRPr="00446078">
              <w:rPr>
                <w:rStyle w:val="FootnoteReference"/>
              </w:rPr>
              <w:footnoteReference w:id="28"/>
            </w:r>
          </w:p>
        </w:tc>
      </w:tr>
      <w:tr w:rsidR="00011AC7" w:rsidRPr="00CC186C" w14:paraId="2170A48A" w14:textId="77777777" w:rsidTr="00446078">
        <w:trPr>
          <w:cantSplit/>
        </w:trPr>
        <w:tc>
          <w:tcPr>
            <w:tcW w:w="587" w:type="pct"/>
            <w:tcBorders>
              <w:top w:val="single" w:sz="4" w:space="0" w:color="1F497D"/>
              <w:left w:val="single" w:sz="4" w:space="0" w:color="1F497D"/>
              <w:bottom w:val="single" w:sz="4" w:space="0" w:color="1F497D"/>
              <w:right w:val="single" w:sz="4" w:space="0" w:color="1F497D"/>
            </w:tcBorders>
            <w:shd w:val="clear" w:color="auto" w:fill="DBE5F1" w:themeFill="accent1" w:themeFillTint="33"/>
          </w:tcPr>
          <w:p w14:paraId="35B3CF43" w14:textId="77777777" w:rsidR="00011AC7" w:rsidRPr="00BF2FFC" w:rsidRDefault="00011AC7" w:rsidP="00446078">
            <w:pPr>
              <w:pStyle w:val="TableText"/>
            </w:pPr>
            <w:r w:rsidRPr="00BF2FFC">
              <w:t>Rule 7</w:t>
            </w:r>
          </w:p>
        </w:tc>
        <w:tc>
          <w:tcPr>
            <w:tcW w:w="4413" w:type="pct"/>
            <w:tcBorders>
              <w:top w:val="single" w:sz="4" w:space="0" w:color="1F497D"/>
              <w:left w:val="single" w:sz="4" w:space="0" w:color="1F497D"/>
              <w:bottom w:val="single" w:sz="4" w:space="0" w:color="1F497D"/>
              <w:right w:val="single" w:sz="4" w:space="0" w:color="1F497D"/>
            </w:tcBorders>
            <w:shd w:val="clear" w:color="auto" w:fill="DBE5F1" w:themeFill="accent1" w:themeFillTint="33"/>
          </w:tcPr>
          <w:p w14:paraId="4E2316CE" w14:textId="77777777" w:rsidR="00D56B08" w:rsidRPr="00D56B08" w:rsidRDefault="00011AC7" w:rsidP="00446078">
            <w:pPr>
              <w:pStyle w:val="TableText"/>
              <w:rPr>
                <w:rFonts w:cs="Arial"/>
              </w:rPr>
            </w:pPr>
            <w:r w:rsidRPr="00D56B08">
              <w:rPr>
                <w:rFonts w:cs="Arial"/>
              </w:rPr>
              <w:t>People have a right to ask the agency to correct information about them, if they think it is wrong.</w:t>
            </w:r>
          </w:p>
          <w:p w14:paraId="332EB208" w14:textId="77777777" w:rsidR="00011AC7" w:rsidRPr="00577A5D" w:rsidRDefault="00011AC7" w:rsidP="00446078">
            <w:pPr>
              <w:pStyle w:val="TableText"/>
            </w:pPr>
            <w:r w:rsidRPr="00D56B08">
              <w:rPr>
                <w:rFonts w:cs="Arial"/>
              </w:rPr>
              <w:t xml:space="preserve">If the agency does not want to correct the information, it does not usually have to. However, people can ask the agency to add </w:t>
            </w:r>
            <w:r w:rsidRPr="00D56B08">
              <w:rPr>
                <w:rFonts w:cs="Arial"/>
                <w:i/>
              </w:rPr>
              <w:t>their</w:t>
            </w:r>
            <w:r w:rsidRPr="00D56B08">
              <w:rPr>
                <w:rFonts w:cs="Arial"/>
              </w:rPr>
              <w:t xml:space="preserve"> views about w</w:t>
            </w:r>
            <w:r w:rsidR="00446078">
              <w:rPr>
                <w:rFonts w:cs="Arial"/>
              </w:rPr>
              <w:t>hat the correct information is.</w:t>
            </w:r>
          </w:p>
        </w:tc>
      </w:tr>
    </w:tbl>
    <w:p w14:paraId="79650E7B" w14:textId="77777777" w:rsidR="00D56B08" w:rsidRDefault="00011AC7" w:rsidP="00446078">
      <w:pPr>
        <w:pStyle w:val="Heading2"/>
      </w:pPr>
      <w:bookmarkStart w:id="121" w:name="healthliteracy"/>
      <w:bookmarkStart w:id="122" w:name="_Toc476648172"/>
      <w:bookmarkStart w:id="123" w:name="_Toc489004267"/>
      <w:bookmarkStart w:id="124" w:name="_Toc491259726"/>
      <w:bookmarkEnd w:id="121"/>
      <w:r>
        <w:t>Health l</w:t>
      </w:r>
      <w:r w:rsidRPr="00277E15">
        <w:t>iteracy</w:t>
      </w:r>
      <w:bookmarkEnd w:id="122"/>
      <w:bookmarkEnd w:id="123"/>
      <w:bookmarkEnd w:id="124"/>
    </w:p>
    <w:p w14:paraId="34E98869" w14:textId="77777777" w:rsidR="00011AC7" w:rsidRPr="005A5D56" w:rsidRDefault="00011AC7" w:rsidP="00446078">
      <w:pPr>
        <w:pStyle w:val="Heading3"/>
      </w:pPr>
      <w:r>
        <w:t>P</w:t>
      </w:r>
      <w:r w:rsidRPr="005A5D56">
        <w:t>olicy</w:t>
      </w:r>
    </w:p>
    <w:p w14:paraId="7E22E434" w14:textId="77777777" w:rsidR="00011AC7" w:rsidRDefault="00011AC7" w:rsidP="00446078">
      <w:r w:rsidRPr="0014263B">
        <w:t>Health literacy is the ability to obtain, process, and understand health information to make informed decisions about health care.</w:t>
      </w:r>
      <w:r w:rsidRPr="00446078">
        <w:rPr>
          <w:rStyle w:val="FootnoteReference"/>
          <w:rFonts w:eastAsiaTheme="minorEastAsia"/>
        </w:rPr>
        <w:footnoteReference w:id="29"/>
      </w:r>
    </w:p>
    <w:p w14:paraId="1B99AAB6" w14:textId="77777777" w:rsidR="00D56B08" w:rsidRDefault="00011AC7" w:rsidP="00446078">
      <w:r w:rsidRPr="0014263B">
        <w:t>Medical language often uses complex terminology and can be difficult to understand. Similarly the forms consumers are required to complete can often be confusing.</w:t>
      </w:r>
      <w:r>
        <w:t xml:space="preserve"> Health provider</w:t>
      </w:r>
      <w:r w:rsidRPr="0014263B">
        <w:t xml:space="preserve">s should adopt a universal precautions approach to health literacy. </w:t>
      </w:r>
      <w:r>
        <w:t>H</w:t>
      </w:r>
      <w:r w:rsidRPr="0014263B">
        <w:t>ealth communications and services should be easy to understand.</w:t>
      </w:r>
    </w:p>
    <w:p w14:paraId="7136B97E" w14:textId="77777777" w:rsidR="00011AC7" w:rsidRPr="007B34F2" w:rsidRDefault="00011AC7" w:rsidP="00446078">
      <w:pPr>
        <w:pStyle w:val="Heading3"/>
      </w:pPr>
      <w:r w:rsidRPr="007B34F2">
        <w:t>Requirements</w:t>
      </w:r>
    </w:p>
    <w:p w14:paraId="5B770B83" w14:textId="77777777" w:rsidR="00D56B08" w:rsidRDefault="00011AC7" w:rsidP="00446078">
      <w:r>
        <w:t>All health providers adopt a universal precautions approach in all communications with consumers and patients (policy).</w:t>
      </w:r>
    </w:p>
    <w:p w14:paraId="01017A6F" w14:textId="77777777" w:rsidR="00011AC7" w:rsidRDefault="00011AC7" w:rsidP="00446078">
      <w:pPr>
        <w:pStyle w:val="Heading3"/>
      </w:pPr>
      <w:r w:rsidRPr="001D2E9C">
        <w:t>Resource</w:t>
      </w:r>
      <w:r>
        <w:t>s</w:t>
      </w:r>
    </w:p>
    <w:p w14:paraId="30C29FA2" w14:textId="5AD79177" w:rsidR="00D56B08" w:rsidRDefault="00011AC7" w:rsidP="00446078">
      <w:r>
        <w:t xml:space="preserve">The Ministry of Health has produced a framework for health literacy which can be found at </w:t>
      </w:r>
      <w:hyperlink r:id="rId24" w:history="1">
        <w:r w:rsidRPr="00B05D9B">
          <w:rPr>
            <w:rStyle w:val="Hyperlink"/>
          </w:rPr>
          <w:t>https://www.health.govt.nz/publication/framework-health-literacy</w:t>
        </w:r>
      </w:hyperlink>
    </w:p>
    <w:p w14:paraId="3572E33E" w14:textId="75547B97" w:rsidR="00D56B08" w:rsidRDefault="00011AC7" w:rsidP="00446078">
      <w:r>
        <w:lastRenderedPageBreak/>
        <w:t xml:space="preserve">The US Agency for Healthcare Research and Quality has produced a </w:t>
      </w:r>
      <w:r w:rsidR="00446078">
        <w:t>‘</w:t>
      </w:r>
      <w:r>
        <w:t>Health Literacy Universal Precautions Toolkit</w:t>
      </w:r>
      <w:r w:rsidR="00446078">
        <w:t>’</w:t>
      </w:r>
      <w:r>
        <w:t xml:space="preserve"> for health practitioners. It is particularly aimed at primary care but is useful to all health practitioners.</w:t>
      </w:r>
      <w:r w:rsidRPr="00446078">
        <w:rPr>
          <w:rStyle w:val="FootnoteReference"/>
        </w:rPr>
        <w:footnoteReference w:id="30"/>
      </w:r>
    </w:p>
    <w:p w14:paraId="13849B41" w14:textId="77777777" w:rsidR="00011AC7" w:rsidRPr="0014263B" w:rsidRDefault="00011AC7" w:rsidP="00446078">
      <w:r>
        <w:t>Plain language explanations should be included in patient portals.</w:t>
      </w:r>
    </w:p>
    <w:p w14:paraId="6144C09D" w14:textId="77777777" w:rsidR="00011AC7" w:rsidRDefault="00011AC7" w:rsidP="00446078">
      <w:pPr>
        <w:pStyle w:val="Heading2"/>
      </w:pPr>
      <w:bookmarkStart w:id="125" w:name="informationonprivacypatientnotification"/>
      <w:bookmarkStart w:id="126" w:name="_Toc476648173"/>
      <w:bookmarkStart w:id="127" w:name="_Toc489004268"/>
      <w:bookmarkStart w:id="128" w:name="_Toc491259727"/>
      <w:bookmarkEnd w:id="125"/>
      <w:r>
        <w:t>Information on privacy, patient notification and consent</w:t>
      </w:r>
      <w:bookmarkEnd w:id="126"/>
      <w:bookmarkEnd w:id="127"/>
      <w:bookmarkEnd w:id="128"/>
    </w:p>
    <w:p w14:paraId="259E2320" w14:textId="77777777" w:rsidR="00D56B08" w:rsidRDefault="00011AC7" w:rsidP="00446078">
      <w:r>
        <w:t>Health providers need to tell consumers why they are collecting their health information and who the providers are likely to share it with. This means that health providers need to either know how a patient</w:t>
      </w:r>
      <w:r w:rsidR="00D56B08">
        <w:t>’</w:t>
      </w:r>
      <w:r>
        <w:t>s information is travelling through the health system or at least know where to find this out for the patient.</w:t>
      </w:r>
    </w:p>
    <w:p w14:paraId="3EB63F2B" w14:textId="77777777" w:rsidR="00D56B08" w:rsidRDefault="00011AC7" w:rsidP="00446078">
      <w:r>
        <w:t>The consumer can be informed through having a privacy fact sheet prominently displayed and available for them to read. The health provider should also be familiar with the fact sheet so they can answer any questions the consumer may have on privacy.</w:t>
      </w:r>
    </w:p>
    <w:p w14:paraId="70A22577" w14:textId="77777777" w:rsidR="00011AC7" w:rsidRPr="00EC709B" w:rsidRDefault="00011AC7" w:rsidP="00446078">
      <w:r>
        <w:t>In some circumstances a fact sheet may not be sufficient. For example, where a health practitioner obtains a second opinion from a specialist who the patient would not normally expect the health practitioner to contact in the usual course of consultation. In such situations the health provider should first discuss with their patient their intention to obtain the second opinion and obtain their authorisation to do so.</w:t>
      </w:r>
    </w:p>
    <w:p w14:paraId="17844610" w14:textId="77777777" w:rsidR="00D56B08" w:rsidRDefault="00011AC7" w:rsidP="00446078">
      <w:pPr>
        <w:pStyle w:val="Heading3"/>
      </w:pPr>
      <w:r w:rsidRPr="00A81346">
        <w:t>Privacy requirements</w:t>
      </w:r>
    </w:p>
    <w:p w14:paraId="488082CB" w14:textId="77777777" w:rsidR="00D56B08" w:rsidRDefault="00011AC7" w:rsidP="00446078">
      <w:r>
        <w:t>Health provider</w:t>
      </w:r>
      <w:r w:rsidRPr="00B05D9B">
        <w:t xml:space="preserve">s </w:t>
      </w:r>
      <w:r>
        <w:t xml:space="preserve">should </w:t>
      </w:r>
      <w:r w:rsidRPr="00B05D9B">
        <w:t xml:space="preserve">have available up-to-date and accurate information for consumers about </w:t>
      </w:r>
      <w:r>
        <w:t>their rights</w:t>
      </w:r>
      <w:r w:rsidRPr="00B05D9B">
        <w:t xml:space="preserve"> and </w:t>
      </w:r>
      <w:r>
        <w:t>the use of</w:t>
      </w:r>
      <w:r w:rsidRPr="00B05D9B">
        <w:t xml:space="preserve"> personal health information</w:t>
      </w:r>
      <w:r>
        <w:t>.</w:t>
      </w:r>
      <w:r w:rsidRPr="00446078">
        <w:rPr>
          <w:rStyle w:val="FootnoteReference"/>
        </w:rPr>
        <w:footnoteReference w:id="31"/>
      </w:r>
      <w:r>
        <w:t xml:space="preserve"> </w:t>
      </w:r>
      <w:r w:rsidRPr="00B05D9B">
        <w:t xml:space="preserve">This </w:t>
      </w:r>
      <w:r>
        <w:t>should be</w:t>
      </w:r>
      <w:r w:rsidRPr="00B05D9B">
        <w:t xml:space="preserve"> displayed prominently</w:t>
      </w:r>
      <w:r>
        <w:t xml:space="preserve"> (policy/law)</w:t>
      </w:r>
      <w:r w:rsidRPr="00B05D9B">
        <w:t>.</w:t>
      </w:r>
    </w:p>
    <w:p w14:paraId="05267B51" w14:textId="77777777" w:rsidR="00D56B08" w:rsidRDefault="00011AC7" w:rsidP="00446078">
      <w:r>
        <w:t>Health provider</w:t>
      </w:r>
      <w:r w:rsidRPr="004C2A3D">
        <w:t>s should be familiar with the privacy fact sheet</w:t>
      </w:r>
      <w:r w:rsidRPr="00B05D9B">
        <w:t xml:space="preserve"> and able to answer consumer queries about</w:t>
      </w:r>
      <w:r w:rsidRPr="00F03536">
        <w:t xml:space="preserve"> the range of people or agencies their information is shared with</w:t>
      </w:r>
      <w:r>
        <w:t xml:space="preserve"> (policy)</w:t>
      </w:r>
      <w:r w:rsidRPr="00F03536">
        <w:t>.</w:t>
      </w:r>
    </w:p>
    <w:p w14:paraId="30559689" w14:textId="77777777" w:rsidR="00D56B08" w:rsidRDefault="00011AC7" w:rsidP="00446078">
      <w:pPr>
        <w:pStyle w:val="Heading3"/>
      </w:pPr>
      <w:r w:rsidRPr="009B07D5">
        <w:t>Resource</w:t>
      </w:r>
      <w:r>
        <w:t>s</w:t>
      </w:r>
    </w:p>
    <w:p w14:paraId="5E7CE3E1" w14:textId="362AD604" w:rsidR="00011AC7" w:rsidRDefault="00011AC7" w:rsidP="00446078">
      <w:r>
        <w:t>A p</w:t>
      </w:r>
      <w:r w:rsidRPr="00D4763D">
        <w:t xml:space="preserve">rivacy </w:t>
      </w:r>
      <w:r>
        <w:t>fact s</w:t>
      </w:r>
      <w:r w:rsidRPr="00D4763D">
        <w:t xml:space="preserve">heet </w:t>
      </w:r>
      <w:r>
        <w:t>and poster which can be used by the Health and Disability Sector</w:t>
      </w:r>
      <w:r w:rsidRPr="00D4763D">
        <w:t xml:space="preserve">, can be found in </w:t>
      </w:r>
      <w:r>
        <w:t>Appendix 6 and Appendix 7</w:t>
      </w:r>
      <w:r w:rsidRPr="00D4763D">
        <w:t>.</w:t>
      </w:r>
    </w:p>
    <w:p w14:paraId="783F0DF8" w14:textId="77777777" w:rsidR="00011AC7" w:rsidRPr="007B34F2" w:rsidRDefault="00011AC7" w:rsidP="00446078">
      <w:pPr>
        <w:pStyle w:val="Heading3"/>
      </w:pPr>
      <w:r>
        <w:t>Patient notification and consent r</w:t>
      </w:r>
      <w:r w:rsidRPr="007B34F2">
        <w:t>equirements</w:t>
      </w:r>
    </w:p>
    <w:p w14:paraId="2607DE21" w14:textId="77777777" w:rsidR="00D56B08" w:rsidRDefault="00011AC7" w:rsidP="00446078">
      <w:r>
        <w:t>Health provider</w:t>
      </w:r>
      <w:r w:rsidRPr="00FB1C75">
        <w:t xml:space="preserve">s have documented a </w:t>
      </w:r>
      <w:r>
        <w:t>privacy policy that is available for consumers to see</w:t>
      </w:r>
      <w:r w:rsidRPr="00FB1C75">
        <w:t>. The policy supports consumers</w:t>
      </w:r>
      <w:r w:rsidR="00D56B08">
        <w:t>’</w:t>
      </w:r>
      <w:r w:rsidRPr="00FB1C75">
        <w:t xml:space="preserve"> rights under the Privacy Act 1993 and Health Information Privacy Code 1994.</w:t>
      </w:r>
      <w:r>
        <w:t xml:space="preserve"> </w:t>
      </w:r>
      <w:r w:rsidRPr="00FB1C75">
        <w:t>The policy is regularly reviewed</w:t>
      </w:r>
      <w:r>
        <w:t xml:space="preserve"> (policy)</w:t>
      </w:r>
      <w:r w:rsidRPr="00FB1C75">
        <w:t>.</w:t>
      </w:r>
    </w:p>
    <w:p w14:paraId="16E1555B" w14:textId="77777777" w:rsidR="00011AC7" w:rsidRPr="00B05D9B" w:rsidRDefault="00011AC7" w:rsidP="00446078">
      <w:pPr>
        <w:pStyle w:val="Heading3"/>
      </w:pPr>
      <w:r w:rsidRPr="00B05D9B">
        <w:lastRenderedPageBreak/>
        <w:t>Resource</w:t>
      </w:r>
      <w:r>
        <w:t>s</w:t>
      </w:r>
    </w:p>
    <w:p w14:paraId="5D9454D4" w14:textId="77777777" w:rsidR="00011AC7" w:rsidRPr="00EC709B" w:rsidRDefault="00011AC7" w:rsidP="00446078">
      <w:r w:rsidRPr="00B05D9B">
        <w:t xml:space="preserve">The Office of the Privacy Commissioner has produced a Privacy Escalation Ladder which provides guidance on when identifiable information can be </w:t>
      </w:r>
      <w:r>
        <w:t>disclosed</w:t>
      </w:r>
      <w:r w:rsidRPr="00B05D9B">
        <w:t>.</w:t>
      </w:r>
      <w:r>
        <w:t xml:space="preserve"> </w:t>
      </w:r>
      <w:r w:rsidRPr="00B05D9B">
        <w:t xml:space="preserve">A copy of this can be found in </w:t>
      </w:r>
      <w:r>
        <w:t>Appendix 5</w:t>
      </w:r>
      <w:r w:rsidRPr="00B05D9B">
        <w:t>.</w:t>
      </w:r>
    </w:p>
    <w:p w14:paraId="1E8741E1" w14:textId="77777777" w:rsidR="00011AC7" w:rsidRPr="00D0234C" w:rsidRDefault="00011AC7" w:rsidP="00446078">
      <w:pPr>
        <w:pStyle w:val="Heading2"/>
      </w:pPr>
      <w:bookmarkStart w:id="129" w:name="rightsofaccessandcorrection"/>
      <w:bookmarkStart w:id="130" w:name="_Toc476648174"/>
      <w:bookmarkStart w:id="131" w:name="_Toc489004269"/>
      <w:bookmarkStart w:id="132" w:name="_Toc491259728"/>
      <w:bookmarkEnd w:id="129"/>
      <w:r>
        <w:t>Rights of access and c</w:t>
      </w:r>
      <w:r w:rsidRPr="00D0234C">
        <w:t>orrection</w:t>
      </w:r>
      <w:bookmarkEnd w:id="130"/>
      <w:bookmarkEnd w:id="131"/>
      <w:bookmarkEnd w:id="132"/>
    </w:p>
    <w:p w14:paraId="45F707B1" w14:textId="77777777" w:rsidR="00011AC7" w:rsidRPr="00D0234C" w:rsidRDefault="00011AC7" w:rsidP="00446078">
      <w:pPr>
        <w:pStyle w:val="Heading3"/>
      </w:pPr>
      <w:bookmarkStart w:id="133" w:name="_Toc370896875"/>
      <w:bookmarkStart w:id="134" w:name="_Toc433007386"/>
      <w:r w:rsidRPr="00D0234C">
        <w:t>Access requests by consumers</w:t>
      </w:r>
    </w:p>
    <w:p w14:paraId="30EED88F" w14:textId="77777777" w:rsidR="00011AC7" w:rsidRPr="00D0234C" w:rsidRDefault="00011AC7" w:rsidP="00446078">
      <w:r>
        <w:t xml:space="preserve">Under rule 6 of the Health Information Privacy Code, health providers </w:t>
      </w:r>
      <w:r w:rsidRPr="00D0234C">
        <w:t>who</w:t>
      </w:r>
      <w:r>
        <w:t xml:space="preserve"> hold information about a consumer in a way that is readily retrievable must provide that consumer with access to th</w:t>
      </w:r>
      <w:r w:rsidRPr="00D0234C">
        <w:t>e</w:t>
      </w:r>
      <w:r>
        <w:t xml:space="preserve"> information if requested.</w:t>
      </w:r>
    </w:p>
    <w:p w14:paraId="55F6B5D2" w14:textId="77777777" w:rsidR="00011AC7" w:rsidRPr="007552E4" w:rsidRDefault="00011AC7" w:rsidP="00446078">
      <w:pPr>
        <w:pStyle w:val="Heading3"/>
      </w:pPr>
      <w:r w:rsidRPr="007552E4">
        <w:t>By parents</w:t>
      </w:r>
    </w:p>
    <w:p w14:paraId="74AA2B41" w14:textId="77777777" w:rsidR="00D56B08" w:rsidRDefault="00011AC7" w:rsidP="00446078">
      <w:r w:rsidRPr="00E452D6">
        <w:t>Section 22F</w:t>
      </w:r>
      <w:r>
        <w:t xml:space="preserve"> of the Health Act 1956</w:t>
      </w:r>
      <w:r w:rsidRPr="00E452D6">
        <w:t xml:space="preserve"> provides that health information must be disclosed</w:t>
      </w:r>
      <w:r>
        <w:t xml:space="preserve">, </w:t>
      </w:r>
      <w:r w:rsidRPr="00E452D6">
        <w:t>on</w:t>
      </w:r>
      <w:r>
        <w:t xml:space="preserve"> </w:t>
      </w:r>
      <w:r w:rsidRPr="00E452D6">
        <w:t>request</w:t>
      </w:r>
      <w:r>
        <w:t>,</w:t>
      </w:r>
      <w:r w:rsidRPr="00E452D6">
        <w:t xml:space="preserve"> to the individual</w:t>
      </w:r>
      <w:r w:rsidR="00D56B08">
        <w:t>’</w:t>
      </w:r>
      <w:r w:rsidRPr="00E452D6">
        <w:t>s representative or any person providing health or disability</w:t>
      </w:r>
      <w:r>
        <w:t xml:space="preserve"> </w:t>
      </w:r>
      <w:r w:rsidRPr="00E452D6">
        <w:t>services to the individual.</w:t>
      </w:r>
    </w:p>
    <w:p w14:paraId="3F4A4104" w14:textId="77777777" w:rsidR="00D56B08" w:rsidRDefault="00011AC7" w:rsidP="00446078">
      <w:r>
        <w:t xml:space="preserve">The </w:t>
      </w:r>
      <w:r w:rsidRPr="005173A4">
        <w:t>parent or guardian</w:t>
      </w:r>
      <w:r>
        <w:t xml:space="preserve"> of a child under 16 years is their representative.</w:t>
      </w:r>
    </w:p>
    <w:p w14:paraId="1EAD1F94" w14:textId="45164E2F" w:rsidR="00011AC7" w:rsidRPr="00D0234C" w:rsidRDefault="00011AC7" w:rsidP="00446078">
      <w:r>
        <w:t>Where the person holding the information reasonably believes that a disclosure of health information about a child under 16 to his or her parent or guardian would be against the child</w:t>
      </w:r>
      <w:r w:rsidR="00D56B08">
        <w:t>’</w:t>
      </w:r>
      <w:r>
        <w:t>s wishes or interests, the request may be refused. Requests may also be refused on the withholding grounds in sections 27</w:t>
      </w:r>
      <w:r w:rsidR="00446078">
        <w:t>–</w:t>
      </w:r>
      <w:r>
        <w:t>29 of the Privacy Act.</w:t>
      </w:r>
    </w:p>
    <w:p w14:paraId="72A14488" w14:textId="77777777" w:rsidR="00011AC7" w:rsidRPr="00D0234C" w:rsidRDefault="00011AC7" w:rsidP="00446078">
      <w:r>
        <w:t xml:space="preserve">Children under 16 do not have a veto over disclosure of information to their parents. </w:t>
      </w:r>
      <w:r w:rsidRPr="00E452D6">
        <w:t xml:space="preserve">Whether a </w:t>
      </w:r>
      <w:r>
        <w:t>health provider</w:t>
      </w:r>
      <w:r w:rsidRPr="00E452D6">
        <w:t xml:space="preserve"> will accede to a child</w:t>
      </w:r>
      <w:r w:rsidR="00D56B08">
        <w:t>’</w:t>
      </w:r>
      <w:r w:rsidRPr="00E452D6">
        <w:t>s request that health information about them not be</w:t>
      </w:r>
      <w:r>
        <w:t xml:space="preserve"> disclosed </w:t>
      </w:r>
      <w:r w:rsidRPr="00E452D6">
        <w:t xml:space="preserve">is within their discretion. </w:t>
      </w:r>
      <w:r>
        <w:t>I</w:t>
      </w:r>
      <w:r w:rsidRPr="00E452D6">
        <w:t>n considering</w:t>
      </w:r>
      <w:r>
        <w:t xml:space="preserve"> the request they should take into account the relative maturity of the child and the severity of the health matter under discussion.</w:t>
      </w:r>
    </w:p>
    <w:p w14:paraId="2FCF1875" w14:textId="77777777" w:rsidR="00011AC7" w:rsidRPr="007552E4" w:rsidRDefault="00011AC7" w:rsidP="00446078">
      <w:pPr>
        <w:pStyle w:val="Heading3"/>
      </w:pPr>
      <w:r w:rsidRPr="007552E4">
        <w:t>16 years and older</w:t>
      </w:r>
    </w:p>
    <w:p w14:paraId="36EA0E81" w14:textId="77777777" w:rsidR="00011AC7" w:rsidRPr="00D0234C" w:rsidRDefault="00011AC7" w:rsidP="00446078">
      <w:r w:rsidRPr="0060712D">
        <w:t>Under the law a child is deemed competent from the age of 16 onwards (unless factors determine otherwise).</w:t>
      </w:r>
      <w:r>
        <w:t xml:space="preserve"> At that point the parent no longer has the right to see their child</w:t>
      </w:r>
      <w:r w:rsidR="00D56B08">
        <w:t>’</w:t>
      </w:r>
      <w:r>
        <w:t>s health record without their authorisation.</w:t>
      </w:r>
    </w:p>
    <w:p w14:paraId="4C3B4813" w14:textId="77777777" w:rsidR="00011AC7" w:rsidRPr="007552E4" w:rsidRDefault="00011AC7" w:rsidP="00446078">
      <w:pPr>
        <w:pStyle w:val="Heading3"/>
      </w:pPr>
      <w:bookmarkStart w:id="135" w:name="_Toc358903575"/>
      <w:bookmarkStart w:id="136" w:name="_Toc370896877"/>
      <w:bookmarkEnd w:id="133"/>
      <w:bookmarkEnd w:id="134"/>
      <w:r w:rsidRPr="007552E4">
        <w:t xml:space="preserve">By a person who is </w:t>
      </w:r>
      <w:bookmarkEnd w:id="135"/>
      <w:r w:rsidRPr="007552E4">
        <w:t>intellectually disabled</w:t>
      </w:r>
      <w:bookmarkEnd w:id="136"/>
      <w:r w:rsidRPr="007552E4">
        <w:t xml:space="preserve"> or their carer</w:t>
      </w:r>
    </w:p>
    <w:p w14:paraId="1948D93F" w14:textId="77777777" w:rsidR="00011AC7" w:rsidRDefault="00011AC7" w:rsidP="00446078">
      <w:r>
        <w:t>A</w:t>
      </w:r>
      <w:r w:rsidRPr="00D0234C">
        <w:t xml:space="preserve"> person with an intellectual disability has the right to see their shared </w:t>
      </w:r>
      <w:r>
        <w:t>record. A representative of that person, being someone lawfully acting on their behalf, may also seek access to their health record under section 22F. Access should be granted to a representative unless the disclosure would be against the wishes or interests of the person concerned, having regard to the competence of the person and the consequences if access is granted or refused.</w:t>
      </w:r>
    </w:p>
    <w:p w14:paraId="1AC2FF49" w14:textId="77777777" w:rsidR="00011AC7" w:rsidRPr="007552E4" w:rsidRDefault="00011AC7" w:rsidP="00446078">
      <w:pPr>
        <w:pStyle w:val="Heading3"/>
      </w:pPr>
      <w:r>
        <w:lastRenderedPageBreak/>
        <w:t>Right of c</w:t>
      </w:r>
      <w:r w:rsidRPr="007552E4">
        <w:t>orrection</w:t>
      </w:r>
    </w:p>
    <w:p w14:paraId="45C84C3D" w14:textId="77777777" w:rsidR="00011AC7" w:rsidRDefault="00011AC7" w:rsidP="00446078">
      <w:r>
        <w:t>C</w:t>
      </w:r>
      <w:r w:rsidRPr="00D14AE8">
        <w:t>onsumers have the right to ask that any informat</w:t>
      </w:r>
      <w:r>
        <w:t>ion held on them is corrected.</w:t>
      </w:r>
      <w:r w:rsidRPr="00D14AE8">
        <w:t xml:space="preserve"> If the information is not amended</w:t>
      </w:r>
      <w:r>
        <w:t>,</w:t>
      </w:r>
      <w:r w:rsidRPr="00D14AE8">
        <w:t xml:space="preserve"> the consumer has the right to have the</w:t>
      </w:r>
      <w:r>
        <w:t>ir</w:t>
      </w:r>
      <w:r w:rsidRPr="00D14AE8">
        <w:t xml:space="preserve"> statement of correction attached to the</w:t>
      </w:r>
      <w:r>
        <w:t>ir</w:t>
      </w:r>
      <w:r w:rsidRPr="00D14AE8">
        <w:t xml:space="preserve"> health record</w:t>
      </w:r>
      <w:r>
        <w:t>.</w:t>
      </w:r>
      <w:bookmarkStart w:id="137" w:name="_Ref489840199"/>
      <w:r w:rsidRPr="00446078">
        <w:rPr>
          <w:rStyle w:val="FootnoteReference"/>
          <w:rFonts w:eastAsiaTheme="minorEastAsia"/>
        </w:rPr>
        <w:footnoteReference w:id="32"/>
      </w:r>
      <w:bookmarkEnd w:id="137"/>
    </w:p>
    <w:p w14:paraId="3021AD42" w14:textId="77777777" w:rsidR="00011AC7" w:rsidRPr="007552E4" w:rsidRDefault="00011AC7" w:rsidP="00446078">
      <w:pPr>
        <w:pStyle w:val="Heading3"/>
      </w:pPr>
      <w:r w:rsidRPr="007552E4">
        <w:t>Requirements</w:t>
      </w:r>
    </w:p>
    <w:p w14:paraId="17008270" w14:textId="77777777" w:rsidR="00D56B08" w:rsidRDefault="00011AC7" w:rsidP="00446078">
      <w:pPr>
        <w:keepNext/>
      </w:pPr>
      <w:r w:rsidRPr="00EE3887">
        <w:t>Health providers must help facilitate access and correction requests when they are made</w:t>
      </w:r>
      <w:r w:rsidRPr="00446078">
        <w:rPr>
          <w:rStyle w:val="FootnoteReference"/>
        </w:rPr>
        <w:footnoteReference w:id="33"/>
      </w:r>
      <w:r w:rsidRPr="00EE3887">
        <w:t xml:space="preserve"> (law).</w:t>
      </w:r>
    </w:p>
    <w:p w14:paraId="0998C4C7" w14:textId="77777777" w:rsidR="00D56B08" w:rsidRDefault="00011AC7" w:rsidP="00011AC7">
      <w:r w:rsidRPr="00EE3887">
        <w:t>Parents or guardians and other health providers shall be allowed to see their child</w:t>
      </w:r>
      <w:r w:rsidR="00D56B08">
        <w:t>’</w:t>
      </w:r>
      <w:r w:rsidRPr="00EE3887">
        <w:t>s health record if the child is under 16, unless:</w:t>
      </w:r>
    </w:p>
    <w:p w14:paraId="44C1C1B6" w14:textId="77777777" w:rsidR="00D56B08" w:rsidRDefault="00011AC7" w:rsidP="00446078">
      <w:pPr>
        <w:pStyle w:val="Bullet"/>
      </w:pPr>
      <w:r w:rsidRPr="00EE3887">
        <w:t>the child does not want the information disclosed, and</w:t>
      </w:r>
    </w:p>
    <w:p w14:paraId="58313E87" w14:textId="77777777" w:rsidR="00D56B08" w:rsidRDefault="00011AC7" w:rsidP="00446078">
      <w:pPr>
        <w:pStyle w:val="Bullet"/>
      </w:pPr>
      <w:proofErr w:type="gramStart"/>
      <w:r w:rsidRPr="00EE3887">
        <w:t>the</w:t>
      </w:r>
      <w:proofErr w:type="gramEnd"/>
      <w:r w:rsidRPr="00EE3887">
        <w:t xml:space="preserve"> health practitioner considers it appropriate to accede to the child</w:t>
      </w:r>
      <w:r w:rsidR="00D56B08">
        <w:t>’</w:t>
      </w:r>
      <w:r w:rsidRPr="00EE3887">
        <w:t>s request having regard to the relative maturity of the child and the severity of the health matter under discussion (law).</w:t>
      </w:r>
    </w:p>
    <w:p w14:paraId="7438B1F5" w14:textId="77777777" w:rsidR="00D56B08" w:rsidRDefault="00011AC7" w:rsidP="00446078">
      <w:r w:rsidRPr="00EE3887">
        <w:t>Parents or guardians shall be allowed to see their child</w:t>
      </w:r>
      <w:r w:rsidR="00D56B08">
        <w:t>’</w:t>
      </w:r>
      <w:r w:rsidRPr="00EE3887">
        <w:t>s health record unless it is not in the child</w:t>
      </w:r>
      <w:r w:rsidR="00D56B08">
        <w:t>’</w:t>
      </w:r>
      <w:r w:rsidRPr="00EE3887">
        <w:t>s best interests (law).</w:t>
      </w:r>
    </w:p>
    <w:p w14:paraId="3E0FF9F1" w14:textId="77777777" w:rsidR="00D56B08" w:rsidRDefault="00011AC7" w:rsidP="00446078">
      <w:r w:rsidRPr="00FB1C75">
        <w:t xml:space="preserve">Any request for access or correction is dealt with promptly and a decision on that request is made not later than 20 working days after the request was made. If the </w:t>
      </w:r>
      <w:r>
        <w:t>health provider</w:t>
      </w:r>
      <w:r w:rsidRPr="00FB1C75">
        <w:t xml:space="preserve"> requires an extension of time to complete the request</w:t>
      </w:r>
      <w:r>
        <w:t>,</w:t>
      </w:r>
      <w:r w:rsidRPr="00FB1C75">
        <w:t xml:space="preserve"> they </w:t>
      </w:r>
      <w:r>
        <w:t xml:space="preserve">must </w:t>
      </w:r>
      <w:r w:rsidRPr="00FB1C75">
        <w:t>give notice of the extension to the consumer who made the request within 20 working days after the day on which the request is received</w:t>
      </w:r>
      <w:r w:rsidRPr="00446078">
        <w:rPr>
          <w:rStyle w:val="FootnoteReference"/>
        </w:rPr>
        <w:footnoteReference w:id="34"/>
      </w:r>
      <w:r>
        <w:t xml:space="preserve"> (law)</w:t>
      </w:r>
      <w:r w:rsidRPr="00FB1C75">
        <w:t>.</w:t>
      </w:r>
    </w:p>
    <w:p w14:paraId="05F468CC" w14:textId="77777777" w:rsidR="00011AC7" w:rsidRPr="000233EF" w:rsidRDefault="00011AC7" w:rsidP="00446078">
      <w:r w:rsidRPr="000233EF">
        <w:t>The notice</w:t>
      </w:r>
      <w:r>
        <w:t>:</w:t>
      </w:r>
    </w:p>
    <w:p w14:paraId="0C651036" w14:textId="77777777" w:rsidR="00011AC7" w:rsidRPr="000233EF" w:rsidRDefault="00011AC7" w:rsidP="00446078">
      <w:pPr>
        <w:pStyle w:val="Bullet"/>
      </w:pPr>
      <w:r w:rsidRPr="000233EF">
        <w:t>specif</w:t>
      </w:r>
      <w:r>
        <w:t>ies</w:t>
      </w:r>
      <w:r w:rsidRPr="000233EF">
        <w:t xml:space="preserve"> the period of the extension</w:t>
      </w:r>
    </w:p>
    <w:p w14:paraId="1C2BA0A4" w14:textId="77777777" w:rsidR="00011AC7" w:rsidRPr="000233EF" w:rsidRDefault="00011AC7" w:rsidP="00446078">
      <w:pPr>
        <w:pStyle w:val="Bullet"/>
      </w:pPr>
      <w:r w:rsidRPr="000233EF">
        <w:t>give</w:t>
      </w:r>
      <w:r>
        <w:t>s</w:t>
      </w:r>
      <w:r w:rsidRPr="000233EF">
        <w:t xml:space="preserve"> the reasons for the extension; and</w:t>
      </w:r>
    </w:p>
    <w:p w14:paraId="50BE6FD2" w14:textId="77777777" w:rsidR="00011AC7" w:rsidRPr="00FB1C75" w:rsidRDefault="00011AC7" w:rsidP="00446078">
      <w:pPr>
        <w:pStyle w:val="Bullet"/>
      </w:pPr>
      <w:proofErr w:type="gramStart"/>
      <w:r w:rsidRPr="000233EF">
        <w:t>state</w:t>
      </w:r>
      <w:r>
        <w:t>s</w:t>
      </w:r>
      <w:proofErr w:type="gramEnd"/>
      <w:r w:rsidRPr="000233EF">
        <w:t xml:space="preserve"> that the </w:t>
      </w:r>
      <w:r>
        <w:t>consumer</w:t>
      </w:r>
      <w:r w:rsidRPr="000233EF">
        <w:t xml:space="preserve"> who made the request for the information has the right</w:t>
      </w:r>
      <w:r>
        <w:t xml:space="preserve"> to</w:t>
      </w:r>
      <w:r w:rsidRPr="000233EF">
        <w:t xml:space="preserve"> make a complaint to the </w:t>
      </w:r>
      <w:r>
        <w:t xml:space="preserve">Privacy </w:t>
      </w:r>
      <w:r w:rsidRPr="000233EF">
        <w:t>Commissioner about the extension</w:t>
      </w:r>
      <w:r w:rsidRPr="00446078">
        <w:rPr>
          <w:rStyle w:val="FootnoteReference"/>
        </w:rPr>
        <w:footnoteReference w:id="35"/>
      </w:r>
      <w:r>
        <w:t xml:space="preserve"> (law).</w:t>
      </w:r>
    </w:p>
    <w:p w14:paraId="34D4A6A1" w14:textId="77777777" w:rsidR="00011AC7" w:rsidRPr="00FB1C75" w:rsidRDefault="00011AC7" w:rsidP="00446078">
      <w:r w:rsidRPr="000233EF">
        <w:t xml:space="preserve">Where </w:t>
      </w:r>
      <w:r>
        <w:t>a consumer</w:t>
      </w:r>
      <w:r w:rsidRPr="000233EF">
        <w:t xml:space="preserve"> makes a request for correction of their personal health record and the </w:t>
      </w:r>
      <w:r>
        <w:t>health provider</w:t>
      </w:r>
      <w:r w:rsidRPr="000233EF">
        <w:t xml:space="preserve"> determines that the correction should not be made, the</w:t>
      </w:r>
      <w:r>
        <w:t>y</w:t>
      </w:r>
      <w:r w:rsidRPr="000233EF">
        <w:t xml:space="preserve"> advise the </w:t>
      </w:r>
      <w:r>
        <w:t>consumer</w:t>
      </w:r>
      <w:r w:rsidRPr="000233EF">
        <w:t xml:space="preserve"> of</w:t>
      </w:r>
      <w:r>
        <w:t>:</w:t>
      </w:r>
    </w:p>
    <w:p w14:paraId="5D093212" w14:textId="77777777" w:rsidR="00011AC7" w:rsidRPr="000233EF" w:rsidRDefault="00011AC7" w:rsidP="00446078">
      <w:pPr>
        <w:pStyle w:val="Bullet"/>
      </w:pPr>
      <w:r>
        <w:t xml:space="preserve">its decision, </w:t>
      </w:r>
      <w:r w:rsidRPr="000233EF">
        <w:t>the reasons why the correction was not made, and any supporting grounds</w:t>
      </w:r>
      <w:r>
        <w:t xml:space="preserve"> for that refusal</w:t>
      </w:r>
      <w:r w:rsidRPr="0073441E">
        <w:rPr>
          <w:rStyle w:val="FootnoteReference"/>
        </w:rPr>
        <w:footnoteReference w:id="36"/>
      </w:r>
      <w:r>
        <w:t xml:space="preserve"> (law)</w:t>
      </w:r>
    </w:p>
    <w:p w14:paraId="44D2D699" w14:textId="77777777" w:rsidR="00011AC7" w:rsidRPr="00F77350" w:rsidRDefault="00011AC7" w:rsidP="00446078">
      <w:pPr>
        <w:pStyle w:val="Bullet"/>
      </w:pPr>
      <w:r w:rsidRPr="000233EF">
        <w:t xml:space="preserve">the </w:t>
      </w:r>
      <w:r>
        <w:t>consumer</w:t>
      </w:r>
      <w:r w:rsidR="00D56B08">
        <w:t>’</w:t>
      </w:r>
      <w:r w:rsidRPr="00F77350">
        <w:t xml:space="preserve">s right to have a statement of the correction sought but not made appended to the </w:t>
      </w:r>
      <w:r>
        <w:t>health</w:t>
      </w:r>
      <w:r w:rsidRPr="00F77350">
        <w:t xml:space="preserve"> record</w:t>
      </w:r>
      <w:r w:rsidRPr="0073441E">
        <w:rPr>
          <w:rStyle w:val="FootnoteReference"/>
        </w:rPr>
        <w:footnoteReference w:id="37"/>
      </w:r>
      <w:r>
        <w:t xml:space="preserve"> (law)</w:t>
      </w:r>
    </w:p>
    <w:p w14:paraId="677F814C" w14:textId="77777777" w:rsidR="00011AC7" w:rsidRPr="00FB1C75" w:rsidRDefault="00011AC7" w:rsidP="00446078">
      <w:pPr>
        <w:pStyle w:val="Bullet"/>
      </w:pPr>
      <w:proofErr w:type="gramStart"/>
      <w:r w:rsidRPr="00F77350">
        <w:t>the</w:t>
      </w:r>
      <w:proofErr w:type="gramEnd"/>
      <w:r w:rsidRPr="00F77350">
        <w:t xml:space="preserve"> </w:t>
      </w:r>
      <w:r>
        <w:t>consumer</w:t>
      </w:r>
      <w:r w:rsidR="00D56B08">
        <w:t>’</w:t>
      </w:r>
      <w:r w:rsidRPr="000233EF">
        <w:t>s right to complain to the Privacy Commissioner</w:t>
      </w:r>
      <w:r>
        <w:t xml:space="preserve"> and to seek an investigation and review of that decision</w:t>
      </w:r>
      <w:r w:rsidRPr="0073441E">
        <w:rPr>
          <w:rStyle w:val="FootnoteReference"/>
        </w:rPr>
        <w:footnoteReference w:id="38"/>
      </w:r>
      <w:r>
        <w:t xml:space="preserve"> (law)</w:t>
      </w:r>
      <w:r w:rsidRPr="000233EF">
        <w:t>.</w:t>
      </w:r>
    </w:p>
    <w:p w14:paraId="21903905" w14:textId="77777777" w:rsidR="00D56B08" w:rsidRDefault="00011AC7" w:rsidP="0073441E">
      <w:pPr>
        <w:pStyle w:val="Heading2"/>
      </w:pPr>
      <w:bookmarkStart w:id="138" w:name="trainingandeducation"/>
      <w:bookmarkStart w:id="139" w:name="_Toc476648175"/>
      <w:bookmarkStart w:id="140" w:name="_Toc489004270"/>
      <w:bookmarkStart w:id="141" w:name="_Toc491259729"/>
      <w:bookmarkEnd w:id="138"/>
      <w:r>
        <w:lastRenderedPageBreak/>
        <w:t>Training and education</w:t>
      </w:r>
      <w:bookmarkEnd w:id="139"/>
      <w:bookmarkEnd w:id="140"/>
      <w:bookmarkEnd w:id="141"/>
    </w:p>
    <w:p w14:paraId="34E84AAF" w14:textId="77777777" w:rsidR="00D56B08" w:rsidRDefault="00011AC7" w:rsidP="0073441E">
      <w:pPr>
        <w:keepNext/>
      </w:pPr>
      <w:r w:rsidRPr="00FA285B">
        <w:t xml:space="preserve">It is expected that all </w:t>
      </w:r>
      <w:r>
        <w:t>health provider</w:t>
      </w:r>
      <w:r w:rsidRPr="00FA285B">
        <w:t>s offer appropriate training in information management to their staff.</w:t>
      </w:r>
    </w:p>
    <w:p w14:paraId="4E85FB8F" w14:textId="77777777" w:rsidR="00011AC7" w:rsidRPr="00FA285B" w:rsidRDefault="00011AC7" w:rsidP="0073441E">
      <w:r w:rsidRPr="00FA285B">
        <w:t>The importance of sharing health information when appropriate</w:t>
      </w:r>
      <w:r>
        <w:t>,</w:t>
      </w:r>
      <w:r w:rsidRPr="00FA285B">
        <w:t xml:space="preserve"> and protecting the health information privacy of patients and consumers in all other circumstances, needs to be embedded in the culture of </w:t>
      </w:r>
      <w:r>
        <w:t>health provider</w:t>
      </w:r>
      <w:r w:rsidRPr="00FA285B">
        <w:t>s.</w:t>
      </w:r>
    </w:p>
    <w:p w14:paraId="05106A94" w14:textId="77777777" w:rsidR="00011AC7" w:rsidRPr="00FA285B" w:rsidRDefault="00011AC7" w:rsidP="0073441E">
      <w:r w:rsidRPr="00FA285B">
        <w:t xml:space="preserve">Training and education should be consistent across all </w:t>
      </w:r>
      <w:r>
        <w:t xml:space="preserve">occupations or </w:t>
      </w:r>
      <w:r w:rsidRPr="00FA285B">
        <w:t xml:space="preserve">professions. In addition, the use of multi-disciplinary and multi-agency training could help improve </w:t>
      </w:r>
      <w:r>
        <w:t>health provider</w:t>
      </w:r>
      <w:r w:rsidRPr="00FA285B">
        <w:t>s</w:t>
      </w:r>
      <w:r w:rsidR="00D56B08">
        <w:t>’</w:t>
      </w:r>
      <w:r w:rsidRPr="00FA285B">
        <w:t xml:space="preserve"> understanding of information management issues faced by their peers.</w:t>
      </w:r>
    </w:p>
    <w:p w14:paraId="61D56A22" w14:textId="77777777" w:rsidR="00011AC7" w:rsidRPr="00ED5BDC" w:rsidRDefault="00011AC7" w:rsidP="0073441E">
      <w:pPr>
        <w:pStyle w:val="Heading3"/>
      </w:pPr>
      <w:r w:rsidRPr="00ED5BDC">
        <w:t>Requirements</w:t>
      </w:r>
    </w:p>
    <w:p w14:paraId="5355874C" w14:textId="77777777" w:rsidR="00011AC7" w:rsidRDefault="00011AC7" w:rsidP="0073441E">
      <w:r>
        <w:t>Health providers must provide appropriate training and education to staff on privacy and the appropriate sharing of data (policy).</w:t>
      </w:r>
    </w:p>
    <w:p w14:paraId="13344C7F" w14:textId="77777777" w:rsidR="00011AC7" w:rsidRPr="007B34F2" w:rsidRDefault="00011AC7" w:rsidP="0073441E">
      <w:pPr>
        <w:pStyle w:val="Heading3"/>
      </w:pPr>
      <w:r w:rsidRPr="007B34F2">
        <w:t>Resource</w:t>
      </w:r>
    </w:p>
    <w:p w14:paraId="58676E77" w14:textId="77777777" w:rsidR="00011AC7" w:rsidRPr="0073441E" w:rsidRDefault="00011AC7" w:rsidP="0073441E">
      <w:r>
        <w:t xml:space="preserve">The Office of the Privacy Commissioner has prepared some e-learning privacy training modules. These can be found at </w:t>
      </w:r>
      <w:hyperlink r:id="rId25" w:history="1">
        <w:r w:rsidRPr="000A6DDE">
          <w:rPr>
            <w:rStyle w:val="Hyperlink"/>
          </w:rPr>
          <w:t>https://www.privacy.org.nz/further-resources/online-privacy-training-free/</w:t>
        </w:r>
      </w:hyperlink>
    </w:p>
    <w:p w14:paraId="1305AC44" w14:textId="77777777" w:rsidR="00011AC7" w:rsidRDefault="00011AC7" w:rsidP="0073441E">
      <w:pPr>
        <w:pStyle w:val="Heading2"/>
      </w:pPr>
      <w:bookmarkStart w:id="142" w:name="auditlogsandproximity"/>
      <w:bookmarkStart w:id="143" w:name="_Toc476648176"/>
      <w:bookmarkStart w:id="144" w:name="_Toc489004271"/>
      <w:bookmarkStart w:id="145" w:name="_Toc491259730"/>
      <w:bookmarkEnd w:id="142"/>
      <w:r>
        <w:t>Audit logs and proximity reports</w:t>
      </w:r>
      <w:r w:rsidRPr="0073441E">
        <w:rPr>
          <w:rStyle w:val="FootnoteReference"/>
        </w:rPr>
        <w:footnoteReference w:id="39"/>
      </w:r>
      <w:bookmarkEnd w:id="143"/>
      <w:bookmarkEnd w:id="144"/>
      <w:bookmarkEnd w:id="145"/>
    </w:p>
    <w:p w14:paraId="5BAE68CB" w14:textId="77777777" w:rsidR="00011AC7" w:rsidRDefault="00011AC7" w:rsidP="0073441E">
      <w:r w:rsidRPr="00D14AE8">
        <w:t>As the use of electronic systems to manage health</w:t>
      </w:r>
      <w:r>
        <w:t xml:space="preserve"> </w:t>
      </w:r>
      <w:r w:rsidRPr="00D14AE8">
        <w:t xml:space="preserve">care information becomes the norm, it is important </w:t>
      </w:r>
      <w:r>
        <w:t>transparency of access is</w:t>
      </w:r>
      <w:r w:rsidRPr="00D14AE8">
        <w:t xml:space="preserve"> in place to ensure the confidence of consumers in the health system.</w:t>
      </w:r>
      <w:r>
        <w:t xml:space="preserve"> </w:t>
      </w:r>
      <w:r w:rsidRPr="00D14AE8">
        <w:t xml:space="preserve">One way to </w:t>
      </w:r>
      <w:r>
        <w:t>do this is by logging accesses to a consumer</w:t>
      </w:r>
      <w:r w:rsidR="00D56B08">
        <w:t>’</w:t>
      </w:r>
      <w:r>
        <w:t>s health record and making the audit log</w:t>
      </w:r>
      <w:r w:rsidRPr="00D14AE8">
        <w:t xml:space="preserve"> </w:t>
      </w:r>
      <w:r>
        <w:t xml:space="preserve">access and proximity report available to </w:t>
      </w:r>
      <w:r w:rsidRPr="00D14AE8">
        <w:t>consumers.</w:t>
      </w:r>
    </w:p>
    <w:p w14:paraId="4CF72783" w14:textId="77777777" w:rsidR="00011AC7" w:rsidRDefault="00011AC7" w:rsidP="0073441E">
      <w:pPr>
        <w:pStyle w:val="Heading3"/>
      </w:pPr>
      <w:r w:rsidRPr="00ED5BDC">
        <w:t>Requirements</w:t>
      </w:r>
    </w:p>
    <w:p w14:paraId="40B3986B" w14:textId="03C24482" w:rsidR="00D56B08" w:rsidRDefault="00011AC7" w:rsidP="0073441E">
      <w:r w:rsidRPr="00FB1C75">
        <w:t>All point-of-care and shared care clinical information systems must maintain an audit log</w:t>
      </w:r>
      <w:r>
        <w:t xml:space="preserve"> </w:t>
      </w:r>
      <w:r w:rsidRPr="00FB1C75">
        <w:t xml:space="preserve">of all </w:t>
      </w:r>
      <w:r w:rsidR="0073441E">
        <w:t>e</w:t>
      </w:r>
      <w:r w:rsidRPr="00FB1C75">
        <w:t>nquiries, modifications, additions, or deletions to health records. The log must also maintain a record of all users who have logged into the system, and a record of all reports, data exchange interfaces and/or extracts performed through the software</w:t>
      </w:r>
      <w:r>
        <w:t xml:space="preserve"> (policy)</w:t>
      </w:r>
      <w:r w:rsidRPr="00FB1C75">
        <w:t>.</w:t>
      </w:r>
    </w:p>
    <w:p w14:paraId="44EB13D1" w14:textId="77777777" w:rsidR="00011AC7" w:rsidRPr="00FB1C75" w:rsidRDefault="00011AC7" w:rsidP="0073441E">
      <w:r w:rsidRPr="00FB1C75">
        <w:t>The audit record of each access or change must show:</w:t>
      </w:r>
    </w:p>
    <w:p w14:paraId="096415B1" w14:textId="77777777" w:rsidR="00011AC7" w:rsidRPr="00FB1C75" w:rsidRDefault="00011AC7" w:rsidP="0073441E">
      <w:pPr>
        <w:pStyle w:val="Bullet"/>
      </w:pPr>
      <w:r w:rsidRPr="00FB1C75">
        <w:t>the date and time of the access or change</w:t>
      </w:r>
    </w:p>
    <w:p w14:paraId="5FA0D5D4" w14:textId="77777777" w:rsidR="00011AC7" w:rsidRPr="00FB1C75" w:rsidRDefault="00011AC7" w:rsidP="0073441E">
      <w:pPr>
        <w:pStyle w:val="Bullet"/>
      </w:pPr>
      <w:r w:rsidRPr="00FB1C75">
        <w:t xml:space="preserve">the location, </w:t>
      </w:r>
      <w:r>
        <w:t>u</w:t>
      </w:r>
      <w:r w:rsidRPr="00FB1C75">
        <w:t xml:space="preserve">ser </w:t>
      </w:r>
      <w:r>
        <w:t>i</w:t>
      </w:r>
      <w:r w:rsidRPr="00FB1C75">
        <w:t xml:space="preserve">dentifier and </w:t>
      </w:r>
      <w:r>
        <w:t>r</w:t>
      </w:r>
      <w:r w:rsidRPr="00FB1C75">
        <w:t>ole of the person accessing or changing the data</w:t>
      </w:r>
    </w:p>
    <w:p w14:paraId="38381E80" w14:textId="77777777" w:rsidR="00011AC7" w:rsidRPr="00FB1C75" w:rsidRDefault="00011AC7" w:rsidP="0073441E">
      <w:pPr>
        <w:pStyle w:val="Bullet"/>
      </w:pPr>
      <w:r w:rsidRPr="00FB1C75">
        <w:t>the function being performed (screen name, menu selection or process within the application)</w:t>
      </w:r>
    </w:p>
    <w:p w14:paraId="5BF6F156" w14:textId="54054C20" w:rsidR="00D56B08" w:rsidRDefault="00011AC7" w:rsidP="0073441E">
      <w:pPr>
        <w:pStyle w:val="Bullet"/>
      </w:pPr>
      <w:proofErr w:type="gramStart"/>
      <w:r w:rsidRPr="00FB1C75">
        <w:t>any</w:t>
      </w:r>
      <w:proofErr w:type="gramEnd"/>
      <w:r w:rsidRPr="00FB1C75">
        <w:t xml:space="preserve"> additional information on the reason for access, such as, </w:t>
      </w:r>
      <w:r w:rsidR="0073441E">
        <w:t>‘</w:t>
      </w:r>
      <w:r w:rsidRPr="00FB1C75">
        <w:t>break glass</w:t>
      </w:r>
      <w:r w:rsidR="0073441E">
        <w:t>’,</w:t>
      </w:r>
      <w:r w:rsidRPr="0073441E">
        <w:rPr>
          <w:rStyle w:val="FootnoteReference"/>
        </w:rPr>
        <w:footnoteReference w:id="40"/>
      </w:r>
      <w:r w:rsidRPr="00FB1C75">
        <w:t xml:space="preserve"> informed consent</w:t>
      </w:r>
      <w:r w:rsidR="0073441E">
        <w:t>,</w:t>
      </w:r>
      <w:r w:rsidRPr="00FB1C75">
        <w:t xml:space="preserve"> etc</w:t>
      </w:r>
      <w:r>
        <w:t xml:space="preserve"> (policy)</w:t>
      </w:r>
      <w:r w:rsidRPr="00FB1C75">
        <w:t>.</w:t>
      </w:r>
    </w:p>
    <w:p w14:paraId="2B954C1B" w14:textId="77777777" w:rsidR="00D56B08" w:rsidRDefault="00011AC7" w:rsidP="0073441E">
      <w:r w:rsidRPr="00FB1C75">
        <w:t>The audit log</w:t>
      </w:r>
      <w:r>
        <w:t xml:space="preserve"> </w:t>
      </w:r>
      <w:r w:rsidRPr="00FB1C75">
        <w:t>shall be kept for a minimum of two years</w:t>
      </w:r>
      <w:r>
        <w:t xml:space="preserve"> (policy)</w:t>
      </w:r>
      <w:r w:rsidRPr="00FB1C75">
        <w:t>.</w:t>
      </w:r>
    </w:p>
    <w:p w14:paraId="199575D0" w14:textId="77777777" w:rsidR="00011AC7" w:rsidRPr="004C2A3D" w:rsidRDefault="00011AC7" w:rsidP="0073441E">
      <w:r>
        <w:lastRenderedPageBreak/>
        <w:t>Health provider</w:t>
      </w:r>
      <w:r w:rsidRPr="004C2A3D">
        <w:t>s shall review the audit log</w:t>
      </w:r>
      <w:r>
        <w:t xml:space="preserve"> at least monthly,</w:t>
      </w:r>
      <w:r w:rsidRPr="004C2A3D">
        <w:t xml:space="preserve"> and shall investigate all </w:t>
      </w:r>
      <w:r>
        <w:t>apparent outliers and break glass accesses.</w:t>
      </w:r>
    </w:p>
    <w:p w14:paraId="15D5636A" w14:textId="77777777" w:rsidR="00D56B08" w:rsidRDefault="00011AC7" w:rsidP="0073441E">
      <w:pPr>
        <w:rPr>
          <w:szCs w:val="22"/>
        </w:rPr>
      </w:pPr>
      <w:r>
        <w:t>Health providers must be able to provide consumers with either a paper or</w:t>
      </w:r>
      <w:r w:rsidRPr="00FB1C75">
        <w:t xml:space="preserve"> electronic copy of the audit log</w:t>
      </w:r>
      <w:r>
        <w:t xml:space="preserve"> </w:t>
      </w:r>
      <w:r w:rsidRPr="00FB1C75">
        <w:t>if request</w:t>
      </w:r>
      <w:r>
        <w:t>ed (policy)</w:t>
      </w:r>
      <w:r w:rsidRPr="00FB1C75">
        <w:t>.</w:t>
      </w:r>
    </w:p>
    <w:p w14:paraId="36538B7C" w14:textId="77777777" w:rsidR="00011AC7" w:rsidRPr="00827B01" w:rsidRDefault="00011AC7" w:rsidP="0073441E">
      <w:pPr>
        <w:pStyle w:val="Heading2"/>
      </w:pPr>
      <w:bookmarkStart w:id="146" w:name="patientportals"/>
      <w:bookmarkStart w:id="147" w:name="_Toc476648177"/>
      <w:bookmarkStart w:id="148" w:name="_Toc489004272"/>
      <w:bookmarkStart w:id="149" w:name="_Toc491259731"/>
      <w:bookmarkEnd w:id="146"/>
      <w:r>
        <w:t>Patient p</w:t>
      </w:r>
      <w:r w:rsidRPr="00827B01">
        <w:t>ortals</w:t>
      </w:r>
      <w:bookmarkEnd w:id="147"/>
      <w:bookmarkEnd w:id="148"/>
      <w:bookmarkEnd w:id="149"/>
    </w:p>
    <w:p w14:paraId="3E1AF3CE" w14:textId="77777777" w:rsidR="00D56B08" w:rsidRDefault="00011AC7" w:rsidP="006D55DF">
      <w:r w:rsidRPr="00FB2D1C">
        <w:t>Patient portals enable consumers to access their own health information and this empowers them to take more ownership of their health care.</w:t>
      </w:r>
    </w:p>
    <w:p w14:paraId="2B0804EC" w14:textId="77777777" w:rsidR="00011AC7" w:rsidRPr="00FB2D1C" w:rsidRDefault="00011AC7" w:rsidP="006D55DF">
      <w:r>
        <w:t>T</w:t>
      </w:r>
      <w:r w:rsidRPr="00FB2D1C">
        <w:t>he potential benefits of a patient portal include:</w:t>
      </w:r>
    </w:p>
    <w:p w14:paraId="6DB19877" w14:textId="77777777" w:rsidR="00011AC7" w:rsidRPr="00B873E0" w:rsidRDefault="00011AC7" w:rsidP="006D55DF">
      <w:pPr>
        <w:pStyle w:val="Bullet"/>
      </w:pPr>
      <w:r w:rsidRPr="00B873E0">
        <w:t xml:space="preserve">patients can self-manage aspects of their health care such as booking appointments and ordering repeat medications </w:t>
      </w:r>
      <w:r>
        <w:t>online</w:t>
      </w:r>
    </w:p>
    <w:p w14:paraId="5132F90D" w14:textId="77777777" w:rsidR="00D56B08" w:rsidRDefault="00011AC7" w:rsidP="006D55DF">
      <w:pPr>
        <w:pStyle w:val="Bullet"/>
      </w:pPr>
      <w:r w:rsidRPr="00B873E0">
        <w:t>patients are better informed and can have more input into their treatment</w:t>
      </w:r>
    </w:p>
    <w:p w14:paraId="2B895040" w14:textId="77777777" w:rsidR="00011AC7" w:rsidRPr="00B873E0" w:rsidRDefault="00011AC7" w:rsidP="006D55DF">
      <w:pPr>
        <w:pStyle w:val="Bullet"/>
      </w:pPr>
      <w:r w:rsidRPr="00B873E0">
        <w:t xml:space="preserve">patients </w:t>
      </w:r>
      <w:r>
        <w:t xml:space="preserve">records </w:t>
      </w:r>
      <w:r w:rsidRPr="00B873E0">
        <w:t>will be accurate and up to date</w:t>
      </w:r>
    </w:p>
    <w:p w14:paraId="4DD869A3" w14:textId="77777777" w:rsidR="00011AC7" w:rsidRPr="00B873E0" w:rsidRDefault="00011AC7" w:rsidP="006D55DF">
      <w:pPr>
        <w:pStyle w:val="Bullet"/>
      </w:pPr>
      <w:r w:rsidRPr="00B873E0">
        <w:t xml:space="preserve">patients can </w:t>
      </w:r>
      <w:r>
        <w:t xml:space="preserve">engage with clinicians </w:t>
      </w:r>
      <w:r w:rsidRPr="00B873E0">
        <w:t xml:space="preserve">cord </w:t>
      </w:r>
      <w:r>
        <w:t>clinical in</w:t>
      </w:r>
      <w:r w:rsidRPr="00B873E0">
        <w:t>formation on the portal leading to better management of chronic conditions</w:t>
      </w:r>
    </w:p>
    <w:p w14:paraId="02596983" w14:textId="77777777" w:rsidR="00D56B08" w:rsidRDefault="00011AC7" w:rsidP="006D55DF">
      <w:pPr>
        <w:pStyle w:val="Bullet"/>
      </w:pPr>
      <w:r w:rsidRPr="00B873E0">
        <w:t>better use of consumers</w:t>
      </w:r>
      <w:r w:rsidR="00D56B08">
        <w:t>’</w:t>
      </w:r>
      <w:r w:rsidRPr="00B873E0">
        <w:t xml:space="preserve"> and health providers</w:t>
      </w:r>
      <w:r w:rsidR="00D56B08">
        <w:t>’</w:t>
      </w:r>
      <w:r w:rsidRPr="00B873E0">
        <w:t xml:space="preserve"> time</w:t>
      </w:r>
    </w:p>
    <w:p w14:paraId="3B316B28" w14:textId="77777777" w:rsidR="00011AC7" w:rsidRPr="00B873E0" w:rsidRDefault="00011AC7" w:rsidP="006D55DF">
      <w:pPr>
        <w:pStyle w:val="Bullet"/>
      </w:pPr>
      <w:proofErr w:type="gramStart"/>
      <w:r w:rsidRPr="00B873E0">
        <w:t>patients</w:t>
      </w:r>
      <w:proofErr w:type="gramEnd"/>
      <w:r w:rsidRPr="00B873E0">
        <w:t xml:space="preserve"> will be more aware if requested tests or results are not carried out or followed up, and are able to raise this with clinicians</w:t>
      </w:r>
      <w:r w:rsidR="006D55DF">
        <w:t>.</w:t>
      </w:r>
    </w:p>
    <w:p w14:paraId="71E8A995" w14:textId="77777777" w:rsidR="00011AC7" w:rsidRDefault="00011AC7" w:rsidP="006D55DF">
      <w:pPr>
        <w:pStyle w:val="Heading3"/>
      </w:pPr>
      <w:r w:rsidRPr="00697738">
        <w:t>Requirements</w:t>
      </w:r>
    </w:p>
    <w:p w14:paraId="05BEB7FD" w14:textId="77777777" w:rsidR="00011AC7" w:rsidRDefault="00011AC7" w:rsidP="006D55DF">
      <w:r>
        <w:t>A patient portal should:</w:t>
      </w:r>
    </w:p>
    <w:p w14:paraId="00A505F5" w14:textId="77777777" w:rsidR="00011AC7" w:rsidRPr="00FB2D1C" w:rsidRDefault="00011AC7" w:rsidP="006D55DF">
      <w:pPr>
        <w:pStyle w:val="Bullet"/>
      </w:pPr>
      <w:r w:rsidRPr="00FB2D1C">
        <w:t xml:space="preserve">meet the HISO 10029 Health Information Security Framework standard: </w:t>
      </w:r>
      <w:hyperlink r:id="rId26" w:history="1">
        <w:r w:rsidRPr="00FB2D1C">
          <w:t>http://healthitboard.health.govt.nz/system/files/documents/publications/hisf_update_dec_2015.pdf</w:t>
        </w:r>
      </w:hyperlink>
    </w:p>
    <w:p w14:paraId="55E23F73" w14:textId="77777777" w:rsidR="00011AC7" w:rsidRPr="00697738" w:rsidRDefault="00011AC7" w:rsidP="006D55DF">
      <w:pPr>
        <w:pStyle w:val="Bullet"/>
      </w:pPr>
      <w:proofErr w:type="gramStart"/>
      <w:r w:rsidRPr="00697738">
        <w:t>be</w:t>
      </w:r>
      <w:proofErr w:type="gramEnd"/>
      <w:r w:rsidRPr="00697738">
        <w:t xml:space="preserve"> available to all of the health provider</w:t>
      </w:r>
      <w:r w:rsidR="00D56B08">
        <w:t>’</w:t>
      </w:r>
      <w:r w:rsidRPr="00697738">
        <w:t>s eligible registered patients (policy).</w:t>
      </w:r>
    </w:p>
    <w:p w14:paraId="63A90880" w14:textId="77777777" w:rsidR="00011AC7" w:rsidRPr="00697738" w:rsidRDefault="00011AC7" w:rsidP="006D55DF">
      <w:r w:rsidRPr="00697738">
        <w:t xml:space="preserve">Any patient portal </w:t>
      </w:r>
      <w:r>
        <w:t>should</w:t>
      </w:r>
      <w:r w:rsidRPr="00697738">
        <w:t xml:space="preserve"> also have the capability to allow patients to:</w:t>
      </w:r>
    </w:p>
    <w:p w14:paraId="66B8071D" w14:textId="77777777" w:rsidR="00011AC7" w:rsidRDefault="00011AC7" w:rsidP="006D55DF">
      <w:pPr>
        <w:pStyle w:val="Bullet"/>
      </w:pPr>
      <w:r>
        <w:t>have a single sign on to access all functions</w:t>
      </w:r>
    </w:p>
    <w:p w14:paraId="3CF5E3F6" w14:textId="77777777" w:rsidR="00011AC7" w:rsidRDefault="00011AC7" w:rsidP="006D55DF">
      <w:pPr>
        <w:pStyle w:val="Bullet"/>
      </w:pPr>
      <w:r>
        <w:t>view their medical records from their general practice</w:t>
      </w:r>
    </w:p>
    <w:p w14:paraId="40373AF2" w14:textId="6A463CF7" w:rsidR="00011AC7" w:rsidRDefault="00011AC7" w:rsidP="006D55DF">
      <w:pPr>
        <w:pStyle w:val="Bullet"/>
      </w:pPr>
      <w:r>
        <w:t>send and receive secure messages</w:t>
      </w:r>
    </w:p>
    <w:p w14:paraId="21DD22F1" w14:textId="239DCBAA" w:rsidR="00D56B08" w:rsidRDefault="00011AC7" w:rsidP="006D55DF">
      <w:pPr>
        <w:pStyle w:val="Bullet"/>
      </w:pPr>
      <w:r>
        <w:t>access a number of online services such as:</w:t>
      </w:r>
    </w:p>
    <w:p w14:paraId="3B9246E7" w14:textId="77777777" w:rsidR="00011AC7" w:rsidRDefault="00011AC7" w:rsidP="006D55DF">
      <w:pPr>
        <w:pStyle w:val="Dash"/>
      </w:pPr>
      <w:r>
        <w:t>requesting repeat prescriptions</w:t>
      </w:r>
    </w:p>
    <w:p w14:paraId="75B6CD1A" w14:textId="77777777" w:rsidR="00D56B08" w:rsidRDefault="00011AC7" w:rsidP="006D55DF">
      <w:pPr>
        <w:pStyle w:val="Dash"/>
      </w:pPr>
      <w:r>
        <w:t>booking online appointments</w:t>
      </w:r>
    </w:p>
    <w:p w14:paraId="00E75FB3" w14:textId="77777777" w:rsidR="00011AC7" w:rsidRDefault="00011AC7" w:rsidP="006D55DF">
      <w:pPr>
        <w:pStyle w:val="Dash"/>
      </w:pPr>
      <w:r>
        <w:t>receiving recall reminders</w:t>
      </w:r>
    </w:p>
    <w:p w14:paraId="474F163E" w14:textId="77777777" w:rsidR="00011AC7" w:rsidRDefault="00011AC7" w:rsidP="006D55DF">
      <w:pPr>
        <w:pStyle w:val="Dash"/>
      </w:pPr>
      <w:r>
        <w:t>viewing lab results</w:t>
      </w:r>
    </w:p>
    <w:p w14:paraId="4015158D" w14:textId="77777777" w:rsidR="00011AC7" w:rsidRDefault="00011AC7" w:rsidP="006D55DF">
      <w:pPr>
        <w:pStyle w:val="Dash"/>
      </w:pPr>
      <w:r>
        <w:t>managing health goals, setting up tasks and tracking results</w:t>
      </w:r>
    </w:p>
    <w:p w14:paraId="03E89D0A" w14:textId="77777777" w:rsidR="00011AC7" w:rsidRDefault="00011AC7" w:rsidP="006D55DF">
      <w:pPr>
        <w:pStyle w:val="Dash"/>
      </w:pPr>
      <w:r>
        <w:t>viewing the audit log of all accesses</w:t>
      </w:r>
    </w:p>
    <w:p w14:paraId="0DDD41CE" w14:textId="77777777" w:rsidR="00D56B08" w:rsidRDefault="00011AC7" w:rsidP="006D55DF">
      <w:pPr>
        <w:pStyle w:val="Dash"/>
      </w:pPr>
      <w:proofErr w:type="gramStart"/>
      <w:r>
        <w:t>allowing</w:t>
      </w:r>
      <w:proofErr w:type="gramEnd"/>
      <w:r>
        <w:t xml:space="preserve"> patients to create accesses by delegates to their notes should they choose (policy).</w:t>
      </w:r>
    </w:p>
    <w:p w14:paraId="7C324603" w14:textId="77777777" w:rsidR="00D56B08" w:rsidRDefault="00011AC7" w:rsidP="006D55DF">
      <w:r>
        <w:t>The health provider shall provide education and training to its staff on use of the patient portal system (policy).</w:t>
      </w:r>
    </w:p>
    <w:p w14:paraId="2FB4DA8D" w14:textId="458A828A" w:rsidR="00D56B08" w:rsidRDefault="00011AC7" w:rsidP="006D55DF">
      <w:r>
        <w:lastRenderedPageBreak/>
        <w:t>The health provider shall have a policy on staff access to patient portals which is compliant with the Privacy Act 1993 and Health Information Privacy Code 1994</w:t>
      </w:r>
      <w:r w:rsidR="00567054">
        <w:t xml:space="preserve"> </w:t>
      </w:r>
      <w:r>
        <w:t>(policy).</w:t>
      </w:r>
    </w:p>
    <w:p w14:paraId="483117A2" w14:textId="77777777" w:rsidR="00011AC7" w:rsidRDefault="00011AC7" w:rsidP="006D55DF">
      <w:r w:rsidRPr="00921650">
        <w:t>Health providers should ensure the consumer is aware of any sensitive reports or results before this information is placed in their patient port</w:t>
      </w:r>
      <w:r w:rsidRPr="00AA5B7F">
        <w:t>al (policy).</w:t>
      </w:r>
      <w:bookmarkStart w:id="150" w:name="_Toc437930907"/>
      <w:bookmarkStart w:id="151" w:name="_Toc437932952"/>
      <w:bookmarkStart w:id="152" w:name="_Toc442872699"/>
      <w:bookmarkStart w:id="153" w:name="_Toc442872867"/>
      <w:bookmarkStart w:id="154" w:name="_Toc437930908"/>
      <w:bookmarkStart w:id="155" w:name="_Toc437932953"/>
      <w:bookmarkStart w:id="156" w:name="_Toc442872700"/>
      <w:bookmarkStart w:id="157" w:name="_Toc442872868"/>
      <w:bookmarkStart w:id="158" w:name="_Toc437930909"/>
      <w:bookmarkStart w:id="159" w:name="_Toc437932954"/>
      <w:bookmarkStart w:id="160" w:name="_Toc442872701"/>
      <w:bookmarkStart w:id="161" w:name="_Toc442872869"/>
      <w:bookmarkStart w:id="162" w:name="_Toc437930910"/>
      <w:bookmarkStart w:id="163" w:name="_Toc437932955"/>
      <w:bookmarkStart w:id="164" w:name="_Toc442872702"/>
      <w:bookmarkStart w:id="165" w:name="_Toc442872870"/>
      <w:bookmarkStart w:id="166" w:name="_Toc437930911"/>
      <w:bookmarkStart w:id="167" w:name="_Toc437932956"/>
      <w:bookmarkStart w:id="168" w:name="_Toc442872703"/>
      <w:bookmarkStart w:id="169" w:name="_Toc442872871"/>
      <w:bookmarkStart w:id="170" w:name="_Toc437930912"/>
      <w:bookmarkStart w:id="171" w:name="_Toc437932957"/>
      <w:bookmarkStart w:id="172" w:name="_Toc442872704"/>
      <w:bookmarkStart w:id="173" w:name="_Toc442872872"/>
      <w:bookmarkStart w:id="174" w:name="_Toc437930913"/>
      <w:bookmarkStart w:id="175" w:name="_Toc437932958"/>
      <w:bookmarkStart w:id="176" w:name="_Toc442872705"/>
      <w:bookmarkStart w:id="177" w:name="_Toc442872873"/>
      <w:bookmarkStart w:id="178" w:name="_Toc437930914"/>
      <w:bookmarkStart w:id="179" w:name="_Toc437932959"/>
      <w:bookmarkStart w:id="180" w:name="_Toc442872706"/>
      <w:bookmarkStart w:id="181" w:name="_Toc442872874"/>
      <w:bookmarkStart w:id="182" w:name="_Toc437930915"/>
      <w:bookmarkStart w:id="183" w:name="_Toc437932960"/>
      <w:bookmarkStart w:id="184" w:name="_Toc442872707"/>
      <w:bookmarkStart w:id="185" w:name="_Toc442872875"/>
      <w:bookmarkStart w:id="186" w:name="_Toc437930916"/>
      <w:bookmarkStart w:id="187" w:name="_Toc437932961"/>
      <w:bookmarkStart w:id="188" w:name="_Toc442872708"/>
      <w:bookmarkStart w:id="189" w:name="_Toc442872876"/>
      <w:bookmarkStart w:id="190" w:name="_Toc437930917"/>
      <w:bookmarkStart w:id="191" w:name="_Toc437932962"/>
      <w:bookmarkStart w:id="192" w:name="_Toc442872709"/>
      <w:bookmarkStart w:id="193" w:name="_Toc442872877"/>
      <w:bookmarkStart w:id="194" w:name="_Toc437930918"/>
      <w:bookmarkStart w:id="195" w:name="_Toc437932963"/>
      <w:bookmarkStart w:id="196" w:name="_Toc442872710"/>
      <w:bookmarkStart w:id="197" w:name="_Toc442872878"/>
      <w:bookmarkStart w:id="198" w:name="_Toc437930919"/>
      <w:bookmarkStart w:id="199" w:name="_Toc437932964"/>
      <w:bookmarkStart w:id="200" w:name="_Toc442872711"/>
      <w:bookmarkStart w:id="201" w:name="_Toc442872879"/>
      <w:bookmarkStart w:id="202" w:name="_Toc437930920"/>
      <w:bookmarkStart w:id="203" w:name="_Toc437932965"/>
      <w:bookmarkStart w:id="204" w:name="_Toc442872712"/>
      <w:bookmarkStart w:id="205" w:name="_Toc442872880"/>
      <w:bookmarkStart w:id="206" w:name="_Toc437930921"/>
      <w:bookmarkStart w:id="207" w:name="_Toc437932966"/>
      <w:bookmarkStart w:id="208" w:name="_Toc442872713"/>
      <w:bookmarkStart w:id="209" w:name="_Toc442872881"/>
      <w:bookmarkStart w:id="210" w:name="_Toc437930922"/>
      <w:bookmarkStart w:id="211" w:name="_Toc437932967"/>
      <w:bookmarkStart w:id="212" w:name="_Toc442872714"/>
      <w:bookmarkStart w:id="213" w:name="_Toc442872882"/>
      <w:bookmarkStart w:id="214" w:name="_Toc437930923"/>
      <w:bookmarkStart w:id="215" w:name="_Toc437932968"/>
      <w:bookmarkStart w:id="216" w:name="_Toc442872715"/>
      <w:bookmarkStart w:id="217" w:name="_Toc442872883"/>
      <w:bookmarkStart w:id="218" w:name="_Toc437930924"/>
      <w:bookmarkStart w:id="219" w:name="_Toc437932969"/>
      <w:bookmarkStart w:id="220" w:name="_Toc442872716"/>
      <w:bookmarkStart w:id="221" w:name="_Toc442872884"/>
      <w:bookmarkStart w:id="222" w:name="_Toc437930925"/>
      <w:bookmarkStart w:id="223" w:name="_Toc437932970"/>
      <w:bookmarkStart w:id="224" w:name="_Toc442872717"/>
      <w:bookmarkStart w:id="225" w:name="_Toc442872885"/>
      <w:bookmarkStart w:id="226" w:name="_Toc437930926"/>
      <w:bookmarkStart w:id="227" w:name="_Toc437932971"/>
      <w:bookmarkStart w:id="228" w:name="_Toc442872718"/>
      <w:bookmarkStart w:id="229" w:name="_Toc442872886"/>
      <w:bookmarkStart w:id="230" w:name="_Toc437930927"/>
      <w:bookmarkStart w:id="231" w:name="_Toc437932972"/>
      <w:bookmarkStart w:id="232" w:name="_Toc442872719"/>
      <w:bookmarkStart w:id="233" w:name="_Toc442872887"/>
      <w:bookmarkStart w:id="234" w:name="_Toc437930928"/>
      <w:bookmarkStart w:id="235" w:name="_Toc437932973"/>
      <w:bookmarkStart w:id="236" w:name="_Toc442872720"/>
      <w:bookmarkStart w:id="237" w:name="_Toc442872888"/>
      <w:bookmarkStart w:id="238" w:name="_Toc437930929"/>
      <w:bookmarkStart w:id="239" w:name="_Toc437932974"/>
      <w:bookmarkStart w:id="240" w:name="_Toc442872721"/>
      <w:bookmarkStart w:id="241" w:name="_Toc442872889"/>
      <w:bookmarkStart w:id="242" w:name="_Toc437930930"/>
      <w:bookmarkStart w:id="243" w:name="_Toc437932975"/>
      <w:bookmarkStart w:id="244" w:name="_Toc442872722"/>
      <w:bookmarkStart w:id="245" w:name="_Toc442872890"/>
      <w:bookmarkStart w:id="246" w:name="_Toc437930931"/>
      <w:bookmarkStart w:id="247" w:name="_Toc437932976"/>
      <w:bookmarkStart w:id="248" w:name="_Toc442872723"/>
      <w:bookmarkStart w:id="249" w:name="_Toc442872891"/>
      <w:bookmarkStart w:id="250" w:name="_Toc437930932"/>
      <w:bookmarkStart w:id="251" w:name="_Toc437932977"/>
      <w:bookmarkStart w:id="252" w:name="_Toc442872724"/>
      <w:bookmarkStart w:id="253" w:name="_Toc442872892"/>
      <w:bookmarkStart w:id="254" w:name="_Toc437930933"/>
      <w:bookmarkStart w:id="255" w:name="_Toc437932978"/>
      <w:bookmarkStart w:id="256" w:name="_Toc442872725"/>
      <w:bookmarkStart w:id="257" w:name="_Toc442872893"/>
      <w:bookmarkStart w:id="258" w:name="_Toc437930934"/>
      <w:bookmarkStart w:id="259" w:name="_Toc437932979"/>
      <w:bookmarkStart w:id="260" w:name="_Toc442872726"/>
      <w:bookmarkStart w:id="261" w:name="_Toc442872894"/>
      <w:bookmarkStart w:id="262" w:name="_Toc437930935"/>
      <w:bookmarkStart w:id="263" w:name="_Toc437932980"/>
      <w:bookmarkStart w:id="264" w:name="_Toc442872727"/>
      <w:bookmarkStart w:id="265" w:name="_Toc442872895"/>
      <w:bookmarkStart w:id="266" w:name="_Toc437930936"/>
      <w:bookmarkStart w:id="267" w:name="_Toc437932981"/>
      <w:bookmarkStart w:id="268" w:name="_Toc442872728"/>
      <w:bookmarkStart w:id="269" w:name="_Toc442872896"/>
      <w:bookmarkStart w:id="270" w:name="_Toc437930937"/>
      <w:bookmarkStart w:id="271" w:name="_Toc437932982"/>
      <w:bookmarkStart w:id="272" w:name="_Toc442872729"/>
      <w:bookmarkStart w:id="273" w:name="_Toc442872897"/>
      <w:bookmarkStart w:id="274" w:name="_Toc437930938"/>
      <w:bookmarkStart w:id="275" w:name="_Toc437932983"/>
      <w:bookmarkStart w:id="276" w:name="_Toc442872730"/>
      <w:bookmarkStart w:id="277" w:name="_Toc442872898"/>
      <w:bookmarkStart w:id="278" w:name="_Toc437930939"/>
      <w:bookmarkStart w:id="279" w:name="_Toc437932984"/>
      <w:bookmarkStart w:id="280" w:name="_Toc442872731"/>
      <w:bookmarkStart w:id="281" w:name="_Toc442872899"/>
      <w:bookmarkStart w:id="282" w:name="_Toc437930940"/>
      <w:bookmarkStart w:id="283" w:name="_Toc437932985"/>
      <w:bookmarkStart w:id="284" w:name="_Toc442872732"/>
      <w:bookmarkStart w:id="285" w:name="_Toc442872900"/>
      <w:bookmarkStart w:id="286" w:name="_Toc437930941"/>
      <w:bookmarkStart w:id="287" w:name="_Toc437932986"/>
      <w:bookmarkStart w:id="288" w:name="_Toc442872733"/>
      <w:bookmarkStart w:id="289" w:name="_Toc442872901"/>
      <w:bookmarkStart w:id="290" w:name="_Toc437930942"/>
      <w:bookmarkStart w:id="291" w:name="_Toc437932987"/>
      <w:bookmarkStart w:id="292" w:name="_Toc442872734"/>
      <w:bookmarkStart w:id="293" w:name="_Toc442872902"/>
      <w:bookmarkStart w:id="294" w:name="_Toc437930943"/>
      <w:bookmarkStart w:id="295" w:name="_Toc437932988"/>
      <w:bookmarkStart w:id="296" w:name="_Toc442872735"/>
      <w:bookmarkStart w:id="297" w:name="_Toc442872903"/>
      <w:bookmarkStart w:id="298" w:name="_Toc437930944"/>
      <w:bookmarkStart w:id="299" w:name="_Toc437932989"/>
      <w:bookmarkStart w:id="300" w:name="_Toc442872736"/>
      <w:bookmarkStart w:id="301" w:name="_Toc442872904"/>
      <w:bookmarkStart w:id="302" w:name="_Toc437930945"/>
      <w:bookmarkStart w:id="303" w:name="_Toc437932990"/>
      <w:bookmarkStart w:id="304" w:name="_Toc442872737"/>
      <w:bookmarkStart w:id="305" w:name="_Toc442872905"/>
      <w:bookmarkStart w:id="306" w:name="_Toc437930946"/>
      <w:bookmarkStart w:id="307" w:name="_Toc437932991"/>
      <w:bookmarkStart w:id="308" w:name="_Toc442872738"/>
      <w:bookmarkStart w:id="309" w:name="_Toc442872906"/>
      <w:bookmarkStart w:id="310" w:name="_Toc437930947"/>
      <w:bookmarkStart w:id="311" w:name="_Toc437932992"/>
      <w:bookmarkStart w:id="312" w:name="_Toc442872739"/>
      <w:bookmarkStart w:id="313" w:name="_Toc442872907"/>
      <w:bookmarkStart w:id="314" w:name="_Toc437930948"/>
      <w:bookmarkStart w:id="315" w:name="_Toc437932993"/>
      <w:bookmarkStart w:id="316" w:name="_Toc442872740"/>
      <w:bookmarkStart w:id="317" w:name="_Toc442872908"/>
      <w:bookmarkStart w:id="318" w:name="_Toc437930949"/>
      <w:bookmarkStart w:id="319" w:name="_Toc437932994"/>
      <w:bookmarkStart w:id="320" w:name="_Toc442872741"/>
      <w:bookmarkStart w:id="321" w:name="_Toc442872909"/>
      <w:bookmarkStart w:id="322" w:name="_Toc437930950"/>
      <w:bookmarkStart w:id="323" w:name="_Toc437932995"/>
      <w:bookmarkStart w:id="324" w:name="_Toc442872742"/>
      <w:bookmarkStart w:id="325" w:name="_Toc442872910"/>
      <w:bookmarkStart w:id="326" w:name="_Toc437930951"/>
      <w:bookmarkStart w:id="327" w:name="_Toc437932996"/>
      <w:bookmarkStart w:id="328" w:name="_Toc442872743"/>
      <w:bookmarkStart w:id="329" w:name="_Toc442872911"/>
      <w:bookmarkStart w:id="330" w:name="_Toc437930952"/>
      <w:bookmarkStart w:id="331" w:name="_Toc437932997"/>
      <w:bookmarkStart w:id="332" w:name="_Toc442872744"/>
      <w:bookmarkStart w:id="333" w:name="_Toc442872912"/>
      <w:bookmarkStart w:id="334" w:name="_Toc437930953"/>
      <w:bookmarkStart w:id="335" w:name="_Toc437932998"/>
      <w:bookmarkStart w:id="336" w:name="_Toc442872745"/>
      <w:bookmarkStart w:id="337" w:name="_Toc442872913"/>
      <w:bookmarkStart w:id="338" w:name="_Toc437930954"/>
      <w:bookmarkStart w:id="339" w:name="_Toc437932999"/>
      <w:bookmarkStart w:id="340" w:name="_Toc442872746"/>
      <w:bookmarkStart w:id="341" w:name="_Toc442872914"/>
      <w:bookmarkStart w:id="342" w:name="_Toc437930955"/>
      <w:bookmarkStart w:id="343" w:name="_Toc437933000"/>
      <w:bookmarkStart w:id="344" w:name="_Toc442872747"/>
      <w:bookmarkStart w:id="345" w:name="_Toc442872915"/>
      <w:bookmarkStart w:id="346" w:name="_Toc437930956"/>
      <w:bookmarkStart w:id="347" w:name="_Toc437933001"/>
      <w:bookmarkStart w:id="348" w:name="_Toc442872748"/>
      <w:bookmarkStart w:id="349" w:name="_Toc442872916"/>
      <w:bookmarkStart w:id="350" w:name="_Toc437930957"/>
      <w:bookmarkStart w:id="351" w:name="_Toc437933002"/>
      <w:bookmarkStart w:id="352" w:name="_Toc442872749"/>
      <w:bookmarkStart w:id="353" w:name="_Toc442872917"/>
      <w:bookmarkStart w:id="354" w:name="_Toc437930958"/>
      <w:bookmarkStart w:id="355" w:name="_Toc437933003"/>
      <w:bookmarkStart w:id="356" w:name="_Toc442872750"/>
      <w:bookmarkStart w:id="357" w:name="_Toc442872918"/>
      <w:bookmarkStart w:id="358" w:name="_Toc437930959"/>
      <w:bookmarkStart w:id="359" w:name="_Toc437933004"/>
      <w:bookmarkStart w:id="360" w:name="_Toc442872751"/>
      <w:bookmarkStart w:id="361" w:name="_Toc442872919"/>
      <w:bookmarkStart w:id="362" w:name="_Toc437930960"/>
      <w:bookmarkStart w:id="363" w:name="_Toc437933005"/>
      <w:bookmarkStart w:id="364" w:name="_Toc442872752"/>
      <w:bookmarkStart w:id="365" w:name="_Toc442872920"/>
      <w:bookmarkStart w:id="366" w:name="_Toc437930961"/>
      <w:bookmarkStart w:id="367" w:name="_Toc437933006"/>
      <w:bookmarkStart w:id="368" w:name="_Toc442872753"/>
      <w:bookmarkStart w:id="369" w:name="_Toc442872921"/>
      <w:bookmarkStart w:id="370" w:name="_Toc437930962"/>
      <w:bookmarkStart w:id="371" w:name="_Toc437933007"/>
      <w:bookmarkStart w:id="372" w:name="_Toc442872754"/>
      <w:bookmarkStart w:id="373" w:name="_Toc442872922"/>
      <w:bookmarkStart w:id="374" w:name="_Toc437930963"/>
      <w:bookmarkStart w:id="375" w:name="_Toc437933008"/>
      <w:bookmarkStart w:id="376" w:name="_Toc442872755"/>
      <w:bookmarkStart w:id="377" w:name="_Toc442872923"/>
      <w:bookmarkStart w:id="378" w:name="_Toc437930964"/>
      <w:bookmarkStart w:id="379" w:name="_Toc437933009"/>
      <w:bookmarkStart w:id="380" w:name="_Toc442872756"/>
      <w:bookmarkStart w:id="381" w:name="_Toc442872924"/>
      <w:bookmarkStart w:id="382" w:name="_Toc437930965"/>
      <w:bookmarkStart w:id="383" w:name="_Toc437933010"/>
      <w:bookmarkStart w:id="384" w:name="_Toc442872757"/>
      <w:bookmarkStart w:id="385" w:name="_Toc442872925"/>
      <w:bookmarkStart w:id="386" w:name="_Toc437930966"/>
      <w:bookmarkStart w:id="387" w:name="_Toc437933011"/>
      <w:bookmarkStart w:id="388" w:name="_Toc442872758"/>
      <w:bookmarkStart w:id="389" w:name="_Toc442872926"/>
      <w:bookmarkStart w:id="390" w:name="_Toc437930967"/>
      <w:bookmarkStart w:id="391" w:name="_Toc437933012"/>
      <w:bookmarkStart w:id="392" w:name="_Toc442872759"/>
      <w:bookmarkStart w:id="393" w:name="_Toc442872927"/>
      <w:bookmarkStart w:id="394" w:name="_Toc437930968"/>
      <w:bookmarkStart w:id="395" w:name="_Toc437933013"/>
      <w:bookmarkStart w:id="396" w:name="_Toc442872760"/>
      <w:bookmarkStart w:id="397" w:name="_Toc442872928"/>
      <w:bookmarkStart w:id="398" w:name="appropriatedisclosureandsharing"/>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14:paraId="1E647579" w14:textId="77777777" w:rsidR="00011AC7" w:rsidRPr="00CC4E77" w:rsidRDefault="00011AC7" w:rsidP="006D55DF">
      <w:pPr>
        <w:pStyle w:val="Heading1"/>
      </w:pPr>
      <w:bookmarkStart w:id="399" w:name="_Toc476648178"/>
      <w:bookmarkStart w:id="400" w:name="_Toc489004273"/>
      <w:bookmarkStart w:id="401" w:name="_Toc491259732"/>
      <w:r>
        <w:lastRenderedPageBreak/>
        <w:t>Appropriate disclosure and s</w:t>
      </w:r>
      <w:r w:rsidRPr="00CC4E77">
        <w:t>haring</w:t>
      </w:r>
      <w:bookmarkEnd w:id="399"/>
      <w:bookmarkEnd w:id="400"/>
      <w:bookmarkEnd w:id="401"/>
    </w:p>
    <w:p w14:paraId="0EFB71B6" w14:textId="2CB427B6" w:rsidR="00011AC7" w:rsidRPr="00BF5F9C" w:rsidRDefault="00011AC7" w:rsidP="006D55DF">
      <w:r>
        <w:t xml:space="preserve">The health and disability system is increasingly delivering care to patients in different physical locations and settings. Where there is a </w:t>
      </w:r>
      <w:r w:rsidR="006D55DF">
        <w:t>‘</w:t>
      </w:r>
      <w:r>
        <w:t>virtual team</w:t>
      </w:r>
      <w:r w:rsidR="006D55DF">
        <w:t>’</w:t>
      </w:r>
      <w:r>
        <w:t xml:space="preserve"> supporting the patient, the health record needs to be accessible and shared across different health providers and in different settings. In the </w:t>
      </w:r>
      <w:r w:rsidR="006D55DF">
        <w:t xml:space="preserve">New Zealand </w:t>
      </w:r>
      <w:r>
        <w:t xml:space="preserve">Health Strategy, </w:t>
      </w:r>
      <w:r w:rsidR="00D56B08">
        <w:t>“</w:t>
      </w:r>
      <w:r>
        <w:t xml:space="preserve">the theme of </w:t>
      </w:r>
      <w:r w:rsidR="00D56B08">
        <w:t>‘</w:t>
      </w:r>
      <w:r>
        <w:t>one team</w:t>
      </w:r>
      <w:r w:rsidR="00D56B08">
        <w:t>’</w:t>
      </w:r>
      <w:r>
        <w:t xml:space="preserve"> is about operating as a team in a high-trust system that works together with the person and their family and wh</w:t>
      </w:r>
      <w:r>
        <w:rPr>
          <w:rFonts w:cs="Arial"/>
        </w:rPr>
        <w:t>ā</w:t>
      </w:r>
      <w:r>
        <w:t>nau at the centre of care</w:t>
      </w:r>
      <w:r w:rsidR="00D56B08">
        <w:t>”</w:t>
      </w:r>
      <w:r>
        <w:t>.</w:t>
      </w:r>
      <w:r w:rsidRPr="006D55DF">
        <w:rPr>
          <w:rStyle w:val="FootnoteReference"/>
        </w:rPr>
        <w:footnoteReference w:id="41"/>
      </w:r>
      <w:r>
        <w:t xml:space="preserve"> The system needs to both enable relevant health information</w:t>
      </w:r>
      <w:r w:rsidRPr="00F16FBA">
        <w:t xml:space="preserve"> </w:t>
      </w:r>
      <w:r>
        <w:t>to be available, and manage inappropriate disclosure or sharing to preserve the trust of consumers.</w:t>
      </w:r>
    </w:p>
    <w:p w14:paraId="5F4602EB" w14:textId="77777777" w:rsidR="00011AC7" w:rsidRDefault="00011AC7" w:rsidP="006D55DF">
      <w:r>
        <w:t>When determining whether or not to access or share personal health information, the Privacy Commissioner</w:t>
      </w:r>
      <w:r w:rsidR="00D56B08">
        <w:t>’</w:t>
      </w:r>
      <w:r>
        <w:t>s Access Escalation Ladder can be helpful. A copy of this can be found in Appendix</w:t>
      </w:r>
      <w:r w:rsidR="006D55DF">
        <w:t> </w:t>
      </w:r>
      <w:r>
        <w:t>5. In summary the questions that should be asked, in ascending order are:</w:t>
      </w:r>
    </w:p>
    <w:p w14:paraId="1BEAED3B" w14:textId="77777777" w:rsidR="00011AC7" w:rsidRDefault="00011AC7" w:rsidP="006D55DF">
      <w:pPr>
        <w:pStyle w:val="Bullet"/>
      </w:pPr>
      <w:r>
        <w:t>Can the provider get by with anonymous information?</w:t>
      </w:r>
    </w:p>
    <w:p w14:paraId="1E9BAD94" w14:textId="77777777" w:rsidR="00011AC7" w:rsidRDefault="00011AC7" w:rsidP="006D55DF">
      <w:pPr>
        <w:pStyle w:val="Bullet"/>
      </w:pPr>
      <w:r>
        <w:t>Has the person agreed to this?</w:t>
      </w:r>
    </w:p>
    <w:p w14:paraId="555EC2A2" w14:textId="72BABDC7" w:rsidR="00011AC7" w:rsidRDefault="00011AC7" w:rsidP="006D55DF">
      <w:pPr>
        <w:pStyle w:val="Bullet"/>
      </w:pPr>
      <w:r>
        <w:t xml:space="preserve">Has the person been told? (May be sufficient where obtaining consent </w:t>
      </w:r>
      <w:r w:rsidR="006D55DF">
        <w:t xml:space="preserve">is not </w:t>
      </w:r>
      <w:r>
        <w:t>practical and using or disclosing the information this way is in line with the purpose for which it was obtained)</w:t>
      </w:r>
      <w:r w:rsidR="006D55DF">
        <w:t>.</w:t>
      </w:r>
    </w:p>
    <w:p w14:paraId="2F5D9FB6" w14:textId="4A240755" w:rsidR="00D56B08" w:rsidRDefault="00011AC7" w:rsidP="006D55DF">
      <w:pPr>
        <w:pStyle w:val="Bullet"/>
      </w:pPr>
      <w:r>
        <w:t xml:space="preserve">Is there a serious threat or a </w:t>
      </w:r>
      <w:r w:rsidR="006D55DF">
        <w:t>‘</w:t>
      </w:r>
      <w:r>
        <w:t>break glass</w:t>
      </w:r>
      <w:r w:rsidR="006D55DF">
        <w:t>’</w:t>
      </w:r>
      <w:r>
        <w:t xml:space="preserve"> situation?</w:t>
      </w:r>
    </w:p>
    <w:p w14:paraId="35C4E14F" w14:textId="43C31283" w:rsidR="00011AC7" w:rsidRDefault="00011AC7" w:rsidP="006D55DF">
      <w:pPr>
        <w:pStyle w:val="Bullet"/>
      </w:pPr>
      <w:r>
        <w:t>Is there another legal provision that can be relied on (eg</w:t>
      </w:r>
      <w:r w:rsidR="006D55DF">
        <w:t>,</w:t>
      </w:r>
      <w:r>
        <w:t xml:space="preserve"> </w:t>
      </w:r>
      <w:r w:rsidR="006D55DF">
        <w:t>a</w:t>
      </w:r>
      <w:r>
        <w:t xml:space="preserve">n approved Information Sharing Agreement – </w:t>
      </w:r>
      <w:r w:rsidR="006D55DF">
        <w:t>‘</w:t>
      </w:r>
      <w:r>
        <w:t>AISA</w:t>
      </w:r>
      <w:r w:rsidR="006D55DF">
        <w:t>’</w:t>
      </w:r>
      <w:r>
        <w:t>)</w:t>
      </w:r>
      <w:r w:rsidR="006D55DF">
        <w:t>?</w:t>
      </w:r>
    </w:p>
    <w:p w14:paraId="5D046585" w14:textId="77777777" w:rsidR="00011AC7" w:rsidRPr="001D2E9C" w:rsidRDefault="00011AC7" w:rsidP="006D55DF">
      <w:r w:rsidRPr="001D2E9C">
        <w:t>This section sets out the requirements in terms of appropriate disclosure and sharing</w:t>
      </w:r>
      <w:r>
        <w:t>,</w:t>
      </w:r>
      <w:r w:rsidRPr="001D2E9C">
        <w:t xml:space="preserve"> and covers issues of access control, requests for disclosure by third parties, Approved Information Sharing Agreements (AISAs), information matching and secondary use of information.</w:t>
      </w:r>
    </w:p>
    <w:p w14:paraId="0CB786A5" w14:textId="77777777" w:rsidR="00011AC7" w:rsidRDefault="00011AC7" w:rsidP="006D55DF">
      <w:pPr>
        <w:pStyle w:val="Heading2"/>
      </w:pPr>
      <w:bookmarkStart w:id="402" w:name="_Toc476648180"/>
      <w:bookmarkStart w:id="403" w:name="_Toc489004274"/>
      <w:bookmarkStart w:id="404" w:name="_Toc491259733"/>
      <w:r>
        <w:t>Objective</w:t>
      </w:r>
      <w:bookmarkEnd w:id="402"/>
      <w:bookmarkEnd w:id="403"/>
      <w:bookmarkEnd w:id="404"/>
    </w:p>
    <w:p w14:paraId="77B52DEC" w14:textId="77777777" w:rsidR="00011AC7" w:rsidRPr="00396C7E" w:rsidRDefault="00011AC7" w:rsidP="006D55DF">
      <w:r>
        <w:t>Health providers and their employees, contractors or agents have a clear understanding of who may access personal health information, when and for what reason.</w:t>
      </w:r>
    </w:p>
    <w:p w14:paraId="7CAFA999" w14:textId="77777777" w:rsidR="00011AC7" w:rsidRPr="00BF2FFC" w:rsidRDefault="00011AC7" w:rsidP="006D55DF">
      <w:pPr>
        <w:pStyle w:val="Heading2"/>
      </w:pPr>
      <w:bookmarkStart w:id="405" w:name="_Toc476648181"/>
      <w:bookmarkStart w:id="406" w:name="_Toc489004275"/>
      <w:bookmarkStart w:id="407" w:name="_Toc491259734"/>
      <w:r w:rsidRPr="00BF2FFC">
        <w:t>Policy</w:t>
      </w:r>
      <w:r>
        <w:t xml:space="preserve"> statements</w:t>
      </w:r>
      <w:bookmarkEnd w:id="405"/>
      <w:bookmarkEnd w:id="406"/>
      <w:bookmarkEnd w:id="407"/>
    </w:p>
    <w:p w14:paraId="7A0A3DF3" w14:textId="77777777" w:rsidR="00D56B08" w:rsidRDefault="00011AC7" w:rsidP="006D55DF">
      <w:r w:rsidRPr="00BF2FFC">
        <w:t xml:space="preserve">A </w:t>
      </w:r>
      <w:r>
        <w:t>health provider</w:t>
      </w:r>
      <w:r w:rsidRPr="00BF2FFC">
        <w:t xml:space="preserve"> may use or disclose a </w:t>
      </w:r>
      <w:r>
        <w:t>c</w:t>
      </w:r>
      <w:r w:rsidRPr="00BF2FFC">
        <w:t>onsumer</w:t>
      </w:r>
      <w:r w:rsidR="00D56B08">
        <w:t>’</w:t>
      </w:r>
      <w:r w:rsidRPr="00BF2FFC">
        <w:t xml:space="preserve">s </w:t>
      </w:r>
      <w:r>
        <w:t>h</w:t>
      </w:r>
      <w:r w:rsidRPr="00BF2FFC">
        <w:t xml:space="preserve">ealth </w:t>
      </w:r>
      <w:r>
        <w:t>i</w:t>
      </w:r>
      <w:r w:rsidRPr="00BF2FFC">
        <w:t xml:space="preserve">nformation </w:t>
      </w:r>
      <w:r>
        <w:t>in the course of their duties provided</w:t>
      </w:r>
      <w:r w:rsidR="006D55DF">
        <w:t>:</w:t>
      </w:r>
    </w:p>
    <w:p w14:paraId="75F79EB7" w14:textId="2DAA067B" w:rsidR="00D56B08" w:rsidRDefault="00011AC7" w:rsidP="006D55DF">
      <w:pPr>
        <w:pStyle w:val="Bullet"/>
      </w:pPr>
      <w:r>
        <w:t xml:space="preserve">the </w:t>
      </w:r>
      <w:r w:rsidRPr="00BF2FFC">
        <w:t xml:space="preserve">purposes </w:t>
      </w:r>
      <w:r>
        <w:t xml:space="preserve">for which the information is used have </w:t>
      </w:r>
      <w:r w:rsidRPr="00BF2FFC">
        <w:t xml:space="preserve">been communicated to the </w:t>
      </w:r>
      <w:r>
        <w:t>c</w:t>
      </w:r>
      <w:r w:rsidRPr="00BF2FFC">
        <w:t>onsumer</w:t>
      </w:r>
    </w:p>
    <w:p w14:paraId="3790D408" w14:textId="77777777" w:rsidR="00011AC7" w:rsidRDefault="00011AC7" w:rsidP="006D55DF">
      <w:pPr>
        <w:pStyle w:val="Bullet"/>
      </w:pPr>
      <w:r>
        <w:t>they have the consumer</w:t>
      </w:r>
      <w:r w:rsidR="00D56B08">
        <w:t>’</w:t>
      </w:r>
      <w:r>
        <w:t>s direct consent</w:t>
      </w:r>
      <w:r w:rsidR="006D55DF">
        <w:t>,</w:t>
      </w:r>
      <w:r>
        <w:t xml:space="preserve"> or</w:t>
      </w:r>
    </w:p>
    <w:p w14:paraId="4A2312FE" w14:textId="77777777" w:rsidR="00011AC7" w:rsidRDefault="00011AC7" w:rsidP="006D55DF">
      <w:pPr>
        <w:pStyle w:val="Bullet"/>
      </w:pPr>
      <w:r>
        <w:t>they have the consumer</w:t>
      </w:r>
      <w:r w:rsidR="00D56B08">
        <w:t>’</w:t>
      </w:r>
      <w:r>
        <w:t>s implied consent because the consumer has enrolled in, registered with, or has been admitted to the service, or</w:t>
      </w:r>
    </w:p>
    <w:p w14:paraId="3E9C7D2E" w14:textId="77777777" w:rsidR="00D56B08" w:rsidRDefault="00011AC7" w:rsidP="006D55DF">
      <w:pPr>
        <w:pStyle w:val="Bullet"/>
      </w:pPr>
      <w:proofErr w:type="gramStart"/>
      <w:r w:rsidRPr="00BF2FFC">
        <w:t>they</w:t>
      </w:r>
      <w:proofErr w:type="gramEnd"/>
      <w:r w:rsidRPr="00BF2FFC">
        <w:t xml:space="preserve"> have </w:t>
      </w:r>
      <w:r>
        <w:t>been a</w:t>
      </w:r>
      <w:r w:rsidRPr="00BF2FFC">
        <w:t xml:space="preserve">uthorised </w:t>
      </w:r>
      <w:r>
        <w:t>by law</w:t>
      </w:r>
      <w:r w:rsidRPr="00BF2FFC">
        <w:t xml:space="preserve"> </w:t>
      </w:r>
      <w:r>
        <w:t>to do so</w:t>
      </w:r>
      <w:r w:rsidRPr="00BF2FFC">
        <w:t>.</w:t>
      </w:r>
    </w:p>
    <w:p w14:paraId="147B1E90" w14:textId="77777777" w:rsidR="00011AC7" w:rsidRDefault="00011AC7" w:rsidP="006D55DF">
      <w:r>
        <w:lastRenderedPageBreak/>
        <w:t>A consumer</w:t>
      </w:r>
      <w:r w:rsidR="00D56B08">
        <w:t>’</w:t>
      </w:r>
      <w:r>
        <w:t>s choice not to disclose information shall not be used as an excuse for withholding treatment. A practitioner may however refuse to provide treatment if they feel it is unsafe to treat the patient in the circumstances.</w:t>
      </w:r>
    </w:p>
    <w:p w14:paraId="52502D6A" w14:textId="6EC75CD2" w:rsidR="00011AC7" w:rsidRPr="00BF2FFC" w:rsidRDefault="00011AC7" w:rsidP="006D55DF">
      <w:pPr>
        <w:spacing w:after="240"/>
      </w:pPr>
      <w:r w:rsidRPr="00BF2FFC">
        <w:t xml:space="preserve">Custodians </w:t>
      </w:r>
      <w:r>
        <w:t xml:space="preserve">and stewards </w:t>
      </w:r>
      <w:r w:rsidRPr="00BF2FFC">
        <w:t xml:space="preserve">of </w:t>
      </w:r>
      <w:r>
        <w:t>h</w:t>
      </w:r>
      <w:r w:rsidRPr="00BF2FFC">
        <w:t xml:space="preserve">ealth </w:t>
      </w:r>
      <w:r>
        <w:t>i</w:t>
      </w:r>
      <w:r w:rsidRPr="00BF2FFC">
        <w:t>nformation</w:t>
      </w:r>
      <w:r>
        <w:t xml:space="preserve"> should</w:t>
      </w:r>
      <w:r w:rsidRPr="00BF2FFC">
        <w:t xml:space="preserve"> </w:t>
      </w:r>
      <w:r>
        <w:t xml:space="preserve">have confidence in and where necessary seek assurance in writing from the other agency that they have the ability to protect the information from </w:t>
      </w:r>
      <w:r w:rsidRPr="00BF2FFC">
        <w:t>unauthorised access, use, modification or disclosure</w:t>
      </w:r>
      <w:r>
        <w:t xml:space="preserve"> before forwarding it to that agency</w:t>
      </w:r>
      <w:r w:rsidR="006D55DF">
        <w:t>.</w:t>
      </w:r>
      <w:r w:rsidRPr="006D55DF">
        <w:rPr>
          <w:rStyle w:val="FootnoteReference"/>
        </w:rPr>
        <w:footnoteReference w:id="42"/>
      </w:r>
    </w:p>
    <w:tbl>
      <w:tblPr>
        <w:tblStyle w:val="TableGrid"/>
        <w:tblW w:w="4940" w:type="pct"/>
        <w:tblInd w:w="57" w:type="dxa"/>
        <w:tblLayout w:type="fixed"/>
        <w:tblCellMar>
          <w:left w:w="57" w:type="dxa"/>
          <w:right w:w="57" w:type="dxa"/>
        </w:tblCellMar>
        <w:tblLook w:val="0620" w:firstRow="1" w:lastRow="0" w:firstColumn="0" w:lastColumn="0" w:noHBand="1" w:noVBand="1"/>
      </w:tblPr>
      <w:tblGrid>
        <w:gridCol w:w="1149"/>
        <w:gridCol w:w="8364"/>
      </w:tblGrid>
      <w:tr w:rsidR="006D55DF" w:rsidRPr="006D55DF" w14:paraId="1CEC9106" w14:textId="77777777" w:rsidTr="006D55DF">
        <w:trPr>
          <w:cantSplit/>
        </w:trPr>
        <w:tc>
          <w:tcPr>
            <w:tcW w:w="5000" w:type="pct"/>
            <w:gridSpan w:val="2"/>
            <w:tcBorders>
              <w:top w:val="single" w:sz="4" w:space="0" w:color="1F497D"/>
              <w:left w:val="single" w:sz="4" w:space="0" w:color="1F497D"/>
              <w:bottom w:val="single" w:sz="4" w:space="0" w:color="1F497D"/>
              <w:right w:val="single" w:sz="4" w:space="0" w:color="1F497D"/>
            </w:tcBorders>
            <w:shd w:val="clear" w:color="auto" w:fill="1F497D"/>
          </w:tcPr>
          <w:p w14:paraId="68EB10B3" w14:textId="77777777" w:rsidR="00011AC7" w:rsidRPr="006D55DF" w:rsidRDefault="00011AC7" w:rsidP="006D55DF">
            <w:pPr>
              <w:pStyle w:val="TableText"/>
              <w:rPr>
                <w:b/>
                <w:color w:val="FFFFFF" w:themeColor="background1"/>
              </w:rPr>
            </w:pPr>
            <w:r w:rsidRPr="006D55DF">
              <w:rPr>
                <w:b/>
                <w:color w:val="FFFFFF" w:themeColor="background1"/>
              </w:rPr>
              <w:t>Relevant Health Information Privacy Code Rules</w:t>
            </w:r>
          </w:p>
        </w:tc>
      </w:tr>
      <w:tr w:rsidR="00011AC7" w:rsidRPr="00CC186C" w14:paraId="3D0F0842" w14:textId="77777777" w:rsidTr="006D55DF">
        <w:trPr>
          <w:cantSplit/>
        </w:trPr>
        <w:tc>
          <w:tcPr>
            <w:tcW w:w="604" w:type="pct"/>
            <w:tcBorders>
              <w:top w:val="single" w:sz="4" w:space="0" w:color="1F497D"/>
              <w:left w:val="single" w:sz="4" w:space="0" w:color="1F497D"/>
              <w:bottom w:val="single" w:sz="4" w:space="0" w:color="1F497D"/>
              <w:right w:val="single" w:sz="4" w:space="0" w:color="1F497D"/>
            </w:tcBorders>
            <w:shd w:val="clear" w:color="auto" w:fill="DBE5F1" w:themeFill="accent1" w:themeFillTint="33"/>
          </w:tcPr>
          <w:p w14:paraId="3A845F88" w14:textId="77777777" w:rsidR="00011AC7" w:rsidRPr="00BF2FFC" w:rsidRDefault="00011AC7" w:rsidP="006D55DF">
            <w:pPr>
              <w:pStyle w:val="TableText"/>
            </w:pPr>
            <w:r w:rsidRPr="00BF2FFC">
              <w:t>Rule 3</w:t>
            </w:r>
          </w:p>
        </w:tc>
        <w:tc>
          <w:tcPr>
            <w:tcW w:w="4396" w:type="pct"/>
            <w:tcBorders>
              <w:top w:val="single" w:sz="4" w:space="0" w:color="1F497D"/>
              <w:left w:val="single" w:sz="4" w:space="0" w:color="1F497D"/>
              <w:bottom w:val="single" w:sz="4" w:space="0" w:color="1F497D"/>
              <w:right w:val="single" w:sz="4" w:space="0" w:color="1F497D"/>
            </w:tcBorders>
            <w:shd w:val="clear" w:color="auto" w:fill="DBE5F1" w:themeFill="accent1" w:themeFillTint="33"/>
          </w:tcPr>
          <w:p w14:paraId="0351C1C5" w14:textId="77777777" w:rsidR="00011AC7" w:rsidRPr="00D56B08" w:rsidRDefault="00011AC7" w:rsidP="006D55DF">
            <w:pPr>
              <w:pStyle w:val="TableText"/>
              <w:rPr>
                <w:rFonts w:cs="Arial"/>
              </w:rPr>
            </w:pPr>
            <w:r w:rsidRPr="00D56B08">
              <w:rPr>
                <w:rFonts w:cs="Arial"/>
              </w:rPr>
              <w:t>When an agency collects health information from the person the information is about, it has to take reasonable steps to make sure that person knows:</w:t>
            </w:r>
          </w:p>
          <w:p w14:paraId="7283627A" w14:textId="7140D0B5" w:rsidR="00011AC7" w:rsidRPr="00D56B08" w:rsidRDefault="006D55DF" w:rsidP="006D55DF">
            <w:pPr>
              <w:pStyle w:val="TableBullet"/>
            </w:pPr>
            <w:r>
              <w:t>w</w:t>
            </w:r>
            <w:r w:rsidR="00011AC7" w:rsidRPr="00D56B08">
              <w:t>hy it is being collected</w:t>
            </w:r>
          </w:p>
          <w:p w14:paraId="3565E034" w14:textId="5E93A9A9" w:rsidR="00D56B08" w:rsidRPr="00D56B08" w:rsidRDefault="006D55DF" w:rsidP="006D55DF">
            <w:pPr>
              <w:pStyle w:val="TableBullet"/>
            </w:pPr>
            <w:r>
              <w:t>w</w:t>
            </w:r>
            <w:r w:rsidR="00011AC7" w:rsidRPr="00D56B08">
              <w:t>ho will get the information</w:t>
            </w:r>
          </w:p>
          <w:p w14:paraId="2056FB71" w14:textId="61E0A69D" w:rsidR="00011AC7" w:rsidRPr="00D56B08" w:rsidRDefault="006D55DF" w:rsidP="006D55DF">
            <w:pPr>
              <w:pStyle w:val="TableBullet"/>
            </w:pPr>
            <w:r>
              <w:t>w</w:t>
            </w:r>
            <w:r w:rsidR="00011AC7" w:rsidRPr="00D56B08">
              <w:t xml:space="preserve">hether the person </w:t>
            </w:r>
            <w:r w:rsidR="00011AC7" w:rsidRPr="00D56B08">
              <w:rPr>
                <w:i/>
              </w:rPr>
              <w:t>has</w:t>
            </w:r>
            <w:r w:rsidR="00011AC7" w:rsidRPr="00D56B08">
              <w:t xml:space="preserve"> to give the information or whether this is voluntary</w:t>
            </w:r>
          </w:p>
          <w:p w14:paraId="43F8DBA4" w14:textId="0264B64C" w:rsidR="00011AC7" w:rsidRPr="00D56B08" w:rsidRDefault="006D55DF" w:rsidP="006D55DF">
            <w:pPr>
              <w:pStyle w:val="TableBullet"/>
            </w:pPr>
            <w:proofErr w:type="gramStart"/>
            <w:r>
              <w:t>w</w:t>
            </w:r>
            <w:r w:rsidR="00011AC7" w:rsidRPr="00D56B08">
              <w:t>hat</w:t>
            </w:r>
            <w:proofErr w:type="gramEnd"/>
            <w:r w:rsidR="00011AC7" w:rsidRPr="00D56B08">
              <w:t xml:space="preserve"> will happen if the information isn</w:t>
            </w:r>
            <w:r w:rsidR="00D56B08">
              <w:t>’</w:t>
            </w:r>
            <w:r w:rsidR="00011AC7" w:rsidRPr="00D56B08">
              <w:t>t provided.</w:t>
            </w:r>
          </w:p>
        </w:tc>
      </w:tr>
      <w:tr w:rsidR="00011AC7" w:rsidRPr="00CC186C" w14:paraId="55F641BA" w14:textId="77777777" w:rsidTr="006D55DF">
        <w:trPr>
          <w:cantSplit/>
        </w:trPr>
        <w:tc>
          <w:tcPr>
            <w:tcW w:w="604" w:type="pct"/>
            <w:tcBorders>
              <w:top w:val="single" w:sz="4" w:space="0" w:color="1F497D"/>
              <w:left w:val="single" w:sz="4" w:space="0" w:color="1F497D"/>
              <w:bottom w:val="single" w:sz="4" w:space="0" w:color="1F497D"/>
              <w:right w:val="single" w:sz="4" w:space="0" w:color="1F497D"/>
            </w:tcBorders>
            <w:shd w:val="clear" w:color="auto" w:fill="DBE5F1" w:themeFill="accent1" w:themeFillTint="33"/>
          </w:tcPr>
          <w:p w14:paraId="04BC921D" w14:textId="77777777" w:rsidR="00011AC7" w:rsidRPr="00BF2FFC" w:rsidRDefault="00011AC7" w:rsidP="006D55DF">
            <w:pPr>
              <w:pStyle w:val="TableText"/>
            </w:pPr>
            <w:r>
              <w:t>Rule 5</w:t>
            </w:r>
          </w:p>
        </w:tc>
        <w:tc>
          <w:tcPr>
            <w:tcW w:w="4396" w:type="pct"/>
            <w:tcBorders>
              <w:top w:val="single" w:sz="4" w:space="0" w:color="1F497D"/>
              <w:left w:val="single" w:sz="4" w:space="0" w:color="1F497D"/>
              <w:bottom w:val="single" w:sz="4" w:space="0" w:color="1F497D"/>
              <w:right w:val="single" w:sz="4" w:space="0" w:color="1F497D"/>
            </w:tcBorders>
            <w:shd w:val="clear" w:color="auto" w:fill="DBE5F1" w:themeFill="accent1" w:themeFillTint="33"/>
          </w:tcPr>
          <w:p w14:paraId="513E169C" w14:textId="77777777" w:rsidR="00011AC7" w:rsidRPr="00D56B08" w:rsidRDefault="00011AC7" w:rsidP="006D55DF">
            <w:pPr>
              <w:pStyle w:val="TableText"/>
              <w:rPr>
                <w:rFonts w:cs="Arial"/>
              </w:rPr>
            </w:pPr>
            <w:r w:rsidRPr="00D56B08">
              <w:rPr>
                <w:rFonts w:cs="Arial"/>
              </w:rPr>
              <w:t>Agencies must ensure there are reasonable safeguards in place to prevent loss, misuse or disclosure of health information.</w:t>
            </w:r>
          </w:p>
        </w:tc>
      </w:tr>
      <w:tr w:rsidR="00011AC7" w:rsidRPr="00CC186C" w14:paraId="283CA109" w14:textId="77777777" w:rsidTr="006D55DF">
        <w:trPr>
          <w:cantSplit/>
        </w:trPr>
        <w:tc>
          <w:tcPr>
            <w:tcW w:w="604" w:type="pct"/>
            <w:tcBorders>
              <w:top w:val="single" w:sz="4" w:space="0" w:color="1F497D"/>
              <w:left w:val="single" w:sz="4" w:space="0" w:color="1F497D"/>
              <w:bottom w:val="single" w:sz="4" w:space="0" w:color="1F497D"/>
              <w:right w:val="single" w:sz="4" w:space="0" w:color="1F497D"/>
            </w:tcBorders>
            <w:shd w:val="clear" w:color="auto" w:fill="DBE5F1" w:themeFill="accent1" w:themeFillTint="33"/>
          </w:tcPr>
          <w:p w14:paraId="63445B5A" w14:textId="77777777" w:rsidR="00011AC7" w:rsidRPr="00BF2FFC" w:rsidRDefault="00011AC7" w:rsidP="006D55DF">
            <w:pPr>
              <w:pStyle w:val="TableText"/>
            </w:pPr>
            <w:r w:rsidRPr="00BF2FFC">
              <w:t>Rule 10</w:t>
            </w:r>
          </w:p>
        </w:tc>
        <w:tc>
          <w:tcPr>
            <w:tcW w:w="4396" w:type="pct"/>
            <w:tcBorders>
              <w:top w:val="single" w:sz="4" w:space="0" w:color="1F497D"/>
              <w:left w:val="single" w:sz="4" w:space="0" w:color="1F497D"/>
              <w:bottom w:val="single" w:sz="4" w:space="0" w:color="1F497D"/>
              <w:right w:val="single" w:sz="4" w:space="0" w:color="1F497D"/>
            </w:tcBorders>
            <w:shd w:val="clear" w:color="auto" w:fill="DBE5F1" w:themeFill="accent1" w:themeFillTint="33"/>
          </w:tcPr>
          <w:p w14:paraId="50718348" w14:textId="77777777" w:rsidR="00011AC7" w:rsidRPr="00D56B08" w:rsidRDefault="00011AC7" w:rsidP="006D55DF">
            <w:pPr>
              <w:pStyle w:val="TableText"/>
              <w:rPr>
                <w:rFonts w:cs="Arial"/>
              </w:rPr>
            </w:pPr>
            <w:r w:rsidRPr="00D56B08">
              <w:rPr>
                <w:rFonts w:cs="Arial"/>
              </w:rPr>
              <w:t>Agencies must use health information for the same purpose for which they obtained that information.</w:t>
            </w:r>
          </w:p>
          <w:p w14:paraId="2DC6371A" w14:textId="77777777" w:rsidR="00011AC7" w:rsidRPr="00D56B08" w:rsidRDefault="00011AC7" w:rsidP="006D55DF">
            <w:pPr>
              <w:pStyle w:val="TableText"/>
              <w:rPr>
                <w:rFonts w:cs="Arial"/>
              </w:rPr>
            </w:pPr>
            <w:r w:rsidRPr="00D56B08">
              <w:rPr>
                <w:rFonts w:cs="Arial"/>
              </w:rPr>
              <w:t>Other uses are occasionally permitted (for example because this is necessary to enforce the law, or the use is directly related to the purpose for which the agency got the information).</w:t>
            </w:r>
          </w:p>
        </w:tc>
      </w:tr>
      <w:tr w:rsidR="00011AC7" w:rsidRPr="00CC186C" w14:paraId="760430B6" w14:textId="77777777" w:rsidTr="006D55DF">
        <w:trPr>
          <w:cantSplit/>
        </w:trPr>
        <w:tc>
          <w:tcPr>
            <w:tcW w:w="604" w:type="pct"/>
            <w:tcBorders>
              <w:top w:val="single" w:sz="4" w:space="0" w:color="1F497D"/>
              <w:left w:val="single" w:sz="4" w:space="0" w:color="1F497D"/>
              <w:bottom w:val="single" w:sz="4" w:space="0" w:color="1F497D"/>
              <w:right w:val="single" w:sz="4" w:space="0" w:color="1F497D"/>
            </w:tcBorders>
            <w:shd w:val="clear" w:color="auto" w:fill="DBE5F1" w:themeFill="accent1" w:themeFillTint="33"/>
          </w:tcPr>
          <w:p w14:paraId="38FA9FC6" w14:textId="77777777" w:rsidR="00011AC7" w:rsidRPr="00BF2FFC" w:rsidRDefault="00011AC7" w:rsidP="006D55DF">
            <w:pPr>
              <w:pStyle w:val="TableText"/>
            </w:pPr>
            <w:r w:rsidRPr="00BF2FFC">
              <w:t>Rule 11</w:t>
            </w:r>
          </w:p>
        </w:tc>
        <w:tc>
          <w:tcPr>
            <w:tcW w:w="4396" w:type="pct"/>
            <w:tcBorders>
              <w:top w:val="single" w:sz="4" w:space="0" w:color="1F497D"/>
              <w:left w:val="single" w:sz="4" w:space="0" w:color="1F497D"/>
              <w:bottom w:val="single" w:sz="4" w:space="0" w:color="1F497D"/>
              <w:right w:val="single" w:sz="4" w:space="0" w:color="1F497D"/>
            </w:tcBorders>
            <w:shd w:val="clear" w:color="auto" w:fill="DBE5F1" w:themeFill="accent1" w:themeFillTint="33"/>
          </w:tcPr>
          <w:p w14:paraId="01D0500A" w14:textId="77777777" w:rsidR="00011AC7" w:rsidRPr="00D56B08" w:rsidRDefault="00011AC7" w:rsidP="006D55DF">
            <w:pPr>
              <w:pStyle w:val="TableText"/>
              <w:rPr>
                <w:rFonts w:cs="Arial"/>
              </w:rPr>
            </w:pPr>
            <w:r w:rsidRPr="00D56B08">
              <w:rPr>
                <w:rFonts w:cs="Arial"/>
              </w:rPr>
              <w:t>Agencies can only disclose health information in limited circumstances. One example is where another law requires them to disclose the information. Also, an agency can disclose information if it reasonably believes, for example, that:</w:t>
            </w:r>
          </w:p>
          <w:p w14:paraId="2F9B52B2" w14:textId="77777777" w:rsidR="00011AC7" w:rsidRPr="00D56B08" w:rsidRDefault="00011AC7" w:rsidP="006D55DF">
            <w:pPr>
              <w:pStyle w:val="TableBullet"/>
            </w:pPr>
            <w:r w:rsidRPr="00D56B08">
              <w:t>disclosure is one of the purposes for which the agency got the information</w:t>
            </w:r>
          </w:p>
          <w:p w14:paraId="74C03FF2" w14:textId="77777777" w:rsidR="00011AC7" w:rsidRPr="00D56B08" w:rsidRDefault="00011AC7" w:rsidP="006D55DF">
            <w:pPr>
              <w:pStyle w:val="TableBullet"/>
            </w:pPr>
            <w:r w:rsidRPr="00D56B08">
              <w:t>disclosure is necessary to uphold or enforce the law</w:t>
            </w:r>
          </w:p>
          <w:p w14:paraId="0E620A1F" w14:textId="77777777" w:rsidR="00011AC7" w:rsidRPr="00D56B08" w:rsidRDefault="00011AC7" w:rsidP="006D55DF">
            <w:pPr>
              <w:pStyle w:val="TableBullet"/>
            </w:pPr>
            <w:r w:rsidRPr="00D56B08">
              <w:t>disclosure is necessary for court proceedings</w:t>
            </w:r>
          </w:p>
          <w:p w14:paraId="622B0D9E" w14:textId="77777777" w:rsidR="00D56B08" w:rsidRPr="00D56B08" w:rsidRDefault="00011AC7" w:rsidP="006D55DF">
            <w:pPr>
              <w:pStyle w:val="TableBullet"/>
            </w:pPr>
            <w:r w:rsidRPr="00D56B08">
              <w:t>the person concerned authorised the disclosure</w:t>
            </w:r>
          </w:p>
          <w:p w14:paraId="28B655BE" w14:textId="77777777" w:rsidR="00011AC7" w:rsidRPr="00577A5D" w:rsidRDefault="00011AC7" w:rsidP="006D55DF">
            <w:pPr>
              <w:pStyle w:val="TableBullet"/>
            </w:pPr>
            <w:proofErr w:type="gramStart"/>
            <w:r w:rsidRPr="00D56B08">
              <w:t>the</w:t>
            </w:r>
            <w:proofErr w:type="gramEnd"/>
            <w:r w:rsidRPr="00D56B08">
              <w:t xml:space="preserve"> information is going to be used in a form that does not identify the person concerned.</w:t>
            </w:r>
          </w:p>
        </w:tc>
      </w:tr>
    </w:tbl>
    <w:p w14:paraId="19CDBC64" w14:textId="77777777" w:rsidR="00011AC7" w:rsidRDefault="00011AC7" w:rsidP="006D55DF">
      <w:pPr>
        <w:pStyle w:val="Heading2"/>
      </w:pPr>
      <w:bookmarkStart w:id="408" w:name="consumerpreferences"/>
      <w:bookmarkStart w:id="409" w:name="_Toc476648182"/>
      <w:bookmarkStart w:id="410" w:name="_Toc489004276"/>
      <w:bookmarkStart w:id="411" w:name="_Toc491259735"/>
      <w:bookmarkEnd w:id="408"/>
      <w:r>
        <w:t>Consumer preferences for sharing information through shared care and electronic health record systems</w:t>
      </w:r>
      <w:bookmarkEnd w:id="409"/>
      <w:bookmarkEnd w:id="410"/>
      <w:bookmarkEnd w:id="411"/>
    </w:p>
    <w:p w14:paraId="04C10EFD" w14:textId="77777777" w:rsidR="00011AC7" w:rsidRPr="00137076" w:rsidRDefault="00011AC7" w:rsidP="006D55DF">
      <w:r>
        <w:t xml:space="preserve">Where personal health information is transferred to or made available through a shared care system, the consumer should have control over their information sharing preferences with the guidance of their health practitioner. This may take the form of withholding their entire health record from a shared care system and only disclosing their information to their chosen health provider. Alternatively, they may choose to include their information in a shared care system but withhold certain parts which they deem sensitive, for example, a diagnosis/problem associated with mental health or sexual health. The fact that all or some information has </w:t>
      </w:r>
      <w:r w:rsidRPr="00FA285B">
        <w:t>not</w:t>
      </w:r>
      <w:r>
        <w:t xml:space="preserve"> </w:t>
      </w:r>
      <w:r w:rsidRPr="00137076">
        <w:t xml:space="preserve">been disclosed will be transparent to a </w:t>
      </w:r>
      <w:r>
        <w:t>health provider</w:t>
      </w:r>
      <w:r w:rsidRPr="00137076">
        <w:t xml:space="preserve"> using the system</w:t>
      </w:r>
      <w:r>
        <w:t>.</w:t>
      </w:r>
      <w:r w:rsidRPr="006D55DF">
        <w:rPr>
          <w:rStyle w:val="FootnoteReference"/>
        </w:rPr>
        <w:footnoteReference w:id="43"/>
      </w:r>
    </w:p>
    <w:p w14:paraId="365D3BA0" w14:textId="77777777" w:rsidR="00D56B08" w:rsidRDefault="00011AC7" w:rsidP="00CC5222">
      <w:r>
        <w:t>As regional and national electronic health record systems continue to develop, more patient data will be stored within shared care systems. Some of this data will be populated from point-of-care systems automatically. Such data repositories may eventually become the master source of much of a patient</w:t>
      </w:r>
      <w:r w:rsidR="00D56B08">
        <w:t>’</w:t>
      </w:r>
      <w:r>
        <w:t>s information.</w:t>
      </w:r>
    </w:p>
    <w:p w14:paraId="31C54A9C" w14:textId="4202BCEF" w:rsidR="00D56B08" w:rsidRDefault="00011AC7" w:rsidP="00CC5222">
      <w:r>
        <w:lastRenderedPageBreak/>
        <w:t xml:space="preserve">How can the consumer control their preferences for sharing information? Currently, the population of data into shared care systems and clinical data repositories is controlled by the consumer </w:t>
      </w:r>
      <w:r w:rsidR="00CC5222">
        <w:t>‘</w:t>
      </w:r>
      <w:r>
        <w:t>opting off</w:t>
      </w:r>
      <w:r w:rsidR="00CC5222">
        <w:t>’</w:t>
      </w:r>
      <w:r>
        <w:t xml:space="preserve"> having their information transferred. The problem is that this information is not quickly transferrable if needed in an emergency or where there is a serious threat. A safer solution is to have </w:t>
      </w:r>
      <w:r w:rsidR="00CC5222">
        <w:t>‘</w:t>
      </w:r>
      <w:r>
        <w:t>do not disclose</w:t>
      </w:r>
      <w:r w:rsidR="00CC5222">
        <w:t>’</w:t>
      </w:r>
      <w:r>
        <w:t xml:space="preserve"> provisions built into the shared care system which still give effect to the consumer</w:t>
      </w:r>
      <w:r w:rsidR="00D56B08">
        <w:t>’</w:t>
      </w:r>
      <w:r>
        <w:t xml:space="preserve">s wishes but allows them greater flexibility and immediate control over who accesses their data and when. It also allows access by health providers through a </w:t>
      </w:r>
      <w:r w:rsidR="00CC5222">
        <w:t>‘</w:t>
      </w:r>
      <w:r>
        <w:t>break glass</w:t>
      </w:r>
      <w:r w:rsidR="00CC5222">
        <w:t>’</w:t>
      </w:r>
      <w:r>
        <w:t xml:space="preserve"> mechanism in an emergency and where the patient is unable to give their direct consent.</w:t>
      </w:r>
    </w:p>
    <w:p w14:paraId="78CC0235" w14:textId="77777777" w:rsidR="00011AC7" w:rsidRDefault="00011AC7" w:rsidP="00CC5222">
      <w:r>
        <w:t xml:space="preserve">The ability for an individual to stop the transfer of health information to a shared care system is the way the </w:t>
      </w:r>
      <w:proofErr w:type="spellStart"/>
      <w:r>
        <w:t>HealthOne</w:t>
      </w:r>
      <w:proofErr w:type="spellEnd"/>
      <w:r>
        <w:t xml:space="preserve"> shared care system in the South Island operates. However, in practice, very few people (approximately 0.05 percent) have opted not to have their data transferred – and these preferences change reasonably frequently as individuals change their minds about what data they want shared. This experience supports the view that consumers are better off controlling their own preferences for sharing and disclosing information at the point of care.</w:t>
      </w:r>
    </w:p>
    <w:p w14:paraId="457DACA8" w14:textId="77777777" w:rsidR="00D56B08" w:rsidRDefault="00011AC7" w:rsidP="00CC5222">
      <w:r>
        <w:t>Customer preferences should be recorded in the shared care system at enrolment or at initial contact with the health provider, establishing the proximity or relationship between the consumer and health provider and giving them the opportunity to explain how and why the collected information will be held. For example, when a newly pregnant woman registers with her lead maternity carer she can be given an information sheet explaining the process and have the opportunity to put any caveats around the sharing of health information or any health programmes she wants to be enrolled in.</w:t>
      </w:r>
    </w:p>
    <w:p w14:paraId="01557730" w14:textId="77777777" w:rsidR="00D56B08" w:rsidRDefault="00011AC7" w:rsidP="00CC5222">
      <w:pPr>
        <w:pStyle w:val="Heading3"/>
      </w:pPr>
      <w:r w:rsidRPr="007B34F2">
        <w:t>Requirements</w:t>
      </w:r>
    </w:p>
    <w:p w14:paraId="46CA0ADC" w14:textId="77777777" w:rsidR="00D56B08" w:rsidRDefault="00011AC7" w:rsidP="00CC5222">
      <w:r w:rsidRPr="00594C1E">
        <w:t xml:space="preserve">Shared </w:t>
      </w:r>
      <w:r>
        <w:t>care s</w:t>
      </w:r>
      <w:r w:rsidRPr="00594C1E">
        <w:t>ystems</w:t>
      </w:r>
      <w:r>
        <w:t xml:space="preserve"> must have the ability to control customer preferences for sharing health information (policy).</w:t>
      </w:r>
    </w:p>
    <w:p w14:paraId="500F6A05" w14:textId="77777777" w:rsidR="00011AC7" w:rsidRDefault="00D56B08" w:rsidP="00CC5222">
      <w:pPr>
        <w:pStyle w:val="Heading3"/>
      </w:pPr>
      <w:r>
        <w:t>‘</w:t>
      </w:r>
      <w:r w:rsidR="00011AC7">
        <w:t>Do not disclose</w:t>
      </w:r>
      <w:r>
        <w:t>’</w:t>
      </w:r>
      <w:r w:rsidR="00011AC7">
        <w:t xml:space="preserve"> option</w:t>
      </w:r>
    </w:p>
    <w:p w14:paraId="7A632DC9" w14:textId="50CB3765" w:rsidR="00011AC7" w:rsidRPr="00F03536" w:rsidRDefault="00011AC7" w:rsidP="00CC5222">
      <w:r>
        <w:t xml:space="preserve">The consumer has a right to set a </w:t>
      </w:r>
      <w:r w:rsidR="00CC5222">
        <w:t>‘</w:t>
      </w:r>
      <w:r>
        <w:t>do not disclose</w:t>
      </w:r>
      <w:r w:rsidR="00CC5222">
        <w:t>’</w:t>
      </w:r>
      <w:r>
        <w:t xml:space="preserve"> option on sharing some or all of their information. Where this has occurred, the health provider attempting to access the information is notified that some information has been withheld/not disclosed (policy).</w:t>
      </w:r>
    </w:p>
    <w:p w14:paraId="49E06E68" w14:textId="77777777" w:rsidR="00011AC7" w:rsidRPr="00883013" w:rsidRDefault="00011AC7" w:rsidP="00CC5222">
      <w:pPr>
        <w:pStyle w:val="Heading3"/>
      </w:pPr>
      <w:r w:rsidRPr="00883013">
        <w:t xml:space="preserve">Recommended </w:t>
      </w:r>
      <w:r>
        <w:t>m</w:t>
      </w:r>
      <w:r w:rsidRPr="00883013">
        <w:t xml:space="preserve">ethod of </w:t>
      </w:r>
      <w:r>
        <w:t>a</w:t>
      </w:r>
      <w:r w:rsidRPr="00883013">
        <w:t>dvice</w:t>
      </w:r>
    </w:p>
    <w:p w14:paraId="41F86552" w14:textId="77777777" w:rsidR="00D56B08" w:rsidRDefault="00011AC7" w:rsidP="00CC5222">
      <w:r>
        <w:t>Health providers a</w:t>
      </w:r>
      <w:r w:rsidRPr="00743D07">
        <w:t>dvise consumer</w:t>
      </w:r>
      <w:r>
        <w:t>s of the risks in a one-on-</w:t>
      </w:r>
      <w:r w:rsidRPr="00743D07">
        <w:t>one conversation (either in person or by phone)</w:t>
      </w:r>
      <w:r>
        <w:t xml:space="preserve"> before changing consumer</w:t>
      </w:r>
      <w:r w:rsidR="00D56B08">
        <w:t>’</w:t>
      </w:r>
      <w:r>
        <w:t>s preferences (policy).</w:t>
      </w:r>
    </w:p>
    <w:p w14:paraId="7153D6F3" w14:textId="77777777" w:rsidR="00D56B08" w:rsidRDefault="00011AC7" w:rsidP="00CC5222">
      <w:r>
        <w:t>If it is unreasonable in the circumstances to advise consumers face to face or by the consumers</w:t>
      </w:r>
      <w:r w:rsidR="00D56B08">
        <w:t>’</w:t>
      </w:r>
      <w:r>
        <w:t xml:space="preserve"> preferred method of communication, this can be done by other direct communication or through a mass marketing campaign (policy).</w:t>
      </w:r>
    </w:p>
    <w:p w14:paraId="386A1227" w14:textId="77777777" w:rsidR="00D56B08" w:rsidRDefault="00011AC7" w:rsidP="00CC5222">
      <w:pPr>
        <w:pStyle w:val="Bullet"/>
        <w:keepNext/>
      </w:pPr>
      <w:r>
        <w:t xml:space="preserve">Consumers must be </w:t>
      </w:r>
      <w:r w:rsidRPr="008A2660">
        <w:t xml:space="preserve">provided with details of who they can contact </w:t>
      </w:r>
      <w:r>
        <w:t xml:space="preserve">or how to set their preferences for sharing information in a shared care </w:t>
      </w:r>
      <w:r w:rsidRPr="008A2660">
        <w:t>system</w:t>
      </w:r>
      <w:r>
        <w:t xml:space="preserve"> (policy)</w:t>
      </w:r>
      <w:r w:rsidRPr="008A2660">
        <w:t>.</w:t>
      </w:r>
    </w:p>
    <w:p w14:paraId="58472EF8" w14:textId="77777777" w:rsidR="00D56B08" w:rsidRDefault="00011AC7" w:rsidP="00CC5222">
      <w:pPr>
        <w:pStyle w:val="Bullet"/>
      </w:pPr>
      <w:r w:rsidRPr="008A2660">
        <w:t xml:space="preserve">Before </w:t>
      </w:r>
      <w:r>
        <w:t>withholding information,</w:t>
      </w:r>
      <w:r w:rsidRPr="008A2660">
        <w:t xml:space="preserve"> the </w:t>
      </w:r>
      <w:r>
        <w:t>c</w:t>
      </w:r>
      <w:r w:rsidRPr="008A2660">
        <w:t xml:space="preserve">onsumer must be advised of the potential risks in </w:t>
      </w:r>
      <w:r>
        <w:t>the delivery</w:t>
      </w:r>
      <w:r w:rsidRPr="008A2660">
        <w:t xml:space="preserve"> of care provided </w:t>
      </w:r>
      <w:r>
        <w:t>to them (policy)</w:t>
      </w:r>
      <w:r w:rsidRPr="008A2660">
        <w:t>.</w:t>
      </w:r>
    </w:p>
    <w:p w14:paraId="3DE1C0E7" w14:textId="77777777" w:rsidR="00011AC7" w:rsidRPr="007B34F2" w:rsidRDefault="00011AC7" w:rsidP="00CC5222">
      <w:pPr>
        <w:pStyle w:val="Heading3"/>
      </w:pPr>
      <w:r>
        <w:lastRenderedPageBreak/>
        <w:t>Enrolment option</w:t>
      </w:r>
    </w:p>
    <w:p w14:paraId="18B22B79" w14:textId="77777777" w:rsidR="00D56B08" w:rsidRDefault="00011AC7" w:rsidP="00CC5222">
      <w:r>
        <w:t>Where services</w:t>
      </w:r>
      <w:r w:rsidRPr="00F03536">
        <w:t xml:space="preserve"> </w:t>
      </w:r>
      <w:r>
        <w:t>are</w:t>
      </w:r>
      <w:r w:rsidRPr="00F03536">
        <w:t xml:space="preserve"> op</w:t>
      </w:r>
      <w:r>
        <w:t>tional, patients will need to enrol and consent to sharing their information on the shared care system (policy).</w:t>
      </w:r>
    </w:p>
    <w:p w14:paraId="063A745D" w14:textId="77777777" w:rsidR="00011AC7" w:rsidRDefault="00011AC7" w:rsidP="00CC5222">
      <w:pPr>
        <w:pStyle w:val="Heading2"/>
      </w:pPr>
      <w:bookmarkStart w:id="412" w:name="disclosureoutsidehanddsection"/>
      <w:bookmarkStart w:id="413" w:name="_Toc476648183"/>
      <w:bookmarkStart w:id="414" w:name="_Toc489004277"/>
      <w:bookmarkStart w:id="415" w:name="_Toc491259736"/>
      <w:bookmarkEnd w:id="412"/>
      <w:r>
        <w:t>Disclosure outside the health and disability sector</w:t>
      </w:r>
      <w:bookmarkEnd w:id="413"/>
      <w:bookmarkEnd w:id="414"/>
      <w:bookmarkEnd w:id="415"/>
    </w:p>
    <w:p w14:paraId="0B8EB821" w14:textId="77777777" w:rsidR="00011AC7" w:rsidRPr="007B34F2" w:rsidRDefault="00011AC7" w:rsidP="00CC5222">
      <w:r>
        <w:t>Section 22C of the Health Act 1956 says health provider</w:t>
      </w:r>
      <w:r w:rsidRPr="007B34F2">
        <w:t>s may disclose health information to specific categories of people, on request, if that information is required for those people to carry out their functions.</w:t>
      </w:r>
      <w:r>
        <w:t xml:space="preserve"> Section 22C, and other relevant legislation under which these requests are likely to be made, are set out in Appendix 10.</w:t>
      </w:r>
    </w:p>
    <w:p w14:paraId="7D3A8122" w14:textId="77777777" w:rsidR="00011AC7" w:rsidRPr="007B34F2" w:rsidRDefault="00011AC7" w:rsidP="00CC5222">
      <w:r>
        <w:t>Section 22C</w:t>
      </w:r>
      <w:r w:rsidRPr="007B34F2">
        <w:t xml:space="preserve"> allows information to be disclosed in response to a request. It does not allow information to be volunteered without a request. Also, the disclosure is always discretionary – the section doesn</w:t>
      </w:r>
      <w:r w:rsidR="00D56B08">
        <w:t>’</w:t>
      </w:r>
      <w:r w:rsidRPr="007B34F2">
        <w:t>t force a heath care provider to disclose.</w:t>
      </w:r>
    </w:p>
    <w:p w14:paraId="4878E991" w14:textId="77777777" w:rsidR="00011AC7" w:rsidRPr="007B34F2" w:rsidRDefault="00011AC7" w:rsidP="00CC5222">
      <w:r w:rsidRPr="007B34F2">
        <w:t>Some of the categories of people listed in section 22C include police officers, medical officers of penal institutions, probation officers, social workers and car</w:t>
      </w:r>
      <w:r>
        <w:t>e and protection co</w:t>
      </w:r>
      <w:r w:rsidRPr="007B34F2">
        <w:t>ordinators.</w:t>
      </w:r>
    </w:p>
    <w:p w14:paraId="61A52F06" w14:textId="77777777" w:rsidR="00011AC7" w:rsidRDefault="00011AC7" w:rsidP="00CC5222">
      <w:r w:rsidRPr="007B34F2">
        <w:t xml:space="preserve">Information may also be disclosed to the employees of a funder (such as a </w:t>
      </w:r>
      <w:r>
        <w:t>district health b</w:t>
      </w:r>
      <w:r w:rsidRPr="007B34F2">
        <w:t>oard)</w:t>
      </w:r>
      <w:r>
        <w:t xml:space="preserve">, but only where </w:t>
      </w:r>
      <w:r w:rsidRPr="007B34F2">
        <w:t xml:space="preserve">disclosure of identifiable </w:t>
      </w:r>
      <w:r>
        <w:t>is</w:t>
      </w:r>
      <w:r w:rsidRPr="007B34F2">
        <w:t xml:space="preserve"> essential for carrying out that funder</w:t>
      </w:r>
      <w:r w:rsidR="00D56B08">
        <w:t>’</w:t>
      </w:r>
      <w:r w:rsidRPr="007B34F2">
        <w:t>s functions under the New Zealand Public Health and Disability Act.</w:t>
      </w:r>
    </w:p>
    <w:p w14:paraId="1909E0BC" w14:textId="77777777" w:rsidR="00011AC7" w:rsidRDefault="00011AC7" w:rsidP="00CC5222">
      <w:pPr>
        <w:pStyle w:val="Heading3"/>
      </w:pPr>
      <w:r>
        <w:t>Disclosure to Police and other government or sector a</w:t>
      </w:r>
      <w:r w:rsidRPr="00254654">
        <w:t>gencies</w:t>
      </w:r>
    </w:p>
    <w:p w14:paraId="2AFF40D3" w14:textId="77777777" w:rsidR="00011AC7" w:rsidRPr="00083D24" w:rsidRDefault="00011AC7" w:rsidP="00CC5222">
      <w:r w:rsidRPr="00DE21E0">
        <w:t xml:space="preserve">Where a request for </w:t>
      </w:r>
      <w:r>
        <w:t>personal</w:t>
      </w:r>
      <w:r w:rsidRPr="00DE21E0">
        <w:t xml:space="preserve"> health information is made</w:t>
      </w:r>
      <w:r>
        <w:t>,</w:t>
      </w:r>
      <w:r w:rsidRPr="00DE21E0">
        <w:t xml:space="preserve"> </w:t>
      </w:r>
      <w:r>
        <w:t>health provider</w:t>
      </w:r>
      <w:r w:rsidRPr="00DE21E0">
        <w:t>s shall check the legal basis for the request.</w:t>
      </w:r>
      <w:r>
        <w:t xml:space="preserve"> Refer Appendix 10 for the legislation most likely to be cited as the basis for the request (policy).</w:t>
      </w:r>
    </w:p>
    <w:p w14:paraId="1D669ECB" w14:textId="77777777" w:rsidR="00D56B08" w:rsidRDefault="00011AC7" w:rsidP="00CC5222">
      <w:r w:rsidRPr="00DE21E0">
        <w:t>If the request must be complied with</w:t>
      </w:r>
      <w:r>
        <w:t>,</w:t>
      </w:r>
      <w:r w:rsidRPr="00DE21E0">
        <w:t xml:space="preserve"> the </w:t>
      </w:r>
      <w:r>
        <w:t>health provider</w:t>
      </w:r>
      <w:r w:rsidRPr="00DE21E0">
        <w:t xml:space="preserve"> shall sight the relevant documents or legislation setting out the third party</w:t>
      </w:r>
      <w:r w:rsidR="00D56B08">
        <w:t>’</w:t>
      </w:r>
      <w:r w:rsidRPr="00DE21E0">
        <w:t>s right to require this information before providing it</w:t>
      </w:r>
      <w:r>
        <w:t xml:space="preserve"> (policy)</w:t>
      </w:r>
      <w:r w:rsidRPr="00DE21E0">
        <w:t>.</w:t>
      </w:r>
    </w:p>
    <w:p w14:paraId="04E697CF" w14:textId="77777777" w:rsidR="00D56B08" w:rsidRDefault="00011AC7" w:rsidP="00CC5222">
      <w:r w:rsidRPr="00DE21E0">
        <w:t xml:space="preserve">Where it is within the </w:t>
      </w:r>
      <w:r>
        <w:t>health provider</w:t>
      </w:r>
      <w:r w:rsidR="00D56B08">
        <w:t>’</w:t>
      </w:r>
      <w:r w:rsidRPr="00DE21E0">
        <w:t xml:space="preserve">s discretion as to whether or not the information should be disclosed, the </w:t>
      </w:r>
      <w:r>
        <w:t>health provider</w:t>
      </w:r>
      <w:r w:rsidRPr="00DE21E0">
        <w:t xml:space="preserve"> shall consider </w:t>
      </w:r>
      <w:r>
        <w:t>the matter on a case-by-case basis and document their reasons (policy).</w:t>
      </w:r>
    </w:p>
    <w:p w14:paraId="1D5A8D4F" w14:textId="77777777" w:rsidR="00011AC7" w:rsidRPr="00CF0A02" w:rsidRDefault="00011AC7" w:rsidP="00CC5222">
      <w:pPr>
        <w:pStyle w:val="Heading3"/>
      </w:pPr>
      <w:bookmarkStart w:id="416" w:name="informationmatching"/>
      <w:bookmarkEnd w:id="416"/>
      <w:r w:rsidRPr="00CF0A02">
        <w:t xml:space="preserve">Information </w:t>
      </w:r>
      <w:r>
        <w:t>m</w:t>
      </w:r>
      <w:r w:rsidRPr="00CF0A02">
        <w:t>atching</w:t>
      </w:r>
    </w:p>
    <w:p w14:paraId="35EBD083" w14:textId="77777777" w:rsidR="00011AC7" w:rsidRDefault="00011AC7" w:rsidP="00CC5222">
      <w:r w:rsidRPr="00FB1C75">
        <w:t xml:space="preserve">Information matching </w:t>
      </w:r>
      <w:r>
        <w:t>is</w:t>
      </w:r>
      <w:r w:rsidRPr="00FB1C75">
        <w:t xml:space="preserve"> the</w:t>
      </w:r>
      <w:r>
        <w:t xml:space="preserve"> comparison of</w:t>
      </w:r>
      <w:r w:rsidRPr="00FB1C75">
        <w:t xml:space="preserve"> </w:t>
      </w:r>
      <w:r>
        <w:t xml:space="preserve">large-scale </w:t>
      </w:r>
      <w:r w:rsidRPr="00FB1C75">
        <w:t>set</w:t>
      </w:r>
      <w:r>
        <w:t>s</w:t>
      </w:r>
      <w:r w:rsidRPr="00FB1C75">
        <w:t xml:space="preserve"> of </w:t>
      </w:r>
      <w:r>
        <w:t xml:space="preserve">person </w:t>
      </w:r>
      <w:r w:rsidRPr="00FB1C75">
        <w:t xml:space="preserve">records </w:t>
      </w:r>
      <w:r>
        <w:t>between government departments</w:t>
      </w:r>
      <w:r w:rsidRPr="00FB1C75">
        <w:t xml:space="preserve">. An example is the </w:t>
      </w:r>
      <w:r>
        <w:t>link between primary care enrolment data and immigration data to determine a person</w:t>
      </w:r>
      <w:r w:rsidR="00D56B08">
        <w:t>’</w:t>
      </w:r>
      <w:r>
        <w:t xml:space="preserve">s eligibility for primary health organisation (PHO) funding. </w:t>
      </w:r>
      <w:r w:rsidRPr="00FB1C75">
        <w:t>In some programmes, it is the absence of a person in one set of records that is of interest. The process is commonly used to</w:t>
      </w:r>
      <w:r>
        <w:t xml:space="preserve"> determine eligibility for publically funded services.</w:t>
      </w:r>
      <w:r w:rsidRPr="00CC5222">
        <w:rPr>
          <w:rStyle w:val="FootnoteReference"/>
        </w:rPr>
        <w:footnoteReference w:id="44"/>
      </w:r>
      <w:r w:rsidRPr="00FA285B">
        <w:rPr>
          <w:vertAlign w:val="superscript"/>
        </w:rPr>
        <w:t>.</w:t>
      </w:r>
      <w:r>
        <w:t xml:space="preserve"> Further information on the rules around information matching can be found in Appendix 11.</w:t>
      </w:r>
    </w:p>
    <w:p w14:paraId="32AB1000" w14:textId="77777777" w:rsidR="00011AC7" w:rsidRPr="007B34F2" w:rsidRDefault="00011AC7" w:rsidP="00CC5222">
      <w:pPr>
        <w:pStyle w:val="Heading3"/>
      </w:pPr>
      <w:r w:rsidRPr="007B34F2">
        <w:lastRenderedPageBreak/>
        <w:t>Requir</w:t>
      </w:r>
      <w:r>
        <w:t>e</w:t>
      </w:r>
      <w:r w:rsidRPr="007B34F2">
        <w:t>ments</w:t>
      </w:r>
    </w:p>
    <w:p w14:paraId="6791A4BE" w14:textId="77777777" w:rsidR="00D56B08" w:rsidRDefault="00011AC7" w:rsidP="00CC5222">
      <w:r>
        <w:t>Health provider</w:t>
      </w:r>
      <w:r w:rsidRPr="00575E9F">
        <w:t xml:space="preserve">s shall only undertake information matching as provided </w:t>
      </w:r>
      <w:r>
        <w:t>under Part 10 of</w:t>
      </w:r>
      <w:r w:rsidRPr="00575E9F">
        <w:t xml:space="preserve"> the Privacy Act 1993</w:t>
      </w:r>
      <w:r>
        <w:t xml:space="preserve"> (law)</w:t>
      </w:r>
      <w:r w:rsidRPr="00575E9F">
        <w:t>.</w:t>
      </w:r>
    </w:p>
    <w:p w14:paraId="5969F792" w14:textId="77777777" w:rsidR="00011AC7" w:rsidRDefault="00011AC7" w:rsidP="00CC5222">
      <w:pPr>
        <w:pStyle w:val="Heading3"/>
      </w:pPr>
      <w:bookmarkStart w:id="417" w:name="aisa"/>
      <w:bookmarkEnd w:id="417"/>
      <w:r>
        <w:t>Approved Information Sharing Agreement (AISA)</w:t>
      </w:r>
    </w:p>
    <w:p w14:paraId="514B811E" w14:textId="1F190E50" w:rsidR="00011AC7" w:rsidRDefault="00011AC7" w:rsidP="00CC5222">
      <w:r w:rsidRPr="00FA285B">
        <w:t>An approved information sharing agreement (AISA) allows information sharing that would otherwise be unlawful between and within agencies to deliver public services.</w:t>
      </w:r>
      <w:r>
        <w:t xml:space="preserve"> </w:t>
      </w:r>
      <w:r w:rsidRPr="00FA285B">
        <w:t xml:space="preserve">Further detail on AISAs and how they work can be found in </w:t>
      </w:r>
      <w:r>
        <w:t>Appendix 12</w:t>
      </w:r>
      <w:r w:rsidRPr="00FA285B">
        <w:t>.</w:t>
      </w:r>
    </w:p>
    <w:p w14:paraId="58A53703" w14:textId="77777777" w:rsidR="00011AC7" w:rsidRPr="00254654" w:rsidRDefault="00011AC7" w:rsidP="00CC5222">
      <w:pPr>
        <w:pStyle w:val="Heading3"/>
      </w:pPr>
      <w:r w:rsidRPr="00254654">
        <w:t>Requirements</w:t>
      </w:r>
    </w:p>
    <w:p w14:paraId="553C4322" w14:textId="77777777" w:rsidR="00D56B08" w:rsidRDefault="00011AC7" w:rsidP="00CC5222">
      <w:r>
        <w:t xml:space="preserve">Health providers may share personal health information only where permitted by the Privacy Act 1993 and Health Information Privacy Code 1994 </w:t>
      </w:r>
      <w:r w:rsidRPr="00FB1C75">
        <w:t>or by an AISA or other legislation that permits or requires the disclosure of personal health information</w:t>
      </w:r>
      <w:r w:rsidRPr="00CC5222">
        <w:rPr>
          <w:rStyle w:val="FootnoteReference"/>
        </w:rPr>
        <w:footnoteReference w:id="45"/>
      </w:r>
      <w:r>
        <w:t xml:space="preserve"> (law)</w:t>
      </w:r>
      <w:r w:rsidRPr="00FB1C75">
        <w:t>.</w:t>
      </w:r>
    </w:p>
    <w:p w14:paraId="03E84F6A" w14:textId="77777777" w:rsidR="00011AC7" w:rsidRPr="00204968" w:rsidRDefault="00011AC7" w:rsidP="00CC5222">
      <w:pPr>
        <w:pStyle w:val="Heading2"/>
      </w:pPr>
      <w:bookmarkStart w:id="418" w:name="secondaryuseofinformation"/>
      <w:bookmarkStart w:id="419" w:name="_Toc476648184"/>
      <w:bookmarkStart w:id="420" w:name="_Toc489004278"/>
      <w:bookmarkStart w:id="421" w:name="_Toc491259737"/>
      <w:bookmarkEnd w:id="418"/>
      <w:r>
        <w:t>Secondary use of information</w:t>
      </w:r>
      <w:bookmarkEnd w:id="419"/>
      <w:bookmarkEnd w:id="420"/>
      <w:bookmarkEnd w:id="421"/>
    </w:p>
    <w:p w14:paraId="023B43BE" w14:textId="77777777" w:rsidR="00D56B08" w:rsidRDefault="00011AC7" w:rsidP="00CC5222">
      <w:r w:rsidRPr="00204968">
        <w:t>The primary use of personal health information</w:t>
      </w:r>
      <w:r>
        <w:t xml:space="preserve"> by health providers</w:t>
      </w:r>
      <w:r w:rsidRPr="00204968">
        <w:t xml:space="preserve"> is for treatment and care</w:t>
      </w:r>
      <w:r>
        <w:t>. However, the data is also often used for secondary purposes such as service management, planning, performance monitoring and funding.</w:t>
      </w:r>
    </w:p>
    <w:p w14:paraId="36A28646" w14:textId="77777777" w:rsidR="00D56B08" w:rsidRDefault="00011AC7" w:rsidP="00CC5222">
      <w:r>
        <w:t>The use of health information for secondary purposes is permissible where the purpose was identified and stated at the point of collection, or where the information is used for research or statistical purposes but not published in a way that identifies the consumer.</w:t>
      </w:r>
    </w:p>
    <w:p w14:paraId="1405F264" w14:textId="79440D6A" w:rsidR="00011AC7" w:rsidRDefault="00011AC7" w:rsidP="00CC5222">
      <w:r>
        <w:t xml:space="preserve">For this reason most GPs and DHBs state in documents such as enrolment forms, or privacy fact sheets, a wider list of uses than </w:t>
      </w:r>
      <w:r w:rsidR="00CC5222">
        <w:t>‘</w:t>
      </w:r>
      <w:r>
        <w:t>treatment and care</w:t>
      </w:r>
      <w:r w:rsidR="00CC5222">
        <w:t>’</w:t>
      </w:r>
      <w:r>
        <w:t>. Accordingly, where providers propose to use personal health information, they need to ensure their consent forms clearly set out all possible purposes for which the information collected may be used.</w:t>
      </w:r>
    </w:p>
    <w:p w14:paraId="4330B155" w14:textId="3F2BD6E6" w:rsidR="00011AC7" w:rsidRDefault="00011AC7" w:rsidP="00CC5222">
      <w:r>
        <w:t>It is important to distinguish between personal health information which identifies the individual, and anonymised information in which the individual</w:t>
      </w:r>
      <w:r w:rsidR="00D56B08">
        <w:t>’</w:t>
      </w:r>
      <w:r>
        <w:t xml:space="preserve">s direct identifiers have been removed, as the rules around the sharing of information for each differ. Canterbury District Health Board has provided guidelines on the types of data and degrees of </w:t>
      </w:r>
      <w:proofErr w:type="spellStart"/>
      <w:r>
        <w:t>anonymisation</w:t>
      </w:r>
      <w:proofErr w:type="spellEnd"/>
      <w:r>
        <w:t xml:space="preserve"> which these</w:t>
      </w:r>
      <w:r w:rsidR="004710E0">
        <w:t xml:space="preserve"> </w:t>
      </w:r>
      <w:r w:rsidR="001C2FA7">
        <w:t xml:space="preserve">guidelines </w:t>
      </w:r>
      <w:r>
        <w:t xml:space="preserve">have adopted. Further detail on the types and degrees of </w:t>
      </w:r>
      <w:proofErr w:type="spellStart"/>
      <w:r>
        <w:t>anonymisation</w:t>
      </w:r>
      <w:proofErr w:type="spellEnd"/>
      <w:r>
        <w:t xml:space="preserve"> can be found in Appendix 13.</w:t>
      </w:r>
    </w:p>
    <w:p w14:paraId="3E0FDCE6" w14:textId="77777777" w:rsidR="00011AC7" w:rsidRPr="007B34F2" w:rsidRDefault="00011AC7" w:rsidP="00CC5222">
      <w:pPr>
        <w:pStyle w:val="Heading3"/>
      </w:pPr>
      <w:r w:rsidRPr="007B34F2">
        <w:t>Requirements</w:t>
      </w:r>
    </w:p>
    <w:p w14:paraId="019A474A" w14:textId="77777777" w:rsidR="00D56B08" w:rsidRDefault="00011AC7" w:rsidP="00CC5222">
      <w:pPr>
        <w:keepNext/>
      </w:pPr>
      <w:r w:rsidRPr="00FE054B">
        <w:t>Personal health information shall only be used for secondary purposes</w:t>
      </w:r>
      <w:r>
        <w:t>:</w:t>
      </w:r>
    </w:p>
    <w:p w14:paraId="16AD8C4C" w14:textId="77777777" w:rsidR="00D56B08" w:rsidRDefault="00011AC7" w:rsidP="00CC5222">
      <w:pPr>
        <w:pStyle w:val="Bullet"/>
        <w:keepNext/>
      </w:pPr>
      <w:r w:rsidRPr="004A352A">
        <w:t xml:space="preserve">with the </w:t>
      </w:r>
      <w:r>
        <w:t>knowledge</w:t>
      </w:r>
      <w:r w:rsidRPr="004A352A">
        <w:t xml:space="preserve"> of the </w:t>
      </w:r>
      <w:r w:rsidRPr="007B34F2">
        <w:t>consumer</w:t>
      </w:r>
    </w:p>
    <w:p w14:paraId="1AEBEBBF" w14:textId="77777777" w:rsidR="00011AC7" w:rsidRPr="007B34F2" w:rsidRDefault="00011AC7" w:rsidP="00CC5222">
      <w:pPr>
        <w:pStyle w:val="Bullet"/>
        <w:keepNext/>
      </w:pPr>
      <w:r w:rsidRPr="007B34F2">
        <w:t>if the use is in line with the original purpose for which the information was collected</w:t>
      </w:r>
    </w:p>
    <w:p w14:paraId="67BFBCD6" w14:textId="77777777" w:rsidR="00011AC7" w:rsidRDefault="00011AC7" w:rsidP="00CC5222">
      <w:pPr>
        <w:pStyle w:val="Bullet"/>
      </w:pPr>
      <w:r>
        <w:t xml:space="preserve">where </w:t>
      </w:r>
      <w:r w:rsidRPr="007B34F2">
        <w:t xml:space="preserve">there is a </w:t>
      </w:r>
      <w:r>
        <w:t>s</w:t>
      </w:r>
      <w:r w:rsidRPr="007B34F2">
        <w:t xml:space="preserve">erious </w:t>
      </w:r>
      <w:r>
        <w:t>t</w:t>
      </w:r>
      <w:r w:rsidRPr="007B34F2">
        <w:t xml:space="preserve">hreat </w:t>
      </w:r>
      <w:r>
        <w:t>to the patient</w:t>
      </w:r>
      <w:r w:rsidR="00D56B08">
        <w:t>’</w:t>
      </w:r>
      <w:r>
        <w:t>s safety</w:t>
      </w:r>
    </w:p>
    <w:p w14:paraId="41BC5A03" w14:textId="77777777" w:rsidR="00D56B08" w:rsidRDefault="00011AC7" w:rsidP="00CC5222">
      <w:pPr>
        <w:pStyle w:val="Bullet"/>
      </w:pPr>
      <w:r>
        <w:t xml:space="preserve">where it </w:t>
      </w:r>
      <w:r w:rsidRPr="007B34F2">
        <w:t xml:space="preserve">is required by law, </w:t>
      </w:r>
      <w:r w:rsidRPr="004A352A">
        <w:t>or</w:t>
      </w:r>
    </w:p>
    <w:p w14:paraId="71D5F569" w14:textId="77777777" w:rsidR="00011AC7" w:rsidRPr="007B34F2" w:rsidRDefault="00011AC7" w:rsidP="00CC5222">
      <w:pPr>
        <w:pStyle w:val="Bullet"/>
      </w:pPr>
      <w:r>
        <w:t>if it is permitted by an AISA</w:t>
      </w:r>
    </w:p>
    <w:p w14:paraId="3834B28F" w14:textId="77777777" w:rsidR="00011AC7" w:rsidRDefault="00011AC7" w:rsidP="00CC5222">
      <w:pPr>
        <w:pStyle w:val="Bullet"/>
      </w:pPr>
      <w:proofErr w:type="gramStart"/>
      <w:r>
        <w:lastRenderedPageBreak/>
        <w:t>where</w:t>
      </w:r>
      <w:proofErr w:type="gramEnd"/>
      <w:r>
        <w:t xml:space="preserve"> it </w:t>
      </w:r>
      <w:r w:rsidRPr="007B34F2">
        <w:t xml:space="preserve">is to be used </w:t>
      </w:r>
      <w:r w:rsidRPr="004A352A">
        <w:t>for research or statistical purposes but not published in a way that can identify the consumer</w:t>
      </w:r>
      <w:r w:rsidRPr="00CC5222">
        <w:rPr>
          <w:rStyle w:val="FootnoteReference"/>
        </w:rPr>
        <w:footnoteReference w:id="46"/>
      </w:r>
      <w:r w:rsidRPr="00C53FBE">
        <w:rPr>
          <w:vertAlign w:val="superscript"/>
        </w:rPr>
        <w:t>.</w:t>
      </w:r>
      <w:r>
        <w:t>(law).</w:t>
      </w:r>
    </w:p>
    <w:p w14:paraId="58B2E3B3" w14:textId="77777777" w:rsidR="00011AC7" w:rsidRDefault="00011AC7" w:rsidP="00CC5222">
      <w:r>
        <w:t xml:space="preserve">Where information is to be analysed in anonymised form the level of </w:t>
      </w:r>
      <w:proofErr w:type="spellStart"/>
      <w:r>
        <w:t>anonymisation</w:t>
      </w:r>
      <w:proofErr w:type="spellEnd"/>
      <w:r>
        <w:t xml:space="preserve"> required is that for de-identified information as set in Appendix 13 (policy)</w:t>
      </w:r>
    </w:p>
    <w:p w14:paraId="61D63C5E" w14:textId="77777777" w:rsidR="00011AC7" w:rsidRDefault="00011AC7" w:rsidP="00CC5222">
      <w:r>
        <w:t>There is no restriction on the use of anonymised information</w:t>
      </w:r>
      <w:r w:rsidRPr="00CC5222">
        <w:rPr>
          <w:rStyle w:val="FootnoteReference"/>
        </w:rPr>
        <w:footnoteReference w:id="47"/>
      </w:r>
      <w:r>
        <w:t xml:space="preserve"> (law).</w:t>
      </w:r>
    </w:p>
    <w:p w14:paraId="72D6C307" w14:textId="77777777" w:rsidR="00011AC7" w:rsidRPr="00326BEE" w:rsidRDefault="00011AC7" w:rsidP="00CC5222">
      <w:r>
        <w:t xml:space="preserve">Health providers shall not attempt </w:t>
      </w:r>
      <w:r w:rsidRPr="0095752A">
        <w:t xml:space="preserve">to re-identify the data from which identifying information has been removed unless they have express consent to do so, or it is necessary </w:t>
      </w:r>
      <w:r w:rsidRPr="002A77A5">
        <w:t xml:space="preserve">to prevent or lessen a </w:t>
      </w:r>
      <w:r>
        <w:t>s</w:t>
      </w:r>
      <w:r w:rsidRPr="002A77A5">
        <w:t xml:space="preserve">erious </w:t>
      </w:r>
      <w:r>
        <w:t>t</w:t>
      </w:r>
      <w:r w:rsidRPr="002A77A5">
        <w:t>hreat to the safety of an individual or public health</w:t>
      </w:r>
      <w:r>
        <w:t>.</w:t>
      </w:r>
    </w:p>
    <w:p w14:paraId="3404DE6D" w14:textId="42C38EE6" w:rsidR="00011AC7" w:rsidRPr="00BF2FFC" w:rsidRDefault="00011AC7" w:rsidP="00CC5222">
      <w:pPr>
        <w:pStyle w:val="Heading2"/>
      </w:pPr>
      <w:bookmarkStart w:id="422" w:name="accesscontrol"/>
      <w:bookmarkStart w:id="423" w:name="_Toc476648185"/>
      <w:bookmarkStart w:id="424" w:name="_Toc489004279"/>
      <w:bookmarkStart w:id="425" w:name="_Toc491259738"/>
      <w:bookmarkEnd w:id="422"/>
      <w:r>
        <w:t xml:space="preserve">Access </w:t>
      </w:r>
      <w:r w:rsidR="00CC5222">
        <w:t>c</w:t>
      </w:r>
      <w:r>
        <w:t>ontrol</w:t>
      </w:r>
      <w:r w:rsidRPr="00CC5222">
        <w:rPr>
          <w:rStyle w:val="FootnoteReference"/>
        </w:rPr>
        <w:footnoteReference w:id="48"/>
      </w:r>
      <w:bookmarkEnd w:id="423"/>
      <w:bookmarkEnd w:id="424"/>
      <w:bookmarkEnd w:id="425"/>
    </w:p>
    <w:p w14:paraId="39D5D13E" w14:textId="77777777" w:rsidR="00011AC7" w:rsidRDefault="00011AC7" w:rsidP="00CC5222">
      <w:pPr>
        <w:pStyle w:val="Heading3"/>
      </w:pPr>
      <w:bookmarkStart w:id="426" w:name="authorisedaccess"/>
      <w:bookmarkEnd w:id="426"/>
      <w:r>
        <w:t>Authorised a</w:t>
      </w:r>
      <w:r w:rsidRPr="001D2E9C">
        <w:t>ccess</w:t>
      </w:r>
    </w:p>
    <w:p w14:paraId="5AC9029A" w14:textId="77777777" w:rsidR="00D56B08" w:rsidRDefault="00011AC7" w:rsidP="00CC5222">
      <w:r>
        <w:t>As a guiding principle, health information shall only be accessed by persons who have authorised access and only in the performance of their duties.</w:t>
      </w:r>
    </w:p>
    <w:p w14:paraId="6C75A7EF" w14:textId="77777777" w:rsidR="00011AC7" w:rsidRPr="00AB3BDD" w:rsidRDefault="00011AC7" w:rsidP="00CC5222">
      <w:pPr>
        <w:pStyle w:val="Bullet"/>
      </w:pPr>
      <w:r>
        <w:t>Authorised</w:t>
      </w:r>
      <w:r w:rsidRPr="00AB3BDD">
        <w:t xml:space="preserve"> </w:t>
      </w:r>
      <w:r>
        <w:t>a</w:t>
      </w:r>
      <w:r w:rsidRPr="00AB3BDD">
        <w:t xml:space="preserve">ccess means that </w:t>
      </w:r>
      <w:r>
        <w:t xml:space="preserve">a higher delegated authority has given </w:t>
      </w:r>
      <w:r w:rsidRPr="00AB3BDD">
        <w:t xml:space="preserve">permission to an individual </w:t>
      </w:r>
      <w:r>
        <w:t xml:space="preserve">employee, contractor or agent </w:t>
      </w:r>
      <w:r w:rsidRPr="00AB3BDD">
        <w:t xml:space="preserve">to access </w:t>
      </w:r>
      <w:r>
        <w:t>p</w:t>
      </w:r>
      <w:r w:rsidRPr="00AB3BDD">
        <w:t xml:space="preserve">ersonal </w:t>
      </w:r>
      <w:r>
        <w:t>h</w:t>
      </w:r>
      <w:r w:rsidRPr="00AB3BDD">
        <w:t xml:space="preserve">ealth </w:t>
      </w:r>
      <w:r>
        <w:t>i</w:t>
      </w:r>
      <w:r w:rsidRPr="00AB3BDD">
        <w:t>nformation</w:t>
      </w:r>
      <w:r>
        <w:t xml:space="preserve"> in the course of their duties</w:t>
      </w:r>
      <w:r w:rsidRPr="00AB3BDD">
        <w:t>.</w:t>
      </w:r>
      <w:r>
        <w:t xml:space="preserve"> </w:t>
      </w:r>
      <w:r w:rsidRPr="00AB3BDD">
        <w:t>Authorised access may be direct or indirect.</w:t>
      </w:r>
    </w:p>
    <w:p w14:paraId="78B85B6E" w14:textId="20ADE37C" w:rsidR="00011AC7" w:rsidRPr="00AB3BDD" w:rsidRDefault="00011AC7" w:rsidP="00CC5222">
      <w:pPr>
        <w:pStyle w:val="Bullet"/>
      </w:pPr>
      <w:r w:rsidRPr="00AB3BDD">
        <w:t>Direct authorised access means that authorisation has been given to a named individual by the person to whom the information relates (</w:t>
      </w:r>
      <w:proofErr w:type="spellStart"/>
      <w:r w:rsidRPr="00AB3BDD">
        <w:t>ie</w:t>
      </w:r>
      <w:proofErr w:type="spellEnd"/>
      <w:r w:rsidR="00CC5222">
        <w:t>,</w:t>
      </w:r>
      <w:r w:rsidRPr="00AB3BDD">
        <w:t xml:space="preserve"> by informed consent).</w:t>
      </w:r>
    </w:p>
    <w:p w14:paraId="53988278" w14:textId="77777777" w:rsidR="00011AC7" w:rsidRPr="00AB3BDD" w:rsidRDefault="00011AC7" w:rsidP="00CC5222">
      <w:pPr>
        <w:pStyle w:val="Bullet"/>
      </w:pPr>
      <w:r w:rsidRPr="00AB3BDD">
        <w:t>Indirect authorised access is access that has been granted:</w:t>
      </w:r>
    </w:p>
    <w:p w14:paraId="1CD22B02" w14:textId="5622C29B" w:rsidR="00011AC7" w:rsidRPr="00DC4E99" w:rsidRDefault="00CC5222" w:rsidP="00CC5222">
      <w:pPr>
        <w:pStyle w:val="Dash"/>
      </w:pPr>
      <w:r>
        <w:t>b</w:t>
      </w:r>
      <w:r w:rsidR="00011AC7" w:rsidRPr="00DC4E99">
        <w:t>y virtue of the individual</w:t>
      </w:r>
      <w:r w:rsidR="00011AC7">
        <w:t xml:space="preserve"> user</w:t>
      </w:r>
      <w:r w:rsidR="00D56B08">
        <w:t>’</w:t>
      </w:r>
      <w:r w:rsidR="00011AC7" w:rsidRPr="00DC4E99">
        <w:t>s role and function (eg</w:t>
      </w:r>
      <w:r>
        <w:t>,</w:t>
      </w:r>
      <w:r w:rsidR="00011AC7" w:rsidRPr="00DC4E99">
        <w:t xml:space="preserve"> </w:t>
      </w:r>
      <w:r w:rsidR="00011AC7">
        <w:t>health practitioner</w:t>
      </w:r>
      <w:r w:rsidR="00011AC7" w:rsidRPr="00DC4E99">
        <w:t>, or health service administrator)</w:t>
      </w:r>
    </w:p>
    <w:p w14:paraId="45C8B767" w14:textId="0E909B7E" w:rsidR="00011AC7" w:rsidRPr="00DC4E99" w:rsidRDefault="00CC5222" w:rsidP="00CC5222">
      <w:pPr>
        <w:pStyle w:val="Dash"/>
      </w:pPr>
      <w:r>
        <w:t>w</w:t>
      </w:r>
      <w:r w:rsidR="00011AC7">
        <w:t>here a person has enrolled in, is registered with, or is admitted to a health service</w:t>
      </w:r>
    </w:p>
    <w:p w14:paraId="4030D5CA" w14:textId="5CA9D975" w:rsidR="00011AC7" w:rsidRPr="00DC4E99" w:rsidRDefault="00CC5222" w:rsidP="00CC5222">
      <w:pPr>
        <w:pStyle w:val="Dash"/>
      </w:pPr>
      <w:r>
        <w:t>i</w:t>
      </w:r>
      <w:r w:rsidR="00011AC7" w:rsidRPr="00DC4E99">
        <w:t>n the case of an emergency where the individual is unable to give his/her consent</w:t>
      </w:r>
    </w:p>
    <w:p w14:paraId="2C868B63" w14:textId="7B084F8B" w:rsidR="00D56B08" w:rsidRDefault="00CC5222" w:rsidP="00CC5222">
      <w:pPr>
        <w:pStyle w:val="Dash"/>
      </w:pPr>
      <w:r>
        <w:t>w</w:t>
      </w:r>
      <w:r w:rsidR="00011AC7" w:rsidRPr="00DC4E99">
        <w:t>here there is</w:t>
      </w:r>
      <w:r w:rsidR="00011AC7">
        <w:t xml:space="preserve"> a need to prevent or lessen a serious t</w:t>
      </w:r>
      <w:r w:rsidR="00011AC7" w:rsidRPr="00DC4E99">
        <w:t>hreat</w:t>
      </w:r>
      <w:r w:rsidR="00011AC7" w:rsidRPr="00CC5222">
        <w:rPr>
          <w:rStyle w:val="FootnoteReference"/>
        </w:rPr>
        <w:footnoteReference w:id="49"/>
      </w:r>
    </w:p>
    <w:p w14:paraId="409E291C" w14:textId="08E072DF" w:rsidR="00011AC7" w:rsidRDefault="00CC5222" w:rsidP="00CC5222">
      <w:pPr>
        <w:pStyle w:val="Dash"/>
        <w:keepNext/>
        <w:ind w:left="568" w:hanging="284"/>
      </w:pPr>
      <w:r>
        <w:t>w</w:t>
      </w:r>
      <w:r w:rsidR="00011AC7">
        <w:t>here t</w:t>
      </w:r>
      <w:r w:rsidR="00011AC7" w:rsidRPr="00FB1C75">
        <w:t xml:space="preserve">he </w:t>
      </w:r>
      <w:r w:rsidR="00011AC7">
        <w:t>c</w:t>
      </w:r>
      <w:r w:rsidR="00011AC7" w:rsidRPr="00FB1C75">
        <w:t xml:space="preserve">onsumer is under 16, </w:t>
      </w:r>
      <w:r w:rsidR="00011AC7">
        <w:t xml:space="preserve">and </w:t>
      </w:r>
      <w:r w:rsidR="00011AC7" w:rsidRPr="00FB1C75">
        <w:t xml:space="preserve">a request has been made by his or her parent/guardian, and disclosure of the information is not against the </w:t>
      </w:r>
      <w:r w:rsidR="00011AC7">
        <w:t>c</w:t>
      </w:r>
      <w:r w:rsidR="00011AC7" w:rsidRPr="00FB1C75">
        <w:t>onsumer</w:t>
      </w:r>
      <w:r w:rsidR="00D56B08">
        <w:t>’</w:t>
      </w:r>
      <w:r w:rsidR="00011AC7" w:rsidRPr="00FB1C75">
        <w:t>s wishes or interests</w:t>
      </w:r>
      <w:r w:rsidR="00011AC7" w:rsidRPr="00CC5222">
        <w:rPr>
          <w:rStyle w:val="FootnoteReference"/>
        </w:rPr>
        <w:footnoteReference w:id="50"/>
      </w:r>
    </w:p>
    <w:p w14:paraId="0E9BF057" w14:textId="25A393BB" w:rsidR="00011AC7" w:rsidRDefault="00CC5222" w:rsidP="00CC5222">
      <w:pPr>
        <w:pStyle w:val="Dash"/>
      </w:pPr>
      <w:proofErr w:type="gramStart"/>
      <w:r>
        <w:t>b</w:t>
      </w:r>
      <w:r w:rsidR="00011AC7" w:rsidRPr="00DC4E99">
        <w:t>y</w:t>
      </w:r>
      <w:proofErr w:type="gramEnd"/>
      <w:r w:rsidR="00011AC7" w:rsidRPr="00DC4E99">
        <w:t xml:space="preserve"> law.</w:t>
      </w:r>
    </w:p>
    <w:p w14:paraId="0F5FF2EE" w14:textId="77777777" w:rsidR="00011AC7" w:rsidRPr="00AB3BDD" w:rsidRDefault="00011AC7" w:rsidP="00CC5222">
      <w:pPr>
        <w:pStyle w:val="Bullet"/>
      </w:pPr>
      <w:r w:rsidRPr="00AB3BDD">
        <w:t>A person</w:t>
      </w:r>
      <w:r w:rsidR="00D56B08">
        <w:t>’</w:t>
      </w:r>
      <w:r w:rsidRPr="00AB3BDD">
        <w:t>s authorisation is not necessary where</w:t>
      </w:r>
      <w:r>
        <w:t>:</w:t>
      </w:r>
    </w:p>
    <w:p w14:paraId="6EF74636" w14:textId="0F6721B0" w:rsidR="00011AC7" w:rsidRPr="00AA55E3" w:rsidRDefault="00011AC7" w:rsidP="00CC5222">
      <w:pPr>
        <w:pStyle w:val="Dash"/>
      </w:pPr>
      <w:r>
        <w:t>the information is information in general terms concerning the presence</w:t>
      </w:r>
      <w:r w:rsidRPr="00FB1C75">
        <w:t>,</w:t>
      </w:r>
      <w:r>
        <w:t xml:space="preserve"> location, and condition and progress of a patient in hospital, on the day on which the information is disclosed, and the disclosure is not contrary to the express request of the individual or his or her </w:t>
      </w:r>
      <w:r w:rsidRPr="00AA55E3">
        <w:t>representative</w:t>
      </w:r>
      <w:r w:rsidR="00CC5222">
        <w:t>,</w:t>
      </w:r>
      <w:r w:rsidRPr="00CC5222">
        <w:rPr>
          <w:rStyle w:val="FootnoteReference"/>
        </w:rPr>
        <w:footnoteReference w:id="51"/>
      </w:r>
      <w:r w:rsidRPr="00AA55E3">
        <w:t>or</w:t>
      </w:r>
    </w:p>
    <w:p w14:paraId="1F4D76D6" w14:textId="02840B9F" w:rsidR="00011AC7" w:rsidRDefault="00CC5222" w:rsidP="00CC5222">
      <w:pPr>
        <w:pStyle w:val="Dash"/>
      </w:pPr>
      <w:proofErr w:type="gramStart"/>
      <w:r>
        <w:lastRenderedPageBreak/>
        <w:t>d</w:t>
      </w:r>
      <w:r w:rsidR="00011AC7">
        <w:t>e-identified</w:t>
      </w:r>
      <w:proofErr w:type="gramEnd"/>
      <w:r w:rsidR="00011AC7" w:rsidRPr="00AA55E3">
        <w:t xml:space="preserve"> information is being </w:t>
      </w:r>
      <w:r w:rsidR="00011AC7">
        <w:t>used for the purposes of health statistics or analysis.</w:t>
      </w:r>
      <w:r w:rsidR="00011AC7" w:rsidRPr="00CC5222">
        <w:rPr>
          <w:rStyle w:val="FootnoteReference"/>
        </w:rPr>
        <w:footnoteReference w:id="52"/>
      </w:r>
    </w:p>
    <w:p w14:paraId="79D4B4E6" w14:textId="77777777" w:rsidR="00011AC7" w:rsidRPr="00C53FBE" w:rsidRDefault="00011AC7" w:rsidP="00CC5222">
      <w:pPr>
        <w:pStyle w:val="Heading3"/>
      </w:pPr>
      <w:r w:rsidRPr="00C53FBE">
        <w:t>Requirements</w:t>
      </w:r>
    </w:p>
    <w:p w14:paraId="702CCE7E" w14:textId="77777777" w:rsidR="00011AC7" w:rsidRDefault="00011AC7" w:rsidP="00CC5222">
      <w:r>
        <w:t>Individual users shall be granted access to a system containing personal health information:</w:t>
      </w:r>
    </w:p>
    <w:p w14:paraId="01FAAA31" w14:textId="77777777" w:rsidR="00011AC7" w:rsidRPr="00235209" w:rsidRDefault="00011AC7" w:rsidP="00CC5222">
      <w:pPr>
        <w:pStyle w:val="Bullet"/>
        <w:rPr>
          <w:rFonts w:cs="Arial"/>
        </w:rPr>
      </w:pPr>
      <w:r w:rsidRPr="00AA5E61">
        <w:t>if authorised</w:t>
      </w:r>
      <w:r>
        <w:t xml:space="preserve"> by a delegated authority</w:t>
      </w:r>
    </w:p>
    <w:p w14:paraId="085FDB5E" w14:textId="1EBE8C75" w:rsidR="00D56B08" w:rsidRDefault="00CC5222" w:rsidP="00CC5222">
      <w:pPr>
        <w:pStyle w:val="Bullet"/>
      </w:pPr>
      <w:proofErr w:type="gramStart"/>
      <w:r>
        <w:t>i</w:t>
      </w:r>
      <w:r w:rsidR="00011AC7">
        <w:t>f</w:t>
      </w:r>
      <w:proofErr w:type="gramEnd"/>
      <w:r w:rsidR="00011AC7">
        <w:t xml:space="preserve"> required to perform their duties (policy).</w:t>
      </w:r>
    </w:p>
    <w:p w14:paraId="606F5627" w14:textId="77777777" w:rsidR="00011AC7" w:rsidRPr="004E13E6" w:rsidRDefault="00011AC7" w:rsidP="00CC5222">
      <w:pPr>
        <w:pStyle w:val="Heading2"/>
      </w:pPr>
      <w:bookmarkStart w:id="427" w:name="rbac"/>
      <w:bookmarkStart w:id="428" w:name="_Toc476648186"/>
      <w:bookmarkStart w:id="429" w:name="_Toc489004280"/>
      <w:bookmarkStart w:id="430" w:name="_Toc491259739"/>
      <w:bookmarkEnd w:id="427"/>
      <w:r>
        <w:t>Role-b</w:t>
      </w:r>
      <w:r w:rsidRPr="004E13E6">
        <w:t xml:space="preserve">ased </w:t>
      </w:r>
      <w:r>
        <w:t>a</w:t>
      </w:r>
      <w:r w:rsidRPr="004E13E6">
        <w:t xml:space="preserve">ccess </w:t>
      </w:r>
      <w:r>
        <w:t>c</w:t>
      </w:r>
      <w:r w:rsidRPr="004E13E6">
        <w:t>ontrol</w:t>
      </w:r>
      <w:bookmarkEnd w:id="428"/>
      <w:bookmarkEnd w:id="429"/>
      <w:bookmarkEnd w:id="430"/>
    </w:p>
    <w:p w14:paraId="2A48FF0F" w14:textId="77777777" w:rsidR="00011AC7" w:rsidRDefault="00011AC7" w:rsidP="00CC5222">
      <w:r w:rsidRPr="00E93628">
        <w:t>Role-based access control (RBAC) is a method of regulating access to personal health information based on the role and function of individual users.</w:t>
      </w:r>
      <w:r>
        <w:t xml:space="preserve"> Software applications can be configured to conform to a RBAC matrix.</w:t>
      </w:r>
    </w:p>
    <w:p w14:paraId="4D6DB864" w14:textId="6499418F" w:rsidR="00D56B08" w:rsidRDefault="00011AC7" w:rsidP="00CC5222">
      <w:r w:rsidRPr="00DC4E99">
        <w:t xml:space="preserve">Using </w:t>
      </w:r>
      <w:r>
        <w:t>such a m</w:t>
      </w:r>
      <w:r w:rsidRPr="00DC4E99">
        <w:t xml:space="preserve">atrix, managers of the system can determine </w:t>
      </w:r>
      <w:r>
        <w:t>what users can view or change, based on what they know or do.</w:t>
      </w:r>
      <w:r w:rsidRPr="00DC4E99">
        <w:t xml:space="preserve"> For example, </w:t>
      </w:r>
      <w:r>
        <w:t xml:space="preserve">the role of a </w:t>
      </w:r>
      <w:r w:rsidR="00CC5222">
        <w:t>‘</w:t>
      </w:r>
      <w:r>
        <w:t>GP</w:t>
      </w:r>
      <w:r w:rsidR="00CC5222">
        <w:t>’</w:t>
      </w:r>
      <w:r>
        <w:t xml:space="preserve"> would allow access to a shared care system, while the role of a </w:t>
      </w:r>
      <w:r w:rsidR="00CC5222">
        <w:t>‘</w:t>
      </w:r>
      <w:r>
        <w:t>podiatrist</w:t>
      </w:r>
      <w:r w:rsidR="00CC5222">
        <w:t>’</w:t>
      </w:r>
      <w:r>
        <w:t xml:space="preserve"> would have more limited access.</w:t>
      </w:r>
    </w:p>
    <w:p w14:paraId="0547BB49" w14:textId="2DCD474E" w:rsidR="00D56B08" w:rsidRDefault="00011AC7" w:rsidP="00CC5222">
      <w:r>
        <w:t>RBAC is reinforced by p</w:t>
      </w:r>
      <w:r w:rsidRPr="0014263B">
        <w:t>hysical security controls (eg</w:t>
      </w:r>
      <w:r w:rsidR="00CC5222">
        <w:t>,</w:t>
      </w:r>
      <w:r w:rsidRPr="0014263B">
        <w:t xml:space="preserve"> proximity cards, swipe cards, keys, combination locks on doors</w:t>
      </w:r>
      <w:r>
        <w:t>).</w:t>
      </w:r>
    </w:p>
    <w:p w14:paraId="2BE882AA" w14:textId="77777777" w:rsidR="00011AC7" w:rsidRDefault="00011AC7" w:rsidP="00CC5222">
      <w:r w:rsidRPr="0014263B">
        <w:t xml:space="preserve">In all cases for RBAC, gratuitous sharing of the security controls (whether a computer account name and password, proximity cards, </w:t>
      </w:r>
      <w:proofErr w:type="spellStart"/>
      <w:r w:rsidRPr="0014263B">
        <w:t>swipecards</w:t>
      </w:r>
      <w:proofErr w:type="spellEnd"/>
      <w:r w:rsidRPr="0014263B">
        <w:t xml:space="preserve">, keys, combination numbers for door locks) is </w:t>
      </w:r>
      <w:r>
        <w:t>not acceptable</w:t>
      </w:r>
      <w:r w:rsidRPr="0014263B">
        <w:t xml:space="preserve"> as it </w:t>
      </w:r>
      <w:r>
        <w:t>risks</w:t>
      </w:r>
      <w:r w:rsidRPr="0014263B">
        <w:t xml:space="preserve"> a breakdown in the confidence that both </w:t>
      </w:r>
      <w:r>
        <w:t>consumers</w:t>
      </w:r>
      <w:r w:rsidRPr="0014263B">
        <w:t xml:space="preserve"> and medical staff place on their safety and privacy.</w:t>
      </w:r>
    </w:p>
    <w:p w14:paraId="11E96E81" w14:textId="0E79B04D" w:rsidR="00011AC7" w:rsidRDefault="00011AC7" w:rsidP="00CC5222">
      <w:r>
        <w:t xml:space="preserve">Proximity also needs to be considered, as part of a circle of care approach, or by proactive auditing. Circle of care explicitly identifies the </w:t>
      </w:r>
      <w:r w:rsidR="00CC5222">
        <w:t>‘</w:t>
      </w:r>
      <w:r>
        <w:t>proximity</w:t>
      </w:r>
      <w:r w:rsidR="00CC5222">
        <w:t>’</w:t>
      </w:r>
      <w:r>
        <w:t xml:space="preserve"> or relationship that a user has to the patient. The combination of RBAC, proximity management, physical security and the code of conduct will provide a </w:t>
      </w:r>
      <w:r w:rsidR="00CC5222">
        <w:t>‘</w:t>
      </w:r>
      <w:r>
        <w:t>defence in depth</w:t>
      </w:r>
      <w:r w:rsidR="00CC5222">
        <w:t>’</w:t>
      </w:r>
      <w:r>
        <w:t xml:space="preserve"> series of conditions for managing legitimate access.</w:t>
      </w:r>
    </w:p>
    <w:p w14:paraId="43410DED" w14:textId="77777777" w:rsidR="00D56B08" w:rsidRDefault="00011AC7" w:rsidP="00CC5222">
      <w:pPr>
        <w:pStyle w:val="Heading3"/>
      </w:pPr>
      <w:r w:rsidRPr="003915DD">
        <w:t>Requirements</w:t>
      </w:r>
    </w:p>
    <w:p w14:paraId="31C00661" w14:textId="77777777" w:rsidR="00011AC7" w:rsidRDefault="00011AC7" w:rsidP="00CC5222">
      <w:pPr>
        <w:keepNext/>
      </w:pPr>
      <w:r>
        <w:t>Health care systems require role-based access controls.</w:t>
      </w:r>
    </w:p>
    <w:p w14:paraId="2EC18371" w14:textId="77777777" w:rsidR="00D56B08" w:rsidRDefault="00011AC7" w:rsidP="00CC5222">
      <w:pPr>
        <w:keepNext/>
      </w:pPr>
      <w:r>
        <w:t>Health provider</w:t>
      </w:r>
      <w:r w:rsidRPr="00A914B8">
        <w:t xml:space="preserve">s shall implement </w:t>
      </w:r>
      <w:r>
        <w:t xml:space="preserve">role-based access for individual users of their systems and undergo systematic security access </w:t>
      </w:r>
      <w:r w:rsidRPr="00A914B8">
        <w:t>audits</w:t>
      </w:r>
      <w:r>
        <w:t xml:space="preserve"> (policy).</w:t>
      </w:r>
    </w:p>
    <w:p w14:paraId="50DC5579" w14:textId="77777777" w:rsidR="00D56B08" w:rsidRDefault="00011AC7" w:rsidP="00CC5222">
      <w:r>
        <w:t>Where a person changes a role, their role-based access should be reviewed (spot audit) or where they leave an organisation their access rights are revoked.</w:t>
      </w:r>
    </w:p>
    <w:p w14:paraId="2FC7F17A" w14:textId="77777777" w:rsidR="00011AC7" w:rsidRDefault="00011AC7" w:rsidP="00CC5222">
      <w:r>
        <w:rPr>
          <w:rFonts w:eastAsiaTheme="minorEastAsia"/>
          <w:lang w:eastAsia="en-NZ"/>
        </w:rPr>
        <w:t>RBAC</w:t>
      </w:r>
      <w:r w:rsidRPr="00283F7C">
        <w:rPr>
          <w:rFonts w:eastAsiaTheme="minorEastAsia"/>
          <w:lang w:eastAsia="en-NZ"/>
        </w:rPr>
        <w:t xml:space="preserve">s </w:t>
      </w:r>
      <w:r>
        <w:rPr>
          <w:rFonts w:eastAsiaTheme="minorEastAsia"/>
          <w:lang w:eastAsia="en-NZ"/>
        </w:rPr>
        <w:t xml:space="preserve">– </w:t>
      </w:r>
      <w:r w:rsidRPr="00283F7C">
        <w:rPr>
          <w:rFonts w:eastAsiaTheme="minorEastAsia"/>
          <w:lang w:eastAsia="en-NZ"/>
        </w:rPr>
        <w:t xml:space="preserve">whether </w:t>
      </w:r>
      <w:r>
        <w:rPr>
          <w:rFonts w:eastAsiaTheme="minorEastAsia"/>
          <w:lang w:eastAsia="en-NZ"/>
        </w:rPr>
        <w:t>system based</w:t>
      </w:r>
      <w:r w:rsidRPr="00283F7C">
        <w:rPr>
          <w:rFonts w:eastAsiaTheme="minorEastAsia"/>
          <w:lang w:eastAsia="en-NZ"/>
        </w:rPr>
        <w:t xml:space="preserve"> or physical</w:t>
      </w:r>
      <w:r>
        <w:rPr>
          <w:rFonts w:eastAsiaTheme="minorEastAsia"/>
          <w:lang w:eastAsia="en-NZ"/>
        </w:rPr>
        <w:t xml:space="preserve"> –</w:t>
      </w:r>
      <w:r w:rsidRPr="00283F7C">
        <w:rPr>
          <w:rFonts w:eastAsiaTheme="minorEastAsia"/>
          <w:lang w:eastAsia="en-NZ"/>
        </w:rPr>
        <w:t xml:space="preserve"> </w:t>
      </w:r>
      <w:r>
        <w:rPr>
          <w:rFonts w:eastAsiaTheme="minorEastAsia"/>
          <w:lang w:eastAsia="en-NZ"/>
        </w:rPr>
        <w:t>should</w:t>
      </w:r>
      <w:r w:rsidRPr="00283F7C">
        <w:rPr>
          <w:rFonts w:eastAsiaTheme="minorEastAsia"/>
          <w:lang w:eastAsia="en-NZ"/>
        </w:rPr>
        <w:t xml:space="preserve"> not simply be passed on to a new person in </w:t>
      </w:r>
      <w:r>
        <w:rPr>
          <w:rFonts w:eastAsiaTheme="minorEastAsia"/>
          <w:lang w:eastAsia="en-NZ"/>
        </w:rPr>
        <w:t>the same</w:t>
      </w:r>
      <w:r w:rsidRPr="00283F7C">
        <w:rPr>
          <w:rFonts w:eastAsiaTheme="minorEastAsia"/>
          <w:lang w:eastAsia="en-NZ"/>
        </w:rPr>
        <w:t xml:space="preserve"> role but </w:t>
      </w:r>
      <w:r>
        <w:rPr>
          <w:rFonts w:eastAsiaTheme="minorEastAsia"/>
          <w:lang w:eastAsia="en-NZ"/>
        </w:rPr>
        <w:t xml:space="preserve">should </w:t>
      </w:r>
      <w:r w:rsidRPr="00283F7C">
        <w:rPr>
          <w:rFonts w:eastAsiaTheme="minorEastAsia"/>
          <w:lang w:eastAsia="en-NZ"/>
        </w:rPr>
        <w:t>be reissued in the new person</w:t>
      </w:r>
      <w:r w:rsidR="00D56B08">
        <w:rPr>
          <w:rFonts w:eastAsiaTheme="minorEastAsia"/>
          <w:lang w:eastAsia="en-NZ"/>
        </w:rPr>
        <w:t>’</w:t>
      </w:r>
      <w:r w:rsidRPr="00283F7C">
        <w:rPr>
          <w:rFonts w:eastAsiaTheme="minorEastAsia"/>
          <w:lang w:eastAsia="en-NZ"/>
        </w:rPr>
        <w:t>s name. This is particularly true of computer accounts and passwords, proximity cards and swipe cards. Keys should also be handed over and reissued.</w:t>
      </w:r>
    </w:p>
    <w:p w14:paraId="2487AC17" w14:textId="13EABE9F" w:rsidR="00011AC7" w:rsidRPr="0095752A" w:rsidRDefault="00011AC7" w:rsidP="00CC5222">
      <w:r w:rsidRPr="00EB637E">
        <w:lastRenderedPageBreak/>
        <w:t>Where the health provider has reason to believe there has been inappropriate access of a consumer</w:t>
      </w:r>
      <w:r w:rsidR="00D56B08">
        <w:t>’</w:t>
      </w:r>
      <w:r w:rsidRPr="00EB637E">
        <w:t>s health record, this must be investigated quickly. If there is a suspected breach the consumer shall be advised promptly (policy/law</w:t>
      </w:r>
      <w:r w:rsidR="00CC5222">
        <w:t>).</w:t>
      </w:r>
      <w:r w:rsidRPr="00CC5222">
        <w:rPr>
          <w:rStyle w:val="FootnoteReference"/>
        </w:rPr>
        <w:footnoteReference w:id="53"/>
      </w:r>
    </w:p>
    <w:p w14:paraId="03E1AEDF" w14:textId="77777777" w:rsidR="00011AC7" w:rsidRPr="0095752A" w:rsidRDefault="00011AC7" w:rsidP="00CC5222">
      <w:pPr>
        <w:pStyle w:val="Heading2"/>
      </w:pPr>
      <w:bookmarkStart w:id="431" w:name="_Toc489004281"/>
      <w:bookmarkStart w:id="432" w:name="_Toc491259740"/>
      <w:r w:rsidRPr="0095752A">
        <w:t>Resource</w:t>
      </w:r>
      <w:bookmarkEnd w:id="431"/>
      <w:bookmarkEnd w:id="432"/>
    </w:p>
    <w:p w14:paraId="03FE638D" w14:textId="77777777" w:rsidR="00011AC7" w:rsidRDefault="00011AC7" w:rsidP="00CC5222">
      <w:r w:rsidRPr="00667DF2">
        <w:t xml:space="preserve">An example </w:t>
      </w:r>
      <w:r>
        <w:t>of a RBAC matrix that has been developed by Health One can be found in Appendix</w:t>
      </w:r>
      <w:r w:rsidR="00CC5222">
        <w:t> </w:t>
      </w:r>
      <w:r>
        <w:t>14.</w:t>
      </w:r>
    </w:p>
    <w:p w14:paraId="513DD716" w14:textId="77777777" w:rsidR="00011AC7" w:rsidRPr="00BF2FFC" w:rsidRDefault="00011AC7" w:rsidP="00CC5222">
      <w:pPr>
        <w:pStyle w:val="Heading1"/>
      </w:pPr>
      <w:bookmarkStart w:id="433" w:name="securingandprotectingpersonalhealthinfo"/>
      <w:bookmarkStart w:id="434" w:name="_Toc476648187"/>
      <w:bookmarkStart w:id="435" w:name="_Toc489004282"/>
      <w:bookmarkStart w:id="436" w:name="_Toc491259741"/>
      <w:bookmarkEnd w:id="433"/>
      <w:r w:rsidRPr="00BF2FFC">
        <w:lastRenderedPageBreak/>
        <w:t>Securi</w:t>
      </w:r>
      <w:r>
        <w:t>ng and p</w:t>
      </w:r>
      <w:r w:rsidRPr="00BF2FFC">
        <w:t>rote</w:t>
      </w:r>
      <w:r>
        <w:t>cting personal health i</w:t>
      </w:r>
      <w:r w:rsidRPr="00BF2FFC">
        <w:t>nformation</w:t>
      </w:r>
      <w:bookmarkEnd w:id="434"/>
      <w:bookmarkEnd w:id="435"/>
      <w:bookmarkEnd w:id="436"/>
    </w:p>
    <w:p w14:paraId="4C71500B" w14:textId="69AFA004" w:rsidR="00011AC7" w:rsidRDefault="00011AC7" w:rsidP="004065F0">
      <w:r>
        <w:t xml:space="preserve">Personal health information must be held securely to maintain trust and confidence in the health system. Health practitioners accessing the information must be confident it </w:t>
      </w:r>
      <w:r w:rsidR="004065F0">
        <w:t xml:space="preserve">has not </w:t>
      </w:r>
      <w:r>
        <w:t>been altered by a third party without authorisation, or otherwise compromised. Likewise, consumers must be able to trust that their information is only viewed or updated by those involved in their treatment and care or in accordance with the law.</w:t>
      </w:r>
    </w:p>
    <w:p w14:paraId="321882CC" w14:textId="77777777" w:rsidR="00011AC7" w:rsidRDefault="00011AC7" w:rsidP="004065F0">
      <w:r>
        <w:t>The requirement to secure health information is covered by the Health Information Security Framework (HISF). Given that, these Guidelines do not re-traverse the same ground but instead refers to the HISF for the requirements in terms of security.</w:t>
      </w:r>
    </w:p>
    <w:p w14:paraId="715EACEA" w14:textId="77777777" w:rsidR="00011AC7" w:rsidRDefault="00011AC7" w:rsidP="004065F0">
      <w:pPr>
        <w:pStyle w:val="Heading2"/>
      </w:pPr>
      <w:bookmarkStart w:id="437" w:name="_Toc476648189"/>
      <w:bookmarkStart w:id="438" w:name="_Toc489004283"/>
      <w:bookmarkStart w:id="439" w:name="_Toc491259742"/>
      <w:r>
        <w:t>Objective</w:t>
      </w:r>
      <w:bookmarkEnd w:id="437"/>
      <w:bookmarkEnd w:id="438"/>
      <w:bookmarkEnd w:id="439"/>
    </w:p>
    <w:p w14:paraId="581C80EC" w14:textId="77777777" w:rsidR="00D56B08" w:rsidRDefault="00011AC7" w:rsidP="004065F0">
      <w:r w:rsidRPr="004E13E6">
        <w:t>Personal health information is protected from unauthorised access or misuse and is maintained securely.</w:t>
      </w:r>
    </w:p>
    <w:p w14:paraId="588AB792" w14:textId="77777777" w:rsidR="00011AC7" w:rsidRPr="00BF2FFC" w:rsidRDefault="00011AC7" w:rsidP="004065F0">
      <w:pPr>
        <w:pStyle w:val="Heading2"/>
      </w:pPr>
      <w:bookmarkStart w:id="440" w:name="_Toc476648190"/>
      <w:bookmarkStart w:id="441" w:name="_Toc489004284"/>
      <w:bookmarkStart w:id="442" w:name="_Toc491259743"/>
      <w:r w:rsidRPr="00BF2FFC">
        <w:t>Policy</w:t>
      </w:r>
      <w:r>
        <w:t xml:space="preserve"> statements</w:t>
      </w:r>
      <w:bookmarkEnd w:id="440"/>
      <w:bookmarkEnd w:id="441"/>
      <w:bookmarkEnd w:id="442"/>
    </w:p>
    <w:p w14:paraId="5CB15413" w14:textId="77777777" w:rsidR="00011AC7" w:rsidRDefault="00011AC7" w:rsidP="004065F0">
      <w:r>
        <w:t>Health provider</w:t>
      </w:r>
      <w:r w:rsidRPr="009E2962">
        <w:t xml:space="preserve">s must have policies in place to secure health information in transit and in place. </w:t>
      </w:r>
      <w:r>
        <w:t xml:space="preserve">They </w:t>
      </w:r>
      <w:r w:rsidRPr="009E2962">
        <w:t>must audit and monitor access, safeguard information from unauthorised access and have security measures to prevent intrusion.</w:t>
      </w:r>
    </w:p>
    <w:p w14:paraId="19F3364B" w14:textId="77777777" w:rsidR="00011AC7" w:rsidRPr="009E2962" w:rsidRDefault="00011AC7" w:rsidP="004065F0">
      <w:pPr>
        <w:spacing w:after="240"/>
      </w:pPr>
      <w:r>
        <w:t>Health provider</w:t>
      </w:r>
      <w:r w:rsidRPr="009E2962">
        <w:t>s must have a policy governing retention and disposal of health records.</w:t>
      </w:r>
      <w:r w:rsidRPr="00C100F0">
        <w:t xml:space="preserve"> </w:t>
      </w:r>
      <w:r w:rsidRPr="009E2962">
        <w:t>Health information is not held indefinitely and when it is deleted</w:t>
      </w:r>
      <w:r>
        <w:t>,</w:t>
      </w:r>
      <w:r w:rsidRPr="009E2962">
        <w:t xml:space="preserve"> this must be done securely.</w:t>
      </w:r>
    </w:p>
    <w:tbl>
      <w:tblPr>
        <w:tblStyle w:val="TableGrid"/>
        <w:tblW w:w="4888" w:type="pct"/>
        <w:tblInd w:w="108" w:type="dxa"/>
        <w:tblLayout w:type="fixed"/>
        <w:tblLook w:val="0620" w:firstRow="1" w:lastRow="0" w:firstColumn="0" w:lastColumn="0" w:noHBand="1" w:noVBand="1"/>
      </w:tblPr>
      <w:tblGrid>
        <w:gridCol w:w="1122"/>
        <w:gridCol w:w="8291"/>
      </w:tblGrid>
      <w:tr w:rsidR="004065F0" w:rsidRPr="004065F0" w14:paraId="3D5052B6" w14:textId="77777777" w:rsidTr="004065F0">
        <w:trPr>
          <w:cantSplit/>
        </w:trPr>
        <w:tc>
          <w:tcPr>
            <w:tcW w:w="5000" w:type="pct"/>
            <w:gridSpan w:val="2"/>
            <w:tcBorders>
              <w:top w:val="single" w:sz="4" w:space="0" w:color="1F497D"/>
              <w:left w:val="single" w:sz="4" w:space="0" w:color="1F497D"/>
              <w:bottom w:val="single" w:sz="4" w:space="0" w:color="1F497D"/>
              <w:right w:val="single" w:sz="4" w:space="0" w:color="1F497D"/>
            </w:tcBorders>
            <w:shd w:val="clear" w:color="auto" w:fill="1F497D"/>
          </w:tcPr>
          <w:p w14:paraId="2276A979" w14:textId="77777777" w:rsidR="00011AC7" w:rsidRPr="004065F0" w:rsidRDefault="00011AC7" w:rsidP="004065F0">
            <w:pPr>
              <w:pStyle w:val="TableText"/>
              <w:rPr>
                <w:b/>
                <w:color w:val="FFFFFF" w:themeColor="background1"/>
              </w:rPr>
            </w:pPr>
            <w:r w:rsidRPr="004065F0">
              <w:rPr>
                <w:b/>
                <w:color w:val="FFFFFF" w:themeColor="background1"/>
              </w:rPr>
              <w:t>Relevant Health Information Privacy Code Rules</w:t>
            </w:r>
          </w:p>
        </w:tc>
      </w:tr>
      <w:tr w:rsidR="00011AC7" w:rsidRPr="00CC186C" w14:paraId="40779977" w14:textId="77777777" w:rsidTr="004065F0">
        <w:trPr>
          <w:cantSplit/>
        </w:trPr>
        <w:tc>
          <w:tcPr>
            <w:tcW w:w="596" w:type="pct"/>
            <w:tcBorders>
              <w:top w:val="single" w:sz="4" w:space="0" w:color="1F497D"/>
              <w:left w:val="single" w:sz="4" w:space="0" w:color="1F497D"/>
              <w:bottom w:val="single" w:sz="4" w:space="0" w:color="1F497D"/>
              <w:right w:val="single" w:sz="4" w:space="0" w:color="1F497D"/>
            </w:tcBorders>
            <w:shd w:val="clear" w:color="auto" w:fill="DBE5F1" w:themeFill="accent1" w:themeFillTint="33"/>
          </w:tcPr>
          <w:p w14:paraId="4D81DC18" w14:textId="77777777" w:rsidR="00011AC7" w:rsidRPr="00BF2FFC" w:rsidRDefault="00011AC7" w:rsidP="004065F0">
            <w:pPr>
              <w:pStyle w:val="TableText"/>
            </w:pPr>
            <w:r w:rsidRPr="00BF2FFC">
              <w:t>Rule 5</w:t>
            </w:r>
          </w:p>
        </w:tc>
        <w:tc>
          <w:tcPr>
            <w:tcW w:w="4404" w:type="pct"/>
            <w:tcBorders>
              <w:top w:val="single" w:sz="4" w:space="0" w:color="1F497D"/>
              <w:left w:val="single" w:sz="4" w:space="0" w:color="1F497D"/>
              <w:bottom w:val="single" w:sz="4" w:space="0" w:color="1F497D"/>
              <w:right w:val="single" w:sz="4" w:space="0" w:color="1F497D"/>
            </w:tcBorders>
            <w:shd w:val="clear" w:color="auto" w:fill="DBE5F1" w:themeFill="accent1" w:themeFillTint="33"/>
          </w:tcPr>
          <w:p w14:paraId="09E5659B" w14:textId="77777777" w:rsidR="00011AC7" w:rsidRPr="00D56B08" w:rsidRDefault="00011AC7" w:rsidP="004065F0">
            <w:pPr>
              <w:pStyle w:val="TableText"/>
              <w:rPr>
                <w:rFonts w:cs="Arial"/>
              </w:rPr>
            </w:pPr>
            <w:r w:rsidRPr="00D56B08">
              <w:rPr>
                <w:rFonts w:cs="Arial"/>
              </w:rPr>
              <w:t>Health providers must ensure there are reasonable safeguards in place to prevent loss, misuse or di</w:t>
            </w:r>
            <w:r w:rsidR="004065F0">
              <w:rPr>
                <w:rFonts w:cs="Arial"/>
              </w:rPr>
              <w:t>sclosure of health information.</w:t>
            </w:r>
          </w:p>
        </w:tc>
      </w:tr>
      <w:tr w:rsidR="00011AC7" w:rsidRPr="00CC186C" w14:paraId="6E111F21" w14:textId="77777777" w:rsidTr="004065F0">
        <w:trPr>
          <w:cantSplit/>
        </w:trPr>
        <w:tc>
          <w:tcPr>
            <w:tcW w:w="596" w:type="pct"/>
            <w:tcBorders>
              <w:top w:val="single" w:sz="4" w:space="0" w:color="1F497D"/>
              <w:left w:val="single" w:sz="4" w:space="0" w:color="1F497D"/>
              <w:bottom w:val="single" w:sz="4" w:space="0" w:color="1F497D"/>
              <w:right w:val="single" w:sz="4" w:space="0" w:color="1F497D"/>
            </w:tcBorders>
            <w:shd w:val="clear" w:color="auto" w:fill="DBE5F1" w:themeFill="accent1" w:themeFillTint="33"/>
          </w:tcPr>
          <w:p w14:paraId="47473FE0" w14:textId="48E4CD46" w:rsidR="00011AC7" w:rsidRPr="00BF2FFC" w:rsidRDefault="004065F0" w:rsidP="004065F0">
            <w:pPr>
              <w:pStyle w:val="TableText"/>
            </w:pPr>
            <w:r>
              <w:t>Rule 9</w:t>
            </w:r>
          </w:p>
        </w:tc>
        <w:tc>
          <w:tcPr>
            <w:tcW w:w="4404" w:type="pct"/>
            <w:tcBorders>
              <w:top w:val="single" w:sz="4" w:space="0" w:color="1F497D"/>
              <w:left w:val="single" w:sz="4" w:space="0" w:color="1F497D"/>
              <w:bottom w:val="single" w:sz="4" w:space="0" w:color="1F497D"/>
              <w:right w:val="single" w:sz="4" w:space="0" w:color="1F497D"/>
            </w:tcBorders>
            <w:shd w:val="clear" w:color="auto" w:fill="DBE5F1" w:themeFill="accent1" w:themeFillTint="33"/>
          </w:tcPr>
          <w:p w14:paraId="136A3F75" w14:textId="77777777" w:rsidR="00011AC7" w:rsidRPr="00D56B08" w:rsidRDefault="00011AC7" w:rsidP="004065F0">
            <w:pPr>
              <w:pStyle w:val="TableText"/>
              <w:rPr>
                <w:rFonts w:cs="Arial"/>
              </w:rPr>
            </w:pPr>
            <w:r w:rsidRPr="00D56B08">
              <w:rPr>
                <w:rFonts w:cs="Arial"/>
              </w:rPr>
              <w:t>Health providers can only keep personal health information for as long as is necessary to carry out the purpose for which the agency got the information in the first place.</w:t>
            </w:r>
          </w:p>
        </w:tc>
      </w:tr>
      <w:tr w:rsidR="00011AC7" w:rsidRPr="0016137F" w14:paraId="30308EE9" w14:textId="77777777" w:rsidTr="004065F0">
        <w:trPr>
          <w:cantSplit/>
        </w:trPr>
        <w:tc>
          <w:tcPr>
            <w:tcW w:w="596" w:type="pct"/>
            <w:tcBorders>
              <w:top w:val="single" w:sz="4" w:space="0" w:color="1F497D"/>
              <w:left w:val="single" w:sz="4" w:space="0" w:color="1F497D"/>
              <w:bottom w:val="single" w:sz="4" w:space="0" w:color="1F497D"/>
              <w:right w:val="single" w:sz="4" w:space="0" w:color="1F497D"/>
            </w:tcBorders>
            <w:shd w:val="clear" w:color="auto" w:fill="DBE5F1" w:themeFill="accent1" w:themeFillTint="33"/>
          </w:tcPr>
          <w:p w14:paraId="21E41499" w14:textId="77777777" w:rsidR="00011AC7" w:rsidRPr="00BF2FFC" w:rsidRDefault="00011AC7" w:rsidP="004065F0">
            <w:pPr>
              <w:pStyle w:val="TableText"/>
            </w:pPr>
            <w:r>
              <w:t>Rule 12</w:t>
            </w:r>
          </w:p>
        </w:tc>
        <w:tc>
          <w:tcPr>
            <w:tcW w:w="4404" w:type="pct"/>
            <w:tcBorders>
              <w:top w:val="single" w:sz="4" w:space="0" w:color="1F497D"/>
              <w:left w:val="single" w:sz="4" w:space="0" w:color="1F497D"/>
              <w:bottom w:val="single" w:sz="4" w:space="0" w:color="1F497D"/>
              <w:right w:val="single" w:sz="4" w:space="0" w:color="1F497D"/>
            </w:tcBorders>
            <w:shd w:val="clear" w:color="auto" w:fill="DBE5F1" w:themeFill="accent1" w:themeFillTint="33"/>
          </w:tcPr>
          <w:p w14:paraId="45F702BB" w14:textId="69DD3AC0" w:rsidR="00011AC7" w:rsidRPr="00341035" w:rsidRDefault="00011AC7">
            <w:pPr>
              <w:pStyle w:val="TableText"/>
            </w:pPr>
            <w:r>
              <w:t>A health provider</w:t>
            </w:r>
            <w:r w:rsidRPr="00577A5D">
              <w:t xml:space="preserve"> cannot use the unique identifier given to a person by another agency (eg</w:t>
            </w:r>
            <w:r w:rsidR="004065F0">
              <w:t>,</w:t>
            </w:r>
            <w:r w:rsidRPr="00577A5D">
              <w:t xml:space="preserve"> NHI)</w:t>
            </w:r>
            <w:r>
              <w:t>.</w:t>
            </w:r>
          </w:p>
        </w:tc>
      </w:tr>
    </w:tbl>
    <w:p w14:paraId="51E7455A" w14:textId="77777777" w:rsidR="00011AC7" w:rsidRDefault="00011AC7" w:rsidP="004065F0">
      <w:pPr>
        <w:pStyle w:val="Heading3"/>
      </w:pPr>
      <w:r w:rsidRPr="007B34F2">
        <w:t>Requirements</w:t>
      </w:r>
    </w:p>
    <w:p w14:paraId="305C7D31" w14:textId="77777777" w:rsidR="00011AC7" w:rsidRPr="005171ED" w:rsidRDefault="00011AC7" w:rsidP="004065F0">
      <w:pPr>
        <w:rPr>
          <w:rFonts w:cs="Arial"/>
        </w:rPr>
      </w:pPr>
      <w:r>
        <w:t>Health providers shall comply with the requirements of the Health Information Security Framework. A copy of the f</w:t>
      </w:r>
      <w:r w:rsidRPr="007B34F2">
        <w:t>ramework can be found</w:t>
      </w:r>
      <w:r>
        <w:t xml:space="preserve"> at</w:t>
      </w:r>
      <w:proofErr w:type="gramStart"/>
      <w:r>
        <w:t>:</w:t>
      </w:r>
      <w:proofErr w:type="gramEnd"/>
      <w:r w:rsidR="0041414F">
        <w:fldChar w:fldCharType="begin"/>
      </w:r>
      <w:r w:rsidR="0041414F">
        <w:instrText xml:space="preserve"> HYPERLINK "http://healthitboard.health.govt.nz/standards/approved-standards/hiso-100292015-health-information-security-framework" </w:instrText>
      </w:r>
      <w:r w:rsidR="0041414F">
        <w:fldChar w:fldCharType="separate"/>
      </w:r>
      <w:r w:rsidRPr="006F38FD">
        <w:rPr>
          <w:rStyle w:val="Hyperlink"/>
        </w:rPr>
        <w:t>http://healthitboard.health.govt.nz/standards/approved-standards/hiso-100292015-health-information-security-framework</w:t>
      </w:r>
      <w:r w:rsidR="0041414F">
        <w:rPr>
          <w:rStyle w:val="Hyperlink"/>
        </w:rPr>
        <w:fldChar w:fldCharType="end"/>
      </w:r>
      <w:r>
        <w:t xml:space="preserve"> (p</w:t>
      </w:r>
      <w:r w:rsidRPr="00F6708B">
        <w:t>olicy)</w:t>
      </w:r>
      <w:r>
        <w:t>.</w:t>
      </w:r>
    </w:p>
    <w:p w14:paraId="673B7F10" w14:textId="77777777" w:rsidR="00011AC7" w:rsidRPr="00F6708B" w:rsidRDefault="00011AC7" w:rsidP="004065F0">
      <w:pPr>
        <w:pStyle w:val="Heading2"/>
      </w:pPr>
      <w:bookmarkStart w:id="443" w:name="useofcloud"/>
      <w:bookmarkStart w:id="444" w:name="_Toc476648191"/>
      <w:bookmarkStart w:id="445" w:name="_Toc489004285"/>
      <w:bookmarkStart w:id="446" w:name="_Toc491259744"/>
      <w:bookmarkEnd w:id="443"/>
      <w:r>
        <w:lastRenderedPageBreak/>
        <w:t>Use of cloud or hosted services for managing health i</w:t>
      </w:r>
      <w:r w:rsidRPr="00F6708B">
        <w:t>nformation</w:t>
      </w:r>
      <w:bookmarkEnd w:id="444"/>
      <w:bookmarkEnd w:id="445"/>
      <w:bookmarkEnd w:id="446"/>
    </w:p>
    <w:p w14:paraId="708686D7" w14:textId="704F6B3C" w:rsidR="00011AC7" w:rsidRDefault="00011AC7" w:rsidP="004065F0">
      <w:pPr>
        <w:keepLines/>
      </w:pPr>
      <w:r>
        <w:t xml:space="preserve">Cloud computing provides a health care agency with access to large or specialist capacity computing resources not owned by the health care agency but with access being provided across a network. The </w:t>
      </w:r>
      <w:r w:rsidR="00D56B08">
        <w:t>‘</w:t>
      </w:r>
      <w:r>
        <w:t>cloud</w:t>
      </w:r>
      <w:r w:rsidR="00D56B08">
        <w:t>’</w:t>
      </w:r>
      <w:r>
        <w:t xml:space="preserve"> descriptor derives from the non-visible presence of the physical computing location. Access to information for processing and storage is ubiquitous – available anywhere at </w:t>
      </w:r>
      <w:proofErr w:type="spellStart"/>
      <w:r>
        <w:t>anytime</w:t>
      </w:r>
      <w:proofErr w:type="spellEnd"/>
      <w:r>
        <w:t>. The user</w:t>
      </w:r>
      <w:r w:rsidR="00D56B08">
        <w:t>’</w:t>
      </w:r>
      <w:r>
        <w:t>s data and application processing sits in the cloud and the user interacts with these services through an internet enabled device. Cloud computing contracts can be established to allow health providers to use the chosen computing resources on a pay-per-use or subscription basis. There is no need to maintain additional processing hardware and software locally.</w:t>
      </w:r>
    </w:p>
    <w:p w14:paraId="73EFD3DF" w14:textId="77777777" w:rsidR="00D56B08" w:rsidRDefault="00011AC7" w:rsidP="004065F0">
      <w:r>
        <w:t>However, there are risks associated with utilising these services. For example, those of sovereignty when the cloud or hosted service is operated in an overseas location and is therefore outside the jurisdiction of New Zealand law.</w:t>
      </w:r>
    </w:p>
    <w:p w14:paraId="52A01642" w14:textId="77777777" w:rsidR="00011AC7" w:rsidRPr="0051041A" w:rsidRDefault="00011AC7" w:rsidP="004065F0">
      <w:pPr>
        <w:pStyle w:val="Heading3"/>
      </w:pPr>
      <w:r w:rsidRPr="00BE7804">
        <w:t>Requirements</w:t>
      </w:r>
    </w:p>
    <w:p w14:paraId="6282D2BE" w14:textId="77777777" w:rsidR="00011AC7" w:rsidRPr="00F158FD" w:rsidRDefault="00011AC7" w:rsidP="004065F0">
      <w:r w:rsidRPr="00F158FD">
        <w:t xml:space="preserve">All health providers wanting to store personal health information </w:t>
      </w:r>
      <w:r>
        <w:t xml:space="preserve">in a cloud environment </w:t>
      </w:r>
      <w:r w:rsidRPr="00F158FD">
        <w:t xml:space="preserve">may do so </w:t>
      </w:r>
      <w:r w:rsidRPr="00921650">
        <w:t>provided</w:t>
      </w:r>
      <w:r w:rsidRPr="00F158FD">
        <w:t xml:space="preserve"> they undertake a risk assessment before doing so and are satisfied with the </w:t>
      </w:r>
      <w:r>
        <w:t xml:space="preserve">resulting </w:t>
      </w:r>
      <w:r w:rsidRPr="00F158FD">
        <w:t xml:space="preserve">risk profile. The recommended tool to </w:t>
      </w:r>
      <w:r>
        <w:t xml:space="preserve">support the risk assessment remains </w:t>
      </w:r>
      <w:r w:rsidRPr="00F158FD">
        <w:t>the GCIO cloud assessment tool (this will be mandatory for DHBs)</w:t>
      </w:r>
      <w:r>
        <w:t>.</w:t>
      </w:r>
    </w:p>
    <w:p w14:paraId="4FDBAB06" w14:textId="77777777" w:rsidR="00011AC7" w:rsidRPr="00F158FD" w:rsidRDefault="00011AC7" w:rsidP="004065F0">
      <w:r w:rsidRPr="00F158FD">
        <w:t>DHBs must forward a copy of the completed GCIO risk assessment to the GCIO for their records.</w:t>
      </w:r>
    </w:p>
    <w:p w14:paraId="393CE384" w14:textId="60F9042A" w:rsidR="00011AC7" w:rsidRPr="00F158FD" w:rsidRDefault="00011AC7" w:rsidP="004065F0">
      <w:r w:rsidRPr="00F158FD">
        <w:t>Where the risk assessment identifies a</w:t>
      </w:r>
      <w:r>
        <w:t>reas</w:t>
      </w:r>
      <w:r w:rsidRPr="00F158FD">
        <w:t xml:space="preserve"> of </w:t>
      </w:r>
      <w:r>
        <w:t>concern (</w:t>
      </w:r>
      <w:r w:rsidRPr="00F158FD">
        <w:t>red flags</w:t>
      </w:r>
      <w:r>
        <w:t>)</w:t>
      </w:r>
      <w:r w:rsidRPr="00F158FD">
        <w:t xml:space="preserve"> the health provider may wish to discuss the matter with the Ministry of Health (email </w:t>
      </w:r>
      <w:hyperlink r:id="rId27" w:history="1">
        <w:r w:rsidRPr="00921650">
          <w:t>cloudcomputing@moh.govt.nz</w:t>
        </w:r>
      </w:hyperlink>
      <w:r w:rsidRPr="00F158FD">
        <w:t xml:space="preserve">) before making their decision. Particular </w:t>
      </w:r>
      <w:r>
        <w:t>areas that may generate concerns are summarised in section</w:t>
      </w:r>
      <w:r w:rsidR="00AA49C0">
        <w:t> </w:t>
      </w:r>
      <w:r>
        <w:t>18 of the Health Information Security Framework</w:t>
      </w:r>
      <w:r w:rsidR="004065F0">
        <w:t>.</w:t>
      </w:r>
      <w:r w:rsidRPr="004065F0">
        <w:rPr>
          <w:rStyle w:val="FootnoteReference"/>
        </w:rPr>
        <w:footnoteReference w:id="54"/>
      </w:r>
      <w:r>
        <w:t xml:space="preserve"> They </w:t>
      </w:r>
      <w:r w:rsidRPr="00F158FD">
        <w:t>include</w:t>
      </w:r>
      <w:r>
        <w:t>:</w:t>
      </w:r>
    </w:p>
    <w:p w14:paraId="6FF10CBA" w14:textId="77777777" w:rsidR="00011AC7" w:rsidRPr="00F158FD" w:rsidRDefault="00011AC7" w:rsidP="00AA49C0">
      <w:pPr>
        <w:pStyle w:val="Bullet"/>
      </w:pPr>
      <w:r w:rsidRPr="00F158FD">
        <w:t>sovereignty</w:t>
      </w:r>
    </w:p>
    <w:p w14:paraId="0D822A3E" w14:textId="77777777" w:rsidR="00011AC7" w:rsidRPr="00F158FD" w:rsidRDefault="00011AC7" w:rsidP="00AA49C0">
      <w:pPr>
        <w:pStyle w:val="Bullet"/>
      </w:pPr>
      <w:r w:rsidRPr="00F158FD">
        <w:t>governance</w:t>
      </w:r>
    </w:p>
    <w:p w14:paraId="559B4AF0" w14:textId="77777777" w:rsidR="00011AC7" w:rsidRPr="00F158FD" w:rsidRDefault="00011AC7" w:rsidP="00AA49C0">
      <w:pPr>
        <w:pStyle w:val="Bullet"/>
      </w:pPr>
      <w:r w:rsidRPr="00F158FD">
        <w:t>confidentiality</w:t>
      </w:r>
    </w:p>
    <w:p w14:paraId="4196BECA" w14:textId="77777777" w:rsidR="00011AC7" w:rsidRPr="00F158FD" w:rsidRDefault="00011AC7" w:rsidP="00AA49C0">
      <w:pPr>
        <w:pStyle w:val="Bullet"/>
      </w:pPr>
      <w:r w:rsidRPr="00F158FD">
        <w:t>integrity (of provider)</w:t>
      </w:r>
    </w:p>
    <w:p w14:paraId="4F2230E9" w14:textId="77777777" w:rsidR="00011AC7" w:rsidRPr="00F158FD" w:rsidRDefault="00011AC7" w:rsidP="00AA49C0">
      <w:pPr>
        <w:pStyle w:val="Bullet"/>
      </w:pPr>
      <w:r w:rsidRPr="00F158FD">
        <w:t>availability</w:t>
      </w:r>
    </w:p>
    <w:p w14:paraId="6DBB3934" w14:textId="77777777" w:rsidR="00011AC7" w:rsidRPr="00F158FD" w:rsidRDefault="00011AC7" w:rsidP="00AA49C0">
      <w:pPr>
        <w:pStyle w:val="Bullet"/>
      </w:pPr>
      <w:proofErr w:type="gramStart"/>
      <w:r w:rsidRPr="00F158FD">
        <w:t>incident</w:t>
      </w:r>
      <w:proofErr w:type="gramEnd"/>
      <w:r w:rsidRPr="00F158FD">
        <w:t xml:space="preserve"> response/management</w:t>
      </w:r>
      <w:r>
        <w:t>.</w:t>
      </w:r>
    </w:p>
    <w:p w14:paraId="428E6292" w14:textId="77777777" w:rsidR="00011AC7" w:rsidRPr="00F158FD" w:rsidRDefault="00011AC7" w:rsidP="00AA49C0">
      <w:r w:rsidRPr="00F158FD">
        <w:t>DHBs are expected to operate an application portfolio management system which covers cloud services as part of its portfolio.</w:t>
      </w:r>
    </w:p>
    <w:p w14:paraId="6B685D6B" w14:textId="77777777" w:rsidR="00011AC7" w:rsidRPr="00F158FD" w:rsidRDefault="00011AC7" w:rsidP="00AA49C0">
      <w:r w:rsidRPr="00F158FD">
        <w:t xml:space="preserve">DHBs will report annually to the Ministry </w:t>
      </w:r>
      <w:r>
        <w:t xml:space="preserve">identifying </w:t>
      </w:r>
      <w:r w:rsidRPr="00F158FD">
        <w:t>what personal health information is held offshore, with which cloud service it is held and in what country or countries.</w:t>
      </w:r>
    </w:p>
    <w:p w14:paraId="1DD4BEAB" w14:textId="4C21AC34" w:rsidR="00D56B08" w:rsidRDefault="00011AC7" w:rsidP="00AA49C0">
      <w:r>
        <w:t>Government departments and DHBs are also required to have a strategic plan for how they intend to use public cloud services</w:t>
      </w:r>
      <w:r w:rsidR="00AA49C0">
        <w:t>.</w:t>
      </w:r>
      <w:r w:rsidRPr="00AA49C0">
        <w:rPr>
          <w:rStyle w:val="FootnoteReference"/>
        </w:rPr>
        <w:footnoteReference w:id="55"/>
      </w:r>
    </w:p>
    <w:p w14:paraId="05A37613" w14:textId="77777777" w:rsidR="00011AC7" w:rsidRPr="0051041A" w:rsidRDefault="00011AC7" w:rsidP="00AA49C0">
      <w:pPr>
        <w:pStyle w:val="Heading3"/>
      </w:pPr>
      <w:r w:rsidRPr="00BE7804">
        <w:lastRenderedPageBreak/>
        <w:t>Resources</w:t>
      </w:r>
    </w:p>
    <w:p w14:paraId="6AF5631C" w14:textId="42D824C7" w:rsidR="00011AC7" w:rsidRDefault="00011AC7" w:rsidP="00AA49C0">
      <w:r>
        <w:t>The Government Chief Information Officer (GCIO) has prepared a risk assessment tool which is a useful starting point in determining risk. While this is voluntary for those outside the public sector (who may choose to use a different risk assessment model)</w:t>
      </w:r>
      <w:r w:rsidR="00AA49C0">
        <w:t>,</w:t>
      </w:r>
      <w:r>
        <w:t xml:space="preserve"> it is mandatory for DHBs and government agencies.</w:t>
      </w:r>
    </w:p>
    <w:p w14:paraId="62E80974" w14:textId="1853142F" w:rsidR="00D56B08" w:rsidRDefault="00011AC7" w:rsidP="00AA49C0">
      <w:r>
        <w:t>A copy of the risk assessment tool can be found here:</w:t>
      </w:r>
      <w:r w:rsidR="001B7FF5" w:rsidDel="001B7FF5">
        <w:t xml:space="preserve"> </w:t>
      </w:r>
      <w:r w:rsidR="001B7FF5" w:rsidRPr="001B7FF5">
        <w:t>https://www.ict.govt.nz/guidance-and-resources/using-cloud-services/assess-the-risks-of-cloud-services/</w:t>
      </w:r>
    </w:p>
    <w:p w14:paraId="7ABF90B6" w14:textId="5C138A5C" w:rsidR="00D56B08" w:rsidRDefault="00011AC7" w:rsidP="00AA49C0">
      <w:r>
        <w:t>For further detail on the requirements on government agencies and DHBs on strategic planning and use of the cloud see;</w:t>
      </w:r>
      <w:r w:rsidR="00EF6708">
        <w:t xml:space="preserve"> </w:t>
      </w:r>
      <w:r w:rsidR="00EF6708" w:rsidRPr="00EF6708">
        <w:t>https://www.ict.govt.nz/guidance-and-resources/using-cloud-services/</w:t>
      </w:r>
    </w:p>
    <w:p w14:paraId="221F93B3" w14:textId="0FE01A90" w:rsidR="00D56B08" w:rsidRDefault="00011AC7" w:rsidP="00AA49C0">
      <w:pPr>
        <w:pStyle w:val="Heading1"/>
      </w:pPr>
      <w:bookmarkStart w:id="447" w:name="_Toc428370290"/>
      <w:bookmarkStart w:id="448" w:name="_Toc476648192"/>
      <w:bookmarkStart w:id="449" w:name="_Toc489004286"/>
      <w:bookmarkStart w:id="450" w:name="_Toc491259745"/>
      <w:bookmarkEnd w:id="447"/>
      <w:r w:rsidRPr="00DC1294">
        <w:lastRenderedPageBreak/>
        <w:t xml:space="preserve">Governance </w:t>
      </w:r>
      <w:r>
        <w:t xml:space="preserve">and implementation </w:t>
      </w:r>
      <w:r w:rsidRPr="00DC1294">
        <w:t>of the</w:t>
      </w:r>
      <w:r w:rsidR="001C2FA7">
        <w:t>se</w:t>
      </w:r>
      <w:r>
        <w:t xml:space="preserve"> Guidelines</w:t>
      </w:r>
      <w:bookmarkEnd w:id="448"/>
      <w:bookmarkEnd w:id="449"/>
      <w:bookmarkEnd w:id="450"/>
    </w:p>
    <w:p w14:paraId="3071FDFD" w14:textId="2367B419" w:rsidR="00011AC7" w:rsidRDefault="00011AC7" w:rsidP="00AA49C0">
      <w:r>
        <w:t>The</w:t>
      </w:r>
      <w:r w:rsidR="001C2FA7">
        <w:t>se</w:t>
      </w:r>
      <w:r>
        <w:t xml:space="preserve"> Guidelines will be governed by a multi-disciplinary body comprised of </w:t>
      </w:r>
      <w:r w:rsidRPr="001D2E9C">
        <w:t>health and disability sector repr</w:t>
      </w:r>
      <w:r>
        <w:t xml:space="preserve">esentatives, including consumer and clinical </w:t>
      </w:r>
      <w:r w:rsidRPr="001D2E9C">
        <w:t>representation</w:t>
      </w:r>
      <w:r>
        <w:t>.</w:t>
      </w:r>
    </w:p>
    <w:p w14:paraId="7862441A" w14:textId="5C74D5E2" w:rsidR="00011AC7" w:rsidRPr="007B34F2" w:rsidRDefault="00011AC7" w:rsidP="00AA49C0">
      <w:bookmarkStart w:id="451" w:name="_Toc418848761"/>
      <w:bookmarkStart w:id="452" w:name="_Toc418848828"/>
      <w:bookmarkStart w:id="453" w:name="_Toc418848894"/>
      <w:bookmarkStart w:id="454" w:name="_Toc418849028"/>
      <w:bookmarkStart w:id="455" w:name="_Toc419114470"/>
      <w:bookmarkStart w:id="456" w:name="_Toc442872777"/>
      <w:bookmarkStart w:id="457" w:name="_Toc442872945"/>
      <w:bookmarkEnd w:id="451"/>
      <w:bookmarkEnd w:id="452"/>
      <w:bookmarkEnd w:id="453"/>
      <w:bookmarkEnd w:id="454"/>
      <w:bookmarkEnd w:id="455"/>
      <w:bookmarkEnd w:id="456"/>
      <w:bookmarkEnd w:id="457"/>
      <w:r>
        <w:t>Implementation of the</w:t>
      </w:r>
      <w:r w:rsidR="001C2FA7">
        <w:t>se</w:t>
      </w:r>
      <w:r>
        <w:t xml:space="preserve"> Guidelines will require significant changes in the sector involving both cultural, technical and procedural focus. </w:t>
      </w:r>
      <w:r w:rsidR="00C14C31">
        <w:t>A</w:t>
      </w:r>
      <w:r>
        <w:t xml:space="preserve"> communication version for consumers, health practitioners and health executives</w:t>
      </w:r>
      <w:r w:rsidR="00C14C31">
        <w:t xml:space="preserve"> will be needed</w:t>
      </w:r>
      <w:r>
        <w:t>. These will reference the full Guidelines for those wanting more detail.</w:t>
      </w:r>
    </w:p>
    <w:p w14:paraId="6CDB93BA" w14:textId="4C5FC2CB" w:rsidR="00011AC7" w:rsidRPr="00A753A7" w:rsidRDefault="00011AC7" w:rsidP="00AA49C0">
      <w:pPr>
        <w:pStyle w:val="Heading1-nonumbering"/>
      </w:pPr>
      <w:bookmarkStart w:id="458" w:name="_Toc442872779"/>
      <w:bookmarkStart w:id="459" w:name="_Toc442872947"/>
      <w:bookmarkStart w:id="460" w:name="_Toc428370293"/>
      <w:bookmarkStart w:id="461" w:name="_Toc489004287"/>
      <w:bookmarkStart w:id="462" w:name="_Toc491259746"/>
      <w:bookmarkEnd w:id="458"/>
      <w:bookmarkEnd w:id="459"/>
      <w:bookmarkEnd w:id="460"/>
      <w:r>
        <w:lastRenderedPageBreak/>
        <w:t>Appendix 1</w:t>
      </w:r>
      <w:r w:rsidR="00690695">
        <w:t>:</w:t>
      </w:r>
      <w:r>
        <w:t xml:space="preserve"> Compliance checklist</w:t>
      </w:r>
      <w:bookmarkEnd w:id="461"/>
      <w:bookmarkEnd w:id="462"/>
    </w:p>
    <w:p w14:paraId="3EBF3132" w14:textId="10C0B6BF" w:rsidR="00011AC7" w:rsidRPr="00154655" w:rsidRDefault="00214261" w:rsidP="00AA49C0">
      <w:pPr>
        <w:pStyle w:val="Heading2-nonumbering"/>
      </w:pPr>
      <w:hyperlink w:anchor="dataqualitypolicy" w:history="1">
        <w:bookmarkStart w:id="463" w:name="_Toc489004288"/>
        <w:r w:rsidR="00011AC7" w:rsidRPr="00154655">
          <w:rPr>
            <w:rStyle w:val="Hyperlink"/>
            <w:color w:val="1F497D" w:themeColor="text2"/>
          </w:rPr>
          <w:t xml:space="preserve">Data </w:t>
        </w:r>
        <w:r w:rsidR="00AA49C0">
          <w:rPr>
            <w:rStyle w:val="Hyperlink"/>
            <w:color w:val="1F497D" w:themeColor="text2"/>
          </w:rPr>
          <w:t>q</w:t>
        </w:r>
        <w:r w:rsidR="00011AC7" w:rsidRPr="00154655">
          <w:rPr>
            <w:rStyle w:val="Hyperlink"/>
            <w:color w:val="1F497D" w:themeColor="text2"/>
          </w:rPr>
          <w:t>uality</w:t>
        </w:r>
        <w:bookmarkEnd w:id="463"/>
      </w:hyperlink>
    </w:p>
    <w:p w14:paraId="47CF10EC" w14:textId="4386BD48" w:rsidR="00011AC7" w:rsidRDefault="00011AC7" w:rsidP="00AA49C0">
      <w:r>
        <w:t>Do your health records comply with</w:t>
      </w:r>
      <w:r w:rsidR="00CB5C43">
        <w:t xml:space="preserve"> the</w:t>
      </w:r>
      <w:r>
        <w:t>:</w:t>
      </w:r>
    </w:p>
    <w:p w14:paraId="6DC90BB1" w14:textId="231847AD" w:rsidR="00D56B08" w:rsidRDefault="00011AC7" w:rsidP="00AA49C0">
      <w:pPr>
        <w:pStyle w:val="Bullet"/>
      </w:pPr>
      <w:r>
        <w:t>Health (Retention of Health Information) Regulations 1996</w:t>
      </w:r>
    </w:p>
    <w:p w14:paraId="54D27CF6" w14:textId="36BF9AA6" w:rsidR="00D56B08" w:rsidRDefault="00011AC7" w:rsidP="00AA49C0">
      <w:pPr>
        <w:pStyle w:val="Bullet"/>
      </w:pPr>
      <w:r>
        <w:t>Health Information Privacy Code 1994</w:t>
      </w:r>
      <w:r w:rsidR="00CB5C43">
        <w:t>, rule 9</w:t>
      </w:r>
    </w:p>
    <w:p w14:paraId="2A10C65B" w14:textId="5865C4EE" w:rsidR="00011AC7" w:rsidRPr="00F040BB" w:rsidRDefault="00011AC7" w:rsidP="00AA49C0">
      <w:pPr>
        <w:pStyle w:val="Bullet"/>
      </w:pPr>
      <w:proofErr w:type="gramStart"/>
      <w:r>
        <w:t>governing</w:t>
      </w:r>
      <w:proofErr w:type="gramEnd"/>
      <w:r>
        <w:t xml:space="preserve"> General Disposal Authority (if applicable).</w:t>
      </w:r>
    </w:p>
    <w:p w14:paraId="6096547E" w14:textId="77777777" w:rsidR="00011AC7" w:rsidRDefault="00011AC7" w:rsidP="00AA49C0">
      <w:r>
        <w:t>Is there is a policy in place for managing the coexistence of paper and electronic records?</w:t>
      </w:r>
    </w:p>
    <w:p w14:paraId="023451E6" w14:textId="1A62CC9F" w:rsidR="00011AC7" w:rsidRDefault="00011AC7" w:rsidP="00AA49C0">
      <w:r>
        <w:t xml:space="preserve">Does your health information system connect to the NHI and </w:t>
      </w:r>
      <w:r w:rsidR="00AA49C0">
        <w:t xml:space="preserve">New Zealand </w:t>
      </w:r>
      <w:r>
        <w:t>Universal List of Medicines?</w:t>
      </w:r>
    </w:p>
    <w:p w14:paraId="2C369C27" w14:textId="77777777" w:rsidR="00011AC7" w:rsidRDefault="00011AC7" w:rsidP="00AA49C0">
      <w:r>
        <w:t>Does your health information system comply with the Health Information Security Framework?</w:t>
      </w:r>
    </w:p>
    <w:p w14:paraId="46115578" w14:textId="77777777" w:rsidR="00011AC7" w:rsidRPr="00154655" w:rsidRDefault="00011AC7" w:rsidP="00AA49C0">
      <w:r>
        <w:t>Can your health information system store ethnicity data at level 4 and hold up to six ethnicities?</w:t>
      </w:r>
    </w:p>
    <w:p w14:paraId="2208AA26" w14:textId="3FAD0BAB" w:rsidR="00011AC7" w:rsidRPr="00154655" w:rsidRDefault="00214261" w:rsidP="00AA49C0">
      <w:pPr>
        <w:pStyle w:val="Heading2-nonumbering"/>
      </w:pPr>
      <w:hyperlink w:anchor="Managinginformationprivacy" w:history="1">
        <w:bookmarkStart w:id="464" w:name="_Toc489004289"/>
        <w:r w:rsidR="00011AC7" w:rsidRPr="00154655">
          <w:rPr>
            <w:rStyle w:val="Hyperlink"/>
            <w:color w:val="1F497D" w:themeColor="text2"/>
          </w:rPr>
          <w:t xml:space="preserve">Managing </w:t>
        </w:r>
        <w:r w:rsidR="00AA49C0">
          <w:rPr>
            <w:rStyle w:val="Hyperlink"/>
            <w:color w:val="1F497D" w:themeColor="text2"/>
          </w:rPr>
          <w:t>i</w:t>
        </w:r>
        <w:r w:rsidR="00011AC7" w:rsidRPr="00154655">
          <w:rPr>
            <w:rStyle w:val="Hyperlink"/>
            <w:color w:val="1F497D" w:themeColor="text2"/>
          </w:rPr>
          <w:t xml:space="preserve">nformation </w:t>
        </w:r>
        <w:r w:rsidR="00AA49C0">
          <w:rPr>
            <w:rStyle w:val="Hyperlink"/>
            <w:color w:val="1F497D" w:themeColor="text2"/>
          </w:rPr>
          <w:t>p</w:t>
        </w:r>
        <w:r w:rsidR="00011AC7" w:rsidRPr="00154655">
          <w:rPr>
            <w:rStyle w:val="Hyperlink"/>
            <w:color w:val="1F497D" w:themeColor="text2"/>
          </w:rPr>
          <w:t>rivacy</w:t>
        </w:r>
        <w:bookmarkEnd w:id="464"/>
      </w:hyperlink>
    </w:p>
    <w:p w14:paraId="41742735" w14:textId="77777777" w:rsidR="00D56B08" w:rsidRDefault="00011AC7" w:rsidP="00AA49C0">
      <w:r>
        <w:t xml:space="preserve">Do you </w:t>
      </w:r>
      <w:r w:rsidRPr="005C2583">
        <w:t>have a designated privacy officer</w:t>
      </w:r>
      <w:r>
        <w:t>?</w:t>
      </w:r>
    </w:p>
    <w:p w14:paraId="2010E6F6" w14:textId="77777777" w:rsidR="00011AC7" w:rsidRDefault="00011AC7" w:rsidP="00AA49C0">
      <w:r>
        <w:t>Do you have</w:t>
      </w:r>
      <w:r w:rsidRPr="00D64381">
        <w:t xml:space="preserve"> clear policies and procedures </w:t>
      </w:r>
      <w:r>
        <w:t>covering the collection, use, disclose, storage and access to personal health information?</w:t>
      </w:r>
      <w:r w:rsidRPr="00D64381">
        <w:t xml:space="preserve"> </w:t>
      </w:r>
      <w:r>
        <w:t>Do you monitor adherence to this policy?</w:t>
      </w:r>
    </w:p>
    <w:p w14:paraId="43792284" w14:textId="6CA579C8" w:rsidR="00011AC7" w:rsidRPr="00154655" w:rsidRDefault="00214261" w:rsidP="00AA49C0">
      <w:pPr>
        <w:pStyle w:val="Heading2-nonumbering"/>
      </w:pPr>
      <w:hyperlink w:anchor="codeofconduct" w:history="1">
        <w:bookmarkStart w:id="465" w:name="_Toc489004290"/>
        <w:r w:rsidR="00011AC7" w:rsidRPr="00154655">
          <w:rPr>
            <w:rStyle w:val="Hyperlink"/>
            <w:color w:val="1F497D" w:themeColor="text2"/>
          </w:rPr>
          <w:t xml:space="preserve">Code of </w:t>
        </w:r>
        <w:r w:rsidR="00AA49C0">
          <w:rPr>
            <w:rStyle w:val="Hyperlink"/>
            <w:color w:val="1F497D" w:themeColor="text2"/>
          </w:rPr>
          <w:t>c</w:t>
        </w:r>
        <w:r w:rsidR="00011AC7" w:rsidRPr="00154655">
          <w:rPr>
            <w:rStyle w:val="Hyperlink"/>
            <w:color w:val="1F497D" w:themeColor="text2"/>
          </w:rPr>
          <w:t>onduct</w:t>
        </w:r>
        <w:bookmarkEnd w:id="465"/>
      </w:hyperlink>
    </w:p>
    <w:p w14:paraId="192DEFCE" w14:textId="77777777" w:rsidR="00011AC7" w:rsidRPr="00154655" w:rsidRDefault="00011AC7" w:rsidP="00AA49C0">
      <w:r>
        <w:t>Do you</w:t>
      </w:r>
      <w:r w:rsidRPr="00267769">
        <w:t xml:space="preserve"> have a code of conduc</w:t>
      </w:r>
      <w:r>
        <w:t>t?</w:t>
      </w:r>
    </w:p>
    <w:p w14:paraId="1255811D" w14:textId="1AF51A82" w:rsidR="00D56B08" w:rsidRDefault="00214261" w:rsidP="00AA49C0">
      <w:pPr>
        <w:pStyle w:val="Heading2-nonumbering"/>
      </w:pPr>
      <w:hyperlink w:anchor="privacycomplaintsandbreachofprivacy" w:history="1">
        <w:bookmarkStart w:id="466" w:name="_Toc489004291"/>
        <w:r w:rsidR="00011AC7" w:rsidRPr="00154655">
          <w:rPr>
            <w:rStyle w:val="Hyperlink"/>
            <w:color w:val="1F497D" w:themeColor="text2"/>
          </w:rPr>
          <w:t xml:space="preserve">Privacy </w:t>
        </w:r>
        <w:r w:rsidR="00AA49C0">
          <w:rPr>
            <w:rStyle w:val="Hyperlink"/>
            <w:color w:val="1F497D" w:themeColor="text2"/>
          </w:rPr>
          <w:t>c</w:t>
        </w:r>
        <w:r w:rsidR="00011AC7" w:rsidRPr="00154655">
          <w:rPr>
            <w:rStyle w:val="Hyperlink"/>
            <w:color w:val="1F497D" w:themeColor="text2"/>
          </w:rPr>
          <w:t xml:space="preserve">omplaints and </w:t>
        </w:r>
        <w:r w:rsidR="00AA49C0">
          <w:rPr>
            <w:rStyle w:val="Hyperlink"/>
            <w:color w:val="1F497D" w:themeColor="text2"/>
          </w:rPr>
          <w:t>b</w:t>
        </w:r>
        <w:r w:rsidR="00011AC7" w:rsidRPr="00154655">
          <w:rPr>
            <w:rStyle w:val="Hyperlink"/>
            <w:color w:val="1F497D" w:themeColor="text2"/>
          </w:rPr>
          <w:t xml:space="preserve">reach </w:t>
        </w:r>
        <w:r w:rsidR="00AA49C0">
          <w:rPr>
            <w:rStyle w:val="Hyperlink"/>
            <w:color w:val="1F497D" w:themeColor="text2"/>
          </w:rPr>
          <w:t>p</w:t>
        </w:r>
        <w:r w:rsidR="00011AC7" w:rsidRPr="00154655">
          <w:rPr>
            <w:rStyle w:val="Hyperlink"/>
            <w:color w:val="1F497D" w:themeColor="text2"/>
          </w:rPr>
          <w:t>olicy</w:t>
        </w:r>
        <w:bookmarkEnd w:id="466"/>
      </w:hyperlink>
    </w:p>
    <w:p w14:paraId="7546EFC0" w14:textId="77777777" w:rsidR="00011AC7" w:rsidRPr="00AA49C0" w:rsidRDefault="00011AC7" w:rsidP="00AA49C0">
      <w:r>
        <w:t>Do you</w:t>
      </w:r>
      <w:r w:rsidRPr="00AB3BDD">
        <w:t xml:space="preserve"> have a policy to </w:t>
      </w:r>
      <w:r>
        <w:t>manage privacy</w:t>
      </w:r>
      <w:r w:rsidRPr="00AB3BDD">
        <w:t xml:space="preserve"> complaints and breaches of </w:t>
      </w:r>
      <w:proofErr w:type="gramStart"/>
      <w:r w:rsidRPr="00AB3BDD">
        <w:t>privacy</w:t>
      </w:r>
      <w:r>
        <w:t>.</w:t>
      </w:r>
      <w:proofErr w:type="gramEnd"/>
    </w:p>
    <w:p w14:paraId="3D689E1F" w14:textId="4446C8EC" w:rsidR="00011AC7" w:rsidRPr="00154655" w:rsidRDefault="00214261" w:rsidP="00AA49C0">
      <w:pPr>
        <w:pStyle w:val="Heading2-nonumbering"/>
      </w:pPr>
      <w:hyperlink w:anchor="privacyimpactassessments" w:history="1">
        <w:bookmarkStart w:id="467" w:name="_Toc489004292"/>
        <w:r w:rsidR="00011AC7" w:rsidRPr="00154655">
          <w:rPr>
            <w:rStyle w:val="Hyperlink"/>
            <w:color w:val="1F497D" w:themeColor="text2"/>
          </w:rPr>
          <w:t xml:space="preserve">Privacy </w:t>
        </w:r>
        <w:r w:rsidR="00AA49C0">
          <w:rPr>
            <w:rStyle w:val="Hyperlink"/>
            <w:color w:val="1F497D" w:themeColor="text2"/>
          </w:rPr>
          <w:t>i</w:t>
        </w:r>
        <w:r w:rsidR="00011AC7" w:rsidRPr="00154655">
          <w:rPr>
            <w:rStyle w:val="Hyperlink"/>
            <w:color w:val="1F497D" w:themeColor="text2"/>
          </w:rPr>
          <w:t xml:space="preserve">mpact </w:t>
        </w:r>
        <w:r w:rsidR="00AA49C0">
          <w:rPr>
            <w:rStyle w:val="Hyperlink"/>
            <w:color w:val="1F497D" w:themeColor="text2"/>
          </w:rPr>
          <w:t>a</w:t>
        </w:r>
        <w:r w:rsidR="00011AC7" w:rsidRPr="00154655">
          <w:rPr>
            <w:rStyle w:val="Hyperlink"/>
            <w:color w:val="1F497D" w:themeColor="text2"/>
          </w:rPr>
          <w:t>ssessment</w:t>
        </w:r>
        <w:bookmarkEnd w:id="467"/>
      </w:hyperlink>
    </w:p>
    <w:p w14:paraId="7186F163" w14:textId="77777777" w:rsidR="00D56B08" w:rsidRDefault="00011AC7" w:rsidP="00AA49C0">
      <w:r>
        <w:t>If you are implementing a new information system have you undertaken a privacy impact assessment?</w:t>
      </w:r>
    </w:p>
    <w:p w14:paraId="60E752E8" w14:textId="6A96D156" w:rsidR="00011AC7" w:rsidRPr="00154655" w:rsidRDefault="00214261" w:rsidP="00AA49C0">
      <w:pPr>
        <w:pStyle w:val="Heading2-nonumbering"/>
      </w:pPr>
      <w:hyperlink w:anchor="healthliteracy" w:history="1">
        <w:bookmarkStart w:id="468" w:name="_Toc489004293"/>
        <w:r w:rsidR="00011AC7" w:rsidRPr="00154655">
          <w:rPr>
            <w:rStyle w:val="Hyperlink"/>
            <w:color w:val="1F497D" w:themeColor="text2"/>
          </w:rPr>
          <w:t xml:space="preserve">Health </w:t>
        </w:r>
        <w:r w:rsidR="00AA49C0">
          <w:rPr>
            <w:rStyle w:val="Hyperlink"/>
            <w:color w:val="1F497D" w:themeColor="text2"/>
          </w:rPr>
          <w:t>l</w:t>
        </w:r>
        <w:r w:rsidR="00011AC7" w:rsidRPr="00154655">
          <w:rPr>
            <w:rStyle w:val="Hyperlink"/>
            <w:color w:val="1F497D" w:themeColor="text2"/>
          </w:rPr>
          <w:t>iteracy</w:t>
        </w:r>
        <w:bookmarkEnd w:id="468"/>
      </w:hyperlink>
    </w:p>
    <w:p w14:paraId="25647682" w14:textId="77777777" w:rsidR="00011AC7" w:rsidRDefault="00011AC7" w:rsidP="00AA49C0">
      <w:r>
        <w:t>Are your communications based on the assumption that the consumer has little health literacy? Have your communications been tested with consumers?</w:t>
      </w:r>
    </w:p>
    <w:p w14:paraId="1A23261B" w14:textId="71F52299" w:rsidR="00011AC7" w:rsidRPr="00154655" w:rsidRDefault="00214261" w:rsidP="00AA49C0">
      <w:pPr>
        <w:pStyle w:val="Heading2-nonumbering"/>
      </w:pPr>
      <w:hyperlink w:anchor="informationonprivacypatientnotification" w:history="1">
        <w:bookmarkStart w:id="469" w:name="_Toc489004294"/>
        <w:r w:rsidR="00011AC7" w:rsidRPr="00154655">
          <w:rPr>
            <w:rStyle w:val="Hyperlink"/>
            <w:color w:val="1F497D" w:themeColor="text2"/>
          </w:rPr>
          <w:t xml:space="preserve">Information on </w:t>
        </w:r>
        <w:r w:rsidR="00AA49C0">
          <w:rPr>
            <w:rStyle w:val="Hyperlink"/>
            <w:color w:val="1F497D" w:themeColor="text2"/>
          </w:rPr>
          <w:t>p</w:t>
        </w:r>
        <w:r w:rsidR="00011AC7" w:rsidRPr="00154655">
          <w:rPr>
            <w:rStyle w:val="Hyperlink"/>
            <w:color w:val="1F497D" w:themeColor="text2"/>
          </w:rPr>
          <w:t xml:space="preserve">rivacy, </w:t>
        </w:r>
        <w:r w:rsidR="00AA49C0">
          <w:rPr>
            <w:rStyle w:val="Hyperlink"/>
            <w:color w:val="1F497D" w:themeColor="text2"/>
          </w:rPr>
          <w:t>p</w:t>
        </w:r>
        <w:r w:rsidR="00011AC7" w:rsidRPr="00154655">
          <w:rPr>
            <w:rStyle w:val="Hyperlink"/>
            <w:color w:val="1F497D" w:themeColor="text2"/>
          </w:rPr>
          <w:t xml:space="preserve">atient </w:t>
        </w:r>
        <w:r w:rsidR="00AA49C0">
          <w:rPr>
            <w:rStyle w:val="Hyperlink"/>
            <w:color w:val="1F497D" w:themeColor="text2"/>
          </w:rPr>
          <w:t>n</w:t>
        </w:r>
        <w:r w:rsidR="00011AC7" w:rsidRPr="00154655">
          <w:rPr>
            <w:rStyle w:val="Hyperlink"/>
            <w:color w:val="1F497D" w:themeColor="text2"/>
          </w:rPr>
          <w:t xml:space="preserve">otification and </w:t>
        </w:r>
        <w:r w:rsidR="00AA49C0">
          <w:rPr>
            <w:rStyle w:val="Hyperlink"/>
            <w:color w:val="1F497D" w:themeColor="text2"/>
          </w:rPr>
          <w:t>c</w:t>
        </w:r>
        <w:r w:rsidR="00011AC7" w:rsidRPr="00154655">
          <w:rPr>
            <w:rStyle w:val="Hyperlink"/>
            <w:color w:val="1F497D" w:themeColor="text2"/>
          </w:rPr>
          <w:t>onsent</w:t>
        </w:r>
        <w:bookmarkEnd w:id="469"/>
      </w:hyperlink>
    </w:p>
    <w:p w14:paraId="51799B38" w14:textId="77777777" w:rsidR="00011AC7" w:rsidRPr="00154655" w:rsidRDefault="00011AC7" w:rsidP="00AA49C0">
      <w:r>
        <w:t>Do you</w:t>
      </w:r>
      <w:r w:rsidRPr="00B05D9B">
        <w:t xml:space="preserve"> have available up-to-date and accurate </w:t>
      </w:r>
      <w:r>
        <w:t xml:space="preserve">privacy fact sheets? Are these </w:t>
      </w:r>
      <w:r w:rsidRPr="00B05D9B">
        <w:t>displayed prominently</w:t>
      </w:r>
      <w:r>
        <w:t>?</w:t>
      </w:r>
    </w:p>
    <w:p w14:paraId="4144A323" w14:textId="1C2EBBCC" w:rsidR="00011AC7" w:rsidRPr="00154655" w:rsidRDefault="00214261" w:rsidP="00AA49C0">
      <w:pPr>
        <w:pStyle w:val="Heading2-nonumbering"/>
      </w:pPr>
      <w:hyperlink w:anchor="rightsofaccessandcorrection" w:history="1">
        <w:bookmarkStart w:id="470" w:name="_Toc489004295"/>
        <w:r w:rsidR="00011AC7" w:rsidRPr="00154655">
          <w:rPr>
            <w:rStyle w:val="Hyperlink"/>
            <w:color w:val="1F497D" w:themeColor="text2"/>
          </w:rPr>
          <w:t xml:space="preserve">Rights of </w:t>
        </w:r>
        <w:r w:rsidR="00AA49C0">
          <w:rPr>
            <w:rStyle w:val="Hyperlink"/>
            <w:color w:val="1F497D" w:themeColor="text2"/>
          </w:rPr>
          <w:t>a</w:t>
        </w:r>
        <w:r w:rsidR="00011AC7" w:rsidRPr="00154655">
          <w:rPr>
            <w:rStyle w:val="Hyperlink"/>
            <w:color w:val="1F497D" w:themeColor="text2"/>
          </w:rPr>
          <w:t xml:space="preserve">ccess and </w:t>
        </w:r>
        <w:r w:rsidR="00AA49C0">
          <w:rPr>
            <w:rStyle w:val="Hyperlink"/>
            <w:color w:val="1F497D" w:themeColor="text2"/>
          </w:rPr>
          <w:t>c</w:t>
        </w:r>
        <w:r w:rsidR="00011AC7" w:rsidRPr="00154655">
          <w:rPr>
            <w:rStyle w:val="Hyperlink"/>
            <w:color w:val="1F497D" w:themeColor="text2"/>
          </w:rPr>
          <w:t>orrection</w:t>
        </w:r>
        <w:bookmarkEnd w:id="470"/>
      </w:hyperlink>
    </w:p>
    <w:p w14:paraId="01334FDC" w14:textId="77777777" w:rsidR="00D56B08" w:rsidRDefault="00011AC7" w:rsidP="00AA49C0">
      <w:r>
        <w:t>Do you understand the consumer</w:t>
      </w:r>
      <w:r w:rsidR="00D56B08">
        <w:t>’</w:t>
      </w:r>
      <w:r>
        <w:t>s rights of access and correction to their health record? In particular, in what circumstances can the parent access their child</w:t>
      </w:r>
      <w:r w:rsidR="00D56B08">
        <w:t>’</w:t>
      </w:r>
      <w:r>
        <w:t>s record? In what circumstances can the child refuse the parent access to their record?</w:t>
      </w:r>
    </w:p>
    <w:p w14:paraId="288B4BBE" w14:textId="47E73629" w:rsidR="00011AC7" w:rsidRPr="00154655" w:rsidRDefault="00214261" w:rsidP="00AA49C0">
      <w:pPr>
        <w:pStyle w:val="Heading2-nonumbering"/>
      </w:pPr>
      <w:hyperlink w:anchor="trainingandeducation" w:history="1">
        <w:bookmarkStart w:id="471" w:name="_Toc489004296"/>
        <w:r w:rsidR="00011AC7" w:rsidRPr="00154655">
          <w:rPr>
            <w:rStyle w:val="Hyperlink"/>
            <w:color w:val="1F497D" w:themeColor="text2"/>
          </w:rPr>
          <w:t xml:space="preserve">Training and </w:t>
        </w:r>
        <w:r w:rsidR="00AA49C0">
          <w:rPr>
            <w:rStyle w:val="Hyperlink"/>
            <w:color w:val="1F497D" w:themeColor="text2"/>
          </w:rPr>
          <w:t>e</w:t>
        </w:r>
        <w:r w:rsidR="00011AC7" w:rsidRPr="00154655">
          <w:rPr>
            <w:rStyle w:val="Hyperlink"/>
            <w:color w:val="1F497D" w:themeColor="text2"/>
          </w:rPr>
          <w:t>ducation</w:t>
        </w:r>
        <w:bookmarkEnd w:id="471"/>
      </w:hyperlink>
    </w:p>
    <w:p w14:paraId="02E580EF" w14:textId="77777777" w:rsidR="00D56B08" w:rsidRDefault="00011AC7" w:rsidP="00AA49C0">
      <w:r>
        <w:t xml:space="preserve">Do </w:t>
      </w:r>
      <w:r w:rsidRPr="00AA49C0">
        <w:t>y</w:t>
      </w:r>
      <w:r>
        <w:t>ou provide training and education to staff on privacy and the appropriate sharing of data?</w:t>
      </w:r>
    </w:p>
    <w:p w14:paraId="399005B0" w14:textId="0C158D74" w:rsidR="00D56B08" w:rsidRDefault="00214261" w:rsidP="00AA49C0">
      <w:pPr>
        <w:pStyle w:val="Heading2-nonumbering"/>
      </w:pPr>
      <w:hyperlink w:anchor="auditlogsandproximity" w:history="1">
        <w:bookmarkStart w:id="472" w:name="_Toc489004297"/>
        <w:r w:rsidR="00011AC7" w:rsidRPr="00154655">
          <w:rPr>
            <w:rStyle w:val="Hyperlink"/>
            <w:color w:val="1F497D" w:themeColor="text2"/>
          </w:rPr>
          <w:t xml:space="preserve">Audit </w:t>
        </w:r>
        <w:r w:rsidR="00AA49C0">
          <w:rPr>
            <w:rStyle w:val="Hyperlink"/>
            <w:color w:val="1F497D" w:themeColor="text2"/>
          </w:rPr>
          <w:t>l</w:t>
        </w:r>
        <w:r w:rsidR="00011AC7" w:rsidRPr="00154655">
          <w:rPr>
            <w:rStyle w:val="Hyperlink"/>
            <w:color w:val="1F497D" w:themeColor="text2"/>
          </w:rPr>
          <w:t>ogs</w:t>
        </w:r>
        <w:bookmarkEnd w:id="472"/>
      </w:hyperlink>
    </w:p>
    <w:p w14:paraId="6536FD41" w14:textId="77777777" w:rsidR="00D56B08" w:rsidRDefault="00011AC7" w:rsidP="00AA49C0">
      <w:r w:rsidRPr="00154655">
        <w:t>Does your clinical information system have an audit log?</w:t>
      </w:r>
    </w:p>
    <w:p w14:paraId="099E8447" w14:textId="77777777" w:rsidR="00011AC7" w:rsidRPr="00154655" w:rsidRDefault="00011AC7" w:rsidP="00AA49C0">
      <w:r w:rsidRPr="00154655">
        <w:t>Do you review the audit log a minimum of monthly and investigate all apparent outliers and break glass accesses?</w:t>
      </w:r>
    </w:p>
    <w:p w14:paraId="21454D38" w14:textId="31E0445A" w:rsidR="00011AC7" w:rsidRPr="00154655" w:rsidRDefault="00214261" w:rsidP="00AA49C0">
      <w:pPr>
        <w:pStyle w:val="Heading2-nonumbering"/>
      </w:pPr>
      <w:hyperlink w:anchor="patientportals" w:history="1">
        <w:bookmarkStart w:id="473" w:name="_Toc489004298"/>
        <w:r w:rsidR="00011AC7" w:rsidRPr="00154655">
          <w:rPr>
            <w:rStyle w:val="Hyperlink"/>
            <w:color w:val="1F497D" w:themeColor="text2"/>
          </w:rPr>
          <w:t xml:space="preserve">Patient </w:t>
        </w:r>
        <w:r w:rsidR="00AA49C0">
          <w:rPr>
            <w:rStyle w:val="Hyperlink"/>
            <w:color w:val="1F497D" w:themeColor="text2"/>
          </w:rPr>
          <w:t>p</w:t>
        </w:r>
        <w:r w:rsidR="00011AC7" w:rsidRPr="00154655">
          <w:rPr>
            <w:rStyle w:val="Hyperlink"/>
            <w:color w:val="1F497D" w:themeColor="text2"/>
          </w:rPr>
          <w:t>ortal</w:t>
        </w:r>
        <w:bookmarkEnd w:id="473"/>
      </w:hyperlink>
    </w:p>
    <w:p w14:paraId="7AB0245F" w14:textId="77777777" w:rsidR="00011AC7" w:rsidRDefault="00011AC7" w:rsidP="00AA49C0">
      <w:r>
        <w:t>Do you have a</w:t>
      </w:r>
      <w:r w:rsidRPr="004B2DA3">
        <w:t xml:space="preserve"> patient portal</w:t>
      </w:r>
      <w:r>
        <w:t>?</w:t>
      </w:r>
    </w:p>
    <w:p w14:paraId="52705835" w14:textId="77777777" w:rsidR="00D56B08" w:rsidRDefault="00011AC7" w:rsidP="00AA49C0">
      <w:r>
        <w:t xml:space="preserve">Does it comply with </w:t>
      </w:r>
      <w:r w:rsidRPr="004B2DA3">
        <w:t>the HISO 10029 Health Information Security Framework</w:t>
      </w:r>
      <w:r>
        <w:t xml:space="preserve"> </w:t>
      </w:r>
      <w:hyperlink r:id="rId28" w:history="1">
        <w:r w:rsidRPr="004B2DA3">
          <w:t>http://ithealthboard.health.nz/hiso-10029-health-information-security-framework</w:t>
        </w:r>
      </w:hyperlink>
      <w:r w:rsidRPr="00C5137E">
        <w:t>?</w:t>
      </w:r>
    </w:p>
    <w:p w14:paraId="3AF4C14C" w14:textId="77777777" w:rsidR="00011AC7" w:rsidRPr="004B2DA3" w:rsidRDefault="00011AC7" w:rsidP="00AA49C0">
      <w:r>
        <w:t>Do you have</w:t>
      </w:r>
      <w:r w:rsidRPr="004B2DA3">
        <w:t xml:space="preserve"> a policy</w:t>
      </w:r>
      <w:r>
        <w:t xml:space="preserve"> in place</w:t>
      </w:r>
      <w:r w:rsidRPr="004B2DA3">
        <w:t xml:space="preserve"> on </w:t>
      </w:r>
      <w:r>
        <w:t>staff access to shared care systems?</w:t>
      </w:r>
    </w:p>
    <w:p w14:paraId="5AA8447E" w14:textId="7D5D48E7" w:rsidR="00011AC7" w:rsidRPr="00154655" w:rsidRDefault="00214261" w:rsidP="00AA49C0">
      <w:pPr>
        <w:pStyle w:val="Heading2-nonumbering"/>
      </w:pPr>
      <w:hyperlink w:anchor="consumerpreferences" w:history="1">
        <w:bookmarkStart w:id="474" w:name="_Toc489004299"/>
        <w:r w:rsidR="00011AC7" w:rsidRPr="00154655">
          <w:rPr>
            <w:rStyle w:val="Hyperlink"/>
            <w:color w:val="1F497D" w:themeColor="text2"/>
          </w:rPr>
          <w:t xml:space="preserve">Consumer </w:t>
        </w:r>
        <w:r w:rsidR="00AA49C0">
          <w:rPr>
            <w:rStyle w:val="Hyperlink"/>
            <w:color w:val="1F497D" w:themeColor="text2"/>
          </w:rPr>
          <w:t>p</w:t>
        </w:r>
        <w:r w:rsidR="00011AC7" w:rsidRPr="00154655">
          <w:rPr>
            <w:rStyle w:val="Hyperlink"/>
            <w:color w:val="1F497D" w:themeColor="text2"/>
          </w:rPr>
          <w:t xml:space="preserve">references for </w:t>
        </w:r>
        <w:r w:rsidR="00AA49C0">
          <w:rPr>
            <w:rStyle w:val="Hyperlink"/>
            <w:color w:val="1F497D" w:themeColor="text2"/>
          </w:rPr>
          <w:t>s</w:t>
        </w:r>
        <w:r w:rsidR="00011AC7" w:rsidRPr="00154655">
          <w:rPr>
            <w:rStyle w:val="Hyperlink"/>
            <w:color w:val="1F497D" w:themeColor="text2"/>
          </w:rPr>
          <w:t xml:space="preserve">haring </w:t>
        </w:r>
        <w:r w:rsidR="00AA49C0">
          <w:rPr>
            <w:rStyle w:val="Hyperlink"/>
            <w:color w:val="1F497D" w:themeColor="text2"/>
          </w:rPr>
          <w:t>i</w:t>
        </w:r>
        <w:r w:rsidR="00011AC7" w:rsidRPr="00154655">
          <w:rPr>
            <w:rStyle w:val="Hyperlink"/>
            <w:color w:val="1F497D" w:themeColor="text2"/>
          </w:rPr>
          <w:t>nformation</w:t>
        </w:r>
        <w:bookmarkEnd w:id="474"/>
      </w:hyperlink>
    </w:p>
    <w:p w14:paraId="04588558" w14:textId="77777777" w:rsidR="00011AC7" w:rsidRDefault="00011AC7" w:rsidP="00AA49C0">
      <w:r>
        <w:t>If you are transferring patient information into a shared care system have you taken steps to advise the patient that this has occurred and of their rights in respect of this?</w:t>
      </w:r>
    </w:p>
    <w:p w14:paraId="53004634" w14:textId="77777777" w:rsidR="00D56B08" w:rsidRDefault="00011AC7" w:rsidP="00AA49C0">
      <w:r>
        <w:t xml:space="preserve">If consumer information is being included in a </w:t>
      </w:r>
      <w:r w:rsidRPr="00594C1E">
        <w:t xml:space="preserve">Shared </w:t>
      </w:r>
      <w:r>
        <w:t>Care</w:t>
      </w:r>
      <w:r w:rsidRPr="00594C1E">
        <w:t xml:space="preserve"> System</w:t>
      </w:r>
      <w:r>
        <w:t>, what controls do consumers have over the sharing of their health information?</w:t>
      </w:r>
    </w:p>
    <w:p w14:paraId="4C920C6F" w14:textId="77C58B8D" w:rsidR="00011AC7" w:rsidRPr="00154655" w:rsidRDefault="00214261" w:rsidP="00AA49C0">
      <w:pPr>
        <w:pStyle w:val="Heading2-nonumbering"/>
      </w:pPr>
      <w:hyperlink w:anchor="disclosureoutsidehanddsection" w:history="1">
        <w:bookmarkStart w:id="475" w:name="_Toc489004300"/>
        <w:r w:rsidR="00011AC7" w:rsidRPr="00154655">
          <w:rPr>
            <w:rStyle w:val="Hyperlink"/>
            <w:color w:val="1F497D" w:themeColor="text2"/>
          </w:rPr>
          <w:t xml:space="preserve">Disclosure to </w:t>
        </w:r>
        <w:r w:rsidR="00AA49C0">
          <w:rPr>
            <w:rStyle w:val="Hyperlink"/>
            <w:color w:val="1F497D" w:themeColor="text2"/>
          </w:rPr>
          <w:t>p</w:t>
        </w:r>
        <w:r w:rsidR="00011AC7" w:rsidRPr="00154655">
          <w:rPr>
            <w:rStyle w:val="Hyperlink"/>
            <w:color w:val="1F497D" w:themeColor="text2"/>
          </w:rPr>
          <w:t xml:space="preserve">olicy and other </w:t>
        </w:r>
        <w:r w:rsidR="00AA49C0">
          <w:rPr>
            <w:rStyle w:val="Hyperlink"/>
            <w:color w:val="1F497D" w:themeColor="text2"/>
          </w:rPr>
          <w:t>g</w:t>
        </w:r>
        <w:r w:rsidR="00011AC7" w:rsidRPr="00154655">
          <w:rPr>
            <w:rStyle w:val="Hyperlink"/>
            <w:color w:val="1F497D" w:themeColor="text2"/>
          </w:rPr>
          <w:t xml:space="preserve">overnment of </w:t>
        </w:r>
        <w:r w:rsidR="00AA49C0">
          <w:rPr>
            <w:rStyle w:val="Hyperlink"/>
            <w:color w:val="1F497D" w:themeColor="text2"/>
          </w:rPr>
          <w:t>s</w:t>
        </w:r>
        <w:r w:rsidR="00011AC7" w:rsidRPr="00154655">
          <w:rPr>
            <w:rStyle w:val="Hyperlink"/>
            <w:color w:val="1F497D" w:themeColor="text2"/>
          </w:rPr>
          <w:t xml:space="preserve">ector </w:t>
        </w:r>
        <w:r w:rsidR="00AA49C0">
          <w:rPr>
            <w:rStyle w:val="Hyperlink"/>
            <w:color w:val="1F497D" w:themeColor="text2"/>
          </w:rPr>
          <w:t>a</w:t>
        </w:r>
        <w:r w:rsidR="00011AC7" w:rsidRPr="00154655">
          <w:rPr>
            <w:rStyle w:val="Hyperlink"/>
            <w:color w:val="1F497D" w:themeColor="text2"/>
          </w:rPr>
          <w:t>gencies</w:t>
        </w:r>
        <w:bookmarkEnd w:id="475"/>
      </w:hyperlink>
    </w:p>
    <w:p w14:paraId="19F3EC79" w14:textId="77777777" w:rsidR="00D56B08" w:rsidRDefault="00011AC7" w:rsidP="00AA49C0">
      <w:r>
        <w:t xml:space="preserve">If you receive a request for disclosure of identifiable information by a third party have you </w:t>
      </w:r>
      <w:r w:rsidRPr="00DE21E0">
        <w:t>check</w:t>
      </w:r>
      <w:r>
        <w:t>ed</w:t>
      </w:r>
      <w:r w:rsidRPr="00DE21E0">
        <w:t xml:space="preserve"> the legal basis for the request</w:t>
      </w:r>
      <w:r>
        <w:t>? (Refer Appendix 10 for the legislation most likely to be cited as the basis for the request.)</w:t>
      </w:r>
    </w:p>
    <w:p w14:paraId="3DC391E2" w14:textId="77777777" w:rsidR="00011AC7" w:rsidRPr="00154655" w:rsidRDefault="00214261" w:rsidP="00AA49C0">
      <w:pPr>
        <w:pStyle w:val="Heading2-nonumbering"/>
      </w:pPr>
      <w:hyperlink w:anchor="aisa" w:history="1">
        <w:bookmarkStart w:id="476" w:name="_Toc489004301"/>
        <w:r w:rsidR="00011AC7" w:rsidRPr="00154655">
          <w:rPr>
            <w:rStyle w:val="Hyperlink"/>
            <w:color w:val="1F497D" w:themeColor="text2"/>
          </w:rPr>
          <w:t>Approved Information Sharing Agreement (AISA)</w:t>
        </w:r>
        <w:bookmarkEnd w:id="476"/>
      </w:hyperlink>
    </w:p>
    <w:p w14:paraId="12C06039" w14:textId="5340C08B" w:rsidR="00011AC7" w:rsidRDefault="00011AC7" w:rsidP="00AA49C0">
      <w:r>
        <w:t>Is the sharing covered</w:t>
      </w:r>
      <w:r w:rsidRPr="00FB1C75">
        <w:t xml:space="preserve"> by an AISA or other legislation that permits or requires the disclosure of personal health </w:t>
      </w:r>
      <w:proofErr w:type="gramStart"/>
      <w:r w:rsidRPr="00FB1C75">
        <w:t>information</w:t>
      </w:r>
      <w:r w:rsidR="00AA49C0">
        <w:t>.</w:t>
      </w:r>
      <w:proofErr w:type="gramEnd"/>
      <w:r w:rsidRPr="00AA49C0">
        <w:rPr>
          <w:rStyle w:val="FootnoteReference"/>
        </w:rPr>
        <w:footnoteReference w:id="56"/>
      </w:r>
      <w:r w:rsidR="00CB5C43">
        <w:t xml:space="preserve"> </w:t>
      </w:r>
      <w:r>
        <w:t>What are these?</w:t>
      </w:r>
    </w:p>
    <w:p w14:paraId="79382B5E" w14:textId="79091EED" w:rsidR="00011AC7" w:rsidRPr="00154655" w:rsidRDefault="00214261" w:rsidP="00AA49C0">
      <w:pPr>
        <w:pStyle w:val="Heading2-nonumbering"/>
      </w:pPr>
      <w:hyperlink w:anchor="secondaryuseofinformation" w:history="1">
        <w:bookmarkStart w:id="477" w:name="_Toc489004302"/>
        <w:r w:rsidR="00011AC7" w:rsidRPr="00154655">
          <w:rPr>
            <w:rStyle w:val="Hyperlink"/>
            <w:color w:val="1F497D" w:themeColor="text2"/>
          </w:rPr>
          <w:t xml:space="preserve">Secondary </w:t>
        </w:r>
        <w:r w:rsidR="00AA49C0">
          <w:rPr>
            <w:rStyle w:val="Hyperlink"/>
            <w:color w:val="1F497D" w:themeColor="text2"/>
          </w:rPr>
          <w:t>u</w:t>
        </w:r>
        <w:r w:rsidR="00011AC7" w:rsidRPr="00154655">
          <w:rPr>
            <w:rStyle w:val="Hyperlink"/>
            <w:color w:val="1F497D" w:themeColor="text2"/>
          </w:rPr>
          <w:t xml:space="preserve">se of </w:t>
        </w:r>
        <w:r w:rsidR="00AA49C0">
          <w:rPr>
            <w:rStyle w:val="Hyperlink"/>
            <w:color w:val="1F497D" w:themeColor="text2"/>
          </w:rPr>
          <w:t>i</w:t>
        </w:r>
        <w:r w:rsidR="00011AC7" w:rsidRPr="00154655">
          <w:rPr>
            <w:rStyle w:val="Hyperlink"/>
            <w:color w:val="1F497D" w:themeColor="text2"/>
          </w:rPr>
          <w:t>nformation</w:t>
        </w:r>
        <w:bookmarkEnd w:id="477"/>
      </w:hyperlink>
    </w:p>
    <w:p w14:paraId="7AE4ABFB" w14:textId="77777777" w:rsidR="00011AC7" w:rsidRPr="007B34F2" w:rsidRDefault="00011AC7" w:rsidP="00AA49C0">
      <w:r>
        <w:t>If you are using p</w:t>
      </w:r>
      <w:r w:rsidRPr="004A352A">
        <w:t>ersonal health information for seco</w:t>
      </w:r>
      <w:r>
        <w:t>ndary purposes:</w:t>
      </w:r>
    </w:p>
    <w:p w14:paraId="31A6BFAF" w14:textId="6DF452B2" w:rsidR="00011AC7" w:rsidRPr="007B34F2" w:rsidRDefault="00011AC7" w:rsidP="00AA49C0">
      <w:pPr>
        <w:pStyle w:val="Bullet"/>
      </w:pPr>
      <w:r>
        <w:t>does the consumer know</w:t>
      </w:r>
    </w:p>
    <w:p w14:paraId="65146E05" w14:textId="51156662" w:rsidR="00011AC7" w:rsidRPr="007B34F2" w:rsidRDefault="00011AC7" w:rsidP="00AA49C0">
      <w:pPr>
        <w:pStyle w:val="Bullet"/>
      </w:pPr>
      <w:r>
        <w:t>is</w:t>
      </w:r>
      <w:r w:rsidRPr="007B34F2">
        <w:t xml:space="preserve"> the use is in line with the original purpose for which the information was collected</w:t>
      </w:r>
    </w:p>
    <w:p w14:paraId="5BCDA0AA" w14:textId="3D0590D9" w:rsidR="00011AC7" w:rsidRDefault="00011AC7" w:rsidP="00AA49C0">
      <w:pPr>
        <w:pStyle w:val="Bullet"/>
      </w:pPr>
      <w:r w:rsidRPr="007B34F2">
        <w:t xml:space="preserve">is </w:t>
      </w:r>
      <w:r>
        <w:t xml:space="preserve">there </w:t>
      </w:r>
      <w:r w:rsidRPr="007B34F2">
        <w:t xml:space="preserve">a </w:t>
      </w:r>
      <w:r>
        <w:t>s</w:t>
      </w:r>
      <w:r w:rsidRPr="007B34F2">
        <w:t xml:space="preserve">erious </w:t>
      </w:r>
      <w:r>
        <w:t>t</w:t>
      </w:r>
      <w:r w:rsidRPr="007B34F2">
        <w:t xml:space="preserve">hreat </w:t>
      </w:r>
      <w:r>
        <w:t>to the patient</w:t>
      </w:r>
      <w:r w:rsidR="00D56B08">
        <w:t>’</w:t>
      </w:r>
      <w:r>
        <w:t>s safety</w:t>
      </w:r>
    </w:p>
    <w:p w14:paraId="7A997458" w14:textId="77777777" w:rsidR="00D56B08" w:rsidRDefault="00011AC7" w:rsidP="00AA49C0">
      <w:pPr>
        <w:pStyle w:val="Bullet"/>
      </w:pPr>
      <w:r w:rsidRPr="007B34F2">
        <w:t>is</w:t>
      </w:r>
      <w:r>
        <w:t xml:space="preserve"> it</w:t>
      </w:r>
      <w:r w:rsidRPr="007B34F2">
        <w:t xml:space="preserve"> required by law, </w:t>
      </w:r>
      <w:r w:rsidRPr="004A352A">
        <w:t>or</w:t>
      </w:r>
    </w:p>
    <w:p w14:paraId="6C1144F5" w14:textId="77777777" w:rsidR="00D56B08" w:rsidRDefault="00011AC7" w:rsidP="00AA49C0">
      <w:pPr>
        <w:pStyle w:val="Bullet"/>
      </w:pPr>
      <w:proofErr w:type="gramStart"/>
      <w:r w:rsidRPr="007B34F2">
        <w:t>is</w:t>
      </w:r>
      <w:proofErr w:type="gramEnd"/>
      <w:r>
        <w:t xml:space="preserve"> it</w:t>
      </w:r>
      <w:r w:rsidRPr="007B34F2">
        <w:t xml:space="preserve"> to be used </w:t>
      </w:r>
      <w:r w:rsidRPr="004A352A">
        <w:t>for research or statistical purposes but not published in a way that can identify the consumer</w:t>
      </w:r>
      <w:r>
        <w:t>?</w:t>
      </w:r>
      <w:r w:rsidRPr="00AA49C0">
        <w:rPr>
          <w:rStyle w:val="FootnoteReference"/>
        </w:rPr>
        <w:footnoteReference w:id="57"/>
      </w:r>
    </w:p>
    <w:p w14:paraId="6D8F67E8" w14:textId="77777777" w:rsidR="00011AC7" w:rsidRPr="00154655" w:rsidRDefault="00011AC7" w:rsidP="00AA49C0">
      <w:r>
        <w:t>What safeguards do you have in place to prevent the re-identification of anonymised data used for analytical or statistical purposes?</w:t>
      </w:r>
    </w:p>
    <w:p w14:paraId="319227B1" w14:textId="1992A71B" w:rsidR="00011AC7" w:rsidRPr="004B2DA3" w:rsidRDefault="00214261" w:rsidP="00AA49C0">
      <w:pPr>
        <w:pStyle w:val="Heading2-nonumbering"/>
        <w:rPr>
          <w:szCs w:val="28"/>
        </w:rPr>
      </w:pPr>
      <w:hyperlink w:anchor="authorisedaccess" w:history="1">
        <w:bookmarkStart w:id="478" w:name="_Toc489004303"/>
        <w:r w:rsidR="00011AC7" w:rsidRPr="00AA49C0">
          <w:t xml:space="preserve">Authorised </w:t>
        </w:r>
        <w:r w:rsidR="00AA49C0">
          <w:t>a</w:t>
        </w:r>
        <w:r w:rsidR="00011AC7" w:rsidRPr="00AA49C0">
          <w:t>ccess</w:t>
        </w:r>
        <w:bookmarkEnd w:id="478"/>
      </w:hyperlink>
    </w:p>
    <w:p w14:paraId="4F09873E" w14:textId="77777777" w:rsidR="00011AC7" w:rsidRPr="00154655" w:rsidRDefault="00011AC7" w:rsidP="00AA49C0">
      <w:pPr>
        <w:rPr>
          <w:rStyle w:val="Hyperlink"/>
        </w:rPr>
      </w:pPr>
      <w:r>
        <w:t>How do you authorise access by users to your systems? What safeguards to you have in place to prevent or monitor unauthorised access?</w:t>
      </w:r>
      <w:r>
        <w:fldChar w:fldCharType="begin"/>
      </w:r>
      <w:r>
        <w:instrText xml:space="preserve"> HYPERLINK  \l "rbac" </w:instrText>
      </w:r>
      <w:r>
        <w:fldChar w:fldCharType="separate"/>
      </w:r>
    </w:p>
    <w:p w14:paraId="3B963C7A" w14:textId="2929607B" w:rsidR="00011AC7" w:rsidRPr="004B2DA3" w:rsidRDefault="00011AC7" w:rsidP="00AA49C0">
      <w:pPr>
        <w:pStyle w:val="Heading2-nonumbering"/>
      </w:pPr>
      <w:bookmarkStart w:id="479" w:name="_Toc489004304"/>
      <w:r w:rsidRPr="00AA49C0">
        <w:t>Role</w:t>
      </w:r>
      <w:r w:rsidR="00AA49C0">
        <w:t>-b</w:t>
      </w:r>
      <w:r w:rsidRPr="00AA49C0">
        <w:t xml:space="preserve">ased </w:t>
      </w:r>
      <w:r w:rsidR="00AA49C0">
        <w:t>a</w:t>
      </w:r>
      <w:r w:rsidRPr="00AA49C0">
        <w:t xml:space="preserve">ccess </w:t>
      </w:r>
      <w:r w:rsidR="00AA49C0">
        <w:t>c</w:t>
      </w:r>
      <w:r w:rsidRPr="00AA49C0">
        <w:t>ontrol</w:t>
      </w:r>
      <w:bookmarkEnd w:id="479"/>
      <w:r>
        <w:fldChar w:fldCharType="end"/>
      </w:r>
    </w:p>
    <w:p w14:paraId="0D9ADDD4" w14:textId="77777777" w:rsidR="00011AC7" w:rsidRDefault="00011AC7" w:rsidP="00AA49C0">
      <w:r>
        <w:t>Have you implemented role based access control for your electronic health record system?</w:t>
      </w:r>
    </w:p>
    <w:p w14:paraId="093CC8C3" w14:textId="77777777" w:rsidR="00011AC7" w:rsidRDefault="00011AC7" w:rsidP="00AA49C0">
      <w:r>
        <w:t>Are you following up in situations where there appears to have been</w:t>
      </w:r>
      <w:r w:rsidRPr="004B2DA3">
        <w:t xml:space="preserve"> inappropriate access </w:t>
      </w:r>
      <w:r>
        <w:t xml:space="preserve">to </w:t>
      </w:r>
      <w:r w:rsidRPr="004B2DA3">
        <w:t>a consumer</w:t>
      </w:r>
      <w:r w:rsidR="00D56B08">
        <w:t>’</w:t>
      </w:r>
      <w:r w:rsidRPr="004B2DA3">
        <w:t>s health record</w:t>
      </w:r>
      <w:r>
        <w:t>?</w:t>
      </w:r>
    </w:p>
    <w:p w14:paraId="7BEEA3E6" w14:textId="7BB05C47" w:rsidR="00011AC7" w:rsidRPr="004B2DA3" w:rsidRDefault="00214261" w:rsidP="00AA49C0">
      <w:pPr>
        <w:pStyle w:val="Heading2-nonumbering"/>
        <w:rPr>
          <w:szCs w:val="28"/>
        </w:rPr>
      </w:pPr>
      <w:hyperlink w:anchor="securingandprotectingpersonalhealthinfo" w:history="1">
        <w:bookmarkStart w:id="480" w:name="_Toc489004305"/>
        <w:r w:rsidR="00011AC7" w:rsidRPr="00AA49C0">
          <w:t xml:space="preserve">Securing and </w:t>
        </w:r>
        <w:r w:rsidR="00AA49C0">
          <w:t>p</w:t>
        </w:r>
        <w:r w:rsidR="00011AC7" w:rsidRPr="00AA49C0">
          <w:t xml:space="preserve">rotecting </w:t>
        </w:r>
        <w:r w:rsidR="00AA49C0">
          <w:t>p</w:t>
        </w:r>
        <w:r w:rsidR="00011AC7" w:rsidRPr="00AA49C0">
          <w:t xml:space="preserve">ersonal </w:t>
        </w:r>
        <w:r w:rsidR="00AA49C0">
          <w:t>h</w:t>
        </w:r>
        <w:r w:rsidR="00011AC7" w:rsidRPr="00AA49C0">
          <w:t xml:space="preserve">ealth </w:t>
        </w:r>
        <w:r w:rsidR="00AA49C0">
          <w:t>i</w:t>
        </w:r>
        <w:r w:rsidR="00011AC7" w:rsidRPr="00AA49C0">
          <w:t>nformation</w:t>
        </w:r>
        <w:bookmarkEnd w:id="480"/>
      </w:hyperlink>
    </w:p>
    <w:p w14:paraId="1E4BD6E2" w14:textId="613CE0AB" w:rsidR="00011AC7" w:rsidRDefault="00011AC7" w:rsidP="00AA49C0">
      <w:r>
        <w:t>As a health provider are you compliant with the Health Information Security</w:t>
      </w:r>
      <w:r w:rsidR="004710E0">
        <w:t xml:space="preserve"> </w:t>
      </w:r>
      <w:r w:rsidR="001C2FA7">
        <w:t>Framework.</w:t>
      </w:r>
      <w:r>
        <w:t xml:space="preserve"> A copy of the </w:t>
      </w:r>
      <w:r w:rsidRPr="007B34F2">
        <w:t>Framework</w:t>
      </w:r>
      <w:r>
        <w:t xml:space="preserve"> can be found at</w:t>
      </w:r>
      <w:r w:rsidR="00AA49C0">
        <w:t xml:space="preserve"> </w:t>
      </w:r>
      <w:r>
        <w:t>(</w:t>
      </w:r>
      <w:hyperlink r:id="rId29" w:history="1">
        <w:r w:rsidRPr="004B2DA3">
          <w:t>http://healthitboard.health.govt.nz/standards/approved-standards/hiso-100292015-health-information-security-framework</w:t>
        </w:r>
      </w:hyperlink>
      <w:r>
        <w:t>)</w:t>
      </w:r>
      <w:r w:rsidR="00AA49C0">
        <w:t>.</w:t>
      </w:r>
    </w:p>
    <w:p w14:paraId="5E7F5319" w14:textId="710E7F16" w:rsidR="00011AC7" w:rsidRPr="004B2DA3" w:rsidRDefault="00214261" w:rsidP="00AA49C0">
      <w:pPr>
        <w:pStyle w:val="Heading2-nonumbering"/>
      </w:pPr>
      <w:hyperlink w:anchor="useofcloud" w:history="1">
        <w:bookmarkStart w:id="481" w:name="_Toc489004306"/>
        <w:r w:rsidR="00011AC7" w:rsidRPr="00AA49C0">
          <w:t xml:space="preserve">Use of </w:t>
        </w:r>
        <w:r w:rsidR="00AA49C0">
          <w:t>c</w:t>
        </w:r>
        <w:r w:rsidR="00011AC7" w:rsidRPr="00AA49C0">
          <w:t xml:space="preserve">loud or </w:t>
        </w:r>
        <w:r w:rsidR="00AA49C0">
          <w:t>h</w:t>
        </w:r>
        <w:r w:rsidR="00011AC7" w:rsidRPr="00AA49C0">
          <w:t xml:space="preserve">osted </w:t>
        </w:r>
        <w:r w:rsidR="00AA49C0">
          <w:t>s</w:t>
        </w:r>
        <w:r w:rsidR="00011AC7" w:rsidRPr="00AA49C0">
          <w:t xml:space="preserve">ervices for </w:t>
        </w:r>
        <w:r w:rsidR="00AA49C0">
          <w:t>m</w:t>
        </w:r>
        <w:r w:rsidR="00011AC7" w:rsidRPr="00AA49C0">
          <w:t xml:space="preserve">anaging </w:t>
        </w:r>
        <w:r w:rsidR="00AA49C0">
          <w:t>h</w:t>
        </w:r>
        <w:r w:rsidR="00011AC7" w:rsidRPr="00AA49C0">
          <w:t xml:space="preserve">ealth </w:t>
        </w:r>
        <w:r w:rsidR="00AA49C0">
          <w:t>i</w:t>
        </w:r>
        <w:r w:rsidR="00011AC7" w:rsidRPr="00AA49C0">
          <w:t>nformation</w:t>
        </w:r>
        <w:bookmarkEnd w:id="481"/>
      </w:hyperlink>
    </w:p>
    <w:p w14:paraId="55A3CC5C" w14:textId="77777777" w:rsidR="00D56B08" w:rsidRDefault="00011AC7" w:rsidP="00AA49C0">
      <w:pPr>
        <w:keepNext/>
      </w:pPr>
      <w:r w:rsidRPr="005A2E11">
        <w:t>Are you storing personal health information overseas?</w:t>
      </w:r>
      <w:r>
        <w:t xml:space="preserve"> </w:t>
      </w:r>
      <w:r w:rsidRPr="005A2E11">
        <w:t>If so</w:t>
      </w:r>
      <w:r>
        <w:t xml:space="preserve"> </w:t>
      </w:r>
      <w:r w:rsidRPr="00154655">
        <w:t>have you undertaken a risk assessment of the proposed product or service?</w:t>
      </w:r>
    </w:p>
    <w:p w14:paraId="07E3BCF1" w14:textId="77777777" w:rsidR="00011AC7" w:rsidRPr="002B2067" w:rsidRDefault="00011AC7" w:rsidP="00AA49C0">
      <w:r w:rsidRPr="00BA3C09">
        <w:t>If you are a DHB or government agency, have you complied with the GCIO</w:t>
      </w:r>
      <w:r w:rsidR="00D56B08">
        <w:t>’</w:t>
      </w:r>
      <w:r w:rsidRPr="00BA3C09">
        <w:t>s requirements</w:t>
      </w:r>
      <w:r w:rsidRPr="002B2067">
        <w:t xml:space="preserve"> in respect of strategic planning?</w:t>
      </w:r>
    </w:p>
    <w:p w14:paraId="46D42305" w14:textId="542E69CC" w:rsidR="00011AC7" w:rsidRDefault="00011AC7" w:rsidP="00AA49C0">
      <w:pPr>
        <w:pStyle w:val="Heading1-nonumbering"/>
      </w:pPr>
      <w:bookmarkStart w:id="482" w:name="_Toc489004307"/>
      <w:bookmarkStart w:id="483" w:name="_Toc491259747"/>
      <w:r>
        <w:lastRenderedPageBreak/>
        <w:t>Appendix 2</w:t>
      </w:r>
      <w:r w:rsidR="00690695">
        <w:t>:</w:t>
      </w:r>
      <w:r>
        <w:t xml:space="preserve"> Relevant legislation</w:t>
      </w:r>
      <w:bookmarkEnd w:id="482"/>
      <w:bookmarkEnd w:id="483"/>
    </w:p>
    <w:p w14:paraId="53505CDE" w14:textId="77777777" w:rsidR="00011AC7" w:rsidRDefault="00011AC7" w:rsidP="00AA49C0">
      <w:pPr>
        <w:pStyle w:val="Heading2-nonumbering"/>
      </w:pPr>
      <w:r w:rsidRPr="00F736C1">
        <w:t>Privacy Act 1993 and Health Information Privacy Code 1994</w:t>
      </w:r>
    </w:p>
    <w:p w14:paraId="4D07999F" w14:textId="77777777" w:rsidR="00011AC7" w:rsidRPr="00DC4E99" w:rsidRDefault="00011AC7" w:rsidP="00011AC7">
      <w:r w:rsidRPr="00DC4E99">
        <w:t>The Privacy Act 1993 regulates the collection, disclosure and use of personal information in New Zealand by way of 12 information privacy principles.</w:t>
      </w:r>
      <w:r>
        <w:t xml:space="preserve"> </w:t>
      </w:r>
      <w:r w:rsidRPr="00DC4E99">
        <w:t>The Privacy Commissioner, an Independent Crown Entity, administers the Act</w:t>
      </w:r>
      <w:r w:rsidR="00D56B08">
        <w:t>’</w:t>
      </w:r>
      <w:r w:rsidRPr="00DC4E99">
        <w:t>s complaints and information sharing provisions.</w:t>
      </w:r>
      <w:r>
        <w:t xml:space="preserve"> </w:t>
      </w:r>
      <w:r w:rsidRPr="00DC4E99">
        <w:t>The Commissioner is also able to create codes to regulate specific sectors where necessary.</w:t>
      </w:r>
    </w:p>
    <w:p w14:paraId="379D54F6" w14:textId="77777777" w:rsidR="00011AC7" w:rsidRPr="00DC4E99" w:rsidRDefault="00011AC7" w:rsidP="00AA49C0">
      <w:r w:rsidRPr="00DC4E99">
        <w:t>The Health Information Privacy Code 1994 is a code created by the Privacy Commissioner under the Act to regulate health information. It applies to all health and disability service providers in the public and private sectors.</w:t>
      </w:r>
      <w:r>
        <w:t xml:space="preserve"> </w:t>
      </w:r>
      <w:r w:rsidRPr="00DC4E99">
        <w:t xml:space="preserve">The Code consists of 12 health information privacy rules, as well as setting out which agencies are allowed to assign the National Health Index number, who may charge a fee for providing an </w:t>
      </w:r>
      <w:r>
        <w:t>person</w:t>
      </w:r>
      <w:r w:rsidRPr="00DC4E99">
        <w:t xml:space="preserve"> with access to their own health information, and the rules around how health agencies should deal with patient complaints.</w:t>
      </w:r>
      <w:r>
        <w:t xml:space="preserve"> </w:t>
      </w:r>
      <w:r w:rsidRPr="00DC4E99">
        <w:t>The 12 health information privacy rules can be summarised from the perspective of the health practitioner as follows:</w:t>
      </w:r>
    </w:p>
    <w:p w14:paraId="29D11FEF" w14:textId="77777777" w:rsidR="00011AC7" w:rsidRPr="00D14AE8" w:rsidRDefault="00593B5E" w:rsidP="00593B5E">
      <w:pPr>
        <w:spacing w:before="90"/>
        <w:ind w:left="567" w:hanging="567"/>
      </w:pPr>
      <w:r>
        <w:t>1.</w:t>
      </w:r>
      <w:r>
        <w:tab/>
      </w:r>
      <w:r w:rsidR="00011AC7" w:rsidRPr="00D14AE8">
        <w:t>Only collect health information if you really need it.</w:t>
      </w:r>
    </w:p>
    <w:p w14:paraId="56C2E100" w14:textId="77777777" w:rsidR="00011AC7" w:rsidRPr="00D14AE8" w:rsidRDefault="00593B5E" w:rsidP="00593B5E">
      <w:pPr>
        <w:spacing w:before="90"/>
        <w:ind w:left="567" w:hanging="567"/>
      </w:pPr>
      <w:r>
        <w:t>2.</w:t>
      </w:r>
      <w:r>
        <w:tab/>
      </w:r>
      <w:r w:rsidR="00011AC7" w:rsidRPr="00D14AE8">
        <w:t>Get it straight from the people concerned, where possible.</w:t>
      </w:r>
    </w:p>
    <w:p w14:paraId="0D3E9A4A" w14:textId="77777777" w:rsidR="00011AC7" w:rsidRPr="00D14AE8" w:rsidRDefault="00593B5E" w:rsidP="00593B5E">
      <w:pPr>
        <w:spacing w:before="90"/>
        <w:ind w:left="567" w:hanging="567"/>
      </w:pPr>
      <w:r>
        <w:t>3.</w:t>
      </w:r>
      <w:r>
        <w:tab/>
      </w:r>
      <w:r w:rsidR="00011AC7" w:rsidRPr="00D14AE8">
        <w:t xml:space="preserve">Tell </w:t>
      </w:r>
      <w:r w:rsidR="00011AC7">
        <w:t>consumers</w:t>
      </w:r>
      <w:r w:rsidR="00011AC7" w:rsidRPr="00D14AE8">
        <w:t xml:space="preserve"> what you</w:t>
      </w:r>
      <w:r w:rsidR="00D56B08">
        <w:t>’</w:t>
      </w:r>
      <w:r w:rsidR="00011AC7" w:rsidRPr="00D14AE8">
        <w:t>re going to do with it.</w:t>
      </w:r>
    </w:p>
    <w:p w14:paraId="35B1C1D4" w14:textId="77777777" w:rsidR="00011AC7" w:rsidRPr="00D14AE8" w:rsidRDefault="00593B5E" w:rsidP="00593B5E">
      <w:pPr>
        <w:spacing w:before="90"/>
        <w:ind w:left="567" w:hanging="567"/>
      </w:pPr>
      <w:r>
        <w:t>4.</w:t>
      </w:r>
      <w:r>
        <w:tab/>
      </w:r>
      <w:proofErr w:type="gramStart"/>
      <w:r w:rsidR="00011AC7" w:rsidRPr="00D14AE8">
        <w:t>Be</w:t>
      </w:r>
      <w:proofErr w:type="gramEnd"/>
      <w:r w:rsidR="00011AC7" w:rsidRPr="00D14AE8">
        <w:t xml:space="preserve"> considerate when you</w:t>
      </w:r>
      <w:r w:rsidR="00D56B08">
        <w:t>’</w:t>
      </w:r>
      <w:r w:rsidR="00011AC7" w:rsidRPr="00D14AE8">
        <w:t>re getting it.</w:t>
      </w:r>
    </w:p>
    <w:p w14:paraId="7F65BDA6" w14:textId="77777777" w:rsidR="00011AC7" w:rsidRPr="00D14AE8" w:rsidRDefault="00593B5E" w:rsidP="00593B5E">
      <w:pPr>
        <w:spacing w:before="90"/>
        <w:ind w:left="567" w:hanging="567"/>
      </w:pPr>
      <w:r>
        <w:t>5.</w:t>
      </w:r>
      <w:r>
        <w:tab/>
      </w:r>
      <w:r w:rsidR="00011AC7" w:rsidRPr="00D14AE8">
        <w:t>Take care of it once you</w:t>
      </w:r>
      <w:r w:rsidR="00D56B08">
        <w:t>’</w:t>
      </w:r>
      <w:r w:rsidR="00011AC7" w:rsidRPr="00D14AE8">
        <w:t>ve got it.</w:t>
      </w:r>
    </w:p>
    <w:p w14:paraId="7D298F20" w14:textId="77777777" w:rsidR="00011AC7" w:rsidRPr="00D14AE8" w:rsidRDefault="00593B5E" w:rsidP="00593B5E">
      <w:pPr>
        <w:spacing w:before="90"/>
        <w:ind w:left="567" w:hanging="567"/>
      </w:pPr>
      <w:r>
        <w:t>6.</w:t>
      </w:r>
      <w:r>
        <w:tab/>
      </w:r>
      <w:r w:rsidR="00011AC7" w:rsidRPr="00D14AE8">
        <w:t>People can see their health information if they want to.</w:t>
      </w:r>
    </w:p>
    <w:p w14:paraId="3E64A859" w14:textId="77777777" w:rsidR="00011AC7" w:rsidRPr="00D14AE8" w:rsidRDefault="00593B5E" w:rsidP="00593B5E">
      <w:pPr>
        <w:spacing w:before="90"/>
        <w:ind w:left="567" w:hanging="567"/>
      </w:pPr>
      <w:r>
        <w:t>7.</w:t>
      </w:r>
      <w:r>
        <w:tab/>
      </w:r>
      <w:r w:rsidR="00011AC7" w:rsidRPr="00D14AE8">
        <w:t>They can correct it if it</w:t>
      </w:r>
      <w:r w:rsidR="00D56B08">
        <w:t>’</w:t>
      </w:r>
      <w:r w:rsidR="00011AC7" w:rsidRPr="00D14AE8">
        <w:t>s wrong.</w:t>
      </w:r>
    </w:p>
    <w:p w14:paraId="369B4390" w14:textId="77777777" w:rsidR="00011AC7" w:rsidRPr="00D14AE8" w:rsidRDefault="00593B5E" w:rsidP="00593B5E">
      <w:pPr>
        <w:spacing w:before="90"/>
        <w:ind w:left="567" w:hanging="567"/>
      </w:pPr>
      <w:r>
        <w:t>8.</w:t>
      </w:r>
      <w:r>
        <w:tab/>
      </w:r>
      <w:r w:rsidR="00011AC7" w:rsidRPr="00D14AE8">
        <w:t>Make sure health information is correct before you use it.</w:t>
      </w:r>
    </w:p>
    <w:p w14:paraId="7D7BADFF" w14:textId="77777777" w:rsidR="00011AC7" w:rsidRPr="00D14AE8" w:rsidRDefault="00593B5E" w:rsidP="00593B5E">
      <w:pPr>
        <w:spacing w:before="90"/>
        <w:ind w:left="567" w:hanging="567"/>
      </w:pPr>
      <w:r>
        <w:t>9.</w:t>
      </w:r>
      <w:r>
        <w:tab/>
      </w:r>
      <w:r w:rsidR="00011AC7" w:rsidRPr="00D14AE8">
        <w:t>Get rid of it when you</w:t>
      </w:r>
      <w:r w:rsidR="00D56B08">
        <w:t>’</w:t>
      </w:r>
      <w:r w:rsidR="00011AC7" w:rsidRPr="00D14AE8">
        <w:t>re done with it, if the law allows.</w:t>
      </w:r>
    </w:p>
    <w:p w14:paraId="0CCF02CE" w14:textId="77777777" w:rsidR="00011AC7" w:rsidRPr="00D14AE8" w:rsidRDefault="00593B5E" w:rsidP="00593B5E">
      <w:pPr>
        <w:spacing w:before="90"/>
        <w:ind w:left="567" w:hanging="567"/>
      </w:pPr>
      <w:r>
        <w:t>10.</w:t>
      </w:r>
      <w:r>
        <w:tab/>
      </w:r>
      <w:r w:rsidR="00011AC7" w:rsidRPr="00D14AE8">
        <w:t>Use it for the purpose you got it.</w:t>
      </w:r>
    </w:p>
    <w:p w14:paraId="7CAB535A" w14:textId="77777777" w:rsidR="00011AC7" w:rsidRPr="00D14AE8" w:rsidRDefault="00593B5E" w:rsidP="00593B5E">
      <w:pPr>
        <w:spacing w:before="90"/>
        <w:ind w:left="567" w:hanging="567"/>
      </w:pPr>
      <w:r>
        <w:t>11.</w:t>
      </w:r>
      <w:r>
        <w:tab/>
      </w:r>
      <w:r w:rsidR="00011AC7" w:rsidRPr="00D14AE8">
        <w:t>Only disclose it if you have a good reason.</w:t>
      </w:r>
    </w:p>
    <w:p w14:paraId="53A99E94" w14:textId="77777777" w:rsidR="00011AC7" w:rsidRPr="00D14AE8" w:rsidRDefault="00593B5E" w:rsidP="00593B5E">
      <w:pPr>
        <w:spacing w:before="90"/>
        <w:ind w:left="567" w:hanging="567"/>
      </w:pPr>
      <w:r>
        <w:t>12.</w:t>
      </w:r>
      <w:r>
        <w:tab/>
      </w:r>
      <w:r w:rsidR="00011AC7" w:rsidRPr="00D14AE8">
        <w:t>Only assign unique identifiers where permitted.</w:t>
      </w:r>
    </w:p>
    <w:p w14:paraId="2D356969" w14:textId="77777777" w:rsidR="00011AC7" w:rsidRPr="00DC4E99" w:rsidRDefault="00011AC7" w:rsidP="00AA49C0">
      <w:r w:rsidRPr="00DC4E99">
        <w:t>While this list is a useful overview and starting point, most of the rules have exceptions and anyone dealing with health information should at least have read the 12 rules in full</w:t>
      </w:r>
      <w:r>
        <w:t>.</w:t>
      </w:r>
      <w:r w:rsidRPr="00AA49C0">
        <w:rPr>
          <w:rStyle w:val="FootnoteReference"/>
        </w:rPr>
        <w:footnoteReference w:id="58"/>
      </w:r>
    </w:p>
    <w:p w14:paraId="7519AC38" w14:textId="77777777" w:rsidR="00011AC7" w:rsidRPr="00DC4E99" w:rsidRDefault="00011AC7" w:rsidP="00AA49C0">
      <w:r w:rsidRPr="00DC4E99">
        <w:t>Some useful points to note about the 12 health information privacy rules:</w:t>
      </w:r>
    </w:p>
    <w:p w14:paraId="74F0E0B1" w14:textId="77777777" w:rsidR="00011AC7" w:rsidRPr="00385BAB" w:rsidRDefault="00011AC7" w:rsidP="00AA49C0">
      <w:pPr>
        <w:pStyle w:val="Bullet"/>
      </w:pPr>
      <w:r w:rsidRPr="00385BAB">
        <w:t xml:space="preserve">Rule 2 requires health agencies collecting external electronic health records to get permission from the </w:t>
      </w:r>
      <w:r>
        <w:t>consumer</w:t>
      </w:r>
      <w:r w:rsidRPr="00385BAB">
        <w:t xml:space="preserve"> to do so where practicable (such as in a face to face consult)</w:t>
      </w:r>
    </w:p>
    <w:p w14:paraId="57E8EC59" w14:textId="77777777" w:rsidR="00011AC7" w:rsidRPr="00385BAB" w:rsidRDefault="00011AC7" w:rsidP="00AA49C0">
      <w:pPr>
        <w:pStyle w:val="Bullet"/>
      </w:pPr>
      <w:r w:rsidRPr="00385BAB">
        <w:t>Rule 3 requires health agencies to carefully consider how purposes and intended uses/disclosures are being explained to their patients, for instance by verbal discussions, posters, brochures and admission forms.</w:t>
      </w:r>
    </w:p>
    <w:p w14:paraId="1DBFEA86" w14:textId="77777777" w:rsidR="00011AC7" w:rsidRPr="00385BAB" w:rsidRDefault="00011AC7" w:rsidP="00593B5E">
      <w:pPr>
        <w:pStyle w:val="Bullet"/>
        <w:keepLines/>
      </w:pPr>
      <w:r w:rsidRPr="00385BAB">
        <w:lastRenderedPageBreak/>
        <w:t>Rule 7 allows patients to seek correction of health information they disagree with, but doesn</w:t>
      </w:r>
      <w:r w:rsidR="00D56B08">
        <w:t>’</w:t>
      </w:r>
      <w:r w:rsidRPr="00385BAB">
        <w:t>t require agencies to make the correction sought.</w:t>
      </w:r>
      <w:r>
        <w:t xml:space="preserve"> </w:t>
      </w:r>
      <w:r w:rsidRPr="00385BAB">
        <w:t>However it does require health agencies to attach a statement from the patient to the record on request, setting out the correction sought but not made.</w:t>
      </w:r>
    </w:p>
    <w:p w14:paraId="6694E880" w14:textId="139DAC3A" w:rsidR="00011AC7" w:rsidRPr="00385BAB" w:rsidRDefault="00011AC7" w:rsidP="00593B5E">
      <w:pPr>
        <w:pStyle w:val="Bullet"/>
      </w:pPr>
      <w:r w:rsidRPr="00385BAB">
        <w:t xml:space="preserve">Rule 9 is affected by laws requiring health record retention which take precedence over it; the minimum retention period of health records is </w:t>
      </w:r>
      <w:r w:rsidR="00593B5E">
        <w:t xml:space="preserve">10 </w:t>
      </w:r>
      <w:r w:rsidRPr="00385BAB">
        <w:t>years since the last consult.</w:t>
      </w:r>
      <w:r w:rsidRPr="00485E85">
        <w:rPr>
          <w:rStyle w:val="FootnoteReference"/>
        </w:rPr>
        <w:footnoteReference w:id="59"/>
      </w:r>
    </w:p>
    <w:p w14:paraId="79A85DD3" w14:textId="77777777" w:rsidR="00011AC7" w:rsidRPr="00385BAB" w:rsidRDefault="00011AC7" w:rsidP="00593B5E">
      <w:pPr>
        <w:pStyle w:val="Bullet"/>
      </w:pPr>
      <w:r w:rsidRPr="00385BAB">
        <w:t>Rule 11 allows disclosure in a number of common situations specific to the health sector (presence, location and condition in hospital, talking to relatives, and disclosure of serious threat to someone who can help prevent or lessen the threat) and should be studied carefully.</w:t>
      </w:r>
    </w:p>
    <w:p w14:paraId="4B245400" w14:textId="77777777" w:rsidR="00011AC7" w:rsidRPr="009C485E" w:rsidRDefault="00011AC7" w:rsidP="00593B5E">
      <w:bookmarkStart w:id="484" w:name="_Toc489004308"/>
      <w:r w:rsidRPr="009C485E">
        <w:t xml:space="preserve">The Privacy Act and the </w:t>
      </w:r>
      <w:r>
        <w:t>Health Information Privacy Code</w:t>
      </w:r>
      <w:r w:rsidRPr="009C485E">
        <w:t xml:space="preserve"> are both subject to any other legislation that requires or allows disclosure of information.</w:t>
      </w:r>
      <w:r>
        <w:t xml:space="preserve"> </w:t>
      </w:r>
      <w:r w:rsidRPr="009C485E">
        <w:t>Othe</w:t>
      </w:r>
      <w:r>
        <w:t>r key pieces of legislation are listed below.</w:t>
      </w:r>
      <w:bookmarkEnd w:id="484"/>
    </w:p>
    <w:p w14:paraId="4BB750A7" w14:textId="77777777" w:rsidR="00011AC7" w:rsidRPr="00827B01" w:rsidRDefault="00011AC7" w:rsidP="00593B5E">
      <w:pPr>
        <w:pStyle w:val="Heading2-nonumbering"/>
      </w:pPr>
      <w:bookmarkStart w:id="485" w:name="_Toc489004309"/>
      <w:r w:rsidRPr="00827B01">
        <w:t>Official Information Act 1982</w:t>
      </w:r>
      <w:bookmarkEnd w:id="485"/>
    </w:p>
    <w:p w14:paraId="529DE98A" w14:textId="77777777" w:rsidR="00011AC7" w:rsidRPr="00385BAB" w:rsidRDefault="00011AC7" w:rsidP="00593B5E">
      <w:r w:rsidRPr="00385BAB">
        <w:t>Requires any public sector organisation to supply information on request, except where releasing the information would breach someone</w:t>
      </w:r>
      <w:r w:rsidR="00D56B08">
        <w:t>’</w:t>
      </w:r>
      <w:r w:rsidRPr="00385BAB">
        <w:t>s privacy.</w:t>
      </w:r>
      <w:r w:rsidRPr="00593B5E">
        <w:rPr>
          <w:rStyle w:val="FootnoteReference"/>
        </w:rPr>
        <w:footnoteReference w:id="60"/>
      </w:r>
    </w:p>
    <w:p w14:paraId="0F1528EE" w14:textId="77777777" w:rsidR="00011AC7" w:rsidRPr="00385BAB" w:rsidRDefault="00011AC7" w:rsidP="00593B5E">
      <w:pPr>
        <w:pStyle w:val="Heading3-nonumbering"/>
      </w:pPr>
      <w:r w:rsidRPr="00385BAB">
        <w:t>Health Act 1956</w:t>
      </w:r>
    </w:p>
    <w:p w14:paraId="39CFE51D" w14:textId="77777777" w:rsidR="00011AC7" w:rsidRPr="00D14AE8" w:rsidRDefault="00011AC7" w:rsidP="00593B5E">
      <w:pPr>
        <w:pStyle w:val="Bullet"/>
      </w:pPr>
      <w:r w:rsidRPr="00D14AE8">
        <w:t>Allows (but does not require) health agencies to disclose health information, on request, to specified official agencies such as the Police.</w:t>
      </w:r>
      <w:r w:rsidRPr="00593B5E">
        <w:rPr>
          <w:rStyle w:val="FootnoteReference"/>
        </w:rPr>
        <w:footnoteReference w:id="61"/>
      </w:r>
    </w:p>
    <w:p w14:paraId="77955B47" w14:textId="22E4DCE0" w:rsidR="00011AC7" w:rsidRPr="00D14AE8" w:rsidRDefault="00011AC7" w:rsidP="00593B5E">
      <w:pPr>
        <w:pStyle w:val="Bullet"/>
      </w:pPr>
      <w:r w:rsidRPr="00D14AE8">
        <w:t>Requires health agencies to disclose health information about a patient, on request, to people providing health</w:t>
      </w:r>
      <w:r>
        <w:t xml:space="preserve"> </w:t>
      </w:r>
      <w:r w:rsidRPr="00D14AE8">
        <w:t>care to that patient or representatives of the patient, unless responding to the request would be against the wishes or interests of the patient</w:t>
      </w:r>
      <w:r w:rsidR="00593B5E">
        <w:t>.</w:t>
      </w:r>
      <w:r w:rsidRPr="00593B5E">
        <w:rPr>
          <w:rStyle w:val="FootnoteReference"/>
        </w:rPr>
        <w:footnoteReference w:id="62"/>
      </w:r>
    </w:p>
    <w:p w14:paraId="37DBB984" w14:textId="40FA52DE" w:rsidR="00011AC7" w:rsidRPr="00D14AE8" w:rsidRDefault="00011AC7" w:rsidP="00593B5E">
      <w:pPr>
        <w:pStyle w:val="Bullet"/>
      </w:pPr>
      <w:r w:rsidRPr="00D14AE8">
        <w:t xml:space="preserve">Allows anonymised health information to be shared without the need to obtain the consent of the </w:t>
      </w:r>
      <w:r>
        <w:t>consumer</w:t>
      </w:r>
      <w:r w:rsidRPr="00D14AE8">
        <w:t xml:space="preserve"> or </w:t>
      </w:r>
      <w:r>
        <w:t>consumer</w:t>
      </w:r>
      <w:r w:rsidRPr="00D14AE8">
        <w:t>s to whom the information relates</w:t>
      </w:r>
      <w:r w:rsidR="00593B5E">
        <w:t>.</w:t>
      </w:r>
      <w:r w:rsidRPr="00593B5E">
        <w:rPr>
          <w:rStyle w:val="FootnoteReference"/>
        </w:rPr>
        <w:footnoteReference w:id="63"/>
      </w:r>
    </w:p>
    <w:p w14:paraId="608DA84B" w14:textId="77777777" w:rsidR="00477379" w:rsidRDefault="00477379" w:rsidP="00477379">
      <w:pPr>
        <w:pStyle w:val="Heading2-nonumbering"/>
      </w:pPr>
      <w:proofErr w:type="spellStart"/>
      <w:r>
        <w:t>Oranga</w:t>
      </w:r>
      <w:proofErr w:type="spellEnd"/>
      <w:r>
        <w:t xml:space="preserve"> Tamariki Act 1989 Children’s and Young People’s Welfare Act 1989</w:t>
      </w:r>
      <w:r>
        <w:rPr>
          <w:rStyle w:val="FootnoteReference"/>
        </w:rPr>
        <w:footnoteReference w:id="64"/>
      </w:r>
      <w:r>
        <w:t xml:space="preserve"> (previously Children, Young Persons, and Their Families Act 1989)</w:t>
      </w:r>
    </w:p>
    <w:p w14:paraId="357E38F0" w14:textId="77777777" w:rsidR="00477379" w:rsidRDefault="00477379" w:rsidP="00477379">
      <w:r>
        <w:t>This Act permits disclosure</w:t>
      </w:r>
      <w:r w:rsidRPr="00385BAB">
        <w:t xml:space="preserve"> of any information suggesting that a child or young person is being or might be abused or deprived in any way, to a </w:t>
      </w:r>
      <w:r>
        <w:t>s</w:t>
      </w:r>
      <w:r w:rsidRPr="00385BAB">
        <w:t xml:space="preserve">ocial </w:t>
      </w:r>
      <w:r>
        <w:t>w</w:t>
      </w:r>
      <w:r w:rsidRPr="00385BAB">
        <w:t>orker or the Police</w:t>
      </w:r>
      <w:r>
        <w:t>.</w:t>
      </w:r>
      <w:r w:rsidRPr="00593B5E">
        <w:rPr>
          <w:rStyle w:val="FootnoteReference"/>
        </w:rPr>
        <w:footnoteReference w:id="65"/>
      </w:r>
    </w:p>
    <w:p w14:paraId="465B140C" w14:textId="77777777" w:rsidR="00477379" w:rsidRDefault="00477379" w:rsidP="00477379">
      <w:r>
        <w:t>An amendment to this Act will come into force on a date appointed by Order in Council or by 1 July 2019 if it has not earlier been brought into force. This amendment will provide for an information sharing framework that facilitates the timely and consistent exchange of information about vulnerable children and young people to promote their safety and wellbeing. The framework:</w:t>
      </w:r>
    </w:p>
    <w:p w14:paraId="2F1CE76D" w14:textId="77777777" w:rsidR="00477379" w:rsidRDefault="00477379" w:rsidP="00477379">
      <w:pPr>
        <w:pStyle w:val="ListParagraph"/>
        <w:numPr>
          <w:ilvl w:val="0"/>
          <w:numId w:val="75"/>
        </w:numPr>
      </w:pPr>
      <w:r>
        <w:lastRenderedPageBreak/>
        <w:t>includes a presumption that when information is requested for child welfare and protection purposes it will be shared</w:t>
      </w:r>
    </w:p>
    <w:p w14:paraId="02E71CFD" w14:textId="77777777" w:rsidR="00477379" w:rsidRPr="002D32A9" w:rsidRDefault="00477379" w:rsidP="00477379">
      <w:pPr>
        <w:pStyle w:val="ListParagraph"/>
        <w:numPr>
          <w:ilvl w:val="0"/>
          <w:numId w:val="75"/>
        </w:numPr>
      </w:pPr>
      <w:proofErr w:type="gramStart"/>
      <w:r>
        <w:t>allows</w:t>
      </w:r>
      <w:proofErr w:type="gramEnd"/>
      <w:r>
        <w:t xml:space="preserve"> linked data-sets of information sourced from multiple agencies to be analysed for operational purposes, and to inform risk and needs assessment, service design and delivery.</w:t>
      </w:r>
      <w:r>
        <w:rPr>
          <w:rStyle w:val="FootnoteReference"/>
        </w:rPr>
        <w:footnoteReference w:id="66"/>
      </w:r>
    </w:p>
    <w:p w14:paraId="0A2FD219" w14:textId="77777777" w:rsidR="00011AC7" w:rsidRPr="002D32A9" w:rsidRDefault="00011AC7" w:rsidP="00593B5E">
      <w:pPr>
        <w:pStyle w:val="Heading3-nonumbering"/>
      </w:pPr>
      <w:r w:rsidRPr="002D32A9">
        <w:t>HDC Code of Health and Disability Services Consumers</w:t>
      </w:r>
      <w:r w:rsidR="00D56B08">
        <w:t>’</w:t>
      </w:r>
      <w:r w:rsidRPr="002D32A9">
        <w:t xml:space="preserve"> Rights Regulation 1996</w:t>
      </w:r>
    </w:p>
    <w:p w14:paraId="679BB0CB" w14:textId="0FBBD834" w:rsidR="00D56B08" w:rsidRDefault="00011AC7" w:rsidP="00593B5E">
      <w:r w:rsidRPr="00776F15">
        <w:t>Establishes the rights of consumers, and the obligations and duties of providers to comply with the Code.</w:t>
      </w:r>
      <w:r>
        <w:t xml:space="preserve"> In particular</w:t>
      </w:r>
      <w:r w:rsidR="00593B5E">
        <w:t>:</w:t>
      </w:r>
    </w:p>
    <w:p w14:paraId="5ADA3FED" w14:textId="58562060" w:rsidR="00011AC7" w:rsidRDefault="00593B5E" w:rsidP="00593B5E">
      <w:pPr>
        <w:spacing w:before="90"/>
        <w:ind w:left="567" w:hanging="567"/>
      </w:pPr>
      <w:proofErr w:type="spellStart"/>
      <w:proofErr w:type="gramStart"/>
      <w:r>
        <w:t>i</w:t>
      </w:r>
      <w:proofErr w:type="spellEnd"/>
      <w:proofErr w:type="gramEnd"/>
      <w:r>
        <w:t>.</w:t>
      </w:r>
      <w:r>
        <w:tab/>
        <w:t>c</w:t>
      </w:r>
      <w:r w:rsidR="00011AC7">
        <w:t>onsumers have the right to be fully informed about any diagnosis given, as well as the options available in respect of treatment and care (Right 6)</w:t>
      </w:r>
      <w:r>
        <w:t>,</w:t>
      </w:r>
      <w:r w:rsidR="00011AC7">
        <w:t xml:space="preserve"> and the right to make an informed choice or give informed consent to any treatment and or care proposed (Right 7)</w:t>
      </w:r>
    </w:p>
    <w:p w14:paraId="01D33B52" w14:textId="7B24F5BD" w:rsidR="00D56B08" w:rsidRDefault="00593B5E" w:rsidP="00593B5E">
      <w:pPr>
        <w:spacing w:before="90"/>
        <w:ind w:left="567" w:hanging="567"/>
        <w:rPr>
          <w:szCs w:val="22"/>
        </w:rPr>
      </w:pPr>
      <w:r>
        <w:rPr>
          <w:szCs w:val="22"/>
        </w:rPr>
        <w:t>ii.</w:t>
      </w:r>
      <w:r>
        <w:rPr>
          <w:szCs w:val="22"/>
        </w:rPr>
        <w:tab/>
      </w:r>
      <w:proofErr w:type="gramStart"/>
      <w:r>
        <w:rPr>
          <w:szCs w:val="22"/>
        </w:rPr>
        <w:t>a</w:t>
      </w:r>
      <w:proofErr w:type="gramEnd"/>
      <w:r w:rsidR="00011AC7" w:rsidRPr="00E93628">
        <w:rPr>
          <w:szCs w:val="22"/>
        </w:rPr>
        <w:t xml:space="preserve"> full list of all relevant legislation can be found in</w:t>
      </w:r>
      <w:r w:rsidR="00011AC7">
        <w:rPr>
          <w:szCs w:val="22"/>
        </w:rPr>
        <w:t xml:space="preserve"> the</w:t>
      </w:r>
      <w:r w:rsidR="00011AC7" w:rsidRPr="00E93628">
        <w:rPr>
          <w:szCs w:val="22"/>
        </w:rPr>
        <w:t xml:space="preserve"> </w:t>
      </w:r>
      <w:r w:rsidR="00011AC7">
        <w:rPr>
          <w:szCs w:val="22"/>
        </w:rPr>
        <w:t>a</w:t>
      </w:r>
      <w:r w:rsidR="00011AC7" w:rsidRPr="00E93628">
        <w:rPr>
          <w:szCs w:val="22"/>
        </w:rPr>
        <w:t xml:space="preserve">ppendix to the HIPC 1994 Commentary </w:t>
      </w:r>
      <w:hyperlink r:id="rId30" w:history="1">
        <w:r w:rsidR="00011AC7" w:rsidRPr="00E93628">
          <w:rPr>
            <w:szCs w:val="22"/>
          </w:rPr>
          <w:t>http://privacy.org.nz/assets/Files/Codes-of-Practice-materials/HIPC-1994-incl.-amendments-revised-commentary.pdf</w:t>
        </w:r>
      </w:hyperlink>
      <w:r>
        <w:rPr>
          <w:szCs w:val="22"/>
        </w:rPr>
        <w:t>.</w:t>
      </w:r>
    </w:p>
    <w:p w14:paraId="1F977290" w14:textId="53F43EF5" w:rsidR="00011AC7" w:rsidRDefault="00011AC7" w:rsidP="00593B5E">
      <w:pPr>
        <w:pStyle w:val="Heading1-nonumbering"/>
      </w:pPr>
      <w:bookmarkStart w:id="486" w:name="_Toc489004310"/>
      <w:bookmarkStart w:id="487" w:name="_Toc491259748"/>
      <w:bookmarkStart w:id="488" w:name="_Toc401744148"/>
      <w:r>
        <w:lastRenderedPageBreak/>
        <w:t>Appendix 3</w:t>
      </w:r>
      <w:r w:rsidR="00690695">
        <w:t>:</w:t>
      </w:r>
      <w:r w:rsidR="00D56B08">
        <w:t xml:space="preserve"> </w:t>
      </w:r>
      <w:r>
        <w:t>Definitions</w:t>
      </w:r>
      <w:bookmarkEnd w:id="486"/>
      <w:bookmarkEnd w:id="487"/>
    </w:p>
    <w:p w14:paraId="1012B384" w14:textId="77777777" w:rsidR="00011AC7" w:rsidRPr="00385BAB" w:rsidRDefault="00011AC7" w:rsidP="00593B5E">
      <w:pPr>
        <w:pStyle w:val="Heading2-nonumbering"/>
      </w:pPr>
      <w:bookmarkStart w:id="489" w:name="_Toc476648199"/>
      <w:bookmarkStart w:id="490" w:name="_Toc489004311"/>
      <w:r w:rsidRPr="00385BAB">
        <w:t>Definitions</w:t>
      </w:r>
      <w:bookmarkEnd w:id="488"/>
      <w:bookmarkEnd w:id="489"/>
      <w:bookmarkEnd w:id="490"/>
    </w:p>
    <w:p w14:paraId="387D9815" w14:textId="77777777" w:rsidR="00D56B08" w:rsidRDefault="00011AC7" w:rsidP="00593B5E">
      <w:pPr>
        <w:pStyle w:val="Heading3-nonumbering"/>
      </w:pPr>
      <w:r>
        <w:t>Agency</w:t>
      </w:r>
    </w:p>
    <w:p w14:paraId="45404242" w14:textId="77777777" w:rsidR="00011AC7" w:rsidRDefault="00011AC7" w:rsidP="00593B5E">
      <w:r w:rsidRPr="00C0542E">
        <w:t>Agency in terms of the Health Information Privacy Code, means an agency referred to in clause</w:t>
      </w:r>
      <w:r w:rsidR="00593B5E">
        <w:t> </w:t>
      </w:r>
      <w:r w:rsidRPr="00C0542E">
        <w:t>4(2) (of the Code) and, is to be taken to include,</w:t>
      </w:r>
      <w:r w:rsidR="00593B5E">
        <w:t xml:space="preserve"> –</w:t>
      </w:r>
    </w:p>
    <w:p w14:paraId="4D3AB5A4" w14:textId="77777777" w:rsidR="00011AC7" w:rsidRDefault="00593B5E" w:rsidP="00593B5E">
      <w:pPr>
        <w:spacing w:before="90"/>
        <w:ind w:left="567" w:hanging="567"/>
      </w:pPr>
      <w:r>
        <w:t>a)</w:t>
      </w:r>
      <w:r>
        <w:tab/>
      </w:r>
      <w:r w:rsidR="00011AC7" w:rsidRPr="00C0542E">
        <w:t>where an agency holds health information obtained in the course of providing health or disability services but no longer provides such services, that agency; and</w:t>
      </w:r>
    </w:p>
    <w:p w14:paraId="60574259" w14:textId="77777777" w:rsidR="00D56B08" w:rsidRDefault="00593B5E" w:rsidP="00593B5E">
      <w:pPr>
        <w:spacing w:before="90"/>
        <w:ind w:left="567" w:hanging="567"/>
      </w:pPr>
      <w:r>
        <w:t>b)</w:t>
      </w:r>
      <w:r>
        <w:tab/>
      </w:r>
      <w:proofErr w:type="gramStart"/>
      <w:r w:rsidR="00011AC7" w:rsidRPr="00C0542E">
        <w:t>with</w:t>
      </w:r>
      <w:proofErr w:type="gramEnd"/>
      <w:r w:rsidR="00011AC7" w:rsidRPr="00C0542E">
        <w:t xml:space="preserve"> respect to any health information held by a health agency (being a natural person) at the time of the person</w:t>
      </w:r>
      <w:r w:rsidR="00D56B08">
        <w:t>’</w:t>
      </w:r>
      <w:r w:rsidR="00011AC7" w:rsidRPr="00C0542E">
        <w:t>s death, his or her personal</w:t>
      </w:r>
      <w:r>
        <w:t>.</w:t>
      </w:r>
    </w:p>
    <w:p w14:paraId="0E992E25" w14:textId="77777777" w:rsidR="00011AC7" w:rsidRPr="00C0542E" w:rsidRDefault="00011AC7" w:rsidP="00593B5E">
      <w:r w:rsidRPr="00C0542E">
        <w:t xml:space="preserve">Clause 4(2) provides further detail on </w:t>
      </w:r>
      <w:r>
        <w:t>types or</w:t>
      </w:r>
      <w:r w:rsidRPr="00C0542E">
        <w:t xml:space="preserve"> classes of agency and includes health and disability service providers.</w:t>
      </w:r>
    </w:p>
    <w:p w14:paraId="258C04CE" w14:textId="5C201B0A" w:rsidR="00011AC7" w:rsidRPr="00F55350" w:rsidRDefault="00011AC7" w:rsidP="00593B5E">
      <w:pPr>
        <w:pStyle w:val="Heading3-nonumbering"/>
      </w:pPr>
      <w:r w:rsidRPr="007B34F2">
        <w:t xml:space="preserve">Authorised </w:t>
      </w:r>
      <w:r w:rsidR="00593B5E">
        <w:t>a</w:t>
      </w:r>
      <w:r w:rsidRPr="007B34F2">
        <w:t>ccess</w:t>
      </w:r>
    </w:p>
    <w:p w14:paraId="07A111A1" w14:textId="77777777" w:rsidR="00011AC7" w:rsidRPr="00385BAB" w:rsidRDefault="00011AC7" w:rsidP="00593B5E">
      <w:r w:rsidRPr="00385BAB">
        <w:t xml:space="preserve">Authorised </w:t>
      </w:r>
      <w:r>
        <w:t>a</w:t>
      </w:r>
      <w:r w:rsidRPr="00385BAB">
        <w:t xml:space="preserve">ccess means that permission has been given to an individual to access </w:t>
      </w:r>
      <w:r>
        <w:t>p</w:t>
      </w:r>
      <w:r w:rsidRPr="00385BAB">
        <w:t xml:space="preserve">ersonal </w:t>
      </w:r>
      <w:r>
        <w:t>h</w:t>
      </w:r>
      <w:r w:rsidRPr="00385BAB">
        <w:t xml:space="preserve">ealth </w:t>
      </w:r>
      <w:r>
        <w:t>i</w:t>
      </w:r>
      <w:r w:rsidRPr="00385BAB">
        <w:t>nformation.</w:t>
      </w:r>
      <w:r>
        <w:t xml:space="preserve"> </w:t>
      </w:r>
      <w:r w:rsidRPr="00385BAB">
        <w:t>Authorised access may be direct or indirect.</w:t>
      </w:r>
    </w:p>
    <w:p w14:paraId="492E0935" w14:textId="615FF92C" w:rsidR="00011AC7" w:rsidRPr="00385BAB" w:rsidRDefault="00011AC7" w:rsidP="00593B5E">
      <w:r w:rsidRPr="00385BAB">
        <w:t>Direct authorised access means that authorisation has been given to a named individual by the person to whom the information relates (</w:t>
      </w:r>
      <w:proofErr w:type="spellStart"/>
      <w:r w:rsidRPr="00385BAB">
        <w:t>ie</w:t>
      </w:r>
      <w:proofErr w:type="spellEnd"/>
      <w:r w:rsidR="00593B5E">
        <w:t>,</w:t>
      </w:r>
      <w:r w:rsidRPr="00385BAB">
        <w:t xml:space="preserve"> by informed consent).</w:t>
      </w:r>
    </w:p>
    <w:p w14:paraId="0624072E" w14:textId="77777777" w:rsidR="00011AC7" w:rsidRPr="00385BAB" w:rsidRDefault="00011AC7" w:rsidP="00593B5E">
      <w:r w:rsidRPr="00385BAB">
        <w:t>Indirect authorised access is access that has been granted:</w:t>
      </w:r>
    </w:p>
    <w:p w14:paraId="2F3429C8" w14:textId="2846CBFE" w:rsidR="00011AC7" w:rsidRPr="00DC4E99" w:rsidRDefault="00593B5E" w:rsidP="00593B5E">
      <w:pPr>
        <w:pStyle w:val="Bullet"/>
      </w:pPr>
      <w:r>
        <w:t>b</w:t>
      </w:r>
      <w:r w:rsidR="00011AC7" w:rsidRPr="00DC4E99">
        <w:t>y virtue of the individual</w:t>
      </w:r>
      <w:r w:rsidR="00D56B08">
        <w:t>’</w:t>
      </w:r>
      <w:r w:rsidR="00011AC7" w:rsidRPr="00DC4E99">
        <w:t>s role and function (eg</w:t>
      </w:r>
      <w:r>
        <w:t>,</w:t>
      </w:r>
      <w:r w:rsidR="00011AC7" w:rsidRPr="00DC4E99">
        <w:t xml:space="preserve"> doctor, nurse or health service administrator)</w:t>
      </w:r>
    </w:p>
    <w:p w14:paraId="7F33AEBA" w14:textId="3F0C88E5" w:rsidR="00011AC7" w:rsidRPr="00DC4E99" w:rsidRDefault="00593B5E" w:rsidP="00593B5E">
      <w:pPr>
        <w:pStyle w:val="Bullet"/>
      </w:pPr>
      <w:r>
        <w:t>i</w:t>
      </w:r>
      <w:r w:rsidR="00011AC7" w:rsidRPr="00DC4E99">
        <w:t>n the case of an emergency where the individual is unable to give his/her consent</w:t>
      </w:r>
    </w:p>
    <w:p w14:paraId="7CC303F0" w14:textId="2A4379FB" w:rsidR="00D56B08" w:rsidRDefault="00593B5E" w:rsidP="00593B5E">
      <w:pPr>
        <w:pStyle w:val="Bullet"/>
      </w:pPr>
      <w:r>
        <w:t>w</w:t>
      </w:r>
      <w:r w:rsidR="00011AC7" w:rsidRPr="00DC4E99">
        <w:t xml:space="preserve">here there is a need to prevent or lessen a </w:t>
      </w:r>
      <w:r>
        <w:t>s</w:t>
      </w:r>
      <w:r w:rsidR="00011AC7" w:rsidRPr="00DC4E99">
        <w:t xml:space="preserve">erious </w:t>
      </w:r>
      <w:r>
        <w:t>t</w:t>
      </w:r>
      <w:r w:rsidR="00011AC7" w:rsidRPr="00DC4E99">
        <w:t>hreat</w:t>
      </w:r>
    </w:p>
    <w:p w14:paraId="607AFD74" w14:textId="79AB49B4" w:rsidR="00011AC7" w:rsidRPr="00DC4E99" w:rsidRDefault="00593B5E" w:rsidP="00593B5E">
      <w:pPr>
        <w:pStyle w:val="Bullet"/>
      </w:pPr>
      <w:proofErr w:type="gramStart"/>
      <w:r>
        <w:t>b</w:t>
      </w:r>
      <w:r w:rsidR="00011AC7" w:rsidRPr="00DC4E99">
        <w:t>y</w:t>
      </w:r>
      <w:proofErr w:type="gramEnd"/>
      <w:r w:rsidR="00011AC7" w:rsidRPr="00DC4E99">
        <w:t xml:space="preserve"> law.</w:t>
      </w:r>
    </w:p>
    <w:p w14:paraId="695A414D" w14:textId="77777777" w:rsidR="00011AC7" w:rsidRPr="009C485E" w:rsidRDefault="00011AC7" w:rsidP="00593B5E">
      <w:pPr>
        <w:pStyle w:val="Heading2-nonumbering"/>
      </w:pPr>
      <w:bookmarkStart w:id="491" w:name="_Toc489004312"/>
      <w:r>
        <w:t>Cloud c</w:t>
      </w:r>
      <w:r w:rsidRPr="009C485E">
        <w:t>omputing</w:t>
      </w:r>
      <w:bookmarkEnd w:id="491"/>
    </w:p>
    <w:p w14:paraId="468811F8" w14:textId="3C4F8DE8" w:rsidR="00011AC7" w:rsidRPr="00DC4E99" w:rsidRDefault="00011AC7" w:rsidP="00593B5E">
      <w:r w:rsidRPr="00DC4E99">
        <w:t>The New Zealand Cloud Computing Code of Practice</w:t>
      </w:r>
      <w:r w:rsidRPr="00593B5E">
        <w:rPr>
          <w:rStyle w:val="FootnoteReference"/>
        </w:rPr>
        <w:footnoteReference w:id="67"/>
      </w:r>
      <w:r>
        <w:t xml:space="preserve"> </w:t>
      </w:r>
      <w:r w:rsidRPr="00DC4E99">
        <w:t xml:space="preserve">defines cloud computing as </w:t>
      </w:r>
      <w:r w:rsidR="00D56B08">
        <w:t>“</w:t>
      </w:r>
      <w:r w:rsidRPr="00DC4E99">
        <w:t>on-demand scalable resources such as networks, servers and applications which are provided as a service, are accessible by the end user and can be rapidly provisioned and released with minimal effort or service provider intervention</w:t>
      </w:r>
      <w:r w:rsidR="00593B5E">
        <w:t>”</w:t>
      </w:r>
      <w:r w:rsidRPr="00DC4E99">
        <w:t>.</w:t>
      </w:r>
    </w:p>
    <w:p w14:paraId="6D263F9E" w14:textId="77777777" w:rsidR="00D56B08" w:rsidRDefault="00011AC7" w:rsidP="00593B5E">
      <w:pPr>
        <w:pStyle w:val="Heading2-nonumbering"/>
      </w:pPr>
      <w:bookmarkStart w:id="492" w:name="_Toc489004313"/>
      <w:r w:rsidRPr="009C485E">
        <w:t>Confidentiality</w:t>
      </w:r>
      <w:bookmarkEnd w:id="492"/>
    </w:p>
    <w:p w14:paraId="6F637925" w14:textId="77777777" w:rsidR="00011AC7" w:rsidRPr="00DC4E99" w:rsidRDefault="00011AC7" w:rsidP="00593B5E">
      <w:r w:rsidRPr="00DC4E99">
        <w:t>Pertains to the treatment of information that an individual has disclosed in a relationship of trust and with the expectation that it will not be divulged to others in ways that are inconsistent with the understanding of the original disclosure, without permission.</w:t>
      </w:r>
    </w:p>
    <w:p w14:paraId="562B7E3F" w14:textId="77777777" w:rsidR="00011AC7" w:rsidRPr="009C485E" w:rsidRDefault="00011AC7" w:rsidP="00593B5E">
      <w:pPr>
        <w:pStyle w:val="Heading2-nonumbering"/>
      </w:pPr>
      <w:bookmarkStart w:id="493" w:name="_Toc489004314"/>
      <w:r w:rsidRPr="009C485E">
        <w:lastRenderedPageBreak/>
        <w:t>Consumer</w:t>
      </w:r>
      <w:bookmarkEnd w:id="493"/>
    </w:p>
    <w:p w14:paraId="5D970FD3" w14:textId="486B1AF7" w:rsidR="00D56B08" w:rsidRDefault="00011AC7" w:rsidP="00593B5E">
      <w:r w:rsidRPr="00DC4E99">
        <w:t xml:space="preserve">A </w:t>
      </w:r>
      <w:r w:rsidR="00593B5E">
        <w:t>c</w:t>
      </w:r>
      <w:r w:rsidRPr="00DC4E99">
        <w:t>onsumer is someone who has used, is using or will use health</w:t>
      </w:r>
      <w:r>
        <w:t xml:space="preserve"> </w:t>
      </w:r>
      <w:r w:rsidRPr="00DC4E99">
        <w:t xml:space="preserve">care services. The words </w:t>
      </w:r>
      <w:r w:rsidR="00593B5E">
        <w:t>‘c</w:t>
      </w:r>
      <w:r w:rsidRPr="00DC4E99">
        <w:t>onsumer</w:t>
      </w:r>
      <w:r w:rsidR="00593B5E">
        <w:t>’</w:t>
      </w:r>
      <w:r w:rsidRPr="00DC4E99">
        <w:t xml:space="preserve"> and </w:t>
      </w:r>
      <w:r w:rsidR="00593B5E">
        <w:t>‘</w:t>
      </w:r>
      <w:r w:rsidRPr="00DC4E99">
        <w:t>patient</w:t>
      </w:r>
      <w:r w:rsidR="00593B5E">
        <w:t>’</w:t>
      </w:r>
      <w:r w:rsidRPr="00DC4E99">
        <w:t xml:space="preserve"> are synonyms for the purposes of this document.</w:t>
      </w:r>
    </w:p>
    <w:p w14:paraId="074702CC" w14:textId="3899573A" w:rsidR="00011AC7" w:rsidRPr="009C485E" w:rsidRDefault="00011AC7" w:rsidP="00593B5E">
      <w:pPr>
        <w:pStyle w:val="Heading2-nonumbering"/>
      </w:pPr>
      <w:bookmarkStart w:id="494" w:name="_Toc489004315"/>
      <w:r w:rsidRPr="009C485E">
        <w:t xml:space="preserve">Custodian of </w:t>
      </w:r>
      <w:r w:rsidR="00593B5E">
        <w:t>h</w:t>
      </w:r>
      <w:r w:rsidRPr="009C485E">
        <w:t xml:space="preserve">ealth </w:t>
      </w:r>
      <w:r w:rsidR="00593B5E">
        <w:t>i</w:t>
      </w:r>
      <w:r w:rsidRPr="009C485E">
        <w:t>nformation</w:t>
      </w:r>
      <w:bookmarkEnd w:id="494"/>
    </w:p>
    <w:p w14:paraId="4A430A3A" w14:textId="77777777" w:rsidR="00011AC7" w:rsidRPr="00DC4E99" w:rsidRDefault="00011AC7" w:rsidP="00593B5E">
      <w:r w:rsidRPr="00DC4E99">
        <w:rPr>
          <w:lang w:val="en"/>
        </w:rPr>
        <w:t xml:space="preserve">A custodian of </w:t>
      </w:r>
      <w:r>
        <w:rPr>
          <w:lang w:val="en"/>
        </w:rPr>
        <w:t>h</w:t>
      </w:r>
      <w:r w:rsidRPr="00DC4E99">
        <w:rPr>
          <w:lang w:val="en"/>
        </w:rPr>
        <w:t xml:space="preserve">ealth </w:t>
      </w:r>
      <w:r>
        <w:rPr>
          <w:lang w:val="en"/>
        </w:rPr>
        <w:t>i</w:t>
      </w:r>
      <w:r w:rsidRPr="00DC4E99">
        <w:rPr>
          <w:lang w:val="en"/>
        </w:rPr>
        <w:t>nformation is a person or an</w:t>
      </w:r>
      <w:r w:rsidRPr="004710E0">
        <w:t xml:space="preserve"> organisation</w:t>
      </w:r>
      <w:r w:rsidRPr="00DC4E99">
        <w:rPr>
          <w:lang w:val="en"/>
        </w:rPr>
        <w:t xml:space="preserve"> that holds health information for the purpose of providing health</w:t>
      </w:r>
      <w:r>
        <w:rPr>
          <w:lang w:val="en"/>
        </w:rPr>
        <w:t xml:space="preserve"> </w:t>
      </w:r>
      <w:r w:rsidRPr="00DC4E99">
        <w:rPr>
          <w:lang w:val="en"/>
        </w:rPr>
        <w:t xml:space="preserve">care services. In collaboration with the consumer (and in accordance with the law), the custodian controls access rights to and disclosure of that information. They are required by law to maintain confidentiality and security over the </w:t>
      </w:r>
      <w:r>
        <w:rPr>
          <w:lang w:val="en"/>
        </w:rPr>
        <w:t>h</w:t>
      </w:r>
      <w:r w:rsidRPr="00DC4E99">
        <w:rPr>
          <w:lang w:val="en"/>
        </w:rPr>
        <w:t xml:space="preserve">ealth </w:t>
      </w:r>
      <w:r>
        <w:rPr>
          <w:lang w:val="en"/>
        </w:rPr>
        <w:t>i</w:t>
      </w:r>
      <w:r w:rsidRPr="00DC4E99">
        <w:rPr>
          <w:lang w:val="en"/>
        </w:rPr>
        <w:t>nformation they hold. A custodian may also be an infrastructure provider, however</w:t>
      </w:r>
      <w:r>
        <w:rPr>
          <w:lang w:val="en"/>
        </w:rPr>
        <w:t>,</w:t>
      </w:r>
      <w:r w:rsidRPr="00DC4E99">
        <w:rPr>
          <w:lang w:val="en"/>
        </w:rPr>
        <w:t xml:space="preserve"> the two roles are not the same.</w:t>
      </w:r>
    </w:p>
    <w:p w14:paraId="08EC1CCE" w14:textId="77777777" w:rsidR="00011AC7" w:rsidRDefault="00011AC7" w:rsidP="00593B5E">
      <w:pPr>
        <w:pStyle w:val="Heading2-nonumbering"/>
      </w:pPr>
      <w:bookmarkStart w:id="495" w:name="_Toc489004316"/>
      <w:r>
        <w:t>Data quality</w:t>
      </w:r>
      <w:bookmarkEnd w:id="495"/>
    </w:p>
    <w:p w14:paraId="6519B41F" w14:textId="77777777" w:rsidR="00011AC7" w:rsidRPr="007E41E1" w:rsidRDefault="00011AC7" w:rsidP="00593B5E">
      <w:r>
        <w:t>The dimensions of high data quality are that the information is</w:t>
      </w:r>
      <w:r w:rsidR="00593B5E">
        <w:t>:</w:t>
      </w:r>
    </w:p>
    <w:p w14:paraId="261FE653" w14:textId="6DB42442" w:rsidR="00011AC7" w:rsidRDefault="00593B5E" w:rsidP="00593B5E">
      <w:pPr>
        <w:spacing w:before="90"/>
        <w:ind w:left="567" w:hanging="567"/>
      </w:pPr>
      <w:r>
        <w:t>a)</w:t>
      </w:r>
      <w:r>
        <w:tab/>
      </w:r>
      <w:proofErr w:type="gramStart"/>
      <w:r>
        <w:t>c</w:t>
      </w:r>
      <w:r w:rsidR="00011AC7">
        <w:t>omplete</w:t>
      </w:r>
      <w:proofErr w:type="gramEnd"/>
      <w:r w:rsidR="00011AC7">
        <w:t xml:space="preserve"> (in terms of having been captured in full)</w:t>
      </w:r>
    </w:p>
    <w:p w14:paraId="30D3C88F" w14:textId="32DFF02A" w:rsidR="00011AC7" w:rsidRDefault="00593B5E" w:rsidP="00593B5E">
      <w:pPr>
        <w:spacing w:before="90"/>
        <w:ind w:left="567" w:hanging="567"/>
      </w:pPr>
      <w:r>
        <w:t>b)</w:t>
      </w:r>
      <w:r>
        <w:tab/>
      </w:r>
      <w:proofErr w:type="gramStart"/>
      <w:r>
        <w:t>a</w:t>
      </w:r>
      <w:r w:rsidR="00011AC7">
        <w:t>ccurate</w:t>
      </w:r>
      <w:proofErr w:type="gramEnd"/>
      <w:r w:rsidR="00011AC7">
        <w:t xml:space="preserve"> (the proximity of the data to the exact or true values)</w:t>
      </w:r>
    </w:p>
    <w:p w14:paraId="47C1D796" w14:textId="540D3C38" w:rsidR="00011AC7" w:rsidRDefault="00593B5E" w:rsidP="00593B5E">
      <w:pPr>
        <w:spacing w:before="90"/>
        <w:ind w:left="567" w:hanging="567"/>
      </w:pPr>
      <w:r>
        <w:t>c)</w:t>
      </w:r>
      <w:r>
        <w:tab/>
      </w:r>
      <w:proofErr w:type="gramStart"/>
      <w:r>
        <w:t>r</w:t>
      </w:r>
      <w:r w:rsidR="00011AC7">
        <w:t>elevant</w:t>
      </w:r>
      <w:proofErr w:type="gramEnd"/>
      <w:r w:rsidR="00011AC7">
        <w:t xml:space="preserve"> (the degree to which the data meets current and potential user</w:t>
      </w:r>
      <w:r w:rsidR="00D56B08">
        <w:t>’</w:t>
      </w:r>
      <w:r w:rsidR="00011AC7">
        <w:t>s needs)</w:t>
      </w:r>
    </w:p>
    <w:p w14:paraId="727873D3" w14:textId="1ACC1CB1" w:rsidR="00011AC7" w:rsidRDefault="00593B5E" w:rsidP="00593B5E">
      <w:pPr>
        <w:spacing w:before="90"/>
        <w:ind w:left="567" w:hanging="567"/>
      </w:pPr>
      <w:r>
        <w:t>d)</w:t>
      </w:r>
      <w:r>
        <w:tab/>
      </w:r>
      <w:proofErr w:type="gramStart"/>
      <w:r>
        <w:t>a</w:t>
      </w:r>
      <w:r w:rsidR="00011AC7">
        <w:t>ccessible</w:t>
      </w:r>
      <w:proofErr w:type="gramEnd"/>
      <w:r w:rsidR="00011AC7">
        <w:t xml:space="preserve"> (data must be retrievable in order to be used and in order to assess its quality)</w:t>
      </w:r>
    </w:p>
    <w:p w14:paraId="120059CB" w14:textId="23757ECE" w:rsidR="00011AC7" w:rsidRDefault="00593B5E" w:rsidP="00593B5E">
      <w:pPr>
        <w:spacing w:before="90"/>
        <w:ind w:left="567" w:hanging="567"/>
      </w:pPr>
      <w:r>
        <w:t>e)</w:t>
      </w:r>
      <w:r>
        <w:tab/>
      </w:r>
      <w:proofErr w:type="gramStart"/>
      <w:r>
        <w:t>t</w:t>
      </w:r>
      <w:r w:rsidR="00011AC7">
        <w:t>imely</w:t>
      </w:r>
      <w:proofErr w:type="gramEnd"/>
      <w:r w:rsidR="00011AC7">
        <w:t xml:space="preserve"> (recorded and available as soon after the event as possible)</w:t>
      </w:r>
    </w:p>
    <w:p w14:paraId="32818934" w14:textId="6D8E69C4" w:rsidR="00011AC7" w:rsidRDefault="00593B5E" w:rsidP="00593B5E">
      <w:pPr>
        <w:spacing w:before="90"/>
        <w:ind w:left="567" w:hanging="567"/>
      </w:pPr>
      <w:r>
        <w:t>f)</w:t>
      </w:r>
      <w:r>
        <w:tab/>
      </w:r>
      <w:proofErr w:type="gramStart"/>
      <w:r>
        <w:t>v</w:t>
      </w:r>
      <w:r w:rsidR="00011AC7">
        <w:t>alid</w:t>
      </w:r>
      <w:proofErr w:type="gramEnd"/>
      <w:r w:rsidR="00011AC7">
        <w:t xml:space="preserve"> (within an agreed formal which conforms to recognised national standards)</w:t>
      </w:r>
    </w:p>
    <w:p w14:paraId="2E795C2B" w14:textId="0B7C889B" w:rsidR="00011AC7" w:rsidRDefault="00593B5E" w:rsidP="00593B5E">
      <w:pPr>
        <w:spacing w:before="90"/>
        <w:ind w:left="567" w:hanging="567"/>
      </w:pPr>
      <w:r>
        <w:t>g)</w:t>
      </w:r>
      <w:r>
        <w:tab/>
      </w:r>
      <w:proofErr w:type="gramStart"/>
      <w:r>
        <w:t>d</w:t>
      </w:r>
      <w:r w:rsidR="00011AC7">
        <w:t>efined</w:t>
      </w:r>
      <w:proofErr w:type="gramEnd"/>
      <w:r w:rsidR="00011AC7">
        <w:t xml:space="preserve"> (understood by all staff who need to know, and is reflected in procedural standards)</w:t>
      </w:r>
    </w:p>
    <w:p w14:paraId="00D1B405" w14:textId="43915449" w:rsidR="00011AC7" w:rsidRDefault="00593B5E" w:rsidP="00593B5E">
      <w:pPr>
        <w:spacing w:before="90"/>
        <w:ind w:left="567" w:hanging="567"/>
      </w:pPr>
      <w:r>
        <w:t>h)</w:t>
      </w:r>
      <w:r>
        <w:tab/>
      </w:r>
      <w:proofErr w:type="gramStart"/>
      <w:r>
        <w:t>a</w:t>
      </w:r>
      <w:r w:rsidR="00011AC7">
        <w:t>ppropriately</w:t>
      </w:r>
      <w:proofErr w:type="gramEnd"/>
      <w:r w:rsidR="00011AC7">
        <w:t xml:space="preserve"> sought (in terms of being collected or checked only once during a period of care)</w:t>
      </w:r>
    </w:p>
    <w:p w14:paraId="07F3C17E" w14:textId="395B5447" w:rsidR="00011AC7" w:rsidRDefault="00593B5E" w:rsidP="00593B5E">
      <w:pPr>
        <w:spacing w:before="90"/>
        <w:ind w:left="567" w:hanging="567"/>
      </w:pPr>
      <w:proofErr w:type="spellStart"/>
      <w:r>
        <w:t>i</w:t>
      </w:r>
      <w:proofErr w:type="spellEnd"/>
      <w:r>
        <w:t>)</w:t>
      </w:r>
      <w:r>
        <w:tab/>
      </w:r>
      <w:proofErr w:type="gramStart"/>
      <w:r>
        <w:t>a</w:t>
      </w:r>
      <w:r w:rsidR="00011AC7">
        <w:t>ppropriately</w:t>
      </w:r>
      <w:proofErr w:type="gramEnd"/>
      <w:r w:rsidR="00011AC7">
        <w:t xml:space="preserve"> recorded (in both paper and electronic records).</w:t>
      </w:r>
    </w:p>
    <w:p w14:paraId="2D52AF8E" w14:textId="16053107" w:rsidR="00011AC7" w:rsidRDefault="00011AC7" w:rsidP="00593B5E">
      <w:pPr>
        <w:pStyle w:val="Heading2-nonumbering"/>
      </w:pPr>
      <w:bookmarkStart w:id="496" w:name="_Toc489004317"/>
      <w:r>
        <w:t>Electronic health record</w:t>
      </w:r>
      <w:bookmarkEnd w:id="496"/>
    </w:p>
    <w:p w14:paraId="5825A314" w14:textId="44596326" w:rsidR="00011AC7" w:rsidRPr="00432540" w:rsidRDefault="00011AC7" w:rsidP="00593B5E">
      <w:r w:rsidRPr="00863250">
        <w:t xml:space="preserve">An electronic health record (EHR) is a longitudinal </w:t>
      </w:r>
      <w:r>
        <w:t>shared care health</w:t>
      </w:r>
      <w:r w:rsidRPr="00863250">
        <w:t xml:space="preserve"> record of patient information generated by encounters </w:t>
      </w:r>
      <w:r>
        <w:t>with health providers and which is stored and retrievable through electronic means</w:t>
      </w:r>
      <w:r w:rsidRPr="00863250">
        <w:t>.</w:t>
      </w:r>
      <w:r>
        <w:t xml:space="preserve"> </w:t>
      </w:r>
    </w:p>
    <w:p w14:paraId="36EE1936" w14:textId="77777777" w:rsidR="00011AC7" w:rsidRPr="009C485E" w:rsidRDefault="00011AC7" w:rsidP="00593B5E">
      <w:pPr>
        <w:pStyle w:val="Heading2-nonumbering"/>
      </w:pPr>
      <w:bookmarkStart w:id="497" w:name="_Toc489004318"/>
      <w:r>
        <w:t>Health a</w:t>
      </w:r>
      <w:r w:rsidRPr="009C485E">
        <w:t>gency</w:t>
      </w:r>
      <w:bookmarkEnd w:id="497"/>
    </w:p>
    <w:p w14:paraId="6749EDCD" w14:textId="21AC6ACB" w:rsidR="00011AC7" w:rsidRPr="00DC4E99" w:rsidRDefault="00011AC7" w:rsidP="00593B5E">
      <w:r w:rsidRPr="00DC4E99">
        <w:t>A health agency is an organisation that is in the business of providing health</w:t>
      </w:r>
      <w:r>
        <w:t xml:space="preserve"> </w:t>
      </w:r>
      <w:r w:rsidRPr="00DC4E99">
        <w:t>care services to the health and disability sector</w:t>
      </w:r>
      <w:r w:rsidR="00593B5E">
        <w:t>.</w:t>
      </w:r>
      <w:bookmarkStart w:id="498" w:name="_Ref489842628"/>
      <w:r w:rsidRPr="00593B5E">
        <w:rPr>
          <w:rStyle w:val="FootnoteReference"/>
        </w:rPr>
        <w:footnoteReference w:id="68"/>
      </w:r>
      <w:bookmarkEnd w:id="498"/>
    </w:p>
    <w:p w14:paraId="1A34D2BA" w14:textId="77777777" w:rsidR="00011AC7" w:rsidRPr="009C485E" w:rsidRDefault="00011AC7" w:rsidP="00593B5E">
      <w:pPr>
        <w:pStyle w:val="Heading2-nonumbering"/>
      </w:pPr>
      <w:bookmarkStart w:id="499" w:name="_Toc489004319"/>
      <w:r>
        <w:t>Health provider</w:t>
      </w:r>
      <w:bookmarkEnd w:id="499"/>
    </w:p>
    <w:p w14:paraId="7784E9B5" w14:textId="77777777" w:rsidR="00011AC7" w:rsidRPr="00DC4E99" w:rsidRDefault="00011AC7" w:rsidP="00593B5E">
      <w:r w:rsidRPr="00DC4E99">
        <w:t xml:space="preserve">A </w:t>
      </w:r>
      <w:r>
        <w:t>health provider</w:t>
      </w:r>
      <w:r w:rsidRPr="00DC4E99">
        <w:t xml:space="preserve"> means any person or organisation involved either directly or indirectly in the provision of health</w:t>
      </w:r>
      <w:r>
        <w:t xml:space="preserve"> </w:t>
      </w:r>
      <w:r w:rsidRPr="00DC4E99">
        <w:t xml:space="preserve">care and includes a health agency. There are two kinds of </w:t>
      </w:r>
      <w:r>
        <w:t>health provider</w:t>
      </w:r>
      <w:r w:rsidRPr="00DC4E99">
        <w:t xml:space="preserve"> persons: a </w:t>
      </w:r>
      <w:r>
        <w:t>h</w:t>
      </w:r>
      <w:r w:rsidRPr="00DC4E99">
        <w:t xml:space="preserve">ealth </w:t>
      </w:r>
      <w:r>
        <w:t>p</w:t>
      </w:r>
      <w:r w:rsidRPr="00DC4E99">
        <w:t xml:space="preserve">ractitioner and a </w:t>
      </w:r>
      <w:r>
        <w:t>h</w:t>
      </w:r>
      <w:r w:rsidRPr="00DC4E99">
        <w:t>ealth</w:t>
      </w:r>
      <w:r>
        <w:t xml:space="preserve"> </w:t>
      </w:r>
      <w:r w:rsidRPr="00DC4E99">
        <w:t>care worker.</w:t>
      </w:r>
    </w:p>
    <w:p w14:paraId="4106B12D" w14:textId="77777777" w:rsidR="00011AC7" w:rsidRPr="00DC4E99" w:rsidRDefault="00011AC7" w:rsidP="00593B5E">
      <w:pPr>
        <w:pStyle w:val="Heading2-nonumbering"/>
      </w:pPr>
      <w:bookmarkStart w:id="500" w:name="_Toc489004320"/>
      <w:r>
        <w:lastRenderedPageBreak/>
        <w:t>Health p</w:t>
      </w:r>
      <w:r w:rsidRPr="00DC4E99">
        <w:t>ractitioner</w:t>
      </w:r>
      <w:bookmarkEnd w:id="500"/>
    </w:p>
    <w:p w14:paraId="38C7DEE5" w14:textId="77777777" w:rsidR="00011AC7" w:rsidRPr="00DC4E99" w:rsidRDefault="00011AC7" w:rsidP="00593B5E">
      <w:r w:rsidRPr="00DC4E99">
        <w:t>A person who is, or is deemed to be, registered with an authority established or continued by section 114 of the Health Practitioners Competence Assurance Act 2003, as a practitioner of a particular health profession.</w:t>
      </w:r>
    </w:p>
    <w:p w14:paraId="66BEBEF8" w14:textId="77777777" w:rsidR="00011AC7" w:rsidRPr="00DC4E99" w:rsidRDefault="00011AC7" w:rsidP="00593B5E">
      <w:pPr>
        <w:pStyle w:val="Heading2-nonumbering"/>
      </w:pPr>
      <w:bookmarkStart w:id="501" w:name="_Toc489004321"/>
      <w:r w:rsidRPr="00DC4E99">
        <w:t>Health</w:t>
      </w:r>
      <w:r>
        <w:t xml:space="preserve"> care w</w:t>
      </w:r>
      <w:r w:rsidRPr="00DC4E99">
        <w:t>orker</w:t>
      </w:r>
      <w:bookmarkEnd w:id="501"/>
    </w:p>
    <w:p w14:paraId="3EB130BF" w14:textId="77777777" w:rsidR="00011AC7" w:rsidRPr="00DC4E99" w:rsidRDefault="00011AC7" w:rsidP="00593B5E">
      <w:r w:rsidRPr="00DC4E99">
        <w:t>A person not registered with a Responsible Authority who provides a health</w:t>
      </w:r>
      <w:r>
        <w:t xml:space="preserve"> </w:t>
      </w:r>
      <w:r w:rsidRPr="00DC4E99">
        <w:t>care related service within the health and disability sector. Examples include:</w:t>
      </w:r>
    </w:p>
    <w:p w14:paraId="2EA7E482" w14:textId="77777777" w:rsidR="00011AC7" w:rsidRPr="00DC4E99" w:rsidRDefault="00011AC7" w:rsidP="00593B5E">
      <w:pPr>
        <w:pStyle w:val="Bullet"/>
      </w:pPr>
      <w:r w:rsidRPr="00DC4E99">
        <w:t>a social worker</w:t>
      </w:r>
    </w:p>
    <w:p w14:paraId="79F60FE3" w14:textId="77777777" w:rsidR="00011AC7" w:rsidRPr="00DC4E99" w:rsidRDefault="00011AC7" w:rsidP="00593B5E">
      <w:pPr>
        <w:pStyle w:val="Bullet"/>
      </w:pPr>
      <w:r w:rsidRPr="00DC4E99">
        <w:t>an acupuncturist</w:t>
      </w:r>
    </w:p>
    <w:p w14:paraId="6FCC6E4C" w14:textId="77777777" w:rsidR="00011AC7" w:rsidRPr="00DC4E99" w:rsidRDefault="00011AC7" w:rsidP="00593B5E">
      <w:pPr>
        <w:pStyle w:val="Bullet"/>
      </w:pPr>
      <w:r w:rsidRPr="00DC4E99">
        <w:t>a clinical coder</w:t>
      </w:r>
    </w:p>
    <w:p w14:paraId="10B05D1D" w14:textId="77777777" w:rsidR="00011AC7" w:rsidRPr="00DC4E99" w:rsidRDefault="00011AC7" w:rsidP="00593B5E">
      <w:pPr>
        <w:pStyle w:val="Bullet"/>
      </w:pPr>
      <w:r w:rsidRPr="00DC4E99">
        <w:t>an auditor working in the health field</w:t>
      </w:r>
    </w:p>
    <w:p w14:paraId="58F0CC9E" w14:textId="77777777" w:rsidR="00011AC7" w:rsidRPr="00DC4E99" w:rsidRDefault="00011AC7" w:rsidP="00593B5E">
      <w:pPr>
        <w:pStyle w:val="Bullet"/>
      </w:pPr>
      <w:proofErr w:type="gramStart"/>
      <w:r w:rsidRPr="00DC4E99">
        <w:t>an</w:t>
      </w:r>
      <w:proofErr w:type="gramEnd"/>
      <w:r w:rsidRPr="00DC4E99">
        <w:t xml:space="preserve"> administrator or receptionist working in a DHB, general practice or other health agency.</w:t>
      </w:r>
    </w:p>
    <w:p w14:paraId="28E6B43F" w14:textId="77777777" w:rsidR="00011AC7" w:rsidRPr="009C485E" w:rsidRDefault="00011AC7" w:rsidP="00593B5E">
      <w:pPr>
        <w:pStyle w:val="Heading2-nonumbering"/>
      </w:pPr>
      <w:bookmarkStart w:id="502" w:name="_Toc489004322"/>
      <w:r w:rsidRPr="009C485E">
        <w:t xml:space="preserve">Health </w:t>
      </w:r>
      <w:r>
        <w:t>information/personal health i</w:t>
      </w:r>
      <w:r w:rsidRPr="009C485E">
        <w:t>nformation</w:t>
      </w:r>
      <w:bookmarkEnd w:id="502"/>
    </w:p>
    <w:p w14:paraId="359DAF7A" w14:textId="77777777" w:rsidR="00D56B08" w:rsidRDefault="00011AC7" w:rsidP="00593B5E">
      <w:r w:rsidRPr="00DC4E99">
        <w:t xml:space="preserve">Health </w:t>
      </w:r>
      <w:r>
        <w:t>i</w:t>
      </w:r>
      <w:r w:rsidRPr="00DC4E99">
        <w:t>nformation is defined, broadly, in clause 4 of the Health Information Privacy Code 1994 and includes any information about the health of an identifiable individual, or any health or disability services provided to him or her. It also includes any information collected incidentally to providing services, such as appointment times and demographic data.</w:t>
      </w:r>
      <w:r>
        <w:t xml:space="preserve"> </w:t>
      </w:r>
      <w:r w:rsidRPr="00DC4E99">
        <w:t>It does not include anonymous data as it must be about an identifiable individual.</w:t>
      </w:r>
    </w:p>
    <w:p w14:paraId="7D61A5F2" w14:textId="77777777" w:rsidR="00011AC7" w:rsidRPr="00DC4E99" w:rsidRDefault="00011AC7" w:rsidP="00593B5E">
      <w:r w:rsidRPr="00DC4E99">
        <w:t xml:space="preserve">This document focuses on the sharing of </w:t>
      </w:r>
      <w:r>
        <w:t>h</w:t>
      </w:r>
      <w:r w:rsidRPr="00DC4E99">
        <w:t xml:space="preserve">ealth </w:t>
      </w:r>
      <w:r>
        <w:t>i</w:t>
      </w:r>
      <w:r w:rsidRPr="00DC4E99">
        <w:t xml:space="preserve">nformation as defined above. For clarification, we have referred to any information about the health of an identifiable individual as </w:t>
      </w:r>
      <w:r>
        <w:t>p</w:t>
      </w:r>
      <w:r w:rsidRPr="00DC4E99">
        <w:t xml:space="preserve">ersonal </w:t>
      </w:r>
      <w:r>
        <w:t>h</w:t>
      </w:r>
      <w:r w:rsidRPr="00DC4E99">
        <w:t xml:space="preserve">ealth </w:t>
      </w:r>
      <w:r>
        <w:t>i</w:t>
      </w:r>
      <w:r w:rsidRPr="00DC4E99">
        <w:t>nformation.</w:t>
      </w:r>
    </w:p>
    <w:p w14:paraId="262831D2" w14:textId="77777777" w:rsidR="00011AC7" w:rsidRPr="009C485E" w:rsidRDefault="00011AC7" w:rsidP="00593B5E">
      <w:pPr>
        <w:pStyle w:val="Heading2-nonumbering"/>
      </w:pPr>
      <w:bookmarkStart w:id="503" w:name="_Toc489004323"/>
      <w:r w:rsidRPr="009C485E">
        <w:t>Health Information Privacy Code 1994 (HIPC)</w:t>
      </w:r>
      <w:bookmarkEnd w:id="503"/>
    </w:p>
    <w:p w14:paraId="6F0C1755" w14:textId="77777777" w:rsidR="00011AC7" w:rsidRPr="00DC4E99" w:rsidRDefault="00011AC7" w:rsidP="00593B5E">
      <w:r w:rsidRPr="00DC4E99">
        <w:t>Health Information Privacy Code 1994 (HIPC): The HIPC is a code of practice issued by the Privacy Commissioner that modifies the 12 information privacy principles of the Privacy Act into 12</w:t>
      </w:r>
      <w:r w:rsidR="00593B5E">
        <w:t> </w:t>
      </w:r>
      <w:r w:rsidRPr="00DC4E99">
        <w:t>information privacy rules.</w:t>
      </w:r>
      <w:r>
        <w:t xml:space="preserve"> </w:t>
      </w:r>
      <w:r w:rsidRPr="00DC4E99">
        <w:t>The HIPC rules are generally similar to the principles they are modelled on, but are tailored for the health sector</w:t>
      </w:r>
      <w:r w:rsidR="00D56B08">
        <w:t>’</w:t>
      </w:r>
      <w:r w:rsidRPr="00DC4E99">
        <w:t xml:space="preserve">s needs. A copy of the code can be found at </w:t>
      </w:r>
      <w:hyperlink r:id="rId31" w:history="1">
        <w:r w:rsidRPr="00DC4E99">
          <w:t>http://privacy.org.nz/assets/Files/Codes-of-Practice-materials/HIPC-1994-incl.-amendments-revised-commentary.pdf</w:t>
        </w:r>
      </w:hyperlink>
    </w:p>
    <w:p w14:paraId="3DE8141C" w14:textId="77777777" w:rsidR="00D56B08" w:rsidRDefault="00011AC7" w:rsidP="00593B5E">
      <w:pPr>
        <w:pStyle w:val="Heading2-nonumbering"/>
      </w:pPr>
      <w:bookmarkStart w:id="504" w:name="_Toc489004324"/>
      <w:r>
        <w:t>Health r</w:t>
      </w:r>
      <w:r w:rsidRPr="009C485E">
        <w:t>ecord</w:t>
      </w:r>
      <w:bookmarkEnd w:id="504"/>
    </w:p>
    <w:p w14:paraId="0B58564F" w14:textId="33A9DA79" w:rsidR="00011AC7" w:rsidRPr="00DC4E99" w:rsidRDefault="00011AC7" w:rsidP="00593B5E">
      <w:pPr>
        <w:keepLines/>
      </w:pPr>
      <w:r w:rsidRPr="00DC4E99">
        <w:t>The health record is essentially a record describing every aspect of the health</w:t>
      </w:r>
      <w:r>
        <w:t xml:space="preserve"> </w:t>
      </w:r>
      <w:r w:rsidRPr="00DC4E99">
        <w:t>care provided to an identifiable consumer/patient and may be in a single file, multiple file, hard copy (paper</w:t>
      </w:r>
      <w:r w:rsidR="00593B5E">
        <w:t>-</w:t>
      </w:r>
      <w:r w:rsidRPr="00DC4E99">
        <w:t>based) or electronic (digital, audio, video</w:t>
      </w:r>
      <w:r w:rsidR="00593B5E">
        <w:t>,</w:t>
      </w:r>
      <w:r w:rsidRPr="00DC4E99">
        <w:t xml:space="preserve"> etc) format, and held by a</w:t>
      </w:r>
      <w:r>
        <w:t xml:space="preserve"> health </w:t>
      </w:r>
      <w:r w:rsidRPr="00DC4E99">
        <w:t>provider or the consumer/</w:t>
      </w:r>
      <w:r w:rsidR="00593B5E">
        <w:t xml:space="preserve"> </w:t>
      </w:r>
      <w:r w:rsidRPr="00DC4E99">
        <w:t>patient themselves.</w:t>
      </w:r>
    </w:p>
    <w:p w14:paraId="56F3C9E6" w14:textId="77777777" w:rsidR="00011AC7" w:rsidRPr="00DC4E99" w:rsidRDefault="00011AC7" w:rsidP="00593B5E">
      <w:r w:rsidRPr="00DC4E99">
        <w:t>Components of a health record may include information in relation to the consumer</w:t>
      </w:r>
      <w:r w:rsidR="00D56B08">
        <w:t>’</w:t>
      </w:r>
      <w:r w:rsidRPr="00DC4E99">
        <w:t>s</w:t>
      </w:r>
      <w:r>
        <w:t xml:space="preserve"> or </w:t>
      </w:r>
      <w:proofErr w:type="gramStart"/>
      <w:r>
        <w:t>patient</w:t>
      </w:r>
      <w:r w:rsidR="00D56B08">
        <w:t>’</w:t>
      </w:r>
      <w:r>
        <w:t>s</w:t>
      </w:r>
      <w:proofErr w:type="gramEnd"/>
      <w:r>
        <w:t>:</w:t>
      </w:r>
    </w:p>
    <w:p w14:paraId="6195550B" w14:textId="77777777" w:rsidR="00011AC7" w:rsidRPr="00385BAB" w:rsidRDefault="00011AC7" w:rsidP="00593B5E">
      <w:pPr>
        <w:pStyle w:val="Bullet"/>
      </w:pPr>
      <w:r>
        <w:t>a</w:t>
      </w:r>
      <w:r w:rsidRPr="00385BAB">
        <w:t>ssessment</w:t>
      </w:r>
    </w:p>
    <w:p w14:paraId="38EC74B1" w14:textId="77777777" w:rsidR="00011AC7" w:rsidRPr="00385BAB" w:rsidRDefault="00011AC7" w:rsidP="00593B5E">
      <w:pPr>
        <w:pStyle w:val="Bullet"/>
      </w:pPr>
      <w:r>
        <w:t>i</w:t>
      </w:r>
      <w:r w:rsidRPr="00385BAB">
        <w:t>nvestigations and results</w:t>
      </w:r>
    </w:p>
    <w:p w14:paraId="62458124" w14:textId="77777777" w:rsidR="00011AC7" w:rsidRPr="00385BAB" w:rsidRDefault="00011AC7" w:rsidP="00593B5E">
      <w:pPr>
        <w:pStyle w:val="Bullet"/>
      </w:pPr>
      <w:r>
        <w:lastRenderedPageBreak/>
        <w:t>d</w:t>
      </w:r>
      <w:r w:rsidRPr="00385BAB">
        <w:t>iagnosis</w:t>
      </w:r>
    </w:p>
    <w:p w14:paraId="1F782FED" w14:textId="77777777" w:rsidR="00011AC7" w:rsidRPr="00385BAB" w:rsidRDefault="00011AC7" w:rsidP="00593B5E">
      <w:pPr>
        <w:pStyle w:val="Bullet"/>
      </w:pPr>
      <w:r>
        <w:t>p</w:t>
      </w:r>
      <w:r w:rsidRPr="00385BAB">
        <w:t>lan of care</w:t>
      </w:r>
    </w:p>
    <w:p w14:paraId="60D35583" w14:textId="77777777" w:rsidR="00011AC7" w:rsidRPr="00385BAB" w:rsidRDefault="00011AC7" w:rsidP="00593B5E">
      <w:pPr>
        <w:pStyle w:val="Bullet"/>
      </w:pPr>
      <w:r>
        <w:t>p</w:t>
      </w:r>
      <w:r w:rsidRPr="00385BAB">
        <w:t>revention and health promotion activities</w:t>
      </w:r>
    </w:p>
    <w:p w14:paraId="26846832" w14:textId="77777777" w:rsidR="00011AC7" w:rsidRPr="00385BAB" w:rsidRDefault="00011AC7" w:rsidP="00593B5E">
      <w:pPr>
        <w:pStyle w:val="Bullet"/>
      </w:pPr>
      <w:r w:rsidRPr="00385BAB">
        <w:t>Treatments, medications and procedures provided</w:t>
      </w:r>
    </w:p>
    <w:p w14:paraId="409E0554" w14:textId="77777777" w:rsidR="00011AC7" w:rsidRPr="00385BAB" w:rsidRDefault="00011AC7" w:rsidP="00593B5E">
      <w:pPr>
        <w:pStyle w:val="Bullet"/>
      </w:pPr>
      <w:r>
        <w:t>c</w:t>
      </w:r>
      <w:r w:rsidRPr="00385BAB">
        <w:t>onsumer/patient progress</w:t>
      </w:r>
    </w:p>
    <w:p w14:paraId="093F4614" w14:textId="77777777" w:rsidR="00011AC7" w:rsidRPr="00385BAB" w:rsidRDefault="00011AC7" w:rsidP="00593B5E">
      <w:pPr>
        <w:pStyle w:val="Bullet"/>
      </w:pPr>
      <w:r>
        <w:t>h</w:t>
      </w:r>
      <w:r w:rsidRPr="00385BAB">
        <w:t>ealth and support services provided</w:t>
      </w:r>
    </w:p>
    <w:p w14:paraId="5B702995" w14:textId="77777777" w:rsidR="00011AC7" w:rsidRPr="00385BAB" w:rsidRDefault="00011AC7" w:rsidP="00593B5E">
      <w:pPr>
        <w:pStyle w:val="Bullet"/>
      </w:pPr>
      <w:r>
        <w:t>e</w:t>
      </w:r>
      <w:r w:rsidRPr="00385BAB">
        <w:t>valuation and review of service provided</w:t>
      </w:r>
    </w:p>
    <w:p w14:paraId="78F81B6F" w14:textId="77777777" w:rsidR="00011AC7" w:rsidRPr="00385BAB" w:rsidRDefault="00011AC7" w:rsidP="00593B5E">
      <w:pPr>
        <w:pStyle w:val="Bullet"/>
      </w:pPr>
      <w:proofErr w:type="gramStart"/>
      <w:r>
        <w:t>f</w:t>
      </w:r>
      <w:r w:rsidRPr="00385BAB">
        <w:t>ollow-up</w:t>
      </w:r>
      <w:proofErr w:type="gramEnd"/>
      <w:r w:rsidRPr="00385BAB">
        <w:t xml:space="preserve"> and ongoing care/treatment</w:t>
      </w:r>
      <w:r>
        <w:t>.</w:t>
      </w:r>
      <w:r w:rsidRPr="00593B5E">
        <w:rPr>
          <w:rStyle w:val="FootnoteReference"/>
        </w:rPr>
        <w:footnoteReference w:id="69"/>
      </w:r>
    </w:p>
    <w:p w14:paraId="61415726" w14:textId="77777777" w:rsidR="00011AC7" w:rsidRPr="009C485E" w:rsidRDefault="00011AC7" w:rsidP="00593B5E">
      <w:pPr>
        <w:pStyle w:val="Heading2-nonumbering"/>
      </w:pPr>
      <w:bookmarkStart w:id="505" w:name="_Toc489004325"/>
      <w:r>
        <w:t>Infrastructure p</w:t>
      </w:r>
      <w:r w:rsidRPr="009C485E">
        <w:t>rovider</w:t>
      </w:r>
      <w:bookmarkEnd w:id="505"/>
    </w:p>
    <w:p w14:paraId="22B94751" w14:textId="77777777" w:rsidR="00D56B08" w:rsidRDefault="00011AC7" w:rsidP="00593B5E">
      <w:r w:rsidRPr="00DC4E99">
        <w:t>The person or organisation responsible for providing the servers</w:t>
      </w:r>
      <w:r>
        <w:t>, data networks</w:t>
      </w:r>
      <w:r w:rsidRPr="00DC4E99">
        <w:t xml:space="preserve"> and operating environment that support the information service. For example, an infrastructure provider may provide the health agency with some or all of the following:</w:t>
      </w:r>
    </w:p>
    <w:p w14:paraId="38F1A13A" w14:textId="162F1393" w:rsidR="00011AC7" w:rsidRPr="00DC4E99" w:rsidRDefault="00011AC7" w:rsidP="00593B5E">
      <w:pPr>
        <w:pStyle w:val="Bullet"/>
      </w:pPr>
      <w:r w:rsidRPr="00DC4E99">
        <w:rPr>
          <w:color w:val="000000"/>
        </w:rPr>
        <w:t>computing hardware and power/</w:t>
      </w:r>
      <w:r w:rsidRPr="00DC4E99">
        <w:t>cooling (usually within a data centre operated by the infrastructure provider)</w:t>
      </w:r>
    </w:p>
    <w:p w14:paraId="28C30DC1" w14:textId="270EAA0C" w:rsidR="00D56B08" w:rsidRDefault="00011AC7" w:rsidP="00593B5E">
      <w:pPr>
        <w:pStyle w:val="Bullet"/>
      </w:pPr>
      <w:r w:rsidRPr="00DC4E99">
        <w:t>virtual machine, operating system and system management software</w:t>
      </w:r>
    </w:p>
    <w:p w14:paraId="5DF37D3A" w14:textId="77777777" w:rsidR="00011AC7" w:rsidRPr="00DC4E99" w:rsidRDefault="00011AC7" w:rsidP="00593B5E">
      <w:pPr>
        <w:pStyle w:val="Bullet"/>
      </w:pPr>
      <w:r w:rsidRPr="00DC4E99">
        <w:t>network connectivity</w:t>
      </w:r>
    </w:p>
    <w:p w14:paraId="61180B49" w14:textId="77777777" w:rsidR="00011AC7" w:rsidRPr="00DC4E99" w:rsidRDefault="00011AC7" w:rsidP="00593B5E">
      <w:pPr>
        <w:pStyle w:val="Bullet"/>
      </w:pPr>
      <w:r w:rsidRPr="00DC4E99">
        <w:t>online disk storage</w:t>
      </w:r>
    </w:p>
    <w:p w14:paraId="7275DAF7" w14:textId="77777777" w:rsidR="00011AC7" w:rsidRPr="00DC4E99" w:rsidRDefault="00011AC7" w:rsidP="00593B5E">
      <w:pPr>
        <w:pStyle w:val="Bullet"/>
      </w:pPr>
      <w:proofErr w:type="gramStart"/>
      <w:r w:rsidRPr="00DC4E99">
        <w:t>offsite</w:t>
      </w:r>
      <w:proofErr w:type="gramEnd"/>
      <w:r w:rsidRPr="00DC4E99">
        <w:t xml:space="preserve"> and archive storage capacity</w:t>
      </w:r>
      <w:r>
        <w:t>.</w:t>
      </w:r>
    </w:p>
    <w:p w14:paraId="2E5E21B4" w14:textId="77777777" w:rsidR="00011AC7" w:rsidRPr="009C485E" w:rsidRDefault="00011AC7" w:rsidP="00593B5E">
      <w:pPr>
        <w:pStyle w:val="Heading2-nonumbering"/>
      </w:pPr>
      <w:bookmarkStart w:id="506" w:name="_Toc489004326"/>
      <w:r>
        <w:t>Interface</w:t>
      </w:r>
      <w:bookmarkEnd w:id="506"/>
    </w:p>
    <w:p w14:paraId="6C3FC67D" w14:textId="77777777" w:rsidR="00D56B08" w:rsidRDefault="00011AC7" w:rsidP="00593B5E">
      <w:r w:rsidRPr="00DC4E99">
        <w:t>An interface enables the transfer of structured information between two systems.</w:t>
      </w:r>
    </w:p>
    <w:p w14:paraId="65AE89EA" w14:textId="77777777" w:rsidR="00011AC7" w:rsidRPr="009C485E" w:rsidRDefault="00011AC7" w:rsidP="00593B5E">
      <w:pPr>
        <w:pStyle w:val="Heading2-nonumbering"/>
      </w:pPr>
      <w:bookmarkStart w:id="507" w:name="_Toc489004327"/>
      <w:r w:rsidRPr="009C485E">
        <w:t>Opt on/</w:t>
      </w:r>
      <w:r>
        <w:t>o</w:t>
      </w:r>
      <w:r w:rsidRPr="009C485E">
        <w:t>pt off</w:t>
      </w:r>
      <w:bookmarkEnd w:id="507"/>
    </w:p>
    <w:p w14:paraId="73EDD469" w14:textId="77777777" w:rsidR="00011AC7" w:rsidRPr="00DC4E99" w:rsidRDefault="00011AC7" w:rsidP="00593B5E">
      <w:r w:rsidRPr="00DC4E99">
        <w:t>The process by which a consumer</w:t>
      </w:r>
      <w:r w:rsidR="00D56B08">
        <w:t>’</w:t>
      </w:r>
      <w:r w:rsidRPr="00DC4E99">
        <w:t>s personal health information is included on a shared care system</w:t>
      </w:r>
      <w:r w:rsidR="00593B5E">
        <w:t>.</w:t>
      </w:r>
    </w:p>
    <w:p w14:paraId="05FAAA66" w14:textId="77777777" w:rsidR="00011AC7" w:rsidRPr="00DC4E99" w:rsidRDefault="00011AC7" w:rsidP="00593B5E">
      <w:pPr>
        <w:pStyle w:val="Heading2-nonumbering"/>
      </w:pPr>
      <w:bookmarkStart w:id="508" w:name="_Toc489004328"/>
      <w:r w:rsidRPr="00DC4E99">
        <w:t>Opt on</w:t>
      </w:r>
      <w:bookmarkEnd w:id="508"/>
    </w:p>
    <w:p w14:paraId="7C67AE0B" w14:textId="789E584F" w:rsidR="00011AC7" w:rsidRPr="00DC4E99" w:rsidRDefault="00011AC7" w:rsidP="00593B5E">
      <w:r w:rsidRPr="00385BAB">
        <w:t xml:space="preserve">The </w:t>
      </w:r>
      <w:r w:rsidR="00690695">
        <w:t>c</w:t>
      </w:r>
      <w:r w:rsidRPr="00385BAB">
        <w:t>onsumer is required to give their</w:t>
      </w:r>
      <w:r w:rsidRPr="00DC4E99">
        <w:t xml:space="preserve"> explicit consent before a copy of their information is transferred into another system.</w:t>
      </w:r>
    </w:p>
    <w:p w14:paraId="308CD588" w14:textId="77777777" w:rsidR="00011AC7" w:rsidRPr="00DC4E99" w:rsidRDefault="00011AC7" w:rsidP="00593B5E">
      <w:pPr>
        <w:pStyle w:val="Heading2-nonumbering"/>
      </w:pPr>
      <w:bookmarkStart w:id="509" w:name="_Toc489004329"/>
      <w:r w:rsidRPr="00DC4E99">
        <w:t>Opt off</w:t>
      </w:r>
      <w:bookmarkEnd w:id="509"/>
    </w:p>
    <w:p w14:paraId="25E88DDC" w14:textId="7D89716C" w:rsidR="00D56B08" w:rsidRDefault="00011AC7" w:rsidP="00690695">
      <w:r w:rsidRPr="00DC4E99">
        <w:t xml:space="preserve">The </w:t>
      </w:r>
      <w:r w:rsidR="00690695">
        <w:t>c</w:t>
      </w:r>
      <w:r w:rsidRPr="00DC4E99">
        <w:t xml:space="preserve">onsumer is informed that a copy of their information is to be transferred to the system unless they specifically decide not to transfer their information. If the latter is the case they will be marked as </w:t>
      </w:r>
      <w:r w:rsidR="00690695">
        <w:t>‘</w:t>
      </w:r>
      <w:r w:rsidRPr="00DC4E99">
        <w:t>opt off</w:t>
      </w:r>
      <w:r w:rsidR="00690695">
        <w:t>’</w:t>
      </w:r>
      <w:r w:rsidRPr="00DC4E99">
        <w:t>.</w:t>
      </w:r>
    </w:p>
    <w:p w14:paraId="65970763" w14:textId="77777777" w:rsidR="00690695" w:rsidRDefault="00011AC7" w:rsidP="00690695">
      <w:pPr>
        <w:pStyle w:val="Heading2-nonumbering"/>
      </w:pPr>
      <w:bookmarkStart w:id="510" w:name="_Toc489004330"/>
      <w:r w:rsidRPr="009C485E">
        <w:lastRenderedPageBreak/>
        <w:t>Point of</w:t>
      </w:r>
      <w:r>
        <w:t xml:space="preserve"> c</w:t>
      </w:r>
      <w:r w:rsidRPr="009C485E">
        <w:t>are</w:t>
      </w:r>
    </w:p>
    <w:p w14:paraId="6E035254" w14:textId="22618281" w:rsidR="00011AC7" w:rsidRPr="009C485E" w:rsidRDefault="00011AC7" w:rsidP="00744F23">
      <w:r w:rsidRPr="009C485E">
        <w:t xml:space="preserve">See </w:t>
      </w:r>
      <w:r>
        <w:t>shared c</w:t>
      </w:r>
      <w:r w:rsidRPr="009C485E">
        <w:t>are</w:t>
      </w:r>
      <w:bookmarkEnd w:id="510"/>
      <w:r w:rsidR="00690695">
        <w:t>.</w:t>
      </w:r>
    </w:p>
    <w:p w14:paraId="107A59E7" w14:textId="77777777" w:rsidR="00D56B08" w:rsidRDefault="00011AC7" w:rsidP="00690695">
      <w:pPr>
        <w:pStyle w:val="Heading2-nonumbering"/>
      </w:pPr>
      <w:bookmarkStart w:id="511" w:name="_Toc489004331"/>
      <w:r w:rsidRPr="009C485E">
        <w:t>Portals</w:t>
      </w:r>
      <w:bookmarkEnd w:id="511"/>
    </w:p>
    <w:p w14:paraId="40D7B049" w14:textId="77777777" w:rsidR="00011AC7" w:rsidRPr="00DC4E99" w:rsidRDefault="00011AC7" w:rsidP="00690695">
      <w:r w:rsidRPr="00DC4E99">
        <w:t xml:space="preserve">Portals are a secure, web-based application that brings together information from one or more sources, presents information to the </w:t>
      </w:r>
      <w:r>
        <w:t>u</w:t>
      </w:r>
      <w:r w:rsidRPr="00DC4E99">
        <w:t>ser in a consistent way, and has access control.</w:t>
      </w:r>
      <w:r>
        <w:t xml:space="preserve"> </w:t>
      </w:r>
      <w:r w:rsidRPr="00DC4E99">
        <w:t xml:space="preserve">A </w:t>
      </w:r>
      <w:r>
        <w:t>c</w:t>
      </w:r>
      <w:r w:rsidRPr="00DC4E99">
        <w:t>onsumer may have a portal interface into their patient notes held on the GP</w:t>
      </w:r>
      <w:r w:rsidR="00D56B08">
        <w:t>’</w:t>
      </w:r>
      <w:r w:rsidRPr="00DC4E99">
        <w:t xml:space="preserve">s system, or, if their GP has included the </w:t>
      </w:r>
      <w:r>
        <w:t>c</w:t>
      </w:r>
      <w:r w:rsidRPr="00DC4E99">
        <w:t>onsumer</w:t>
      </w:r>
      <w:r w:rsidR="00D56B08">
        <w:t>’</w:t>
      </w:r>
      <w:r w:rsidRPr="00DC4E99">
        <w:t>s patient notes in a shared care system, then they may have a view of the information held in that.</w:t>
      </w:r>
    </w:p>
    <w:p w14:paraId="2D92B14B" w14:textId="77777777" w:rsidR="00D56B08" w:rsidRDefault="00011AC7" w:rsidP="00690695">
      <w:r w:rsidRPr="00DC4E99">
        <w:t>Similarly, there are also clinical portals that allow health practitioners access to patient notes.</w:t>
      </w:r>
      <w:r>
        <w:t xml:space="preserve"> </w:t>
      </w:r>
      <w:r w:rsidRPr="00DC4E99">
        <w:t>Such access is limited and whether the health practitioner can access the notes will depend on their role and function and that the consumer/patient has not chosen to withhold the information.</w:t>
      </w:r>
    </w:p>
    <w:p w14:paraId="6FA85CBD" w14:textId="77777777" w:rsidR="00011AC7" w:rsidRPr="00DC4E99" w:rsidRDefault="00011AC7" w:rsidP="00690695">
      <w:r w:rsidRPr="00DC4E99">
        <w:t>As well as clinical portals in DHBs, access to a patient</w:t>
      </w:r>
      <w:r w:rsidR="00D56B08">
        <w:t>’</w:t>
      </w:r>
      <w:r w:rsidRPr="00DC4E99">
        <w:t>s notes is controlled through a clinical work station. A clinical workstation is also a secure web based application and is used by health practitioners to access and update information held in the electronic health record.</w:t>
      </w:r>
    </w:p>
    <w:p w14:paraId="28FABE57" w14:textId="77777777" w:rsidR="00011AC7" w:rsidRPr="009C485E" w:rsidRDefault="00011AC7" w:rsidP="00690695">
      <w:pPr>
        <w:pStyle w:val="Heading2-nonumbering"/>
      </w:pPr>
      <w:bookmarkStart w:id="512" w:name="_Toc489004332"/>
      <w:r w:rsidRPr="009C485E">
        <w:t>Representative</w:t>
      </w:r>
      <w:bookmarkEnd w:id="512"/>
    </w:p>
    <w:p w14:paraId="3664D6DD" w14:textId="77F06E5C" w:rsidR="00011AC7" w:rsidRPr="00DC4E99" w:rsidRDefault="00011AC7" w:rsidP="00690695">
      <w:r w:rsidRPr="00DC4E99">
        <w:t>Representative is defined in the Health Information Privacy Code 1994.</w:t>
      </w:r>
      <w:r>
        <w:t xml:space="preserve"> </w:t>
      </w:r>
      <w:r w:rsidRPr="00DC4E99">
        <w:t xml:space="preserve">In relation to an individual, </w:t>
      </w:r>
      <w:r w:rsidR="00690695">
        <w:t>r</w:t>
      </w:r>
      <w:r w:rsidRPr="00DC4E99">
        <w:t>epresentative means</w:t>
      </w:r>
      <w:r w:rsidR="00567054">
        <w:t xml:space="preserve"> where</w:t>
      </w:r>
      <w:r w:rsidRPr="00DC4E99">
        <w:t>:</w:t>
      </w:r>
    </w:p>
    <w:p w14:paraId="5593AC28" w14:textId="5D94087C" w:rsidR="00011AC7" w:rsidRPr="00DC4E99" w:rsidRDefault="00690695" w:rsidP="00690695">
      <w:pPr>
        <w:spacing w:before="90"/>
        <w:ind w:left="567" w:hanging="567"/>
      </w:pPr>
      <w:r>
        <w:t>a)</w:t>
      </w:r>
      <w:r>
        <w:tab/>
      </w:r>
      <w:proofErr w:type="gramStart"/>
      <w:r w:rsidR="00011AC7" w:rsidRPr="00DC4E99">
        <w:t>that</w:t>
      </w:r>
      <w:proofErr w:type="gramEnd"/>
      <w:r w:rsidR="00011AC7" w:rsidRPr="00DC4E99">
        <w:t xml:space="preserve"> individual is dead, that individual</w:t>
      </w:r>
      <w:r w:rsidR="00D56B08">
        <w:t>’</w:t>
      </w:r>
      <w:r w:rsidR="00011AC7" w:rsidRPr="00DC4E99">
        <w:t>s personal representative</w:t>
      </w:r>
      <w:r>
        <w:t>,</w:t>
      </w:r>
      <w:r w:rsidR="00011AC7" w:rsidRPr="00DC4E99">
        <w:t xml:space="preserve"> or</w:t>
      </w:r>
    </w:p>
    <w:p w14:paraId="1D406C80" w14:textId="10269080" w:rsidR="00011AC7" w:rsidRPr="00DC4E99" w:rsidRDefault="00690695" w:rsidP="00690695">
      <w:pPr>
        <w:spacing w:before="90"/>
        <w:ind w:left="567" w:hanging="567"/>
      </w:pPr>
      <w:r>
        <w:t>b)</w:t>
      </w:r>
      <w:r>
        <w:tab/>
      </w:r>
      <w:proofErr w:type="gramStart"/>
      <w:r w:rsidR="00011AC7" w:rsidRPr="00DC4E99">
        <w:t>the</w:t>
      </w:r>
      <w:proofErr w:type="gramEnd"/>
      <w:r w:rsidR="00011AC7" w:rsidRPr="00DC4E99">
        <w:t xml:space="preserve"> individual is under the age of 16 years, that individual</w:t>
      </w:r>
      <w:r w:rsidR="00D56B08">
        <w:t>’</w:t>
      </w:r>
      <w:r w:rsidR="00011AC7" w:rsidRPr="00DC4E99">
        <w:t>s parent or guardian</w:t>
      </w:r>
      <w:r>
        <w:t>,</w:t>
      </w:r>
      <w:r w:rsidR="00011AC7" w:rsidRPr="00DC4E99">
        <w:t xml:space="preserve"> or</w:t>
      </w:r>
    </w:p>
    <w:p w14:paraId="4B8F288A" w14:textId="4EECDA3A" w:rsidR="00011AC7" w:rsidRPr="00DC4E99" w:rsidRDefault="00690695" w:rsidP="00690695">
      <w:pPr>
        <w:spacing w:before="90"/>
        <w:ind w:left="567" w:hanging="567"/>
      </w:pPr>
      <w:r>
        <w:t>c)</w:t>
      </w:r>
      <w:r>
        <w:tab/>
      </w:r>
      <w:proofErr w:type="gramStart"/>
      <w:r w:rsidR="00011AC7" w:rsidRPr="00DC4E99">
        <w:t>the</w:t>
      </w:r>
      <w:proofErr w:type="gramEnd"/>
      <w:r w:rsidR="00011AC7" w:rsidRPr="00DC4E99">
        <w:t xml:space="preserve"> individual, not being an individual referred to in paragraphs a) or b), is unable to give his or her consent or authority, or exercise his or her rights, a person appearing to be lawfully acting on the individual</w:t>
      </w:r>
      <w:r w:rsidR="00D56B08">
        <w:t>’</w:t>
      </w:r>
      <w:r w:rsidR="00011AC7" w:rsidRPr="00DC4E99">
        <w:t>s behalf or in his or her interests</w:t>
      </w:r>
      <w:r w:rsidR="00011AC7">
        <w:t>.</w:t>
      </w:r>
      <w:r>
        <w:rPr>
          <w:rStyle w:val="FootnoteReference"/>
        </w:rPr>
        <w:footnoteReference w:id="70"/>
      </w:r>
    </w:p>
    <w:p w14:paraId="4E131F42" w14:textId="77777777" w:rsidR="00011AC7" w:rsidRPr="00DC4E99" w:rsidRDefault="00011AC7" w:rsidP="00690695">
      <w:r w:rsidRPr="00DC4E99">
        <w:t xml:space="preserve">A person appearing to be acting contrary to the interests of the individual would not </w:t>
      </w:r>
      <w:r>
        <w:t>be regarded as an individual</w:t>
      </w:r>
      <w:r w:rsidR="00D56B08">
        <w:t>’</w:t>
      </w:r>
      <w:r>
        <w:t>s r</w:t>
      </w:r>
      <w:r w:rsidRPr="00DC4E99">
        <w:t>epresentative under paragraph c) above.</w:t>
      </w:r>
    </w:p>
    <w:p w14:paraId="4EA2FABF" w14:textId="77777777" w:rsidR="00011AC7" w:rsidRPr="009C485E" w:rsidRDefault="00011AC7" w:rsidP="00690695">
      <w:pPr>
        <w:pStyle w:val="Heading2-nonumbering"/>
      </w:pPr>
      <w:bookmarkStart w:id="513" w:name="_Toc489004333"/>
      <w:r>
        <w:t>Role-based access c</w:t>
      </w:r>
      <w:r w:rsidRPr="009C485E">
        <w:t>ontrol</w:t>
      </w:r>
      <w:bookmarkEnd w:id="513"/>
    </w:p>
    <w:p w14:paraId="5D7A4E12" w14:textId="77777777" w:rsidR="00D56B08" w:rsidRDefault="00011AC7" w:rsidP="00690695">
      <w:r w:rsidRPr="00DC4E99">
        <w:rPr>
          <w:lang w:val="en"/>
        </w:rPr>
        <w:t xml:space="preserve">Role-based access control (RBAC) is a method of regulating access to personal health information based on the role and function of individual users within </w:t>
      </w:r>
      <w:r>
        <w:rPr>
          <w:lang w:val="en"/>
        </w:rPr>
        <w:t>a health agency</w:t>
      </w:r>
      <w:r w:rsidRPr="00DC4E99">
        <w:rPr>
          <w:lang w:val="en"/>
        </w:rPr>
        <w:t xml:space="preserve">. </w:t>
      </w:r>
      <w:r w:rsidRPr="00DC4E99">
        <w:t xml:space="preserve">Using the Role Based Access Control Matrix, managers of the system can determine which </w:t>
      </w:r>
      <w:r>
        <w:t>h</w:t>
      </w:r>
      <w:r w:rsidRPr="00DC4E99">
        <w:t xml:space="preserve">ealth </w:t>
      </w:r>
      <w:r>
        <w:t>p</w:t>
      </w:r>
      <w:r w:rsidRPr="00DC4E99">
        <w:t xml:space="preserve">ractitioner should have access to which types of records. What they can view will depend on what they need to know for the purposes of their role and function. For example, A RBAC matrix in the health system would normally show that a GP has access to most of the </w:t>
      </w:r>
      <w:r>
        <w:t>single</w:t>
      </w:r>
      <w:r w:rsidRPr="00DC4E99">
        <w:t xml:space="preserve"> EHR while the access for a community podiatrist will be more limited.</w:t>
      </w:r>
    </w:p>
    <w:p w14:paraId="3811FCD4" w14:textId="77777777" w:rsidR="00011AC7" w:rsidRPr="009C485E" w:rsidRDefault="00011AC7" w:rsidP="00690695">
      <w:pPr>
        <w:pStyle w:val="Heading2-nonumbering"/>
      </w:pPr>
      <w:bookmarkStart w:id="514" w:name="_Toc489004334"/>
      <w:r>
        <w:lastRenderedPageBreak/>
        <w:t>Serious t</w:t>
      </w:r>
      <w:r w:rsidRPr="009C485E">
        <w:t>hreat</w:t>
      </w:r>
      <w:bookmarkEnd w:id="514"/>
    </w:p>
    <w:p w14:paraId="251D2743" w14:textId="77777777" w:rsidR="00011AC7" w:rsidRPr="00D56B08" w:rsidRDefault="00011AC7" w:rsidP="00690695">
      <w:r>
        <w:t>Serious t</w:t>
      </w:r>
      <w:r w:rsidRPr="00DC4E99">
        <w:t>hreat is defined in section 2 of the Privacy Act 1993, and means a threat that is serious, on balance, because of its imminence, its potential severity and its likelihood.</w:t>
      </w:r>
      <w:r>
        <w:t xml:space="preserve"> </w:t>
      </w:r>
      <w:r w:rsidRPr="00DC4E99">
        <w:t>Where it is ne</w:t>
      </w:r>
      <w:r>
        <w:t>cessary to prevent or lessen a serious t</w:t>
      </w:r>
      <w:r w:rsidRPr="00DC4E99">
        <w:t>hreat, some privacy protections can be overridden.</w:t>
      </w:r>
    </w:p>
    <w:p w14:paraId="6A77EB70" w14:textId="649F35F9" w:rsidR="00011AC7" w:rsidRPr="009C485E" w:rsidRDefault="00011AC7" w:rsidP="00690695">
      <w:pPr>
        <w:pStyle w:val="Heading2-nonumbering"/>
      </w:pPr>
      <w:bookmarkStart w:id="515" w:name="_Toc489004335"/>
      <w:r w:rsidRPr="009C485E">
        <w:t xml:space="preserve">Shared </w:t>
      </w:r>
      <w:r w:rsidR="00690695">
        <w:t>c</w:t>
      </w:r>
      <w:r w:rsidRPr="009C485E">
        <w:t xml:space="preserve">are (also covers Point of </w:t>
      </w:r>
      <w:r w:rsidR="00690695">
        <w:t>c</w:t>
      </w:r>
      <w:r w:rsidRPr="009C485E">
        <w:t>are)</w:t>
      </w:r>
      <w:bookmarkEnd w:id="515"/>
    </w:p>
    <w:p w14:paraId="15900713" w14:textId="77777777" w:rsidR="00D56B08" w:rsidRDefault="00011AC7" w:rsidP="00690695">
      <w:r w:rsidRPr="00DC4E99">
        <w:t xml:space="preserve">Health </w:t>
      </w:r>
      <w:r>
        <w:t>i</w:t>
      </w:r>
      <w:r w:rsidRPr="00DC4E99">
        <w:t>nformation can be accessed in point of care systems or shared care systems. On paper the two types of system seem quite different.</w:t>
      </w:r>
    </w:p>
    <w:p w14:paraId="516C2025" w14:textId="0735D730" w:rsidR="00011AC7" w:rsidRPr="00DC4E99" w:rsidRDefault="00011AC7" w:rsidP="00690695">
      <w:r w:rsidRPr="00DC4E99">
        <w:t>For example, a point of care electronic health record system is a system which the consumer</w:t>
      </w:r>
      <w:r w:rsidR="00D56B08">
        <w:t>’</w:t>
      </w:r>
      <w:r w:rsidRPr="00DC4E99">
        <w:t>s health practitioner uses to manage their Health Record at the point of care (</w:t>
      </w:r>
      <w:proofErr w:type="spellStart"/>
      <w:r w:rsidRPr="00DC4E99">
        <w:t>ie</w:t>
      </w:r>
      <w:proofErr w:type="spellEnd"/>
      <w:r w:rsidR="00690695">
        <w:t>,</w:t>
      </w:r>
      <w:r w:rsidRPr="00DC4E99">
        <w:t xml:space="preserve"> the point where there is direct communication and interaction between the consumer and the health practitioner). Under this model the information is </w:t>
      </w:r>
      <w:r>
        <w:t xml:space="preserve">typically </w:t>
      </w:r>
      <w:r w:rsidRPr="00DC4E99">
        <w:t xml:space="preserve">not shared with other health </w:t>
      </w:r>
      <w:r>
        <w:t>providers</w:t>
      </w:r>
      <w:r w:rsidRPr="00DC4E99">
        <w:t>.</w:t>
      </w:r>
    </w:p>
    <w:p w14:paraId="3C1A06C8" w14:textId="378CF8F2" w:rsidR="00011AC7" w:rsidRPr="00DC4E99" w:rsidRDefault="00011AC7" w:rsidP="00690695">
      <w:r w:rsidRPr="00DC4E99">
        <w:t>A shared care system by contrast may contain either a partial or complete record of the consumer</w:t>
      </w:r>
      <w:r w:rsidR="00D56B08">
        <w:t>’</w:t>
      </w:r>
      <w:r w:rsidRPr="00DC4E99">
        <w:t xml:space="preserve">s health information held electronically that can be made available to and shared with different </w:t>
      </w:r>
      <w:r>
        <w:t>health provider</w:t>
      </w:r>
      <w:r w:rsidRPr="00DC4E99">
        <w:t>s and the consumer themselves. It typically takes its source data from point of care clinical information systems used by health practitio</w:t>
      </w:r>
      <w:r>
        <w:t>ners to maintain the patient</w:t>
      </w:r>
      <w:r w:rsidR="00D56B08">
        <w:t>’</w:t>
      </w:r>
      <w:r>
        <w:t>s health record (s</w:t>
      </w:r>
      <w:r w:rsidRPr="00DC4E99">
        <w:t xml:space="preserve">ee Point of </w:t>
      </w:r>
      <w:r w:rsidR="00690695">
        <w:t>c</w:t>
      </w:r>
      <w:r w:rsidRPr="00DC4E99">
        <w:t>are</w:t>
      </w:r>
      <w:r>
        <w:t>).</w:t>
      </w:r>
    </w:p>
    <w:p w14:paraId="4D82EA3E" w14:textId="77777777" w:rsidR="00D56B08" w:rsidRDefault="00011AC7" w:rsidP="00690695">
      <w:r w:rsidRPr="00DC4E99">
        <w:t>In practical terms</w:t>
      </w:r>
      <w:r>
        <w:t>,</w:t>
      </w:r>
      <w:r w:rsidRPr="00DC4E99">
        <w:t xml:space="preserve"> however</w:t>
      </w:r>
      <w:r>
        <w:t>, the distinction between point-of-</w:t>
      </w:r>
      <w:r w:rsidRPr="00DC4E99">
        <w:t>care systems and shared care systems is not always clear as a point of care systems have limited shared care functions and shared care systems have limited point of care functions.</w:t>
      </w:r>
    </w:p>
    <w:p w14:paraId="32612038" w14:textId="77777777" w:rsidR="00011AC7" w:rsidRPr="00DC4E99" w:rsidRDefault="00011AC7" w:rsidP="00690695">
      <w:r>
        <w:rPr>
          <w:rFonts w:cs="Arial"/>
        </w:rPr>
        <w:t>For example i</w:t>
      </w:r>
      <w:r w:rsidRPr="00DC4E99">
        <w:t xml:space="preserve">n a hospital setting a </w:t>
      </w:r>
      <w:r>
        <w:t>c</w:t>
      </w:r>
      <w:r w:rsidRPr="00DC4E99">
        <w:t xml:space="preserve">linical </w:t>
      </w:r>
      <w:r>
        <w:t>p</w:t>
      </w:r>
      <w:r w:rsidRPr="00DC4E99">
        <w:t xml:space="preserve">ortal system might be used by different people as either a point of care or shared care system depending on what their role and function is in relation to the patient. For example, a typical point of care function in a </w:t>
      </w:r>
      <w:r>
        <w:t>c</w:t>
      </w:r>
      <w:r w:rsidRPr="00DC4E99">
        <w:t xml:space="preserve">linical </w:t>
      </w:r>
      <w:r>
        <w:t>p</w:t>
      </w:r>
      <w:r w:rsidRPr="00DC4E99">
        <w:t>ortal is the creation of a discharge summary.</w:t>
      </w:r>
    </w:p>
    <w:p w14:paraId="531DDA10" w14:textId="77777777" w:rsidR="00011AC7" w:rsidRPr="00DC4E99" w:rsidRDefault="00011AC7" w:rsidP="00690695">
      <w:r>
        <w:t>In a g</w:t>
      </w:r>
      <w:r w:rsidRPr="00DC4E99">
        <w:t xml:space="preserve">eneral </w:t>
      </w:r>
      <w:r>
        <w:t>p</w:t>
      </w:r>
      <w:r w:rsidRPr="00DC4E99">
        <w:t>ractice, the GP</w:t>
      </w:r>
      <w:r w:rsidR="00D56B08">
        <w:t>’</w:t>
      </w:r>
      <w:r>
        <w:t>s</w:t>
      </w:r>
      <w:r w:rsidRPr="00DC4E99">
        <w:t xml:space="preserve"> </w:t>
      </w:r>
      <w:r>
        <w:t>p</w:t>
      </w:r>
      <w:r w:rsidRPr="00DC4E99">
        <w:t xml:space="preserve">ractice </w:t>
      </w:r>
      <w:r>
        <w:t>m</w:t>
      </w:r>
      <w:r w:rsidRPr="00DC4E99">
        <w:t xml:space="preserve">anagement </w:t>
      </w:r>
      <w:r>
        <w:t>s</w:t>
      </w:r>
      <w:r w:rsidRPr="00DC4E99">
        <w:t>ystem is typically thought of as a point of care system but also possesses aspects of being a shared care system. Typically, not only will the treating general practitioner be able to see the patient</w:t>
      </w:r>
      <w:r w:rsidR="00D56B08">
        <w:t>’</w:t>
      </w:r>
      <w:r w:rsidRPr="00DC4E99">
        <w:t>s personal health information but so will other general practitioners in the practice, the practice nurse and limited information will also be made available to the receptionist/administrator for the purpose of booking appointments.</w:t>
      </w:r>
    </w:p>
    <w:p w14:paraId="3B4369DC" w14:textId="77777777" w:rsidR="00011AC7" w:rsidRPr="00DC4E99" w:rsidRDefault="00011AC7" w:rsidP="00690695">
      <w:pPr>
        <w:keepNext/>
      </w:pPr>
      <w:r w:rsidRPr="00DC4E99">
        <w:t>It would be more accurate to think of EHR systems as sitting on a continuum, with point of care systems situated at one end and shared care at the other.</w:t>
      </w:r>
      <w:r>
        <w:t xml:space="preserve"> </w:t>
      </w:r>
      <w:r w:rsidRPr="00DC4E99">
        <w:t>Where along the continuum a particular system is will depend on how many people have access to it.</w:t>
      </w:r>
    </w:p>
    <w:p w14:paraId="2440F2CB" w14:textId="77777777" w:rsidR="00011AC7" w:rsidRPr="009C485E" w:rsidRDefault="00011AC7" w:rsidP="00690695">
      <w:pPr>
        <w:pStyle w:val="Heading2-nonumbering"/>
      </w:pPr>
      <w:bookmarkStart w:id="516" w:name="_Toc489004336"/>
      <w:r w:rsidRPr="009C485E">
        <w:t>User</w:t>
      </w:r>
      <w:bookmarkEnd w:id="516"/>
    </w:p>
    <w:p w14:paraId="6AAF0F5D" w14:textId="77777777" w:rsidR="00011AC7" w:rsidRPr="00DC4E99" w:rsidRDefault="00011AC7" w:rsidP="00690695">
      <w:r w:rsidRPr="00DC4E99">
        <w:t xml:space="preserve">A </w:t>
      </w:r>
      <w:r>
        <w:t>u</w:t>
      </w:r>
      <w:r w:rsidRPr="00DC4E99">
        <w:t xml:space="preserve">ser is a person issued with a unique </w:t>
      </w:r>
      <w:r>
        <w:t>u</w:t>
      </w:r>
      <w:r w:rsidRPr="00DC4E99">
        <w:t>ser ID who is authorised to use a computer system.</w:t>
      </w:r>
    </w:p>
    <w:p w14:paraId="58ED56C6" w14:textId="363731B5" w:rsidR="00011AC7" w:rsidRPr="00703FE5" w:rsidRDefault="00011AC7" w:rsidP="00690695">
      <w:pPr>
        <w:pStyle w:val="Heading1-nonumbering"/>
      </w:pPr>
      <w:bookmarkStart w:id="517" w:name="_Toc489004337"/>
      <w:bookmarkStart w:id="518" w:name="_Toc491259749"/>
      <w:r>
        <w:lastRenderedPageBreak/>
        <w:t>Appendix 4</w:t>
      </w:r>
      <w:r w:rsidR="00690695">
        <w:t>:</w:t>
      </w:r>
      <w:r>
        <w:t xml:space="preserve"> Key information governance principles</w:t>
      </w:r>
      <w:bookmarkEnd w:id="517"/>
      <w:bookmarkEnd w:id="518"/>
    </w:p>
    <w:p w14:paraId="2426CAAA" w14:textId="38D38801" w:rsidR="00011AC7" w:rsidRPr="00054E7F" w:rsidRDefault="00011AC7" w:rsidP="00690695">
      <w:bookmarkStart w:id="519" w:name="_Toc476648201"/>
      <w:r>
        <w:t>This appendix documents the k</w:t>
      </w:r>
      <w:r w:rsidRPr="009C485E">
        <w:t xml:space="preserve">ey </w:t>
      </w:r>
      <w:r>
        <w:t>p</w:t>
      </w:r>
      <w:r w:rsidRPr="009C485E">
        <w:t>rinciples</w:t>
      </w:r>
      <w:bookmarkStart w:id="520" w:name="_Toc476648202"/>
      <w:bookmarkEnd w:id="519"/>
      <w:r>
        <w:t xml:space="preserve"> </w:t>
      </w:r>
      <w:r w:rsidRPr="00EB637E">
        <w:t>on which the</w:t>
      </w:r>
      <w:r w:rsidR="001C2FA7">
        <w:t>se</w:t>
      </w:r>
      <w:r w:rsidRPr="00EB637E">
        <w:t xml:space="preserve"> Health Information Governance Guidelines are based</w:t>
      </w:r>
      <w:bookmarkEnd w:id="520"/>
      <w:r>
        <w:t>.</w:t>
      </w:r>
    </w:p>
    <w:p w14:paraId="7F39A256" w14:textId="77777777" w:rsidR="00011AC7" w:rsidRPr="00D14AE8" w:rsidRDefault="00011AC7" w:rsidP="00690695">
      <w:r w:rsidRPr="00D14AE8">
        <w:t xml:space="preserve">Consumers and patients expect that personal health information provided to their </w:t>
      </w:r>
      <w:r>
        <w:t>health provider</w:t>
      </w:r>
      <w:r w:rsidRPr="00D14AE8">
        <w:t xml:space="preserve">s will be kept confidential. They must feel able to </w:t>
      </w:r>
      <w:r>
        <w:t>share</w:t>
      </w:r>
      <w:r w:rsidRPr="00D14AE8">
        <w:t xml:space="preserve"> sensitive </w:t>
      </w:r>
      <w:r>
        <w:t>information</w:t>
      </w:r>
      <w:r w:rsidRPr="00D14AE8">
        <w:t xml:space="preserve"> with a health practitioner without fear that the information will be improperly disclosed. Health services cannot work effectively without trust and trust depends on confidentiality.</w:t>
      </w:r>
    </w:p>
    <w:p w14:paraId="6115C17D" w14:textId="77777777" w:rsidR="00011AC7" w:rsidRPr="00D14AE8" w:rsidRDefault="00011AC7" w:rsidP="00690695">
      <w:r w:rsidRPr="00D14AE8">
        <w:t>However, consumers and patients also expect health practitioners to share clinical information with other members of the care team.</w:t>
      </w:r>
      <w:r>
        <w:t xml:space="preserve"> </w:t>
      </w:r>
      <w:r w:rsidRPr="00D14AE8">
        <w:t>Health information may also be disclosed for legally supported purposes</w:t>
      </w:r>
      <w:r>
        <w:t>.</w:t>
      </w:r>
      <w:r w:rsidRPr="00690695">
        <w:rPr>
          <w:rStyle w:val="FootnoteReference"/>
        </w:rPr>
        <w:footnoteReference w:id="71"/>
      </w:r>
      <w:r>
        <w:t xml:space="preserve"> </w:t>
      </w:r>
      <w:r w:rsidRPr="00D14AE8">
        <w:t xml:space="preserve">To support a seamless experience for the consumer, information needs to be available to </w:t>
      </w:r>
      <w:r>
        <w:t>health provider</w:t>
      </w:r>
      <w:r w:rsidRPr="00D14AE8">
        <w:t>s at the right place and the right time.</w:t>
      </w:r>
      <w:r>
        <w:t xml:space="preserve"> Safe</w:t>
      </w:r>
      <w:r w:rsidRPr="00D14AE8">
        <w:t xml:space="preserve"> sharing of information through point-of-care or shared care systems is as important as maintaining confidentiality.</w:t>
      </w:r>
      <w:r>
        <w:t xml:space="preserve"> Health provider</w:t>
      </w:r>
      <w:r w:rsidRPr="00D14AE8">
        <w:t>s must succeed in both respecting confidentiality of information and sharing it appropriately.</w:t>
      </w:r>
    </w:p>
    <w:p w14:paraId="1AACC92E" w14:textId="77777777" w:rsidR="00011AC7" w:rsidRPr="00D14AE8" w:rsidRDefault="00011AC7" w:rsidP="00690695">
      <w:r w:rsidRPr="00D14AE8">
        <w:t>Our health system continues to demand higher levels of integration to ensure improved quality and productivity.</w:t>
      </w:r>
      <w:r>
        <w:t xml:space="preserve"> </w:t>
      </w:r>
      <w:r w:rsidRPr="00D14AE8">
        <w:t>In response to this demand, health practitioners have increased their use of technology to share the information they need with each other.</w:t>
      </w:r>
      <w:r>
        <w:t xml:space="preserve"> </w:t>
      </w:r>
      <w:r w:rsidRPr="00D14AE8">
        <w:t xml:space="preserve">While this makes sharing health information easier and more reliable, attention must be given to ensuring that consumer and </w:t>
      </w:r>
      <w:r>
        <w:t>health provider</w:t>
      </w:r>
      <w:r w:rsidRPr="00D14AE8">
        <w:t xml:space="preserve"> trust in systems is maintained.</w:t>
      </w:r>
      <w:r w:rsidRPr="00D14AE8">
        <w:rPr>
          <w:rStyle w:val="FootnoteReference"/>
        </w:rPr>
        <w:footnoteReference w:id="72"/>
      </w:r>
      <w:r w:rsidR="00690695" w:rsidRPr="00690695">
        <w:rPr>
          <w:vertAlign w:val="superscript"/>
        </w:rPr>
        <w:t>,</w:t>
      </w:r>
      <w:r w:rsidRPr="00B52BFE">
        <w:rPr>
          <w:vertAlign w:val="superscript"/>
        </w:rPr>
        <w:t xml:space="preserve"> </w:t>
      </w:r>
      <w:r w:rsidRPr="00D14AE8">
        <w:rPr>
          <w:vertAlign w:val="superscript"/>
        </w:rPr>
        <w:footnoteReference w:id="73"/>
      </w:r>
    </w:p>
    <w:p w14:paraId="71AEAB58" w14:textId="7E7AC5C4" w:rsidR="00D56B08" w:rsidRDefault="00011AC7" w:rsidP="00011AC7">
      <w:r>
        <w:t xml:space="preserve">In drafting </w:t>
      </w:r>
      <w:r w:rsidRPr="00D14AE8">
        <w:t>the</w:t>
      </w:r>
      <w:r>
        <w:t>se Guidelines HIGEAG first developed a set</w:t>
      </w:r>
      <w:r w:rsidRPr="00D14AE8">
        <w:t xml:space="preserve"> of general principles governing the use of personal health information</w:t>
      </w:r>
      <w:r w:rsidRPr="00D14AE8">
        <w:rPr>
          <w:vertAlign w:val="superscript"/>
        </w:rPr>
        <w:t>.</w:t>
      </w:r>
      <w:r>
        <w:t xml:space="preserve"> </w:t>
      </w:r>
      <w:r w:rsidRPr="00D14AE8">
        <w:t>The</w:t>
      </w:r>
      <w:r>
        <w:t>se</w:t>
      </w:r>
      <w:r w:rsidRPr="00D14AE8">
        <w:t xml:space="preserve"> principles draw on the Health </w:t>
      </w:r>
      <w:r>
        <w:t>i</w:t>
      </w:r>
      <w:r w:rsidRPr="00D14AE8">
        <w:t>nformation Privacy Code 1994 as well as the Code of Health and Disability Services Consumers</w:t>
      </w:r>
      <w:r w:rsidR="00D56B08">
        <w:t>’</w:t>
      </w:r>
      <w:r w:rsidRPr="00D14AE8">
        <w:t xml:space="preserve"> Rights and the document </w:t>
      </w:r>
      <w:r w:rsidR="00D56B08">
        <w:t>“</w:t>
      </w:r>
      <w:r w:rsidRPr="00D14AE8">
        <w:t>Protecting Personal Health Information</w:t>
      </w:r>
      <w:r w:rsidR="00D56B08">
        <w:t xml:space="preserve"> – </w:t>
      </w:r>
      <w:r w:rsidRPr="00D14AE8">
        <w:t>Consumer Expectations</w:t>
      </w:r>
      <w:r w:rsidR="00D56B08">
        <w:t>”</w:t>
      </w:r>
      <w:r>
        <w:t xml:space="preserve"> </w:t>
      </w:r>
      <w:r w:rsidRPr="00D14AE8">
        <w:t xml:space="preserve">prepared by the </w:t>
      </w:r>
      <w:r>
        <w:t>Ministry</w:t>
      </w:r>
      <w:r w:rsidR="00D56B08">
        <w:t>’</w:t>
      </w:r>
      <w:r>
        <w:t>s Technology and Digital Services</w:t>
      </w:r>
      <w:r w:rsidR="00D56B08">
        <w:t>’</w:t>
      </w:r>
      <w:r w:rsidRPr="00D14AE8">
        <w:t xml:space="preserve"> Consumer Panel</w:t>
      </w:r>
      <w:r w:rsidR="00690695">
        <w:t>.</w:t>
      </w:r>
    </w:p>
    <w:p w14:paraId="54F053AA" w14:textId="69217096" w:rsidR="00011AC7" w:rsidRPr="009C485E" w:rsidRDefault="00011AC7" w:rsidP="00744F23">
      <w:pPr>
        <w:pStyle w:val="Heading2-nonumbering"/>
      </w:pPr>
      <w:r w:rsidRPr="009C485E">
        <w:t xml:space="preserve">Quality and </w:t>
      </w:r>
      <w:r w:rsidR="00690695">
        <w:t>t</w:t>
      </w:r>
      <w:r w:rsidRPr="009C485E">
        <w:t>rust</w:t>
      </w:r>
    </w:p>
    <w:p w14:paraId="374DE3BB" w14:textId="42E919E9" w:rsidR="00011AC7" w:rsidRDefault="00011AC7" w:rsidP="00690695">
      <w:r w:rsidRPr="009C485E">
        <w:t xml:space="preserve">High quality </w:t>
      </w:r>
      <w:r>
        <w:t>h</w:t>
      </w:r>
      <w:r w:rsidRPr="009C485E">
        <w:t xml:space="preserve">ealth </w:t>
      </w:r>
      <w:r>
        <w:t>i</w:t>
      </w:r>
      <w:r w:rsidRPr="009C485E">
        <w:t>nformation supports high quality health care.</w:t>
      </w:r>
      <w:r w:rsidR="00690695">
        <w:t xml:space="preserve"> </w:t>
      </w:r>
      <w:r>
        <w:t>This means</w:t>
      </w:r>
      <w:r w:rsidRPr="009C485E">
        <w:t>:</w:t>
      </w:r>
    </w:p>
    <w:p w14:paraId="42265D84" w14:textId="5A9DD51F" w:rsidR="00D56B08" w:rsidRPr="00690695" w:rsidRDefault="00690695" w:rsidP="00690695">
      <w:pPr>
        <w:pStyle w:val="Bullet"/>
      </w:pPr>
      <w:r>
        <w:t>c</w:t>
      </w:r>
      <w:r w:rsidR="00011AC7" w:rsidRPr="009C485E">
        <w:t>onsumers trust that the health system will keep their information safe</w:t>
      </w:r>
    </w:p>
    <w:p w14:paraId="54DE6FF6" w14:textId="2361555D" w:rsidR="00011AC7" w:rsidRPr="009C485E" w:rsidRDefault="00690695" w:rsidP="00690695">
      <w:pPr>
        <w:pStyle w:val="Bullet"/>
      </w:pPr>
      <w:r>
        <w:t>i</w:t>
      </w:r>
      <w:r w:rsidR="00011AC7" w:rsidRPr="009C485E">
        <w:t>nformation is available to inform any health care decision related to that consumer</w:t>
      </w:r>
    </w:p>
    <w:p w14:paraId="747A167E" w14:textId="66CCB71F" w:rsidR="00011AC7" w:rsidRPr="009C485E" w:rsidRDefault="00690695" w:rsidP="00690695">
      <w:pPr>
        <w:pStyle w:val="Bullet"/>
      </w:pPr>
      <w:proofErr w:type="gramStart"/>
      <w:r>
        <w:t>i</w:t>
      </w:r>
      <w:r w:rsidR="00011AC7" w:rsidRPr="009C485E">
        <w:t>nformation</w:t>
      </w:r>
      <w:proofErr w:type="gramEnd"/>
      <w:r w:rsidR="00011AC7" w:rsidRPr="009C485E">
        <w:t xml:space="preserve"> held is as accurate, up</w:t>
      </w:r>
      <w:r>
        <w:t xml:space="preserve"> </w:t>
      </w:r>
      <w:r w:rsidR="00011AC7" w:rsidRPr="009C485E">
        <w:t>to</w:t>
      </w:r>
      <w:r>
        <w:t xml:space="preserve"> </w:t>
      </w:r>
      <w:r w:rsidR="00011AC7" w:rsidRPr="009C485E">
        <w:t>date and relevant as is necessary for the purposes of treatment and care.</w:t>
      </w:r>
    </w:p>
    <w:p w14:paraId="2ED687B5" w14:textId="233B8F45" w:rsidR="00011AC7" w:rsidRDefault="00011AC7" w:rsidP="00690695">
      <w:r w:rsidRPr="009C485E">
        <w:t xml:space="preserve">Maintaining trust between </w:t>
      </w:r>
      <w:r>
        <w:t>c</w:t>
      </w:r>
      <w:r w:rsidRPr="009C485E">
        <w:t xml:space="preserve">onsumers and </w:t>
      </w:r>
      <w:r w:rsidR="00690695">
        <w:t>h</w:t>
      </w:r>
      <w:r w:rsidRPr="009C485E">
        <w:t xml:space="preserve">ealth </w:t>
      </w:r>
      <w:r w:rsidR="00690695">
        <w:t>a</w:t>
      </w:r>
      <w:r w:rsidRPr="009C485E">
        <w:t>gencies requires the safe sharing of health information.</w:t>
      </w:r>
      <w:r w:rsidR="00690695">
        <w:t xml:space="preserve"> </w:t>
      </w:r>
      <w:r>
        <w:t>This means</w:t>
      </w:r>
      <w:r w:rsidRPr="009C485E">
        <w:t>:</w:t>
      </w:r>
    </w:p>
    <w:p w14:paraId="7720F7A1" w14:textId="31750D9E" w:rsidR="00011AC7" w:rsidRPr="009C485E" w:rsidRDefault="00690695" w:rsidP="00690695">
      <w:pPr>
        <w:pStyle w:val="Bullet"/>
      </w:pPr>
      <w:r>
        <w:t>a</w:t>
      </w:r>
      <w:r w:rsidR="00011AC7" w:rsidRPr="009C485E">
        <w:t xml:space="preserve">ll </w:t>
      </w:r>
      <w:r w:rsidR="00011AC7">
        <w:t>h</w:t>
      </w:r>
      <w:r w:rsidR="00011AC7" w:rsidRPr="009C485E">
        <w:t xml:space="preserve">ealth </w:t>
      </w:r>
      <w:r w:rsidR="00011AC7">
        <w:t>i</w:t>
      </w:r>
      <w:r w:rsidR="00011AC7" w:rsidRPr="009C485E">
        <w:t>nformation is treated as confidential</w:t>
      </w:r>
    </w:p>
    <w:p w14:paraId="46C8C344" w14:textId="542A89BF" w:rsidR="00D56B08" w:rsidRDefault="00690695" w:rsidP="00690695">
      <w:pPr>
        <w:pStyle w:val="Bullet"/>
      </w:pPr>
      <w:r>
        <w:lastRenderedPageBreak/>
        <w:t>h</w:t>
      </w:r>
      <w:r w:rsidR="00011AC7" w:rsidRPr="009C485E">
        <w:t xml:space="preserve">ealth </w:t>
      </w:r>
      <w:r w:rsidR="00011AC7">
        <w:t>i</w:t>
      </w:r>
      <w:r w:rsidR="00011AC7" w:rsidRPr="009C485E">
        <w:t>nformation is held securely and in accordance with national standards</w:t>
      </w:r>
    </w:p>
    <w:p w14:paraId="1EF7D136" w14:textId="51D7BCD3" w:rsidR="00011AC7" w:rsidRPr="009C485E" w:rsidRDefault="00690695" w:rsidP="00690695">
      <w:pPr>
        <w:pStyle w:val="Bullet"/>
      </w:pPr>
      <w:r>
        <w:t>h</w:t>
      </w:r>
      <w:r w:rsidR="00011AC7" w:rsidRPr="009C485E">
        <w:t xml:space="preserve">ealth </w:t>
      </w:r>
      <w:r w:rsidR="00011AC7">
        <w:t>i</w:t>
      </w:r>
      <w:r w:rsidR="00011AC7" w:rsidRPr="009C485E">
        <w:t xml:space="preserve">nformation is only accessed by persons who have </w:t>
      </w:r>
      <w:r>
        <w:t>a</w:t>
      </w:r>
      <w:r w:rsidR="00011AC7" w:rsidRPr="009C485E">
        <w:t xml:space="preserve">uthorised </w:t>
      </w:r>
      <w:r w:rsidR="00011AC7">
        <w:t>a</w:t>
      </w:r>
      <w:r w:rsidR="00011AC7" w:rsidRPr="009C485E">
        <w:t>ccess and only in the performance of their duties</w:t>
      </w:r>
    </w:p>
    <w:p w14:paraId="2421BF5D" w14:textId="5EA51A32" w:rsidR="00011AC7" w:rsidRPr="009C485E" w:rsidRDefault="00690695" w:rsidP="00690695">
      <w:pPr>
        <w:pStyle w:val="Bullet"/>
      </w:pPr>
      <w:r>
        <w:t>h</w:t>
      </w:r>
      <w:r w:rsidR="00011AC7" w:rsidRPr="009C485E">
        <w:t xml:space="preserve">ealth </w:t>
      </w:r>
      <w:r w:rsidR="00011AC7">
        <w:t>i</w:t>
      </w:r>
      <w:r w:rsidR="00011AC7" w:rsidRPr="009C485E">
        <w:t xml:space="preserve">nformation remains under the jurisdiction of the health and disability sector unless authorised by law or the </w:t>
      </w:r>
      <w:r w:rsidR="00011AC7">
        <w:t>c</w:t>
      </w:r>
      <w:r w:rsidR="00011AC7" w:rsidRPr="009C485E">
        <w:t>onsumer has explicitly given their permission</w:t>
      </w:r>
    </w:p>
    <w:p w14:paraId="3DB715D9" w14:textId="7EEADFA7" w:rsidR="00011AC7" w:rsidRPr="009C485E" w:rsidRDefault="00690695" w:rsidP="00690695">
      <w:pPr>
        <w:pStyle w:val="Bullet"/>
      </w:pPr>
      <w:proofErr w:type="gramStart"/>
      <w:r>
        <w:t>c</w:t>
      </w:r>
      <w:r w:rsidR="00011AC7" w:rsidRPr="009C485E">
        <w:t>ustodians</w:t>
      </w:r>
      <w:proofErr w:type="gramEnd"/>
      <w:r w:rsidR="00011AC7" w:rsidRPr="009C485E">
        <w:t xml:space="preserve"> of </w:t>
      </w:r>
      <w:r w:rsidR="00011AC7">
        <w:t>h</w:t>
      </w:r>
      <w:r w:rsidR="00011AC7" w:rsidRPr="009C485E">
        <w:t xml:space="preserve">ealth </w:t>
      </w:r>
      <w:r w:rsidR="00011AC7">
        <w:t>i</w:t>
      </w:r>
      <w:r w:rsidR="00011AC7" w:rsidRPr="009C485E">
        <w:t>nformation protect it against loss and unauthorised access, u</w:t>
      </w:r>
      <w:r w:rsidR="00011AC7">
        <w:t>se, modification or disclosure.</w:t>
      </w:r>
    </w:p>
    <w:p w14:paraId="33CDEF1D" w14:textId="77777777" w:rsidR="00011AC7" w:rsidRPr="009C485E" w:rsidRDefault="00011AC7" w:rsidP="00690695">
      <w:pPr>
        <w:pStyle w:val="Heading2-nonumbering"/>
      </w:pPr>
      <w:r>
        <w:t>Privacy and t</w:t>
      </w:r>
      <w:r w:rsidRPr="009C485E">
        <w:t>ransparency</w:t>
      </w:r>
    </w:p>
    <w:p w14:paraId="7E5AF7BC" w14:textId="77777777" w:rsidR="00011AC7" w:rsidRPr="009C485E" w:rsidRDefault="00011AC7" w:rsidP="00690695">
      <w:r w:rsidRPr="009C485E">
        <w:t xml:space="preserve">On the collection of </w:t>
      </w:r>
      <w:r>
        <w:t>h</w:t>
      </w:r>
      <w:r w:rsidRPr="009C485E">
        <w:t xml:space="preserve">ealth </w:t>
      </w:r>
      <w:r>
        <w:t>i</w:t>
      </w:r>
      <w:r w:rsidRPr="009C485E">
        <w:t xml:space="preserve">nformation, </w:t>
      </w:r>
      <w:r>
        <w:t>h</w:t>
      </w:r>
      <w:r w:rsidRPr="009C485E">
        <w:t xml:space="preserve">ealth </w:t>
      </w:r>
      <w:r>
        <w:t>a</w:t>
      </w:r>
      <w:r w:rsidRPr="009C485E">
        <w:t xml:space="preserve">gencies will communicate the likely intended purpose and disclosures of the information to the </w:t>
      </w:r>
      <w:r>
        <w:t>c</w:t>
      </w:r>
      <w:r w:rsidRPr="009C485E">
        <w:t>onsumer in a straightforward way.</w:t>
      </w:r>
    </w:p>
    <w:p w14:paraId="02DEDD17" w14:textId="77777777" w:rsidR="00D56B08" w:rsidRDefault="00011AC7" w:rsidP="00690695">
      <w:r w:rsidRPr="009C485E">
        <w:t xml:space="preserve">A </w:t>
      </w:r>
      <w:r>
        <w:t>c</w:t>
      </w:r>
      <w:r w:rsidRPr="009C485E">
        <w:t xml:space="preserve">onsumer has a right to access and take a copy of their </w:t>
      </w:r>
      <w:r>
        <w:t>h</w:t>
      </w:r>
      <w:r w:rsidRPr="009C485E">
        <w:t xml:space="preserve">ealth </w:t>
      </w:r>
      <w:r>
        <w:t>i</w:t>
      </w:r>
      <w:r w:rsidRPr="009C485E">
        <w:t>nformation and to know who else has accessed it. They do not need to give a reason for requesting that information.</w:t>
      </w:r>
    </w:p>
    <w:p w14:paraId="3AD45D26" w14:textId="77777777" w:rsidR="00011AC7" w:rsidRPr="009C485E" w:rsidRDefault="00011AC7" w:rsidP="00690695">
      <w:r w:rsidRPr="009C485E">
        <w:t xml:space="preserve">A </w:t>
      </w:r>
      <w:r>
        <w:t>c</w:t>
      </w:r>
      <w:r w:rsidRPr="009C485E">
        <w:t xml:space="preserve">onsumer has the right to ask for their </w:t>
      </w:r>
      <w:r>
        <w:t>h</w:t>
      </w:r>
      <w:r w:rsidRPr="009C485E">
        <w:t xml:space="preserve">ealth </w:t>
      </w:r>
      <w:r>
        <w:t>i</w:t>
      </w:r>
      <w:r w:rsidRPr="009C485E">
        <w:t>nformation to be corrected.</w:t>
      </w:r>
      <w:r>
        <w:t xml:space="preserve"> </w:t>
      </w:r>
      <w:r w:rsidRPr="009C485E">
        <w:t>If their request is refused a consumer has the right to have a note added to their records listing any correction sought but not made.</w:t>
      </w:r>
    </w:p>
    <w:p w14:paraId="0D744BEC" w14:textId="139314AA" w:rsidR="00011AC7" w:rsidRDefault="00011AC7" w:rsidP="00744F23">
      <w:r w:rsidRPr="009C485E">
        <w:t xml:space="preserve">Consumers may withhold from sharing part, or all, of any of their </w:t>
      </w:r>
      <w:r>
        <w:t>h</w:t>
      </w:r>
      <w:r w:rsidRPr="009C485E">
        <w:t xml:space="preserve">ealth </w:t>
      </w:r>
      <w:r>
        <w:t>i</w:t>
      </w:r>
      <w:r w:rsidRPr="009C485E">
        <w:t>nformation that is not required to be disclosed by law.</w:t>
      </w:r>
      <w:r w:rsidR="00690695">
        <w:t xml:space="preserve"> </w:t>
      </w:r>
      <w:r>
        <w:t>This means</w:t>
      </w:r>
      <w:r w:rsidRPr="009C485E">
        <w:t>:</w:t>
      </w:r>
    </w:p>
    <w:p w14:paraId="41915635" w14:textId="02906018" w:rsidR="00D56B08" w:rsidRDefault="00690695" w:rsidP="00690695">
      <w:pPr>
        <w:pStyle w:val="Bullet"/>
      </w:pPr>
      <w:r>
        <w:t>b</w:t>
      </w:r>
      <w:r w:rsidR="00011AC7" w:rsidRPr="009C485E">
        <w:t xml:space="preserve">efore a </w:t>
      </w:r>
      <w:r w:rsidR="00011AC7">
        <w:t>c</w:t>
      </w:r>
      <w:r w:rsidR="00011AC7" w:rsidRPr="009C485E">
        <w:t>onsumer chooses to withhold information, their health practitioner will advise them if it could affect the quality of health care and treatment provided, and/or could pose risks to their health</w:t>
      </w:r>
    </w:p>
    <w:p w14:paraId="7FA4FC98" w14:textId="77C32C0B" w:rsidR="00011AC7" w:rsidRPr="009C485E" w:rsidRDefault="00690695" w:rsidP="00690695">
      <w:pPr>
        <w:pStyle w:val="Bullet"/>
      </w:pPr>
      <w:proofErr w:type="gramStart"/>
      <w:r>
        <w:t>w</w:t>
      </w:r>
      <w:r w:rsidR="00011AC7" w:rsidRPr="009C485E">
        <w:t>here</w:t>
      </w:r>
      <w:proofErr w:type="gramEnd"/>
      <w:r w:rsidR="00011AC7" w:rsidRPr="009C485E">
        <w:t xml:space="preserve"> information is withheld a notation will be made on the health record indicating that this has occurred.</w:t>
      </w:r>
    </w:p>
    <w:p w14:paraId="777B5CEF" w14:textId="77777777" w:rsidR="00011AC7" w:rsidRPr="009C485E" w:rsidRDefault="00011AC7" w:rsidP="00690695">
      <w:pPr>
        <w:pStyle w:val="Heading2-nonumbering"/>
      </w:pPr>
      <w:r w:rsidRPr="009C485E">
        <w:t>Disclosure</w:t>
      </w:r>
    </w:p>
    <w:p w14:paraId="52A937A2" w14:textId="77777777" w:rsidR="00011AC7" w:rsidRPr="009C485E" w:rsidRDefault="00011AC7" w:rsidP="00690695">
      <w:r w:rsidRPr="009C485E">
        <w:t xml:space="preserve">A </w:t>
      </w:r>
      <w:r>
        <w:t>h</w:t>
      </w:r>
      <w:r w:rsidRPr="009C485E">
        <w:t xml:space="preserve">ealth </w:t>
      </w:r>
      <w:r>
        <w:t>a</w:t>
      </w:r>
      <w:r w:rsidRPr="009C485E">
        <w:t xml:space="preserve">gency may use or disclose a </w:t>
      </w:r>
      <w:r>
        <w:t>c</w:t>
      </w:r>
      <w:r w:rsidRPr="009C485E">
        <w:t>onsumer</w:t>
      </w:r>
      <w:r w:rsidR="00D56B08">
        <w:t>’</w:t>
      </w:r>
      <w:r w:rsidRPr="009C485E">
        <w:t xml:space="preserve">s </w:t>
      </w:r>
      <w:r>
        <w:t>h</w:t>
      </w:r>
      <w:r w:rsidRPr="009C485E">
        <w:t xml:space="preserve">ealth </w:t>
      </w:r>
      <w:r>
        <w:t>i</w:t>
      </w:r>
      <w:r w:rsidRPr="009C485E">
        <w:t xml:space="preserve">nformation if they have been granted Authorised </w:t>
      </w:r>
      <w:r>
        <w:t>a</w:t>
      </w:r>
      <w:r w:rsidRPr="009C485E">
        <w:t xml:space="preserve">ccess to do so or for purposes that have been communicated to the </w:t>
      </w:r>
      <w:r>
        <w:t>c</w:t>
      </w:r>
      <w:r w:rsidRPr="009C485E">
        <w:t>onsumer. Likely purposes for disclosure include: delivery of care, referrals, research, teaching, audit and funding.</w:t>
      </w:r>
    </w:p>
    <w:p w14:paraId="40C8109A" w14:textId="6F7CC6CC" w:rsidR="00011AC7" w:rsidRPr="009C485E" w:rsidRDefault="00011AC7" w:rsidP="00690695">
      <w:pPr>
        <w:rPr>
          <w:rFonts w:cs="Arial"/>
        </w:rPr>
      </w:pPr>
      <w:r w:rsidRPr="009C485E">
        <w:t xml:space="preserve">Where permitted by law, </w:t>
      </w:r>
      <w:r>
        <w:t>h</w:t>
      </w:r>
      <w:r w:rsidRPr="009C485E">
        <w:t xml:space="preserve">ealth </w:t>
      </w:r>
      <w:r>
        <w:t>i</w:t>
      </w:r>
      <w:r w:rsidRPr="009C485E">
        <w:t>nformation may be disclosed without the consumer</w:t>
      </w:r>
      <w:r w:rsidR="00D56B08">
        <w:t>’</w:t>
      </w:r>
      <w:r w:rsidRPr="009C485E">
        <w:t>s permission. For instance when</w:t>
      </w:r>
      <w:r w:rsidR="00567054">
        <w:t xml:space="preserve"> the</w:t>
      </w:r>
      <w:r w:rsidRPr="009C485E">
        <w:t>:</w:t>
      </w:r>
    </w:p>
    <w:p w14:paraId="5631BA1D" w14:textId="4A9D0EA8" w:rsidR="00011AC7" w:rsidRPr="009C485E" w:rsidRDefault="00567054" w:rsidP="00690695">
      <w:pPr>
        <w:spacing w:before="90"/>
        <w:ind w:left="567" w:hanging="567"/>
      </w:pPr>
      <w:r>
        <w:t>a)</w:t>
      </w:r>
      <w:r>
        <w:tab/>
      </w:r>
      <w:proofErr w:type="gramStart"/>
      <w:r w:rsidR="00011AC7">
        <w:t>c</w:t>
      </w:r>
      <w:r w:rsidR="00011AC7" w:rsidRPr="009C485E">
        <w:t>onsumer</w:t>
      </w:r>
      <w:proofErr w:type="gramEnd"/>
      <w:r w:rsidR="00011AC7" w:rsidRPr="009C485E">
        <w:t xml:space="preserve"> is unconscious or otherwise unable to give permission and disclosure is necessary for the purposes of treatment</w:t>
      </w:r>
    </w:p>
    <w:p w14:paraId="4CBDC007" w14:textId="07D9432F" w:rsidR="00011AC7" w:rsidRPr="009C485E" w:rsidRDefault="00690695" w:rsidP="00690695">
      <w:pPr>
        <w:spacing w:before="90"/>
        <w:ind w:left="567" w:hanging="567"/>
      </w:pPr>
      <w:r>
        <w:t>b)</w:t>
      </w:r>
      <w:r>
        <w:tab/>
      </w:r>
      <w:proofErr w:type="gramStart"/>
      <w:r w:rsidR="00011AC7">
        <w:t>c</w:t>
      </w:r>
      <w:r w:rsidR="00011AC7" w:rsidRPr="009C485E">
        <w:t>onsumer</w:t>
      </w:r>
      <w:proofErr w:type="gramEnd"/>
      <w:r w:rsidR="00011AC7" w:rsidRPr="009C485E">
        <w:t xml:space="preserve"> refuses to give permission but the information is necessary to prevent or lessen a </w:t>
      </w:r>
      <w:r>
        <w:t>s</w:t>
      </w:r>
      <w:r w:rsidR="00011AC7" w:rsidRPr="009C485E">
        <w:t xml:space="preserve">erious </w:t>
      </w:r>
      <w:r>
        <w:t>t</w:t>
      </w:r>
      <w:r w:rsidR="00011AC7" w:rsidRPr="009C485E">
        <w:t>hreat</w:t>
      </w:r>
    </w:p>
    <w:p w14:paraId="267CB00D" w14:textId="6DC59276" w:rsidR="00011AC7" w:rsidRPr="009C485E" w:rsidRDefault="00690695" w:rsidP="00690695">
      <w:pPr>
        <w:spacing w:before="90"/>
        <w:ind w:left="567" w:hanging="567"/>
      </w:pPr>
      <w:r>
        <w:t>c)</w:t>
      </w:r>
      <w:r>
        <w:tab/>
      </w:r>
      <w:proofErr w:type="gramStart"/>
      <w:r w:rsidR="00011AC7">
        <w:t>c</w:t>
      </w:r>
      <w:r w:rsidR="00011AC7" w:rsidRPr="009C485E">
        <w:t>onsumer</w:t>
      </w:r>
      <w:proofErr w:type="gramEnd"/>
      <w:r w:rsidR="00011AC7" w:rsidRPr="009C485E">
        <w:t xml:space="preserve"> is under 16, a request has been made by his or her parent/guardian, and disclosure of the information is not against the </w:t>
      </w:r>
      <w:r w:rsidR="00011AC7">
        <w:t>c</w:t>
      </w:r>
      <w:r w:rsidR="00011AC7" w:rsidRPr="009C485E">
        <w:t>onsumer</w:t>
      </w:r>
      <w:r w:rsidR="00D56B08">
        <w:t>’</w:t>
      </w:r>
      <w:r w:rsidR="00011AC7" w:rsidRPr="009C485E">
        <w:t>s wishes or interests</w:t>
      </w:r>
    </w:p>
    <w:p w14:paraId="187A9E98" w14:textId="12F0D939" w:rsidR="00011AC7" w:rsidRPr="009C485E" w:rsidRDefault="00690695" w:rsidP="00690695">
      <w:pPr>
        <w:spacing w:before="90"/>
        <w:ind w:left="567" w:hanging="567"/>
      </w:pPr>
      <w:r>
        <w:t>d)</w:t>
      </w:r>
      <w:r>
        <w:tab/>
      </w:r>
      <w:proofErr w:type="gramStart"/>
      <w:r w:rsidR="00011AC7">
        <w:t>c</w:t>
      </w:r>
      <w:r w:rsidR="00011AC7" w:rsidRPr="009C485E">
        <w:t>onsumer</w:t>
      </w:r>
      <w:proofErr w:type="gramEnd"/>
      <w:r w:rsidR="00011AC7" w:rsidRPr="009C485E">
        <w:t xml:space="preserve"> is in hospital, has not asked for his or her presence to be kept secret, and the information being disclosed about the </w:t>
      </w:r>
      <w:r w:rsidR="00011AC7">
        <w:t>c</w:t>
      </w:r>
      <w:r w:rsidR="00011AC7" w:rsidRPr="009C485E">
        <w:t>onsumer is only their presence, location and condition</w:t>
      </w:r>
      <w:r w:rsidR="00011AC7" w:rsidRPr="00690695">
        <w:rPr>
          <w:rStyle w:val="FootnoteReference"/>
        </w:rPr>
        <w:footnoteReference w:id="74"/>
      </w:r>
    </w:p>
    <w:p w14:paraId="3322E5B7" w14:textId="29AFAC5F" w:rsidR="00011AC7" w:rsidRPr="009C485E" w:rsidRDefault="00690695" w:rsidP="00690695">
      <w:pPr>
        <w:spacing w:before="90"/>
        <w:ind w:left="567" w:hanging="567"/>
      </w:pPr>
      <w:r>
        <w:lastRenderedPageBreak/>
        <w:t>e)</w:t>
      </w:r>
      <w:r>
        <w:tab/>
      </w:r>
      <w:proofErr w:type="gramStart"/>
      <w:r>
        <w:t>o</w:t>
      </w:r>
      <w:r w:rsidR="00011AC7" w:rsidRPr="009C485E">
        <w:t>nly</w:t>
      </w:r>
      <w:proofErr w:type="gramEnd"/>
      <w:r w:rsidR="00011AC7" w:rsidRPr="009C485E">
        <w:t xml:space="preserve"> anonymous information is being disclosed.</w:t>
      </w:r>
      <w:r w:rsidR="00011AC7" w:rsidRPr="00690695">
        <w:rPr>
          <w:rStyle w:val="FootnoteReference"/>
        </w:rPr>
        <w:footnoteReference w:id="75"/>
      </w:r>
    </w:p>
    <w:p w14:paraId="5CD375AB" w14:textId="77777777" w:rsidR="00011AC7" w:rsidRPr="009C485E" w:rsidRDefault="00011AC7" w:rsidP="00690695">
      <w:pPr>
        <w:pStyle w:val="Heading2-nonumbering"/>
      </w:pPr>
      <w:r w:rsidRPr="009C485E">
        <w:t>Security</w:t>
      </w:r>
    </w:p>
    <w:p w14:paraId="3756194F" w14:textId="2070BA97" w:rsidR="00011AC7" w:rsidRPr="009C485E" w:rsidRDefault="00011AC7" w:rsidP="00690695">
      <w:r w:rsidRPr="009C485E">
        <w:t xml:space="preserve">Health </w:t>
      </w:r>
      <w:r>
        <w:t>a</w:t>
      </w:r>
      <w:r w:rsidRPr="009C485E">
        <w:t xml:space="preserve">gencies must establish reasonable safeguards to monitor and protect </w:t>
      </w:r>
      <w:r>
        <w:t>h</w:t>
      </w:r>
      <w:r w:rsidRPr="009C485E">
        <w:t xml:space="preserve">ealth </w:t>
      </w:r>
      <w:r>
        <w:t>i</w:t>
      </w:r>
      <w:r w:rsidRPr="009C485E">
        <w:t>nformation</w:t>
      </w:r>
      <w:r w:rsidR="004B3BB1">
        <w:t xml:space="preserve"> – refer HISO 10029:2015 Health Information Security Framework</w:t>
      </w:r>
      <w:r w:rsidR="004B3BB1">
        <w:rPr>
          <w:rStyle w:val="FootnoteReference"/>
        </w:rPr>
        <w:footnoteReference w:id="76"/>
      </w:r>
      <w:r w:rsidRPr="009C485E">
        <w:t>.</w:t>
      </w:r>
    </w:p>
    <w:p w14:paraId="7D15ACA9" w14:textId="77777777" w:rsidR="00011AC7" w:rsidRPr="009C485E" w:rsidRDefault="00011AC7" w:rsidP="00690695">
      <w:r w:rsidRPr="009C485E">
        <w:t>The safeguards should provide for</w:t>
      </w:r>
      <w:r w:rsidR="00690695">
        <w:t>:</w:t>
      </w:r>
    </w:p>
    <w:p w14:paraId="438DBBBE" w14:textId="3739B9BC" w:rsidR="00011AC7" w:rsidRPr="009C485E" w:rsidRDefault="00690695" w:rsidP="00690695">
      <w:pPr>
        <w:spacing w:before="90"/>
        <w:ind w:left="567" w:hanging="567"/>
      </w:pPr>
      <w:r>
        <w:t>a)</w:t>
      </w:r>
      <w:r>
        <w:tab/>
      </w:r>
      <w:proofErr w:type="gramStart"/>
      <w:r>
        <w:t>c</w:t>
      </w:r>
      <w:r w:rsidR="00011AC7" w:rsidRPr="009C485E">
        <w:t>lear</w:t>
      </w:r>
      <w:proofErr w:type="gramEnd"/>
      <w:r w:rsidR="00011AC7" w:rsidRPr="009C485E">
        <w:t xml:space="preserve"> identification of the parties involved in any health</w:t>
      </w:r>
      <w:r w:rsidR="00011AC7">
        <w:t xml:space="preserve"> </w:t>
      </w:r>
      <w:r w:rsidR="00011AC7" w:rsidRPr="009C485E">
        <w:t xml:space="preserve">care transaction, including </w:t>
      </w:r>
      <w:r w:rsidR="00011AC7">
        <w:t>the c</w:t>
      </w:r>
      <w:r w:rsidR="00011AC7" w:rsidRPr="009C485E">
        <w:t>onsumer</w:t>
      </w:r>
      <w:r w:rsidR="00011AC7">
        <w:t>, the health provider person(s) and the health agency</w:t>
      </w:r>
    </w:p>
    <w:p w14:paraId="2F6834AD" w14:textId="0F0F930C" w:rsidR="00011AC7" w:rsidRPr="009C485E" w:rsidRDefault="00690695" w:rsidP="00690695">
      <w:pPr>
        <w:spacing w:before="90"/>
        <w:ind w:left="567" w:hanging="567"/>
      </w:pPr>
      <w:r>
        <w:t>b)</w:t>
      </w:r>
      <w:r>
        <w:tab/>
      </w:r>
      <w:proofErr w:type="gramStart"/>
      <w:r>
        <w:t>e</w:t>
      </w:r>
      <w:r w:rsidR="00011AC7" w:rsidRPr="009C485E">
        <w:t>vent</w:t>
      </w:r>
      <w:proofErr w:type="gramEnd"/>
      <w:r w:rsidR="00011AC7" w:rsidRPr="009C485E">
        <w:t xml:space="preserve"> auditing and security alerts</w:t>
      </w:r>
    </w:p>
    <w:p w14:paraId="4BB9A3B8" w14:textId="17DE1C77" w:rsidR="00D56B08" w:rsidRDefault="00690695" w:rsidP="00690695">
      <w:pPr>
        <w:spacing w:before="90"/>
        <w:ind w:left="567" w:hanging="567"/>
      </w:pPr>
      <w:r>
        <w:t>c)</w:t>
      </w:r>
      <w:r>
        <w:tab/>
      </w:r>
      <w:proofErr w:type="gramStart"/>
      <w:r>
        <w:t>g</w:t>
      </w:r>
      <w:r w:rsidR="00011AC7" w:rsidRPr="009C485E">
        <w:t>overnance</w:t>
      </w:r>
      <w:proofErr w:type="gramEnd"/>
      <w:r w:rsidR="00011AC7" w:rsidRPr="009C485E">
        <w:t xml:space="preserve"> processes to respond to privacy complaints and security breaches</w:t>
      </w:r>
    </w:p>
    <w:p w14:paraId="2BCA9FA3" w14:textId="7F81272F" w:rsidR="00D56B08" w:rsidRDefault="00690695" w:rsidP="00690695">
      <w:pPr>
        <w:spacing w:before="90"/>
        <w:ind w:left="567" w:hanging="567"/>
      </w:pPr>
      <w:r>
        <w:t>d)</w:t>
      </w:r>
      <w:r>
        <w:tab/>
      </w:r>
      <w:proofErr w:type="gramStart"/>
      <w:r>
        <w:t>o</w:t>
      </w:r>
      <w:r w:rsidR="00011AC7" w:rsidRPr="009C485E">
        <w:t>ngoing</w:t>
      </w:r>
      <w:proofErr w:type="gramEnd"/>
      <w:r w:rsidR="00011AC7" w:rsidRPr="009C485E">
        <w:t xml:space="preserve"> user security training</w:t>
      </w:r>
    </w:p>
    <w:p w14:paraId="175B093C" w14:textId="780F0C2A" w:rsidR="00D56B08" w:rsidRDefault="00690695" w:rsidP="00690695">
      <w:pPr>
        <w:spacing w:before="90"/>
        <w:ind w:left="567" w:hanging="567"/>
      </w:pPr>
      <w:r>
        <w:t>e)</w:t>
      </w:r>
      <w:r>
        <w:tab/>
      </w:r>
      <w:proofErr w:type="gramStart"/>
      <w:r>
        <w:t>p</w:t>
      </w:r>
      <w:r w:rsidR="00011AC7" w:rsidRPr="009C485E">
        <w:t>roper</w:t>
      </w:r>
      <w:proofErr w:type="gramEnd"/>
      <w:r w:rsidR="00011AC7" w:rsidRPr="009C485E">
        <w:t xml:space="preserve"> procedures to grant authorisation to people to access the data</w:t>
      </w:r>
    </w:p>
    <w:p w14:paraId="1A7DEE2F" w14:textId="677DD9BB" w:rsidR="00011AC7" w:rsidRPr="009C485E" w:rsidRDefault="00690695" w:rsidP="00690695">
      <w:pPr>
        <w:spacing w:before="90"/>
        <w:ind w:left="567" w:hanging="567"/>
      </w:pPr>
      <w:r>
        <w:t>f)</w:t>
      </w:r>
      <w:r>
        <w:tab/>
      </w:r>
      <w:proofErr w:type="gramStart"/>
      <w:r>
        <w:t>c</w:t>
      </w:r>
      <w:r w:rsidR="00011AC7" w:rsidRPr="009C485E">
        <w:t>ompliance</w:t>
      </w:r>
      <w:proofErr w:type="gramEnd"/>
      <w:r w:rsidR="00011AC7" w:rsidRPr="009C485E">
        <w:t xml:space="preserve"> with the Health Information Security Framework</w:t>
      </w:r>
      <w:r w:rsidR="00011AC7">
        <w:t xml:space="preserve"> </w:t>
      </w:r>
      <w:r w:rsidR="00011AC7" w:rsidRPr="009C485E">
        <w:t xml:space="preserve">and </w:t>
      </w:r>
      <w:r w:rsidR="000F3B3C">
        <w:t>r</w:t>
      </w:r>
      <w:r w:rsidR="00011AC7" w:rsidRPr="009C485E">
        <w:t>ole</w:t>
      </w:r>
      <w:r w:rsidR="000F3B3C">
        <w:t>-b</w:t>
      </w:r>
      <w:r w:rsidR="00011AC7" w:rsidRPr="009C485E">
        <w:t xml:space="preserve">ased </w:t>
      </w:r>
      <w:r w:rsidR="000F3B3C">
        <w:t>a</w:t>
      </w:r>
      <w:r w:rsidR="00011AC7" w:rsidRPr="009C485E">
        <w:t xml:space="preserve">ccess </w:t>
      </w:r>
      <w:r w:rsidR="000F3B3C">
        <w:t>c</w:t>
      </w:r>
      <w:r w:rsidR="00011AC7" w:rsidRPr="009C485E">
        <w:t>ontrol.</w:t>
      </w:r>
    </w:p>
    <w:p w14:paraId="6C273B11" w14:textId="77777777" w:rsidR="00D56B08" w:rsidRDefault="00011AC7" w:rsidP="000F3B3C">
      <w:r w:rsidRPr="009C485E">
        <w:t xml:space="preserve">Data networks that handle </w:t>
      </w:r>
      <w:r>
        <w:t>h</w:t>
      </w:r>
      <w:r w:rsidRPr="009C485E">
        <w:t xml:space="preserve">ealth </w:t>
      </w:r>
      <w:r>
        <w:t>i</w:t>
      </w:r>
      <w:r w:rsidRPr="009C485E">
        <w:t>nformation must be resilient against intrusion, negligence and accidental damage inclu</w:t>
      </w:r>
      <w:r>
        <w:t>ding data corruption and loss.</w:t>
      </w:r>
    </w:p>
    <w:p w14:paraId="3811EBA5" w14:textId="77777777" w:rsidR="00011AC7" w:rsidRPr="00B05278" w:rsidRDefault="00011AC7" w:rsidP="000F3B3C">
      <w:r w:rsidRPr="009C485E">
        <w:t xml:space="preserve">Health </w:t>
      </w:r>
      <w:r>
        <w:t>i</w:t>
      </w:r>
      <w:r w:rsidRPr="009C485E">
        <w:t>nformation is not held indefinitely and when it is dele</w:t>
      </w:r>
      <w:r>
        <w:t>ted this must be done securely.</w:t>
      </w:r>
    </w:p>
    <w:p w14:paraId="2289E525" w14:textId="08BB8CCF" w:rsidR="00011AC7" w:rsidRDefault="00011AC7" w:rsidP="000F3B3C">
      <w:pPr>
        <w:pStyle w:val="Heading1-nonumbering"/>
      </w:pPr>
      <w:bookmarkStart w:id="521" w:name="_Toc489004338"/>
      <w:bookmarkStart w:id="522" w:name="_Toc491259750"/>
      <w:r>
        <w:lastRenderedPageBreak/>
        <w:t>Appendix 5</w:t>
      </w:r>
      <w:r w:rsidR="00AA3EDF">
        <w:t>:</w:t>
      </w:r>
      <w:r>
        <w:t xml:space="preserve"> Privacy access escalation ladder</w:t>
      </w:r>
      <w:bookmarkEnd w:id="521"/>
      <w:bookmarkEnd w:id="522"/>
    </w:p>
    <w:p w14:paraId="1F288BDE" w14:textId="3C8B274E" w:rsidR="00D56B08" w:rsidRDefault="00011AC7" w:rsidP="00AA3EDF">
      <w:pPr>
        <w:pStyle w:val="Heading2-nonumbering"/>
      </w:pPr>
      <w:r w:rsidRPr="002D0829">
        <w:t xml:space="preserve">The </w:t>
      </w:r>
      <w:r w:rsidR="00AA3EDF">
        <w:t>e</w:t>
      </w:r>
      <w:r w:rsidRPr="002D0829">
        <w:t xml:space="preserve">scalation </w:t>
      </w:r>
      <w:r w:rsidR="00AA3EDF">
        <w:t>l</w:t>
      </w:r>
      <w:r w:rsidRPr="002D0829">
        <w:t>adder</w:t>
      </w:r>
    </w:p>
    <w:p w14:paraId="718A8BCD" w14:textId="77777777" w:rsidR="00011AC7" w:rsidRDefault="00011AC7" w:rsidP="00AA3EDF">
      <w:r>
        <w:t>Sharing information involves both the collection and disclosure of personal information. Deciding which laws apply and what information to share can be complicated, but there are some guiding rules.</w:t>
      </w:r>
    </w:p>
    <w:p w14:paraId="6B22349A" w14:textId="754FB379" w:rsidR="00011AC7" w:rsidRPr="002D0829" w:rsidRDefault="00011AC7" w:rsidP="00AA3EDF">
      <w:pPr>
        <w:pStyle w:val="Heading2-nonumbering"/>
      </w:pPr>
      <w:r w:rsidRPr="002D0829">
        <w:t xml:space="preserve">How to use the </w:t>
      </w:r>
      <w:r w:rsidR="00AA3EDF">
        <w:t>e</w:t>
      </w:r>
      <w:r w:rsidRPr="002D0829">
        <w:t xml:space="preserve">scalation </w:t>
      </w:r>
      <w:r w:rsidR="00AA3EDF">
        <w:t>l</w:t>
      </w:r>
      <w:r w:rsidRPr="002D0829">
        <w:t>adder</w:t>
      </w:r>
    </w:p>
    <w:p w14:paraId="1A48DEF9" w14:textId="77777777" w:rsidR="00011AC7" w:rsidRPr="004A352A" w:rsidRDefault="00011AC7" w:rsidP="00AA3EDF">
      <w:r w:rsidRPr="004A352A">
        <w:t xml:space="preserve">Work through from question 1 to question 5 and stop when you can answer </w:t>
      </w:r>
      <w:r w:rsidR="00D56B08">
        <w:t>‘</w:t>
      </w:r>
      <w:r w:rsidRPr="004A352A">
        <w:t>yes</w:t>
      </w:r>
      <w:r w:rsidR="00D56B08">
        <w:t>’</w:t>
      </w:r>
      <w:r w:rsidRPr="004A352A">
        <w:t>.</w:t>
      </w:r>
    </w:p>
    <w:p w14:paraId="789EC700" w14:textId="77777777" w:rsidR="00011AC7" w:rsidRPr="004A352A" w:rsidRDefault="00011AC7" w:rsidP="00AA3EDF">
      <w:r w:rsidRPr="004A352A">
        <w:t xml:space="preserve">If the answer to all of the five questions is </w:t>
      </w:r>
      <w:r w:rsidR="00D56B08">
        <w:t>‘</w:t>
      </w:r>
      <w:r w:rsidRPr="004A352A">
        <w:t>no</w:t>
      </w:r>
      <w:r w:rsidR="00D56B08">
        <w:t>’</w:t>
      </w:r>
      <w:r w:rsidRPr="004A352A">
        <w:t>, then disclosure should be unnecessary and should be avoided, at least for now.</w:t>
      </w:r>
    </w:p>
    <w:p w14:paraId="7E455550" w14:textId="77777777" w:rsidR="00011AC7" w:rsidRPr="004A352A" w:rsidRDefault="00011AC7" w:rsidP="00AA3EDF">
      <w:r w:rsidRPr="004A352A">
        <w:t>Remember that the proportionality principle always applies – you should only provide as much information as is reasonably necessary to achieve your objectives.</w:t>
      </w:r>
    </w:p>
    <w:p w14:paraId="44E6EA41" w14:textId="77777777" w:rsidR="00011AC7" w:rsidRPr="004A352A" w:rsidRDefault="00011AC7" w:rsidP="00AA3EDF">
      <w:pPr>
        <w:pStyle w:val="Heading3-nonumbering"/>
      </w:pPr>
      <w:r w:rsidRPr="004A352A">
        <w:t>Question 1</w:t>
      </w:r>
      <w:r w:rsidR="00AA3EDF">
        <w:t>:</w:t>
      </w:r>
      <w:r w:rsidRPr="004A352A">
        <w:t xml:space="preserve"> Can we get by without naming names?</w:t>
      </w:r>
    </w:p>
    <w:p w14:paraId="69B593C1" w14:textId="77777777" w:rsidR="00011AC7" w:rsidRPr="007B34F2" w:rsidRDefault="00011AC7" w:rsidP="00AA3EDF">
      <w:pPr>
        <w:pStyle w:val="Bullet"/>
        <w:rPr>
          <w:lang w:eastAsia="en-NZ"/>
        </w:rPr>
      </w:pPr>
      <w:r w:rsidRPr="007B34F2">
        <w:rPr>
          <w:lang w:eastAsia="en-NZ"/>
        </w:rPr>
        <w:t>Use anonymous information where practical.</w:t>
      </w:r>
    </w:p>
    <w:p w14:paraId="75F252A3" w14:textId="0DA52A49" w:rsidR="00011AC7" w:rsidRPr="007B34F2" w:rsidRDefault="00011AC7" w:rsidP="00AA3EDF">
      <w:pPr>
        <w:pStyle w:val="Bullet"/>
        <w:rPr>
          <w:lang w:eastAsia="en-NZ"/>
        </w:rPr>
      </w:pPr>
      <w:r w:rsidRPr="007B34F2">
        <w:rPr>
          <w:lang w:eastAsia="en-NZ"/>
        </w:rPr>
        <w:t xml:space="preserve">Disclosing anonymous information is always </w:t>
      </w:r>
      <w:r w:rsidR="00AA3EDF">
        <w:rPr>
          <w:lang w:eastAsia="en-NZ"/>
        </w:rPr>
        <w:t>okay</w:t>
      </w:r>
      <w:r w:rsidRPr="007B34F2">
        <w:rPr>
          <w:lang w:eastAsia="en-NZ"/>
        </w:rPr>
        <w:t>. (For example, if you have professional supervision, you might be able to discuss a case without referring to any names.)</w:t>
      </w:r>
    </w:p>
    <w:p w14:paraId="6C593D42" w14:textId="77777777" w:rsidR="00011AC7" w:rsidRPr="004A352A" w:rsidRDefault="00011AC7" w:rsidP="00AA3EDF">
      <w:pPr>
        <w:pStyle w:val="Heading3-nonumbering"/>
      </w:pPr>
      <w:r w:rsidRPr="004A352A">
        <w:t>Question 2</w:t>
      </w:r>
      <w:r w:rsidR="00AA3EDF">
        <w:t>:</w:t>
      </w:r>
      <w:r w:rsidRPr="004A352A">
        <w:t xml:space="preserve"> Have they agreed?</w:t>
      </w:r>
    </w:p>
    <w:p w14:paraId="36900B88" w14:textId="77777777" w:rsidR="00011AC7" w:rsidRPr="007B34F2" w:rsidRDefault="00011AC7" w:rsidP="00AA3EDF">
      <w:pPr>
        <w:pStyle w:val="Bullet"/>
        <w:rPr>
          <w:lang w:eastAsia="en-NZ"/>
        </w:rPr>
      </w:pPr>
      <w:r w:rsidRPr="007B34F2">
        <w:rPr>
          <w:lang w:eastAsia="en-NZ"/>
        </w:rPr>
        <w:t>If information is not able to be used anonymously, the best thing is consent from the parties concerned.</w:t>
      </w:r>
    </w:p>
    <w:p w14:paraId="4F17324D" w14:textId="77777777" w:rsidR="00011AC7" w:rsidRPr="007B34F2" w:rsidRDefault="00011AC7" w:rsidP="00AA3EDF">
      <w:pPr>
        <w:pStyle w:val="Bullet"/>
        <w:rPr>
          <w:lang w:eastAsia="en-NZ"/>
        </w:rPr>
      </w:pPr>
      <w:r w:rsidRPr="007B34F2">
        <w:rPr>
          <w:lang w:eastAsia="en-NZ"/>
        </w:rPr>
        <w:t>Consent does not need to be written.</w:t>
      </w:r>
    </w:p>
    <w:p w14:paraId="47F1A244" w14:textId="399B2C1E" w:rsidR="00011AC7" w:rsidRPr="007B34F2" w:rsidRDefault="00011AC7" w:rsidP="00AA3EDF">
      <w:pPr>
        <w:pStyle w:val="Bullet"/>
        <w:rPr>
          <w:lang w:eastAsia="en-NZ"/>
        </w:rPr>
      </w:pPr>
      <w:r w:rsidRPr="007B34F2">
        <w:rPr>
          <w:lang w:eastAsia="en-NZ"/>
        </w:rPr>
        <w:t>Always record the fact that parties have agreed. Record any limitation or qualification of consent</w:t>
      </w:r>
      <w:r w:rsidR="00AA3EDF">
        <w:rPr>
          <w:lang w:eastAsia="en-NZ"/>
        </w:rPr>
        <w:t>,</w:t>
      </w:r>
      <w:r w:rsidRPr="007B34F2">
        <w:rPr>
          <w:lang w:eastAsia="en-NZ"/>
        </w:rPr>
        <w:t xml:space="preserve"> eg</w:t>
      </w:r>
      <w:r w:rsidR="00AA3EDF">
        <w:rPr>
          <w:lang w:eastAsia="en-NZ"/>
        </w:rPr>
        <w:t>,</w:t>
      </w:r>
      <w:r w:rsidRPr="007B34F2">
        <w:rPr>
          <w:lang w:eastAsia="en-NZ"/>
        </w:rPr>
        <w:t xml:space="preserve"> </w:t>
      </w:r>
      <w:r w:rsidR="00AA3EDF">
        <w:rPr>
          <w:lang w:eastAsia="en-NZ"/>
        </w:rPr>
        <w:t>“</w:t>
      </w:r>
      <w:r w:rsidRPr="007B34F2">
        <w:rPr>
          <w:lang w:eastAsia="en-NZ"/>
        </w:rPr>
        <w:t>please don</w:t>
      </w:r>
      <w:r w:rsidR="00D56B08">
        <w:rPr>
          <w:lang w:eastAsia="en-NZ"/>
        </w:rPr>
        <w:t>’</w:t>
      </w:r>
      <w:r w:rsidRPr="007B34F2">
        <w:rPr>
          <w:lang w:eastAsia="en-NZ"/>
        </w:rPr>
        <w:t>t involve the church</w:t>
      </w:r>
      <w:r w:rsidR="00D56B08">
        <w:rPr>
          <w:lang w:eastAsia="en-NZ"/>
        </w:rPr>
        <w:t>”</w:t>
      </w:r>
      <w:r w:rsidRPr="007B34F2">
        <w:rPr>
          <w:lang w:eastAsia="en-NZ"/>
        </w:rPr>
        <w:t>.</w:t>
      </w:r>
    </w:p>
    <w:p w14:paraId="1BEAF2EE" w14:textId="77777777" w:rsidR="00011AC7" w:rsidRPr="004A352A" w:rsidRDefault="00011AC7" w:rsidP="00AA3EDF">
      <w:pPr>
        <w:pStyle w:val="Heading3-nonumbering"/>
      </w:pPr>
      <w:r w:rsidRPr="004A352A">
        <w:t>Question 3</w:t>
      </w:r>
      <w:r w:rsidR="00AA3EDF">
        <w:t>:</w:t>
      </w:r>
      <w:r w:rsidRPr="004A352A">
        <w:t xml:space="preserve"> Have we told them?</w:t>
      </w:r>
    </w:p>
    <w:p w14:paraId="1F766157" w14:textId="77777777" w:rsidR="00011AC7" w:rsidRPr="007B34F2" w:rsidRDefault="00011AC7" w:rsidP="00AA3EDF">
      <w:pPr>
        <w:pStyle w:val="Bullet"/>
        <w:rPr>
          <w:lang w:eastAsia="en-NZ"/>
        </w:rPr>
      </w:pPr>
      <w:r w:rsidRPr="007B34F2">
        <w:rPr>
          <w:lang w:eastAsia="en-NZ"/>
        </w:rPr>
        <w:t>If it is not practicable or desirable to obtain consent, the information may be used or disclosed if it is in line with the purpose for which it was obtained.</w:t>
      </w:r>
    </w:p>
    <w:p w14:paraId="1B810805" w14:textId="77777777" w:rsidR="00011AC7" w:rsidRPr="007B34F2" w:rsidRDefault="00011AC7" w:rsidP="00AA3EDF">
      <w:pPr>
        <w:pStyle w:val="Bullet"/>
        <w:rPr>
          <w:lang w:eastAsia="en-NZ"/>
        </w:rPr>
      </w:pPr>
      <w:r w:rsidRPr="007B34F2">
        <w:rPr>
          <w:lang w:eastAsia="en-NZ"/>
        </w:rPr>
        <w:t>Inform the person affected of this where possible – ideally at the time the information was first collected from them, or soon after that.</w:t>
      </w:r>
    </w:p>
    <w:p w14:paraId="401D713F" w14:textId="77777777" w:rsidR="00011AC7" w:rsidRPr="007B34F2" w:rsidRDefault="00011AC7" w:rsidP="00AA3EDF">
      <w:pPr>
        <w:pStyle w:val="Bullet"/>
        <w:rPr>
          <w:lang w:eastAsia="en-NZ"/>
        </w:rPr>
      </w:pPr>
      <w:r w:rsidRPr="007B34F2">
        <w:rPr>
          <w:lang w:eastAsia="en-NZ"/>
        </w:rPr>
        <w:t>If informing the person would prejudice the purpose of collection, or would be dangerous to any person, then telling the person concerned may be waived in that instance.</w:t>
      </w:r>
    </w:p>
    <w:p w14:paraId="448E5807" w14:textId="77777777" w:rsidR="00D56B08" w:rsidRDefault="00011AC7" w:rsidP="00AA3EDF">
      <w:pPr>
        <w:pStyle w:val="Heading3-nonumbering"/>
      </w:pPr>
      <w:r w:rsidRPr="004A352A">
        <w:t>Question 4</w:t>
      </w:r>
      <w:r w:rsidR="00AA3EDF">
        <w:t>:</w:t>
      </w:r>
      <w:r w:rsidRPr="004A352A">
        <w:t xml:space="preserve"> Is there a serious threat</w:t>
      </w:r>
    </w:p>
    <w:p w14:paraId="23D3CBBA" w14:textId="10F83E30" w:rsidR="00011AC7" w:rsidRPr="004A352A" w:rsidRDefault="00011AC7" w:rsidP="00AA3EDF">
      <w:pPr>
        <w:keepNext/>
      </w:pPr>
      <w:r w:rsidRPr="004A352A">
        <w:t>Information may be used or disclosed where there is a serious threat.</w:t>
      </w:r>
    </w:p>
    <w:p w14:paraId="0F3B677B" w14:textId="77777777" w:rsidR="00011AC7" w:rsidRPr="004A352A" w:rsidRDefault="00011AC7" w:rsidP="00AA3EDF">
      <w:pPr>
        <w:keepNext/>
      </w:pPr>
      <w:r>
        <w:t>What is considered s</w:t>
      </w:r>
      <w:r w:rsidRPr="004A352A">
        <w:t>erious depends on:</w:t>
      </w:r>
    </w:p>
    <w:p w14:paraId="74FD830B" w14:textId="1E766F43" w:rsidR="00011AC7" w:rsidRPr="004A352A" w:rsidRDefault="00011AC7" w:rsidP="00AA3EDF">
      <w:pPr>
        <w:pStyle w:val="Bullet"/>
      </w:pPr>
      <w:r w:rsidRPr="004A352A">
        <w:t>how soon the threatened event might take place</w:t>
      </w:r>
    </w:p>
    <w:p w14:paraId="3C992107" w14:textId="40971D2E" w:rsidR="00011AC7" w:rsidRPr="004A352A" w:rsidRDefault="00011AC7" w:rsidP="00AA3EDF">
      <w:pPr>
        <w:pStyle w:val="Bullet"/>
      </w:pPr>
      <w:r w:rsidRPr="004A352A">
        <w:lastRenderedPageBreak/>
        <w:t>how likely it is to occur</w:t>
      </w:r>
    </w:p>
    <w:p w14:paraId="5994CFE6" w14:textId="77777777" w:rsidR="00011AC7" w:rsidRPr="004A352A" w:rsidRDefault="00011AC7" w:rsidP="00AA3EDF">
      <w:pPr>
        <w:pStyle w:val="Bullet"/>
      </w:pPr>
      <w:proofErr w:type="gramStart"/>
      <w:r w:rsidRPr="004A352A">
        <w:t>how</w:t>
      </w:r>
      <w:proofErr w:type="gramEnd"/>
      <w:r w:rsidRPr="004A352A">
        <w:t xml:space="preserve"> bad the consequences of the threat eventuating would be.</w:t>
      </w:r>
    </w:p>
    <w:p w14:paraId="3CF899E6" w14:textId="77777777" w:rsidR="00011AC7" w:rsidRPr="004A352A" w:rsidRDefault="00011AC7" w:rsidP="00AA3EDF">
      <w:pPr>
        <w:pStyle w:val="Heading3-nonumbering"/>
      </w:pPr>
      <w:r w:rsidRPr="004A352A">
        <w:t>Question 5</w:t>
      </w:r>
      <w:r w:rsidR="00AA3EDF">
        <w:t>:</w:t>
      </w:r>
      <w:r w:rsidRPr="004A352A">
        <w:t xml:space="preserve"> Is there another legal provision we can use?</w:t>
      </w:r>
    </w:p>
    <w:p w14:paraId="2834E340" w14:textId="56F01A06" w:rsidR="00011AC7" w:rsidRPr="004A352A" w:rsidRDefault="00011AC7" w:rsidP="00AA3EDF">
      <w:r w:rsidRPr="004A352A">
        <w:t>Many different laws allow personal information to be shared. For instance</w:t>
      </w:r>
      <w:r w:rsidR="00567054">
        <w:t>, health information</w:t>
      </w:r>
      <w:r w:rsidRPr="004A352A">
        <w:t>:</w:t>
      </w:r>
    </w:p>
    <w:p w14:paraId="0FFEC7CC" w14:textId="308DD564" w:rsidR="00011AC7" w:rsidRPr="007B34F2" w:rsidRDefault="00011AC7" w:rsidP="00AA3EDF">
      <w:pPr>
        <w:pStyle w:val="Bullet"/>
        <w:rPr>
          <w:lang w:eastAsia="en-NZ"/>
        </w:rPr>
      </w:pPr>
      <w:r w:rsidRPr="007B34F2">
        <w:rPr>
          <w:lang w:eastAsia="en-NZ"/>
        </w:rPr>
        <w:t>about the health/safety of a child or young person can always be disclosed to a police officer or social worker</w:t>
      </w:r>
    </w:p>
    <w:p w14:paraId="3C43A3C4" w14:textId="4C4039A4" w:rsidR="00011AC7" w:rsidRPr="007B34F2" w:rsidRDefault="00011AC7" w:rsidP="00AA3EDF">
      <w:pPr>
        <w:pStyle w:val="Bullet"/>
        <w:rPr>
          <w:lang w:eastAsia="en-NZ"/>
        </w:rPr>
      </w:pPr>
      <w:r w:rsidRPr="007B34F2">
        <w:rPr>
          <w:lang w:eastAsia="en-NZ"/>
        </w:rPr>
        <w:t>can be requested by someone who needs it to provide health services</w:t>
      </w:r>
    </w:p>
    <w:p w14:paraId="09EE7B0F" w14:textId="7A585A21" w:rsidR="00011AC7" w:rsidRDefault="00011AC7" w:rsidP="00AA3EDF">
      <w:pPr>
        <w:pStyle w:val="Bullet"/>
        <w:rPr>
          <w:lang w:eastAsia="en-NZ"/>
        </w:rPr>
      </w:pPr>
      <w:r w:rsidRPr="007B34F2">
        <w:rPr>
          <w:lang w:eastAsia="en-NZ"/>
        </w:rPr>
        <w:t>can be disclosed where necessary to avoid prejudice to the maintenance of the law</w:t>
      </w:r>
    </w:p>
    <w:p w14:paraId="1CF3B4A9" w14:textId="2A86AB63" w:rsidR="00011AC7" w:rsidRPr="007B34F2" w:rsidRDefault="00011AC7" w:rsidP="00AA3EDF">
      <w:pPr>
        <w:pStyle w:val="Bullet"/>
        <w:rPr>
          <w:lang w:eastAsia="en-NZ"/>
        </w:rPr>
      </w:pPr>
      <w:proofErr w:type="gramStart"/>
      <w:r>
        <w:rPr>
          <w:lang w:eastAsia="en-NZ"/>
        </w:rPr>
        <w:t>can</w:t>
      </w:r>
      <w:proofErr w:type="gramEnd"/>
      <w:r>
        <w:rPr>
          <w:lang w:eastAsia="en-NZ"/>
        </w:rPr>
        <w:t xml:space="preserve"> be shared under an AISA.</w:t>
      </w:r>
    </w:p>
    <w:p w14:paraId="4C667270" w14:textId="77777777" w:rsidR="00011AC7" w:rsidRPr="00B05278" w:rsidRDefault="00011AC7" w:rsidP="00AA3EDF">
      <w:r w:rsidRPr="004A352A">
        <w:t xml:space="preserve">If the answer to all of the five questions is </w:t>
      </w:r>
      <w:r w:rsidR="00D56B08">
        <w:t>‘</w:t>
      </w:r>
      <w:r w:rsidRPr="004A352A">
        <w:t>no</w:t>
      </w:r>
      <w:r w:rsidR="00D56B08">
        <w:t>’</w:t>
      </w:r>
      <w:r w:rsidRPr="004A352A">
        <w:t>, then disclosure should be unnecessary, and should be avoided, at least for now.</w:t>
      </w:r>
    </w:p>
    <w:p w14:paraId="114111A0" w14:textId="66B68923" w:rsidR="00011AC7" w:rsidRDefault="00011AC7" w:rsidP="00AA3EDF">
      <w:pPr>
        <w:pStyle w:val="Heading1-nonumbering"/>
      </w:pPr>
      <w:bookmarkStart w:id="523" w:name="_Toc489004339"/>
      <w:bookmarkStart w:id="524" w:name="_Toc491259751"/>
      <w:r>
        <w:lastRenderedPageBreak/>
        <w:t>Appendix 6</w:t>
      </w:r>
      <w:r w:rsidR="00AA3EDF">
        <w:t>:</w:t>
      </w:r>
      <w:r>
        <w:t xml:space="preserve"> Privacy fact sheet</w:t>
      </w:r>
      <w:bookmarkEnd w:id="523"/>
      <w:bookmarkEnd w:id="524"/>
    </w:p>
    <w:p w14:paraId="2E942E70" w14:textId="77777777" w:rsidR="00011AC7" w:rsidRPr="004A76B3" w:rsidRDefault="00011AC7" w:rsidP="00AA3EDF">
      <w:pPr>
        <w:pStyle w:val="Heading2-nonumbering"/>
      </w:pPr>
      <w:r>
        <w:t>Use and confidentiality of your health information (fact sheet)</w:t>
      </w:r>
    </w:p>
    <w:p w14:paraId="05C64007" w14:textId="77777777" w:rsidR="00011AC7" w:rsidRPr="002E1472" w:rsidRDefault="00011AC7" w:rsidP="00AA3EDF">
      <w:r>
        <w:t>Y</w:t>
      </w:r>
      <w:r w:rsidRPr="002E1472">
        <w:t xml:space="preserve">our privacy and confidentiality </w:t>
      </w:r>
      <w:r>
        <w:t>will be fully respected</w:t>
      </w:r>
      <w:r w:rsidRPr="002E1472">
        <w:t>. This fact sheet sets out why we collect your information and how that information will be used.</w:t>
      </w:r>
    </w:p>
    <w:p w14:paraId="21930F02" w14:textId="77777777" w:rsidR="00D56B08" w:rsidRDefault="00011AC7" w:rsidP="00AA3EDF">
      <w:pPr>
        <w:pStyle w:val="Heading2-nonumbering"/>
      </w:pPr>
      <w:r>
        <w:t>Purpose</w:t>
      </w:r>
    </w:p>
    <w:p w14:paraId="21B377A0" w14:textId="77777777" w:rsidR="00011AC7" w:rsidRPr="002E1472" w:rsidRDefault="00011AC7" w:rsidP="00AA3EDF">
      <w:r w:rsidRPr="002E1472">
        <w:t xml:space="preserve">We collect your health information </w:t>
      </w:r>
      <w:r>
        <w:t>to provide a record of care. This helps you receive</w:t>
      </w:r>
      <w:r w:rsidRPr="002E1472">
        <w:t xml:space="preserve"> quality treatment and care when you need it.</w:t>
      </w:r>
    </w:p>
    <w:p w14:paraId="7D00FBEE" w14:textId="77777777" w:rsidR="00011AC7" w:rsidRDefault="00011AC7" w:rsidP="00AA3EDF">
      <w:r>
        <w:t>We also collect your health information to help:</w:t>
      </w:r>
    </w:p>
    <w:p w14:paraId="29CDCC41" w14:textId="77777777" w:rsidR="00011AC7" w:rsidRDefault="00011AC7" w:rsidP="00AA3EDF">
      <w:pPr>
        <w:pStyle w:val="Bullet"/>
      </w:pPr>
      <w:r>
        <w:t>help you manage your own health</w:t>
      </w:r>
    </w:p>
    <w:p w14:paraId="57219794" w14:textId="77777777" w:rsidR="00011AC7" w:rsidRDefault="00011AC7" w:rsidP="00AA3EDF">
      <w:pPr>
        <w:pStyle w:val="Bullet"/>
      </w:pPr>
      <w:r>
        <w:t>keep you and others safe</w:t>
      </w:r>
    </w:p>
    <w:p w14:paraId="3EC0EAEC" w14:textId="77777777" w:rsidR="00D56B08" w:rsidRDefault="00011AC7" w:rsidP="00AA3EDF">
      <w:pPr>
        <w:pStyle w:val="Bullet"/>
      </w:pPr>
      <w:r>
        <w:t>plan and fund health services</w:t>
      </w:r>
    </w:p>
    <w:p w14:paraId="0A0137A1" w14:textId="77777777" w:rsidR="00011AC7" w:rsidRDefault="00011AC7" w:rsidP="00AA3EDF">
      <w:pPr>
        <w:pStyle w:val="Bullet"/>
      </w:pPr>
      <w:r>
        <w:t>carry out authorised research</w:t>
      </w:r>
    </w:p>
    <w:p w14:paraId="6BBFD16F" w14:textId="0DA6A24C" w:rsidR="00011AC7" w:rsidRDefault="00011AC7" w:rsidP="00AA3EDF">
      <w:pPr>
        <w:pStyle w:val="Bullet"/>
      </w:pPr>
      <w:r>
        <w:t>train health</w:t>
      </w:r>
      <w:r w:rsidR="0048174A">
        <w:t xml:space="preserve"> </w:t>
      </w:r>
      <w:r>
        <w:t>care professionals</w:t>
      </w:r>
    </w:p>
    <w:p w14:paraId="38D28723" w14:textId="77777777" w:rsidR="00011AC7" w:rsidRDefault="00011AC7" w:rsidP="00AA3EDF">
      <w:pPr>
        <w:pStyle w:val="Bullet"/>
      </w:pPr>
      <w:r w:rsidRPr="00A46C79">
        <w:t>prepare and publish statistics</w:t>
      </w:r>
    </w:p>
    <w:p w14:paraId="7F970E45" w14:textId="77777777" w:rsidR="00D56B08" w:rsidRDefault="00011AC7" w:rsidP="00AA3EDF">
      <w:pPr>
        <w:pStyle w:val="Bullet"/>
      </w:pPr>
      <w:proofErr w:type="gramStart"/>
      <w:r w:rsidRPr="00A46C79">
        <w:t>improve</w:t>
      </w:r>
      <w:proofErr w:type="gramEnd"/>
      <w:r w:rsidRPr="00A46C79">
        <w:t xml:space="preserve"> government services.</w:t>
      </w:r>
    </w:p>
    <w:p w14:paraId="610B74FC" w14:textId="77777777" w:rsidR="00011AC7" w:rsidRDefault="00011AC7" w:rsidP="00AA3EDF">
      <w:pPr>
        <w:pStyle w:val="Heading2-nonumbering"/>
      </w:pPr>
      <w:r>
        <w:t>Confidentiality and information sharing</w:t>
      </w:r>
    </w:p>
    <w:p w14:paraId="0F93D492" w14:textId="77777777" w:rsidR="00011AC7" w:rsidRPr="002E1472" w:rsidRDefault="00011AC7" w:rsidP="00AA3EDF">
      <w:r w:rsidRPr="002E1472">
        <w:t xml:space="preserve">Your privacy and the confidentiality of your information is </w:t>
      </w:r>
      <w:r>
        <w:t>really important to us</w:t>
      </w:r>
      <w:r w:rsidRPr="002E1472">
        <w:t>.</w:t>
      </w:r>
    </w:p>
    <w:p w14:paraId="354EA388" w14:textId="77777777" w:rsidR="00011AC7" w:rsidRPr="009040C5" w:rsidRDefault="00011AC7" w:rsidP="00AA3EDF">
      <w:pPr>
        <w:pStyle w:val="Bullet"/>
      </w:pPr>
      <w:r>
        <w:t>Y</w:t>
      </w:r>
      <w:r w:rsidRPr="009040C5">
        <w:t>our health practitioner</w:t>
      </w:r>
      <w:r>
        <w:t xml:space="preserve"> will record relevant information from your consultation in your notes</w:t>
      </w:r>
      <w:r w:rsidRPr="009040C5">
        <w:t>.</w:t>
      </w:r>
    </w:p>
    <w:p w14:paraId="24E45E9E" w14:textId="4CACE2D9" w:rsidR="00011AC7" w:rsidRPr="009040C5" w:rsidRDefault="00011AC7" w:rsidP="00AA3EDF">
      <w:pPr>
        <w:pStyle w:val="Bullet"/>
      </w:pPr>
      <w:r w:rsidRPr="009040C5">
        <w:t>Your health information will be shared with others involved in your health</w:t>
      </w:r>
      <w:r w:rsidR="0048174A">
        <w:t xml:space="preserve"> </w:t>
      </w:r>
      <w:r w:rsidRPr="009040C5">
        <w:t>care and with</w:t>
      </w:r>
      <w:r>
        <w:t xml:space="preserve"> </w:t>
      </w:r>
      <w:r w:rsidRPr="009040C5">
        <w:t>other agencies with your consent, or if authorised by law.</w:t>
      </w:r>
    </w:p>
    <w:p w14:paraId="680E8E71" w14:textId="77777777" w:rsidR="00011AC7" w:rsidRPr="009E14B9" w:rsidRDefault="00011AC7" w:rsidP="00AA3EDF">
      <w:pPr>
        <w:pStyle w:val="Bullet"/>
      </w:pPr>
      <w:r w:rsidRPr="009E14B9">
        <w:t xml:space="preserve">You </w:t>
      </w:r>
      <w:r>
        <w:t>don</w:t>
      </w:r>
      <w:r w:rsidR="00D56B08">
        <w:t>’</w:t>
      </w:r>
      <w:r>
        <w:t>t have</w:t>
      </w:r>
      <w:r w:rsidRPr="009E14B9">
        <w:t xml:space="preserve"> to share your health information</w:t>
      </w:r>
      <w:r>
        <w:t>,</w:t>
      </w:r>
      <w:r w:rsidRPr="009E14B9">
        <w:t xml:space="preserve"> </w:t>
      </w:r>
      <w:r>
        <w:t>however</w:t>
      </w:r>
      <w:r w:rsidRPr="007532BA">
        <w:t xml:space="preserve">, </w:t>
      </w:r>
      <w:r>
        <w:t>withholding</w:t>
      </w:r>
      <w:r w:rsidRPr="009E14B9">
        <w:t xml:space="preserve"> </w:t>
      </w:r>
      <w:r>
        <w:t>it</w:t>
      </w:r>
      <w:r w:rsidRPr="009E14B9">
        <w:t xml:space="preserve"> may affect the quality of care you receive.</w:t>
      </w:r>
      <w:r>
        <w:t xml:space="preserve"> Talk to your health practitioner if you have any concerns.</w:t>
      </w:r>
    </w:p>
    <w:p w14:paraId="117B63FD" w14:textId="77777777" w:rsidR="00011AC7" w:rsidRPr="009040C5" w:rsidRDefault="00011AC7" w:rsidP="00AA3EDF">
      <w:pPr>
        <w:pStyle w:val="Bullet"/>
      </w:pPr>
      <w:r w:rsidRPr="009040C5">
        <w:t>You have the right to know where your information is kept, who has access rights, and</w:t>
      </w:r>
      <w:r>
        <w:t>, if the system has audit log capability,</w:t>
      </w:r>
      <w:r w:rsidRPr="009040C5">
        <w:t xml:space="preserve"> who has viewed or </w:t>
      </w:r>
      <w:r>
        <w:t>updated</w:t>
      </w:r>
      <w:r w:rsidRPr="009040C5">
        <w:t xml:space="preserve"> your information.</w:t>
      </w:r>
    </w:p>
    <w:p w14:paraId="45B799B5" w14:textId="77777777" w:rsidR="00D56B08" w:rsidRDefault="00011AC7" w:rsidP="00AA3EDF">
      <w:pPr>
        <w:pStyle w:val="Bullet"/>
      </w:pPr>
      <w:r w:rsidRPr="009040C5">
        <w:t>Your information will be kept securely to prevent unauthorised access.</w:t>
      </w:r>
    </w:p>
    <w:p w14:paraId="2F908275" w14:textId="77777777" w:rsidR="00011AC7" w:rsidRDefault="00011AC7" w:rsidP="00AA3EDF">
      <w:pPr>
        <w:pStyle w:val="Heading2-nonumbering"/>
      </w:pPr>
      <w:r>
        <w:t>Information q</w:t>
      </w:r>
      <w:r w:rsidRPr="00FF0006">
        <w:t>uality</w:t>
      </w:r>
    </w:p>
    <w:p w14:paraId="55E983D7" w14:textId="31F59B35" w:rsidR="00011AC7" w:rsidRPr="00FF0006" w:rsidRDefault="00011AC7" w:rsidP="00AA3EDF">
      <w:r>
        <w:t>We</w:t>
      </w:r>
      <w:r w:rsidR="00D56B08">
        <w:t>’</w:t>
      </w:r>
      <w:r>
        <w:t>re required to keep your information accurate, up</w:t>
      </w:r>
      <w:r w:rsidR="00AA3EDF">
        <w:t xml:space="preserve"> </w:t>
      </w:r>
      <w:r>
        <w:t>to</w:t>
      </w:r>
      <w:r w:rsidR="00AA3EDF">
        <w:t xml:space="preserve"> </w:t>
      </w:r>
      <w:r>
        <w:t>date and relevant for your treatment and care.</w:t>
      </w:r>
    </w:p>
    <w:p w14:paraId="7A73B7ED" w14:textId="36501D9E" w:rsidR="00011AC7" w:rsidRDefault="00011AC7" w:rsidP="004B3BB1">
      <w:pPr>
        <w:pStyle w:val="Heading2-nonumbering"/>
        <w:pageBreakBefore/>
      </w:pPr>
      <w:r>
        <w:lastRenderedPageBreak/>
        <w:t>Right to access and correct</w:t>
      </w:r>
    </w:p>
    <w:p w14:paraId="446403B9" w14:textId="77777777" w:rsidR="00011AC7" w:rsidRPr="000C735A" w:rsidRDefault="00011AC7" w:rsidP="00AA3EDF">
      <w:pPr>
        <w:keepNext/>
      </w:pPr>
      <w:r w:rsidRPr="000C735A">
        <w:t>You have the right to access and correct your health information</w:t>
      </w:r>
      <w:r>
        <w:t>.</w:t>
      </w:r>
    </w:p>
    <w:p w14:paraId="4BEF972A" w14:textId="77777777" w:rsidR="00011AC7" w:rsidRPr="004A76B3" w:rsidRDefault="00011AC7" w:rsidP="00AA3EDF">
      <w:pPr>
        <w:pStyle w:val="Bullet"/>
      </w:pPr>
      <w:r w:rsidRPr="004A76B3">
        <w:t>You have the right to see and</w:t>
      </w:r>
      <w:r>
        <w:t xml:space="preserve"> </w:t>
      </w:r>
      <w:r w:rsidRPr="004A76B3">
        <w:t xml:space="preserve">request a copy of </w:t>
      </w:r>
      <w:r>
        <w:t xml:space="preserve">your health </w:t>
      </w:r>
      <w:r w:rsidRPr="004A76B3">
        <w:t>information.</w:t>
      </w:r>
      <w:r>
        <w:t xml:space="preserve"> </w:t>
      </w:r>
      <w:r w:rsidRPr="004A76B3">
        <w:t>You don</w:t>
      </w:r>
      <w:r w:rsidR="00D56B08">
        <w:t>’</w:t>
      </w:r>
      <w:r w:rsidRPr="004A76B3">
        <w:t xml:space="preserve">t have to </w:t>
      </w:r>
      <w:r>
        <w:t>explain why you</w:t>
      </w:r>
      <w:r w:rsidR="00D56B08">
        <w:t>’</w:t>
      </w:r>
      <w:r>
        <w:t xml:space="preserve">re </w:t>
      </w:r>
      <w:r w:rsidRPr="004A76B3">
        <w:t>requesting that information</w:t>
      </w:r>
      <w:r>
        <w:t xml:space="preserve">, but </w:t>
      </w:r>
      <w:r w:rsidRPr="004A76B3">
        <w:t>may be required to provide proof of your identity. If you request a second copy of that information within 12 months, you may have to pay an administration fee.</w:t>
      </w:r>
    </w:p>
    <w:p w14:paraId="4187009F" w14:textId="31D1C9BE" w:rsidR="00011AC7" w:rsidRDefault="00011AC7" w:rsidP="00AA3EDF">
      <w:pPr>
        <w:pStyle w:val="Bullet"/>
      </w:pPr>
      <w:r w:rsidRPr="004A76B3">
        <w:t xml:space="preserve">You </w:t>
      </w:r>
      <w:r>
        <w:t>can</w:t>
      </w:r>
      <w:r w:rsidRPr="004A76B3">
        <w:t xml:space="preserve"> ask for health information about you to be corrected</w:t>
      </w:r>
      <w:r>
        <w:t>.</w:t>
      </w:r>
      <w:r w:rsidRPr="004A76B3">
        <w:t xml:space="preserve"> </w:t>
      </w:r>
      <w:r>
        <w:t>Practice s</w:t>
      </w:r>
      <w:r w:rsidRPr="004A76B3">
        <w:t xml:space="preserve">taff </w:t>
      </w:r>
      <w:r>
        <w:t>should</w:t>
      </w:r>
      <w:r w:rsidRPr="004A76B3">
        <w:t xml:space="preserve"> provide you with reasonable assistance. </w:t>
      </w:r>
      <w:r>
        <w:t xml:space="preserve">If your </w:t>
      </w:r>
      <w:r w:rsidRPr="004A76B3">
        <w:t>health</w:t>
      </w:r>
      <w:r w:rsidR="0048174A">
        <w:t xml:space="preserve"> </w:t>
      </w:r>
      <w:r w:rsidRPr="004A76B3">
        <w:t>provider chooses not to change that information</w:t>
      </w:r>
      <w:r>
        <w:t>,</w:t>
      </w:r>
      <w:r w:rsidRPr="004A76B3">
        <w:t xml:space="preserve"> you </w:t>
      </w:r>
      <w:r>
        <w:t>can have this noted on</w:t>
      </w:r>
      <w:r w:rsidRPr="004A76B3">
        <w:t xml:space="preserve"> your </w:t>
      </w:r>
      <w:r>
        <w:t>file</w:t>
      </w:r>
      <w:r w:rsidRPr="004A76B3">
        <w:t>.</w:t>
      </w:r>
    </w:p>
    <w:p w14:paraId="732FAFD9" w14:textId="77777777" w:rsidR="00011AC7" w:rsidRDefault="00011AC7" w:rsidP="00AA3EDF">
      <w:r>
        <w:t>Many practices now offer a patient portal, which allows you to view some of your practice health records online. Ask your practice if they</w:t>
      </w:r>
      <w:r w:rsidR="00D56B08">
        <w:t>’</w:t>
      </w:r>
      <w:r>
        <w:t>re offering a portal so you can register.</w:t>
      </w:r>
    </w:p>
    <w:p w14:paraId="0779FABE" w14:textId="77777777" w:rsidR="00011AC7" w:rsidRPr="00AB36B6" w:rsidRDefault="00011AC7" w:rsidP="00AA3EDF">
      <w:pPr>
        <w:pStyle w:val="Heading2-nonumbering"/>
      </w:pPr>
      <w:r w:rsidRPr="00AB36B6">
        <w:t>Us</w:t>
      </w:r>
      <w:r>
        <w:t>e of</w:t>
      </w:r>
      <w:r w:rsidRPr="00AB36B6">
        <w:t xml:space="preserve"> your health information</w:t>
      </w:r>
    </w:p>
    <w:p w14:paraId="6D94F581" w14:textId="77777777" w:rsidR="00011AC7" w:rsidRPr="002E1472" w:rsidRDefault="00011AC7" w:rsidP="00AA3EDF">
      <w:r w:rsidRPr="002E1472">
        <w:t>Below are some examples of how your health information is used.</w:t>
      </w:r>
    </w:p>
    <w:p w14:paraId="069B55B2" w14:textId="36EB379A" w:rsidR="00D56B08" w:rsidRDefault="00011AC7" w:rsidP="00AA3EDF">
      <w:pPr>
        <w:pStyle w:val="Bullet"/>
      </w:pPr>
      <w:r>
        <w:t>If your practice is contracted to a</w:t>
      </w:r>
      <w:r w:rsidRPr="004A76B3">
        <w:t xml:space="preserve"> </w:t>
      </w:r>
      <w:r w:rsidR="00AA3EDF">
        <w:t>p</w:t>
      </w:r>
      <w:r w:rsidRPr="004A76B3">
        <w:t xml:space="preserve">rimary </w:t>
      </w:r>
      <w:r w:rsidR="00AA3EDF">
        <w:t>h</w:t>
      </w:r>
      <w:r w:rsidRPr="004A76B3">
        <w:t xml:space="preserve">ealth </w:t>
      </w:r>
      <w:r w:rsidR="00AA3EDF">
        <w:t>o</w:t>
      </w:r>
      <w:r w:rsidRPr="004A76B3">
        <w:t>rganisation (PHO</w:t>
      </w:r>
      <w:r>
        <w:t>), the PHO</w:t>
      </w:r>
      <w:r w:rsidRPr="004A76B3">
        <w:t xml:space="preserve"> </w:t>
      </w:r>
      <w:r>
        <w:t>may use</w:t>
      </w:r>
      <w:r w:rsidRPr="004A76B3">
        <w:t xml:space="preserve"> your information for clinical and administrative purposes including obtain</w:t>
      </w:r>
      <w:r>
        <w:t>ing</w:t>
      </w:r>
      <w:r w:rsidRPr="004A76B3">
        <w:t xml:space="preserve"> subsidised funding </w:t>
      </w:r>
      <w:r>
        <w:t>for you.</w:t>
      </w:r>
    </w:p>
    <w:p w14:paraId="10333CA6" w14:textId="56205BEC" w:rsidR="00011AC7" w:rsidRPr="004A76B3" w:rsidRDefault="00011AC7" w:rsidP="00AA3EDF">
      <w:pPr>
        <w:pStyle w:val="Bullet"/>
      </w:pPr>
      <w:r>
        <w:t xml:space="preserve">Your </w:t>
      </w:r>
      <w:r w:rsidR="00AA3EDF">
        <w:t>d</w:t>
      </w:r>
      <w:r>
        <w:t xml:space="preserve">istrict </w:t>
      </w:r>
      <w:r w:rsidR="00AA3EDF">
        <w:t>h</w:t>
      </w:r>
      <w:r>
        <w:t xml:space="preserve">ealth </w:t>
      </w:r>
      <w:r w:rsidR="00AA3EDF">
        <w:t>b</w:t>
      </w:r>
      <w:r>
        <w:t>oard (DHB) uses your information to provide treatment and care, and to improve the quality of its services.</w:t>
      </w:r>
    </w:p>
    <w:p w14:paraId="18AA5B83" w14:textId="77777777" w:rsidR="00011AC7" w:rsidRDefault="00011AC7" w:rsidP="00AA3EDF">
      <w:pPr>
        <w:pStyle w:val="Bullet"/>
      </w:pPr>
      <w:r>
        <w:t>A</w:t>
      </w:r>
      <w:r w:rsidRPr="004A76B3">
        <w:t xml:space="preserve"> clinical audit may be conducted by a qualified health pr</w:t>
      </w:r>
      <w:r>
        <w:t>actitione</w:t>
      </w:r>
      <w:r w:rsidRPr="004A76B3">
        <w:t xml:space="preserve">r to review the </w:t>
      </w:r>
      <w:r>
        <w:t>quality</w:t>
      </w:r>
      <w:r w:rsidRPr="004A76B3">
        <w:t xml:space="preserve"> of services provided to you.</w:t>
      </w:r>
      <w:r>
        <w:t xml:space="preserve"> They may also view health records if the audit involves checking on health matters.</w:t>
      </w:r>
    </w:p>
    <w:p w14:paraId="5A8574B3" w14:textId="77777777" w:rsidR="00011AC7" w:rsidRPr="00411893" w:rsidRDefault="00011AC7" w:rsidP="00AA3EDF">
      <w:pPr>
        <w:pStyle w:val="Bullet"/>
        <w:rPr>
          <w:b/>
        </w:rPr>
      </w:pPr>
      <w:r w:rsidRPr="007252E9">
        <w:t xml:space="preserve">When you choose to </w:t>
      </w:r>
      <w:r>
        <w:t>register</w:t>
      </w:r>
      <w:r w:rsidRPr="007252E9">
        <w:t xml:space="preserve"> in a health programme</w:t>
      </w:r>
      <w:r>
        <w:t xml:space="preserve"> (eg</w:t>
      </w:r>
      <w:r w:rsidR="00AA3EDF">
        <w:t>,</w:t>
      </w:r>
      <w:r>
        <w:t xml:space="preserve"> immunisation or breast screening)</w:t>
      </w:r>
      <w:r w:rsidRPr="007252E9">
        <w:t xml:space="preserve">, relevant information may be shared with </w:t>
      </w:r>
      <w:r>
        <w:t>other</w:t>
      </w:r>
      <w:r w:rsidRPr="007252E9">
        <w:t xml:space="preserve"> health agenc</w:t>
      </w:r>
      <w:r>
        <w:t>ies</w:t>
      </w:r>
      <w:r w:rsidRPr="007252E9">
        <w:t>.</w:t>
      </w:r>
    </w:p>
    <w:p w14:paraId="4CDAD523" w14:textId="77777777" w:rsidR="00011AC7" w:rsidRPr="004A76B3" w:rsidRDefault="00011AC7" w:rsidP="00AA3EDF">
      <w:pPr>
        <w:pStyle w:val="Bullet"/>
      </w:pPr>
      <w:r w:rsidRPr="004A76B3">
        <w:t xml:space="preserve">The Ministry of Health uses your demographic information to </w:t>
      </w:r>
      <w:r>
        <w:t>assign</w:t>
      </w:r>
      <w:r w:rsidRPr="004A76B3">
        <w:t xml:space="preserve"> a</w:t>
      </w:r>
      <w:r>
        <w:t xml:space="preserve"> unique</w:t>
      </w:r>
      <w:r w:rsidRPr="004A76B3">
        <w:t xml:space="preserve"> number</w:t>
      </w:r>
      <w:r>
        <w:t xml:space="preserve"> to you on the National Health Index (NHI). This NHI number will help </w:t>
      </w:r>
      <w:r w:rsidRPr="004A76B3">
        <w:t>identify you when you use health services.</w:t>
      </w:r>
    </w:p>
    <w:p w14:paraId="022F7EF4" w14:textId="77777777" w:rsidR="00D56B08" w:rsidRDefault="00011AC7" w:rsidP="00AA3EDF">
      <w:pPr>
        <w:pStyle w:val="Bullet"/>
      </w:pPr>
      <w:r w:rsidRPr="00E97EC9">
        <w:t xml:space="preserve">The Ministry of Health holds health information </w:t>
      </w:r>
      <w:r>
        <w:t>to</w:t>
      </w:r>
      <w:r w:rsidRPr="006A74B8">
        <w:t xml:space="preserve"> measure how well health services are delivered and to pla</w:t>
      </w:r>
      <w:r w:rsidRPr="00D62E25">
        <w:t>n and fund future health services</w:t>
      </w:r>
      <w:r>
        <w:t>. A</w:t>
      </w:r>
      <w:r w:rsidRPr="00E97EC9">
        <w:t>uditors may</w:t>
      </w:r>
      <w:r w:rsidRPr="006A74B8">
        <w:t xml:space="preserve"> </w:t>
      </w:r>
      <w:r>
        <w:t xml:space="preserve">occasionally </w:t>
      </w:r>
      <w:r w:rsidRPr="006A74B8">
        <w:t>conduct financial audits</w:t>
      </w:r>
      <w:r w:rsidRPr="00E97EC9">
        <w:t xml:space="preserve"> of your health practitioner</w:t>
      </w:r>
      <w:r w:rsidRPr="006A74B8">
        <w:t>.</w:t>
      </w:r>
      <w:r>
        <w:t xml:space="preserve"> </w:t>
      </w:r>
      <w:r w:rsidRPr="006A74B8">
        <w:t>The</w:t>
      </w:r>
      <w:r w:rsidRPr="00D62E25">
        <w:t xml:space="preserve"> auditors may review your records and may contact you to check that you received those services.</w:t>
      </w:r>
    </w:p>
    <w:p w14:paraId="732604F2" w14:textId="77777777" w:rsidR="00D56B08" w:rsidRDefault="00011AC7" w:rsidP="00AA3EDF">
      <w:pPr>
        <w:pStyle w:val="Bullet"/>
      </w:pPr>
      <w:r>
        <w:t>Notification of births and deaths to the Births, Deaths and Marriages register may be performed electronically to streamline a person</w:t>
      </w:r>
      <w:r w:rsidR="00D56B08">
        <w:t>’</w:t>
      </w:r>
      <w:r>
        <w:t>s interactions with government.</w:t>
      </w:r>
    </w:p>
    <w:p w14:paraId="14989B80" w14:textId="77777777" w:rsidR="00011AC7" w:rsidRPr="00D442BD" w:rsidRDefault="00011AC7" w:rsidP="00AA3EDF">
      <w:pPr>
        <w:pStyle w:val="Heading2-nonumbering"/>
      </w:pPr>
      <w:r w:rsidRPr="00D442BD">
        <w:t>Research</w:t>
      </w:r>
    </w:p>
    <w:p w14:paraId="3D9230FA" w14:textId="77777777" w:rsidR="00D56B08" w:rsidRDefault="00011AC7" w:rsidP="00AA3EDF">
      <w:r w:rsidRPr="004A76B3">
        <w:t xml:space="preserve">Your health information may be used </w:t>
      </w:r>
      <w:r>
        <w:t xml:space="preserve">in </w:t>
      </w:r>
      <w:r w:rsidRPr="004A76B3">
        <w:t xml:space="preserve">research </w:t>
      </w:r>
      <w:r>
        <w:t>approved by an ethics committee or when it has had identifying details removed</w:t>
      </w:r>
      <w:r w:rsidRPr="004A76B3">
        <w:t>.</w:t>
      </w:r>
    </w:p>
    <w:p w14:paraId="2C6DB87E" w14:textId="77777777" w:rsidR="00D56B08" w:rsidRPr="00AA3EDF" w:rsidRDefault="00011AC7" w:rsidP="00AA3EDF">
      <w:pPr>
        <w:pStyle w:val="Bullet"/>
      </w:pPr>
      <w:r>
        <w:t xml:space="preserve">Research which </w:t>
      </w:r>
      <w:r w:rsidRPr="009A0343">
        <w:t xml:space="preserve">may directly or indirectly </w:t>
      </w:r>
      <w:r>
        <w:t xml:space="preserve">identify you </w:t>
      </w:r>
      <w:r w:rsidRPr="009A0343">
        <w:t xml:space="preserve">can only be </w:t>
      </w:r>
      <w:r>
        <w:t>published</w:t>
      </w:r>
      <w:r w:rsidRPr="009A0343">
        <w:t xml:space="preserve"> if the researcher has previously obtained your consent and the </w:t>
      </w:r>
      <w:r>
        <w:t>study</w:t>
      </w:r>
      <w:r w:rsidRPr="009A0343">
        <w:t xml:space="preserve"> has </w:t>
      </w:r>
      <w:r>
        <w:t>received</w:t>
      </w:r>
      <w:r w:rsidRPr="009A0343">
        <w:t xml:space="preserve"> ethics </w:t>
      </w:r>
      <w:r>
        <w:t>approval</w:t>
      </w:r>
      <w:r w:rsidRPr="009A0343">
        <w:t>.</w:t>
      </w:r>
    </w:p>
    <w:p w14:paraId="084B932B" w14:textId="77777777" w:rsidR="00011AC7" w:rsidRPr="009A0343" w:rsidRDefault="00011AC7" w:rsidP="00AA3EDF">
      <w:pPr>
        <w:pStyle w:val="Bullet"/>
      </w:pPr>
      <w:r>
        <w:t xml:space="preserve">Under the law, you are not required to give consent to the use of </w:t>
      </w:r>
      <w:r w:rsidRPr="009A0343">
        <w:t>your health information</w:t>
      </w:r>
      <w:r>
        <w:t xml:space="preserve"> if it</w:t>
      </w:r>
      <w:r w:rsidR="00D56B08">
        <w:t>’</w:t>
      </w:r>
      <w:r>
        <w:t>s</w:t>
      </w:r>
      <w:r w:rsidRPr="009A0343">
        <w:t xml:space="preserve"> for </w:t>
      </w:r>
      <w:r>
        <w:t xml:space="preserve">unpublished </w:t>
      </w:r>
      <w:r w:rsidRPr="009A0343">
        <w:t>research or statistical purposes, or if it</w:t>
      </w:r>
      <w:r w:rsidR="00D56B08">
        <w:t>’</w:t>
      </w:r>
      <w:r w:rsidRPr="009A0343">
        <w:t>s published in a way that doesn</w:t>
      </w:r>
      <w:r w:rsidR="00D56B08">
        <w:t>’</w:t>
      </w:r>
      <w:r w:rsidRPr="009A0343">
        <w:t>t identify you</w:t>
      </w:r>
      <w:r>
        <w:t>.</w:t>
      </w:r>
    </w:p>
    <w:p w14:paraId="5659807B" w14:textId="77777777" w:rsidR="00011AC7" w:rsidRPr="00BD2F1D" w:rsidRDefault="00011AC7" w:rsidP="004B3BB1">
      <w:pPr>
        <w:pStyle w:val="Heading2-nonumbering"/>
        <w:keepLines/>
      </w:pPr>
      <w:r w:rsidRPr="00BD2F1D">
        <w:lastRenderedPageBreak/>
        <w:t>Complaints</w:t>
      </w:r>
    </w:p>
    <w:p w14:paraId="42A2E0CD" w14:textId="327358A2" w:rsidR="00D56B08" w:rsidRDefault="00011AC7" w:rsidP="00AA3EDF">
      <w:r>
        <w:t>It</w:t>
      </w:r>
      <w:r w:rsidR="00D56B08">
        <w:t>’</w:t>
      </w:r>
      <w:r>
        <w:t xml:space="preserve">s </w:t>
      </w:r>
      <w:r w:rsidR="00AA3EDF">
        <w:t>okay</w:t>
      </w:r>
      <w:r>
        <w:t xml:space="preserve"> to complain if you</w:t>
      </w:r>
      <w:r w:rsidR="00D56B08">
        <w:t>’</w:t>
      </w:r>
      <w:r>
        <w:t>re not happy with the way your health information is collected or used.</w:t>
      </w:r>
    </w:p>
    <w:p w14:paraId="7D96E472" w14:textId="58355C0F" w:rsidR="00011AC7" w:rsidRDefault="00011AC7" w:rsidP="00AA3EDF">
      <w:r>
        <w:t>Talk to your health</w:t>
      </w:r>
      <w:r w:rsidR="0048174A">
        <w:t xml:space="preserve"> </w:t>
      </w:r>
      <w:r>
        <w:t>provider in the first instance. If you are still unhappy with the response you can call the Office of the Privacy Commissioner toll-free on 0800 803 909, as they can investigate this further.</w:t>
      </w:r>
    </w:p>
    <w:p w14:paraId="20C6F0A9" w14:textId="77777777" w:rsidR="00011AC7" w:rsidRPr="00B05278" w:rsidRDefault="00011AC7" w:rsidP="00AA3EDF">
      <w:pPr>
        <w:pStyle w:val="Heading2-nonumbering"/>
      </w:pPr>
      <w:r w:rsidRPr="004A76B3">
        <w:t>For further information</w:t>
      </w:r>
    </w:p>
    <w:p w14:paraId="0B0B57FE" w14:textId="77777777" w:rsidR="00011AC7" w:rsidRDefault="00011AC7" w:rsidP="00AA3EDF">
      <w:r>
        <w:t xml:space="preserve">Visit </w:t>
      </w:r>
      <w:hyperlink r:id="rId32" w:history="1">
        <w:r w:rsidRPr="00B73E39">
          <w:rPr>
            <w:rStyle w:val="Hyperlink"/>
            <w:rFonts w:cs="Arial"/>
          </w:rPr>
          <w:t>www.legislation.govt.nz</w:t>
        </w:r>
      </w:hyperlink>
      <w:r>
        <w:t xml:space="preserve"> to access </w:t>
      </w:r>
      <w:r w:rsidRPr="004A76B3">
        <w:t>the Health Act 1956, Official Information Act 1982</w:t>
      </w:r>
      <w:r>
        <w:t xml:space="preserve"> and </w:t>
      </w:r>
      <w:r w:rsidRPr="004A76B3">
        <w:t>Privacy Act 1993</w:t>
      </w:r>
      <w:r w:rsidR="00AA3EDF">
        <w:t>.</w:t>
      </w:r>
    </w:p>
    <w:p w14:paraId="4D3B6185" w14:textId="77777777" w:rsidR="00011AC7" w:rsidRDefault="00011AC7" w:rsidP="00AA3EDF">
      <w:r>
        <w:t>T</w:t>
      </w:r>
      <w:r w:rsidRPr="004A76B3">
        <w:t xml:space="preserve">he Health Information Privacy Code 1994 </w:t>
      </w:r>
      <w:r>
        <w:t xml:space="preserve">is available </w:t>
      </w:r>
      <w:r w:rsidRPr="004A76B3">
        <w:t xml:space="preserve">at </w:t>
      </w:r>
      <w:hyperlink r:id="rId33" w:history="1">
        <w:r w:rsidRPr="00B73E39">
          <w:rPr>
            <w:rStyle w:val="Hyperlink"/>
            <w:rFonts w:cs="Arial"/>
          </w:rPr>
          <w:t>www.privacy.org.nz</w:t>
        </w:r>
      </w:hyperlink>
      <w:r>
        <w:rPr>
          <w:rStyle w:val="Hyperlink"/>
          <w:rFonts w:cs="Arial"/>
        </w:rPr>
        <w:t>.</w:t>
      </w:r>
      <w:r>
        <w:t xml:space="preserve"> You can also use the Privacy Commissioner</w:t>
      </w:r>
      <w:r w:rsidR="00D56B08">
        <w:t>’</w:t>
      </w:r>
      <w:r>
        <w:t xml:space="preserve">s </w:t>
      </w:r>
      <w:hyperlink r:id="rId34" w:history="1">
        <w:r w:rsidRPr="00E537A5">
          <w:rPr>
            <w:rStyle w:val="Hyperlink"/>
            <w:rFonts w:cs="Arial"/>
          </w:rPr>
          <w:t>Ask Us</w:t>
        </w:r>
      </w:hyperlink>
      <w:r>
        <w:t xml:space="preserve"> tool for privacy queries.</w:t>
      </w:r>
    </w:p>
    <w:p w14:paraId="7A1918A2" w14:textId="544E75DA" w:rsidR="00011AC7" w:rsidRDefault="00011AC7" w:rsidP="00AA3EDF">
      <w:pPr>
        <w:rPr>
          <w:rStyle w:val="Hyperlink"/>
          <w:rFonts w:cs="Arial"/>
        </w:rPr>
      </w:pPr>
      <w:r>
        <w:t>A</w:t>
      </w:r>
      <w:r w:rsidRPr="004A76B3">
        <w:t xml:space="preserve"> copy of the Health and Disability Committee</w:t>
      </w:r>
      <w:r w:rsidR="00D56B08">
        <w:t>’</w:t>
      </w:r>
      <w:r w:rsidRPr="004A76B3">
        <w:t xml:space="preserve">s Standard Operating procedures can be found at </w:t>
      </w:r>
      <w:hyperlink r:id="rId35" w:history="1">
        <w:r w:rsidRPr="004A76B3">
          <w:rPr>
            <w:rStyle w:val="Hyperlink"/>
            <w:rFonts w:cs="Arial"/>
          </w:rPr>
          <w:t>http://ethics.health.govt.nz/operating-procedures</w:t>
        </w:r>
      </w:hyperlink>
    </w:p>
    <w:p w14:paraId="2FD2FF94" w14:textId="610C0B6D" w:rsidR="00011AC7" w:rsidRDefault="00011AC7" w:rsidP="00AA3EDF">
      <w:pPr>
        <w:rPr>
          <w:rStyle w:val="Hyperlink"/>
          <w:rFonts w:cs="Arial"/>
        </w:rPr>
      </w:pPr>
      <w:r w:rsidRPr="00B16989">
        <w:rPr>
          <w:rStyle w:val="Hyperlink"/>
          <w:rFonts w:cs="Arial"/>
        </w:rPr>
        <w:t>Further detail in regard to the matters discussed in this Fact Sheet can be found on the Ministry of Health website at http://www.health.govt.nz/your-health/services-and-support/health-care-services/sharing-your-health-information</w:t>
      </w:r>
    </w:p>
    <w:p w14:paraId="4CA3AD00" w14:textId="0E1C07E9" w:rsidR="00011AC7" w:rsidRDefault="00011AC7" w:rsidP="00AA3EDF">
      <w:pPr>
        <w:pStyle w:val="Heading1-nonumbering"/>
      </w:pPr>
      <w:bookmarkStart w:id="525" w:name="_Toc489004340"/>
      <w:bookmarkStart w:id="526" w:name="_Toc491259752"/>
      <w:r>
        <w:lastRenderedPageBreak/>
        <w:t>Appendix 7</w:t>
      </w:r>
      <w:r w:rsidR="00AA3EDF">
        <w:t>:</w:t>
      </w:r>
      <w:r>
        <w:t xml:space="preserve"> Privacy poster</w:t>
      </w:r>
      <w:bookmarkEnd w:id="525"/>
      <w:bookmarkEnd w:id="526"/>
    </w:p>
    <w:p w14:paraId="3E30C9D8" w14:textId="5320D1A3" w:rsidR="00011AC7" w:rsidRDefault="00011AC7" w:rsidP="00AA3EDF">
      <w:pPr>
        <w:pStyle w:val="Heading2-nonumbering"/>
      </w:pPr>
      <w:bookmarkStart w:id="527" w:name="_Toc489004341"/>
      <w:r>
        <w:t xml:space="preserve">Collecting </w:t>
      </w:r>
      <w:r w:rsidR="00AA3EDF">
        <w:t>i</w:t>
      </w:r>
      <w:r w:rsidRPr="00413D9D">
        <w:t>nformation</w:t>
      </w:r>
      <w:r w:rsidRPr="004B4AA2">
        <w:t xml:space="preserve"> </w:t>
      </w:r>
      <w:r>
        <w:t xml:space="preserve">about </w:t>
      </w:r>
      <w:r w:rsidR="00AA3EDF">
        <w:t>y</w:t>
      </w:r>
      <w:r w:rsidRPr="00413D9D">
        <w:t xml:space="preserve">our </w:t>
      </w:r>
      <w:r w:rsidR="00AA3EDF">
        <w:t>h</w:t>
      </w:r>
      <w:r w:rsidRPr="00413D9D">
        <w:t>ealth</w:t>
      </w:r>
      <w:bookmarkEnd w:id="527"/>
    </w:p>
    <w:p w14:paraId="70BC2C12" w14:textId="77777777" w:rsidR="00011AC7" w:rsidRPr="00CB1501" w:rsidRDefault="00011AC7" w:rsidP="00AA3EDF">
      <w:r w:rsidRPr="00CB1501">
        <w:t xml:space="preserve">We collect </w:t>
      </w:r>
      <w:r w:rsidRPr="00795B8B">
        <w:t xml:space="preserve">information </w:t>
      </w:r>
      <w:r>
        <w:t xml:space="preserve">about </w:t>
      </w:r>
      <w:r w:rsidRPr="00CB1501">
        <w:t>your health to help us provide you with the best health care for you.</w:t>
      </w:r>
    </w:p>
    <w:p w14:paraId="7DF3AF1D" w14:textId="77777777" w:rsidR="00011AC7" w:rsidRPr="00CB1501" w:rsidRDefault="00011AC7" w:rsidP="00AA3EDF">
      <w:r w:rsidRPr="00CB1501">
        <w:t xml:space="preserve">The information we collect about your health can also help us improve the health services we provide. We </w:t>
      </w:r>
      <w:r>
        <w:t>use it, and</w:t>
      </w:r>
      <w:r w:rsidRPr="00CB1501">
        <w:t xml:space="preserve"> information about other people</w:t>
      </w:r>
      <w:r w:rsidR="00D56B08">
        <w:t>’</w:t>
      </w:r>
      <w:r w:rsidRPr="00CB1501">
        <w:t>s health</w:t>
      </w:r>
      <w:r>
        <w:t>,</w:t>
      </w:r>
      <w:r w:rsidRPr="00CB1501">
        <w:t xml:space="preserve"> to help us:</w:t>
      </w:r>
    </w:p>
    <w:p w14:paraId="0891E00D" w14:textId="77777777" w:rsidR="00D56B08" w:rsidRDefault="00011AC7" w:rsidP="00AA3EDF">
      <w:pPr>
        <w:pStyle w:val="Bullet"/>
      </w:pPr>
      <w:r w:rsidRPr="00CB1501">
        <w:t xml:space="preserve">work out what </w:t>
      </w:r>
      <w:r>
        <w:t xml:space="preserve">are the </w:t>
      </w:r>
      <w:r w:rsidRPr="00CB1501">
        <w:t xml:space="preserve">health services </w:t>
      </w:r>
      <w:r>
        <w:t xml:space="preserve">that </w:t>
      </w:r>
      <w:r w:rsidRPr="00CB1501">
        <w:t>people need and arrange funding for th</w:t>
      </w:r>
      <w:r>
        <w:t>e</w:t>
      </w:r>
      <w:r w:rsidRPr="00CB1501">
        <w:t>se services</w:t>
      </w:r>
    </w:p>
    <w:p w14:paraId="5F4D1795" w14:textId="77777777" w:rsidR="00011AC7" w:rsidRPr="00CB1501" w:rsidRDefault="00011AC7" w:rsidP="00AA3EDF">
      <w:pPr>
        <w:pStyle w:val="Bullet"/>
      </w:pPr>
      <w:r w:rsidRPr="00CB1501">
        <w:t>train health care professionals in areas of health care that need more services</w:t>
      </w:r>
    </w:p>
    <w:p w14:paraId="2B8E8632" w14:textId="77777777" w:rsidR="00011AC7" w:rsidRPr="00CC4B68" w:rsidRDefault="00011AC7" w:rsidP="00AA3EDF">
      <w:pPr>
        <w:pStyle w:val="Bullet"/>
      </w:pPr>
      <w:proofErr w:type="gramStart"/>
      <w:r w:rsidRPr="00CB1501">
        <w:t>arrange</w:t>
      </w:r>
      <w:proofErr w:type="gramEnd"/>
      <w:r w:rsidRPr="00CB1501">
        <w:t xml:space="preserve"> for research </w:t>
      </w:r>
      <w:r>
        <w:t>in</w:t>
      </w:r>
      <w:r w:rsidRPr="00CB1501">
        <w:t xml:space="preserve"> areas of health that are of specific concern.</w:t>
      </w:r>
    </w:p>
    <w:p w14:paraId="15BF088E" w14:textId="77777777" w:rsidR="00011AC7" w:rsidRDefault="00011AC7" w:rsidP="00AA3EDF">
      <w:pPr>
        <w:pStyle w:val="Heading2-nonumbering"/>
      </w:pPr>
      <w:bookmarkStart w:id="528" w:name="_Toc489004342"/>
      <w:r>
        <w:t>Who can access the health information we collect</w:t>
      </w:r>
      <w:bookmarkEnd w:id="528"/>
    </w:p>
    <w:p w14:paraId="5CB7E1A3" w14:textId="77777777" w:rsidR="00D56B08" w:rsidRDefault="00011AC7" w:rsidP="00AA3EDF">
      <w:r>
        <w:t>A</w:t>
      </w:r>
      <w:r w:rsidRPr="00CB1501">
        <w:t xml:space="preserve">ll the health information we collect </w:t>
      </w:r>
      <w:r>
        <w:t>i</w:t>
      </w:r>
      <w:r w:rsidRPr="00CB1501">
        <w:t>s completely confidential</w:t>
      </w:r>
      <w:r>
        <w:t>. It is kept in a secure place to prevent unauthorised access</w:t>
      </w:r>
      <w:r w:rsidRPr="00CB1501">
        <w:t>.</w:t>
      </w:r>
    </w:p>
    <w:p w14:paraId="155810F2" w14:textId="77777777" w:rsidR="00011AC7" w:rsidRPr="00CB1501" w:rsidRDefault="00011AC7" w:rsidP="00AA3EDF">
      <w:pPr>
        <w:pStyle w:val="Bullet"/>
      </w:pPr>
      <w:r w:rsidRPr="00CB1501">
        <w:t>We will share your health information with the health professionals who are involved in your health care.</w:t>
      </w:r>
    </w:p>
    <w:p w14:paraId="6E8EC883" w14:textId="77777777" w:rsidR="00D56B08" w:rsidRDefault="00011AC7" w:rsidP="00AA3EDF">
      <w:pPr>
        <w:pStyle w:val="Bullet"/>
      </w:pPr>
      <w:r w:rsidRPr="00CB1501">
        <w:t>We may share your information with other agencies with your consent, or if authorised by law.</w:t>
      </w:r>
    </w:p>
    <w:p w14:paraId="76AF370F" w14:textId="77777777" w:rsidR="00D56B08" w:rsidRDefault="00011AC7" w:rsidP="00AA3EDF">
      <w:pPr>
        <w:pStyle w:val="Bullet"/>
      </w:pPr>
      <w:r w:rsidRPr="00410195">
        <w:t xml:space="preserve">We </w:t>
      </w:r>
      <w:r w:rsidRPr="00CB1501">
        <w:t>may allow it to be used in health research that has been approved by an ethics committee, or when the information is made anonymous so that no one will be able to link it to you.</w:t>
      </w:r>
    </w:p>
    <w:p w14:paraId="3AE022D3" w14:textId="77777777" w:rsidR="00011AC7" w:rsidRPr="0024374C" w:rsidRDefault="00011AC7" w:rsidP="00AA3EDF">
      <w:pPr>
        <w:pStyle w:val="Heading2-nonumbering"/>
      </w:pPr>
      <w:bookmarkStart w:id="529" w:name="_Toc489004343"/>
      <w:r>
        <w:rPr>
          <w:noProof/>
        </w:rPr>
        <w:t>Your rights</w:t>
      </w:r>
      <w:bookmarkEnd w:id="529"/>
    </w:p>
    <w:p w14:paraId="43A4D38A" w14:textId="77777777" w:rsidR="00D56B08" w:rsidRDefault="00011AC7" w:rsidP="00AA3EDF">
      <w:r w:rsidRPr="0086330A">
        <w:t>You have the right to:</w:t>
      </w:r>
    </w:p>
    <w:p w14:paraId="25543BA3" w14:textId="77777777" w:rsidR="00011AC7" w:rsidRDefault="00011AC7" w:rsidP="00AA3EDF">
      <w:pPr>
        <w:pStyle w:val="Bullet"/>
      </w:pPr>
      <w:r>
        <w:t>know where your health information is kept</w:t>
      </w:r>
    </w:p>
    <w:p w14:paraId="2B80A246" w14:textId="77777777" w:rsidR="00011AC7" w:rsidRPr="0086330A" w:rsidRDefault="00011AC7" w:rsidP="00AA3EDF">
      <w:pPr>
        <w:pStyle w:val="Bullet"/>
      </w:pPr>
      <w:r>
        <w:t>know who has viewed or changed your information</w:t>
      </w:r>
    </w:p>
    <w:p w14:paraId="00DE2AE7" w14:textId="77777777" w:rsidR="00011AC7" w:rsidRPr="0086330A" w:rsidRDefault="00011AC7" w:rsidP="00AA3EDF">
      <w:pPr>
        <w:pStyle w:val="Bullet"/>
      </w:pPr>
      <w:r>
        <w:t>s</w:t>
      </w:r>
      <w:r w:rsidRPr="0086330A">
        <w:t xml:space="preserve">ee </w:t>
      </w:r>
      <w:r>
        <w:t>all the health</w:t>
      </w:r>
      <w:r w:rsidRPr="0086330A">
        <w:t xml:space="preserve"> information </w:t>
      </w:r>
      <w:r>
        <w:t xml:space="preserve">we collect </w:t>
      </w:r>
      <w:r w:rsidRPr="0086330A">
        <w:t>about you</w:t>
      </w:r>
    </w:p>
    <w:p w14:paraId="6620A0BB" w14:textId="77777777" w:rsidR="00D56B08" w:rsidRDefault="00011AC7" w:rsidP="00AA3EDF">
      <w:pPr>
        <w:pStyle w:val="Bullet"/>
      </w:pPr>
      <w:r>
        <w:t>a</w:t>
      </w:r>
      <w:r w:rsidRPr="0086330A">
        <w:t xml:space="preserve">sk for changes to </w:t>
      </w:r>
      <w:r>
        <w:t>be made to your</w:t>
      </w:r>
      <w:r w:rsidRPr="0086330A">
        <w:t xml:space="preserve"> </w:t>
      </w:r>
      <w:r>
        <w:t xml:space="preserve">health </w:t>
      </w:r>
      <w:r w:rsidRPr="0086330A">
        <w:t>information</w:t>
      </w:r>
      <w:r>
        <w:t xml:space="preserve"> or have </w:t>
      </w:r>
      <w:r w:rsidRPr="00CB1501">
        <w:t xml:space="preserve">a note </w:t>
      </w:r>
      <w:r>
        <w:t xml:space="preserve">added </w:t>
      </w:r>
      <w:r w:rsidRPr="00410195">
        <w:t xml:space="preserve">to your file </w:t>
      </w:r>
      <w:r>
        <w:t>outlining t</w:t>
      </w:r>
      <w:r w:rsidRPr="00410195">
        <w:t>he change you request</w:t>
      </w:r>
      <w:r>
        <w:t>ed if that change</w:t>
      </w:r>
      <w:r w:rsidRPr="00410195">
        <w:t xml:space="preserve"> is not made</w:t>
      </w:r>
    </w:p>
    <w:p w14:paraId="0CC30459" w14:textId="77777777" w:rsidR="00011AC7" w:rsidRPr="00CC4B68" w:rsidRDefault="00011AC7" w:rsidP="00AA3EDF">
      <w:pPr>
        <w:pStyle w:val="Bullet"/>
      </w:pPr>
      <w:proofErr w:type="gramStart"/>
      <w:r>
        <w:t>stop</w:t>
      </w:r>
      <w:proofErr w:type="gramEnd"/>
      <w:r>
        <w:t xml:space="preserve"> your health information from being used </w:t>
      </w:r>
      <w:r w:rsidRPr="00F37917">
        <w:t>in certain circumstances</w:t>
      </w:r>
      <w:r>
        <w:t>.</w:t>
      </w:r>
    </w:p>
    <w:p w14:paraId="308A842E" w14:textId="77777777" w:rsidR="00011AC7" w:rsidRPr="0024374C" w:rsidRDefault="00011AC7" w:rsidP="00AA3EDF">
      <w:pPr>
        <w:pStyle w:val="Heading2-nonumbering"/>
      </w:pPr>
      <w:bookmarkStart w:id="530" w:name="_Toc489004344"/>
      <w:r w:rsidRPr="0024374C">
        <w:t>Complaints</w:t>
      </w:r>
      <w:bookmarkEnd w:id="530"/>
    </w:p>
    <w:p w14:paraId="4CFD94E1" w14:textId="121983B8" w:rsidR="00D56B08" w:rsidRDefault="00011AC7" w:rsidP="00AA3EDF">
      <w:r w:rsidRPr="00410195">
        <w:t xml:space="preserve">If you want to make a complaint about </w:t>
      </w:r>
      <w:r>
        <w:t xml:space="preserve">the </w:t>
      </w:r>
      <w:r w:rsidRPr="00410195">
        <w:t>collecti</w:t>
      </w:r>
      <w:r>
        <w:t>on of</w:t>
      </w:r>
      <w:r w:rsidRPr="00410195">
        <w:t xml:space="preserve"> your health</w:t>
      </w:r>
      <w:r w:rsidRPr="00CB1501">
        <w:t xml:space="preserve"> information, talk to your health provider </w:t>
      </w:r>
      <w:r>
        <w:t>or</w:t>
      </w:r>
      <w:r w:rsidRPr="00410195">
        <w:t xml:space="preserve"> the Office of the Privacy Commissioner </w:t>
      </w:r>
      <w:r>
        <w:t xml:space="preserve">through their website: </w:t>
      </w:r>
      <w:r w:rsidRPr="00BC5309">
        <w:t>www.privacy.org.nz/about-us/contact/</w:t>
      </w:r>
      <w:r w:rsidRPr="00410195" w:rsidDel="00BC5309">
        <w:t xml:space="preserve"> </w:t>
      </w:r>
      <w:r>
        <w:t xml:space="preserve">or on </w:t>
      </w:r>
      <w:proofErr w:type="spellStart"/>
      <w:r>
        <w:t>freephone</w:t>
      </w:r>
      <w:proofErr w:type="spellEnd"/>
      <w:r>
        <w:t>:</w:t>
      </w:r>
      <w:r w:rsidRPr="00CB1501">
        <w:t xml:space="preserve"> 0800 803 909.</w:t>
      </w:r>
    </w:p>
    <w:p w14:paraId="3745501C" w14:textId="2D173B8C" w:rsidR="00011AC7" w:rsidRDefault="00011AC7" w:rsidP="00AA3EDF">
      <w:pPr>
        <w:pStyle w:val="Heading1-nonumbering"/>
      </w:pPr>
      <w:bookmarkStart w:id="531" w:name="_Toc489004345"/>
      <w:bookmarkStart w:id="532" w:name="_Toc491259753"/>
      <w:r>
        <w:lastRenderedPageBreak/>
        <w:t>Appendix 8</w:t>
      </w:r>
      <w:r w:rsidR="005475C2">
        <w:t>:</w:t>
      </w:r>
      <w:r>
        <w:t xml:space="preserve"> Code of conduct to safeguard the privacy and confidentiality of patient health information</w:t>
      </w:r>
      <w:bookmarkEnd w:id="531"/>
      <w:bookmarkEnd w:id="532"/>
    </w:p>
    <w:p w14:paraId="791F09E0" w14:textId="6F5441D3" w:rsidR="005475C2" w:rsidRDefault="00011AC7" w:rsidP="005475C2">
      <w:pPr>
        <w:pStyle w:val="Heading2-nonumbering"/>
      </w:pPr>
      <w:r w:rsidRPr="00F43B19">
        <w:t>Confidentiality</w:t>
      </w:r>
    </w:p>
    <w:p w14:paraId="36CAD00F" w14:textId="77777777" w:rsidR="00D56B08" w:rsidRDefault="00011AC7" w:rsidP="005475C2">
      <w:r>
        <w:t>There is a responsibility for confidentiality on any person involved in the use and management of health and organisational information. Confidentiality implies that those obtaining health information disclose only what is necessary in order to perform their role in delivering safe health care. This is formalised through employment contracts, non-disclosure agreements, service contracts, and professional ethical guidelines.</w:t>
      </w:r>
    </w:p>
    <w:p w14:paraId="1D9CA8B1" w14:textId="0E6E1EF0" w:rsidR="005475C2" w:rsidRDefault="00011AC7" w:rsidP="005475C2">
      <w:pPr>
        <w:pStyle w:val="Heading2-nonumbering"/>
      </w:pPr>
      <w:r w:rsidRPr="00F43B19">
        <w:t>Privacy</w:t>
      </w:r>
    </w:p>
    <w:p w14:paraId="1E004E97" w14:textId="77777777" w:rsidR="00011AC7" w:rsidRDefault="00011AC7" w:rsidP="005475C2">
      <w:r>
        <w:t>There is a responsibility to respect an individual</w:t>
      </w:r>
      <w:r w:rsidR="00D56B08">
        <w:t>’</w:t>
      </w:r>
      <w:r>
        <w:t xml:space="preserve">s rights to </w:t>
      </w:r>
      <w:r w:rsidRPr="00D44ACF">
        <w:t xml:space="preserve">exercise </w:t>
      </w:r>
      <w:r>
        <w:t xml:space="preserve">control </w:t>
      </w:r>
      <w:r w:rsidRPr="00D44ACF">
        <w:t xml:space="preserve">over his or her personal </w:t>
      </w:r>
      <w:r>
        <w:t xml:space="preserve">information. The Privacy Act </w:t>
      </w:r>
      <w:r w:rsidRPr="00D44ACF">
        <w:t>guide</w:t>
      </w:r>
      <w:r>
        <w:t>s</w:t>
      </w:r>
      <w:r w:rsidRPr="00D44ACF">
        <w:t xml:space="preserve"> the amount of control an individual </w:t>
      </w:r>
      <w:r>
        <w:t xml:space="preserve">has with respect to </w:t>
      </w:r>
      <w:r w:rsidRPr="00D44ACF">
        <w:t>collection, storage, use and disclosure of personal information, the right of access to and the right to request corre</w:t>
      </w:r>
      <w:r>
        <w:t>ction of personal information.</w:t>
      </w:r>
    </w:p>
    <w:p w14:paraId="0CD3CADB" w14:textId="31A5843A" w:rsidR="005475C2" w:rsidRDefault="00011AC7" w:rsidP="005475C2">
      <w:pPr>
        <w:pStyle w:val="Heading2-nonumbering"/>
      </w:pPr>
      <w:r w:rsidRPr="00F43B19">
        <w:t>Health Information Privacy Code (HIPC)</w:t>
      </w:r>
    </w:p>
    <w:p w14:paraId="3419D86D" w14:textId="77777777" w:rsidR="00011AC7" w:rsidRPr="00B776CA" w:rsidRDefault="00011AC7" w:rsidP="005475C2">
      <w:r>
        <w:t>HIPC provides further guidance in relation to the application of the Privacy Act to patient</w:t>
      </w:r>
      <w:r w:rsidR="00D56B08">
        <w:t>’</w:t>
      </w:r>
      <w:r>
        <w:t>s health information. In brief:</w:t>
      </w:r>
    </w:p>
    <w:p w14:paraId="5E908F29" w14:textId="35CE70E6" w:rsidR="00011AC7" w:rsidRPr="00C27F7F" w:rsidRDefault="005475C2" w:rsidP="005475C2">
      <w:pPr>
        <w:pStyle w:val="Bullet"/>
      </w:pPr>
      <w:r>
        <w:t>o</w:t>
      </w:r>
      <w:r w:rsidR="00011AC7" w:rsidRPr="00C27F7F">
        <w:t>nly collect health in</w:t>
      </w:r>
      <w:r w:rsidR="00011AC7">
        <w:t>formation if you really need it</w:t>
      </w:r>
    </w:p>
    <w:p w14:paraId="6AD0EF42" w14:textId="4BCDFA80" w:rsidR="00011AC7" w:rsidRPr="00C27F7F" w:rsidRDefault="005475C2" w:rsidP="005475C2">
      <w:pPr>
        <w:pStyle w:val="Bullet"/>
      </w:pPr>
      <w:r>
        <w:t>g</w:t>
      </w:r>
      <w:r w:rsidR="00011AC7" w:rsidRPr="00C27F7F">
        <w:t xml:space="preserve">et it straight from the </w:t>
      </w:r>
      <w:r w:rsidR="00011AC7">
        <w:t>people concerned where possible</w:t>
      </w:r>
    </w:p>
    <w:p w14:paraId="6C77AF3C" w14:textId="380FDD43" w:rsidR="00011AC7" w:rsidRPr="00C27F7F" w:rsidRDefault="005475C2" w:rsidP="005475C2">
      <w:pPr>
        <w:pStyle w:val="Bullet"/>
      </w:pPr>
      <w:r>
        <w:t>t</w:t>
      </w:r>
      <w:r w:rsidR="00011AC7" w:rsidRPr="00C27F7F">
        <w:t xml:space="preserve">ell them </w:t>
      </w:r>
      <w:r w:rsidR="00011AC7">
        <w:t>what you</w:t>
      </w:r>
      <w:r w:rsidR="00D56B08">
        <w:t>’</w:t>
      </w:r>
      <w:r w:rsidR="00011AC7">
        <w:t>re going to do with it</w:t>
      </w:r>
    </w:p>
    <w:p w14:paraId="468A7F2B" w14:textId="53A8283C" w:rsidR="00011AC7" w:rsidRPr="00C27F7F" w:rsidRDefault="005475C2" w:rsidP="005475C2">
      <w:pPr>
        <w:pStyle w:val="Bullet"/>
      </w:pPr>
      <w:r>
        <w:t>b</w:t>
      </w:r>
      <w:r w:rsidR="00011AC7" w:rsidRPr="00C27F7F">
        <w:t>e con</w:t>
      </w:r>
      <w:r w:rsidR="00011AC7">
        <w:t>siderate when you</w:t>
      </w:r>
      <w:r w:rsidR="00D56B08">
        <w:t>’</w:t>
      </w:r>
      <w:r w:rsidR="00011AC7">
        <w:t>re getting it</w:t>
      </w:r>
    </w:p>
    <w:p w14:paraId="4A3D5D87" w14:textId="751C57EA" w:rsidR="00011AC7" w:rsidRPr="00C27F7F" w:rsidRDefault="005475C2" w:rsidP="005475C2">
      <w:pPr>
        <w:pStyle w:val="Bullet"/>
      </w:pPr>
      <w:r>
        <w:t>t</w:t>
      </w:r>
      <w:r w:rsidR="00011AC7" w:rsidRPr="00C27F7F">
        <w:t>ak</w:t>
      </w:r>
      <w:r w:rsidR="00011AC7">
        <w:t>e care of it once you</w:t>
      </w:r>
      <w:r w:rsidR="00D56B08">
        <w:t>’</w:t>
      </w:r>
      <w:r w:rsidR="00011AC7">
        <w:t>ve got it</w:t>
      </w:r>
    </w:p>
    <w:p w14:paraId="2F39D3C5" w14:textId="5B65AF35" w:rsidR="00011AC7" w:rsidRPr="00C27F7F" w:rsidRDefault="005475C2" w:rsidP="005475C2">
      <w:pPr>
        <w:pStyle w:val="Bullet"/>
      </w:pPr>
      <w:r>
        <w:t>p</w:t>
      </w:r>
      <w:r w:rsidR="00011AC7" w:rsidRPr="00C27F7F">
        <w:t>eople can see their hea</w:t>
      </w:r>
      <w:r w:rsidR="00011AC7">
        <w:t>lth information if they want to</w:t>
      </w:r>
    </w:p>
    <w:p w14:paraId="587DEA3B" w14:textId="66FF6030" w:rsidR="00011AC7" w:rsidRPr="00C27F7F" w:rsidRDefault="005475C2" w:rsidP="005475C2">
      <w:pPr>
        <w:pStyle w:val="Bullet"/>
      </w:pPr>
      <w:r>
        <w:t>t</w:t>
      </w:r>
      <w:r w:rsidR="00011AC7" w:rsidRPr="00C27F7F">
        <w:t>h</w:t>
      </w:r>
      <w:r w:rsidR="00011AC7">
        <w:t>ey can correct it if it</w:t>
      </w:r>
      <w:r w:rsidR="00D56B08">
        <w:t>’</w:t>
      </w:r>
      <w:r w:rsidR="00011AC7">
        <w:t>s wrong</w:t>
      </w:r>
    </w:p>
    <w:p w14:paraId="718FC614" w14:textId="6E1A0CC4" w:rsidR="00011AC7" w:rsidRPr="00C27F7F" w:rsidRDefault="005475C2" w:rsidP="005475C2">
      <w:pPr>
        <w:pStyle w:val="Bullet"/>
      </w:pPr>
      <w:r>
        <w:t>m</w:t>
      </w:r>
      <w:r w:rsidR="00011AC7" w:rsidRPr="00C27F7F">
        <w:t xml:space="preserve">ake sure health information is correct before you </w:t>
      </w:r>
      <w:r w:rsidR="00011AC7">
        <w:t>use it</w:t>
      </w:r>
    </w:p>
    <w:p w14:paraId="33AED5A4" w14:textId="7868BAA7" w:rsidR="00011AC7" w:rsidRPr="00C27F7F" w:rsidRDefault="005475C2" w:rsidP="005475C2">
      <w:pPr>
        <w:pStyle w:val="Bullet"/>
      </w:pPr>
      <w:r>
        <w:t>g</w:t>
      </w:r>
      <w:r w:rsidR="00011AC7" w:rsidRPr="00C27F7F">
        <w:t>et rid</w:t>
      </w:r>
      <w:r w:rsidR="00011AC7">
        <w:t xml:space="preserve"> of it when you</w:t>
      </w:r>
      <w:r w:rsidR="00D56B08">
        <w:t>’</w:t>
      </w:r>
      <w:r w:rsidR="00011AC7">
        <w:t>re done with it</w:t>
      </w:r>
    </w:p>
    <w:p w14:paraId="5546CF77" w14:textId="64CD97D2" w:rsidR="00011AC7" w:rsidRPr="00C27F7F" w:rsidRDefault="005475C2" w:rsidP="005475C2">
      <w:pPr>
        <w:pStyle w:val="Bullet"/>
      </w:pPr>
      <w:r>
        <w:t>u</w:t>
      </w:r>
      <w:r w:rsidR="00011AC7" w:rsidRPr="00C27F7F">
        <w:t>s</w:t>
      </w:r>
      <w:r w:rsidR="00011AC7">
        <w:t>e it for the purpose you got it</w:t>
      </w:r>
    </w:p>
    <w:p w14:paraId="1891EEBC" w14:textId="3E463692" w:rsidR="00011AC7" w:rsidRPr="00C27F7F" w:rsidRDefault="005475C2" w:rsidP="005475C2">
      <w:pPr>
        <w:pStyle w:val="Bullet"/>
      </w:pPr>
      <w:r>
        <w:t>o</w:t>
      </w:r>
      <w:r w:rsidR="00011AC7" w:rsidRPr="00C27F7F">
        <w:t>nly disclo</w:t>
      </w:r>
      <w:r w:rsidR="00011AC7">
        <w:t>se it if you have a good reason</w:t>
      </w:r>
    </w:p>
    <w:p w14:paraId="3180685B" w14:textId="26A84C5E" w:rsidR="00011AC7" w:rsidRDefault="005475C2" w:rsidP="005475C2">
      <w:pPr>
        <w:pStyle w:val="Bullet"/>
      </w:pPr>
      <w:proofErr w:type="gramStart"/>
      <w:r>
        <w:t>o</w:t>
      </w:r>
      <w:r w:rsidR="00011AC7" w:rsidRPr="00C27F7F">
        <w:t>nly</w:t>
      </w:r>
      <w:proofErr w:type="gramEnd"/>
      <w:r w:rsidR="00011AC7" w:rsidRPr="00C27F7F">
        <w:t xml:space="preserve"> assign uniq</w:t>
      </w:r>
      <w:r w:rsidR="00011AC7">
        <w:t>ue identifiers where permitted.</w:t>
      </w:r>
    </w:p>
    <w:p w14:paraId="26303E88" w14:textId="77777777" w:rsidR="000D73BE" w:rsidRDefault="000D73BE" w:rsidP="00744F23">
      <w:pPr>
        <w:pStyle w:val="Heading2-nonumbering"/>
      </w:pPr>
      <w:proofErr w:type="spellStart"/>
      <w:r>
        <w:lastRenderedPageBreak/>
        <w:t>HealthSafe</w:t>
      </w:r>
      <w:proofErr w:type="spellEnd"/>
      <w:r>
        <w:t xml:space="preserve"> Framework</w:t>
      </w:r>
    </w:p>
    <w:p w14:paraId="23DBA839" w14:textId="77777777" w:rsidR="00011AC7" w:rsidRDefault="00011AC7" w:rsidP="000D73BE">
      <w:pPr>
        <w:keepNext/>
      </w:pPr>
      <w:r>
        <w:t xml:space="preserve">The </w:t>
      </w:r>
      <w:proofErr w:type="spellStart"/>
      <w:r w:rsidRPr="003F06E1">
        <w:rPr>
          <w:i/>
        </w:rPr>
        <w:t>HealthSafe</w:t>
      </w:r>
      <w:proofErr w:type="spellEnd"/>
      <w:r>
        <w:rPr>
          <w:i/>
        </w:rPr>
        <w:t xml:space="preserve"> </w:t>
      </w:r>
      <w:r w:rsidRPr="003F06E1">
        <w:rPr>
          <w:i/>
        </w:rPr>
        <w:t>Framework</w:t>
      </w:r>
      <w:r>
        <w:t xml:space="preserve"> applies the following to the use and management of information:</w:t>
      </w:r>
    </w:p>
    <w:p w14:paraId="3CD14AC1" w14:textId="3E905ECB" w:rsidR="00011AC7" w:rsidRDefault="000D73BE" w:rsidP="000D73BE">
      <w:pPr>
        <w:keepNext/>
        <w:spacing w:before="90"/>
        <w:ind w:left="567" w:hanging="567"/>
      </w:pPr>
      <w:r>
        <w:t>1.</w:t>
      </w:r>
      <w:r>
        <w:tab/>
      </w:r>
      <w:proofErr w:type="gramStart"/>
      <w:r>
        <w:t>a</w:t>
      </w:r>
      <w:proofErr w:type="gramEnd"/>
      <w:r w:rsidR="00011AC7">
        <w:t xml:space="preserve"> request and approval process must be followed before users access information stored in a database</w:t>
      </w:r>
    </w:p>
    <w:p w14:paraId="442DA2DB" w14:textId="3D3AE6C4" w:rsidR="00011AC7" w:rsidRDefault="000D73BE" w:rsidP="000D73BE">
      <w:pPr>
        <w:spacing w:before="90"/>
        <w:ind w:left="567" w:hanging="567"/>
      </w:pPr>
      <w:r>
        <w:t>2.</w:t>
      </w:r>
      <w:r>
        <w:tab/>
      </w:r>
      <w:proofErr w:type="gramStart"/>
      <w:r>
        <w:t>i</w:t>
      </w:r>
      <w:r w:rsidR="00011AC7">
        <w:t>nformation</w:t>
      </w:r>
      <w:proofErr w:type="gramEnd"/>
      <w:r w:rsidR="00011AC7">
        <w:t xml:space="preserve"> obtained must only be used for the approved purpose(s)</w:t>
      </w:r>
    </w:p>
    <w:p w14:paraId="25CD961C" w14:textId="68D62C6C" w:rsidR="00011AC7" w:rsidRDefault="000D73BE" w:rsidP="000D73BE">
      <w:pPr>
        <w:spacing w:before="90"/>
        <w:ind w:left="567" w:hanging="567"/>
      </w:pPr>
      <w:r>
        <w:t>3.</w:t>
      </w:r>
      <w:r>
        <w:tab/>
      </w:r>
      <w:proofErr w:type="gramStart"/>
      <w:r>
        <w:t>n</w:t>
      </w:r>
      <w:r w:rsidR="00011AC7">
        <w:t>on-identifiable</w:t>
      </w:r>
      <w:proofErr w:type="gramEnd"/>
      <w:r w:rsidR="00011AC7">
        <w:t xml:space="preserve"> information should be used whenever this is sufficient for purpose</w:t>
      </w:r>
    </w:p>
    <w:p w14:paraId="5B046EE3" w14:textId="098799B2" w:rsidR="00011AC7" w:rsidRDefault="000D73BE" w:rsidP="000D73BE">
      <w:pPr>
        <w:spacing w:before="90"/>
        <w:ind w:left="567" w:hanging="567"/>
      </w:pPr>
      <w:r>
        <w:t>4.</w:t>
      </w:r>
      <w:r>
        <w:tab/>
      </w:r>
      <w:proofErr w:type="gramStart"/>
      <w:r>
        <w:t>i</w:t>
      </w:r>
      <w:r w:rsidR="00011AC7">
        <w:t>nformation</w:t>
      </w:r>
      <w:proofErr w:type="gramEnd"/>
      <w:r w:rsidR="00011AC7">
        <w:t xml:space="preserve"> obtained must not be shared beyond those specifically granted access through the user data request process</w:t>
      </w:r>
    </w:p>
    <w:p w14:paraId="541ED594" w14:textId="0E264219" w:rsidR="00011AC7" w:rsidRDefault="000D73BE" w:rsidP="000D73BE">
      <w:pPr>
        <w:spacing w:before="90"/>
        <w:ind w:left="567" w:hanging="567"/>
      </w:pPr>
      <w:r>
        <w:t>5.</w:t>
      </w:r>
      <w:r>
        <w:tab/>
      </w:r>
      <w:proofErr w:type="gramStart"/>
      <w:r>
        <w:t>u</w:t>
      </w:r>
      <w:r w:rsidR="00011AC7">
        <w:t>sers</w:t>
      </w:r>
      <w:proofErr w:type="gramEnd"/>
      <w:r w:rsidR="00011AC7">
        <w:t xml:space="preserve"> must securely transfer, store and dispose of information obtained</w:t>
      </w:r>
    </w:p>
    <w:p w14:paraId="3DF463CF" w14:textId="7D241514" w:rsidR="00011AC7" w:rsidRDefault="000D73BE" w:rsidP="000D73BE">
      <w:pPr>
        <w:spacing w:before="90"/>
        <w:ind w:left="567" w:hanging="567"/>
      </w:pPr>
      <w:r>
        <w:t>6.</w:t>
      </w:r>
      <w:r>
        <w:tab/>
      </w:r>
      <w:proofErr w:type="gramStart"/>
      <w:r>
        <w:t>d</w:t>
      </w:r>
      <w:r w:rsidR="00011AC7">
        <w:t>e-identified</w:t>
      </w:r>
      <w:proofErr w:type="gramEnd"/>
      <w:r w:rsidR="00011AC7">
        <w:t xml:space="preserve"> information must not be re-identified except where this is permitted through the purpose-use matrix and an approved user data request</w:t>
      </w:r>
    </w:p>
    <w:p w14:paraId="63A5DC41" w14:textId="5F7B6EE4" w:rsidR="00011AC7" w:rsidRDefault="000D73BE" w:rsidP="000D73BE">
      <w:pPr>
        <w:spacing w:before="90"/>
        <w:ind w:left="567" w:hanging="567"/>
      </w:pPr>
      <w:r>
        <w:t>7.</w:t>
      </w:r>
      <w:r>
        <w:tab/>
      </w:r>
      <w:proofErr w:type="gramStart"/>
      <w:r>
        <w:t>p</w:t>
      </w:r>
      <w:r w:rsidR="00011AC7">
        <w:t>atient</w:t>
      </w:r>
      <w:proofErr w:type="gramEnd"/>
      <w:r w:rsidR="00011AC7">
        <w:t xml:space="preserve"> information which is flagged as sensitive in the source system should not be stored or made available in identifiable form</w:t>
      </w:r>
    </w:p>
    <w:p w14:paraId="6CFFA491" w14:textId="2298A546" w:rsidR="00011AC7" w:rsidRPr="00F43B19" w:rsidRDefault="000D73BE" w:rsidP="000D73BE">
      <w:pPr>
        <w:spacing w:before="90"/>
        <w:ind w:left="567" w:hanging="567"/>
      </w:pPr>
      <w:r>
        <w:t>8.</w:t>
      </w:r>
      <w:r>
        <w:tab/>
      </w:r>
      <w:proofErr w:type="gramStart"/>
      <w:r>
        <w:t>a</w:t>
      </w:r>
      <w:r w:rsidR="00011AC7">
        <w:t>nyone</w:t>
      </w:r>
      <w:proofErr w:type="gramEnd"/>
      <w:r w:rsidR="00011AC7">
        <w:t xml:space="preserve"> who detects a privacy breach must immediately notify a manager or their organisational privacy officer</w:t>
      </w:r>
    </w:p>
    <w:p w14:paraId="265951A7" w14:textId="55093A55" w:rsidR="00011AC7" w:rsidRDefault="000D73BE" w:rsidP="000D73BE">
      <w:pPr>
        <w:spacing w:before="90"/>
        <w:ind w:left="567" w:hanging="567"/>
      </w:pPr>
      <w:r>
        <w:t>9.</w:t>
      </w:r>
      <w:r>
        <w:tab/>
      </w:r>
      <w:proofErr w:type="gramStart"/>
      <w:r>
        <w:t>o</w:t>
      </w:r>
      <w:r w:rsidR="00011AC7">
        <w:t>nly</w:t>
      </w:r>
      <w:proofErr w:type="gramEnd"/>
      <w:r w:rsidR="00011AC7">
        <w:t xml:space="preserve"> aggregate or non-identifiable information may be published without obtaining explicit patient consent and this must be approved through user and source data requests.</w:t>
      </w:r>
    </w:p>
    <w:p w14:paraId="4B9E3AA0" w14:textId="5E0FA8CB" w:rsidR="00011AC7" w:rsidRDefault="00011AC7" w:rsidP="000D73BE">
      <w:pPr>
        <w:pStyle w:val="Heading1-nonumbering"/>
      </w:pPr>
      <w:bookmarkStart w:id="533" w:name="_Toc489004346"/>
      <w:bookmarkStart w:id="534" w:name="_Toc491259754"/>
      <w:bookmarkStart w:id="535" w:name="_Toc410131357"/>
      <w:r>
        <w:lastRenderedPageBreak/>
        <w:t>Appendix 9</w:t>
      </w:r>
      <w:r w:rsidR="000D73BE">
        <w:t>:</w:t>
      </w:r>
      <w:r>
        <w:t xml:space="preserve"> Privacy impact assessments</w:t>
      </w:r>
      <w:bookmarkEnd w:id="533"/>
      <w:bookmarkEnd w:id="534"/>
    </w:p>
    <w:p w14:paraId="103BE67E" w14:textId="77777777" w:rsidR="00011AC7" w:rsidRPr="00D254CD" w:rsidRDefault="00011AC7" w:rsidP="000D73BE">
      <w:pPr>
        <w:pStyle w:val="Heading2-nonumbering"/>
      </w:pPr>
      <w:bookmarkStart w:id="536" w:name="_Toc489004347"/>
      <w:bookmarkEnd w:id="535"/>
      <w:r w:rsidRPr="00D254CD">
        <w:t>What are the benefits of a PIA?</w:t>
      </w:r>
      <w:bookmarkEnd w:id="536"/>
    </w:p>
    <w:p w14:paraId="6506257F" w14:textId="77777777" w:rsidR="00011AC7" w:rsidRPr="00D254CD" w:rsidRDefault="00011AC7" w:rsidP="000D73BE">
      <w:r w:rsidRPr="00D254CD">
        <w:t>PIA offers a tool to undertake the systematic analysis of privacy issues arising from a project in order to inform decision-makers. PIA can provide a credible source of information by assuaging alarmist fears or alerting the complacent to potential pitfalls.</w:t>
      </w:r>
    </w:p>
    <w:p w14:paraId="37D95C0B" w14:textId="77777777" w:rsidR="00011AC7" w:rsidRPr="00D254CD" w:rsidRDefault="00011AC7" w:rsidP="000D73BE">
      <w:r w:rsidRPr="00D254CD">
        <w:t>In some cases bitter consumer and public reaction has led to the withdrawal of a new and expensively developed product for privacy reasons. PIA ensures that a business is the first to find out about privacy pitfalls in its project, rather than learning of them from critics or competitors. A privacy impact report can save money and protect reputation.</w:t>
      </w:r>
    </w:p>
    <w:p w14:paraId="28ACE2D8" w14:textId="273E473C" w:rsidR="00011AC7" w:rsidRPr="00D254CD" w:rsidRDefault="00011AC7" w:rsidP="000D73BE">
      <w:r w:rsidRPr="00D254CD">
        <w:t xml:space="preserve">PIA brings privacy responsibility clearly back to the proponent of a proposal. They must </w:t>
      </w:r>
      <w:r w:rsidR="000D73BE">
        <w:t>‘</w:t>
      </w:r>
      <w:r w:rsidRPr="00D254CD">
        <w:t>own</w:t>
      </w:r>
      <w:r w:rsidR="000D73BE">
        <w:t>’</w:t>
      </w:r>
      <w:r w:rsidRPr="00D254CD">
        <w:t xml:space="preserve"> any problems and devise appropriate responses in the design and planning phases. It also ensures that divisions within larger businesses recognise that their projects must not jeopardise the trust vested in the wider business.</w:t>
      </w:r>
    </w:p>
    <w:p w14:paraId="0B8751F0" w14:textId="77777777" w:rsidR="00011AC7" w:rsidRPr="00D254CD" w:rsidRDefault="00011AC7" w:rsidP="000D73BE">
      <w:r w:rsidRPr="00D254CD">
        <w:t>PIA encourages cost-effective solutions, since it is cheaper to do things at the design phase to meet privacy concerns than attempt to retrofit after a system is operational.</w:t>
      </w:r>
    </w:p>
    <w:p w14:paraId="615F1304" w14:textId="77777777" w:rsidR="00011AC7" w:rsidRPr="00D254CD" w:rsidRDefault="00011AC7" w:rsidP="000D73BE">
      <w:r w:rsidRPr="00D254CD">
        <w:t>PIA can make the difference between an invasive and a privacy enhancing initiative, without compromising business objectives or adding significant costs.</w:t>
      </w:r>
    </w:p>
    <w:p w14:paraId="17696E73" w14:textId="77777777" w:rsidR="00011AC7" w:rsidRPr="00D254CD" w:rsidRDefault="00011AC7" w:rsidP="000D73BE">
      <w:r w:rsidRPr="00D254CD">
        <w:t>The Privacy Commissioner can add value to the process by reviewing a privacy impact report, rather than having to investigate the practices of the business itself. This is cost effective for the Commissioner and</w:t>
      </w:r>
      <w:r>
        <w:t xml:space="preserve"> less intrusive for a business.</w:t>
      </w:r>
    </w:p>
    <w:p w14:paraId="42BEFE21" w14:textId="1B3F9766" w:rsidR="00011AC7" w:rsidRPr="006851C6" w:rsidRDefault="00011AC7" w:rsidP="000D73BE">
      <w:r w:rsidRPr="00D254CD">
        <w:t>Significant risks to privacy exist in e-commerce and e-government. These risks must be confronted if trust and confidence are to prevail in the relationships with consumers and citizens. Until the hallmarks of trust and confidence are reflected in community perceptions, electronic service delivery will be impeded in realising its full potential</w:t>
      </w:r>
      <w:r w:rsidR="000D73BE">
        <w:t>.</w:t>
      </w:r>
      <w:r w:rsidRPr="000D73BE">
        <w:rPr>
          <w:rStyle w:val="FootnoteReference"/>
        </w:rPr>
        <w:footnoteReference w:id="77"/>
      </w:r>
      <w:bookmarkStart w:id="537" w:name="_Toc397415177"/>
    </w:p>
    <w:p w14:paraId="3428155A" w14:textId="77777777" w:rsidR="00D56B08" w:rsidRDefault="00011AC7" w:rsidP="000D73BE">
      <w:pPr>
        <w:pStyle w:val="Heading2-nonumbering"/>
      </w:pPr>
      <w:bookmarkStart w:id="538" w:name="_Toc489004348"/>
      <w:r w:rsidRPr="00CD6D89">
        <w:t>When to undertake a PIA</w:t>
      </w:r>
      <w:bookmarkEnd w:id="537"/>
      <w:bookmarkEnd w:id="538"/>
    </w:p>
    <w:p w14:paraId="00C7DD9D" w14:textId="77777777" w:rsidR="00D56B08" w:rsidRDefault="00011AC7" w:rsidP="000D73BE">
      <w:r>
        <w:t>A PIA should be undertaken as part of the planning stage and once a decision as to what the proposed new system will look like has been determined. This allows privacy issues to be identified and addressed systematically and reliably throughout the life of the project.</w:t>
      </w:r>
    </w:p>
    <w:p w14:paraId="0E8D8131" w14:textId="77777777" w:rsidR="00011AC7" w:rsidRDefault="00011AC7" w:rsidP="000D73BE">
      <w:r>
        <w:t>Early attention to privacy issues allows for privacy friendly approaches to be considered and implemented which might not otherwise be considered. In the long term, taking privacy seriously helps build people</w:t>
      </w:r>
      <w:r w:rsidR="00D56B08">
        <w:t>’</w:t>
      </w:r>
      <w:r>
        <w:t>s trust in government and avoids bad publicity and reduces public resistance to compliance.</w:t>
      </w:r>
    </w:p>
    <w:p w14:paraId="65A1EE45" w14:textId="77777777" w:rsidR="00011AC7" w:rsidRDefault="00011AC7" w:rsidP="000D73BE">
      <w:r>
        <w:lastRenderedPageBreak/>
        <w:t>Set out below in diagrammatic format is a decision tree for when a PIA is needed. It should not however, be read as an exhaustive list.</w:t>
      </w:r>
      <w:r w:rsidRPr="000D73BE">
        <w:rPr>
          <w:rStyle w:val="FootnoteReference"/>
        </w:rPr>
        <w:footnoteReference w:id="78"/>
      </w:r>
    </w:p>
    <w:p w14:paraId="103EBEA0" w14:textId="77777777" w:rsidR="00011AC7" w:rsidRDefault="00011AC7" w:rsidP="000D73BE">
      <w:r>
        <w:rPr>
          <w:noProof/>
          <w:lang w:eastAsia="en-NZ"/>
        </w:rPr>
        <w:drawing>
          <wp:inline distT="0" distB="0" distL="0" distR="0" wp14:anchorId="0F71394C" wp14:editId="05AFDC33">
            <wp:extent cx="5918661" cy="8307523"/>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3122" cy="8313784"/>
                    </a:xfrm>
                    <a:prstGeom prst="rect">
                      <a:avLst/>
                    </a:prstGeom>
                    <a:noFill/>
                    <a:ln>
                      <a:noFill/>
                    </a:ln>
                  </pic:spPr>
                </pic:pic>
              </a:graphicData>
            </a:graphic>
          </wp:inline>
        </w:drawing>
      </w:r>
    </w:p>
    <w:p w14:paraId="5223AAFC" w14:textId="77777777" w:rsidR="00011AC7" w:rsidRDefault="00011AC7" w:rsidP="000D73BE">
      <w:pPr>
        <w:pStyle w:val="Heading2-nonumbering"/>
      </w:pPr>
      <w:bookmarkStart w:id="539" w:name="_Toc397415190"/>
      <w:bookmarkStart w:id="540" w:name="_Toc489004349"/>
      <w:r>
        <w:lastRenderedPageBreak/>
        <w:t>Resources</w:t>
      </w:r>
      <w:bookmarkEnd w:id="539"/>
      <w:bookmarkEnd w:id="540"/>
    </w:p>
    <w:p w14:paraId="3D635B7D" w14:textId="77777777" w:rsidR="00011AC7" w:rsidRPr="00BC1FDE" w:rsidRDefault="00011AC7" w:rsidP="000D73BE">
      <w:pPr>
        <w:pStyle w:val="Heading3-nonumbering"/>
      </w:pPr>
      <w:r w:rsidRPr="00BC1FDE">
        <w:t>New Zealand</w:t>
      </w:r>
    </w:p>
    <w:p w14:paraId="27B9B15D" w14:textId="77777777" w:rsidR="00D56B08" w:rsidRDefault="00011AC7" w:rsidP="000D73BE">
      <w:r w:rsidRPr="001963F3">
        <w:rPr>
          <w:i/>
        </w:rPr>
        <w:t>Privacy Impact Assessment Handbook</w:t>
      </w:r>
      <w:r>
        <w:t>, Office of the Privacy Commissioner, 16 July 2008</w:t>
      </w:r>
      <w:r w:rsidR="000D73BE">
        <w:t xml:space="preserve"> </w:t>
      </w:r>
      <w:hyperlink r:id="rId37" w:history="1">
        <w:r w:rsidRPr="00DA20F9">
          <w:rPr>
            <w:rStyle w:val="Hyperlink"/>
          </w:rPr>
          <w:t>http://www.privacy.org.nz/news-and-publications/guidance-notes/privacy-impact-assessment-handbook/</w:t>
        </w:r>
      </w:hyperlink>
    </w:p>
    <w:p w14:paraId="19D6064B" w14:textId="77777777" w:rsidR="00D56B08" w:rsidRDefault="00011AC7" w:rsidP="000D73BE">
      <w:r>
        <w:t>The Commissioner</w:t>
      </w:r>
      <w:r w:rsidR="00D56B08">
        <w:t>’</w:t>
      </w:r>
      <w:r>
        <w:t>s website also has many other helpful resources including explanations of the 12</w:t>
      </w:r>
      <w:r w:rsidR="000D73BE">
        <w:t> </w:t>
      </w:r>
      <w:r>
        <w:t xml:space="preserve">Privacy Principles </w:t>
      </w:r>
      <w:hyperlink r:id="rId38" w:history="1">
        <w:r w:rsidRPr="00DA20F9">
          <w:rPr>
            <w:rStyle w:val="Hyperlink"/>
          </w:rPr>
          <w:t>http://www.privacy.org.nz/the-privacy-act-and-codes/privacy-principles/</w:t>
        </w:r>
      </w:hyperlink>
    </w:p>
    <w:p w14:paraId="42BC25FD" w14:textId="1A3EB712" w:rsidR="00D56B08" w:rsidRDefault="00011AC7" w:rsidP="00011AC7">
      <w:r>
        <w:t>The Government Chief Privacy Officer</w:t>
      </w:r>
      <w:r w:rsidR="000D73BE">
        <w:t xml:space="preserve"> – t</w:t>
      </w:r>
      <w:r>
        <w:t>he office has some useful resources in terms of PIAs. Their contact details are</w:t>
      </w:r>
      <w:r w:rsidR="000D73BE">
        <w:t xml:space="preserve">: </w:t>
      </w:r>
      <w:hyperlink r:id="rId39" w:history="1">
        <w:r w:rsidRPr="0011426D">
          <w:rPr>
            <w:rStyle w:val="Hyperlink"/>
          </w:rPr>
          <w:t>https://ict.govt.nz/governance-and-leadership/the-gcio-team/government-chief-privacy-officer</w:t>
        </w:r>
        <w:r w:rsidRPr="006234B7">
          <w:rPr>
            <w:rStyle w:val="Hyperlink"/>
          </w:rPr>
          <w:t>/</w:t>
        </w:r>
      </w:hyperlink>
      <w:r w:rsidR="000D73BE">
        <w:rPr>
          <w:rStyle w:val="Hyperlink"/>
        </w:rPr>
        <w:t xml:space="preserve"> </w:t>
      </w:r>
      <w:r w:rsidRPr="0011426D">
        <w:t xml:space="preserve">email: </w:t>
      </w:r>
      <w:hyperlink r:id="rId40" w:history="1">
        <w:r w:rsidRPr="0011426D">
          <w:t>gcpo@dia.govt.nz</w:t>
        </w:r>
      </w:hyperlink>
    </w:p>
    <w:p w14:paraId="470A4456" w14:textId="77777777" w:rsidR="00011AC7" w:rsidRPr="008937A5" w:rsidRDefault="00011AC7" w:rsidP="000D73BE">
      <w:pPr>
        <w:pStyle w:val="Heading3-nonumbering"/>
      </w:pPr>
      <w:r w:rsidRPr="008937A5">
        <w:t>Australia</w:t>
      </w:r>
    </w:p>
    <w:p w14:paraId="6FEC6085" w14:textId="77777777" w:rsidR="00011AC7" w:rsidRPr="001963F3" w:rsidRDefault="00011AC7" w:rsidP="000D73BE">
      <w:pPr>
        <w:pStyle w:val="Heading4"/>
      </w:pPr>
      <w:r w:rsidRPr="001963F3">
        <w:t>Office of the Australian Information Commissioner</w:t>
      </w:r>
    </w:p>
    <w:p w14:paraId="5A3FC0E1" w14:textId="77777777" w:rsidR="00D56B08" w:rsidRDefault="00011AC7" w:rsidP="00011AC7">
      <w:r w:rsidRPr="001963F3">
        <w:rPr>
          <w:i/>
        </w:rPr>
        <w:t>Guide to undertaking privacy impact assessments</w:t>
      </w:r>
      <w:r>
        <w:t xml:space="preserve">, May 2014 </w:t>
      </w:r>
      <w:hyperlink r:id="rId41" w:history="1">
        <w:r w:rsidRPr="00DA20F9">
          <w:rPr>
            <w:rStyle w:val="Hyperlink"/>
          </w:rPr>
          <w:t>http://www.oaic.gov.au/privacy/privacy-resources/privacy-guides/guide-to-undertaking-privacy-impact-assessments</w:t>
        </w:r>
      </w:hyperlink>
    </w:p>
    <w:p w14:paraId="5AD76D99" w14:textId="77777777" w:rsidR="00D56B08" w:rsidRDefault="00011AC7" w:rsidP="00011AC7">
      <w:r w:rsidRPr="001963F3">
        <w:rPr>
          <w:i/>
        </w:rPr>
        <w:t>Guide to undertaking privacy impact assessments</w:t>
      </w:r>
      <w:r w:rsidR="00D56B08">
        <w:rPr>
          <w:i/>
        </w:rPr>
        <w:t xml:space="preserve"> – </w:t>
      </w:r>
      <w:r w:rsidRPr="001963F3">
        <w:rPr>
          <w:i/>
        </w:rPr>
        <w:t>summary</w:t>
      </w:r>
      <w:r>
        <w:t>, May 2014</w:t>
      </w:r>
      <w:r w:rsidR="000D73BE">
        <w:t xml:space="preserve"> </w:t>
      </w:r>
      <w:hyperlink r:id="rId42" w:history="1">
        <w:r w:rsidRPr="00DA20F9">
          <w:rPr>
            <w:rStyle w:val="Hyperlink"/>
          </w:rPr>
          <w:t>http://www.oaic.gov.au/privacy/privacy-resources/privacy-guides/pia-guide-qrt</w:t>
        </w:r>
      </w:hyperlink>
    </w:p>
    <w:p w14:paraId="15947C13" w14:textId="77777777" w:rsidR="000D73BE" w:rsidRDefault="00011AC7" w:rsidP="000D73BE">
      <w:pPr>
        <w:pStyle w:val="Heading4"/>
      </w:pPr>
      <w:r>
        <w:t>Office of the Victorian Privacy Commissioner</w:t>
      </w:r>
    </w:p>
    <w:p w14:paraId="586EA655" w14:textId="49CCF8AD" w:rsidR="00C77C4F" w:rsidRDefault="00011AC7" w:rsidP="00011AC7">
      <w:r>
        <w:t>Privacy impact assessments guide, April 2009</w:t>
      </w:r>
      <w:r w:rsidR="00EF6708">
        <w:t>.</w:t>
      </w:r>
      <w:r w:rsidR="000D73BE">
        <w:rPr>
          <w:rStyle w:val="Hyperlink"/>
        </w:rPr>
        <w:t xml:space="preserve"> </w:t>
      </w:r>
      <w:r>
        <w:t>This page also provides a report template and a guide for completing it. The guide to the template provides an extensive list of common risks and possible mitigation strategies.</w:t>
      </w:r>
      <w:r w:rsidR="00EF6708">
        <w:t xml:space="preserve"> </w:t>
      </w:r>
    </w:p>
    <w:p w14:paraId="7C68912E" w14:textId="27F0023E" w:rsidR="00011AC7" w:rsidRDefault="00C77C4F" w:rsidP="00011AC7">
      <w:pPr>
        <w:rPr>
          <w:rStyle w:val="Hyperlink"/>
        </w:rPr>
      </w:pPr>
      <w:r w:rsidRPr="00C77C4F">
        <w:t>https://www.cpdp.vic.gov.au/menu-resources/resources-privacy/resources-privacy-guidelines</w:t>
      </w:r>
    </w:p>
    <w:p w14:paraId="52969F53" w14:textId="576CDA1D" w:rsidR="00D56B08" w:rsidRDefault="00011AC7" w:rsidP="00011AC7">
      <w:r>
        <w:t xml:space="preserve">A short </w:t>
      </w:r>
      <w:r w:rsidRPr="00D83DB1">
        <w:rPr>
          <w:i/>
        </w:rPr>
        <w:t>Identifying privacy issues early checklist</w:t>
      </w:r>
      <w:r>
        <w:t xml:space="preserve"> is available here </w:t>
      </w:r>
      <w:r w:rsidR="00C77C4F" w:rsidRPr="00C77C4F">
        <w:t>https://www.cpdp.vic.gov.au/menu-resources/resources-privacy/resources-privacy-link-library</w:t>
      </w:r>
      <w:r w:rsidR="00C77C4F" w:rsidRPr="00C77C4F" w:rsidDel="00C77C4F">
        <w:t xml:space="preserve"> </w:t>
      </w:r>
    </w:p>
    <w:p w14:paraId="776B18AD" w14:textId="77777777" w:rsidR="00011AC7" w:rsidRPr="008937A5" w:rsidRDefault="00011AC7" w:rsidP="000D73BE">
      <w:pPr>
        <w:pStyle w:val="Heading3-nonumbering"/>
      </w:pPr>
      <w:r w:rsidRPr="008937A5">
        <w:t>Canada</w:t>
      </w:r>
    </w:p>
    <w:p w14:paraId="629EA9C5" w14:textId="05F87F81" w:rsidR="00D56B08" w:rsidRDefault="00011AC7" w:rsidP="00011AC7">
      <w:r>
        <w:t xml:space="preserve">Office of the Privacy Commissioner of Canada publishes a fact sheet on </w:t>
      </w:r>
      <w:r w:rsidRPr="001963F3">
        <w:rPr>
          <w:i/>
        </w:rPr>
        <w:t>Privacy Impact Assessments</w:t>
      </w:r>
      <w:r>
        <w:t xml:space="preserve"> </w:t>
      </w:r>
      <w:r w:rsidR="00C77C4F" w:rsidRPr="00C77C4F">
        <w:t>https://www.priv.gc.ca/en/privacy-topics/privacy-impact-assessments/</w:t>
      </w:r>
    </w:p>
    <w:p w14:paraId="7BE3CD65" w14:textId="294019BC" w:rsidR="00D56B08" w:rsidRDefault="00011AC7" w:rsidP="00011AC7">
      <w:r>
        <w:t xml:space="preserve">They also have a video </w:t>
      </w:r>
      <w:proofErr w:type="gramStart"/>
      <w:r w:rsidRPr="001963F3">
        <w:rPr>
          <w:i/>
        </w:rPr>
        <w:t>Why</w:t>
      </w:r>
      <w:proofErr w:type="gramEnd"/>
      <w:r w:rsidRPr="001963F3">
        <w:rPr>
          <w:i/>
        </w:rPr>
        <w:t xml:space="preserve"> think about privacy: A guide to the Privacy impact assessment process</w:t>
      </w:r>
      <w:r w:rsidR="000D73BE">
        <w:t xml:space="preserve">, </w:t>
      </w:r>
      <w:r w:rsidR="00C77C4F" w:rsidRPr="00C77C4F">
        <w:t>https://www.priv.gc.ca/en/privacy-topics/privacy-impact-assessments/pia_2013_index/</w:t>
      </w:r>
    </w:p>
    <w:p w14:paraId="6D4B8BEE" w14:textId="77777777" w:rsidR="00D56B08" w:rsidRDefault="00011AC7" w:rsidP="00011AC7">
      <w:r>
        <w:t xml:space="preserve">Note: this advice is tailored to a Treasury Board of Canada </w:t>
      </w:r>
      <w:r w:rsidRPr="001963F3">
        <w:rPr>
          <w:i/>
        </w:rPr>
        <w:t>Directive o</w:t>
      </w:r>
      <w:r>
        <w:rPr>
          <w:i/>
        </w:rPr>
        <w:t>n</w:t>
      </w:r>
      <w:r w:rsidRPr="001963F3">
        <w:rPr>
          <w:i/>
        </w:rPr>
        <w:t xml:space="preserve"> Privacy Impact Assessment</w:t>
      </w:r>
      <w:r>
        <w:t xml:space="preserve"> that requires federal government agencies to carry out PIAs that are reviewed by the OPC.</w:t>
      </w:r>
    </w:p>
    <w:p w14:paraId="06442D90" w14:textId="677B9AE0" w:rsidR="00D56B08" w:rsidRDefault="00011AC7" w:rsidP="000D73BE">
      <w:pPr>
        <w:keepLines/>
      </w:pPr>
      <w:r>
        <w:lastRenderedPageBreak/>
        <w:t>Information and Privacy Commissioner of Ontario, Privacy by Design website</w:t>
      </w:r>
      <w:r w:rsidR="000D73BE">
        <w:rPr>
          <w:rStyle w:val="Hyperlink"/>
        </w:rPr>
        <w:t xml:space="preserve">. </w:t>
      </w:r>
      <w:r>
        <w:t>This website has an extensive collection of material about incorporating privacy sensitivity into the design of business processes and supporting computer systems.</w:t>
      </w:r>
      <w:r w:rsidR="00C77C4F">
        <w:t xml:space="preserve"> </w:t>
      </w:r>
      <w:hyperlink r:id="rId43" w:history="1">
        <w:r w:rsidR="00C77C4F" w:rsidRPr="00DA20F9">
          <w:rPr>
            <w:rStyle w:val="Hyperlink"/>
          </w:rPr>
          <w:t>http://www.privacybydesign.ca/</w:t>
        </w:r>
      </w:hyperlink>
    </w:p>
    <w:p w14:paraId="0094A9C9" w14:textId="77777777" w:rsidR="00011AC7" w:rsidRPr="0011426D" w:rsidRDefault="00011AC7" w:rsidP="000D73BE">
      <w:pPr>
        <w:pStyle w:val="Heading3-nonumbering"/>
      </w:pPr>
      <w:r w:rsidRPr="0011426D">
        <w:t>Government of British Columbia</w:t>
      </w:r>
    </w:p>
    <w:p w14:paraId="62422789" w14:textId="7A2005EF" w:rsidR="00D56B08" w:rsidRDefault="00011AC7" w:rsidP="00011AC7">
      <w:r>
        <w:t xml:space="preserve">Government agencies are required to conduct PIAs for </w:t>
      </w:r>
      <w:r w:rsidR="000D73BE">
        <w:t>‘</w:t>
      </w:r>
      <w:r w:rsidRPr="000C1F03">
        <w:t>all new and existing enactments, systems, programs, projects and activities</w:t>
      </w:r>
      <w:r w:rsidR="000D73BE">
        <w:t>’</w:t>
      </w:r>
      <w:r>
        <w:t xml:space="preserve">. This is the page with their PIA </w:t>
      </w:r>
      <w:r w:rsidRPr="000C1F03">
        <w:rPr>
          <w:i/>
        </w:rPr>
        <w:t>Guidelines</w:t>
      </w:r>
      <w:r>
        <w:t xml:space="preserve"> document: </w:t>
      </w:r>
      <w:hyperlink r:id="rId44" w:history="1">
        <w:r w:rsidRPr="00DA20F9">
          <w:rPr>
            <w:rStyle w:val="Hyperlink"/>
          </w:rPr>
          <w:t>http://www.cio.gov.bc.ca/cio/priv_leg/foippa/pia/pia_index.page</w:t>
        </w:r>
      </w:hyperlink>
      <w:r w:rsidRPr="000C1F03">
        <w:t>?</w:t>
      </w:r>
    </w:p>
    <w:p w14:paraId="1EF3905C" w14:textId="77777777" w:rsidR="00011AC7" w:rsidRPr="008937A5" w:rsidRDefault="00011AC7" w:rsidP="000D73BE">
      <w:pPr>
        <w:pStyle w:val="Heading3-nonumbering"/>
      </w:pPr>
      <w:r w:rsidRPr="008937A5">
        <w:t>United Kingdom</w:t>
      </w:r>
    </w:p>
    <w:p w14:paraId="00F5D358" w14:textId="77777777" w:rsidR="00D56B08" w:rsidRDefault="00011AC7" w:rsidP="00011AC7">
      <w:r>
        <w:t>Information Commissioner</w:t>
      </w:r>
      <w:r w:rsidR="00D56B08">
        <w:t>’</w:t>
      </w:r>
      <w:r>
        <w:t xml:space="preserve">s </w:t>
      </w:r>
      <w:proofErr w:type="gramStart"/>
      <w:r w:rsidRPr="00873254">
        <w:rPr>
          <w:i/>
        </w:rPr>
        <w:t>Conducting</w:t>
      </w:r>
      <w:proofErr w:type="gramEnd"/>
      <w:r w:rsidRPr="00873254">
        <w:rPr>
          <w:i/>
        </w:rPr>
        <w:t xml:space="preserve"> privacy impact assessments code of practice</w:t>
      </w:r>
      <w:r>
        <w:t xml:space="preserve"> and links to research commissioned for the Office into PIA best practice are available here: </w:t>
      </w:r>
      <w:hyperlink r:id="rId45" w:history="1">
        <w:r w:rsidRPr="00DA20F9">
          <w:rPr>
            <w:rStyle w:val="Hyperlink"/>
          </w:rPr>
          <w:t>http://ico.org.uk/for_organisations/data_protection/topic_guides/privacy_impact_assessment</w:t>
        </w:r>
      </w:hyperlink>
    </w:p>
    <w:p w14:paraId="71B99A1A" w14:textId="77777777" w:rsidR="00011AC7" w:rsidRPr="008937A5" w:rsidRDefault="00011AC7" w:rsidP="000D73BE">
      <w:pPr>
        <w:pStyle w:val="Heading3-nonumbering"/>
      </w:pPr>
      <w:r w:rsidRPr="008937A5">
        <w:t>United States</w:t>
      </w:r>
    </w:p>
    <w:p w14:paraId="7859CE0E" w14:textId="47E1FE03" w:rsidR="00D56B08" w:rsidRDefault="00011AC7" w:rsidP="00011AC7">
      <w:r>
        <w:t xml:space="preserve">The </w:t>
      </w:r>
      <w:r w:rsidR="000D73BE">
        <w:t>F</w:t>
      </w:r>
      <w:r>
        <w:t>ederal Office of Management and Budget has issued requirements and guidance on PIAs</w:t>
      </w:r>
      <w:r w:rsidR="000D73BE">
        <w:t xml:space="preserve">. </w:t>
      </w:r>
      <w:r w:rsidRPr="0019390A">
        <w:rPr>
          <w:i/>
        </w:rPr>
        <w:t>M-03-22 OMB guidance for implementing the privacy provisions of the E-Government Act of 2002</w:t>
      </w:r>
      <w:r w:rsidR="00173B2B">
        <w:rPr>
          <w:i/>
        </w:rPr>
        <w:t xml:space="preserve">.  </w:t>
      </w:r>
      <w:r w:rsidR="00173B2B" w:rsidRPr="00173B2B">
        <w:rPr>
          <w:rStyle w:val="Hyperlink"/>
        </w:rPr>
        <w:t>https://www.whitehouse.gov/omb/information-for-agencies/memoranda#memoranda-2002</w:t>
      </w:r>
    </w:p>
    <w:p w14:paraId="2842E925" w14:textId="77777777" w:rsidR="00D56B08" w:rsidRDefault="00011AC7" w:rsidP="00011AC7">
      <w:r w:rsidRPr="0019390A">
        <w:rPr>
          <w:i/>
        </w:rPr>
        <w:t>Model privacy impact assessment for agency use of third-party website and applications</w:t>
      </w:r>
      <w:r>
        <w:t xml:space="preserve"> </w:t>
      </w:r>
      <w:hyperlink r:id="rId46" w:history="1">
        <w:r w:rsidRPr="00DA20F9">
          <w:rPr>
            <w:rStyle w:val="Hyperlink"/>
          </w:rPr>
          <w:t>http://www.whitehouse.gov/sites/default/files/omb/inforeg/info_policy/model-pia-agency-use-third-party-websites-and-applications.pdf</w:t>
        </w:r>
      </w:hyperlink>
    </w:p>
    <w:p w14:paraId="29F7063C" w14:textId="77777777" w:rsidR="00D56B08" w:rsidRDefault="00011AC7" w:rsidP="00011AC7">
      <w:r w:rsidRPr="0011426D">
        <w:t>Other material can be found through this page:</w:t>
      </w:r>
      <w:r w:rsidR="000D73BE">
        <w:t xml:space="preserve"> </w:t>
      </w:r>
      <w:hyperlink r:id="rId47" w:anchor="pg" w:history="1">
        <w:r w:rsidRPr="00DA20F9">
          <w:rPr>
            <w:rStyle w:val="Hyperlink"/>
          </w:rPr>
          <w:t>http://www.whitehouse.gov/omb/inforeg_infopoltech/#pg</w:t>
        </w:r>
      </w:hyperlink>
    </w:p>
    <w:p w14:paraId="04B704D1" w14:textId="77777777" w:rsidR="00D56B08" w:rsidRDefault="00011AC7" w:rsidP="00011AC7">
      <w:r>
        <w:t xml:space="preserve">The National Institute of Standards and Technology publishes </w:t>
      </w:r>
      <w:r w:rsidRPr="00FB26F2">
        <w:rPr>
          <w:i/>
        </w:rPr>
        <w:t>Security and privacy controls for federal information systems</w:t>
      </w:r>
      <w:r>
        <w:t xml:space="preserve"> NIST-SP 800-53, Revision 4. Appendix J contains the privacy controls (risk mitigations). </w:t>
      </w:r>
      <w:hyperlink r:id="rId48" w:history="1">
        <w:r w:rsidRPr="00DA20F9">
          <w:rPr>
            <w:rStyle w:val="Hyperlink"/>
          </w:rPr>
          <w:t>http://www.nist.gov/manuscript-publication-search.cfm?pub_id=915447</w:t>
        </w:r>
      </w:hyperlink>
    </w:p>
    <w:p w14:paraId="7C40714E" w14:textId="4EDD0D3B" w:rsidR="00011AC7" w:rsidRDefault="00011AC7" w:rsidP="000D73BE">
      <w:pPr>
        <w:pStyle w:val="Heading1-nonumbering"/>
      </w:pPr>
      <w:bookmarkStart w:id="541" w:name="_Toc476648212"/>
      <w:bookmarkStart w:id="542" w:name="_Toc489004350"/>
      <w:bookmarkStart w:id="543" w:name="_Toc491259755"/>
      <w:r>
        <w:lastRenderedPageBreak/>
        <w:t>Appendix 10</w:t>
      </w:r>
      <w:bookmarkEnd w:id="541"/>
      <w:r w:rsidR="000D73BE">
        <w:t>:</w:t>
      </w:r>
      <w:r>
        <w:t xml:space="preserve"> Disclosure to third parties</w:t>
      </w:r>
      <w:bookmarkEnd w:id="542"/>
      <w:bookmarkEnd w:id="543"/>
    </w:p>
    <w:p w14:paraId="4F47C40E" w14:textId="0E810B31" w:rsidR="00D56B08" w:rsidRDefault="00011AC7" w:rsidP="000D73BE">
      <w:pPr>
        <w:pStyle w:val="Heading2-nonumbering"/>
      </w:pPr>
      <w:r w:rsidRPr="00CF0A02">
        <w:t xml:space="preserve">Disclosure to Police and other </w:t>
      </w:r>
      <w:r w:rsidR="000D73BE">
        <w:t>g</w:t>
      </w:r>
      <w:r w:rsidRPr="00CF0A02">
        <w:t xml:space="preserve">overnment or </w:t>
      </w:r>
      <w:r w:rsidR="000D73BE">
        <w:t>s</w:t>
      </w:r>
      <w:r w:rsidRPr="00CF0A02">
        <w:t xml:space="preserve">ector </w:t>
      </w:r>
      <w:r w:rsidR="000D73BE">
        <w:t>a</w:t>
      </w:r>
      <w:r w:rsidRPr="00CF0A02">
        <w:t>gencies</w:t>
      </w:r>
    </w:p>
    <w:p w14:paraId="0F393DB5" w14:textId="77777777" w:rsidR="00011AC7" w:rsidRPr="00485E85" w:rsidRDefault="00011AC7" w:rsidP="000D73BE">
      <w:r w:rsidRPr="00485E85">
        <w:t>Requests for disclosure of identifiable health information official agencies like ACC, the Ministry of Health or the Police can raise dilemmas for health agencies; on the one hand, every health agency needs to respect the confidentiality of the patient; on the other hand there are a number of laws that either allow or (rarely) require information to be disclosed.</w:t>
      </w:r>
    </w:p>
    <w:p w14:paraId="2200FC75" w14:textId="49ED8665" w:rsidR="00011AC7" w:rsidRPr="00485E85" w:rsidRDefault="00011AC7" w:rsidP="000D73BE">
      <w:r w:rsidRPr="00485E85">
        <w:t xml:space="preserve">The first question to resolve is whether the disclosure is compulsory, and what will happen if the request for disclosure is refused. </w:t>
      </w:r>
      <w:r>
        <w:t xml:space="preserve">Asking for the legal basis of the decision (a copy of the </w:t>
      </w:r>
      <w:r w:rsidR="000D73BE">
        <w:t>s</w:t>
      </w:r>
      <w:r>
        <w:t xml:space="preserve">earch </w:t>
      </w:r>
      <w:r w:rsidR="000D73BE">
        <w:t>w</w:t>
      </w:r>
      <w:r>
        <w:t xml:space="preserve">arrant or reference to the applicable legislation) is good standard practice. </w:t>
      </w:r>
      <w:r w:rsidRPr="00485E85">
        <w:t>Some of the few agencies that can require information to be provided are:</w:t>
      </w:r>
    </w:p>
    <w:p w14:paraId="1AE1D4B8" w14:textId="77777777" w:rsidR="00011AC7" w:rsidRPr="005D348A" w:rsidRDefault="00011AC7" w:rsidP="000D73BE">
      <w:pPr>
        <w:pStyle w:val="Heading3-nonumbering"/>
      </w:pPr>
      <w:r w:rsidRPr="005D348A">
        <w:t>Section 11 of the Social Security Act 1964</w:t>
      </w:r>
    </w:p>
    <w:p w14:paraId="64AA63DE" w14:textId="3849A330" w:rsidR="00011AC7" w:rsidRDefault="00011AC7" w:rsidP="000D73BE">
      <w:r>
        <w:t xml:space="preserve">Where the Ministry of Social Development needs to </w:t>
      </w:r>
      <w:r w:rsidR="000D73BE">
        <w:t>–</w:t>
      </w:r>
    </w:p>
    <w:p w14:paraId="77C6315C" w14:textId="77777777" w:rsidR="00011AC7" w:rsidRPr="00485E85" w:rsidRDefault="00011AC7" w:rsidP="000D73BE">
      <w:pPr>
        <w:pStyle w:val="Bullet"/>
        <w:rPr>
          <w:lang w:eastAsia="en-NZ"/>
        </w:rPr>
      </w:pPr>
      <w:r w:rsidRPr="00485E85">
        <w:rPr>
          <w:lang w:eastAsia="en-NZ"/>
        </w:rPr>
        <w:t xml:space="preserve">determine whether a person is receiving, or has received, or made a claim for, a benefit or payment under the Social Security Act or </w:t>
      </w:r>
      <w:bookmarkStart w:id="544" w:name="DLM285274"/>
      <w:bookmarkStart w:id="545" w:name="DLM113923"/>
      <w:r w:rsidRPr="00485E85">
        <w:rPr>
          <w:lang w:eastAsia="en-NZ"/>
        </w:rPr>
        <w:t>related legislation</w:t>
      </w:r>
    </w:p>
    <w:p w14:paraId="09607DFA" w14:textId="77777777" w:rsidR="00011AC7" w:rsidRPr="00485E85" w:rsidRDefault="00011AC7" w:rsidP="000D73BE">
      <w:pPr>
        <w:pStyle w:val="Bullet"/>
        <w:rPr>
          <w:lang w:eastAsia="en-NZ"/>
        </w:rPr>
      </w:pPr>
      <w:r w:rsidRPr="00485E85">
        <w:rPr>
          <w:lang w:eastAsia="en-NZ"/>
        </w:rPr>
        <w:t>determine the rate of benefit or payment that is or was applicable to that person; or</w:t>
      </w:r>
    </w:p>
    <w:p w14:paraId="55CD947E" w14:textId="77777777" w:rsidR="00011AC7" w:rsidRPr="00485E85" w:rsidRDefault="00011AC7" w:rsidP="000D73BE">
      <w:pPr>
        <w:pStyle w:val="Bullet"/>
        <w:rPr>
          <w:lang w:eastAsia="en-NZ"/>
        </w:rPr>
      </w:pPr>
      <w:r w:rsidRPr="00485E85">
        <w:rPr>
          <w:lang w:eastAsia="en-NZ"/>
        </w:rPr>
        <w:t>determine whether a person who has been issued with, or has made a claim for, an entitlement card under regulations in force is or was entitled to be issued with that card; or</w:t>
      </w:r>
    </w:p>
    <w:p w14:paraId="4AC69A36" w14:textId="77777777" w:rsidR="00D56B08" w:rsidRDefault="00011AC7" w:rsidP="000D73BE">
      <w:pPr>
        <w:pStyle w:val="Bullet"/>
        <w:rPr>
          <w:lang w:eastAsia="en-NZ"/>
        </w:rPr>
      </w:pPr>
      <w:r w:rsidRPr="00485E85">
        <w:rPr>
          <w:lang w:eastAsia="en-NZ"/>
        </w:rPr>
        <w:t>conduct or review a means assessment relating to payment for contracted care services</w:t>
      </w:r>
    </w:p>
    <w:p w14:paraId="4016EDCC" w14:textId="77777777" w:rsidR="00011AC7" w:rsidRPr="00485E85" w:rsidRDefault="00011AC7" w:rsidP="000D73BE">
      <w:pPr>
        <w:pStyle w:val="Bullet"/>
        <w:rPr>
          <w:lang w:eastAsia="en-NZ"/>
        </w:rPr>
      </w:pPr>
      <w:r w:rsidRPr="00485E85">
        <w:rPr>
          <w:lang w:eastAsia="en-NZ"/>
        </w:rPr>
        <w:t>determine the amount that any person is required to pay towards the cost of home-based disability support services supplied to that person, and whether a person who has been so assessed is entitled to that assessment; or</w:t>
      </w:r>
    </w:p>
    <w:p w14:paraId="4AAD7F54" w14:textId="77777777" w:rsidR="00011AC7" w:rsidRPr="00485E85" w:rsidRDefault="00011AC7" w:rsidP="000D73BE">
      <w:pPr>
        <w:pStyle w:val="Bullet"/>
        <w:rPr>
          <w:lang w:eastAsia="en-NZ"/>
        </w:rPr>
      </w:pPr>
      <w:r w:rsidRPr="00485E85">
        <w:rPr>
          <w:lang w:eastAsia="en-NZ"/>
        </w:rPr>
        <w:t>ascertain the financial circumstances or whereabouts of any person who is indebted to the Crown under this Act or related legislation</w:t>
      </w:r>
    </w:p>
    <w:p w14:paraId="7CFA99A5" w14:textId="7C0641C0" w:rsidR="00011AC7" w:rsidRPr="00485E85" w:rsidRDefault="00011AC7" w:rsidP="000D73BE">
      <w:pPr>
        <w:pStyle w:val="Bullet"/>
        <w:rPr>
          <w:lang w:eastAsia="en-NZ"/>
        </w:rPr>
      </w:pPr>
      <w:r w:rsidRPr="00485E85">
        <w:rPr>
          <w:lang w:eastAsia="en-NZ"/>
        </w:rPr>
        <w:t>discharge the chief executive</w:t>
      </w:r>
      <w:r w:rsidR="00D56B08">
        <w:rPr>
          <w:lang w:eastAsia="en-NZ"/>
        </w:rPr>
        <w:t>’</w:t>
      </w:r>
      <w:r w:rsidRPr="00485E85">
        <w:rPr>
          <w:lang w:eastAsia="en-NZ"/>
        </w:rPr>
        <w:t xml:space="preserve">s functions under Social Security Act or </w:t>
      </w:r>
      <w:bookmarkEnd w:id="544"/>
      <w:bookmarkEnd w:id="545"/>
      <w:r w:rsidRPr="00485E85">
        <w:rPr>
          <w:lang w:eastAsia="en-NZ"/>
        </w:rPr>
        <w:t>its regulations</w:t>
      </w:r>
      <w:r>
        <w:rPr>
          <w:lang w:eastAsia="en-NZ"/>
        </w:rPr>
        <w:t xml:space="preserve"> </w:t>
      </w:r>
      <w:r w:rsidR="000D73BE">
        <w:rPr>
          <w:lang w:eastAsia="en-NZ"/>
        </w:rPr>
        <w:t>–</w:t>
      </w:r>
    </w:p>
    <w:p w14:paraId="34E550DE" w14:textId="1715505F" w:rsidR="00011AC7" w:rsidRPr="005D348A" w:rsidRDefault="00011AC7" w:rsidP="000D73BE">
      <w:pPr>
        <w:spacing w:before="120"/>
        <w:rPr>
          <w:rFonts w:ascii="Times New Roman" w:hAnsi="Times New Roman"/>
          <w:sz w:val="25"/>
          <w:szCs w:val="25"/>
          <w:lang w:eastAsia="en-NZ"/>
        </w:rPr>
      </w:pPr>
      <w:proofErr w:type="gramStart"/>
      <w:r w:rsidRPr="005D348A">
        <w:rPr>
          <w:lang w:eastAsia="en-NZ"/>
        </w:rPr>
        <w:t>it</w:t>
      </w:r>
      <w:proofErr w:type="gramEnd"/>
      <w:r w:rsidRPr="005D348A">
        <w:rPr>
          <w:lang w:eastAsia="en-NZ"/>
        </w:rPr>
        <w:t xml:space="preserve"> may request any person to provide the Ministry of Social Development with any information it requires</w:t>
      </w:r>
      <w:r w:rsidR="000D73BE">
        <w:rPr>
          <w:lang w:eastAsia="en-NZ"/>
        </w:rPr>
        <w:t>.</w:t>
      </w:r>
      <w:r w:rsidRPr="000D73BE">
        <w:rPr>
          <w:rStyle w:val="FootnoteReference"/>
        </w:rPr>
        <w:footnoteReference w:id="79"/>
      </w:r>
    </w:p>
    <w:p w14:paraId="5C5C2D4A" w14:textId="77777777" w:rsidR="00011AC7" w:rsidRPr="00485E85" w:rsidRDefault="00011AC7" w:rsidP="000D73BE">
      <w:r w:rsidRPr="00485E85">
        <w:t>The request</w:t>
      </w:r>
      <w:r>
        <w:t xml:space="preserve"> must be made by notice in writing and must comply with the Code of Conduct for Obtaining Information under section 11 of the Social Security Act 1964</w:t>
      </w:r>
      <w:r w:rsidR="000D73BE">
        <w:t>.</w:t>
      </w:r>
      <w:r w:rsidRPr="000D73BE">
        <w:rPr>
          <w:rStyle w:val="FootnoteReference"/>
        </w:rPr>
        <w:footnoteReference w:id="80"/>
      </w:r>
    </w:p>
    <w:p w14:paraId="57424526" w14:textId="77777777" w:rsidR="00011AC7" w:rsidRPr="005D348A" w:rsidRDefault="00011AC7" w:rsidP="000D73BE">
      <w:pPr>
        <w:pStyle w:val="Heading3-nonumbering"/>
      </w:pPr>
      <w:r w:rsidRPr="005D348A">
        <w:t xml:space="preserve">Advice </w:t>
      </w:r>
      <w:r>
        <w:t>from</w:t>
      </w:r>
      <w:r w:rsidRPr="005D348A">
        <w:t xml:space="preserve"> another health </w:t>
      </w:r>
      <w:r>
        <w:t>provider</w:t>
      </w:r>
      <w:r w:rsidRPr="005D348A">
        <w:t xml:space="preserve"> that it is or is going to be providing health care to the individual concerned under section 22F of the Health Act</w:t>
      </w:r>
    </w:p>
    <w:p w14:paraId="2463B7C5" w14:textId="77777777" w:rsidR="00011AC7" w:rsidRDefault="00011AC7" w:rsidP="000D73BE">
      <w:r>
        <w:t>Section 22F provides</w:t>
      </w:r>
      <w:r w:rsidR="000D73BE">
        <w:t>:</w:t>
      </w:r>
    </w:p>
    <w:p w14:paraId="208DC8CD" w14:textId="77777777" w:rsidR="00011AC7" w:rsidRPr="00485E85" w:rsidRDefault="00011AC7" w:rsidP="000D73BE">
      <w:pPr>
        <w:ind w:left="567" w:hanging="567"/>
        <w:rPr>
          <w:lang w:eastAsia="en-NZ"/>
        </w:rPr>
      </w:pPr>
      <w:r w:rsidRPr="00485E85">
        <w:rPr>
          <w:lang w:eastAsia="en-NZ"/>
        </w:rPr>
        <w:lastRenderedPageBreak/>
        <w:t>(1)</w:t>
      </w:r>
      <w:r w:rsidR="000D73BE">
        <w:rPr>
          <w:lang w:eastAsia="en-NZ"/>
        </w:rPr>
        <w:tab/>
      </w:r>
      <w:r w:rsidRPr="00485E85">
        <w:rPr>
          <w:lang w:eastAsia="en-NZ"/>
        </w:rPr>
        <w:t>Every person who holds health information of any kind shall, at the request of the individual about whom the information is held, their representative or any other person that is providing, or is to provide services to that individual, disclose that information to that individual or, their representative or to that other person.</w:t>
      </w:r>
    </w:p>
    <w:p w14:paraId="7A5D17D7" w14:textId="77777777" w:rsidR="00011AC7" w:rsidRPr="00485E85" w:rsidRDefault="00011AC7" w:rsidP="000D73BE">
      <w:pPr>
        <w:ind w:left="567" w:hanging="567"/>
        <w:rPr>
          <w:lang w:eastAsia="en-NZ"/>
        </w:rPr>
      </w:pPr>
      <w:r w:rsidRPr="00485E85">
        <w:rPr>
          <w:lang w:eastAsia="en-NZ"/>
        </w:rPr>
        <w:t>(2)</w:t>
      </w:r>
      <w:r w:rsidR="000D73BE">
        <w:rPr>
          <w:lang w:eastAsia="en-NZ"/>
        </w:rPr>
        <w:tab/>
      </w:r>
      <w:r w:rsidRPr="00485E85">
        <w:rPr>
          <w:lang w:eastAsia="en-NZ"/>
        </w:rPr>
        <w:t>A person that holds health information may refuse to disclose that information under this section if</w:t>
      </w:r>
      <w:r w:rsidR="000D73BE">
        <w:rPr>
          <w:lang w:eastAsia="en-NZ"/>
        </w:rPr>
        <w:t xml:space="preserve"> </w:t>
      </w:r>
      <w:r w:rsidRPr="00485E85">
        <w:rPr>
          <w:lang w:eastAsia="en-NZ"/>
        </w:rPr>
        <w:t>—</w:t>
      </w:r>
    </w:p>
    <w:p w14:paraId="60689C39" w14:textId="77777777" w:rsidR="00011AC7" w:rsidRPr="00485E85" w:rsidRDefault="00011AC7" w:rsidP="000D73BE">
      <w:pPr>
        <w:spacing w:before="120"/>
        <w:ind w:left="1134" w:hanging="567"/>
        <w:rPr>
          <w:lang w:eastAsia="en-NZ"/>
        </w:rPr>
      </w:pPr>
      <w:r w:rsidRPr="00485E85">
        <w:rPr>
          <w:lang w:eastAsia="en-NZ"/>
        </w:rPr>
        <w:t>(a)</w:t>
      </w:r>
      <w:r w:rsidR="000D73BE">
        <w:rPr>
          <w:lang w:eastAsia="en-NZ"/>
        </w:rPr>
        <w:tab/>
      </w:r>
      <w:proofErr w:type="gramStart"/>
      <w:r w:rsidRPr="00485E85">
        <w:rPr>
          <w:lang w:eastAsia="en-NZ"/>
        </w:rPr>
        <w:t>that</w:t>
      </w:r>
      <w:proofErr w:type="gramEnd"/>
      <w:r w:rsidRPr="00485E85">
        <w:rPr>
          <w:lang w:eastAsia="en-NZ"/>
        </w:rPr>
        <w:t xml:space="preserve"> person has a lawful excuse for not disclosing that information; or</w:t>
      </w:r>
    </w:p>
    <w:p w14:paraId="283E2022" w14:textId="77777777" w:rsidR="00011AC7" w:rsidRPr="00485E85" w:rsidRDefault="00011AC7" w:rsidP="000D73BE">
      <w:pPr>
        <w:spacing w:before="120"/>
        <w:ind w:left="1134" w:hanging="567"/>
        <w:rPr>
          <w:lang w:eastAsia="en-NZ"/>
        </w:rPr>
      </w:pPr>
      <w:r w:rsidRPr="00485E85">
        <w:rPr>
          <w:lang w:eastAsia="en-NZ"/>
        </w:rPr>
        <w:t>(b)</w:t>
      </w:r>
      <w:r w:rsidR="000D73BE">
        <w:rPr>
          <w:lang w:eastAsia="en-NZ"/>
        </w:rPr>
        <w:tab/>
      </w:r>
      <w:r w:rsidRPr="00485E85">
        <w:rPr>
          <w:lang w:eastAsia="en-NZ"/>
        </w:rPr>
        <w:t>the information is requested by someone other than the individual about whom it is held (not being a representative of that individual) and the holder of the information has reasonable grounds for believing that that individual does not wish the information to be disclosed; or</w:t>
      </w:r>
    </w:p>
    <w:p w14:paraId="726381A1" w14:textId="77777777" w:rsidR="00011AC7" w:rsidRPr="00485E85" w:rsidRDefault="00011AC7" w:rsidP="000D73BE">
      <w:pPr>
        <w:spacing w:before="120"/>
        <w:ind w:left="1134" w:hanging="567"/>
        <w:rPr>
          <w:lang w:eastAsia="en-NZ"/>
        </w:rPr>
      </w:pPr>
      <w:r w:rsidRPr="00485E85">
        <w:rPr>
          <w:lang w:eastAsia="en-NZ"/>
        </w:rPr>
        <w:t>(c)</w:t>
      </w:r>
      <w:r w:rsidR="000D73BE">
        <w:rPr>
          <w:lang w:eastAsia="en-NZ"/>
        </w:rPr>
        <w:tab/>
      </w:r>
      <w:proofErr w:type="gramStart"/>
      <w:r w:rsidRPr="00485E85">
        <w:rPr>
          <w:lang w:eastAsia="en-NZ"/>
        </w:rPr>
        <w:t>refusal</w:t>
      </w:r>
      <w:proofErr w:type="gramEnd"/>
      <w:r w:rsidRPr="00485E85">
        <w:rPr>
          <w:lang w:eastAsia="en-NZ"/>
        </w:rPr>
        <w:t xml:space="preserve"> is authorised by a code of practice issued under </w:t>
      </w:r>
      <w:bookmarkStart w:id="546" w:name="DLM297408"/>
      <w:r w:rsidRPr="00485E85">
        <w:rPr>
          <w:lang w:eastAsia="en-NZ"/>
        </w:rPr>
        <w:fldChar w:fldCharType="begin"/>
      </w:r>
      <w:r w:rsidRPr="00485E85">
        <w:rPr>
          <w:lang w:eastAsia="en-NZ"/>
        </w:rPr>
        <w:instrText xml:space="preserve"> HYPERLINK "http://www.legislation.govt.nz/act/public/1956/0065/latest/link.aspx?id=DLM297408" </w:instrText>
      </w:r>
      <w:r w:rsidRPr="00485E85">
        <w:rPr>
          <w:lang w:eastAsia="en-NZ"/>
        </w:rPr>
        <w:fldChar w:fldCharType="separate"/>
      </w:r>
      <w:r w:rsidRPr="00485E85">
        <w:rPr>
          <w:color w:val="0000FF"/>
          <w:u w:val="single"/>
          <w:shd w:val="clear" w:color="auto" w:fill="FFFFFF"/>
          <w:lang w:eastAsia="en-NZ"/>
        </w:rPr>
        <w:t>section 46</w:t>
      </w:r>
      <w:r w:rsidRPr="00485E85">
        <w:rPr>
          <w:lang w:eastAsia="en-NZ"/>
        </w:rPr>
        <w:fldChar w:fldCharType="end"/>
      </w:r>
      <w:bookmarkEnd w:id="546"/>
      <w:r w:rsidRPr="00485E85">
        <w:rPr>
          <w:lang w:eastAsia="en-NZ"/>
        </w:rPr>
        <w:t xml:space="preserve"> of the Privacy Act 1993.</w:t>
      </w:r>
    </w:p>
    <w:p w14:paraId="6E70F00D" w14:textId="77777777" w:rsidR="00011AC7" w:rsidRPr="00485E85" w:rsidRDefault="00011AC7" w:rsidP="000D73BE">
      <w:pPr>
        <w:rPr>
          <w:lang w:eastAsia="en-NZ"/>
        </w:rPr>
      </w:pPr>
      <w:r w:rsidRPr="00485E85">
        <w:rPr>
          <w:lang w:eastAsia="en-NZ"/>
        </w:rPr>
        <w:t>(3)</w:t>
      </w:r>
      <w:r w:rsidR="000D73BE">
        <w:rPr>
          <w:lang w:eastAsia="en-NZ"/>
        </w:rPr>
        <w:tab/>
      </w:r>
      <w:r w:rsidRPr="00485E85">
        <w:rPr>
          <w:lang w:eastAsia="en-NZ"/>
        </w:rPr>
        <w:t>For the purposes of subsection (2) (a), neither</w:t>
      </w:r>
      <w:r w:rsidR="000D73BE">
        <w:rPr>
          <w:lang w:eastAsia="en-NZ"/>
        </w:rPr>
        <w:t xml:space="preserve"> –</w:t>
      </w:r>
    </w:p>
    <w:p w14:paraId="7DB61895" w14:textId="77777777" w:rsidR="00011AC7" w:rsidRPr="00485E85" w:rsidRDefault="00011AC7" w:rsidP="000D73BE">
      <w:pPr>
        <w:spacing w:before="120"/>
        <w:ind w:left="1134" w:hanging="567"/>
        <w:rPr>
          <w:lang w:eastAsia="en-NZ"/>
        </w:rPr>
      </w:pPr>
      <w:r w:rsidRPr="00485E85">
        <w:rPr>
          <w:lang w:eastAsia="en-NZ"/>
        </w:rPr>
        <w:t>(a)</w:t>
      </w:r>
      <w:r w:rsidR="000D73BE">
        <w:rPr>
          <w:lang w:eastAsia="en-NZ"/>
        </w:rPr>
        <w:tab/>
      </w:r>
      <w:proofErr w:type="gramStart"/>
      <w:r w:rsidRPr="00485E85">
        <w:rPr>
          <w:lang w:eastAsia="en-NZ"/>
        </w:rPr>
        <w:t>the</w:t>
      </w:r>
      <w:proofErr w:type="gramEnd"/>
      <w:r w:rsidRPr="00485E85">
        <w:rPr>
          <w:lang w:eastAsia="en-NZ"/>
        </w:rPr>
        <w:t xml:space="preserve"> fact that any payment due to the holder of any information or to any other person has not been made; nor</w:t>
      </w:r>
    </w:p>
    <w:p w14:paraId="4DDA01B1" w14:textId="77777777" w:rsidR="00011AC7" w:rsidRPr="00485E85" w:rsidRDefault="00011AC7" w:rsidP="000D73BE">
      <w:pPr>
        <w:spacing w:before="120"/>
        <w:ind w:left="1134" w:hanging="567"/>
        <w:rPr>
          <w:lang w:eastAsia="en-NZ"/>
        </w:rPr>
      </w:pPr>
      <w:r w:rsidRPr="00485E85">
        <w:rPr>
          <w:lang w:eastAsia="en-NZ"/>
        </w:rPr>
        <w:t>(b)</w:t>
      </w:r>
      <w:r w:rsidR="000D73BE">
        <w:rPr>
          <w:lang w:eastAsia="en-NZ"/>
        </w:rPr>
        <w:tab/>
      </w:r>
      <w:proofErr w:type="gramStart"/>
      <w:r w:rsidRPr="00485E85">
        <w:rPr>
          <w:lang w:eastAsia="en-NZ"/>
        </w:rPr>
        <w:t>the</w:t>
      </w:r>
      <w:proofErr w:type="gramEnd"/>
      <w:r w:rsidRPr="00485E85">
        <w:rPr>
          <w:lang w:eastAsia="en-NZ"/>
        </w:rPr>
        <w:t xml:space="preserve"> need to avoid prejudice to the commercial position of the holder of any information or of any other person; nor</w:t>
      </w:r>
    </w:p>
    <w:p w14:paraId="3F7FBCFE" w14:textId="77777777" w:rsidR="00011AC7" w:rsidRPr="00485E85" w:rsidRDefault="00011AC7" w:rsidP="000D73BE">
      <w:pPr>
        <w:spacing w:before="120"/>
        <w:ind w:left="1134" w:hanging="567"/>
        <w:rPr>
          <w:lang w:eastAsia="en-NZ"/>
        </w:rPr>
      </w:pPr>
      <w:r w:rsidRPr="00485E85">
        <w:rPr>
          <w:lang w:eastAsia="en-NZ"/>
        </w:rPr>
        <w:t>(c)</w:t>
      </w:r>
      <w:r w:rsidR="000D73BE">
        <w:rPr>
          <w:lang w:eastAsia="en-NZ"/>
        </w:rPr>
        <w:tab/>
      </w:r>
      <w:proofErr w:type="gramStart"/>
      <w:r w:rsidRPr="00485E85">
        <w:rPr>
          <w:lang w:eastAsia="en-NZ"/>
        </w:rPr>
        <w:t>the</w:t>
      </w:r>
      <w:proofErr w:type="gramEnd"/>
      <w:r w:rsidRPr="00485E85">
        <w:rPr>
          <w:lang w:eastAsia="en-NZ"/>
        </w:rPr>
        <w:t xml:space="preserve"> fact that disclosure is not permitted under any of the information privacy principles set out in </w:t>
      </w:r>
      <w:bookmarkStart w:id="547" w:name="DLM297038"/>
      <w:r w:rsidRPr="00485E85">
        <w:rPr>
          <w:lang w:eastAsia="en-NZ"/>
        </w:rPr>
        <w:fldChar w:fldCharType="begin"/>
      </w:r>
      <w:r w:rsidRPr="00485E85">
        <w:rPr>
          <w:lang w:eastAsia="en-NZ"/>
        </w:rPr>
        <w:instrText xml:space="preserve"> HYPERLINK "http://www.legislation.govt.nz/act/public/1956/0065/latest/link.aspx?id=DLM297038" </w:instrText>
      </w:r>
      <w:r w:rsidRPr="00485E85">
        <w:rPr>
          <w:lang w:eastAsia="en-NZ"/>
        </w:rPr>
        <w:fldChar w:fldCharType="separate"/>
      </w:r>
      <w:r w:rsidRPr="00485E85">
        <w:rPr>
          <w:color w:val="0000FF"/>
          <w:u w:val="single"/>
          <w:shd w:val="clear" w:color="auto" w:fill="FFFFFF"/>
          <w:lang w:eastAsia="en-NZ"/>
        </w:rPr>
        <w:t>section 6</w:t>
      </w:r>
      <w:r w:rsidRPr="00485E85">
        <w:rPr>
          <w:lang w:eastAsia="en-NZ"/>
        </w:rPr>
        <w:fldChar w:fldCharType="end"/>
      </w:r>
      <w:bookmarkEnd w:id="547"/>
      <w:r w:rsidRPr="00485E85">
        <w:rPr>
          <w:lang w:eastAsia="en-NZ"/>
        </w:rPr>
        <w:t xml:space="preserve"> of the Privacy Act 1993</w:t>
      </w:r>
      <w:r w:rsidR="00244B34">
        <w:rPr>
          <w:lang w:eastAsia="en-NZ"/>
        </w:rPr>
        <w:t xml:space="preserve"> –</w:t>
      </w:r>
    </w:p>
    <w:p w14:paraId="22822003" w14:textId="77777777" w:rsidR="00011AC7" w:rsidRPr="00485E85" w:rsidRDefault="00011AC7" w:rsidP="00244B34">
      <w:pPr>
        <w:spacing w:before="120"/>
        <w:ind w:left="567"/>
        <w:rPr>
          <w:lang w:eastAsia="en-NZ"/>
        </w:rPr>
      </w:pPr>
      <w:proofErr w:type="gramStart"/>
      <w:r w:rsidRPr="00485E85">
        <w:rPr>
          <w:lang w:eastAsia="en-NZ"/>
        </w:rPr>
        <w:t>shall</w:t>
      </w:r>
      <w:proofErr w:type="gramEnd"/>
      <w:r w:rsidRPr="00485E85">
        <w:rPr>
          <w:lang w:eastAsia="en-NZ"/>
        </w:rPr>
        <w:t xml:space="preserve"> constitute a lawful excuse for not disclosing information under this section.</w:t>
      </w:r>
    </w:p>
    <w:p w14:paraId="7512CE5B" w14:textId="77777777" w:rsidR="00D56B08" w:rsidRDefault="00011AC7" w:rsidP="00244B34">
      <w:pPr>
        <w:ind w:left="567" w:hanging="567"/>
        <w:rPr>
          <w:lang w:eastAsia="en-NZ"/>
        </w:rPr>
      </w:pPr>
      <w:r w:rsidRPr="00485E85">
        <w:rPr>
          <w:lang w:eastAsia="en-NZ"/>
        </w:rPr>
        <w:t>(4)</w:t>
      </w:r>
      <w:r w:rsidR="00244B34">
        <w:rPr>
          <w:lang w:eastAsia="en-NZ"/>
        </w:rPr>
        <w:tab/>
      </w:r>
      <w:r w:rsidRPr="00485E85">
        <w:rPr>
          <w:lang w:eastAsia="en-NZ"/>
        </w:rPr>
        <w:t>Where any person refuses to disclose health information in response to a request made under this section, the person whose request is refused may make a complaint to the Privacy Commissioner</w:t>
      </w:r>
      <w:r>
        <w:rPr>
          <w:lang w:eastAsia="en-NZ"/>
        </w:rPr>
        <w:t>.</w:t>
      </w:r>
      <w:r w:rsidRPr="00244B34">
        <w:rPr>
          <w:rStyle w:val="FootnoteReference"/>
        </w:rPr>
        <w:footnoteReference w:id="81"/>
      </w:r>
    </w:p>
    <w:p w14:paraId="6D836CE5" w14:textId="77777777" w:rsidR="00011AC7" w:rsidRPr="00485E85" w:rsidRDefault="00011AC7" w:rsidP="00244B34">
      <w:pPr>
        <w:pStyle w:val="Heading3-nonumbering"/>
      </w:pPr>
      <w:r w:rsidRPr="005D348A">
        <w:t>The Minister of Health under section 22D of the Health Act</w:t>
      </w:r>
      <w:r>
        <w:t xml:space="preserve"> </w:t>
      </w:r>
      <w:r w:rsidRPr="00485E85">
        <w:t>(only applies to DHBs)</w:t>
      </w:r>
    </w:p>
    <w:p w14:paraId="65F58680" w14:textId="77777777" w:rsidR="00011AC7" w:rsidRPr="004A09D9" w:rsidRDefault="00244B34" w:rsidP="00244B34">
      <w:r>
        <w:t>S</w:t>
      </w:r>
      <w:r w:rsidR="00011AC7" w:rsidRPr="00485E85">
        <w:t>ection 22 D provides</w:t>
      </w:r>
      <w:r>
        <w:t>:</w:t>
      </w:r>
    </w:p>
    <w:p w14:paraId="1735B957" w14:textId="77777777" w:rsidR="00011AC7" w:rsidRPr="00485E85" w:rsidRDefault="00011AC7" w:rsidP="00244B34">
      <w:pPr>
        <w:ind w:left="567" w:hanging="567"/>
        <w:rPr>
          <w:lang w:eastAsia="en-NZ"/>
        </w:rPr>
      </w:pPr>
      <w:r w:rsidRPr="00485E85">
        <w:rPr>
          <w:lang w:eastAsia="en-NZ"/>
        </w:rPr>
        <w:t>(1)</w:t>
      </w:r>
      <w:r w:rsidR="00244B34">
        <w:rPr>
          <w:lang w:eastAsia="en-NZ"/>
        </w:rPr>
        <w:tab/>
      </w:r>
      <w:r w:rsidRPr="00485E85">
        <w:rPr>
          <w:lang w:eastAsia="en-NZ"/>
        </w:rPr>
        <w:t>The Minister may at any time, by notice in writing, require any district health board to provide, in such manner as may from time to time be required, such returns or other information as is specified in the notice concerning the condition or treatment of, or the services provided to, any individuals in order to obtain statistics for health purposes or for the purposes of advancing health knowledge, health education, or health research.</w:t>
      </w:r>
    </w:p>
    <w:p w14:paraId="0313F41C" w14:textId="77777777" w:rsidR="00011AC7" w:rsidRPr="00485E85" w:rsidRDefault="00011AC7" w:rsidP="00244B34">
      <w:pPr>
        <w:ind w:left="567" w:hanging="567"/>
        <w:rPr>
          <w:lang w:eastAsia="en-NZ"/>
        </w:rPr>
      </w:pPr>
      <w:r w:rsidRPr="00485E85">
        <w:rPr>
          <w:lang w:eastAsia="en-NZ"/>
        </w:rPr>
        <w:t>(2)</w:t>
      </w:r>
      <w:r w:rsidR="00244B34">
        <w:rPr>
          <w:lang w:eastAsia="en-NZ"/>
        </w:rPr>
        <w:tab/>
      </w:r>
      <w:r w:rsidRPr="00485E85">
        <w:rPr>
          <w:lang w:eastAsia="en-NZ"/>
        </w:rPr>
        <w:t>Subject to subsection (3), it is the duty of a district health board to provide the returns or other information specified in a notice given to it under subsection (1) within such time, and in such form, as is specified in the notice.</w:t>
      </w:r>
    </w:p>
    <w:p w14:paraId="2F887DCF" w14:textId="77777777" w:rsidR="00011AC7" w:rsidRPr="00485E85" w:rsidRDefault="00011AC7" w:rsidP="00244B34">
      <w:pPr>
        <w:ind w:left="567" w:hanging="567"/>
        <w:rPr>
          <w:lang w:eastAsia="en-NZ"/>
        </w:rPr>
      </w:pPr>
      <w:r w:rsidRPr="00485E85">
        <w:rPr>
          <w:lang w:eastAsia="en-NZ"/>
        </w:rPr>
        <w:t>(3)</w:t>
      </w:r>
      <w:r w:rsidR="00244B34">
        <w:rPr>
          <w:lang w:eastAsia="en-NZ"/>
        </w:rPr>
        <w:tab/>
      </w:r>
      <w:r w:rsidRPr="00485E85">
        <w:rPr>
          <w:lang w:eastAsia="en-NZ"/>
        </w:rPr>
        <w:t>No information that would enable the identification of an individual may be provided under this section unless</w:t>
      </w:r>
      <w:r w:rsidR="00244B34">
        <w:rPr>
          <w:lang w:eastAsia="en-NZ"/>
        </w:rPr>
        <w:t xml:space="preserve"> –</w:t>
      </w:r>
    </w:p>
    <w:p w14:paraId="224F4B6A" w14:textId="77777777" w:rsidR="00011AC7" w:rsidRPr="00485E85" w:rsidRDefault="00011AC7" w:rsidP="00244B34">
      <w:pPr>
        <w:spacing w:before="120"/>
        <w:ind w:left="1134" w:hanging="567"/>
        <w:rPr>
          <w:lang w:eastAsia="en-NZ"/>
        </w:rPr>
      </w:pPr>
      <w:r w:rsidRPr="00485E85">
        <w:rPr>
          <w:lang w:eastAsia="en-NZ"/>
        </w:rPr>
        <w:lastRenderedPageBreak/>
        <w:t>(a)</w:t>
      </w:r>
      <w:r w:rsidR="00244B34">
        <w:rPr>
          <w:lang w:eastAsia="en-NZ"/>
        </w:rPr>
        <w:tab/>
      </w:r>
      <w:proofErr w:type="gramStart"/>
      <w:r w:rsidRPr="00485E85">
        <w:rPr>
          <w:lang w:eastAsia="en-NZ"/>
        </w:rPr>
        <w:t>the</w:t>
      </w:r>
      <w:proofErr w:type="gramEnd"/>
      <w:r w:rsidRPr="00485E85">
        <w:rPr>
          <w:lang w:eastAsia="en-NZ"/>
        </w:rPr>
        <w:t xml:space="preserve"> individual consents to the provision of such information; or</w:t>
      </w:r>
    </w:p>
    <w:p w14:paraId="570CEA7D" w14:textId="77777777" w:rsidR="00011AC7" w:rsidRPr="00485E85" w:rsidRDefault="00011AC7" w:rsidP="00244B34">
      <w:pPr>
        <w:spacing w:before="120"/>
        <w:ind w:left="1134" w:hanging="567"/>
        <w:rPr>
          <w:lang w:eastAsia="en-NZ"/>
        </w:rPr>
      </w:pPr>
      <w:r w:rsidRPr="00485E85">
        <w:rPr>
          <w:lang w:eastAsia="en-NZ"/>
        </w:rPr>
        <w:t>(b)</w:t>
      </w:r>
      <w:r w:rsidR="00244B34">
        <w:rPr>
          <w:lang w:eastAsia="en-NZ"/>
        </w:rPr>
        <w:tab/>
      </w:r>
      <w:proofErr w:type="gramStart"/>
      <w:r w:rsidRPr="00485E85">
        <w:rPr>
          <w:lang w:eastAsia="en-NZ"/>
        </w:rPr>
        <w:t>the</w:t>
      </w:r>
      <w:proofErr w:type="gramEnd"/>
      <w:r w:rsidRPr="00485E85">
        <w:rPr>
          <w:lang w:eastAsia="en-NZ"/>
        </w:rPr>
        <w:t xml:space="preserve"> identifying information is essential for the purposes for which the information is sought.</w:t>
      </w:r>
    </w:p>
    <w:p w14:paraId="258C941B" w14:textId="27B91C76" w:rsidR="00011AC7" w:rsidRPr="00485E85" w:rsidRDefault="00011AC7" w:rsidP="00244B34">
      <w:pPr>
        <w:ind w:left="567" w:hanging="567"/>
        <w:rPr>
          <w:lang w:eastAsia="en-NZ"/>
        </w:rPr>
      </w:pPr>
      <w:r w:rsidRPr="00485E85">
        <w:rPr>
          <w:lang w:eastAsia="en-NZ"/>
        </w:rPr>
        <w:t>(4)</w:t>
      </w:r>
      <w:r w:rsidR="00244B34">
        <w:rPr>
          <w:lang w:eastAsia="en-NZ"/>
        </w:rPr>
        <w:tab/>
      </w:r>
      <w:r w:rsidRPr="00485E85">
        <w:rPr>
          <w:lang w:eastAsia="en-NZ"/>
        </w:rPr>
        <w:t>For the purposes of subsection (3</w:t>
      </w:r>
      <w:proofErr w:type="gramStart"/>
      <w:r w:rsidRPr="00485E85">
        <w:rPr>
          <w:lang w:eastAsia="en-NZ"/>
        </w:rPr>
        <w:t>)(</w:t>
      </w:r>
      <w:proofErr w:type="gramEnd"/>
      <w:r w:rsidRPr="00485E85">
        <w:rPr>
          <w:lang w:eastAsia="en-NZ"/>
        </w:rPr>
        <w:t>a), consent to the provision of information may be given</w:t>
      </w:r>
      <w:r w:rsidR="00244B34">
        <w:rPr>
          <w:lang w:eastAsia="en-NZ"/>
        </w:rPr>
        <w:t xml:space="preserve"> –</w:t>
      </w:r>
    </w:p>
    <w:p w14:paraId="1D1A895B" w14:textId="77777777" w:rsidR="00011AC7" w:rsidRPr="00485E85" w:rsidRDefault="00011AC7" w:rsidP="00244B34">
      <w:pPr>
        <w:spacing w:before="120"/>
        <w:ind w:left="567"/>
        <w:rPr>
          <w:lang w:eastAsia="en-NZ"/>
        </w:rPr>
      </w:pPr>
      <w:r w:rsidRPr="00485E85">
        <w:rPr>
          <w:lang w:eastAsia="en-NZ"/>
        </w:rPr>
        <w:t>(a)</w:t>
      </w:r>
      <w:r w:rsidR="00244B34">
        <w:rPr>
          <w:lang w:eastAsia="en-NZ"/>
        </w:rPr>
        <w:tab/>
      </w:r>
      <w:proofErr w:type="gramStart"/>
      <w:r w:rsidRPr="00485E85">
        <w:rPr>
          <w:lang w:eastAsia="en-NZ"/>
        </w:rPr>
        <w:t>by</w:t>
      </w:r>
      <w:proofErr w:type="gramEnd"/>
      <w:r w:rsidRPr="00485E85">
        <w:rPr>
          <w:lang w:eastAsia="en-NZ"/>
        </w:rPr>
        <w:t xml:space="preserve"> the individual personally, if he or she has attained the age of 16 years; or</w:t>
      </w:r>
    </w:p>
    <w:p w14:paraId="1E142EB8" w14:textId="77777777" w:rsidR="00011AC7" w:rsidRPr="004A09D9" w:rsidRDefault="00011AC7" w:rsidP="00244B34">
      <w:pPr>
        <w:spacing w:before="120"/>
        <w:ind w:left="567"/>
        <w:rPr>
          <w:rFonts w:ascii="Times New Roman" w:hAnsi="Times New Roman"/>
          <w:sz w:val="25"/>
          <w:szCs w:val="25"/>
          <w:lang w:eastAsia="en-NZ"/>
        </w:rPr>
      </w:pPr>
      <w:r w:rsidRPr="00485E85">
        <w:rPr>
          <w:lang w:eastAsia="en-NZ"/>
        </w:rPr>
        <w:t>(b)</w:t>
      </w:r>
      <w:r w:rsidR="00244B34">
        <w:rPr>
          <w:lang w:eastAsia="en-NZ"/>
        </w:rPr>
        <w:tab/>
      </w:r>
      <w:proofErr w:type="gramStart"/>
      <w:r w:rsidRPr="00485E85">
        <w:rPr>
          <w:lang w:eastAsia="en-NZ"/>
        </w:rPr>
        <w:t>by</w:t>
      </w:r>
      <w:proofErr w:type="gramEnd"/>
      <w:r w:rsidRPr="00485E85">
        <w:rPr>
          <w:lang w:eastAsia="en-NZ"/>
        </w:rPr>
        <w:t xml:space="preserve"> a representative of that individual</w:t>
      </w:r>
      <w:r>
        <w:rPr>
          <w:lang w:eastAsia="en-NZ"/>
        </w:rPr>
        <w:t>.</w:t>
      </w:r>
      <w:r w:rsidRPr="00244B34">
        <w:rPr>
          <w:rStyle w:val="FootnoteReference"/>
        </w:rPr>
        <w:footnoteReference w:id="82"/>
      </w:r>
    </w:p>
    <w:p w14:paraId="07510756" w14:textId="0385AD71" w:rsidR="00011AC7" w:rsidRPr="005D348A" w:rsidRDefault="00011AC7" w:rsidP="00244B34">
      <w:pPr>
        <w:pStyle w:val="Heading3-nonumbering"/>
      </w:pPr>
      <w:r w:rsidRPr="005D348A">
        <w:t xml:space="preserve">The Police if they have a </w:t>
      </w:r>
      <w:r>
        <w:t>production order</w:t>
      </w:r>
      <w:r w:rsidRPr="005D348A">
        <w:t xml:space="preserve"> signed by a </w:t>
      </w:r>
      <w:r w:rsidR="00244B34">
        <w:t>j</w:t>
      </w:r>
      <w:r w:rsidRPr="005D348A">
        <w:t>udge</w:t>
      </w:r>
    </w:p>
    <w:p w14:paraId="4A933473" w14:textId="77777777" w:rsidR="00011AC7" w:rsidRDefault="00011AC7" w:rsidP="00244B34">
      <w:proofErr w:type="spellStart"/>
      <w:r>
        <w:t>Self explanatory</w:t>
      </w:r>
      <w:proofErr w:type="spellEnd"/>
      <w:r>
        <w:t>. The rules around production orders are set out in the Search and Surveillance Act 2012.</w:t>
      </w:r>
    </w:p>
    <w:p w14:paraId="0C500130" w14:textId="77777777" w:rsidR="00011AC7" w:rsidRPr="005D348A" w:rsidRDefault="00011AC7" w:rsidP="00244B34">
      <w:pPr>
        <w:pStyle w:val="Heading3-nonumbering"/>
      </w:pPr>
      <w:r w:rsidRPr="005D348A">
        <w:t>The IRD under section 17 of the Tax Administration Act 1994</w:t>
      </w:r>
    </w:p>
    <w:p w14:paraId="744A4701" w14:textId="3A5B81F9" w:rsidR="00011AC7" w:rsidRPr="00485E85" w:rsidRDefault="00011AC7" w:rsidP="00244B34">
      <w:r>
        <w:t>Section 17(1) provides that e</w:t>
      </w:r>
      <w:r w:rsidRPr="00485E85">
        <w:t>very person shall, when required by the Commissioner, furnish in writing any information and produce for inspection any documents which the Commissioner considers necessary or relevant for any purpose relating to the administration or enforcement of any of the Inland Revenue Acts or for any purpose relating to the administration or enforcement of any matter arising from or connected with any other function lawfully conferred on the Commissioner</w:t>
      </w:r>
      <w:r w:rsidR="00244B34">
        <w:t>.</w:t>
      </w:r>
    </w:p>
    <w:p w14:paraId="6092F6E2" w14:textId="77777777" w:rsidR="00011AC7" w:rsidRPr="00485E85" w:rsidRDefault="00011AC7" w:rsidP="00244B34">
      <w:pPr>
        <w:pStyle w:val="Heading3-nonumbering"/>
      </w:pPr>
      <w:r>
        <w:t>Where d</w:t>
      </w:r>
      <w:r w:rsidRPr="00485E85">
        <w:t xml:space="preserve">isclosure </w:t>
      </w:r>
      <w:r>
        <w:t xml:space="preserve">is </w:t>
      </w:r>
      <w:r w:rsidRPr="00485E85">
        <w:t xml:space="preserve">not </w:t>
      </w:r>
      <w:r>
        <w:t>c</w:t>
      </w:r>
      <w:r w:rsidRPr="00485E85">
        <w:t>ompulsory</w:t>
      </w:r>
    </w:p>
    <w:p w14:paraId="01163052" w14:textId="77DEDC44" w:rsidR="00011AC7" w:rsidRPr="00485E85" w:rsidRDefault="00011AC7" w:rsidP="00244B34">
      <w:r w:rsidRPr="00485E85">
        <w:t xml:space="preserve">If disclosure is not compulsory, the next question for the health </w:t>
      </w:r>
      <w:r>
        <w:t>provider</w:t>
      </w:r>
      <w:r w:rsidRPr="00485E85">
        <w:t xml:space="preserve"> is whether they can disclose. There are a wide range of discretionary grounds for disclosure, such as:</w:t>
      </w:r>
    </w:p>
    <w:p w14:paraId="4B4862B3" w14:textId="6395F097" w:rsidR="00011AC7" w:rsidRPr="00485E85" w:rsidRDefault="00244B34" w:rsidP="00244B34">
      <w:pPr>
        <w:spacing w:before="120"/>
        <w:ind w:left="567" w:hanging="567"/>
      </w:pPr>
      <w:r>
        <w:t>a)</w:t>
      </w:r>
      <w:r>
        <w:tab/>
      </w:r>
      <w:proofErr w:type="gramStart"/>
      <w:r>
        <w:t>r</w:t>
      </w:r>
      <w:r w:rsidR="00011AC7" w:rsidRPr="00485E85">
        <w:t>equests</w:t>
      </w:r>
      <w:proofErr w:type="gramEnd"/>
      <w:r w:rsidR="00011AC7" w:rsidRPr="00485E85">
        <w:t xml:space="preserve"> from Police officers, social workers, prison medical officers, probation officers, employees of</w:t>
      </w:r>
      <w:r w:rsidR="00011AC7">
        <w:t xml:space="preserve"> the Ministry of Health, Ministry of Primary Industries, </w:t>
      </w:r>
      <w:r w:rsidR="00011AC7" w:rsidRPr="00485E85">
        <w:t>or L</w:t>
      </w:r>
      <w:r w:rsidR="00011AC7">
        <w:t>and Transport New Zealand</w:t>
      </w:r>
      <w:r w:rsidR="00011AC7" w:rsidRPr="00485E85">
        <w:t xml:space="preserve"> or a DHB under section 22C of the Health Act</w:t>
      </w:r>
    </w:p>
    <w:p w14:paraId="32FF4D9D" w14:textId="32600EAD" w:rsidR="00011AC7" w:rsidRPr="00485E85" w:rsidRDefault="00244B34" w:rsidP="00244B34">
      <w:pPr>
        <w:spacing w:before="120"/>
        <w:ind w:left="567" w:hanging="567"/>
      </w:pPr>
      <w:r>
        <w:t>b)</w:t>
      </w:r>
      <w:r>
        <w:tab/>
      </w:r>
      <w:proofErr w:type="gramStart"/>
      <w:r>
        <w:t>o</w:t>
      </w:r>
      <w:r w:rsidR="00011AC7" w:rsidRPr="00485E85">
        <w:t>ne</w:t>
      </w:r>
      <w:proofErr w:type="gramEnd"/>
      <w:r w:rsidR="00011AC7" w:rsidRPr="00485E85">
        <w:t xml:space="preserve"> of the grounds for disclosure in rule 11 of the HIPC</w:t>
      </w:r>
      <w:r w:rsidR="00011AC7">
        <w:t xml:space="preserve"> applies</w:t>
      </w:r>
      <w:r w:rsidR="00011AC7" w:rsidRPr="00485E85">
        <w:t xml:space="preserve"> (serious threat, avoiding prejudice to the maintenance of the law, or statistical/research purposes).</w:t>
      </w:r>
    </w:p>
    <w:p w14:paraId="07514426" w14:textId="3BB52646" w:rsidR="00011AC7" w:rsidRDefault="00011AC7" w:rsidP="00244B34">
      <w:r w:rsidRPr="00485E85">
        <w:t xml:space="preserve">In many cases a disclosure to an official body will be permissible but not obligatory. In these cases it is up to the health </w:t>
      </w:r>
      <w:r>
        <w:t>provider</w:t>
      </w:r>
      <w:r w:rsidRPr="00485E85">
        <w:t xml:space="preserve"> to decide whether they want to disclose, and if so how much. This is the sort of question that should not be made on a purely ad hoc basis but should instead be made in accordance with information governance</w:t>
      </w:r>
      <w:r w:rsidR="004710E0">
        <w:t xml:space="preserve"> g</w:t>
      </w:r>
      <w:r>
        <w:t>uidelines</w:t>
      </w:r>
      <w:r w:rsidR="004710E0">
        <w:t>,</w:t>
      </w:r>
      <w:r w:rsidRPr="00485E85">
        <w:t xml:space="preserve"> for instance a DHB might have a policy that it will di</w:t>
      </w:r>
      <w:r>
        <w:t>sclose information to Police only where it is necessary</w:t>
      </w:r>
      <w:r w:rsidRPr="00485E85">
        <w:t xml:space="preserve"> to prevent a serious threat to someone</w:t>
      </w:r>
      <w:r w:rsidR="00D56B08">
        <w:t>’</w:t>
      </w:r>
      <w:r w:rsidRPr="00485E85">
        <w:t>s health or safety, or in response to a Court order</w:t>
      </w:r>
      <w:r>
        <w:t xml:space="preserve"> (search warrant)</w:t>
      </w:r>
      <w:r w:rsidRPr="00485E85">
        <w:t>.</w:t>
      </w:r>
    </w:p>
    <w:p w14:paraId="53B01D8D" w14:textId="4FB97E0A" w:rsidR="00011AC7" w:rsidRPr="00250390" w:rsidRDefault="00011AC7" w:rsidP="00244B34">
      <w:pPr>
        <w:pStyle w:val="Heading2-nonumbering"/>
        <w:rPr>
          <w:lang w:val="en"/>
        </w:rPr>
      </w:pPr>
      <w:r w:rsidRPr="00477379">
        <w:rPr>
          <w:lang w:val="en"/>
        </w:rPr>
        <w:lastRenderedPageBreak/>
        <w:t xml:space="preserve">Potential </w:t>
      </w:r>
      <w:r w:rsidR="00244B34" w:rsidRPr="00477379">
        <w:rPr>
          <w:lang w:val="en"/>
        </w:rPr>
        <w:t>f</w:t>
      </w:r>
      <w:r w:rsidRPr="00477379">
        <w:rPr>
          <w:lang w:val="en"/>
        </w:rPr>
        <w:t xml:space="preserve">uture </w:t>
      </w:r>
      <w:r w:rsidR="00244B34" w:rsidRPr="00477379">
        <w:rPr>
          <w:lang w:val="en"/>
        </w:rPr>
        <w:t>d</w:t>
      </w:r>
      <w:r w:rsidRPr="00477379">
        <w:rPr>
          <w:lang w:val="en"/>
        </w:rPr>
        <w:t xml:space="preserve">isclosure </w:t>
      </w:r>
      <w:r w:rsidR="00244B34" w:rsidRPr="00477379">
        <w:rPr>
          <w:lang w:val="en"/>
        </w:rPr>
        <w:t>o</w:t>
      </w:r>
      <w:r w:rsidRPr="00477379">
        <w:rPr>
          <w:lang w:val="en"/>
        </w:rPr>
        <w:t>bligations</w:t>
      </w:r>
    </w:p>
    <w:p w14:paraId="266A8975" w14:textId="43DA8D89" w:rsidR="00011AC7" w:rsidRPr="00250390" w:rsidRDefault="00011AC7" w:rsidP="00244B34">
      <w:pPr>
        <w:pStyle w:val="Heading3-nonumbering"/>
        <w:rPr>
          <w:lang w:val="en"/>
        </w:rPr>
      </w:pPr>
      <w:r w:rsidRPr="00250390">
        <w:rPr>
          <w:lang w:val="en"/>
        </w:rPr>
        <w:t xml:space="preserve">Section </w:t>
      </w:r>
      <w:proofErr w:type="gramStart"/>
      <w:r w:rsidRPr="00250390">
        <w:rPr>
          <w:lang w:val="en"/>
        </w:rPr>
        <w:t xml:space="preserve">66 </w:t>
      </w:r>
      <w:r w:rsidR="00477379" w:rsidRPr="00250390">
        <w:rPr>
          <w:lang w:val="en"/>
        </w:rPr>
        <w:t xml:space="preserve"> </w:t>
      </w:r>
      <w:proofErr w:type="spellStart"/>
      <w:r w:rsidR="00477379" w:rsidRPr="00250390">
        <w:rPr>
          <w:lang w:val="en"/>
        </w:rPr>
        <w:t>Oranga</w:t>
      </w:r>
      <w:proofErr w:type="spellEnd"/>
      <w:proofErr w:type="gramEnd"/>
      <w:r w:rsidR="00477379" w:rsidRPr="00250390">
        <w:rPr>
          <w:lang w:val="en"/>
        </w:rPr>
        <w:t xml:space="preserve"> Tamariki Act 1989 Children’s and Young People’s Well-being Act 1989</w:t>
      </w:r>
    </w:p>
    <w:p w14:paraId="740FBDF4" w14:textId="32748F72" w:rsidR="00477379" w:rsidRDefault="00477379" w:rsidP="00477379">
      <w:pPr>
        <w:rPr>
          <w:lang w:val="en"/>
        </w:rPr>
      </w:pPr>
      <w:r>
        <w:rPr>
          <w:lang w:val="en"/>
        </w:rPr>
        <w:t>An amendment to this Act will come into force on a date appointed by Order in Council or on 1 July 2019 if it has not earlier been brought into force. The amendment will provide that</w:t>
      </w:r>
      <w:r w:rsidRPr="00477379">
        <w:rPr>
          <w:lang w:val="en"/>
        </w:rPr>
        <w:t xml:space="preserve"> </w:t>
      </w:r>
      <w:r w:rsidR="00011AC7" w:rsidRPr="00477379">
        <w:rPr>
          <w:lang w:val="en"/>
        </w:rPr>
        <w:t>every agency must on request by the Chief Executive (of a government department), a care and protection coordinator or constable, supply any information required to determine whether a child or young person is in need of care and protection under the Act or is required in regard to any proceedings under the Act (including a family group conference).</w:t>
      </w:r>
      <w:r>
        <w:rPr>
          <w:rStyle w:val="FootnoteReference"/>
          <w:lang w:val="en"/>
        </w:rPr>
        <w:footnoteReference w:id="83"/>
      </w:r>
    </w:p>
    <w:p w14:paraId="7EB3D590" w14:textId="77777777" w:rsidR="00011AC7" w:rsidRPr="00A56277" w:rsidRDefault="00011AC7" w:rsidP="00244B34">
      <w:pPr>
        <w:rPr>
          <w:rFonts w:cs="Arial"/>
          <w:color w:val="333333"/>
          <w:sz w:val="25"/>
          <w:szCs w:val="25"/>
          <w:lang w:eastAsia="en-NZ"/>
        </w:rPr>
      </w:pPr>
      <w:r w:rsidRPr="00250390">
        <w:rPr>
          <w:lang w:val="en"/>
        </w:rPr>
        <w:t>Some limited grounds for refusal apply (eg</w:t>
      </w:r>
      <w:r w:rsidR="00244B34" w:rsidRPr="00250390">
        <w:rPr>
          <w:lang w:val="en"/>
        </w:rPr>
        <w:t>,</w:t>
      </w:r>
      <w:r w:rsidRPr="00250390">
        <w:rPr>
          <w:lang w:val="en"/>
        </w:rPr>
        <w:t xml:space="preserve"> legal or professional privilege)</w:t>
      </w:r>
      <w:r w:rsidR="00244B34" w:rsidRPr="00250390">
        <w:rPr>
          <w:lang w:val="en"/>
        </w:rPr>
        <w:t>.</w:t>
      </w:r>
    </w:p>
    <w:p w14:paraId="5414DE83" w14:textId="1A251668" w:rsidR="00D56B08" w:rsidRDefault="00011AC7" w:rsidP="00244B34">
      <w:pPr>
        <w:pStyle w:val="Heading1-nonumbering"/>
      </w:pPr>
      <w:bookmarkStart w:id="548" w:name="_Toc476648214"/>
      <w:bookmarkStart w:id="549" w:name="_Toc489004351"/>
      <w:bookmarkStart w:id="550" w:name="_Toc491259756"/>
      <w:r>
        <w:lastRenderedPageBreak/>
        <w:t>Appendix 11</w:t>
      </w:r>
      <w:bookmarkEnd w:id="548"/>
      <w:r w:rsidR="00244B34">
        <w:t>:</w:t>
      </w:r>
      <w:r>
        <w:t xml:space="preserve"> Information matching</w:t>
      </w:r>
      <w:bookmarkEnd w:id="549"/>
      <w:bookmarkEnd w:id="550"/>
    </w:p>
    <w:p w14:paraId="3FA92254" w14:textId="77777777" w:rsidR="00011AC7" w:rsidRDefault="00011AC7" w:rsidP="00244B34">
      <w:r>
        <w:t>Information matching can only be undertaken between the specified agencies listed in section</w:t>
      </w:r>
      <w:r w:rsidR="00244B34">
        <w:t> </w:t>
      </w:r>
      <w:r>
        <w:t>97 of the Privacy Act 1993. These agencies are:</w:t>
      </w:r>
    </w:p>
    <w:p w14:paraId="5696C914" w14:textId="1BD96648" w:rsidR="00011AC7" w:rsidRPr="00CF0A02" w:rsidRDefault="00011AC7" w:rsidP="00244B34">
      <w:pPr>
        <w:pStyle w:val="Bullet"/>
      </w:pPr>
      <w:r w:rsidRPr="00CF0A02">
        <w:t>the Accident Compensation Corporation</w:t>
      </w:r>
    </w:p>
    <w:p w14:paraId="71ACF8ED" w14:textId="7E358B1B" w:rsidR="00011AC7" w:rsidRPr="00CF0A02" w:rsidRDefault="00011AC7" w:rsidP="00244B34">
      <w:pPr>
        <w:pStyle w:val="Bullet"/>
      </w:pPr>
      <w:r w:rsidRPr="00CF0A02">
        <w:t xml:space="preserve">the Regulator, as defined by </w:t>
      </w:r>
      <w:hyperlink r:id="rId49" w:history="1">
        <w:r w:rsidRPr="00CF0A02">
          <w:t>Part 10</w:t>
        </w:r>
      </w:hyperlink>
      <w:r w:rsidRPr="00CF0A02">
        <w:t xml:space="preserve"> of the Accident Compensation Act 2001</w:t>
      </w:r>
    </w:p>
    <w:p w14:paraId="13D6952F" w14:textId="6726786D" w:rsidR="00011AC7" w:rsidRPr="00CF0A02" w:rsidRDefault="00011AC7" w:rsidP="00244B34">
      <w:pPr>
        <w:pStyle w:val="Bullet"/>
      </w:pPr>
      <w:r w:rsidRPr="00CF0A02">
        <w:t xml:space="preserve">the Electoral Commission established by </w:t>
      </w:r>
      <w:hyperlink r:id="rId50" w:history="1">
        <w:r w:rsidRPr="00CF0A02">
          <w:t>section 4B</w:t>
        </w:r>
      </w:hyperlink>
      <w:r w:rsidRPr="00CF0A02">
        <w:t xml:space="preserve"> of the Electoral Act 1993</w:t>
      </w:r>
    </w:p>
    <w:p w14:paraId="2A25F3EF" w14:textId="49E6E3E9" w:rsidR="00011AC7" w:rsidRPr="00CF0A02" w:rsidRDefault="00011AC7" w:rsidP="00244B34">
      <w:pPr>
        <w:pStyle w:val="Bullet"/>
      </w:pPr>
      <w:r w:rsidRPr="00CF0A02">
        <w:t xml:space="preserve">the company within the meaning of </w:t>
      </w:r>
      <w:hyperlink r:id="rId51" w:history="1">
        <w:r w:rsidRPr="00CF0A02">
          <w:t>section 2(1)</w:t>
        </w:r>
      </w:hyperlink>
      <w:r w:rsidRPr="00CF0A02">
        <w:t xml:space="preserve"> of the Housing Restructuring and Tenancy Matters Act 1992</w:t>
      </w:r>
    </w:p>
    <w:p w14:paraId="0D0BD2B9" w14:textId="39C23437" w:rsidR="00011AC7" w:rsidRPr="00CF0A02" w:rsidRDefault="00011AC7" w:rsidP="00244B34">
      <w:pPr>
        <w:pStyle w:val="Bullet"/>
      </w:pPr>
      <w:r w:rsidRPr="00CF0A02">
        <w:t>the Board of the Government Superannuation Fund Authority</w:t>
      </w:r>
    </w:p>
    <w:p w14:paraId="199FADD8" w14:textId="6A5A0243" w:rsidR="00011AC7" w:rsidRPr="00CF0A02" w:rsidRDefault="00011AC7" w:rsidP="00244B34">
      <w:pPr>
        <w:pStyle w:val="Bullet"/>
      </w:pPr>
      <w:r w:rsidRPr="00CF0A02">
        <w:t>the Board of Trustees of the National Provident Fund</w:t>
      </w:r>
    </w:p>
    <w:p w14:paraId="1DDCF882" w14:textId="1A15ADD7" w:rsidR="00011AC7" w:rsidRPr="00CF0A02" w:rsidRDefault="00011AC7" w:rsidP="00244B34">
      <w:pPr>
        <w:pStyle w:val="Bullet"/>
      </w:pPr>
      <w:r w:rsidRPr="00CF0A02">
        <w:t>the Ministry of Health</w:t>
      </w:r>
    </w:p>
    <w:p w14:paraId="4136602E" w14:textId="4CBAE15A" w:rsidR="00011AC7" w:rsidRPr="00CF0A02" w:rsidRDefault="00011AC7" w:rsidP="00244B34">
      <w:pPr>
        <w:pStyle w:val="Bullet"/>
      </w:pPr>
      <w:r w:rsidRPr="00CF0A02">
        <w:t>the Ministry of Justice</w:t>
      </w:r>
    </w:p>
    <w:p w14:paraId="5E148D17" w14:textId="38642824" w:rsidR="00011AC7" w:rsidRPr="00CF0A02" w:rsidRDefault="00011AC7" w:rsidP="00244B34">
      <w:pPr>
        <w:pStyle w:val="Bullet"/>
      </w:pPr>
      <w:r w:rsidRPr="00CF0A02">
        <w:t>the Department of Corrections</w:t>
      </w:r>
    </w:p>
    <w:p w14:paraId="55759707" w14:textId="7564BCE0" w:rsidR="00011AC7" w:rsidRPr="00CF0A02" w:rsidRDefault="00011AC7" w:rsidP="00244B34">
      <w:pPr>
        <w:pStyle w:val="Bullet"/>
      </w:pPr>
      <w:r w:rsidRPr="00CF0A02">
        <w:t>the Ministry of Business, Innovation, and Employment</w:t>
      </w:r>
    </w:p>
    <w:p w14:paraId="1B2FC20F" w14:textId="34AEC860" w:rsidR="00011AC7" w:rsidRPr="00CF0A02" w:rsidRDefault="00011AC7" w:rsidP="00244B34">
      <w:pPr>
        <w:pStyle w:val="Bullet"/>
      </w:pPr>
      <w:r w:rsidRPr="00CF0A02">
        <w:t xml:space="preserve">the department for the time being responsible for the administration of the </w:t>
      </w:r>
      <w:hyperlink r:id="rId52" w:history="1">
        <w:r w:rsidRPr="00CF0A02">
          <w:t>Social Security Act 1964</w:t>
        </w:r>
      </w:hyperlink>
    </w:p>
    <w:p w14:paraId="12347D1D" w14:textId="3049CD0A" w:rsidR="00011AC7" w:rsidRPr="00CF0A02" w:rsidRDefault="00011AC7" w:rsidP="00244B34">
      <w:pPr>
        <w:pStyle w:val="Bullet"/>
      </w:pPr>
      <w:r w:rsidRPr="00CF0A02">
        <w:t xml:space="preserve">the Housing New Zealand Corporation established (as the Housing Corporation of New Zealand) by </w:t>
      </w:r>
      <w:hyperlink r:id="rId53" w:history="1">
        <w:r w:rsidRPr="00CF0A02">
          <w:t>section 3(1)</w:t>
        </w:r>
      </w:hyperlink>
      <w:r w:rsidRPr="00CF0A02">
        <w:t xml:space="preserve"> of the Housing Corporation Act 1974</w:t>
      </w:r>
    </w:p>
    <w:p w14:paraId="02B075D7" w14:textId="1A4BBB06" w:rsidR="00011AC7" w:rsidRPr="00CF0A02" w:rsidRDefault="00011AC7" w:rsidP="00244B34">
      <w:pPr>
        <w:pStyle w:val="Bullet"/>
      </w:pPr>
      <w:r w:rsidRPr="00CF0A02">
        <w:t>the Inland Revenue Department</w:t>
      </w:r>
    </w:p>
    <w:p w14:paraId="46A56457" w14:textId="6652861B" w:rsidR="00011AC7" w:rsidRPr="00CF0A02" w:rsidRDefault="00011AC7" w:rsidP="00244B34">
      <w:pPr>
        <w:pStyle w:val="Bullet"/>
      </w:pPr>
      <w:r w:rsidRPr="00CF0A02">
        <w:t>the Ministry of Transport</w:t>
      </w:r>
    </w:p>
    <w:p w14:paraId="52073007" w14:textId="06EFAB1B" w:rsidR="00011AC7" w:rsidRPr="00CF0A02" w:rsidRDefault="00011AC7" w:rsidP="00244B34">
      <w:pPr>
        <w:pStyle w:val="Bullet"/>
      </w:pPr>
      <w:r w:rsidRPr="00CF0A02">
        <w:t>the New Zealand Transport Agency</w:t>
      </w:r>
    </w:p>
    <w:p w14:paraId="78CA65E4" w14:textId="3383D080" w:rsidR="00011AC7" w:rsidRPr="00CF0A02" w:rsidRDefault="00011AC7" w:rsidP="00244B34">
      <w:pPr>
        <w:pStyle w:val="Bullet"/>
      </w:pPr>
      <w:r w:rsidRPr="00CF0A02">
        <w:t>the Department of Internal Affairs</w:t>
      </w:r>
    </w:p>
    <w:p w14:paraId="07B3C482" w14:textId="62E27FFC" w:rsidR="00011AC7" w:rsidRPr="00CF0A02" w:rsidRDefault="00011AC7" w:rsidP="00244B34">
      <w:pPr>
        <w:pStyle w:val="Bullet"/>
      </w:pPr>
      <w:r w:rsidRPr="00CF0A02">
        <w:t xml:space="preserve">the Registrar-General appointed under </w:t>
      </w:r>
      <w:hyperlink r:id="rId54" w:history="1">
        <w:r w:rsidRPr="00CF0A02">
          <w:t>section 79(1)</w:t>
        </w:r>
      </w:hyperlink>
      <w:r w:rsidRPr="00CF0A02">
        <w:t xml:space="preserve"> of the Births, Deaths, Marriages, and Relationships Registration Act 1995</w:t>
      </w:r>
    </w:p>
    <w:p w14:paraId="16865944" w14:textId="2654DD4F" w:rsidR="00011AC7" w:rsidRPr="00CF0A02" w:rsidRDefault="00011AC7" w:rsidP="00244B34">
      <w:pPr>
        <w:pStyle w:val="Bullet"/>
      </w:pPr>
      <w:r w:rsidRPr="00CF0A02">
        <w:t>the New Zealand Customs Service</w:t>
      </w:r>
    </w:p>
    <w:p w14:paraId="3B1B355C" w14:textId="20BAF5B8" w:rsidR="00011AC7" w:rsidRPr="00CF0A02" w:rsidRDefault="00011AC7" w:rsidP="00244B34">
      <w:pPr>
        <w:pStyle w:val="Bullet"/>
      </w:pPr>
      <w:r w:rsidRPr="00CF0A02">
        <w:t>the Registrar of Motor Vehicle Traders</w:t>
      </w:r>
    </w:p>
    <w:p w14:paraId="1DDAD1FB" w14:textId="3F715B67" w:rsidR="00011AC7" w:rsidRPr="00CF0A02" w:rsidRDefault="00011AC7" w:rsidP="00244B34">
      <w:pPr>
        <w:pStyle w:val="Bullet"/>
      </w:pPr>
      <w:r w:rsidRPr="00CF0A02">
        <w:t>the Regulator, as defined in the Accident Insurance Act 1998</w:t>
      </w:r>
    </w:p>
    <w:p w14:paraId="6EB64F91" w14:textId="7ACC43CC" w:rsidR="00011AC7" w:rsidRPr="00CF0A02" w:rsidRDefault="00011AC7" w:rsidP="00244B34">
      <w:pPr>
        <w:pStyle w:val="Bullet"/>
      </w:pPr>
      <w:proofErr w:type="spellStart"/>
      <w:r w:rsidRPr="00CF0A02">
        <w:t>WorkSafe</w:t>
      </w:r>
      <w:proofErr w:type="spellEnd"/>
      <w:r w:rsidRPr="00CF0A02">
        <w:t xml:space="preserve"> New Zealand</w:t>
      </w:r>
    </w:p>
    <w:p w14:paraId="63174F28" w14:textId="0951F0F5" w:rsidR="00011AC7" w:rsidRPr="00CF0A02" w:rsidRDefault="00011AC7" w:rsidP="00244B34">
      <w:pPr>
        <w:pStyle w:val="Bullet"/>
      </w:pPr>
      <w:r w:rsidRPr="00CF0A02">
        <w:t xml:space="preserve">any tertiary institution, secondary school, or private training establishment (as those terms are defined in the </w:t>
      </w:r>
      <w:hyperlink r:id="rId55" w:history="1">
        <w:r w:rsidRPr="00CF0A02">
          <w:t>Education Act 1989</w:t>
        </w:r>
      </w:hyperlink>
      <w:r w:rsidRPr="00CF0A02">
        <w:t xml:space="preserve">) to which </w:t>
      </w:r>
      <w:hyperlink r:id="rId56" w:history="1">
        <w:r w:rsidRPr="00CF0A02">
          <w:t>section 226A</w:t>
        </w:r>
      </w:hyperlink>
      <w:r w:rsidRPr="00CF0A02">
        <w:t xml:space="preserve"> or section 238B of that Act applies, as from time to time notified to the Commissioner by the department for the time being responsible for the administration of the </w:t>
      </w:r>
      <w:hyperlink r:id="rId57" w:history="1">
        <w:r w:rsidRPr="00CF0A02">
          <w:t>Social Security Act 1964</w:t>
        </w:r>
      </w:hyperlink>
    </w:p>
    <w:p w14:paraId="10449783" w14:textId="4EABA8BC" w:rsidR="00011AC7" w:rsidRPr="00CF0A02" w:rsidRDefault="00011AC7" w:rsidP="00244B34">
      <w:pPr>
        <w:pStyle w:val="Bullet"/>
      </w:pPr>
      <w:r w:rsidRPr="00CF0A02">
        <w:t>the Ministry of Education</w:t>
      </w:r>
    </w:p>
    <w:p w14:paraId="3275383C" w14:textId="694733E4" w:rsidR="00011AC7" w:rsidRPr="00CF0A02" w:rsidRDefault="00011AC7" w:rsidP="00244B34">
      <w:pPr>
        <w:pStyle w:val="Bullet"/>
      </w:pPr>
      <w:r w:rsidRPr="00CF0A02">
        <w:t xml:space="preserve">the New Zealand Teachers Council established under </w:t>
      </w:r>
      <w:hyperlink r:id="rId58" w:history="1">
        <w:r w:rsidRPr="00CF0A02">
          <w:t>Part 10A</w:t>
        </w:r>
      </w:hyperlink>
      <w:r w:rsidRPr="00CF0A02">
        <w:t xml:space="preserve"> of the Education Act 1989</w:t>
      </w:r>
    </w:p>
    <w:p w14:paraId="55FB1FC0" w14:textId="6B9EA3B7" w:rsidR="00011AC7" w:rsidRPr="00CF0A02" w:rsidRDefault="00011AC7" w:rsidP="00244B34">
      <w:pPr>
        <w:pStyle w:val="Bullet"/>
      </w:pPr>
      <w:proofErr w:type="gramStart"/>
      <w:r w:rsidRPr="00CF0A02">
        <w:t>the</w:t>
      </w:r>
      <w:proofErr w:type="gramEnd"/>
      <w:r w:rsidRPr="00CF0A02">
        <w:t xml:space="preserve"> agency or agencies appointed under </w:t>
      </w:r>
      <w:hyperlink r:id="rId59" w:history="1">
        <w:r w:rsidRPr="00CF0A02">
          <w:t>section 100</w:t>
        </w:r>
      </w:hyperlink>
      <w:r w:rsidRPr="00CF0A02">
        <w:t xml:space="preserve"> of the Housing Restructuring and Tenancy Matters Act 1992</w:t>
      </w:r>
      <w:r w:rsidR="00244B34">
        <w:t>.</w:t>
      </w:r>
    </w:p>
    <w:p w14:paraId="1DFDED4E" w14:textId="3FFBA748" w:rsidR="00011AC7" w:rsidRDefault="00011AC7" w:rsidP="00244B34">
      <w:pPr>
        <w:pStyle w:val="Heading1-nonumbering"/>
      </w:pPr>
      <w:bookmarkStart w:id="551" w:name="_Toc489004352"/>
      <w:bookmarkStart w:id="552" w:name="_Toc491259757"/>
      <w:r>
        <w:lastRenderedPageBreak/>
        <w:t>Appendix 12</w:t>
      </w:r>
      <w:r w:rsidR="009837D6">
        <w:t>:</w:t>
      </w:r>
      <w:r>
        <w:t xml:space="preserve"> Approved information sharing agreement</w:t>
      </w:r>
      <w:bookmarkEnd w:id="551"/>
      <w:bookmarkEnd w:id="552"/>
    </w:p>
    <w:p w14:paraId="31859A09" w14:textId="77777777" w:rsidR="00011AC7" w:rsidRDefault="00011AC7" w:rsidP="009837D6">
      <w:bookmarkStart w:id="553" w:name="_Toc476648217"/>
      <w:r>
        <w:t>Approved Information Sharing Agreements (AISAs)</w:t>
      </w:r>
      <w:bookmarkEnd w:id="553"/>
      <w:r>
        <w:t xml:space="preserve"> allow information sharing that would otherwise be unlawful between and within agencies to deliver public services.</w:t>
      </w:r>
    </w:p>
    <w:p w14:paraId="6D7316CB" w14:textId="77777777" w:rsidR="00011AC7" w:rsidRPr="00FB1C75" w:rsidRDefault="00011AC7" w:rsidP="009837D6">
      <w:pPr>
        <w:pStyle w:val="Heading2-nonumbering"/>
      </w:pPr>
      <w:bookmarkStart w:id="554" w:name="_Toc489004353"/>
      <w:r w:rsidRPr="00FB1C75">
        <w:t>Purpose</w:t>
      </w:r>
      <w:bookmarkEnd w:id="554"/>
    </w:p>
    <w:p w14:paraId="733E6D8B" w14:textId="77777777" w:rsidR="00011AC7" w:rsidRPr="00FB1C75" w:rsidRDefault="00011AC7" w:rsidP="009837D6">
      <w:r>
        <w:t>An AISA authorises the agencies that are parties to it to share personal information in order to provide a public service specified in the agreement.</w:t>
      </w:r>
    </w:p>
    <w:p w14:paraId="3CFD5AD1" w14:textId="77777777" w:rsidR="00D56B08" w:rsidRDefault="00011AC7" w:rsidP="009837D6">
      <w:r w:rsidRPr="00CF0A02">
        <w:t>AISAs change the rules around how agencies share personal information, while ensuring safeguards are in place to protect an individual</w:t>
      </w:r>
      <w:r w:rsidR="00D56B08">
        <w:t>’</w:t>
      </w:r>
      <w:r w:rsidRPr="00CF0A02">
        <w:t>s privacy.</w:t>
      </w:r>
    </w:p>
    <w:p w14:paraId="5E91DE5D" w14:textId="77777777" w:rsidR="00011AC7" w:rsidRDefault="00011AC7" w:rsidP="009837D6">
      <w:r>
        <w:t>AISAs clarify and improve the rules around how the agencies share personal information Privacy Principles of codes of practice, while ensuring safeguards are in place to protect an individual</w:t>
      </w:r>
      <w:r w:rsidR="00D56B08">
        <w:t>’</w:t>
      </w:r>
      <w:r>
        <w:t>s privacy.</w:t>
      </w:r>
    </w:p>
    <w:p w14:paraId="1D0C78D8" w14:textId="1207FEE7" w:rsidR="00D56B08" w:rsidRDefault="00011AC7" w:rsidP="009837D6">
      <w:r>
        <w:t>AISAs can modify or change most of the Privacy Act</w:t>
      </w:r>
      <w:r w:rsidR="00D56B08">
        <w:t>’</w:t>
      </w:r>
      <w:r>
        <w:t xml:space="preserve">s information </w:t>
      </w:r>
      <w:hyperlink r:id="rId60" w:history="1">
        <w:r w:rsidRPr="00FB1C75">
          <w:t>privacy principles</w:t>
        </w:r>
      </w:hyperlink>
      <w:r>
        <w:t xml:space="preserve"> or </w:t>
      </w:r>
      <w:hyperlink r:id="rId61" w:history="1">
        <w:r w:rsidRPr="00FB1C75">
          <w:t>codes of practice</w:t>
        </w:r>
      </w:hyperlink>
      <w:r>
        <w:t>, for instance by allowing information to be used or disclosed for purposes other than the purpose for which it was obtained (Principles 10 and 11)</w:t>
      </w:r>
      <w:r w:rsidR="009837D6">
        <w:t>.</w:t>
      </w:r>
    </w:p>
    <w:p w14:paraId="0284AEE5" w14:textId="77777777" w:rsidR="00011AC7" w:rsidRPr="00FB1C75" w:rsidRDefault="00011AC7" w:rsidP="009837D6">
      <w:r>
        <w:t>However, AISAs cannot modify or override information privacy principles 6 and 7, which allow a person to access and correct their personal information.</w:t>
      </w:r>
    </w:p>
    <w:p w14:paraId="3736320D" w14:textId="77777777" w:rsidR="00011AC7" w:rsidRPr="00FB1C75" w:rsidRDefault="00011AC7" w:rsidP="009837D6">
      <w:pPr>
        <w:pStyle w:val="Heading2-nonumbering"/>
      </w:pPr>
      <w:bookmarkStart w:id="555" w:name="_Toc489004354"/>
      <w:r w:rsidRPr="00FB1C75">
        <w:t>Parties</w:t>
      </w:r>
      <w:bookmarkEnd w:id="555"/>
    </w:p>
    <w:p w14:paraId="352AF2AB" w14:textId="77777777" w:rsidR="00011AC7" w:rsidRPr="00FB1C75" w:rsidRDefault="00011AC7" w:rsidP="009837D6">
      <w:r>
        <w:t>Government departments, non-government organisations and private sector agencies (including individuals) can enter into an AISA.</w:t>
      </w:r>
    </w:p>
    <w:p w14:paraId="4BAC61B6" w14:textId="77777777" w:rsidR="00011AC7" w:rsidRDefault="00011AC7" w:rsidP="009837D6">
      <w:r>
        <w:t>At least one of the parties must be a government department and the lead agency must be a government department.</w:t>
      </w:r>
    </w:p>
    <w:p w14:paraId="2F2D69EC" w14:textId="12750B7D" w:rsidR="00D56B08" w:rsidRDefault="00011AC7" w:rsidP="009837D6">
      <w:r>
        <w:t xml:space="preserve">An agency that represents the interests of members of a profession (such as doctors) or types of institutions (such as DHBs) can be party to an AISA. Such parties represent what are known as a </w:t>
      </w:r>
      <w:r w:rsidR="009837D6">
        <w:t>‘</w:t>
      </w:r>
      <w:r>
        <w:t>class of agencies</w:t>
      </w:r>
      <w:r w:rsidR="009837D6">
        <w:t>’</w:t>
      </w:r>
      <w:r>
        <w:t>. The agreement must clearly define the members of the class.</w:t>
      </w:r>
    </w:p>
    <w:p w14:paraId="7C453E4D" w14:textId="77777777" w:rsidR="00D56B08" w:rsidRDefault="00011AC7" w:rsidP="009837D6">
      <w:r>
        <w:t>Organisations or people outside New Zealand cannot be party to an AISA.</w:t>
      </w:r>
    </w:p>
    <w:p w14:paraId="0773F953" w14:textId="77777777" w:rsidR="00011AC7" w:rsidRPr="00FB1C75" w:rsidRDefault="00011AC7" w:rsidP="009837D6">
      <w:pPr>
        <w:pStyle w:val="Heading2-nonumbering"/>
      </w:pPr>
      <w:bookmarkStart w:id="556" w:name="_Toc489004355"/>
      <w:r w:rsidRPr="00FB1C75">
        <w:t>Content</w:t>
      </w:r>
      <w:bookmarkEnd w:id="556"/>
    </w:p>
    <w:p w14:paraId="0730A79E" w14:textId="77777777" w:rsidR="00011AC7" w:rsidRPr="00FB1C75" w:rsidRDefault="00011AC7" w:rsidP="009837D6">
      <w:r>
        <w:t xml:space="preserve">An AISA must include certain features required by the Privacy Act, including the purpose of the agreement, privacy safeguards and what information will be shared and how. For details, see sections </w:t>
      </w:r>
      <w:hyperlink r:id="rId62" w:history="1">
        <w:r w:rsidRPr="00FB1C75">
          <w:t>96I</w:t>
        </w:r>
      </w:hyperlink>
      <w:r>
        <w:t xml:space="preserve"> and </w:t>
      </w:r>
      <w:hyperlink r:id="rId63" w:history="1">
        <w:r w:rsidRPr="00FB1C75">
          <w:t>96K</w:t>
        </w:r>
      </w:hyperlink>
      <w:r>
        <w:t xml:space="preserve"> of the Act.</w:t>
      </w:r>
    </w:p>
    <w:p w14:paraId="709B104B" w14:textId="77777777" w:rsidR="00011AC7" w:rsidRPr="00FB1C75" w:rsidRDefault="00011AC7" w:rsidP="009837D6">
      <w:pPr>
        <w:pStyle w:val="Heading2-nonumbering"/>
      </w:pPr>
      <w:bookmarkStart w:id="557" w:name="_Toc489004356"/>
      <w:r w:rsidRPr="00FB1C75">
        <w:lastRenderedPageBreak/>
        <w:t>Role of the Privacy Commissioner</w:t>
      </w:r>
      <w:bookmarkEnd w:id="557"/>
    </w:p>
    <w:p w14:paraId="07CCFA6C" w14:textId="77777777" w:rsidR="00011AC7" w:rsidRPr="00FB1C75" w:rsidRDefault="00011AC7" w:rsidP="009837D6">
      <w:r>
        <w:t>The Privacy Commissioner has a strong oversight role for AISAs, both when they are being developed and once they are in effect.</w:t>
      </w:r>
    </w:p>
    <w:p w14:paraId="5DAFA75F" w14:textId="77777777" w:rsidR="00011AC7" w:rsidRPr="00CF0A02" w:rsidRDefault="00011AC7" w:rsidP="009837D6">
      <w:pPr>
        <w:pStyle w:val="Heading2-nonumbering"/>
      </w:pPr>
      <w:bookmarkStart w:id="558" w:name="_Toc489004357"/>
      <w:r>
        <w:t>Before approval</w:t>
      </w:r>
      <w:bookmarkEnd w:id="558"/>
    </w:p>
    <w:p w14:paraId="36B4D2CF" w14:textId="77777777" w:rsidR="00011AC7" w:rsidRPr="00FB1C75" w:rsidRDefault="00011AC7" w:rsidP="009837D6">
      <w:r w:rsidRPr="00FB1C75">
        <w:t>Agencies have to consult the Commissioner when drawing up information sharing agreements.</w:t>
      </w:r>
    </w:p>
    <w:p w14:paraId="52082D3C" w14:textId="77777777" w:rsidR="00011AC7" w:rsidRPr="00FB1C75" w:rsidRDefault="00011AC7" w:rsidP="009837D6">
      <w:r w:rsidRPr="00FB1C75">
        <w:t>The Commissioner can report to lead agencies</w:t>
      </w:r>
      <w:r w:rsidR="00D56B08">
        <w:t>’</w:t>
      </w:r>
      <w:r w:rsidRPr="00FB1C75">
        <w:t xml:space="preserve"> Ministers about privacy issues in draft agreements.</w:t>
      </w:r>
    </w:p>
    <w:p w14:paraId="1EBC2F11" w14:textId="77777777" w:rsidR="00011AC7" w:rsidRPr="00FB1C75" w:rsidRDefault="00011AC7" w:rsidP="009837D6">
      <w:r w:rsidRPr="00FB1C75">
        <w:t>The Commissioner</w:t>
      </w:r>
      <w:r w:rsidR="00D56B08">
        <w:t>’</w:t>
      </w:r>
      <w:r w:rsidRPr="00FB1C75">
        <w:t>s report must be taken into account before agreements are finalised.</w:t>
      </w:r>
    </w:p>
    <w:p w14:paraId="3466519B" w14:textId="77777777" w:rsidR="00011AC7" w:rsidRPr="00CF0A02" w:rsidRDefault="00011AC7" w:rsidP="009837D6">
      <w:pPr>
        <w:pStyle w:val="Heading2-nonumbering"/>
      </w:pPr>
      <w:bookmarkStart w:id="559" w:name="_Toc489004358"/>
      <w:r>
        <w:t>After approval</w:t>
      </w:r>
      <w:bookmarkEnd w:id="559"/>
    </w:p>
    <w:p w14:paraId="54556426" w14:textId="77777777" w:rsidR="00D56B08" w:rsidRDefault="00011AC7" w:rsidP="009837D6">
      <w:r w:rsidRPr="00FB1C75">
        <w:t>The Privacy Commissioner may require the AISA</w:t>
      </w:r>
      <w:r w:rsidR="00D56B08">
        <w:t>’</w:t>
      </w:r>
      <w:r w:rsidRPr="00FB1C75">
        <w:t>s lead agency to regularly report on the operation of the agreement.</w:t>
      </w:r>
    </w:p>
    <w:p w14:paraId="6AEFF286" w14:textId="77777777" w:rsidR="00D56B08" w:rsidRDefault="00011AC7" w:rsidP="009837D6">
      <w:r w:rsidRPr="00FB1C75">
        <w:t>The Commissioner can review an AISA and its operation and report to the lead agency</w:t>
      </w:r>
      <w:r w:rsidR="00D56B08">
        <w:t>’</w:t>
      </w:r>
      <w:r w:rsidRPr="00FB1C75">
        <w:t>s Minister. After consulting the Minister the Commissioner may publish the report.</w:t>
      </w:r>
    </w:p>
    <w:p w14:paraId="1237EE07" w14:textId="77777777" w:rsidR="00011AC7" w:rsidRPr="00FB1C75" w:rsidRDefault="00011AC7" w:rsidP="009837D6">
      <w:pPr>
        <w:pStyle w:val="Heading2-nonumbering"/>
      </w:pPr>
      <w:bookmarkStart w:id="560" w:name="_Toc489004359"/>
      <w:r w:rsidRPr="00FB1C75">
        <w:t>Other safeguards</w:t>
      </w:r>
      <w:bookmarkEnd w:id="560"/>
    </w:p>
    <w:p w14:paraId="06B33307" w14:textId="77777777" w:rsidR="00D56B08" w:rsidRDefault="00011AC7" w:rsidP="009837D6">
      <w:r w:rsidRPr="00FB1C75">
        <w:t>Agencies must consult with representatives of those whose information would be shared.</w:t>
      </w:r>
    </w:p>
    <w:p w14:paraId="23B934AA" w14:textId="77777777" w:rsidR="00D56B08" w:rsidRDefault="00011AC7" w:rsidP="009837D6">
      <w:r w:rsidRPr="00FB1C75">
        <w:t>Lead agencies</w:t>
      </w:r>
      <w:r w:rsidR="00D56B08">
        <w:t>’</w:t>
      </w:r>
      <w:r w:rsidRPr="00FB1C75">
        <w:t xml:space="preserve"> ministers must be satisfied that AISAs do not unreasonably impinge on people</w:t>
      </w:r>
      <w:r w:rsidR="00D56B08">
        <w:t>’</w:t>
      </w:r>
      <w:r w:rsidRPr="00FB1C75">
        <w:t>s privacy; that the benefits of agreements outweigh the costs; and that agreements contain adequate privacy safeguards.</w:t>
      </w:r>
    </w:p>
    <w:p w14:paraId="13261C2D" w14:textId="77777777" w:rsidR="00D56B08" w:rsidRDefault="00011AC7" w:rsidP="009837D6">
      <w:r w:rsidRPr="00FB1C75">
        <w:t>AISAs must be accessible online, free of charge.</w:t>
      </w:r>
    </w:p>
    <w:p w14:paraId="3813A997" w14:textId="77777777" w:rsidR="00011AC7" w:rsidRPr="00FB1C75" w:rsidRDefault="00011AC7" w:rsidP="009837D6">
      <w:pPr>
        <w:pStyle w:val="Heading2-nonumbering"/>
      </w:pPr>
      <w:bookmarkStart w:id="561" w:name="_Toc489004360"/>
      <w:r w:rsidRPr="00FB1C75">
        <w:t>Other key points</w:t>
      </w:r>
      <w:bookmarkEnd w:id="561"/>
    </w:p>
    <w:p w14:paraId="655DC505" w14:textId="77777777" w:rsidR="00D56B08" w:rsidRDefault="00011AC7" w:rsidP="009837D6">
      <w:r w:rsidRPr="00FB1C75">
        <w:t>AISAs are created when an information sharing agreement is approved by Order in Council on the recommendation of the Minister responsible for the AISA</w:t>
      </w:r>
      <w:r w:rsidR="00D56B08">
        <w:t>’</w:t>
      </w:r>
      <w:r w:rsidRPr="00FB1C75">
        <w:t>s lead agency.</w:t>
      </w:r>
    </w:p>
    <w:p w14:paraId="595C2F60" w14:textId="77777777" w:rsidR="00D56B08" w:rsidRDefault="00011AC7" w:rsidP="009837D6">
      <w:r w:rsidRPr="00FB1C75">
        <w:t>AISAs have the status of regulations. Therefore, they have a stronger legal authority than a memorandum of understanding to share information.</w:t>
      </w:r>
    </w:p>
    <w:p w14:paraId="4092588E" w14:textId="77777777" w:rsidR="00D56B08" w:rsidRDefault="00011AC7" w:rsidP="009837D6">
      <w:r w:rsidRPr="00FB1C75">
        <w:t>No person or organisation can be compelled to join an AISA.</w:t>
      </w:r>
    </w:p>
    <w:p w14:paraId="495C21E4" w14:textId="77777777" w:rsidR="00D56B08" w:rsidRDefault="00011AC7" w:rsidP="009837D6">
      <w:r w:rsidRPr="00FB1C75">
        <w:t>AISAs authorise, but do not compel, parties to share information with each other.</w:t>
      </w:r>
    </w:p>
    <w:p w14:paraId="6E8D0DA7" w14:textId="77777777" w:rsidR="00D56B08" w:rsidRDefault="00011AC7" w:rsidP="009837D6">
      <w:r w:rsidRPr="00FB1C75">
        <w:t>Where Acts of Parliament prohibit information sharing, AISAs cannot override them.</w:t>
      </w:r>
    </w:p>
    <w:p w14:paraId="3451BA1A" w14:textId="2F4664E5" w:rsidR="00011AC7" w:rsidRDefault="00011AC7" w:rsidP="009837D6">
      <w:pPr>
        <w:pStyle w:val="Heading1-nonumbering"/>
      </w:pPr>
      <w:bookmarkStart w:id="562" w:name="_Toc489004361"/>
      <w:bookmarkStart w:id="563" w:name="_Toc491259758"/>
      <w:r>
        <w:lastRenderedPageBreak/>
        <w:t>Appendix 13</w:t>
      </w:r>
      <w:r w:rsidR="009837D6">
        <w:t>:</w:t>
      </w:r>
      <w:r>
        <w:t xml:space="preserve"> Secondary use of data</w:t>
      </w:r>
      <w:bookmarkEnd w:id="562"/>
      <w:bookmarkEnd w:id="563"/>
    </w:p>
    <w:p w14:paraId="3E5D49CB" w14:textId="77777777" w:rsidR="00011AC7" w:rsidRDefault="00011AC7" w:rsidP="009837D6">
      <w:pPr>
        <w:pStyle w:val="Heading2-nonumbering"/>
      </w:pPr>
      <w:bookmarkStart w:id="564" w:name="_Toc476648219"/>
      <w:r>
        <w:t xml:space="preserve">Secondary use of data – types and degrees of </w:t>
      </w:r>
      <w:proofErr w:type="spellStart"/>
      <w:r>
        <w:t>anonymisation</w:t>
      </w:r>
      <w:bookmarkEnd w:id="564"/>
      <w:proofErr w:type="spellEnd"/>
    </w:p>
    <w:p w14:paraId="1BE4BC20" w14:textId="77777777" w:rsidR="00D56B08" w:rsidRDefault="00011AC7" w:rsidP="009837D6">
      <w:pPr>
        <w:pStyle w:val="Heading3-nonumbering"/>
      </w:pPr>
      <w:r w:rsidRPr="005064BB">
        <w:t>T</w:t>
      </w:r>
      <w:r w:rsidR="009837D6">
        <w:t>ypes of data</w:t>
      </w:r>
    </w:p>
    <w:p w14:paraId="3111E720" w14:textId="77777777" w:rsidR="00D56B08" w:rsidRDefault="00011AC7" w:rsidP="009837D6">
      <w:pPr>
        <w:pStyle w:val="Heading4"/>
      </w:pPr>
      <w:r w:rsidRPr="005064BB">
        <w:t>Aggregate data</w:t>
      </w:r>
    </w:p>
    <w:p w14:paraId="16DC85C1" w14:textId="77777777" w:rsidR="00D56B08" w:rsidRDefault="00011AC7" w:rsidP="009837D6">
      <w:r w:rsidRPr="005064BB">
        <w:t>Data derived from records about more than one person, and expressed in summary form, such as statistical tables. Aggregate data usually presents little privacy risk.</w:t>
      </w:r>
    </w:p>
    <w:p w14:paraId="2503E966" w14:textId="77777777" w:rsidR="00D56B08" w:rsidRDefault="00011AC7" w:rsidP="009837D6">
      <w:pPr>
        <w:pStyle w:val="Heading4"/>
      </w:pPr>
      <w:r w:rsidRPr="005064BB">
        <w:t>Consumer level data</w:t>
      </w:r>
    </w:p>
    <w:p w14:paraId="221DAEF2" w14:textId="2D9CC83A" w:rsidR="00D56B08" w:rsidRDefault="00011AC7" w:rsidP="009837D6">
      <w:r w:rsidRPr="005064BB">
        <w:t xml:space="preserve">Consumer level data describes characteristics or events relating to individual consumers. Consumer level data can be classified as </w:t>
      </w:r>
      <w:r w:rsidRPr="005064BB">
        <w:rPr>
          <w:iCs/>
        </w:rPr>
        <w:t xml:space="preserve">identifiable </w:t>
      </w:r>
      <w:r w:rsidRPr="005064BB">
        <w:t xml:space="preserve">or </w:t>
      </w:r>
      <w:r w:rsidRPr="005064BB">
        <w:rPr>
          <w:iCs/>
        </w:rPr>
        <w:t>non-identifiable</w:t>
      </w:r>
      <w:r w:rsidRPr="005064BB">
        <w:t xml:space="preserve">. Consumer level data is </w:t>
      </w:r>
      <w:r w:rsidRPr="005064BB">
        <w:rPr>
          <w:iCs/>
        </w:rPr>
        <w:t xml:space="preserve">identifiable </w:t>
      </w:r>
      <w:r w:rsidRPr="005064BB">
        <w:t>if it includes data that indicates a consumer</w:t>
      </w:r>
      <w:r w:rsidR="00D56B08">
        <w:t>’</w:t>
      </w:r>
      <w:r w:rsidRPr="005064BB">
        <w:t xml:space="preserve">s identity. Consumer data is </w:t>
      </w:r>
      <w:r w:rsidRPr="005064BB">
        <w:rPr>
          <w:iCs/>
        </w:rPr>
        <w:t xml:space="preserve">non-identifiable </w:t>
      </w:r>
      <w:r w:rsidRPr="005064BB">
        <w:t>if information that might identify a consumer has been removed. Even non-identifiable data may carry a risk of re-identification of a consumer if the data features uncommon characteristics (eg</w:t>
      </w:r>
      <w:r w:rsidR="009837D6">
        <w:t>,</w:t>
      </w:r>
      <w:r w:rsidRPr="005064BB">
        <w:t xml:space="preserve"> a rare genetic disorder) or a deliberate attempt is made to link the data with other information about the target.</w:t>
      </w:r>
    </w:p>
    <w:p w14:paraId="67CD38ED" w14:textId="77777777" w:rsidR="00D56B08" w:rsidRDefault="009837D6" w:rsidP="009837D6">
      <w:pPr>
        <w:pStyle w:val="Heading3-nonumbering"/>
      </w:pPr>
      <w:r w:rsidRPr="005064BB">
        <w:t>Methods for reducing risk of consumer identification</w:t>
      </w:r>
    </w:p>
    <w:p w14:paraId="470DD315" w14:textId="77777777" w:rsidR="00D56B08" w:rsidRDefault="00011AC7" w:rsidP="009837D6">
      <w:pPr>
        <w:pStyle w:val="Heading4"/>
      </w:pPr>
      <w:r w:rsidRPr="005064BB">
        <w:t>Obfuscation</w:t>
      </w:r>
    </w:p>
    <w:p w14:paraId="7867B78C" w14:textId="77777777" w:rsidR="00D56B08" w:rsidRDefault="00011AC7" w:rsidP="009837D6">
      <w:r w:rsidRPr="005064BB">
        <w:t>Obfuscation is any process that decreases data precision to minimise re-identification risk. An example of obfuscation is the replacement of date of birth with year of birth.</w:t>
      </w:r>
    </w:p>
    <w:p w14:paraId="3DF97DC8" w14:textId="77777777" w:rsidR="00D56B08" w:rsidRDefault="00011AC7" w:rsidP="009837D6">
      <w:pPr>
        <w:pStyle w:val="Heading4"/>
      </w:pPr>
      <w:r w:rsidRPr="005064BB">
        <w:t>De-identification</w:t>
      </w:r>
    </w:p>
    <w:p w14:paraId="275B2851" w14:textId="77777777" w:rsidR="00D56B08" w:rsidRDefault="00011AC7" w:rsidP="009837D6">
      <w:r w:rsidRPr="005064BB">
        <w:t xml:space="preserve">De-identification involves obfuscation or removal of </w:t>
      </w:r>
      <w:r w:rsidRPr="005064BB">
        <w:rPr>
          <w:iCs/>
        </w:rPr>
        <w:t xml:space="preserve">direct identifiers </w:t>
      </w:r>
      <w:r w:rsidRPr="005064BB">
        <w:t xml:space="preserve">such as names or email addresses and </w:t>
      </w:r>
      <w:r w:rsidRPr="005064BB">
        <w:rPr>
          <w:iCs/>
        </w:rPr>
        <w:t xml:space="preserve">indirect identifiers </w:t>
      </w:r>
      <w:r w:rsidRPr="005064BB">
        <w:t>such as date of birth or employer. De-identification is sufficient to prevent accidental identification of a consumer during data analysis. Consumers might still be identified through deliberate re-identification techniques involving linkage with other data sources.</w:t>
      </w:r>
    </w:p>
    <w:p w14:paraId="6F2669EA" w14:textId="77777777" w:rsidR="00D56B08" w:rsidRDefault="00011AC7" w:rsidP="009837D6">
      <w:pPr>
        <w:pStyle w:val="Heading4"/>
      </w:pPr>
      <w:proofErr w:type="spellStart"/>
      <w:r w:rsidRPr="005064BB">
        <w:t>Anonymisation</w:t>
      </w:r>
      <w:proofErr w:type="spellEnd"/>
    </w:p>
    <w:p w14:paraId="2FBA2295" w14:textId="77777777" w:rsidR="00D56B08" w:rsidRDefault="00011AC7" w:rsidP="009837D6">
      <w:proofErr w:type="spellStart"/>
      <w:r w:rsidRPr="005064BB">
        <w:t>Anonymisation</w:t>
      </w:r>
      <w:proofErr w:type="spellEnd"/>
      <w:r w:rsidRPr="005064BB">
        <w:t xml:space="preserve"> goes beyond de-identification by limiting the information content of consumer records to make linkages to other data sets difficult. Measures of anonymity include </w:t>
      </w:r>
      <w:r w:rsidRPr="005064BB">
        <w:rPr>
          <w:iCs/>
        </w:rPr>
        <w:t>k</w:t>
      </w:r>
      <w:r w:rsidR="009837D6">
        <w:rPr>
          <w:iCs/>
        </w:rPr>
        <w:noBreakHyphen/>
      </w:r>
      <w:r w:rsidRPr="005064BB">
        <w:rPr>
          <w:iCs/>
        </w:rPr>
        <w:t xml:space="preserve">anonymity </w:t>
      </w:r>
      <w:r w:rsidRPr="005064BB">
        <w:t xml:space="preserve">and </w:t>
      </w:r>
      <w:r w:rsidRPr="005064BB">
        <w:rPr>
          <w:iCs/>
        </w:rPr>
        <w:t>I-diversity</w:t>
      </w:r>
      <w:r w:rsidRPr="005064BB">
        <w:t>.</w:t>
      </w:r>
    </w:p>
    <w:p w14:paraId="12CD6940" w14:textId="77777777" w:rsidR="00D56B08" w:rsidRDefault="00011AC7" w:rsidP="009837D6">
      <w:pPr>
        <w:pStyle w:val="Heading4"/>
      </w:pPr>
      <w:proofErr w:type="gramStart"/>
      <w:r w:rsidRPr="005064BB">
        <w:t>k-anonymity</w:t>
      </w:r>
      <w:proofErr w:type="gramEnd"/>
    </w:p>
    <w:p w14:paraId="6D4B7BC9" w14:textId="77777777" w:rsidR="00D56B08" w:rsidRDefault="00011AC7" w:rsidP="009837D6">
      <w:proofErr w:type="gramStart"/>
      <w:r w:rsidRPr="005064BB">
        <w:rPr>
          <w:iCs/>
        </w:rPr>
        <w:t>k</w:t>
      </w:r>
      <w:r w:rsidRPr="005064BB">
        <w:t>-anonymity</w:t>
      </w:r>
      <w:proofErr w:type="gramEnd"/>
      <w:r w:rsidRPr="005064BB">
        <w:t xml:space="preserve"> is a measure of anonymity in a data set. A data set provides </w:t>
      </w:r>
      <w:r w:rsidRPr="005064BB">
        <w:rPr>
          <w:iCs/>
        </w:rPr>
        <w:t>k</w:t>
      </w:r>
      <w:r w:rsidRPr="005064BB">
        <w:t xml:space="preserve">-anonymity if the data for each consumer is indistinguishable from at least </w:t>
      </w:r>
      <w:r w:rsidRPr="005064BB">
        <w:rPr>
          <w:iCs/>
        </w:rPr>
        <w:t xml:space="preserve">k-1 </w:t>
      </w:r>
      <w:r w:rsidRPr="005064BB">
        <w:t xml:space="preserve">other records. For example, in a data set with </w:t>
      </w:r>
      <w:r w:rsidRPr="005064BB">
        <w:rPr>
          <w:iCs/>
        </w:rPr>
        <w:t>5</w:t>
      </w:r>
      <w:r w:rsidRPr="005064BB">
        <w:t xml:space="preserve">-anonymity every consumer shares the same characteristics with at least 4 others. </w:t>
      </w:r>
      <w:proofErr w:type="gramStart"/>
      <w:r w:rsidRPr="005064BB">
        <w:rPr>
          <w:iCs/>
        </w:rPr>
        <w:t>k</w:t>
      </w:r>
      <w:r w:rsidR="009837D6">
        <w:rPr>
          <w:iCs/>
        </w:rPr>
        <w:noBreakHyphen/>
      </w:r>
      <w:r w:rsidRPr="005064BB">
        <w:t>anonymity</w:t>
      </w:r>
      <w:proofErr w:type="gramEnd"/>
      <w:r w:rsidRPr="005064BB">
        <w:t xml:space="preserve"> may be applied across all data points (strong </w:t>
      </w:r>
      <w:r w:rsidRPr="005064BB">
        <w:rPr>
          <w:iCs/>
        </w:rPr>
        <w:t>k</w:t>
      </w:r>
      <w:r w:rsidRPr="005064BB">
        <w:t xml:space="preserve">-anonymity) or only those considered likely to be found in other data sets that might be used for re-identification (weak </w:t>
      </w:r>
      <w:r w:rsidRPr="005064BB">
        <w:rPr>
          <w:iCs/>
        </w:rPr>
        <w:t>k</w:t>
      </w:r>
      <w:r w:rsidR="009837D6">
        <w:rPr>
          <w:iCs/>
        </w:rPr>
        <w:noBreakHyphen/>
      </w:r>
      <w:r w:rsidRPr="005064BB">
        <w:t>anonymity).</w:t>
      </w:r>
    </w:p>
    <w:p w14:paraId="03D8CF6D" w14:textId="77777777" w:rsidR="00D56B08" w:rsidRDefault="00011AC7" w:rsidP="009837D6">
      <w:pPr>
        <w:pStyle w:val="Heading4"/>
      </w:pPr>
      <w:proofErr w:type="spellStart"/>
      <w:r w:rsidRPr="005064BB">
        <w:lastRenderedPageBreak/>
        <w:t>Pseudonymisation</w:t>
      </w:r>
      <w:proofErr w:type="spellEnd"/>
    </w:p>
    <w:p w14:paraId="2F9A3063" w14:textId="77777777" w:rsidR="00D56B08" w:rsidRDefault="00011AC7" w:rsidP="009837D6">
      <w:proofErr w:type="spellStart"/>
      <w:r w:rsidRPr="005064BB">
        <w:t>Pseudonymisation</w:t>
      </w:r>
      <w:proofErr w:type="spellEnd"/>
      <w:r w:rsidRPr="005064BB">
        <w:t xml:space="preserve"> assigns each consumer a unique identifier (pseudonym) which may be used for linking non-identifiable data sets without revealing consumer identity.</w:t>
      </w:r>
    </w:p>
    <w:p w14:paraId="493F0AC0" w14:textId="77777777" w:rsidR="00D56B08" w:rsidRDefault="00011AC7" w:rsidP="009837D6">
      <w:pPr>
        <w:pStyle w:val="Heading4"/>
      </w:pPr>
      <w:r w:rsidRPr="005064BB">
        <w:t>Encryption</w:t>
      </w:r>
    </w:p>
    <w:p w14:paraId="128C37DA" w14:textId="698565BE" w:rsidR="00D56B08" w:rsidRDefault="00011AC7" w:rsidP="009837D6">
      <w:r w:rsidRPr="005064BB">
        <w:t>Encryption is a secure reversible process that can be used to anonymise identifiable information in such a way that those with appropriate authorisation can re-identify consumers of interest following analysis of non-identifiable data (eg</w:t>
      </w:r>
      <w:r w:rsidR="009837D6">
        <w:t>,</w:t>
      </w:r>
      <w:r w:rsidRPr="005064BB">
        <w:t xml:space="preserve"> identification to a general practitioner of an at-risk subset of the population requiring medical intervention).</w:t>
      </w:r>
    </w:p>
    <w:p w14:paraId="28476057" w14:textId="77777777" w:rsidR="00D56B08" w:rsidRDefault="00011AC7" w:rsidP="009837D6">
      <w:pPr>
        <w:pStyle w:val="Heading4"/>
      </w:pPr>
      <w:r w:rsidRPr="005064BB">
        <w:t>Definition of identifiable data</w:t>
      </w:r>
    </w:p>
    <w:p w14:paraId="5547C1A5" w14:textId="77777777" w:rsidR="00D56B08" w:rsidRDefault="00011AC7" w:rsidP="009837D6">
      <w:r w:rsidRPr="005064BB">
        <w:t xml:space="preserve">Consumer data is considered identifiable if it </w:t>
      </w:r>
      <w:r w:rsidRPr="005064BB">
        <w:rPr>
          <w:iCs/>
        </w:rPr>
        <w:t xml:space="preserve">includes </w:t>
      </w:r>
      <w:r w:rsidRPr="005064BB">
        <w:t>any of the following:</w:t>
      </w:r>
    </w:p>
    <w:p w14:paraId="3CDCC131" w14:textId="77777777" w:rsidR="00D56B08" w:rsidRDefault="00011AC7" w:rsidP="009837D6">
      <w:pPr>
        <w:pStyle w:val="Bullet"/>
      </w:pPr>
      <w:r w:rsidRPr="005064BB">
        <w:t>Direct identifiers</w:t>
      </w:r>
    </w:p>
    <w:p w14:paraId="7BEC3E01" w14:textId="77777777" w:rsidR="00D56B08" w:rsidRDefault="00011AC7" w:rsidP="009837D6">
      <w:pPr>
        <w:pStyle w:val="Dash"/>
      </w:pPr>
      <w:r w:rsidRPr="005064BB">
        <w:t>NHI</w:t>
      </w:r>
    </w:p>
    <w:p w14:paraId="311397F6" w14:textId="3D9D0776" w:rsidR="00D56B08" w:rsidRDefault="009837D6" w:rsidP="009837D6">
      <w:pPr>
        <w:pStyle w:val="Dash"/>
      </w:pPr>
      <w:r>
        <w:t>n</w:t>
      </w:r>
      <w:r w:rsidR="00011AC7" w:rsidRPr="005064BB">
        <w:t>ame</w:t>
      </w:r>
    </w:p>
    <w:p w14:paraId="57B98BE9" w14:textId="4C3400C0" w:rsidR="00D56B08" w:rsidRDefault="009837D6" w:rsidP="009837D6">
      <w:pPr>
        <w:pStyle w:val="Dash"/>
      </w:pPr>
      <w:r>
        <w:t>s</w:t>
      </w:r>
      <w:r w:rsidR="00011AC7" w:rsidRPr="005064BB">
        <w:t>treet address</w:t>
      </w:r>
    </w:p>
    <w:p w14:paraId="043957CB" w14:textId="020D9926" w:rsidR="00D56B08" w:rsidRDefault="009837D6" w:rsidP="009837D6">
      <w:pPr>
        <w:pStyle w:val="Dash"/>
      </w:pPr>
      <w:r>
        <w:t>p</w:t>
      </w:r>
      <w:r w:rsidR="00011AC7" w:rsidRPr="005064BB">
        <w:t>hone number</w:t>
      </w:r>
    </w:p>
    <w:p w14:paraId="26E9BAAC" w14:textId="06F1771E" w:rsidR="00D56B08" w:rsidRDefault="009837D6" w:rsidP="009837D6">
      <w:pPr>
        <w:pStyle w:val="Dash"/>
      </w:pPr>
      <w:r>
        <w:t>o</w:t>
      </w:r>
      <w:r w:rsidR="00011AC7" w:rsidRPr="005064BB">
        <w:t>nline identity (eg</w:t>
      </w:r>
      <w:r>
        <w:t>,</w:t>
      </w:r>
      <w:r w:rsidR="00011AC7" w:rsidRPr="005064BB">
        <w:t xml:space="preserve"> email, twitter name)</w:t>
      </w:r>
    </w:p>
    <w:p w14:paraId="6FAB2D9A" w14:textId="72B85CE3" w:rsidR="00011AC7" w:rsidRPr="005064BB" w:rsidRDefault="009837D6" w:rsidP="009837D6">
      <w:pPr>
        <w:pStyle w:val="Dash"/>
      </w:pPr>
      <w:proofErr w:type="gramStart"/>
      <w:r>
        <w:t>i</w:t>
      </w:r>
      <w:r w:rsidR="00011AC7" w:rsidRPr="005064BB">
        <w:t>dentification</w:t>
      </w:r>
      <w:proofErr w:type="gramEnd"/>
      <w:r w:rsidR="00011AC7" w:rsidRPr="005064BB">
        <w:t xml:space="preserve"> numbers (eg</w:t>
      </w:r>
      <w:r>
        <w:t>,</w:t>
      </w:r>
      <w:r w:rsidR="00011AC7" w:rsidRPr="005064BB">
        <w:t xml:space="preserve"> community services card number, driver</w:t>
      </w:r>
      <w:r w:rsidR="00D56B08">
        <w:t>’</w:t>
      </w:r>
      <w:r w:rsidR="00011AC7">
        <w:t>s licen</w:t>
      </w:r>
      <w:r>
        <w:t>c</w:t>
      </w:r>
      <w:r w:rsidR="00011AC7">
        <w:t>e number).</w:t>
      </w:r>
    </w:p>
    <w:p w14:paraId="150153FA" w14:textId="77777777" w:rsidR="00D56B08" w:rsidRDefault="00011AC7" w:rsidP="009837D6">
      <w:pPr>
        <w:pStyle w:val="Bullet"/>
      </w:pPr>
      <w:r w:rsidRPr="005064BB">
        <w:t>Indirect identifiers</w:t>
      </w:r>
    </w:p>
    <w:p w14:paraId="6EFF4801" w14:textId="25D076E3" w:rsidR="00D56B08" w:rsidRDefault="009837D6" w:rsidP="009837D6">
      <w:pPr>
        <w:pStyle w:val="Dash"/>
      </w:pPr>
      <w:r>
        <w:t>d</w:t>
      </w:r>
      <w:r w:rsidR="00011AC7" w:rsidRPr="005064BB">
        <w:t>ate of birth</w:t>
      </w:r>
    </w:p>
    <w:p w14:paraId="527A3251" w14:textId="496DB735" w:rsidR="00D56B08" w:rsidRDefault="009837D6" w:rsidP="009837D6">
      <w:pPr>
        <w:pStyle w:val="Dash"/>
      </w:pPr>
      <w:r>
        <w:t>i</w:t>
      </w:r>
      <w:r w:rsidR="00011AC7" w:rsidRPr="005064BB">
        <w:t>dentification of relatives</w:t>
      </w:r>
    </w:p>
    <w:p w14:paraId="34E93341" w14:textId="111A56CE" w:rsidR="00D56B08" w:rsidRDefault="009837D6" w:rsidP="009837D6">
      <w:pPr>
        <w:pStyle w:val="Dash"/>
      </w:pPr>
      <w:r>
        <w:t>i</w:t>
      </w:r>
      <w:r w:rsidR="00011AC7" w:rsidRPr="005064BB">
        <w:t>dentification of employers</w:t>
      </w:r>
    </w:p>
    <w:p w14:paraId="716018AE" w14:textId="3A80DB8D" w:rsidR="00D56B08" w:rsidRDefault="009837D6" w:rsidP="009837D6">
      <w:pPr>
        <w:pStyle w:val="Dash"/>
      </w:pPr>
      <w:r>
        <w:t>c</w:t>
      </w:r>
      <w:r w:rsidR="00011AC7" w:rsidRPr="005064BB">
        <w:t>linical notes</w:t>
      </w:r>
    </w:p>
    <w:p w14:paraId="0E9FC3C6" w14:textId="7C738B55" w:rsidR="00D56B08" w:rsidRDefault="009837D6" w:rsidP="009837D6">
      <w:pPr>
        <w:pStyle w:val="Dash"/>
      </w:pPr>
      <w:proofErr w:type="gramStart"/>
      <w:r>
        <w:t>a</w:t>
      </w:r>
      <w:r w:rsidR="00011AC7" w:rsidRPr="005064BB">
        <w:t>ny</w:t>
      </w:r>
      <w:proofErr w:type="gramEnd"/>
      <w:r w:rsidR="00011AC7" w:rsidRPr="005064BB">
        <w:t xml:space="preserve"> other direct or indirect identifiers that carry significant risk of re-identification</w:t>
      </w:r>
      <w:r>
        <w:t>.</w:t>
      </w:r>
    </w:p>
    <w:p w14:paraId="22264073" w14:textId="77777777" w:rsidR="00D56B08" w:rsidRDefault="00011AC7" w:rsidP="009837D6">
      <w:pPr>
        <w:pStyle w:val="Heading4"/>
      </w:pPr>
      <w:r w:rsidRPr="005064BB">
        <w:t>Definition of non-identifiable data</w:t>
      </w:r>
    </w:p>
    <w:p w14:paraId="30833420" w14:textId="7783D769" w:rsidR="00D56B08" w:rsidRDefault="00011AC7" w:rsidP="00CA4BBE">
      <w:r w:rsidRPr="005064BB">
        <w:t>Th</w:t>
      </w:r>
      <w:r w:rsidR="001C2FA7">
        <w:t>ese</w:t>
      </w:r>
      <w:r w:rsidRPr="005064BB">
        <w:t xml:space="preserve"> guideline</w:t>
      </w:r>
      <w:r w:rsidR="001C2FA7">
        <w:t>s</w:t>
      </w:r>
      <w:r w:rsidRPr="005064BB">
        <w:t xml:space="preserve"> defines two levels of non-identifiable data: </w:t>
      </w:r>
      <w:r w:rsidRPr="005064BB">
        <w:rPr>
          <w:iCs/>
        </w:rPr>
        <w:t xml:space="preserve">de-identified data </w:t>
      </w:r>
      <w:r w:rsidRPr="005064BB">
        <w:t xml:space="preserve">and </w:t>
      </w:r>
      <w:r w:rsidRPr="005064BB">
        <w:rPr>
          <w:iCs/>
        </w:rPr>
        <w:t>anonymised data</w:t>
      </w:r>
      <w:r w:rsidRPr="005064BB">
        <w:t>.</w:t>
      </w:r>
    </w:p>
    <w:p w14:paraId="347379E1" w14:textId="77777777" w:rsidR="00D56B08" w:rsidRDefault="00011AC7" w:rsidP="00CA4BBE">
      <w:pPr>
        <w:pStyle w:val="Heading4"/>
      </w:pPr>
      <w:r w:rsidRPr="005064BB">
        <w:t>De-identified data</w:t>
      </w:r>
    </w:p>
    <w:p w14:paraId="4D1786CD" w14:textId="77777777" w:rsidR="00D56B08" w:rsidRDefault="00011AC7" w:rsidP="00CA4BBE">
      <w:r w:rsidRPr="005064BB">
        <w:t>Consumer level data is considered de-identified if:</w:t>
      </w:r>
    </w:p>
    <w:p w14:paraId="1A9B4D0D" w14:textId="77B53748" w:rsidR="00D56B08" w:rsidRDefault="00CA4BBE" w:rsidP="00CA4BBE">
      <w:pPr>
        <w:pStyle w:val="Bullet"/>
      </w:pPr>
      <w:r>
        <w:t>f</w:t>
      </w:r>
      <w:r w:rsidR="00011AC7" w:rsidRPr="005064BB">
        <w:t xml:space="preserve">ields listed under the definition of identifiable data are </w:t>
      </w:r>
      <w:r w:rsidR="00011AC7" w:rsidRPr="005064BB">
        <w:rPr>
          <w:iCs/>
        </w:rPr>
        <w:t>excluded</w:t>
      </w:r>
      <w:r w:rsidR="00011AC7" w:rsidRPr="00CA4BBE">
        <w:t xml:space="preserve">, </w:t>
      </w:r>
      <w:r w:rsidR="00011AC7" w:rsidRPr="005064BB">
        <w:t>and</w:t>
      </w:r>
    </w:p>
    <w:p w14:paraId="52E7B8C0" w14:textId="7E16CBA6" w:rsidR="00D56B08" w:rsidRDefault="00CA4BBE" w:rsidP="00CA4BBE">
      <w:pPr>
        <w:pStyle w:val="Bullet"/>
      </w:pPr>
      <w:r>
        <w:t>f</w:t>
      </w:r>
      <w:r w:rsidR="00011AC7" w:rsidRPr="005064BB">
        <w:t xml:space="preserve">ields that might be used for deliberate re-identification are </w:t>
      </w:r>
      <w:r w:rsidR="00011AC7" w:rsidRPr="005064BB">
        <w:rPr>
          <w:iCs/>
        </w:rPr>
        <w:t>included</w:t>
      </w:r>
      <w:r w:rsidR="00011AC7" w:rsidRPr="005064BB">
        <w:t>, such as:</w:t>
      </w:r>
    </w:p>
    <w:p w14:paraId="1EA76D1A" w14:textId="4B8FA14E" w:rsidR="00D56B08" w:rsidRDefault="00CA4BBE" w:rsidP="00CA4BBE">
      <w:pPr>
        <w:pStyle w:val="Dash"/>
      </w:pPr>
      <w:r>
        <w:t>e</w:t>
      </w:r>
      <w:r w:rsidR="00011AC7" w:rsidRPr="005064BB">
        <w:t>ncrypted NHI</w:t>
      </w:r>
    </w:p>
    <w:p w14:paraId="18113FA3" w14:textId="602C0CDE" w:rsidR="00D56B08" w:rsidRDefault="00CA4BBE" w:rsidP="00CA4BBE">
      <w:pPr>
        <w:pStyle w:val="Dash"/>
      </w:pPr>
      <w:r>
        <w:t>y</w:t>
      </w:r>
      <w:r w:rsidR="00011AC7" w:rsidRPr="005064BB">
        <w:t>ear of birth or age in years at a given date</w:t>
      </w:r>
    </w:p>
    <w:p w14:paraId="68C304BD" w14:textId="14F69132" w:rsidR="00D56B08" w:rsidRDefault="00CA4BBE" w:rsidP="00CA4BBE">
      <w:pPr>
        <w:pStyle w:val="Dash"/>
      </w:pPr>
      <w:r>
        <w:t>e</w:t>
      </w:r>
      <w:r w:rsidR="00011AC7" w:rsidRPr="005064BB">
        <w:t>vent dates</w:t>
      </w:r>
    </w:p>
    <w:p w14:paraId="1C99AD2A" w14:textId="522CD7E5" w:rsidR="00D56B08" w:rsidRDefault="00CA4BBE" w:rsidP="00CA4BBE">
      <w:pPr>
        <w:pStyle w:val="Dash"/>
      </w:pPr>
      <w:r>
        <w:t>g</w:t>
      </w:r>
      <w:r w:rsidR="00011AC7" w:rsidRPr="005064BB">
        <w:t>ender</w:t>
      </w:r>
    </w:p>
    <w:p w14:paraId="4E94EA51" w14:textId="1D6356E4" w:rsidR="00D56B08" w:rsidRDefault="00CA4BBE" w:rsidP="00CA4BBE">
      <w:pPr>
        <w:pStyle w:val="Dash"/>
      </w:pPr>
      <w:r>
        <w:t>e</w:t>
      </w:r>
      <w:r w:rsidR="00011AC7" w:rsidRPr="005064BB">
        <w:t>thnicity (Level 2 as defined by Statistics New Zealand)</w:t>
      </w:r>
    </w:p>
    <w:p w14:paraId="41EDF8E5" w14:textId="0709357C" w:rsidR="00D56B08" w:rsidRDefault="00CA4BBE" w:rsidP="00CA4BBE">
      <w:pPr>
        <w:pStyle w:val="Dash"/>
      </w:pPr>
      <w:r>
        <w:t>m</w:t>
      </w:r>
      <w:r w:rsidR="00011AC7" w:rsidRPr="005064BB">
        <w:t>esh block or suburb</w:t>
      </w:r>
    </w:p>
    <w:p w14:paraId="6172505E" w14:textId="0755828F" w:rsidR="00011AC7" w:rsidRPr="005064BB" w:rsidRDefault="00CA4BBE" w:rsidP="00CA4BBE">
      <w:pPr>
        <w:pStyle w:val="Dash"/>
      </w:pPr>
      <w:proofErr w:type="gramStart"/>
      <w:r>
        <w:t>d</w:t>
      </w:r>
      <w:r w:rsidR="00011AC7">
        <w:t>eprivation</w:t>
      </w:r>
      <w:proofErr w:type="gramEnd"/>
      <w:r w:rsidR="00011AC7">
        <w:t xml:space="preserve"> index.</w:t>
      </w:r>
    </w:p>
    <w:p w14:paraId="7982048E" w14:textId="77777777" w:rsidR="00D56B08" w:rsidRDefault="00011AC7" w:rsidP="00CA4BBE">
      <w:pPr>
        <w:pStyle w:val="Heading4"/>
      </w:pPr>
      <w:r w:rsidRPr="005064BB">
        <w:lastRenderedPageBreak/>
        <w:t>Anonymised data</w:t>
      </w:r>
    </w:p>
    <w:p w14:paraId="0BF5B6B2" w14:textId="77777777" w:rsidR="00D56B08" w:rsidRDefault="00011AC7" w:rsidP="00CA4BBE">
      <w:r w:rsidRPr="005064BB">
        <w:t>It is not possible to precisely define anonymised data as re-identification risk depends on characteristics of the specific data set and other data that it might be linked to. At a minimum, for consumer level data to be considered anonymised:</w:t>
      </w:r>
    </w:p>
    <w:p w14:paraId="6C6E8EEC" w14:textId="767E5760" w:rsidR="00D56B08" w:rsidRDefault="00CA4BBE" w:rsidP="00CA4BBE">
      <w:pPr>
        <w:pStyle w:val="Bullet"/>
      </w:pPr>
      <w:r>
        <w:t>f</w:t>
      </w:r>
      <w:r w:rsidR="00011AC7" w:rsidRPr="005064BB">
        <w:t>ields listed under the definition of identifiable or de-identified data are excluded, and</w:t>
      </w:r>
    </w:p>
    <w:p w14:paraId="686DDFC7" w14:textId="67EAFD40" w:rsidR="00D56B08" w:rsidRDefault="00CA4BBE" w:rsidP="00CA4BBE">
      <w:pPr>
        <w:pStyle w:val="Bullet"/>
        <w:rPr>
          <w:rFonts w:eastAsiaTheme="minorEastAsia"/>
          <w:lang w:eastAsia="en-NZ"/>
        </w:rPr>
      </w:pPr>
      <w:r>
        <w:t>t</w:t>
      </w:r>
      <w:r w:rsidR="00011AC7" w:rsidRPr="005064BB">
        <w:t xml:space="preserve">he data is obfuscated to minimise re-identification risk, including but </w:t>
      </w:r>
      <w:r w:rsidR="00011AC7" w:rsidRPr="005064BB">
        <w:rPr>
          <w:rFonts w:eastAsiaTheme="minorEastAsia"/>
          <w:lang w:eastAsia="en-NZ"/>
        </w:rPr>
        <w:t>not limited to the following measures:</w:t>
      </w:r>
    </w:p>
    <w:p w14:paraId="5A2ED2CC" w14:textId="3D02785C" w:rsidR="00D56B08" w:rsidRDefault="00CA4BBE" w:rsidP="00744F23">
      <w:pPr>
        <w:pStyle w:val="Dash"/>
      </w:pPr>
      <w:r>
        <w:t>d</w:t>
      </w:r>
      <w:r w:rsidR="00011AC7" w:rsidRPr="005064BB">
        <w:t>isclosure of the bare minimum data set for purpose</w:t>
      </w:r>
    </w:p>
    <w:p w14:paraId="5159BF77" w14:textId="66FE87F7" w:rsidR="00D56B08" w:rsidRDefault="00CA4BBE" w:rsidP="00744F23">
      <w:pPr>
        <w:pStyle w:val="Dash"/>
      </w:pPr>
      <w:r>
        <w:t>u</w:t>
      </w:r>
      <w:r w:rsidR="00011AC7" w:rsidRPr="005064BB">
        <w:t>se of 5</w:t>
      </w:r>
      <w:r>
        <w:t>–</w:t>
      </w:r>
      <w:r w:rsidR="00011AC7" w:rsidRPr="005064BB">
        <w:t>10</w:t>
      </w:r>
      <w:r>
        <w:t>-</w:t>
      </w:r>
      <w:r w:rsidR="00011AC7" w:rsidRPr="005064BB">
        <w:t>year bands rather than dates</w:t>
      </w:r>
    </w:p>
    <w:p w14:paraId="7B130C86" w14:textId="4DB2FD8D" w:rsidR="00D56B08" w:rsidRDefault="00CA4BBE" w:rsidP="00744F23">
      <w:pPr>
        <w:pStyle w:val="Dash"/>
      </w:pPr>
      <w:r>
        <w:t>a</w:t>
      </w:r>
      <w:r w:rsidR="00011AC7" w:rsidRPr="005064BB">
        <w:t>ggregation of ethnicity data (Level 1 as defined by Statistics New Zealand)</w:t>
      </w:r>
    </w:p>
    <w:p w14:paraId="24D457C8" w14:textId="66B5D67F" w:rsidR="00D56B08" w:rsidRDefault="00CA4BBE" w:rsidP="00744F23">
      <w:pPr>
        <w:pStyle w:val="Dash"/>
      </w:pPr>
      <w:r>
        <w:t>b</w:t>
      </w:r>
      <w:r w:rsidR="00011AC7" w:rsidRPr="005064BB">
        <w:t>lurring of geographic data (by area unit or city)</w:t>
      </w:r>
    </w:p>
    <w:p w14:paraId="01386B1A" w14:textId="56227B36" w:rsidR="00D56B08" w:rsidRDefault="00CA4BBE" w:rsidP="00744F23">
      <w:pPr>
        <w:pStyle w:val="Dash"/>
      </w:pPr>
      <w:r>
        <w:t>e</w:t>
      </w:r>
      <w:r w:rsidR="00011AC7" w:rsidRPr="005064BB">
        <w:t>xclusion of low-frequency characteristics useful for re-identification (eg</w:t>
      </w:r>
      <w:r>
        <w:t>,</w:t>
      </w:r>
      <w:r w:rsidR="00011AC7" w:rsidRPr="005064BB">
        <w:t xml:space="preserve"> rare medical conditions)</w:t>
      </w:r>
    </w:p>
    <w:p w14:paraId="6C7176F2" w14:textId="69CE89C0" w:rsidR="00D56B08" w:rsidRDefault="00CA4BBE" w:rsidP="00744F23">
      <w:pPr>
        <w:pStyle w:val="Dash"/>
      </w:pPr>
      <w:proofErr w:type="gramStart"/>
      <w:r>
        <w:t>t</w:t>
      </w:r>
      <w:r w:rsidR="00011AC7" w:rsidRPr="005064BB">
        <w:t>he</w:t>
      </w:r>
      <w:proofErr w:type="gramEnd"/>
      <w:r w:rsidR="00011AC7" w:rsidRPr="005064BB">
        <w:t xml:space="preserve"> resulting data set has k-anonymity </w:t>
      </w:r>
      <w:r>
        <w:t>≥</w:t>
      </w:r>
      <w:r w:rsidR="00011AC7" w:rsidRPr="005064BB">
        <w:t>5.</w:t>
      </w:r>
    </w:p>
    <w:p w14:paraId="736DFF47" w14:textId="77777777" w:rsidR="00D31C83" w:rsidRDefault="00D31C83" w:rsidP="00D31C83">
      <w:pPr>
        <w:pStyle w:val="Dash"/>
        <w:numPr>
          <w:ilvl w:val="0"/>
          <w:numId w:val="0"/>
        </w:numPr>
        <w:ind w:left="284"/>
      </w:pPr>
    </w:p>
    <w:p w14:paraId="6696A6BE" w14:textId="2F3C7BA3" w:rsidR="00AD46AA" w:rsidRDefault="00AD46AA">
      <w:pPr>
        <w:spacing w:before="0" w:line="240" w:lineRule="auto"/>
      </w:pPr>
    </w:p>
    <w:p w14:paraId="5541ECF1" w14:textId="485EAF0A" w:rsidR="00011AC7" w:rsidRPr="002B2067" w:rsidRDefault="00011AC7" w:rsidP="00167F95">
      <w:pPr>
        <w:pStyle w:val="Heading1-nonumbering"/>
      </w:pPr>
      <w:bookmarkStart w:id="565" w:name="_Toc476648224"/>
      <w:bookmarkStart w:id="566" w:name="_Toc489004365"/>
      <w:bookmarkStart w:id="567" w:name="_Toc491259759"/>
      <w:r>
        <w:lastRenderedPageBreak/>
        <w:t xml:space="preserve">Appendix </w:t>
      </w:r>
      <w:bookmarkEnd w:id="565"/>
      <w:r w:rsidR="00D31C83">
        <w:t>14</w:t>
      </w:r>
      <w:r w:rsidR="00167F95">
        <w:t>:</w:t>
      </w:r>
      <w:r>
        <w:t xml:space="preserve"> Example of role based access control matrix</w:t>
      </w:r>
      <w:bookmarkEnd w:id="566"/>
      <w:bookmarkEnd w:id="567"/>
    </w:p>
    <w:p w14:paraId="5D2BB377" w14:textId="40B4FF5C" w:rsidR="00011AC7" w:rsidRDefault="00011AC7" w:rsidP="00167F95">
      <w:pPr>
        <w:rPr>
          <w:noProof/>
        </w:rPr>
      </w:pPr>
      <w:bookmarkStart w:id="568" w:name="_Toc474411474"/>
      <w:bookmarkStart w:id="569" w:name="_Toc476648225"/>
      <w:r>
        <w:rPr>
          <w:noProof/>
        </w:rPr>
        <w:t xml:space="preserve">Example of a </w:t>
      </w:r>
      <w:r w:rsidR="00167F95">
        <w:rPr>
          <w:noProof/>
        </w:rPr>
        <w:t>r</w:t>
      </w:r>
      <w:r>
        <w:rPr>
          <w:noProof/>
        </w:rPr>
        <w:t>ole</w:t>
      </w:r>
      <w:r w:rsidR="00167F95">
        <w:rPr>
          <w:noProof/>
        </w:rPr>
        <w:t>-b</w:t>
      </w:r>
      <w:r>
        <w:rPr>
          <w:noProof/>
        </w:rPr>
        <w:t xml:space="preserve">ased </w:t>
      </w:r>
      <w:r w:rsidR="00167F95">
        <w:rPr>
          <w:noProof/>
        </w:rPr>
        <w:t>a</w:t>
      </w:r>
      <w:r>
        <w:rPr>
          <w:noProof/>
        </w:rPr>
        <w:t xml:space="preserve">ccess </w:t>
      </w:r>
      <w:r w:rsidR="00167F95">
        <w:rPr>
          <w:noProof/>
        </w:rPr>
        <w:t>c</w:t>
      </w:r>
      <w:r>
        <w:rPr>
          <w:noProof/>
        </w:rPr>
        <w:t xml:space="preserve">ontrol </w:t>
      </w:r>
      <w:r w:rsidR="00167F95">
        <w:rPr>
          <w:noProof/>
        </w:rPr>
        <w:t>m</w:t>
      </w:r>
      <w:r>
        <w:rPr>
          <w:noProof/>
        </w:rPr>
        <w:t xml:space="preserve">atrix for the South Island regional electronic health record system </w:t>
      </w:r>
      <w:bookmarkEnd w:id="568"/>
      <w:bookmarkEnd w:id="569"/>
      <w:r>
        <w:rPr>
          <w:noProof/>
        </w:rPr>
        <w:t>called HealthOne.</w:t>
      </w:r>
      <w:r w:rsidR="00D05D24">
        <w:rPr>
          <w:noProof/>
        </w:rPr>
        <w:t xml:space="preserve"> </w:t>
      </w:r>
    </w:p>
    <w:p w14:paraId="532DEB6B" w14:textId="77777777" w:rsidR="00AD46AA" w:rsidRDefault="00AD46AA">
      <w:pPr>
        <w:spacing w:before="0" w:line="240" w:lineRule="auto"/>
        <w:rPr>
          <w:noProof/>
        </w:rPr>
      </w:pPr>
    </w:p>
    <w:p w14:paraId="093FCFA7" w14:textId="77777777" w:rsidR="00AD46AA" w:rsidRDefault="00AD46AA">
      <w:pPr>
        <w:spacing w:before="0" w:line="240" w:lineRule="auto"/>
        <w:rPr>
          <w:noProof/>
        </w:rPr>
        <w:sectPr w:rsidR="00AD46AA" w:rsidSect="00AD46AA">
          <w:footerReference w:type="default" r:id="rId64"/>
          <w:pgSz w:w="11907" w:h="16834" w:code="9"/>
          <w:pgMar w:top="1134" w:right="1134" w:bottom="1134" w:left="1134" w:header="284" w:footer="567" w:gutter="0"/>
          <w:cols w:space="720"/>
          <w:docGrid w:linePitch="299"/>
        </w:sectPr>
      </w:pPr>
    </w:p>
    <w:p w14:paraId="4DBC0267" w14:textId="700DE127" w:rsidR="00D05D24" w:rsidRDefault="00D05D24">
      <w:pPr>
        <w:spacing w:before="0" w:line="240" w:lineRule="auto"/>
        <w:rPr>
          <w:noProof/>
        </w:rPr>
      </w:pPr>
    </w:p>
    <w:p w14:paraId="7A77A447" w14:textId="77777777" w:rsidR="00EC7323" w:rsidRDefault="00011AC7" w:rsidP="00EC7323">
      <w:pPr>
        <w:spacing w:before="0"/>
      </w:pPr>
      <w:bookmarkStart w:id="570" w:name="_Toc474238344"/>
      <w:bookmarkStart w:id="571" w:name="_Toc474411476"/>
      <w:r>
        <w:rPr>
          <w:noProof/>
          <w:lang w:eastAsia="en-NZ"/>
        </w:rPr>
        <w:drawing>
          <wp:inline distT="0" distB="0" distL="0" distR="0" wp14:anchorId="469F3DDC" wp14:editId="40A30943">
            <wp:extent cx="9002684" cy="5953019"/>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1.PNG"/>
                    <pic:cNvPicPr/>
                  </pic:nvPicPr>
                  <pic:blipFill rotWithShape="1">
                    <a:blip r:embed="rId65" cstate="print">
                      <a:extLst>
                        <a:ext uri="{28A0092B-C50C-407E-A947-70E740481C1C}">
                          <a14:useLocalDpi xmlns:a14="http://schemas.microsoft.com/office/drawing/2010/main" val="0"/>
                        </a:ext>
                      </a:extLst>
                    </a:blip>
                    <a:srcRect l="596"/>
                    <a:stretch/>
                  </pic:blipFill>
                  <pic:spPr bwMode="auto">
                    <a:xfrm>
                      <a:off x="0" y="0"/>
                      <a:ext cx="9002684" cy="5953019"/>
                    </a:xfrm>
                    <a:prstGeom prst="rect">
                      <a:avLst/>
                    </a:prstGeom>
                    <a:ln>
                      <a:noFill/>
                    </a:ln>
                    <a:extLst>
                      <a:ext uri="{53640926-AAD7-44D8-BBD7-CCE9431645EC}">
                        <a14:shadowObscured xmlns:a14="http://schemas.microsoft.com/office/drawing/2010/main"/>
                      </a:ext>
                    </a:extLst>
                  </pic:spPr>
                </pic:pic>
              </a:graphicData>
            </a:graphic>
          </wp:inline>
        </w:drawing>
      </w:r>
    </w:p>
    <w:p w14:paraId="5AE62CE8" w14:textId="77777777" w:rsidR="00EC7323" w:rsidRDefault="00011AC7" w:rsidP="00EC7323">
      <w:pPr>
        <w:spacing w:before="0"/>
      </w:pPr>
      <w:r>
        <w:rPr>
          <w:noProof/>
          <w:lang w:eastAsia="en-NZ"/>
        </w:rPr>
        <w:lastRenderedPageBreak/>
        <w:drawing>
          <wp:inline distT="0" distB="0" distL="0" distR="0" wp14:anchorId="4D46C3A0" wp14:editId="2A4364D2">
            <wp:extent cx="8994371" cy="6013861"/>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2.PNG"/>
                    <pic:cNvPicPr/>
                  </pic:nvPicPr>
                  <pic:blipFill rotWithShape="1">
                    <a:blip r:embed="rId66" cstate="print">
                      <a:extLst>
                        <a:ext uri="{28A0092B-C50C-407E-A947-70E740481C1C}">
                          <a14:useLocalDpi xmlns:a14="http://schemas.microsoft.com/office/drawing/2010/main" val="0"/>
                        </a:ext>
                      </a:extLst>
                    </a:blip>
                    <a:srcRect l="938" t="774" r="938"/>
                    <a:stretch/>
                  </pic:blipFill>
                  <pic:spPr bwMode="auto">
                    <a:xfrm>
                      <a:off x="0" y="0"/>
                      <a:ext cx="8994371" cy="6013861"/>
                    </a:xfrm>
                    <a:prstGeom prst="rect">
                      <a:avLst/>
                    </a:prstGeom>
                    <a:ln>
                      <a:noFill/>
                    </a:ln>
                    <a:extLst>
                      <a:ext uri="{53640926-AAD7-44D8-BBD7-CCE9431645EC}">
                        <a14:shadowObscured xmlns:a14="http://schemas.microsoft.com/office/drawing/2010/main"/>
                      </a:ext>
                    </a:extLst>
                  </pic:spPr>
                </pic:pic>
              </a:graphicData>
            </a:graphic>
          </wp:inline>
        </w:drawing>
      </w:r>
    </w:p>
    <w:p w14:paraId="4B559686" w14:textId="77777777" w:rsidR="00011AC7" w:rsidRDefault="00011AC7" w:rsidP="00EC7323">
      <w:pPr>
        <w:spacing w:before="0"/>
      </w:pPr>
      <w:r>
        <w:rPr>
          <w:noProof/>
          <w:lang w:eastAsia="en-NZ"/>
        </w:rPr>
        <w:lastRenderedPageBreak/>
        <w:drawing>
          <wp:inline distT="0" distB="0" distL="0" distR="0" wp14:anchorId="55D23E41" wp14:editId="7DAB3799">
            <wp:extent cx="9285317" cy="398407"/>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3.PNG"/>
                    <pic:cNvPicPr/>
                  </pic:nvPicPr>
                  <pic:blipFill rotWithShape="1">
                    <a:blip r:embed="rId67" cstate="print">
                      <a:extLst>
                        <a:ext uri="{28A0092B-C50C-407E-A947-70E740481C1C}">
                          <a14:useLocalDpi xmlns:a14="http://schemas.microsoft.com/office/drawing/2010/main" val="0"/>
                        </a:ext>
                      </a:extLst>
                    </a:blip>
                    <a:srcRect t="12307" r="2200" b="12307"/>
                    <a:stretch/>
                  </pic:blipFill>
                  <pic:spPr bwMode="auto">
                    <a:xfrm>
                      <a:off x="0" y="0"/>
                      <a:ext cx="10220108" cy="438516"/>
                    </a:xfrm>
                    <a:prstGeom prst="rect">
                      <a:avLst/>
                    </a:prstGeom>
                    <a:ln>
                      <a:noFill/>
                    </a:ln>
                    <a:extLst>
                      <a:ext uri="{53640926-AAD7-44D8-BBD7-CCE9431645EC}">
                        <a14:shadowObscured xmlns:a14="http://schemas.microsoft.com/office/drawing/2010/main"/>
                      </a:ext>
                    </a:extLst>
                  </pic:spPr>
                </pic:pic>
              </a:graphicData>
            </a:graphic>
          </wp:inline>
        </w:drawing>
      </w:r>
      <w:bookmarkEnd w:id="570"/>
      <w:bookmarkEnd w:id="571"/>
    </w:p>
    <w:p w14:paraId="2D7C6F25" w14:textId="77777777" w:rsidR="00011AC7" w:rsidRPr="00011AC7" w:rsidRDefault="00011AC7" w:rsidP="00011AC7"/>
    <w:sectPr w:rsidR="00011AC7" w:rsidRPr="00011AC7" w:rsidSect="00AD46AA">
      <w:pgSz w:w="16834" w:h="11907" w:orient="landscape" w:code="9"/>
      <w:pgMar w:top="1134" w:right="1134" w:bottom="1134" w:left="1134" w:header="28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DA2E94" w14:textId="77777777" w:rsidR="00E025A8" w:rsidRDefault="00E025A8">
      <w:pPr>
        <w:spacing w:line="240" w:lineRule="auto"/>
      </w:pPr>
      <w:r>
        <w:separator/>
      </w:r>
    </w:p>
    <w:p w14:paraId="34399DFC" w14:textId="77777777" w:rsidR="00E025A8" w:rsidRDefault="00E025A8"/>
  </w:endnote>
  <w:endnote w:type="continuationSeparator" w:id="0">
    <w:p w14:paraId="2DB84CB7" w14:textId="77777777" w:rsidR="00E025A8" w:rsidRDefault="00E025A8">
      <w:pPr>
        <w:spacing w:line="240" w:lineRule="auto"/>
      </w:pPr>
      <w:r>
        <w:continuationSeparator/>
      </w:r>
    </w:p>
    <w:p w14:paraId="1263D210" w14:textId="77777777" w:rsidR="00E025A8" w:rsidRDefault="00E025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Mäori">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8F289" w14:textId="77777777" w:rsidR="004B7BC2" w:rsidRDefault="004B7B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E56F3" w14:textId="77777777" w:rsidR="0048174A" w:rsidRPr="00162833" w:rsidRDefault="0048174A" w:rsidP="00162833">
    <w:pPr>
      <w:pStyle w:val="Footer"/>
      <w:pBdr>
        <w:bottom w:val="none" w:sz="0" w:space="0" w:color="auto"/>
      </w:pBdr>
      <w:jc w:val="right"/>
    </w:pPr>
    <w:r>
      <w:rPr>
        <w:noProof/>
        <w:lang w:eastAsia="en-NZ"/>
      </w:rPr>
      <w:drawing>
        <wp:inline distT="0" distB="0" distL="0" distR="0" wp14:anchorId="0A0AFAF6" wp14:editId="624A6534">
          <wp:extent cx="1828800" cy="690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69024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353EF" w14:textId="77777777" w:rsidR="004B7BC2" w:rsidRDefault="004B7BC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D57A7" w14:textId="19E05B15" w:rsidR="0048174A" w:rsidRPr="000E5919" w:rsidRDefault="0048174A" w:rsidP="000E5919">
    <w:pPr>
      <w:pStyle w:val="Footer"/>
    </w:pPr>
    <w:r>
      <w:rPr>
        <w:rStyle w:val="PageNumber"/>
      </w:rPr>
      <w:fldChar w:fldCharType="begin"/>
    </w:r>
    <w:r>
      <w:rPr>
        <w:rStyle w:val="PageNumber"/>
      </w:rPr>
      <w:instrText xml:space="preserve"> PAGE </w:instrText>
    </w:r>
    <w:r>
      <w:rPr>
        <w:rStyle w:val="PageNumber"/>
      </w:rPr>
      <w:fldChar w:fldCharType="separate"/>
    </w:r>
    <w:r w:rsidR="00214261">
      <w:rPr>
        <w:rStyle w:val="PageNumber"/>
        <w:noProof/>
      </w:rPr>
      <w:t>ii</w:t>
    </w:r>
    <w:r>
      <w:rPr>
        <w:rStyle w:val="PageNumber"/>
      </w:rPr>
      <w:fldChar w:fldCharType="end"/>
    </w:r>
    <w:r>
      <w:rPr>
        <w:rStyle w:val="PageNumber"/>
      </w:rPr>
      <w:tab/>
    </w:r>
    <w:fldSimple w:instr=" title ">
      <w:r>
        <w:t>HISO 10064:2017 Health Information Governance Guidelines</w:t>
      </w:r>
    </w:fldSimple>
    <w:r w:rsidRPr="000E5919">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92B45" w14:textId="77777777" w:rsidR="0048174A" w:rsidRDefault="0048174A" w:rsidP="000E5919">
    <w:pPr>
      <w:pStyle w:val="Footer"/>
    </w:pPr>
  </w:p>
  <w:p w14:paraId="3D1DA62C" w14:textId="77777777" w:rsidR="0048174A" w:rsidRDefault="0048174A" w:rsidP="000E5919"/>
  <w:p w14:paraId="357CB0FD" w14:textId="77777777" w:rsidR="0048174A" w:rsidRPr="000E5919" w:rsidRDefault="0041414F" w:rsidP="000E5919">
    <w:pPr>
      <w:pStyle w:val="Footer"/>
      <w:jc w:val="right"/>
    </w:pPr>
    <w:fldSimple w:instr=" title ">
      <w:r w:rsidR="0048174A">
        <w:t>HISO 10064:2017 Health Information Governance Guidelines</w:t>
      </w:r>
    </w:fldSimple>
    <w:r w:rsidR="0048174A">
      <w:tab/>
    </w:r>
    <w:r w:rsidR="0048174A">
      <w:rPr>
        <w:rStyle w:val="PageNumber"/>
      </w:rPr>
      <w:fldChar w:fldCharType="begin"/>
    </w:r>
    <w:r w:rsidR="0048174A">
      <w:rPr>
        <w:rStyle w:val="PageNumber"/>
      </w:rPr>
      <w:instrText xml:space="preserve"> PAGE </w:instrText>
    </w:r>
    <w:r w:rsidR="0048174A">
      <w:rPr>
        <w:rStyle w:val="PageNumber"/>
      </w:rPr>
      <w:fldChar w:fldCharType="separate"/>
    </w:r>
    <w:r w:rsidR="0048174A">
      <w:rPr>
        <w:rStyle w:val="PageNumber"/>
        <w:noProof/>
      </w:rPr>
      <w:t>iii</w:t>
    </w:r>
    <w:r w:rsidR="0048174A">
      <w:rPr>
        <w:rStyle w:val="PageNumber"/>
      </w:rPr>
      <w:fldChar w:fldCharType="end"/>
    </w:r>
  </w:p>
  <w:p w14:paraId="19A87D57" w14:textId="77777777" w:rsidR="0048174A" w:rsidRDefault="0048174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C4275" w14:textId="77777777" w:rsidR="0048174A" w:rsidRPr="00275D08" w:rsidRDefault="0048174A"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214261">
      <w:rPr>
        <w:rStyle w:val="PageNumber"/>
        <w:noProof/>
      </w:rPr>
      <w:t>22</w:t>
    </w:r>
    <w:r w:rsidRPr="00FC46E7">
      <w:rPr>
        <w:rStyle w:val="PageNumber"/>
      </w:rPr>
      <w:fldChar w:fldCharType="end"/>
    </w:r>
    <w:r>
      <w:tab/>
      <w:t>HISO 10064:2017 Health Information Governance Guidelines</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E9A4C" w14:textId="54D1A973" w:rsidR="0048174A" w:rsidRDefault="0048174A" w:rsidP="00533B90">
    <w:pPr>
      <w:pStyle w:val="RectoFooter"/>
    </w:pPr>
    <w:r>
      <w:tab/>
    </w:r>
    <w:fldSimple w:instr=" title ">
      <w:r>
        <w:t>HISO 10064:2017 Health Information Governance Guidelines</w:t>
      </w:r>
    </w:fldSimple>
    <w:r>
      <w:tab/>
    </w:r>
    <w:r>
      <w:rPr>
        <w:rStyle w:val="PageNumber"/>
      </w:rPr>
      <w:fldChar w:fldCharType="begin"/>
    </w:r>
    <w:r>
      <w:rPr>
        <w:rStyle w:val="PageNumber"/>
      </w:rPr>
      <w:instrText xml:space="preserve"> PAGE </w:instrText>
    </w:r>
    <w:r>
      <w:rPr>
        <w:rStyle w:val="PageNumber"/>
      </w:rPr>
      <w:fldChar w:fldCharType="separate"/>
    </w:r>
    <w:r w:rsidR="00214261">
      <w:rPr>
        <w:rStyle w:val="PageNumber"/>
        <w:noProof/>
      </w:rPr>
      <w:t>iii</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C4B50" w14:textId="77777777" w:rsidR="0048174A" w:rsidRDefault="0048174A" w:rsidP="00AD46AA">
    <w:pPr>
      <w:pStyle w:val="RectoFooter"/>
    </w:pPr>
    <w:r>
      <w:tab/>
    </w:r>
    <w:fldSimple w:instr=" title ">
      <w:r>
        <w:t>HISO 10064:2017 Health Information Governance Guidelines</w:t>
      </w:r>
    </w:fldSimple>
    <w:r>
      <w:tab/>
    </w:r>
    <w:r>
      <w:rPr>
        <w:rStyle w:val="PageNumber"/>
      </w:rPr>
      <w:fldChar w:fldCharType="begin"/>
    </w:r>
    <w:r>
      <w:rPr>
        <w:rStyle w:val="PageNumber"/>
      </w:rPr>
      <w:instrText xml:space="preserve"> PAGE </w:instrText>
    </w:r>
    <w:r>
      <w:rPr>
        <w:rStyle w:val="PageNumber"/>
      </w:rPr>
      <w:fldChar w:fldCharType="separate"/>
    </w:r>
    <w:r w:rsidR="00214261">
      <w:rPr>
        <w:rStyle w:val="PageNumber"/>
        <w:noProof/>
      </w:rPr>
      <w:t>21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5E93D3" w14:textId="77777777" w:rsidR="00E025A8" w:rsidRPr="00A26E6B" w:rsidRDefault="00E025A8" w:rsidP="002F0480">
      <w:pPr>
        <w:spacing w:before="0"/>
      </w:pPr>
    </w:p>
  </w:footnote>
  <w:footnote w:type="continuationSeparator" w:id="0">
    <w:p w14:paraId="75020961" w14:textId="77777777" w:rsidR="00E025A8" w:rsidRDefault="00E025A8">
      <w:pPr>
        <w:spacing w:line="240" w:lineRule="auto"/>
      </w:pPr>
      <w:r>
        <w:continuationSeparator/>
      </w:r>
    </w:p>
    <w:p w14:paraId="6A2ED3C2" w14:textId="77777777" w:rsidR="00E025A8" w:rsidRDefault="00E025A8"/>
  </w:footnote>
  <w:footnote w:id="1">
    <w:p w14:paraId="2F1CFFAB" w14:textId="60250BB8" w:rsidR="0048174A" w:rsidRDefault="0048174A">
      <w:pPr>
        <w:pStyle w:val="FootnoteText"/>
      </w:pPr>
      <w:r>
        <w:rPr>
          <w:rStyle w:val="FootnoteReference"/>
        </w:rPr>
        <w:footnoteRef/>
      </w:r>
      <w:r>
        <w:t xml:space="preserve"> </w:t>
      </w:r>
      <w:r w:rsidRPr="000E5919">
        <w:t>http://www.health.govt.nz/publication/hiso-100292015-health-information-security-framework</w:t>
      </w:r>
    </w:p>
  </w:footnote>
  <w:footnote w:id="2">
    <w:p w14:paraId="5B195611" w14:textId="77777777" w:rsidR="0048174A" w:rsidRDefault="0048174A" w:rsidP="002F0480">
      <w:pPr>
        <w:pStyle w:val="FootnoteText"/>
      </w:pPr>
      <w:r w:rsidRPr="002F0480">
        <w:rPr>
          <w:rStyle w:val="FootnoteReference"/>
        </w:rPr>
        <w:footnoteRef/>
      </w:r>
      <w:r>
        <w:tab/>
        <w:t>The original draft of this document was titled “The Health Information Governance Framework”.</w:t>
      </w:r>
    </w:p>
  </w:footnote>
  <w:footnote w:id="3">
    <w:p w14:paraId="7607A7FC" w14:textId="77777777" w:rsidR="0048174A" w:rsidRDefault="0048174A" w:rsidP="002F0480">
      <w:pPr>
        <w:pStyle w:val="FootnoteText"/>
      </w:pPr>
      <w:r w:rsidRPr="002F0480">
        <w:rPr>
          <w:rStyle w:val="FootnoteReference"/>
        </w:rPr>
        <w:footnoteRef/>
      </w:r>
      <w:r>
        <w:tab/>
      </w:r>
      <w:r w:rsidRPr="008949F2">
        <w:t xml:space="preserve">Statement adapted from </w:t>
      </w:r>
      <w:r w:rsidRPr="002F0480">
        <w:rPr>
          <w:rFonts w:eastAsiaTheme="minorHAnsi"/>
        </w:rPr>
        <w:t xml:space="preserve">Health Information and Quality Authority </w:t>
      </w:r>
      <w:r w:rsidRPr="002F0480">
        <w:rPr>
          <w:rFonts w:eastAsiaTheme="minorHAnsi"/>
          <w:i/>
        </w:rPr>
        <w:t>“Guidance on Information Governance for Health and Social Care Services in Ireland”</w:t>
      </w:r>
      <w:r w:rsidRPr="004C2A3D">
        <w:rPr>
          <w:i/>
        </w:rPr>
        <w:t xml:space="preserve"> </w:t>
      </w:r>
      <w:r w:rsidRPr="00D31E34">
        <w:t>2012,</w:t>
      </w:r>
      <w:r>
        <w:t xml:space="preserve"> </w:t>
      </w:r>
      <w:hyperlink r:id="rId1" w:history="1">
        <w:r w:rsidRPr="008949F2">
          <w:rPr>
            <w:rStyle w:val="Hyperlink"/>
            <w:szCs w:val="16"/>
          </w:rPr>
          <w:t>http://hiqa.ie/healthcare/health-information/information-governance</w:t>
        </w:r>
      </w:hyperlink>
      <w:r>
        <w:t>, page 7.</w:t>
      </w:r>
    </w:p>
  </w:footnote>
  <w:footnote w:id="4">
    <w:p w14:paraId="1EC45846" w14:textId="77777777" w:rsidR="0048174A" w:rsidRDefault="0048174A" w:rsidP="002F0480">
      <w:pPr>
        <w:pStyle w:val="FootnoteText"/>
      </w:pPr>
      <w:r w:rsidRPr="002F0480">
        <w:rPr>
          <w:rStyle w:val="FootnoteReference"/>
        </w:rPr>
        <w:footnoteRef/>
      </w:r>
      <w:r>
        <w:tab/>
        <w:t xml:space="preserve">Health Information Privacy Fact Sheet 1: </w:t>
      </w:r>
      <w:r w:rsidRPr="007F206E">
        <w:t>https://privacy.org.nz/news-and-publications/guidance-resources/health-information-privacy-fact-sheet-1-overview/</w:t>
      </w:r>
    </w:p>
  </w:footnote>
  <w:footnote w:id="5">
    <w:p w14:paraId="6D7B344B" w14:textId="77777777" w:rsidR="0048174A" w:rsidRDefault="0048174A" w:rsidP="002F0480">
      <w:pPr>
        <w:pStyle w:val="FootnoteText"/>
      </w:pPr>
      <w:r w:rsidRPr="002F0480">
        <w:rPr>
          <w:rStyle w:val="FootnoteReference"/>
        </w:rPr>
        <w:footnoteRef/>
      </w:r>
      <w:r>
        <w:tab/>
        <w:t>Section 22H of the Health Act 1956 allows anonymous health information to be used without restriction.</w:t>
      </w:r>
    </w:p>
  </w:footnote>
  <w:footnote w:id="6">
    <w:p w14:paraId="2A920A4C" w14:textId="1757BD58" w:rsidR="0048174A" w:rsidRDefault="0048174A" w:rsidP="002F0480">
      <w:pPr>
        <w:pStyle w:val="FootnoteText"/>
      </w:pPr>
      <w:r w:rsidRPr="002F0480">
        <w:rPr>
          <w:rStyle w:val="FootnoteReference"/>
        </w:rPr>
        <w:footnoteRef/>
      </w:r>
      <w:r>
        <w:tab/>
        <w:t xml:space="preserve">Medical Protection Society England Fact Sheets, Medical Records, April 2013, </w:t>
      </w:r>
      <w:r w:rsidRPr="00F46906">
        <w:t>http://www.medicalprotection.org/uk/england-factsheets/medical-records</w:t>
      </w:r>
    </w:p>
  </w:footnote>
  <w:footnote w:id="7">
    <w:p w14:paraId="3FA1D290" w14:textId="1C078687" w:rsidR="0048174A" w:rsidRDefault="0048174A" w:rsidP="002F0480">
      <w:pPr>
        <w:pStyle w:val="FootnoteText"/>
      </w:pPr>
      <w:r w:rsidRPr="002F0480">
        <w:rPr>
          <w:rStyle w:val="FootnoteReference"/>
        </w:rPr>
        <w:footnoteRef/>
      </w:r>
      <w:r>
        <w:tab/>
        <w:t xml:space="preserve">Cole’s Medical Practice in New Zealand, 2013 ed. Edited by Ian St George, MD, Medical Council of New Zealand, </w:t>
      </w:r>
      <w:hyperlink r:id="rId2" w:history="1">
        <w:r w:rsidRPr="00D93DD7">
          <w:rPr>
            <w:rStyle w:val="Hyperlink"/>
          </w:rPr>
          <w:t>https://www.mcnz.org.nz/assets/News-and-Publications/Coles/Coles-Medical-Practice-in-New-Zealand-2013.pdf</w:t>
        </w:r>
      </w:hyperlink>
    </w:p>
  </w:footnote>
  <w:footnote w:id="8">
    <w:p w14:paraId="3E17A6B2" w14:textId="181BF050" w:rsidR="0048174A" w:rsidRPr="002F0480" w:rsidRDefault="0048174A" w:rsidP="00011AC7">
      <w:pPr>
        <w:pStyle w:val="FootnoteText"/>
        <w:rPr>
          <w:szCs w:val="16"/>
        </w:rPr>
      </w:pPr>
      <w:r w:rsidRPr="002F0480">
        <w:rPr>
          <w:rStyle w:val="FootnoteReference"/>
        </w:rPr>
        <w:footnoteRef/>
      </w:r>
      <w:r>
        <w:rPr>
          <w:szCs w:val="16"/>
        </w:rPr>
        <w:tab/>
      </w:r>
      <w:r w:rsidRPr="002F0480">
        <w:rPr>
          <w:rStyle w:val="FootnoteReference"/>
          <w:szCs w:val="16"/>
          <w:vertAlign w:val="baseline"/>
        </w:rPr>
        <w:t xml:space="preserve">Hunter I, Ede GH, </w:t>
      </w:r>
      <w:proofErr w:type="spellStart"/>
      <w:r w:rsidRPr="002F0480">
        <w:rPr>
          <w:rStyle w:val="FootnoteReference"/>
          <w:szCs w:val="16"/>
          <w:vertAlign w:val="baseline"/>
        </w:rPr>
        <w:t>Whiddett</w:t>
      </w:r>
      <w:proofErr w:type="spellEnd"/>
      <w:r w:rsidRPr="002F0480">
        <w:rPr>
          <w:rStyle w:val="FootnoteReference"/>
          <w:szCs w:val="16"/>
          <w:vertAlign w:val="baseline"/>
        </w:rPr>
        <w:t xml:space="preserve"> R. </w:t>
      </w:r>
      <w:r>
        <w:rPr>
          <w:szCs w:val="16"/>
        </w:rPr>
        <w:t xml:space="preserve">2014. </w:t>
      </w:r>
      <w:r w:rsidRPr="002F0480">
        <w:rPr>
          <w:rStyle w:val="FootnoteReference"/>
          <w:szCs w:val="16"/>
          <w:vertAlign w:val="baseline"/>
        </w:rPr>
        <w:t xml:space="preserve">Increased electronic information sharing by sexual health services: Confidentiality and consent. </w:t>
      </w:r>
      <w:r w:rsidRPr="002F0480">
        <w:rPr>
          <w:rStyle w:val="FootnoteReference"/>
          <w:i/>
          <w:szCs w:val="16"/>
          <w:vertAlign w:val="baseline"/>
        </w:rPr>
        <w:t>Health Informatics Journal</w:t>
      </w:r>
      <w:r w:rsidRPr="002F0480">
        <w:rPr>
          <w:rStyle w:val="FootnoteReference"/>
          <w:szCs w:val="16"/>
          <w:vertAlign w:val="baseline"/>
        </w:rPr>
        <w:t xml:space="preserve"> 20(1):</w:t>
      </w:r>
      <w:r>
        <w:rPr>
          <w:szCs w:val="16"/>
        </w:rPr>
        <w:t xml:space="preserve"> </w:t>
      </w:r>
      <w:r w:rsidRPr="002F0480">
        <w:rPr>
          <w:rStyle w:val="FootnoteReference"/>
          <w:szCs w:val="16"/>
          <w:vertAlign w:val="baseline"/>
        </w:rPr>
        <w:t>3</w:t>
      </w:r>
      <w:r>
        <w:rPr>
          <w:szCs w:val="16"/>
        </w:rPr>
        <w:t>–</w:t>
      </w:r>
      <w:r w:rsidRPr="002F0480">
        <w:rPr>
          <w:rStyle w:val="FootnoteReference"/>
          <w:szCs w:val="16"/>
          <w:vertAlign w:val="baseline"/>
        </w:rPr>
        <w:t xml:space="preserve">12. NHS Information Authority. </w:t>
      </w:r>
      <w:r>
        <w:rPr>
          <w:szCs w:val="16"/>
        </w:rPr>
        <w:t xml:space="preserve">2002. </w:t>
      </w:r>
      <w:r w:rsidRPr="002F0480">
        <w:rPr>
          <w:rStyle w:val="FootnoteReference"/>
          <w:i/>
          <w:szCs w:val="16"/>
          <w:vertAlign w:val="baseline"/>
        </w:rPr>
        <w:t>Share with Care! People’s Views on Consent and Confidentiality of Patient Information</w:t>
      </w:r>
      <w:r w:rsidRPr="002F0480">
        <w:rPr>
          <w:rStyle w:val="FootnoteReference"/>
          <w:szCs w:val="16"/>
          <w:vertAlign w:val="baseline"/>
        </w:rPr>
        <w:t>. London. Riordan</w:t>
      </w:r>
      <w:r>
        <w:rPr>
          <w:szCs w:val="16"/>
        </w:rPr>
        <w:t> </w:t>
      </w:r>
      <w:r w:rsidRPr="002F0480">
        <w:rPr>
          <w:rStyle w:val="FootnoteReference"/>
          <w:szCs w:val="16"/>
          <w:vertAlign w:val="baseline"/>
        </w:rPr>
        <w:t xml:space="preserve">F, </w:t>
      </w:r>
      <w:proofErr w:type="spellStart"/>
      <w:r w:rsidRPr="002F0480">
        <w:rPr>
          <w:rStyle w:val="FootnoteReference"/>
          <w:szCs w:val="16"/>
          <w:vertAlign w:val="baseline"/>
        </w:rPr>
        <w:t>Papoutsi</w:t>
      </w:r>
      <w:proofErr w:type="spellEnd"/>
      <w:r w:rsidRPr="002F0480">
        <w:rPr>
          <w:rStyle w:val="FootnoteReference"/>
          <w:szCs w:val="16"/>
          <w:vertAlign w:val="baseline"/>
        </w:rPr>
        <w:t xml:space="preserve"> C, Reed JE, </w:t>
      </w:r>
      <w:proofErr w:type="gramStart"/>
      <w:r>
        <w:rPr>
          <w:szCs w:val="16"/>
        </w:rPr>
        <w:t>et</w:t>
      </w:r>
      <w:proofErr w:type="gramEnd"/>
      <w:r>
        <w:rPr>
          <w:szCs w:val="16"/>
        </w:rPr>
        <w:t xml:space="preserve"> al. </w:t>
      </w:r>
      <w:r>
        <w:rPr>
          <w:rStyle w:val="FootnoteReference"/>
          <w:szCs w:val="16"/>
          <w:vertAlign w:val="baseline"/>
        </w:rPr>
        <w:t xml:space="preserve">2015. </w:t>
      </w:r>
      <w:r w:rsidRPr="002F0480">
        <w:rPr>
          <w:rStyle w:val="FootnoteReference"/>
          <w:szCs w:val="16"/>
          <w:vertAlign w:val="baseline"/>
        </w:rPr>
        <w:t>Patient and public attitudes towards informed consent models and levels of awareness of Electronic Health Records in the UK</w:t>
      </w:r>
      <w:r w:rsidRPr="002F0480">
        <w:rPr>
          <w:rStyle w:val="FootnoteReference"/>
          <w:i/>
          <w:szCs w:val="16"/>
          <w:vertAlign w:val="baseline"/>
        </w:rPr>
        <w:t>. International Journal of Medical Informatics</w:t>
      </w:r>
      <w:r>
        <w:rPr>
          <w:rStyle w:val="FootnoteReference"/>
          <w:szCs w:val="16"/>
          <w:vertAlign w:val="baseline"/>
        </w:rPr>
        <w:t xml:space="preserve"> </w:t>
      </w:r>
      <w:r w:rsidRPr="002F0480">
        <w:rPr>
          <w:rStyle w:val="FootnoteReference"/>
          <w:szCs w:val="16"/>
          <w:vertAlign w:val="baseline"/>
        </w:rPr>
        <w:t>84(4):</w:t>
      </w:r>
      <w:r>
        <w:rPr>
          <w:rStyle w:val="FootnoteReference"/>
          <w:szCs w:val="16"/>
          <w:vertAlign w:val="baseline"/>
        </w:rPr>
        <w:t xml:space="preserve"> </w:t>
      </w:r>
      <w:r w:rsidRPr="002F0480">
        <w:rPr>
          <w:rStyle w:val="FootnoteReference"/>
          <w:szCs w:val="16"/>
          <w:vertAlign w:val="baseline"/>
        </w:rPr>
        <w:t>237</w:t>
      </w:r>
      <w:r>
        <w:rPr>
          <w:rStyle w:val="FootnoteReference"/>
          <w:szCs w:val="16"/>
          <w:vertAlign w:val="baseline"/>
        </w:rPr>
        <w:t>–</w:t>
      </w:r>
      <w:r w:rsidRPr="002F0480">
        <w:rPr>
          <w:rStyle w:val="FootnoteReference"/>
          <w:szCs w:val="16"/>
          <w:vertAlign w:val="baseline"/>
        </w:rPr>
        <w:t xml:space="preserve">47.Whiddett R, Hunter I, </w:t>
      </w:r>
      <w:proofErr w:type="spellStart"/>
      <w:r w:rsidRPr="002F0480">
        <w:rPr>
          <w:rStyle w:val="FootnoteReference"/>
          <w:szCs w:val="16"/>
          <w:vertAlign w:val="baseline"/>
        </w:rPr>
        <w:t>Engelbrecht</w:t>
      </w:r>
      <w:proofErr w:type="spellEnd"/>
      <w:r w:rsidRPr="002F0480">
        <w:rPr>
          <w:rStyle w:val="FootnoteReference"/>
          <w:szCs w:val="16"/>
          <w:vertAlign w:val="baseline"/>
        </w:rPr>
        <w:t xml:space="preserve"> J, </w:t>
      </w:r>
      <w:r>
        <w:rPr>
          <w:szCs w:val="16"/>
        </w:rPr>
        <w:t xml:space="preserve">et al. 2006. </w:t>
      </w:r>
      <w:r w:rsidRPr="002F0480">
        <w:rPr>
          <w:rStyle w:val="FootnoteReference"/>
          <w:szCs w:val="16"/>
          <w:vertAlign w:val="baseline"/>
        </w:rPr>
        <w:t xml:space="preserve">Patients’ attitudes towards sharing their health information. </w:t>
      </w:r>
      <w:r w:rsidRPr="002F0480">
        <w:rPr>
          <w:rStyle w:val="FootnoteReference"/>
          <w:i/>
          <w:szCs w:val="16"/>
          <w:vertAlign w:val="baseline"/>
        </w:rPr>
        <w:t>International Journal of Medical Informatics</w:t>
      </w:r>
      <w:r w:rsidRPr="002F0480">
        <w:rPr>
          <w:rStyle w:val="FootnoteReference"/>
          <w:szCs w:val="16"/>
          <w:vertAlign w:val="baseline"/>
        </w:rPr>
        <w:t>. 75(7):</w:t>
      </w:r>
      <w:r>
        <w:rPr>
          <w:rStyle w:val="FootnoteReference"/>
          <w:szCs w:val="16"/>
          <w:vertAlign w:val="baseline"/>
        </w:rPr>
        <w:t xml:space="preserve"> </w:t>
      </w:r>
      <w:r w:rsidRPr="002F0480">
        <w:rPr>
          <w:rStyle w:val="FootnoteReference"/>
          <w:szCs w:val="16"/>
          <w:vertAlign w:val="baseline"/>
        </w:rPr>
        <w:t>530</w:t>
      </w:r>
      <w:r>
        <w:rPr>
          <w:rStyle w:val="FootnoteReference"/>
          <w:szCs w:val="16"/>
          <w:vertAlign w:val="baseline"/>
        </w:rPr>
        <w:t>–</w:t>
      </w:r>
      <w:r w:rsidRPr="002F0480">
        <w:rPr>
          <w:rStyle w:val="FootnoteReference"/>
          <w:szCs w:val="16"/>
          <w:vertAlign w:val="baseline"/>
        </w:rPr>
        <w:t>41.</w:t>
      </w:r>
    </w:p>
  </w:footnote>
  <w:footnote w:id="9">
    <w:p w14:paraId="2C62BFF9" w14:textId="05337D6E" w:rsidR="0048174A" w:rsidRDefault="0048174A" w:rsidP="000E5919">
      <w:pPr>
        <w:pStyle w:val="FootnoteText"/>
      </w:pPr>
      <w:r w:rsidRPr="002F0480">
        <w:rPr>
          <w:rStyle w:val="FootnoteReference"/>
        </w:rPr>
        <w:footnoteRef/>
      </w:r>
      <w:r>
        <w:tab/>
      </w:r>
      <w:proofErr w:type="spellStart"/>
      <w:r w:rsidRPr="002C17B0">
        <w:t>Sankar</w:t>
      </w:r>
      <w:proofErr w:type="spellEnd"/>
      <w:r w:rsidRPr="002C17B0">
        <w:t xml:space="preserve"> P, Mora S, </w:t>
      </w:r>
      <w:proofErr w:type="spellStart"/>
      <w:r w:rsidRPr="002C17B0">
        <w:t>Merz</w:t>
      </w:r>
      <w:proofErr w:type="spellEnd"/>
      <w:r w:rsidRPr="002C17B0">
        <w:t xml:space="preserve"> JF, </w:t>
      </w:r>
      <w:r>
        <w:t xml:space="preserve">et al. 2003. </w:t>
      </w:r>
      <w:r w:rsidRPr="002C17B0">
        <w:t xml:space="preserve">Patient perspectives of medical confidentiality. </w:t>
      </w:r>
      <w:r>
        <w:rPr>
          <w:i/>
        </w:rPr>
        <w:t>Journal of General Internal M</w:t>
      </w:r>
      <w:r w:rsidRPr="005E1C4A">
        <w:rPr>
          <w:i/>
        </w:rPr>
        <w:t>edicine</w:t>
      </w:r>
      <w:r>
        <w:t xml:space="preserve"> </w:t>
      </w:r>
      <w:r w:rsidRPr="002C17B0">
        <w:t>18(8):</w:t>
      </w:r>
      <w:r>
        <w:t xml:space="preserve"> </w:t>
      </w:r>
      <w:r w:rsidRPr="002C17B0">
        <w:t>659</w:t>
      </w:r>
      <w:r>
        <w:t>–</w:t>
      </w:r>
      <w:r w:rsidRPr="002C17B0">
        <w:t>69.</w:t>
      </w:r>
      <w:r>
        <w:t xml:space="preserve"> </w:t>
      </w:r>
      <w:r w:rsidRPr="002C17B0">
        <w:t xml:space="preserve">Hunter I, Ede GH, </w:t>
      </w:r>
      <w:proofErr w:type="spellStart"/>
      <w:r w:rsidRPr="002C17B0">
        <w:t>Whiddett</w:t>
      </w:r>
      <w:proofErr w:type="spellEnd"/>
      <w:r w:rsidRPr="002C17B0">
        <w:t xml:space="preserve"> R. </w:t>
      </w:r>
      <w:r>
        <w:t xml:space="preserve">2014. </w:t>
      </w:r>
      <w:r w:rsidRPr="002C17B0">
        <w:t xml:space="preserve">Increased electronic information sharing by sexual health services: </w:t>
      </w:r>
      <w:r>
        <w:t>c</w:t>
      </w:r>
      <w:r w:rsidRPr="002C17B0">
        <w:t xml:space="preserve">onfidentiality and consent. </w:t>
      </w:r>
      <w:r w:rsidRPr="005E1C4A">
        <w:rPr>
          <w:i/>
        </w:rPr>
        <w:t>Health Informatics Journal</w:t>
      </w:r>
      <w:r w:rsidRPr="002C17B0">
        <w:t xml:space="preserve"> 20(1):</w:t>
      </w:r>
      <w:r>
        <w:t xml:space="preserve"> </w:t>
      </w:r>
      <w:r w:rsidRPr="002C17B0">
        <w:t>3</w:t>
      </w:r>
      <w:r>
        <w:t>–</w:t>
      </w:r>
      <w:r w:rsidRPr="002C17B0">
        <w:t>12.</w:t>
      </w:r>
    </w:p>
  </w:footnote>
  <w:footnote w:id="10">
    <w:p w14:paraId="636B8DF8" w14:textId="67C0AD4D" w:rsidR="0048174A" w:rsidRDefault="0048174A" w:rsidP="002F0480">
      <w:pPr>
        <w:pStyle w:val="FootnoteText"/>
      </w:pPr>
      <w:r w:rsidRPr="002F0480">
        <w:rPr>
          <w:rStyle w:val="FootnoteReference"/>
        </w:rPr>
        <w:footnoteRef/>
      </w:r>
      <w:r>
        <w:tab/>
        <w:t xml:space="preserve">National Information Board and Department of Health. 2014. </w:t>
      </w:r>
      <w:r>
        <w:rPr>
          <w:i/>
          <w:iCs/>
        </w:rPr>
        <w:t xml:space="preserve">Personalised Health and Care 2020: A guidance for action. </w:t>
      </w:r>
      <w:hyperlink r:id="rId3" w:history="1">
        <w:r>
          <w:rPr>
            <w:rStyle w:val="Hyperlink"/>
          </w:rPr>
          <w:t>https://www.gov.uk/government/uploads/system/uploads/attachment_data/file/384650/NIB_Report.pdf</w:t>
        </w:r>
      </w:hyperlink>
    </w:p>
  </w:footnote>
  <w:footnote w:id="11">
    <w:p w14:paraId="30324D1E" w14:textId="65C54F04" w:rsidR="0048174A" w:rsidRDefault="0048174A" w:rsidP="00402308">
      <w:pPr>
        <w:pStyle w:val="FootnoteText"/>
      </w:pPr>
      <w:r w:rsidRPr="00402308">
        <w:rPr>
          <w:rStyle w:val="FootnoteReference"/>
        </w:rPr>
        <w:footnoteRef/>
      </w:r>
      <w:r>
        <w:tab/>
        <w:t xml:space="preserve">The New Zealand government defines ‘IN CONFIDENCE’ as information that if released “would be likely to prejudice the maintenance of law and order, impede the effective conduct of government in New Zealand or affect adversely the privacy of its citizens”. Department of Prime Minister and Cabinet, Cabinet Office Circular CO (08) 01 </w:t>
      </w:r>
      <w:hyperlink r:id="rId4" w:history="1">
        <w:r w:rsidRPr="003C26F1">
          <w:rPr>
            <w:rStyle w:val="Hyperlink"/>
          </w:rPr>
          <w:t>http://www.dpmc.govt.nz/cabinet/circulars/co08/1</w:t>
        </w:r>
      </w:hyperlink>
    </w:p>
    <w:p w14:paraId="14C55291" w14:textId="77777777" w:rsidR="0048174A" w:rsidRDefault="0048174A" w:rsidP="00402308">
      <w:pPr>
        <w:pStyle w:val="FootnoteText"/>
        <w:ind w:firstLine="0"/>
      </w:pPr>
      <w:r>
        <w:t>From a practitioner viewpoint, IN CONFIDENCE mirrors doctor patient confidentiality and means that a person’s health information won’t be disclosed unless consented to or authorised by that person (eg, through a privacy fact sheet), by another authorised person, under statutory authority or by a legal instrument (eg, an Approved Information Sharing Agreement),</w:t>
      </w:r>
    </w:p>
  </w:footnote>
  <w:footnote w:id="12">
    <w:p w14:paraId="70FD2FE8" w14:textId="5D7549CF" w:rsidR="0048174A" w:rsidRDefault="0048174A" w:rsidP="00402308">
      <w:pPr>
        <w:pStyle w:val="FootnoteText"/>
      </w:pPr>
      <w:r w:rsidRPr="00402308">
        <w:rPr>
          <w:rStyle w:val="FootnoteReference"/>
        </w:rPr>
        <w:footnoteRef/>
      </w:r>
      <w:r>
        <w:tab/>
        <w:t xml:space="preserve">Rules are paraphrased and the Health Information Privacy Code 1994 should be consulted for exact provisions: </w:t>
      </w:r>
      <w:r w:rsidRPr="00D80FA2">
        <w:t>https://www.privacy.org.nz/assets/Files/Codes-of-Practice-materials/HIPC-1994-2008-revised-edition.pdf</w:t>
      </w:r>
    </w:p>
  </w:footnote>
  <w:footnote w:id="13">
    <w:p w14:paraId="3C23D011" w14:textId="77777777" w:rsidR="0048174A" w:rsidRDefault="0048174A" w:rsidP="00402308">
      <w:pPr>
        <w:pStyle w:val="FootnoteText"/>
      </w:pPr>
      <w:r w:rsidRPr="00402308">
        <w:rPr>
          <w:rStyle w:val="FootnoteReference"/>
        </w:rPr>
        <w:footnoteRef/>
      </w:r>
      <w:r>
        <w:tab/>
        <w:t>Paragraph 5.14 on data quality has been</w:t>
      </w:r>
      <w:r w:rsidRPr="008949F2">
        <w:t xml:space="preserve"> adapted </w:t>
      </w:r>
      <w:r>
        <w:t xml:space="preserve">with revisions </w:t>
      </w:r>
      <w:r w:rsidRPr="008949F2">
        <w:t xml:space="preserve">from </w:t>
      </w:r>
      <w:r>
        <w:t xml:space="preserve">the </w:t>
      </w:r>
      <w:r w:rsidRPr="00402308">
        <w:rPr>
          <w:rFonts w:eastAsiaTheme="minorHAnsi"/>
        </w:rPr>
        <w:t xml:space="preserve">Health Information and Quality Authority </w:t>
      </w:r>
      <w:r w:rsidRPr="00402308">
        <w:rPr>
          <w:rFonts w:eastAsiaTheme="minorHAnsi"/>
          <w:i/>
        </w:rPr>
        <w:t>“Guidance on Information Governance for Health and Social Care Services in Ireland</w:t>
      </w:r>
      <w:r>
        <w:rPr>
          <w:rFonts w:eastAsiaTheme="minorHAnsi"/>
          <w:i/>
        </w:rPr>
        <w:t>”</w:t>
      </w:r>
      <w:r w:rsidRPr="00402308">
        <w:t xml:space="preserve"> </w:t>
      </w:r>
      <w:r w:rsidRPr="008949F2">
        <w:t>2012,</w:t>
      </w:r>
      <w:r>
        <w:t xml:space="preserve"> </w:t>
      </w:r>
      <w:hyperlink r:id="rId5" w:history="1">
        <w:r w:rsidRPr="008949F2">
          <w:rPr>
            <w:rStyle w:val="Hyperlink"/>
            <w:szCs w:val="16"/>
          </w:rPr>
          <w:t>http://hiqa.ie/healthcare/health-information/information-governance</w:t>
        </w:r>
      </w:hyperlink>
    </w:p>
  </w:footnote>
  <w:footnote w:id="14">
    <w:p w14:paraId="44F1EE86" w14:textId="77777777" w:rsidR="0048174A" w:rsidRDefault="0048174A" w:rsidP="00402308">
      <w:pPr>
        <w:pStyle w:val="FootnoteText"/>
      </w:pPr>
      <w:r w:rsidRPr="00402308">
        <w:rPr>
          <w:rStyle w:val="FootnoteReference"/>
        </w:rPr>
        <w:footnoteRef/>
      </w:r>
      <w:r>
        <w:tab/>
        <w:t xml:space="preserve">Health Record Standard </w:t>
      </w:r>
      <w:r w:rsidRPr="00D4763D">
        <w:t>NZS 8153:2002</w:t>
      </w:r>
      <w:r>
        <w:t xml:space="preserve">. This can be purchased through Standards New Zealand: </w:t>
      </w:r>
      <w:hyperlink r:id="rId6" w:history="1">
        <w:r w:rsidRPr="00D4763D">
          <w:rPr>
            <w:rStyle w:val="Hyperlink"/>
          </w:rPr>
          <w:t>https://shop.standards.govt.nz/catalog/8153%3A2002(NZS)/view</w:t>
        </w:r>
      </w:hyperlink>
    </w:p>
  </w:footnote>
  <w:footnote w:id="15">
    <w:p w14:paraId="10585610" w14:textId="77777777" w:rsidR="0048174A" w:rsidRDefault="0048174A" w:rsidP="00402308">
      <w:pPr>
        <w:pStyle w:val="FootnoteText"/>
      </w:pPr>
      <w:r w:rsidRPr="00402308">
        <w:rPr>
          <w:rStyle w:val="FootnoteReference"/>
        </w:rPr>
        <w:footnoteRef/>
      </w:r>
      <w:r>
        <w:tab/>
      </w:r>
      <w:hyperlink r:id="rId7" w:history="1">
        <w:r w:rsidRPr="004C2A3D">
          <w:t>http://legislation.govt.nz/regulation/public/1996/0343/latest/DLM225616.html</w:t>
        </w:r>
      </w:hyperlink>
    </w:p>
  </w:footnote>
  <w:footnote w:id="16">
    <w:p w14:paraId="27EA4CF3" w14:textId="77777777" w:rsidR="0048174A" w:rsidRDefault="0048174A" w:rsidP="00402308">
      <w:pPr>
        <w:pStyle w:val="FootnoteText"/>
      </w:pPr>
      <w:r w:rsidRPr="00402308">
        <w:rPr>
          <w:rStyle w:val="FootnoteReference"/>
        </w:rPr>
        <w:footnoteRef/>
      </w:r>
      <w:r>
        <w:tab/>
      </w:r>
      <w:r w:rsidRPr="00232D36">
        <w:t>https://privacy.org.nz/assets/Files/Codes-of-Practice-materials/HIPC-1994-incl.-amendments-revised-commentary-edit.pdf</w:t>
      </w:r>
    </w:p>
  </w:footnote>
  <w:footnote w:id="17">
    <w:p w14:paraId="7CC58F57" w14:textId="64218C9A" w:rsidR="0048174A" w:rsidRDefault="0048174A">
      <w:pPr>
        <w:pStyle w:val="FootnoteText"/>
      </w:pPr>
      <w:r>
        <w:rPr>
          <w:rStyle w:val="FootnoteReference"/>
        </w:rPr>
        <w:footnoteRef/>
      </w:r>
      <w:r>
        <w:t xml:space="preserve"> See </w:t>
      </w:r>
      <w:r w:rsidRPr="00CB5C43">
        <w:t>http://www.health.govt.nz/our-work/ehealth/digital-health-standards-and-governance/health-information-standards/approved-standards</w:t>
      </w:r>
    </w:p>
  </w:footnote>
  <w:footnote w:id="18">
    <w:p w14:paraId="6296D566" w14:textId="77777777" w:rsidR="0048174A" w:rsidRDefault="0048174A" w:rsidP="00402308">
      <w:pPr>
        <w:pStyle w:val="FootnoteText"/>
      </w:pPr>
      <w:r w:rsidRPr="00402308">
        <w:rPr>
          <w:rStyle w:val="FootnoteReference"/>
        </w:rPr>
        <w:footnoteRef/>
      </w:r>
      <w:r>
        <w:tab/>
        <w:t xml:space="preserve">Above footnote </w:t>
      </w:r>
      <w:r>
        <w:fldChar w:fldCharType="begin"/>
      </w:r>
      <w:r>
        <w:instrText xml:space="preserve"> NOTEREF _Ref489839440 \h </w:instrText>
      </w:r>
      <w:r>
        <w:fldChar w:fldCharType="separate"/>
      </w:r>
      <w:r>
        <w:t>7</w:t>
      </w:r>
      <w:r>
        <w:fldChar w:fldCharType="end"/>
      </w:r>
      <w:r>
        <w:t>.</w:t>
      </w:r>
    </w:p>
  </w:footnote>
  <w:footnote w:id="19">
    <w:p w14:paraId="4F85A310" w14:textId="77777777" w:rsidR="0048174A" w:rsidRDefault="0048174A" w:rsidP="00402308">
      <w:pPr>
        <w:pStyle w:val="FootnoteText"/>
      </w:pPr>
      <w:r w:rsidRPr="00402308">
        <w:rPr>
          <w:rStyle w:val="FootnoteReference"/>
        </w:rPr>
        <w:footnoteRef/>
      </w:r>
      <w:r>
        <w:tab/>
      </w:r>
      <w:hyperlink r:id="rId8" w:history="1">
        <w:r w:rsidRPr="000121FA">
          <w:rPr>
            <w:rStyle w:val="Hyperlink"/>
            <w:rFonts w:cs="Arial"/>
            <w:szCs w:val="22"/>
          </w:rPr>
          <w:t>https://www.mcnz.org.nz/assets/News-and-Publications/Statements/Maintenance-and-retention-of-records.pdf</w:t>
        </w:r>
      </w:hyperlink>
    </w:p>
  </w:footnote>
  <w:footnote w:id="20">
    <w:p w14:paraId="54CD8410" w14:textId="77777777" w:rsidR="0048174A" w:rsidRDefault="0048174A" w:rsidP="00402308">
      <w:pPr>
        <w:pStyle w:val="FootnoteText"/>
      </w:pPr>
      <w:r w:rsidRPr="00402308">
        <w:rPr>
          <w:rStyle w:val="FootnoteReference"/>
        </w:rPr>
        <w:footnoteRef/>
      </w:r>
      <w:r>
        <w:tab/>
      </w:r>
      <w:hyperlink r:id="rId9" w:history="1">
        <w:r w:rsidRPr="00D31E34">
          <w:rPr>
            <w:rStyle w:val="Hyperlink"/>
          </w:rPr>
          <w:t>http://shop.standards.co.nz/catalog/8153%3A2002(NZS)/view</w:t>
        </w:r>
      </w:hyperlink>
    </w:p>
  </w:footnote>
  <w:footnote w:id="21">
    <w:p w14:paraId="6B503F30" w14:textId="77777777" w:rsidR="0048174A" w:rsidRDefault="0048174A" w:rsidP="00446078">
      <w:pPr>
        <w:pStyle w:val="FootnoteText"/>
      </w:pPr>
      <w:r w:rsidRPr="00446078">
        <w:rPr>
          <w:rStyle w:val="FootnoteReference"/>
        </w:rPr>
        <w:footnoteRef/>
      </w:r>
      <w:r>
        <w:tab/>
        <w:t>Section 23 Privacy Act 1993 and Regulation 7 of the Health Information Privacy Code 1994.</w:t>
      </w:r>
    </w:p>
  </w:footnote>
  <w:footnote w:id="22">
    <w:p w14:paraId="00950B6E" w14:textId="77777777" w:rsidR="0048174A" w:rsidRDefault="0048174A" w:rsidP="00446078">
      <w:pPr>
        <w:pStyle w:val="FootnoteText"/>
      </w:pPr>
      <w:r w:rsidRPr="00446078">
        <w:rPr>
          <w:rStyle w:val="FootnoteReference"/>
        </w:rPr>
        <w:footnoteRef/>
      </w:r>
      <w:r>
        <w:tab/>
        <w:t>Regulation 7 (2) of the Health Information Privacy Code 1994 is partially relevant in that it requires every health agency to have a complaints policy in place that deals with alleged breaches of the Code.</w:t>
      </w:r>
    </w:p>
  </w:footnote>
  <w:footnote w:id="23">
    <w:p w14:paraId="70E41928" w14:textId="77777777" w:rsidR="0048174A" w:rsidRDefault="0048174A" w:rsidP="00446078">
      <w:pPr>
        <w:pStyle w:val="FootnoteText"/>
      </w:pPr>
      <w:r w:rsidRPr="00446078">
        <w:rPr>
          <w:rStyle w:val="FootnoteReference"/>
        </w:rPr>
        <w:footnoteRef/>
      </w:r>
      <w:r>
        <w:tab/>
      </w:r>
      <w:r w:rsidRPr="002F35A5">
        <w:t>https://privacy.org.nz/news-and-publications/guidance-resources/data-safety-toolkit/</w:t>
      </w:r>
    </w:p>
  </w:footnote>
  <w:footnote w:id="24">
    <w:p w14:paraId="79A5F516" w14:textId="77777777" w:rsidR="0048174A" w:rsidRDefault="0048174A" w:rsidP="00446078">
      <w:pPr>
        <w:pStyle w:val="FootnoteText"/>
      </w:pPr>
      <w:r w:rsidRPr="00446078">
        <w:rPr>
          <w:rStyle w:val="FootnoteReference"/>
        </w:rPr>
        <w:footnoteRef/>
      </w:r>
      <w:r>
        <w:tab/>
        <w:t xml:space="preserve">Privacy Impact Assessment Handbook, Office of the Privacy Commissioner 2007 p 5 </w:t>
      </w:r>
      <w:hyperlink r:id="rId10" w:history="1">
        <w:r w:rsidRPr="00E27238">
          <w:rPr>
            <w:rStyle w:val="Hyperlink"/>
          </w:rPr>
          <w:t>https://www.privacy.org.nz/assets/Uploads/Privacy-Impact-Assessment-Handbook-June2007.pdf</w:t>
        </w:r>
      </w:hyperlink>
    </w:p>
  </w:footnote>
  <w:footnote w:id="25">
    <w:p w14:paraId="6EB84566" w14:textId="77777777" w:rsidR="0048174A" w:rsidRDefault="0048174A" w:rsidP="00011AC7">
      <w:pPr>
        <w:pStyle w:val="FootnoteText"/>
      </w:pPr>
      <w:r>
        <w:rPr>
          <w:rStyle w:val="FootnoteReference"/>
        </w:rPr>
        <w:footnoteRef/>
      </w:r>
      <w:r>
        <w:t xml:space="preserve"> Above, footnote 16, p11.</w:t>
      </w:r>
    </w:p>
  </w:footnote>
  <w:footnote w:id="26">
    <w:p w14:paraId="2E4B565D" w14:textId="77777777" w:rsidR="0048174A" w:rsidRDefault="0048174A" w:rsidP="00446078">
      <w:pPr>
        <w:pStyle w:val="FootnoteText"/>
      </w:pPr>
      <w:r w:rsidRPr="00446078">
        <w:rPr>
          <w:rStyle w:val="FootnoteReference"/>
        </w:rPr>
        <w:footnoteRef/>
      </w:r>
      <w:r>
        <w:tab/>
        <w:t xml:space="preserve">For details about eligibility see the Health and Disability Services Direction 2011. </w:t>
      </w:r>
      <w:hyperlink r:id="rId11" w:history="1">
        <w:r w:rsidRPr="004078B1">
          <w:rPr>
            <w:rStyle w:val="Hyperlink"/>
          </w:rPr>
          <w:t>http://www.health.govt.nz/system/files/documents/pages/eligibility-direction-2011.pdf</w:t>
        </w:r>
      </w:hyperlink>
    </w:p>
  </w:footnote>
  <w:footnote w:id="27">
    <w:p w14:paraId="1B3CEE73" w14:textId="77777777" w:rsidR="0048174A" w:rsidRDefault="0048174A" w:rsidP="00446078">
      <w:pPr>
        <w:pStyle w:val="FootnoteText"/>
      </w:pPr>
      <w:r w:rsidRPr="00446078">
        <w:rPr>
          <w:rStyle w:val="FootnoteReference"/>
        </w:rPr>
        <w:footnoteRef/>
      </w:r>
      <w:r>
        <w:tab/>
        <w:t>It is noted that while most health providers should be able to advise of this in relation to electronic health records (by way of checking their audit log), this may not be possible in the case of paper records and therefore cannot be expected.</w:t>
      </w:r>
    </w:p>
  </w:footnote>
  <w:footnote w:id="28">
    <w:p w14:paraId="0B948241" w14:textId="7898B11A" w:rsidR="0048174A" w:rsidRDefault="0048174A" w:rsidP="00446078">
      <w:pPr>
        <w:pStyle w:val="FootnoteText"/>
      </w:pPr>
      <w:r w:rsidRPr="00446078">
        <w:rPr>
          <w:rStyle w:val="FootnoteReference"/>
        </w:rPr>
        <w:footnoteRef/>
      </w:r>
      <w:r>
        <w:tab/>
        <w:t>Section 27–29 of the Privacy Act 1993.</w:t>
      </w:r>
    </w:p>
  </w:footnote>
  <w:footnote w:id="29">
    <w:p w14:paraId="5B55AE3C" w14:textId="462D928D" w:rsidR="0048174A" w:rsidRDefault="0048174A" w:rsidP="00446078">
      <w:pPr>
        <w:pStyle w:val="FootnoteText"/>
      </w:pPr>
      <w:r w:rsidRPr="00446078">
        <w:rPr>
          <w:rStyle w:val="FootnoteReference"/>
        </w:rPr>
        <w:footnoteRef/>
      </w:r>
      <w:r>
        <w:tab/>
      </w:r>
      <w:proofErr w:type="spellStart"/>
      <w:r>
        <w:t>DeWalt</w:t>
      </w:r>
      <w:proofErr w:type="spellEnd"/>
      <w:r>
        <w:t xml:space="preserve"> DA, et al.</w:t>
      </w:r>
      <w:r w:rsidRPr="001D2E9C">
        <w:t xml:space="preserve"> </w:t>
      </w:r>
      <w:r>
        <w:t xml:space="preserve">2010. </w:t>
      </w:r>
      <w:r w:rsidRPr="000B30A8">
        <w:rPr>
          <w:i/>
        </w:rPr>
        <w:t>Health Literacy Universal Precautions Toolkit</w:t>
      </w:r>
      <w:r w:rsidRPr="001D2E9C">
        <w:t xml:space="preserve"> (</w:t>
      </w:r>
      <w:r>
        <w:t>p</w:t>
      </w:r>
      <w:r w:rsidRPr="001D2E9C">
        <w:t>repared b</w:t>
      </w:r>
      <w:r>
        <w:t>y North Carolina Network Consor</w:t>
      </w:r>
      <w:r w:rsidRPr="001D2E9C">
        <w:t xml:space="preserve">tium, The Cecil G </w:t>
      </w:r>
      <w:proofErr w:type="spellStart"/>
      <w:r w:rsidRPr="001D2E9C">
        <w:t>Sheps</w:t>
      </w:r>
      <w:proofErr w:type="spellEnd"/>
      <w:r w:rsidRPr="001D2E9C">
        <w:t xml:space="preserve"> </w:t>
      </w:r>
      <w:proofErr w:type="spellStart"/>
      <w:r w:rsidRPr="001D2E9C">
        <w:t>Center</w:t>
      </w:r>
      <w:proofErr w:type="spellEnd"/>
      <w:r w:rsidRPr="001D2E9C">
        <w:t xml:space="preserve"> for Health Services Research, The University of North Carolina at Chapel Hill, under Contract No. HHSA290200710014)</w:t>
      </w:r>
      <w:r>
        <w:t>.</w:t>
      </w:r>
      <w:r w:rsidRPr="001D2E9C">
        <w:t xml:space="preserve"> AHRQ Publication No. 10-0046-EF) Rockville, MD. Agency for Health</w:t>
      </w:r>
      <w:r>
        <w:t xml:space="preserve"> C</w:t>
      </w:r>
      <w:r w:rsidRPr="001D2E9C">
        <w:t xml:space="preserve">are Research and Quality. </w:t>
      </w:r>
      <w:hyperlink r:id="rId12" w:history="1">
        <w:r w:rsidRPr="002E75EF">
          <w:rPr>
            <w:rStyle w:val="Hyperlink"/>
          </w:rPr>
          <w:t>http://www.ahrq.gov/professionals/quality-patient-safety/quality-resources/tools/literacy-toolkit/healthliteracytoolkit.pdf</w:t>
        </w:r>
      </w:hyperlink>
    </w:p>
  </w:footnote>
  <w:footnote w:id="30">
    <w:p w14:paraId="010A1D9A" w14:textId="77777777" w:rsidR="0048174A" w:rsidRDefault="0048174A" w:rsidP="00446078">
      <w:pPr>
        <w:pStyle w:val="FootnoteText"/>
      </w:pPr>
      <w:r w:rsidRPr="00446078">
        <w:rPr>
          <w:rStyle w:val="FootnoteReference"/>
        </w:rPr>
        <w:footnoteRef/>
      </w:r>
      <w:r>
        <w:tab/>
      </w:r>
      <w:hyperlink r:id="rId13" w:history="1">
        <w:r w:rsidRPr="001D2E9C">
          <w:t>http://www.ahrq.gov/professionals/quality-patient-safety/quality-resources/tools/literacy-toolkit/healthliteracytoolkit.pdf</w:t>
        </w:r>
      </w:hyperlink>
    </w:p>
  </w:footnote>
  <w:footnote w:id="31">
    <w:p w14:paraId="7C1E3C56" w14:textId="77777777" w:rsidR="0048174A" w:rsidRDefault="0048174A" w:rsidP="00446078">
      <w:pPr>
        <w:pStyle w:val="FootnoteText"/>
      </w:pPr>
      <w:r w:rsidRPr="00446078">
        <w:rPr>
          <w:rStyle w:val="FootnoteReference"/>
        </w:rPr>
        <w:footnoteRef/>
      </w:r>
      <w:r>
        <w:tab/>
        <w:t>Rules 3 and 6 of the Health Information Privacy Code 1994 are particularly relevant here.</w:t>
      </w:r>
    </w:p>
  </w:footnote>
  <w:footnote w:id="32">
    <w:p w14:paraId="2EFDB391" w14:textId="77777777" w:rsidR="0048174A" w:rsidRDefault="0048174A" w:rsidP="00446078">
      <w:pPr>
        <w:pStyle w:val="FootnoteText"/>
      </w:pPr>
      <w:r w:rsidRPr="00446078">
        <w:rPr>
          <w:rStyle w:val="FootnoteReference"/>
        </w:rPr>
        <w:footnoteRef/>
      </w:r>
      <w:r>
        <w:tab/>
        <w:t>Rule 7, Privacy Act 1993.</w:t>
      </w:r>
    </w:p>
  </w:footnote>
  <w:footnote w:id="33">
    <w:p w14:paraId="55DE9E83" w14:textId="77777777" w:rsidR="0048174A" w:rsidRPr="0073441E" w:rsidRDefault="0048174A" w:rsidP="0073441E">
      <w:pPr>
        <w:pStyle w:val="FootnoteText"/>
      </w:pPr>
      <w:r w:rsidRPr="0073441E">
        <w:rPr>
          <w:rStyle w:val="FootnoteReference"/>
        </w:rPr>
        <w:footnoteRef/>
      </w:r>
      <w:r>
        <w:tab/>
      </w:r>
      <w:r w:rsidRPr="0073441E">
        <w:t>Section 38 Privacy Act 1993.</w:t>
      </w:r>
    </w:p>
  </w:footnote>
  <w:footnote w:id="34">
    <w:p w14:paraId="5873E373" w14:textId="77777777" w:rsidR="0048174A" w:rsidRPr="0073441E" w:rsidRDefault="0048174A" w:rsidP="00011AC7">
      <w:pPr>
        <w:pStyle w:val="FootnoteText"/>
      </w:pPr>
      <w:r w:rsidRPr="0073441E">
        <w:rPr>
          <w:rStyle w:val="FootnoteReference"/>
        </w:rPr>
        <w:footnoteRef/>
      </w:r>
      <w:r>
        <w:tab/>
      </w:r>
      <w:r w:rsidRPr="0073441E">
        <w:t>Section 40 Privacy Act 1993.</w:t>
      </w:r>
    </w:p>
  </w:footnote>
  <w:footnote w:id="35">
    <w:p w14:paraId="70E9A723" w14:textId="77777777" w:rsidR="0048174A" w:rsidRPr="0073441E" w:rsidRDefault="0048174A" w:rsidP="0073441E">
      <w:pPr>
        <w:pStyle w:val="FootnoteText"/>
      </w:pPr>
      <w:r w:rsidRPr="0073441E">
        <w:rPr>
          <w:rStyle w:val="FootnoteReference"/>
        </w:rPr>
        <w:footnoteRef/>
      </w:r>
      <w:r>
        <w:tab/>
      </w:r>
      <w:r w:rsidRPr="0073441E">
        <w:t>Section 41 Privacy Act 1993.</w:t>
      </w:r>
    </w:p>
  </w:footnote>
  <w:footnote w:id="36">
    <w:p w14:paraId="4EBDED4A" w14:textId="77777777" w:rsidR="0048174A" w:rsidRDefault="0048174A" w:rsidP="0073441E">
      <w:pPr>
        <w:pStyle w:val="FootnoteText"/>
      </w:pPr>
      <w:r w:rsidRPr="0073441E">
        <w:rPr>
          <w:rStyle w:val="FootnoteReference"/>
        </w:rPr>
        <w:footnoteRef/>
      </w:r>
      <w:r>
        <w:tab/>
        <w:t xml:space="preserve">Above footnote </w:t>
      </w:r>
      <w:r>
        <w:fldChar w:fldCharType="begin"/>
      </w:r>
      <w:r>
        <w:instrText xml:space="preserve"> NOTEREF _Ref489840199 \h </w:instrText>
      </w:r>
      <w:r>
        <w:fldChar w:fldCharType="separate"/>
      </w:r>
      <w:r>
        <w:t>32</w:t>
      </w:r>
      <w:r>
        <w:fldChar w:fldCharType="end"/>
      </w:r>
      <w:r>
        <w:t>.</w:t>
      </w:r>
    </w:p>
  </w:footnote>
  <w:footnote w:id="37">
    <w:p w14:paraId="67450839" w14:textId="77777777" w:rsidR="0048174A" w:rsidRPr="0073441E" w:rsidRDefault="0048174A" w:rsidP="0073441E">
      <w:pPr>
        <w:pStyle w:val="FootnoteText"/>
      </w:pPr>
      <w:r w:rsidRPr="0073441E">
        <w:rPr>
          <w:rStyle w:val="FootnoteReference"/>
        </w:rPr>
        <w:footnoteRef/>
      </w:r>
      <w:r>
        <w:tab/>
      </w:r>
      <w:r w:rsidRPr="0073441E">
        <w:t xml:space="preserve">Above footnote </w:t>
      </w:r>
      <w:r>
        <w:fldChar w:fldCharType="begin"/>
      </w:r>
      <w:r>
        <w:instrText xml:space="preserve"> NOTEREF _Ref489840199 \h </w:instrText>
      </w:r>
      <w:r>
        <w:fldChar w:fldCharType="separate"/>
      </w:r>
      <w:r>
        <w:t>32</w:t>
      </w:r>
      <w:r>
        <w:fldChar w:fldCharType="end"/>
      </w:r>
      <w:r w:rsidRPr="0073441E">
        <w:t>.</w:t>
      </w:r>
    </w:p>
  </w:footnote>
  <w:footnote w:id="38">
    <w:p w14:paraId="5E595277" w14:textId="77777777" w:rsidR="0048174A" w:rsidRPr="0073441E" w:rsidRDefault="0048174A" w:rsidP="0073441E">
      <w:pPr>
        <w:pStyle w:val="FootnoteText"/>
      </w:pPr>
      <w:r w:rsidRPr="0073441E">
        <w:rPr>
          <w:rStyle w:val="FootnoteReference"/>
        </w:rPr>
        <w:footnoteRef/>
      </w:r>
      <w:r>
        <w:tab/>
      </w:r>
      <w:r w:rsidRPr="0073441E">
        <w:t xml:space="preserve">Above footnote </w:t>
      </w:r>
      <w:r>
        <w:fldChar w:fldCharType="begin"/>
      </w:r>
      <w:r>
        <w:instrText xml:space="preserve"> NOTEREF _Ref489840199 \h </w:instrText>
      </w:r>
      <w:r>
        <w:fldChar w:fldCharType="separate"/>
      </w:r>
      <w:r>
        <w:t>32</w:t>
      </w:r>
      <w:r>
        <w:fldChar w:fldCharType="end"/>
      </w:r>
      <w:r w:rsidRPr="0073441E">
        <w:t>.</w:t>
      </w:r>
    </w:p>
  </w:footnote>
  <w:footnote w:id="39">
    <w:p w14:paraId="23BD7E51" w14:textId="77777777" w:rsidR="0048174A" w:rsidRDefault="0048174A" w:rsidP="0073441E">
      <w:pPr>
        <w:pStyle w:val="FootnoteText"/>
      </w:pPr>
      <w:r w:rsidRPr="0073441E">
        <w:rPr>
          <w:rStyle w:val="FootnoteReference"/>
        </w:rPr>
        <w:footnoteRef/>
      </w:r>
      <w:r>
        <w:tab/>
        <w:t xml:space="preserve">Also, see the Health Information Security Framework </w:t>
      </w:r>
      <w:r w:rsidRPr="000D7C98">
        <w:t>http://healthitboard.health.govt.nz/standards/approved-standards/hiso-100292015-health-information-security-framework</w:t>
      </w:r>
      <w:r>
        <w:t>.</w:t>
      </w:r>
    </w:p>
  </w:footnote>
  <w:footnote w:id="40">
    <w:p w14:paraId="37A3B029" w14:textId="77777777" w:rsidR="0048174A" w:rsidRDefault="0048174A" w:rsidP="0073441E">
      <w:pPr>
        <w:pStyle w:val="FootnoteText"/>
      </w:pPr>
      <w:r w:rsidRPr="0073441E">
        <w:rPr>
          <w:rStyle w:val="FootnoteReference"/>
        </w:rPr>
        <w:footnoteRef/>
      </w:r>
      <w:r>
        <w:tab/>
        <w:t>Break glass indicates that access has been obtained in a non-routine way, generally because of emergency. Break glass incidents should be logged and audited.</w:t>
      </w:r>
    </w:p>
  </w:footnote>
  <w:footnote w:id="41">
    <w:p w14:paraId="1DA9DA5B" w14:textId="77777777" w:rsidR="0048174A" w:rsidRDefault="0048174A" w:rsidP="006D55DF">
      <w:pPr>
        <w:pStyle w:val="FootnoteText"/>
      </w:pPr>
      <w:r w:rsidRPr="006D55DF">
        <w:rPr>
          <w:rStyle w:val="FootnoteReference"/>
        </w:rPr>
        <w:footnoteRef/>
      </w:r>
      <w:r>
        <w:tab/>
        <w:t>New Zealand Health Strategy Future Direction, April 2016. Chapter 4 “One Team”.</w:t>
      </w:r>
    </w:p>
  </w:footnote>
  <w:footnote w:id="42">
    <w:p w14:paraId="182A9726" w14:textId="77777777" w:rsidR="0048174A" w:rsidRDefault="0048174A" w:rsidP="006D55DF">
      <w:pPr>
        <w:pStyle w:val="FootnoteText"/>
      </w:pPr>
      <w:r w:rsidRPr="006D55DF">
        <w:rPr>
          <w:rStyle w:val="FootnoteReference"/>
        </w:rPr>
        <w:footnoteRef/>
      </w:r>
      <w:r>
        <w:tab/>
        <w:t>Rule 5.2 Health Information Privacy Code 1994.</w:t>
      </w:r>
    </w:p>
  </w:footnote>
  <w:footnote w:id="43">
    <w:p w14:paraId="34F54839" w14:textId="77777777" w:rsidR="0048174A" w:rsidRDefault="0048174A" w:rsidP="006D55DF">
      <w:pPr>
        <w:pStyle w:val="FootnoteText"/>
      </w:pPr>
      <w:r w:rsidRPr="006D55DF">
        <w:rPr>
          <w:rStyle w:val="FootnoteReference"/>
        </w:rPr>
        <w:footnoteRef/>
      </w:r>
      <w:r>
        <w:tab/>
        <w:t>The thinking behind this section is based on a draft discussion document “</w:t>
      </w:r>
      <w:r w:rsidRPr="00137076">
        <w:t>Shared Electronic Health Records: Safe Sharing to Support Trust. A Discussion Document</w:t>
      </w:r>
      <w:r>
        <w:t xml:space="preserve">”. If you would like a copy of this document please contact </w:t>
      </w:r>
      <w:hyperlink r:id="rId14" w:history="1">
        <w:r w:rsidRPr="0037087F">
          <w:rPr>
            <w:rStyle w:val="Hyperlink"/>
          </w:rPr>
          <w:t>standards@moh.govt.nz</w:t>
        </w:r>
      </w:hyperlink>
      <w:r>
        <w:t xml:space="preserve"> and request a copy.</w:t>
      </w:r>
    </w:p>
  </w:footnote>
  <w:footnote w:id="44">
    <w:p w14:paraId="40E08E1F" w14:textId="779D5F9D" w:rsidR="0048174A" w:rsidRDefault="0048174A" w:rsidP="00CC5222">
      <w:pPr>
        <w:pStyle w:val="FootnoteText"/>
      </w:pPr>
      <w:r w:rsidRPr="00CC5222">
        <w:rPr>
          <w:rStyle w:val="FootnoteReference"/>
        </w:rPr>
        <w:footnoteRef/>
      </w:r>
      <w:r>
        <w:tab/>
        <w:t xml:space="preserve">Information taken from Office of the Privacy Commissioner website </w:t>
      </w:r>
      <w:r w:rsidRPr="004F445F">
        <w:t>https://www.privacy.org.nz/further-resources/knowledge-base/view/374?t=59769_77235</w:t>
      </w:r>
      <w:r w:rsidRPr="004F445F" w:rsidDel="004F445F">
        <w:t xml:space="preserve"> </w:t>
      </w:r>
    </w:p>
  </w:footnote>
  <w:footnote w:id="45">
    <w:p w14:paraId="01B905D2" w14:textId="77777777" w:rsidR="0048174A" w:rsidRDefault="0048174A" w:rsidP="00CC5222">
      <w:pPr>
        <w:pStyle w:val="FootnoteText"/>
      </w:pPr>
      <w:r w:rsidRPr="00CC5222">
        <w:rPr>
          <w:rStyle w:val="FootnoteReference"/>
        </w:rPr>
        <w:footnoteRef/>
      </w:r>
      <w:r>
        <w:tab/>
        <w:t>See Appendix 1 for an overview of all relevant legislation relating to the Health and Disability Sector.</w:t>
      </w:r>
    </w:p>
  </w:footnote>
  <w:footnote w:id="46">
    <w:p w14:paraId="3220F280" w14:textId="77777777" w:rsidR="0048174A" w:rsidRDefault="0048174A" w:rsidP="00CC5222">
      <w:pPr>
        <w:pStyle w:val="FootnoteText"/>
      </w:pPr>
      <w:r w:rsidRPr="00CC5222">
        <w:rPr>
          <w:rStyle w:val="FootnoteReference"/>
        </w:rPr>
        <w:footnoteRef/>
      </w:r>
      <w:r>
        <w:tab/>
        <w:t xml:space="preserve">Rules 10 (and 11) Health Information Privacy Code 1994. </w:t>
      </w:r>
      <w:r w:rsidRPr="00FC4C1A">
        <w:t xml:space="preserve">For further information see Privacy Escalation Ladder – Appendix </w:t>
      </w:r>
      <w:r>
        <w:t>Four.</w:t>
      </w:r>
    </w:p>
  </w:footnote>
  <w:footnote w:id="47">
    <w:p w14:paraId="3503EE99" w14:textId="77777777" w:rsidR="0048174A" w:rsidRDefault="0048174A" w:rsidP="00CC5222">
      <w:pPr>
        <w:pStyle w:val="FootnoteText"/>
      </w:pPr>
      <w:r w:rsidRPr="00CC5222">
        <w:rPr>
          <w:rStyle w:val="FootnoteReference"/>
        </w:rPr>
        <w:footnoteRef/>
      </w:r>
      <w:r>
        <w:tab/>
        <w:t>Section 22H Health Act 1956.</w:t>
      </w:r>
    </w:p>
  </w:footnote>
  <w:footnote w:id="48">
    <w:p w14:paraId="72E522BE" w14:textId="77777777" w:rsidR="0048174A" w:rsidRDefault="0048174A" w:rsidP="00CC5222">
      <w:pPr>
        <w:pStyle w:val="FootnoteText"/>
      </w:pPr>
      <w:r w:rsidRPr="00CC5222">
        <w:rPr>
          <w:rStyle w:val="FootnoteReference"/>
        </w:rPr>
        <w:footnoteRef/>
      </w:r>
      <w:r>
        <w:tab/>
        <w:t xml:space="preserve">For further information on access control requirements see the Health Information Security Framework. </w:t>
      </w:r>
      <w:hyperlink r:id="rId15" w:history="1">
        <w:r w:rsidRPr="006F1127">
          <w:rPr>
            <w:rStyle w:val="Hyperlink"/>
          </w:rPr>
          <w:t>http://healthitboard.health.govt.nz/hiso-10029-health-information-security-framework</w:t>
        </w:r>
      </w:hyperlink>
    </w:p>
  </w:footnote>
  <w:footnote w:id="49">
    <w:p w14:paraId="5B72D7F2" w14:textId="2E7485E6" w:rsidR="0048174A" w:rsidRDefault="0048174A" w:rsidP="00CC5222">
      <w:pPr>
        <w:pStyle w:val="FootnoteText"/>
      </w:pPr>
      <w:r w:rsidRPr="00CC5222">
        <w:rPr>
          <w:rStyle w:val="FootnoteReference"/>
        </w:rPr>
        <w:footnoteRef/>
      </w:r>
      <w:r>
        <w:tab/>
        <w:t>Rules 10(1</w:t>
      </w:r>
      <w:proofErr w:type="gramStart"/>
      <w:r>
        <w:t>)(</w:t>
      </w:r>
      <w:proofErr w:type="gramEnd"/>
      <w:r>
        <w:t>d) and 11(2)(d) HIPC.</w:t>
      </w:r>
    </w:p>
  </w:footnote>
  <w:footnote w:id="50">
    <w:p w14:paraId="5FD341BE" w14:textId="77777777" w:rsidR="0048174A" w:rsidRDefault="0048174A" w:rsidP="00CC5222">
      <w:pPr>
        <w:pStyle w:val="FootnoteText"/>
      </w:pPr>
      <w:r w:rsidRPr="00CC5222">
        <w:rPr>
          <w:rStyle w:val="FootnoteReference"/>
        </w:rPr>
        <w:footnoteRef/>
      </w:r>
      <w:r>
        <w:tab/>
        <w:t>Section 22F Health Act 1956 and Rule 4(b) Health Information Privacy Code 1994.</w:t>
      </w:r>
    </w:p>
  </w:footnote>
  <w:footnote w:id="51">
    <w:p w14:paraId="468E0644" w14:textId="3B1418F8" w:rsidR="0048174A" w:rsidRDefault="0048174A" w:rsidP="00CC5222">
      <w:pPr>
        <w:pStyle w:val="FootnoteText"/>
      </w:pPr>
      <w:r w:rsidRPr="00CC5222">
        <w:rPr>
          <w:rStyle w:val="FootnoteReference"/>
        </w:rPr>
        <w:footnoteRef/>
      </w:r>
      <w:r>
        <w:tab/>
        <w:t>Rule 11(1</w:t>
      </w:r>
      <w:proofErr w:type="gramStart"/>
      <w:r>
        <w:t>)(</w:t>
      </w:r>
      <w:proofErr w:type="gramEnd"/>
      <w:r>
        <w:t>e) HIPC.</w:t>
      </w:r>
    </w:p>
  </w:footnote>
  <w:footnote w:id="52">
    <w:p w14:paraId="51933C4A" w14:textId="0CDB89E7" w:rsidR="0048174A" w:rsidRDefault="0048174A" w:rsidP="00CC5222">
      <w:pPr>
        <w:pStyle w:val="FootnoteText"/>
      </w:pPr>
      <w:r w:rsidRPr="00CC5222">
        <w:rPr>
          <w:rStyle w:val="FootnoteReference"/>
        </w:rPr>
        <w:footnoteRef/>
      </w:r>
      <w:r>
        <w:tab/>
        <w:t>Rule 11(2</w:t>
      </w:r>
      <w:proofErr w:type="gramStart"/>
      <w:r>
        <w:t>)(</w:t>
      </w:r>
      <w:proofErr w:type="gramEnd"/>
      <w:r>
        <w:t>c) HIPC.</w:t>
      </w:r>
    </w:p>
  </w:footnote>
  <w:footnote w:id="53">
    <w:p w14:paraId="187CB7B4" w14:textId="5D460A2E" w:rsidR="0048174A" w:rsidRDefault="0048174A" w:rsidP="00CC5222">
      <w:pPr>
        <w:pStyle w:val="FootnoteText"/>
      </w:pPr>
      <w:r w:rsidRPr="00CC5222">
        <w:rPr>
          <w:rStyle w:val="FootnoteReference"/>
        </w:rPr>
        <w:footnoteRef/>
      </w:r>
      <w:r>
        <w:tab/>
        <w:t>Where a health agency receives a complaint about a breach, they are required to acknowledge the complaint within five working days. Within 10 days after that they must decide whether they accept or reject the complaint, or determine if more time is needed to investigate the complaint. Section 7 HIPC 1994.</w:t>
      </w:r>
    </w:p>
  </w:footnote>
  <w:footnote w:id="54">
    <w:p w14:paraId="03A03F8C" w14:textId="6B6A0CEF" w:rsidR="0048174A" w:rsidRDefault="0048174A" w:rsidP="00AA49C0">
      <w:pPr>
        <w:pStyle w:val="FootnoteText"/>
      </w:pPr>
      <w:r w:rsidRPr="00AA49C0">
        <w:rPr>
          <w:rStyle w:val="FootnoteReference"/>
        </w:rPr>
        <w:footnoteRef/>
      </w:r>
      <w:r>
        <w:tab/>
        <w:t xml:space="preserve">Refer HISO Standards – </w:t>
      </w:r>
      <w:r w:rsidRPr="00BE5044">
        <w:t>http://www.health.govt.nz/publication/hiso-100292015-health-information-security-framework</w:t>
      </w:r>
    </w:p>
  </w:footnote>
  <w:footnote w:id="55">
    <w:p w14:paraId="35B29874" w14:textId="77777777" w:rsidR="0048174A" w:rsidRDefault="0048174A" w:rsidP="00AA49C0">
      <w:pPr>
        <w:pStyle w:val="FootnoteText"/>
      </w:pPr>
      <w:r w:rsidRPr="00AA49C0">
        <w:rPr>
          <w:rStyle w:val="FootnoteReference"/>
        </w:rPr>
        <w:footnoteRef/>
      </w:r>
      <w:r>
        <w:tab/>
      </w:r>
      <w:r w:rsidRPr="00BE7804">
        <w:t>CAB-16-MIN-0316</w:t>
      </w:r>
    </w:p>
  </w:footnote>
  <w:footnote w:id="56">
    <w:p w14:paraId="1F8F75A1" w14:textId="77777777" w:rsidR="0048174A" w:rsidRDefault="0048174A" w:rsidP="00AA49C0">
      <w:pPr>
        <w:pStyle w:val="FootnoteText"/>
      </w:pPr>
      <w:r w:rsidRPr="00AA49C0">
        <w:rPr>
          <w:rStyle w:val="FootnoteReference"/>
        </w:rPr>
        <w:footnoteRef/>
      </w:r>
      <w:r>
        <w:tab/>
        <w:t>See Appendix 1 for an overview of all relevant legislation relating to the Health and Disability Sector.</w:t>
      </w:r>
    </w:p>
  </w:footnote>
  <w:footnote w:id="57">
    <w:p w14:paraId="5DA07302" w14:textId="77777777" w:rsidR="0048174A" w:rsidRDefault="0048174A" w:rsidP="00AA49C0">
      <w:pPr>
        <w:pStyle w:val="FootnoteText"/>
      </w:pPr>
      <w:r w:rsidRPr="00AA49C0">
        <w:rPr>
          <w:rStyle w:val="FootnoteReference"/>
        </w:rPr>
        <w:footnoteRef/>
      </w:r>
      <w:r>
        <w:tab/>
        <w:t xml:space="preserve">Rules 10 (and 11) Health Information Privacy Code 1994. </w:t>
      </w:r>
      <w:r w:rsidRPr="00FC4C1A">
        <w:t xml:space="preserve">For further information see Privacy Escalation Ladder – Appendix </w:t>
      </w:r>
      <w:r>
        <w:t>Four.</w:t>
      </w:r>
    </w:p>
  </w:footnote>
  <w:footnote w:id="58">
    <w:p w14:paraId="6F69058A" w14:textId="77777777" w:rsidR="0048174A" w:rsidRDefault="0048174A" w:rsidP="00593B5E">
      <w:pPr>
        <w:pStyle w:val="FootnoteText"/>
      </w:pPr>
      <w:r w:rsidRPr="00593B5E">
        <w:rPr>
          <w:rStyle w:val="FootnoteReference"/>
        </w:rPr>
        <w:footnoteRef/>
      </w:r>
      <w:r>
        <w:tab/>
        <w:t xml:space="preserve">Available at </w:t>
      </w:r>
      <w:hyperlink r:id="rId16" w:history="1">
        <w:r w:rsidRPr="00BD4DAB">
          <w:rPr>
            <w:rStyle w:val="Hyperlink"/>
          </w:rPr>
          <w:t>http://privacy.org.nz/assets/Files/Codes-of-Practice-materials/HIPC-1994-incl.-amendments-revised-commentary.pdf</w:t>
        </w:r>
      </w:hyperlink>
    </w:p>
  </w:footnote>
  <w:footnote w:id="59">
    <w:p w14:paraId="2B067BF7" w14:textId="77777777" w:rsidR="0048174A" w:rsidRDefault="0048174A" w:rsidP="00593B5E">
      <w:pPr>
        <w:pStyle w:val="FootnoteText"/>
      </w:pPr>
      <w:r w:rsidRPr="00593B5E">
        <w:rPr>
          <w:rStyle w:val="FootnoteReference"/>
        </w:rPr>
        <w:footnoteRef/>
      </w:r>
      <w:r>
        <w:tab/>
        <w:t>Health (Retention of Health Information) Regulations 1996.</w:t>
      </w:r>
    </w:p>
  </w:footnote>
  <w:footnote w:id="60">
    <w:p w14:paraId="32CE7DE2" w14:textId="77777777" w:rsidR="0048174A" w:rsidRDefault="0048174A" w:rsidP="00593B5E">
      <w:pPr>
        <w:pStyle w:val="FootnoteText"/>
      </w:pPr>
      <w:r w:rsidRPr="00593B5E">
        <w:rPr>
          <w:rStyle w:val="FootnoteReference"/>
        </w:rPr>
        <w:footnoteRef/>
      </w:r>
      <w:r>
        <w:tab/>
        <w:t>Section 9(2</w:t>
      </w:r>
      <w:proofErr w:type="gramStart"/>
      <w:r>
        <w:t>)(</w:t>
      </w:r>
      <w:proofErr w:type="gramEnd"/>
      <w:r>
        <w:t>a), Official Information Act 1982.</w:t>
      </w:r>
    </w:p>
  </w:footnote>
  <w:footnote w:id="61">
    <w:p w14:paraId="36C0280F" w14:textId="77777777" w:rsidR="0048174A" w:rsidRDefault="0048174A" w:rsidP="00593B5E">
      <w:pPr>
        <w:pStyle w:val="FootnoteText"/>
      </w:pPr>
      <w:r w:rsidRPr="00593B5E">
        <w:rPr>
          <w:rStyle w:val="FootnoteReference"/>
        </w:rPr>
        <w:footnoteRef/>
      </w:r>
      <w:r>
        <w:tab/>
        <w:t>Section 22C Health Act 1956.</w:t>
      </w:r>
    </w:p>
  </w:footnote>
  <w:footnote w:id="62">
    <w:p w14:paraId="04CDA2F1" w14:textId="77777777" w:rsidR="0048174A" w:rsidRDefault="0048174A" w:rsidP="00593B5E">
      <w:pPr>
        <w:pStyle w:val="FootnoteText"/>
      </w:pPr>
      <w:r w:rsidRPr="00593B5E">
        <w:rPr>
          <w:rStyle w:val="FootnoteReference"/>
        </w:rPr>
        <w:footnoteRef/>
      </w:r>
      <w:r>
        <w:tab/>
        <w:t>Section 22F, Health Act 1956 (see also rule 11(4) of the HIPC).</w:t>
      </w:r>
    </w:p>
  </w:footnote>
  <w:footnote w:id="63">
    <w:p w14:paraId="5FF0A2B5" w14:textId="77777777" w:rsidR="0048174A" w:rsidRDefault="0048174A" w:rsidP="00593B5E">
      <w:pPr>
        <w:pStyle w:val="FootnoteText"/>
      </w:pPr>
      <w:r w:rsidRPr="00593B5E">
        <w:rPr>
          <w:rStyle w:val="FootnoteReference"/>
        </w:rPr>
        <w:footnoteRef/>
      </w:r>
      <w:r>
        <w:tab/>
        <w:t>Section 22H Health Act 1956.</w:t>
      </w:r>
    </w:p>
  </w:footnote>
  <w:footnote w:id="64">
    <w:p w14:paraId="774FC7F6" w14:textId="77777777" w:rsidR="0048174A" w:rsidRDefault="0048174A" w:rsidP="00477379">
      <w:pPr>
        <w:pStyle w:val="FootnoteText"/>
      </w:pPr>
      <w:r>
        <w:rPr>
          <w:rStyle w:val="FootnoteReference"/>
        </w:rPr>
        <w:footnoteRef/>
      </w:r>
      <w:r>
        <w:t xml:space="preserve"> </w:t>
      </w:r>
      <w:r>
        <w:tab/>
        <w:t xml:space="preserve">NB: These two Acts, </w:t>
      </w:r>
      <w:proofErr w:type="spellStart"/>
      <w:r>
        <w:t>Oranga</w:t>
      </w:r>
      <w:proofErr w:type="spellEnd"/>
      <w:r>
        <w:t xml:space="preserve"> Tamariki Act 1989 and Child’s and Young Person’s Well-being Act 1989 are the same Act. In this document references to the Act will use the </w:t>
      </w:r>
      <w:proofErr w:type="spellStart"/>
      <w:proofErr w:type="gramStart"/>
      <w:r>
        <w:t>te</w:t>
      </w:r>
      <w:proofErr w:type="spellEnd"/>
      <w:proofErr w:type="gramEnd"/>
      <w:r>
        <w:t xml:space="preserve"> Reo title </w:t>
      </w:r>
      <w:proofErr w:type="spellStart"/>
      <w:r>
        <w:t>Oranga</w:t>
      </w:r>
      <w:proofErr w:type="spellEnd"/>
      <w:r>
        <w:t xml:space="preserve"> Tamariki Act 1989.</w:t>
      </w:r>
    </w:p>
  </w:footnote>
  <w:footnote w:id="65">
    <w:p w14:paraId="4AB70F19" w14:textId="77777777" w:rsidR="0048174A" w:rsidRDefault="0048174A" w:rsidP="00477379">
      <w:pPr>
        <w:pStyle w:val="FootnoteText"/>
      </w:pPr>
      <w:r w:rsidRPr="00593B5E">
        <w:rPr>
          <w:rStyle w:val="FootnoteReference"/>
        </w:rPr>
        <w:footnoteRef/>
      </w:r>
      <w:r>
        <w:tab/>
        <w:t xml:space="preserve">Sections 15-16, </w:t>
      </w:r>
      <w:proofErr w:type="spellStart"/>
      <w:r>
        <w:t>Oranga</w:t>
      </w:r>
      <w:proofErr w:type="spellEnd"/>
      <w:r>
        <w:t xml:space="preserve"> Tamariki Act 1989.</w:t>
      </w:r>
    </w:p>
  </w:footnote>
  <w:footnote w:id="66">
    <w:p w14:paraId="6BCAFDAF" w14:textId="77777777" w:rsidR="0048174A" w:rsidRDefault="0048174A" w:rsidP="00477379">
      <w:pPr>
        <w:pStyle w:val="FootnoteText"/>
      </w:pPr>
      <w:r>
        <w:rPr>
          <w:rStyle w:val="FootnoteReference"/>
        </w:rPr>
        <w:footnoteRef/>
      </w:r>
      <w:r>
        <w:t xml:space="preserve"> </w:t>
      </w:r>
      <w:r>
        <w:tab/>
        <w:t xml:space="preserve">Section 41, </w:t>
      </w:r>
      <w:r w:rsidRPr="007B2021">
        <w:t>Children, Young Persons, and Their Families (</w:t>
      </w:r>
      <w:proofErr w:type="spellStart"/>
      <w:r w:rsidRPr="007B2021">
        <w:t>Oranga</w:t>
      </w:r>
      <w:proofErr w:type="spellEnd"/>
      <w:r w:rsidRPr="007B2021">
        <w:t xml:space="preserve"> Tamariki) Legislation Act 2017</w:t>
      </w:r>
      <w:r>
        <w:t xml:space="preserve">. </w:t>
      </w:r>
    </w:p>
  </w:footnote>
  <w:footnote w:id="67">
    <w:p w14:paraId="182C443C" w14:textId="77777777" w:rsidR="0048174A" w:rsidRDefault="0048174A" w:rsidP="00593B5E">
      <w:pPr>
        <w:pStyle w:val="FootnoteText"/>
      </w:pPr>
      <w:r w:rsidRPr="00593B5E">
        <w:rPr>
          <w:rStyle w:val="FootnoteReference"/>
        </w:rPr>
        <w:footnoteRef/>
      </w:r>
      <w:r>
        <w:tab/>
        <w:t>Version 2, July 2013. Published by the Institute of IT Professionals NZ.</w:t>
      </w:r>
    </w:p>
  </w:footnote>
  <w:footnote w:id="68">
    <w:p w14:paraId="75425E74" w14:textId="77777777" w:rsidR="0048174A" w:rsidRDefault="0048174A" w:rsidP="00593B5E">
      <w:pPr>
        <w:pStyle w:val="FootnoteText"/>
      </w:pPr>
      <w:r w:rsidRPr="00593B5E">
        <w:rPr>
          <w:rStyle w:val="FootnoteReference"/>
        </w:rPr>
        <w:footnoteRef/>
      </w:r>
      <w:r>
        <w:tab/>
        <w:t>NZS 8153:2002 NZS Health Records</w:t>
      </w:r>
    </w:p>
  </w:footnote>
  <w:footnote w:id="69">
    <w:p w14:paraId="0E2E6BE0" w14:textId="77777777" w:rsidR="0048174A" w:rsidRDefault="0048174A" w:rsidP="00593B5E">
      <w:pPr>
        <w:pStyle w:val="FootnoteText"/>
      </w:pPr>
      <w:r w:rsidRPr="00593B5E">
        <w:rPr>
          <w:rStyle w:val="FootnoteReference"/>
        </w:rPr>
        <w:footnoteRef/>
      </w:r>
      <w:r>
        <w:tab/>
        <w:t xml:space="preserve">Above footnote </w:t>
      </w:r>
      <w:r>
        <w:fldChar w:fldCharType="begin"/>
      </w:r>
      <w:r>
        <w:instrText xml:space="preserve"> NOTEREF _Ref489842628 \h </w:instrText>
      </w:r>
      <w:r>
        <w:fldChar w:fldCharType="separate"/>
      </w:r>
      <w:r>
        <w:t>68</w:t>
      </w:r>
      <w:r>
        <w:fldChar w:fldCharType="end"/>
      </w:r>
      <w:r>
        <w:t>.</w:t>
      </w:r>
    </w:p>
  </w:footnote>
  <w:footnote w:id="70">
    <w:p w14:paraId="25ED1ADC" w14:textId="77777777" w:rsidR="0048174A" w:rsidRDefault="0048174A">
      <w:pPr>
        <w:pStyle w:val="FootnoteText"/>
      </w:pPr>
      <w:r>
        <w:rPr>
          <w:rStyle w:val="FootnoteReference"/>
        </w:rPr>
        <w:footnoteRef/>
      </w:r>
      <w:r>
        <w:tab/>
        <w:t>NZS 8153:2002 NZS Health Records, Information Privacy Code 1994</w:t>
      </w:r>
    </w:p>
  </w:footnote>
  <w:footnote w:id="71">
    <w:p w14:paraId="142C4364" w14:textId="47EA46FF" w:rsidR="0048174A" w:rsidRDefault="0048174A" w:rsidP="00011AC7">
      <w:pPr>
        <w:pStyle w:val="FootnoteText"/>
      </w:pPr>
      <w:r w:rsidRPr="00690695">
        <w:rPr>
          <w:rStyle w:val="FootnoteReference"/>
        </w:rPr>
        <w:footnoteRef/>
      </w:r>
      <w:r>
        <w:tab/>
        <w:t xml:space="preserve">For example, </w:t>
      </w:r>
      <w:r w:rsidRPr="00D14AE8">
        <w:t>for funding validation, communicable disease notification, and quality improvement.</w:t>
      </w:r>
    </w:p>
  </w:footnote>
  <w:footnote w:id="72">
    <w:p w14:paraId="0122022A" w14:textId="01B28287" w:rsidR="0048174A" w:rsidRDefault="0048174A" w:rsidP="00690695">
      <w:pPr>
        <w:pStyle w:val="FootnoteText"/>
      </w:pPr>
      <w:r w:rsidRPr="00690695">
        <w:rPr>
          <w:rStyle w:val="FootnoteReference"/>
        </w:rPr>
        <w:footnoteRef/>
      </w:r>
      <w:r>
        <w:tab/>
        <w:t xml:space="preserve">The opening paragraphs draw largely on the recent governance review undertaken in the UK. “Information: To share or not to share? The Information Governance Review”, UK </w:t>
      </w:r>
      <w:r w:rsidRPr="00891421">
        <w:t>March 2013</w:t>
      </w:r>
      <w:r>
        <w:t>.</w:t>
      </w:r>
    </w:p>
  </w:footnote>
  <w:footnote w:id="73">
    <w:p w14:paraId="10B9A687" w14:textId="77777777" w:rsidR="0048174A" w:rsidRDefault="0048174A" w:rsidP="00690695">
      <w:pPr>
        <w:pStyle w:val="FootnoteText"/>
      </w:pPr>
      <w:r w:rsidRPr="00690695">
        <w:rPr>
          <w:rStyle w:val="FootnoteReference"/>
        </w:rPr>
        <w:footnoteRef/>
      </w:r>
      <w:r>
        <w:tab/>
        <w:t>Any information about the health of an identifiable consumer or patient.</w:t>
      </w:r>
    </w:p>
  </w:footnote>
  <w:footnote w:id="74">
    <w:p w14:paraId="3D365566" w14:textId="743A42C2" w:rsidR="0048174A" w:rsidRPr="000B30B9" w:rsidRDefault="0048174A" w:rsidP="000F3B3C">
      <w:pPr>
        <w:pStyle w:val="FootnoteText"/>
      </w:pPr>
      <w:r w:rsidRPr="000F3B3C">
        <w:rPr>
          <w:rStyle w:val="FootnoteReference"/>
        </w:rPr>
        <w:footnoteRef/>
      </w:r>
      <w:r>
        <w:tab/>
      </w:r>
      <w:r w:rsidRPr="000B30B9">
        <w:t>See Rule 11(1</w:t>
      </w:r>
      <w:proofErr w:type="gramStart"/>
      <w:r w:rsidRPr="000B30B9">
        <w:t>)(</w:t>
      </w:r>
      <w:proofErr w:type="gramEnd"/>
      <w:r w:rsidRPr="000B30B9">
        <w:t>e) of the Health Information Privacy Code 1994</w:t>
      </w:r>
      <w:r>
        <w:t>.</w:t>
      </w:r>
    </w:p>
  </w:footnote>
  <w:footnote w:id="75">
    <w:p w14:paraId="6876EC8D" w14:textId="77777777" w:rsidR="0048174A" w:rsidRDefault="0048174A" w:rsidP="000F3B3C">
      <w:pPr>
        <w:pStyle w:val="FootnoteText"/>
      </w:pPr>
      <w:r w:rsidRPr="000F3B3C">
        <w:rPr>
          <w:rStyle w:val="FootnoteReference"/>
        </w:rPr>
        <w:footnoteRef/>
      </w:r>
      <w:r>
        <w:tab/>
        <w:t>Section 22 H Health Act 1956 and Rule 11 of the Health Information Privacy Code 1993.</w:t>
      </w:r>
    </w:p>
  </w:footnote>
  <w:footnote w:id="76">
    <w:p w14:paraId="1FB309A0" w14:textId="6216CD7F" w:rsidR="0048174A" w:rsidRDefault="0048174A">
      <w:pPr>
        <w:pStyle w:val="FootnoteText"/>
      </w:pPr>
      <w:r>
        <w:rPr>
          <w:rStyle w:val="FootnoteReference"/>
        </w:rPr>
        <w:footnoteRef/>
      </w:r>
      <w:r>
        <w:t xml:space="preserve"> </w:t>
      </w:r>
      <w:r>
        <w:tab/>
      </w:r>
      <w:r w:rsidRPr="004B3BB1">
        <w:t>http://www.health.govt.nz/publication/hiso-100292015-health-information-security-framework</w:t>
      </w:r>
    </w:p>
  </w:footnote>
  <w:footnote w:id="77">
    <w:p w14:paraId="6B5263CC" w14:textId="77777777" w:rsidR="0048174A" w:rsidRDefault="0048174A" w:rsidP="000D73BE">
      <w:pPr>
        <w:pStyle w:val="FootnoteText"/>
      </w:pPr>
      <w:r w:rsidRPr="000D73BE">
        <w:rPr>
          <w:rStyle w:val="FootnoteReference"/>
        </w:rPr>
        <w:footnoteRef/>
      </w:r>
      <w:r>
        <w:tab/>
        <w:t xml:space="preserve">Extract taken from the Office of the Privacy Commissioner’s handbook: Privacy Impact Assessment Handbook. Section 4 “Why undertake Privacy Impact Assessment? </w:t>
      </w:r>
      <w:r w:rsidRPr="00A0325A">
        <w:t>https://privacy.org.nz/news-and-publications/guidance-resources/privacy-impact-assessment-handbook/</w:t>
      </w:r>
    </w:p>
  </w:footnote>
  <w:footnote w:id="78">
    <w:p w14:paraId="52CB6AF7" w14:textId="77777777" w:rsidR="0048174A" w:rsidRDefault="0048174A" w:rsidP="000D73BE">
      <w:pPr>
        <w:pStyle w:val="FootnoteText"/>
      </w:pPr>
      <w:r w:rsidRPr="000D73BE">
        <w:rPr>
          <w:rStyle w:val="FootnoteReference"/>
        </w:rPr>
        <w:footnoteRef/>
      </w:r>
      <w:r>
        <w:tab/>
        <w:t>Ministry for Primary Industries. Privacy Impact Assessment Guide, August 2014.</w:t>
      </w:r>
    </w:p>
  </w:footnote>
  <w:footnote w:id="79">
    <w:p w14:paraId="60D36842" w14:textId="77777777" w:rsidR="0048174A" w:rsidRDefault="0048174A" w:rsidP="000D73BE">
      <w:pPr>
        <w:pStyle w:val="FootnoteText"/>
      </w:pPr>
      <w:r w:rsidRPr="000D73BE">
        <w:rPr>
          <w:rStyle w:val="FootnoteReference"/>
        </w:rPr>
        <w:footnoteRef/>
      </w:r>
      <w:r>
        <w:tab/>
        <w:t xml:space="preserve">This is a summary of the purposes for obtaining information under section 11 of the Social Security Act 1964. To view the section go to </w:t>
      </w:r>
      <w:hyperlink r:id="rId17" w:history="1">
        <w:r w:rsidRPr="00B77244">
          <w:rPr>
            <w:rStyle w:val="Hyperlink"/>
          </w:rPr>
          <w:t>http://www.legislation.govt.nz/act/public/1964/0136/latest/DLM360781.html?search=ts_act%40bill%40regulation%40deemedreg_social+security+act_resel_25_a&amp;p=1</w:t>
        </w:r>
      </w:hyperlink>
    </w:p>
  </w:footnote>
  <w:footnote w:id="80">
    <w:p w14:paraId="2953A6B6" w14:textId="77777777" w:rsidR="0048174A" w:rsidRDefault="0048174A" w:rsidP="000D73BE">
      <w:pPr>
        <w:pStyle w:val="FootnoteText"/>
      </w:pPr>
      <w:r w:rsidRPr="000D73BE">
        <w:rPr>
          <w:rStyle w:val="FootnoteReference"/>
        </w:rPr>
        <w:footnoteRef/>
      </w:r>
      <w:r>
        <w:tab/>
        <w:t xml:space="preserve">A copy of the Code of Conduct can be found at </w:t>
      </w:r>
      <w:hyperlink r:id="rId18" w:history="1">
        <w:r w:rsidRPr="00B77244">
          <w:rPr>
            <w:rStyle w:val="Hyperlink"/>
          </w:rPr>
          <w:t>https://www.msd.govt.nz/documents/about-msd-and-our-work/about-msd/legislation/code-of-conduct-section-11-ssa.pdf</w:t>
        </w:r>
      </w:hyperlink>
    </w:p>
  </w:footnote>
  <w:footnote w:id="81">
    <w:p w14:paraId="092F5BD4" w14:textId="77777777" w:rsidR="0048174A" w:rsidRDefault="0048174A" w:rsidP="00244B34">
      <w:pPr>
        <w:pStyle w:val="FootnoteText"/>
      </w:pPr>
      <w:r w:rsidRPr="00244B34">
        <w:rPr>
          <w:rStyle w:val="FootnoteReference"/>
        </w:rPr>
        <w:footnoteRef/>
      </w:r>
      <w:r>
        <w:tab/>
        <w:t xml:space="preserve">This is a summary of section 22F. To view the section in full go to </w:t>
      </w:r>
      <w:hyperlink r:id="rId19" w:history="1">
        <w:r w:rsidRPr="00B77244">
          <w:rPr>
            <w:rStyle w:val="Hyperlink"/>
          </w:rPr>
          <w:t>http://www.legislation.govt.nz/act/public/1956/0065/latest/DLM306662.html</w:t>
        </w:r>
      </w:hyperlink>
      <w:r>
        <w:t xml:space="preserve"> </w:t>
      </w:r>
    </w:p>
  </w:footnote>
  <w:footnote w:id="82">
    <w:p w14:paraId="78E280F8" w14:textId="77777777" w:rsidR="0048174A" w:rsidRDefault="0048174A" w:rsidP="00244B34">
      <w:pPr>
        <w:pStyle w:val="FootnoteText"/>
      </w:pPr>
      <w:r w:rsidRPr="00244B34">
        <w:rPr>
          <w:rStyle w:val="FootnoteReference"/>
        </w:rPr>
        <w:footnoteRef/>
      </w:r>
      <w:r>
        <w:tab/>
        <w:t xml:space="preserve">This is a summary of Section 17.of the Tax Administration Act 1994. To view the section go to </w:t>
      </w:r>
      <w:r w:rsidRPr="004A09D9">
        <w:t>http://www.legislation.govt.nz/act/public/1956/0065/latest/DLM306649.html</w:t>
      </w:r>
    </w:p>
  </w:footnote>
  <w:footnote w:id="83">
    <w:p w14:paraId="1AF71F05" w14:textId="77777777" w:rsidR="0048174A" w:rsidRDefault="0048174A" w:rsidP="00477379">
      <w:pPr>
        <w:pStyle w:val="FootnoteText"/>
      </w:pPr>
      <w:r>
        <w:rPr>
          <w:rStyle w:val="FootnoteReference"/>
        </w:rPr>
        <w:footnoteRef/>
      </w:r>
      <w:r>
        <w:t xml:space="preserve"> </w:t>
      </w:r>
      <w:r>
        <w:tab/>
        <w:t xml:space="preserve">Section 41, </w:t>
      </w:r>
      <w:r w:rsidRPr="00384CF4">
        <w:t>Children, Young Persons, and Their Families (</w:t>
      </w:r>
      <w:proofErr w:type="spellStart"/>
      <w:r w:rsidRPr="00384CF4">
        <w:t>Oranga</w:t>
      </w:r>
      <w:proofErr w:type="spellEnd"/>
      <w:r w:rsidRPr="00384CF4">
        <w:t xml:space="preserve"> Tamariki) Legislation Act 2017</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4CE57" w14:textId="77777777" w:rsidR="004B7BC2" w:rsidRDefault="004B7B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23B60" w14:textId="5AE57906" w:rsidR="0048174A" w:rsidRDefault="0048174A" w:rsidP="00C91366">
    <w:pPr>
      <w:pStyle w:val="Header"/>
      <w:jc w:val="right"/>
    </w:pPr>
    <w:r>
      <w:rPr>
        <w:noProof/>
        <w:lang w:eastAsia="en-NZ"/>
      </w:rPr>
      <w:drawing>
        <wp:inline distT="0" distB="0" distL="0" distR="0" wp14:anchorId="3060CBE0" wp14:editId="0C7A0B0C">
          <wp:extent cx="3633228" cy="828135"/>
          <wp:effectExtent l="0" t="0" r="571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60836" cy="834428"/>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40576" w14:textId="77777777" w:rsidR="004B7BC2" w:rsidRDefault="004B7BC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4AE8B" w14:textId="77777777" w:rsidR="0048174A" w:rsidRDefault="0048174A" w:rsidP="00533B9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B4570" w14:textId="77777777" w:rsidR="0048174A" w:rsidRDefault="0048174A" w:rsidP="009001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D0E10"/>
    <w:multiLevelType w:val="hybridMultilevel"/>
    <w:tmpl w:val="F5987686"/>
    <w:lvl w:ilvl="0" w:tplc="72221280">
      <w:start w:val="1"/>
      <w:numFmt w:val="lowerRoman"/>
      <w:lvlText w:val="%1."/>
      <w:lvlJc w:val="right"/>
      <w:pPr>
        <w:ind w:left="578" w:hanging="360"/>
      </w:pPr>
      <w:rPr>
        <w:b w:val="0"/>
      </w:rPr>
    </w:lvl>
    <w:lvl w:ilvl="1" w:tplc="458EA92E">
      <w:start w:val="1"/>
      <w:numFmt w:val="lowerRoman"/>
      <w:lvlText w:val="%2."/>
      <w:lvlJc w:val="left"/>
      <w:pPr>
        <w:ind w:left="1658" w:hanging="720"/>
      </w:pPr>
      <w:rPr>
        <w:rFonts w:hint="default"/>
      </w:rPr>
    </w:lvl>
    <w:lvl w:ilvl="2" w:tplc="2A94BDE6">
      <w:start w:val="1"/>
      <w:numFmt w:val="bullet"/>
      <w:lvlText w:val="-"/>
      <w:lvlJc w:val="left"/>
      <w:pPr>
        <w:ind w:left="2198" w:hanging="360"/>
      </w:pPr>
      <w:rPr>
        <w:rFonts w:ascii="Arial" w:eastAsiaTheme="minorEastAsia" w:hAnsi="Arial" w:cs="Arial" w:hint="default"/>
      </w:rPr>
    </w:lvl>
    <w:lvl w:ilvl="3" w:tplc="1409000F">
      <w:start w:val="1"/>
      <w:numFmt w:val="decimal"/>
      <w:lvlText w:val="%4."/>
      <w:lvlJc w:val="left"/>
      <w:pPr>
        <w:ind w:left="2738" w:hanging="360"/>
      </w:pPr>
    </w:lvl>
    <w:lvl w:ilvl="4" w:tplc="14090017">
      <w:start w:val="1"/>
      <w:numFmt w:val="lowerLetter"/>
      <w:lvlText w:val="%5)"/>
      <w:lvlJc w:val="left"/>
      <w:pPr>
        <w:ind w:left="3458" w:hanging="360"/>
      </w:pPr>
    </w:lvl>
    <w:lvl w:ilvl="5" w:tplc="1409001B" w:tentative="1">
      <w:start w:val="1"/>
      <w:numFmt w:val="lowerRoman"/>
      <w:lvlText w:val="%6."/>
      <w:lvlJc w:val="right"/>
      <w:pPr>
        <w:ind w:left="4178" w:hanging="180"/>
      </w:pPr>
    </w:lvl>
    <w:lvl w:ilvl="6" w:tplc="1409000F" w:tentative="1">
      <w:start w:val="1"/>
      <w:numFmt w:val="decimal"/>
      <w:lvlText w:val="%7."/>
      <w:lvlJc w:val="left"/>
      <w:pPr>
        <w:ind w:left="4898" w:hanging="360"/>
      </w:pPr>
    </w:lvl>
    <w:lvl w:ilvl="7" w:tplc="14090019" w:tentative="1">
      <w:start w:val="1"/>
      <w:numFmt w:val="lowerLetter"/>
      <w:lvlText w:val="%8."/>
      <w:lvlJc w:val="left"/>
      <w:pPr>
        <w:ind w:left="5618" w:hanging="360"/>
      </w:pPr>
    </w:lvl>
    <w:lvl w:ilvl="8" w:tplc="1409001B" w:tentative="1">
      <w:start w:val="1"/>
      <w:numFmt w:val="lowerRoman"/>
      <w:lvlText w:val="%9."/>
      <w:lvlJc w:val="right"/>
      <w:pPr>
        <w:ind w:left="6338" w:hanging="180"/>
      </w:pPr>
    </w:lvl>
  </w:abstractNum>
  <w:abstractNum w:abstractNumId="1">
    <w:nsid w:val="04241954"/>
    <w:multiLevelType w:val="hybridMultilevel"/>
    <w:tmpl w:val="E42868A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nsid w:val="08D2074D"/>
    <w:multiLevelType w:val="multilevel"/>
    <w:tmpl w:val="3DD6B540"/>
    <w:lvl w:ilvl="0">
      <w:start w:val="1"/>
      <w:numFmt w:val="decimal"/>
      <w:pStyle w:val="Heading1"/>
      <w:lvlText w:val="%1"/>
      <w:lvlJc w:val="left"/>
      <w:pPr>
        <w:ind w:left="851" w:hanging="851"/>
      </w:pPr>
      <w:rPr>
        <w:rFonts w:hint="default"/>
      </w:rPr>
    </w:lvl>
    <w:lvl w:ilvl="1">
      <w:start w:val="1"/>
      <w:numFmt w:val="decimal"/>
      <w:pStyle w:val="Heading2"/>
      <w:lvlText w:val="%1.%2"/>
      <w:lvlJc w:val="left"/>
      <w:pPr>
        <w:tabs>
          <w:tab w:val="num" w:pos="6804"/>
        </w:tabs>
        <w:ind w:left="6804" w:hanging="851"/>
      </w:pPr>
      <w:rPr>
        <w:rFonts w:hint="default"/>
      </w:rPr>
    </w:lvl>
    <w:lvl w:ilvl="2">
      <w:start w:val="1"/>
      <w:numFmt w:val="decimal"/>
      <w:pStyle w:val="Heading3"/>
      <w:lvlText w:val="%1.%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E2603D2"/>
    <w:multiLevelType w:val="hybridMultilevel"/>
    <w:tmpl w:val="98BA80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nsid w:val="100F3E09"/>
    <w:multiLevelType w:val="hybridMultilevel"/>
    <w:tmpl w:val="840893F2"/>
    <w:lvl w:ilvl="0" w:tplc="6D328FF8">
      <w:numFmt w:val="bullet"/>
      <w:lvlText w:val=""/>
      <w:lvlJc w:val="left"/>
      <w:pPr>
        <w:ind w:left="1080" w:hanging="360"/>
      </w:pPr>
      <w:rPr>
        <w:rFonts w:ascii="Symbol" w:eastAsiaTheme="minorHAnsi" w:hAnsi="Symbol" w:cstheme="minorBidi"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nsid w:val="124D5AC7"/>
    <w:multiLevelType w:val="hybridMultilevel"/>
    <w:tmpl w:val="83BE71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nsid w:val="127B3BF8"/>
    <w:multiLevelType w:val="hybridMultilevel"/>
    <w:tmpl w:val="710A132C"/>
    <w:lvl w:ilvl="0" w:tplc="CBF86562">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42A3142"/>
    <w:multiLevelType w:val="hybridMultilevel"/>
    <w:tmpl w:val="DD221EB8"/>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9">
    <w:nsid w:val="14E421EC"/>
    <w:multiLevelType w:val="hybridMultilevel"/>
    <w:tmpl w:val="1CA6562C"/>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15B032B0"/>
    <w:multiLevelType w:val="hybridMultilevel"/>
    <w:tmpl w:val="6ACEC628"/>
    <w:lvl w:ilvl="0" w:tplc="CBF86562">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160F60F1"/>
    <w:multiLevelType w:val="hybridMultilevel"/>
    <w:tmpl w:val="7B7EFB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168C2072"/>
    <w:multiLevelType w:val="hybridMultilevel"/>
    <w:tmpl w:val="EBE8BF9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18BA3A9F"/>
    <w:multiLevelType w:val="hybridMultilevel"/>
    <w:tmpl w:val="5BF894F2"/>
    <w:lvl w:ilvl="0" w:tplc="6D328FF8">
      <w:numFmt w:val="bullet"/>
      <w:lvlText w:val=""/>
      <w:lvlJc w:val="left"/>
      <w:pPr>
        <w:ind w:left="1080" w:hanging="360"/>
      </w:pPr>
      <w:rPr>
        <w:rFonts w:ascii="Symbol" w:eastAsiaTheme="minorHAnsi" w:hAnsi="Symbol" w:cstheme="minorBidi" w:hint="default"/>
      </w:rPr>
    </w:lvl>
    <w:lvl w:ilvl="1" w:tplc="14090001">
      <w:start w:val="1"/>
      <w:numFmt w:val="bullet"/>
      <w:lvlText w:val=""/>
      <w:lvlJc w:val="left"/>
      <w:pPr>
        <w:ind w:left="1800" w:hanging="360"/>
      </w:pPr>
      <w:rPr>
        <w:rFonts w:ascii="Symbol" w:hAnsi="Symbol" w:hint="default"/>
      </w:rPr>
    </w:lvl>
    <w:lvl w:ilvl="2" w:tplc="14090005">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nsid w:val="19F3227F"/>
    <w:multiLevelType w:val="multilevel"/>
    <w:tmpl w:val="27F2BA9C"/>
    <w:lvl w:ilvl="0">
      <w:start w:val="1"/>
      <w:numFmt w:val="decimal"/>
      <w:lvlText w:val="%1."/>
      <w:lvlJc w:val="left"/>
      <w:pPr>
        <w:ind w:left="720" w:hanging="720"/>
      </w:pPr>
      <w:rPr>
        <w:rFonts w:hint="default"/>
      </w:rPr>
    </w:lvl>
    <w:lvl w:ilvl="1">
      <w:start w:val="1"/>
      <w:numFmt w:val="decimal"/>
      <w:lvlText w:val="%1.%2"/>
      <w:lvlJc w:val="left"/>
      <w:pPr>
        <w:ind w:left="1571" w:hanging="720"/>
      </w:pPr>
      <w:rPr>
        <w:rFonts w:hint="default"/>
      </w:rPr>
    </w:lvl>
    <w:lvl w:ilvl="2">
      <w:start w:val="1"/>
      <w:numFmt w:val="lowerLetter"/>
      <w:lvlText w:val="%3)"/>
      <w:lvlJc w:val="left"/>
      <w:pPr>
        <w:ind w:left="135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584" w:hanging="864"/>
      </w:pPr>
      <w:rPr>
        <w:rFonts w:hint="default"/>
      </w:rPr>
    </w:lvl>
    <w:lvl w:ilvl="4">
      <w:start w:val="1"/>
      <w:numFmt w:val="lowerLetter"/>
      <w:lvlText w:val="%5)"/>
      <w:lvlJc w:val="left"/>
      <w:pPr>
        <w:ind w:left="1242" w:hanging="432"/>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1B8F6B83"/>
    <w:multiLevelType w:val="hybridMultilevel"/>
    <w:tmpl w:val="93ACBE60"/>
    <w:lvl w:ilvl="0" w:tplc="BA9CA9FC">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6">
    <w:nsid w:val="1D6149F7"/>
    <w:multiLevelType w:val="hybridMultilevel"/>
    <w:tmpl w:val="77A0AE5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22" w:hanging="360"/>
      </w:pPr>
      <w:rPr>
        <w:rFonts w:ascii="Courier New" w:hAnsi="Courier New" w:cs="Courier New" w:hint="default"/>
      </w:rPr>
    </w:lvl>
    <w:lvl w:ilvl="2" w:tplc="14090005" w:tentative="1">
      <w:start w:val="1"/>
      <w:numFmt w:val="bullet"/>
      <w:lvlText w:val=""/>
      <w:lvlJc w:val="left"/>
      <w:pPr>
        <w:ind w:left="742" w:hanging="360"/>
      </w:pPr>
      <w:rPr>
        <w:rFonts w:ascii="Wingdings" w:hAnsi="Wingdings" w:hint="default"/>
      </w:rPr>
    </w:lvl>
    <w:lvl w:ilvl="3" w:tplc="14090001" w:tentative="1">
      <w:start w:val="1"/>
      <w:numFmt w:val="bullet"/>
      <w:lvlText w:val=""/>
      <w:lvlJc w:val="left"/>
      <w:pPr>
        <w:ind w:left="1462" w:hanging="360"/>
      </w:pPr>
      <w:rPr>
        <w:rFonts w:ascii="Symbol" w:hAnsi="Symbol" w:hint="default"/>
      </w:rPr>
    </w:lvl>
    <w:lvl w:ilvl="4" w:tplc="14090003" w:tentative="1">
      <w:start w:val="1"/>
      <w:numFmt w:val="bullet"/>
      <w:lvlText w:val="o"/>
      <w:lvlJc w:val="left"/>
      <w:pPr>
        <w:ind w:left="2182" w:hanging="360"/>
      </w:pPr>
      <w:rPr>
        <w:rFonts w:ascii="Courier New" w:hAnsi="Courier New" w:cs="Courier New" w:hint="default"/>
      </w:rPr>
    </w:lvl>
    <w:lvl w:ilvl="5" w:tplc="14090005" w:tentative="1">
      <w:start w:val="1"/>
      <w:numFmt w:val="bullet"/>
      <w:lvlText w:val=""/>
      <w:lvlJc w:val="left"/>
      <w:pPr>
        <w:ind w:left="2902" w:hanging="360"/>
      </w:pPr>
      <w:rPr>
        <w:rFonts w:ascii="Wingdings" w:hAnsi="Wingdings" w:hint="default"/>
      </w:rPr>
    </w:lvl>
    <w:lvl w:ilvl="6" w:tplc="14090001" w:tentative="1">
      <w:start w:val="1"/>
      <w:numFmt w:val="bullet"/>
      <w:lvlText w:val=""/>
      <w:lvlJc w:val="left"/>
      <w:pPr>
        <w:ind w:left="3622" w:hanging="360"/>
      </w:pPr>
      <w:rPr>
        <w:rFonts w:ascii="Symbol" w:hAnsi="Symbol" w:hint="default"/>
      </w:rPr>
    </w:lvl>
    <w:lvl w:ilvl="7" w:tplc="14090003" w:tentative="1">
      <w:start w:val="1"/>
      <w:numFmt w:val="bullet"/>
      <w:lvlText w:val="o"/>
      <w:lvlJc w:val="left"/>
      <w:pPr>
        <w:ind w:left="4342" w:hanging="360"/>
      </w:pPr>
      <w:rPr>
        <w:rFonts w:ascii="Courier New" w:hAnsi="Courier New" w:cs="Courier New" w:hint="default"/>
      </w:rPr>
    </w:lvl>
    <w:lvl w:ilvl="8" w:tplc="14090005" w:tentative="1">
      <w:start w:val="1"/>
      <w:numFmt w:val="bullet"/>
      <w:lvlText w:val=""/>
      <w:lvlJc w:val="left"/>
      <w:pPr>
        <w:ind w:left="5062" w:hanging="360"/>
      </w:pPr>
      <w:rPr>
        <w:rFonts w:ascii="Wingdings" w:hAnsi="Wingdings" w:hint="default"/>
      </w:rPr>
    </w:lvl>
  </w:abstractNum>
  <w:abstractNum w:abstractNumId="17">
    <w:nsid w:val="1D8F2688"/>
    <w:multiLevelType w:val="hybridMultilevel"/>
    <w:tmpl w:val="F830097E"/>
    <w:lvl w:ilvl="0" w:tplc="14090001">
      <w:start w:val="1"/>
      <w:numFmt w:val="bullet"/>
      <w:lvlText w:val=""/>
      <w:lvlJc w:val="left"/>
      <w:pPr>
        <w:ind w:left="720" w:hanging="360"/>
      </w:pPr>
      <w:rPr>
        <w:rFonts w:ascii="Symbol" w:hAnsi="Symbol" w:hint="default"/>
      </w:rPr>
    </w:lvl>
    <w:lvl w:ilvl="1" w:tplc="458EA92E">
      <w:start w:val="1"/>
      <w:numFmt w:val="lowerRoman"/>
      <w:lvlText w:val="%2."/>
      <w:lvlJc w:val="left"/>
      <w:pPr>
        <w:ind w:left="1800" w:hanging="720"/>
      </w:pPr>
      <w:rPr>
        <w:rFonts w:hint="default"/>
      </w:rPr>
    </w:lvl>
    <w:lvl w:ilvl="2" w:tplc="2A94BDE6">
      <w:start w:val="1"/>
      <w:numFmt w:val="bullet"/>
      <w:lvlText w:val="-"/>
      <w:lvlJc w:val="left"/>
      <w:pPr>
        <w:ind w:left="2340" w:hanging="360"/>
      </w:pPr>
      <w:rPr>
        <w:rFonts w:ascii="Arial" w:eastAsiaTheme="minorEastAsia" w:hAnsi="Arial" w:cs="Arial" w:hint="default"/>
      </w:rPr>
    </w:lvl>
    <w:lvl w:ilvl="3" w:tplc="1409000F" w:tentative="1">
      <w:start w:val="1"/>
      <w:numFmt w:val="decimal"/>
      <w:lvlText w:val="%4."/>
      <w:lvlJc w:val="left"/>
      <w:pPr>
        <w:ind w:left="2880" w:hanging="360"/>
      </w:pPr>
    </w:lvl>
    <w:lvl w:ilvl="4" w:tplc="14090017">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1EA96DC6"/>
    <w:multiLevelType w:val="hybridMultilevel"/>
    <w:tmpl w:val="4B36C6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1F3D293F"/>
    <w:multiLevelType w:val="hybridMultilevel"/>
    <w:tmpl w:val="3468F3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1F4143F1"/>
    <w:multiLevelType w:val="hybridMultilevel"/>
    <w:tmpl w:val="5C6C31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215A2481"/>
    <w:multiLevelType w:val="hybridMultilevel"/>
    <w:tmpl w:val="32B00B7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nsid w:val="28F90AA1"/>
    <w:multiLevelType w:val="hybridMultilevel"/>
    <w:tmpl w:val="0DE69D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nsid w:val="2AC210F4"/>
    <w:multiLevelType w:val="hybridMultilevel"/>
    <w:tmpl w:val="2C4CCBD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nsid w:val="2B940408"/>
    <w:multiLevelType w:val="hybridMultilevel"/>
    <w:tmpl w:val="B53A12C2"/>
    <w:lvl w:ilvl="0" w:tplc="CBF86562">
      <w:numFmt w:val="bullet"/>
      <w:lvlText w:val="-"/>
      <w:lvlJc w:val="left"/>
      <w:pPr>
        <w:ind w:left="1212" w:hanging="360"/>
      </w:pPr>
      <w:rPr>
        <w:rFonts w:ascii="Calibri" w:eastAsiaTheme="minorEastAsia" w:hAnsi="Calibri" w:cstheme="minorBidi" w:hint="default"/>
      </w:rPr>
    </w:lvl>
    <w:lvl w:ilvl="1" w:tplc="14090003" w:tentative="1">
      <w:start w:val="1"/>
      <w:numFmt w:val="bullet"/>
      <w:lvlText w:val="o"/>
      <w:lvlJc w:val="left"/>
      <w:pPr>
        <w:ind w:left="1932" w:hanging="360"/>
      </w:pPr>
      <w:rPr>
        <w:rFonts w:ascii="Courier New" w:hAnsi="Courier New" w:cs="Courier New" w:hint="default"/>
      </w:rPr>
    </w:lvl>
    <w:lvl w:ilvl="2" w:tplc="14090005">
      <w:start w:val="1"/>
      <w:numFmt w:val="bullet"/>
      <w:lvlText w:val=""/>
      <w:lvlJc w:val="left"/>
      <w:pPr>
        <w:ind w:left="2652" w:hanging="360"/>
      </w:pPr>
      <w:rPr>
        <w:rFonts w:ascii="Wingdings" w:hAnsi="Wingdings" w:hint="default"/>
      </w:rPr>
    </w:lvl>
    <w:lvl w:ilvl="3" w:tplc="14090001" w:tentative="1">
      <w:start w:val="1"/>
      <w:numFmt w:val="bullet"/>
      <w:lvlText w:val=""/>
      <w:lvlJc w:val="left"/>
      <w:pPr>
        <w:ind w:left="3372" w:hanging="360"/>
      </w:pPr>
      <w:rPr>
        <w:rFonts w:ascii="Symbol" w:hAnsi="Symbol" w:hint="default"/>
      </w:rPr>
    </w:lvl>
    <w:lvl w:ilvl="4" w:tplc="14090003" w:tentative="1">
      <w:start w:val="1"/>
      <w:numFmt w:val="bullet"/>
      <w:lvlText w:val="o"/>
      <w:lvlJc w:val="left"/>
      <w:pPr>
        <w:ind w:left="4092" w:hanging="360"/>
      </w:pPr>
      <w:rPr>
        <w:rFonts w:ascii="Courier New" w:hAnsi="Courier New" w:cs="Courier New" w:hint="default"/>
      </w:rPr>
    </w:lvl>
    <w:lvl w:ilvl="5" w:tplc="14090005" w:tentative="1">
      <w:start w:val="1"/>
      <w:numFmt w:val="bullet"/>
      <w:lvlText w:val=""/>
      <w:lvlJc w:val="left"/>
      <w:pPr>
        <w:ind w:left="4812" w:hanging="360"/>
      </w:pPr>
      <w:rPr>
        <w:rFonts w:ascii="Wingdings" w:hAnsi="Wingdings" w:hint="default"/>
      </w:rPr>
    </w:lvl>
    <w:lvl w:ilvl="6" w:tplc="14090001" w:tentative="1">
      <w:start w:val="1"/>
      <w:numFmt w:val="bullet"/>
      <w:lvlText w:val=""/>
      <w:lvlJc w:val="left"/>
      <w:pPr>
        <w:ind w:left="5532" w:hanging="360"/>
      </w:pPr>
      <w:rPr>
        <w:rFonts w:ascii="Symbol" w:hAnsi="Symbol" w:hint="default"/>
      </w:rPr>
    </w:lvl>
    <w:lvl w:ilvl="7" w:tplc="14090003" w:tentative="1">
      <w:start w:val="1"/>
      <w:numFmt w:val="bullet"/>
      <w:lvlText w:val="o"/>
      <w:lvlJc w:val="left"/>
      <w:pPr>
        <w:ind w:left="6252" w:hanging="360"/>
      </w:pPr>
      <w:rPr>
        <w:rFonts w:ascii="Courier New" w:hAnsi="Courier New" w:cs="Courier New" w:hint="default"/>
      </w:rPr>
    </w:lvl>
    <w:lvl w:ilvl="8" w:tplc="14090005" w:tentative="1">
      <w:start w:val="1"/>
      <w:numFmt w:val="bullet"/>
      <w:lvlText w:val=""/>
      <w:lvlJc w:val="left"/>
      <w:pPr>
        <w:ind w:left="6972" w:hanging="360"/>
      </w:pPr>
      <w:rPr>
        <w:rFonts w:ascii="Wingdings" w:hAnsi="Wingdings" w:hint="default"/>
      </w:rPr>
    </w:lvl>
  </w:abstractNum>
  <w:abstractNum w:abstractNumId="25">
    <w:nsid w:val="2C073B52"/>
    <w:multiLevelType w:val="hybridMultilevel"/>
    <w:tmpl w:val="1E82B04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nsid w:val="2EC87761"/>
    <w:multiLevelType w:val="hybridMultilevel"/>
    <w:tmpl w:val="1106699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7">
    <w:nsid w:val="2FE230EF"/>
    <w:multiLevelType w:val="hybridMultilevel"/>
    <w:tmpl w:val="F0A4621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nsid w:val="31F54222"/>
    <w:multiLevelType w:val="hybridMultilevel"/>
    <w:tmpl w:val="A5CAE2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33F02B91"/>
    <w:multiLevelType w:val="hybridMultilevel"/>
    <w:tmpl w:val="09E6FD3C"/>
    <w:lvl w:ilvl="0" w:tplc="82EC004A">
      <w:numFmt w:val="bullet"/>
      <w:lvlText w:val=""/>
      <w:lvlJc w:val="left"/>
      <w:pPr>
        <w:ind w:left="420" w:hanging="360"/>
      </w:pPr>
      <w:rPr>
        <w:rFonts w:ascii="Symbol" w:eastAsia="Times New Roman"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344045E3"/>
    <w:multiLevelType w:val="hybridMultilevel"/>
    <w:tmpl w:val="9998069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1">
    <w:nsid w:val="35DE33B7"/>
    <w:multiLevelType w:val="hybridMultilevel"/>
    <w:tmpl w:val="FDE26E8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2">
    <w:nsid w:val="36E10D54"/>
    <w:multiLevelType w:val="hybridMultilevel"/>
    <w:tmpl w:val="0D70F8F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nsid w:val="395D6D05"/>
    <w:multiLevelType w:val="hybridMultilevel"/>
    <w:tmpl w:val="47DA01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39D32437"/>
    <w:multiLevelType w:val="hybridMultilevel"/>
    <w:tmpl w:val="4EE4D8A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nsid w:val="3BFD15DC"/>
    <w:multiLevelType w:val="hybridMultilevel"/>
    <w:tmpl w:val="C048FE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425163F1"/>
    <w:multiLevelType w:val="hybridMultilevel"/>
    <w:tmpl w:val="A85A031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nsid w:val="44327788"/>
    <w:multiLevelType w:val="hybridMultilevel"/>
    <w:tmpl w:val="BAF84DD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nsid w:val="4B2D5366"/>
    <w:multiLevelType w:val="hybridMultilevel"/>
    <w:tmpl w:val="778E049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nsid w:val="4D21354B"/>
    <w:multiLevelType w:val="hybridMultilevel"/>
    <w:tmpl w:val="C436F10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4D8C273F"/>
    <w:multiLevelType w:val="hybridMultilevel"/>
    <w:tmpl w:val="AA10AF1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nsid w:val="515311DC"/>
    <w:multiLevelType w:val="hybridMultilevel"/>
    <w:tmpl w:val="980C9766"/>
    <w:lvl w:ilvl="0" w:tplc="5364B392">
      <w:numFmt w:val="bullet"/>
      <w:lvlText w:val="-"/>
      <w:lvlJc w:val="left"/>
      <w:pPr>
        <w:ind w:left="1080" w:hanging="360"/>
      </w:pPr>
      <w:rPr>
        <w:rFonts w:ascii="Arial" w:eastAsia="Times New Roman" w:hAnsi="Arial" w:cs="Arial" w:hint="default"/>
        <w:sz w:val="22"/>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4">
    <w:nsid w:val="53DE314D"/>
    <w:multiLevelType w:val="hybridMultilevel"/>
    <w:tmpl w:val="05DE86F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nsid w:val="55B95217"/>
    <w:multiLevelType w:val="hybridMultilevel"/>
    <w:tmpl w:val="FD9E1AA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6">
    <w:nsid w:val="581E3BE5"/>
    <w:multiLevelType w:val="hybridMultilevel"/>
    <w:tmpl w:val="F3442B1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7">
    <w:nsid w:val="597055C4"/>
    <w:multiLevelType w:val="hybridMultilevel"/>
    <w:tmpl w:val="FEAA4B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nsid w:val="59717D0B"/>
    <w:multiLevelType w:val="multilevel"/>
    <w:tmpl w:val="BDB210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5AE26407"/>
    <w:multiLevelType w:val="hybridMultilevel"/>
    <w:tmpl w:val="452401E8"/>
    <w:lvl w:ilvl="0" w:tplc="14090001">
      <w:start w:val="1"/>
      <w:numFmt w:val="bullet"/>
      <w:lvlText w:val=""/>
      <w:lvlJc w:val="left"/>
      <w:pPr>
        <w:ind w:left="720" w:hanging="360"/>
      </w:pPr>
      <w:rPr>
        <w:rFonts w:ascii="Symbol" w:hAnsi="Symbol" w:hint="default"/>
      </w:rPr>
    </w:lvl>
    <w:lvl w:ilvl="1" w:tplc="458EA92E">
      <w:start w:val="1"/>
      <w:numFmt w:val="lowerRoman"/>
      <w:lvlText w:val="%2."/>
      <w:lvlJc w:val="left"/>
      <w:pPr>
        <w:ind w:left="1800" w:hanging="720"/>
      </w:pPr>
      <w:rPr>
        <w:rFonts w:hint="default"/>
      </w:rPr>
    </w:lvl>
    <w:lvl w:ilvl="2" w:tplc="2A94BDE6">
      <w:start w:val="1"/>
      <w:numFmt w:val="bullet"/>
      <w:lvlText w:val="-"/>
      <w:lvlJc w:val="left"/>
      <w:pPr>
        <w:ind w:left="2340" w:hanging="360"/>
      </w:pPr>
      <w:rPr>
        <w:rFonts w:ascii="Arial" w:eastAsiaTheme="minorEastAsia" w:hAnsi="Arial" w:cs="Arial" w:hint="default"/>
      </w:rPr>
    </w:lvl>
    <w:lvl w:ilvl="3" w:tplc="1409000F" w:tentative="1">
      <w:start w:val="1"/>
      <w:numFmt w:val="decimal"/>
      <w:lvlText w:val="%4."/>
      <w:lvlJc w:val="left"/>
      <w:pPr>
        <w:ind w:left="2880" w:hanging="360"/>
      </w:pPr>
    </w:lvl>
    <w:lvl w:ilvl="4" w:tplc="14090017">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nsid w:val="5B5D4607"/>
    <w:multiLevelType w:val="hybridMultilevel"/>
    <w:tmpl w:val="7B3C4C8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1">
    <w:nsid w:val="5C7E0B21"/>
    <w:multiLevelType w:val="hybridMultilevel"/>
    <w:tmpl w:val="2B827F1C"/>
    <w:lvl w:ilvl="0" w:tplc="6D328FF8">
      <w:numFmt w:val="bullet"/>
      <w:lvlText w:val=""/>
      <w:lvlJc w:val="left"/>
      <w:pPr>
        <w:ind w:left="1080" w:hanging="360"/>
      </w:pPr>
      <w:rPr>
        <w:rFonts w:ascii="Symbol" w:eastAsiaTheme="minorHAnsi" w:hAnsi="Symbol" w:cstheme="minorBidi" w:hint="default"/>
      </w:rPr>
    </w:lvl>
    <w:lvl w:ilvl="1" w:tplc="BA9CA9FC">
      <w:start w:val="1"/>
      <w:numFmt w:val="lowerLetter"/>
      <w:lvlText w:val="%2)"/>
      <w:lvlJc w:val="left"/>
      <w:pPr>
        <w:ind w:left="1800" w:hanging="360"/>
      </w:pPr>
      <w:rPr>
        <w:rFonts w:hint="default"/>
      </w:rPr>
    </w:lvl>
    <w:lvl w:ilvl="2" w:tplc="14090005">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2">
    <w:nsid w:val="5EEE1E0B"/>
    <w:multiLevelType w:val="multilevel"/>
    <w:tmpl w:val="83061A8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val="0"/>
      </w:rPr>
    </w:lvl>
    <w:lvl w:ilvl="3">
      <w:start w:val="1"/>
      <w:numFmt w:val="lowerLetter"/>
      <w:lvlText w:val="%4)"/>
      <w:lvlJc w:val="left"/>
      <w:pPr>
        <w:ind w:left="1440" w:hanging="360"/>
      </w:p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621802B7"/>
    <w:multiLevelType w:val="hybridMultilevel"/>
    <w:tmpl w:val="CD20FBB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4">
    <w:nsid w:val="64931CB1"/>
    <w:multiLevelType w:val="multilevel"/>
    <w:tmpl w:val="83061A8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val="0"/>
      </w:rPr>
    </w:lvl>
    <w:lvl w:ilvl="3">
      <w:start w:val="1"/>
      <w:numFmt w:val="lowerLetter"/>
      <w:lvlText w:val="%4)"/>
      <w:lvlJc w:val="left"/>
      <w:pPr>
        <w:ind w:left="1440" w:hanging="360"/>
      </w:p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64FD7D41"/>
    <w:multiLevelType w:val="hybridMultilevel"/>
    <w:tmpl w:val="E346890A"/>
    <w:lvl w:ilvl="0" w:tplc="BA9CA9FC">
      <w:start w:val="1"/>
      <w:numFmt w:val="lowerLetter"/>
      <w:lvlText w:val="%1)"/>
      <w:lvlJc w:val="left"/>
      <w:pPr>
        <w:ind w:left="720" w:hanging="360"/>
      </w:pPr>
      <w:rPr>
        <w:rFonts w:hint="default"/>
      </w:rPr>
    </w:lvl>
    <w:lvl w:ilvl="1" w:tplc="458EA92E">
      <w:start w:val="1"/>
      <w:numFmt w:val="lowerRoman"/>
      <w:lvlText w:val="%2."/>
      <w:lvlJc w:val="left"/>
      <w:pPr>
        <w:ind w:left="1800" w:hanging="720"/>
      </w:pPr>
      <w:rPr>
        <w:rFonts w:hint="default"/>
      </w:rPr>
    </w:lvl>
    <w:lvl w:ilvl="2" w:tplc="2A94BDE6">
      <w:start w:val="1"/>
      <w:numFmt w:val="bullet"/>
      <w:lvlText w:val="-"/>
      <w:lvlJc w:val="left"/>
      <w:pPr>
        <w:ind w:left="2340" w:hanging="360"/>
      </w:pPr>
      <w:rPr>
        <w:rFonts w:ascii="Arial" w:eastAsiaTheme="minorEastAsia" w:hAnsi="Arial" w:cs="Arial" w:hint="default"/>
      </w:rPr>
    </w:lvl>
    <w:lvl w:ilvl="3" w:tplc="1409000F" w:tentative="1">
      <w:start w:val="1"/>
      <w:numFmt w:val="decimal"/>
      <w:lvlText w:val="%4."/>
      <w:lvlJc w:val="left"/>
      <w:pPr>
        <w:ind w:left="2880" w:hanging="360"/>
      </w:pPr>
    </w:lvl>
    <w:lvl w:ilvl="4" w:tplc="14090017">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nsid w:val="66DC5D9D"/>
    <w:multiLevelType w:val="hybridMultilevel"/>
    <w:tmpl w:val="2E10715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7">
    <w:nsid w:val="67057F77"/>
    <w:multiLevelType w:val="hybridMultilevel"/>
    <w:tmpl w:val="7B8635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8">
    <w:nsid w:val="676C61D7"/>
    <w:multiLevelType w:val="hybridMultilevel"/>
    <w:tmpl w:val="7CF68EC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9">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60">
    <w:nsid w:val="69A65C9A"/>
    <w:multiLevelType w:val="hybridMultilevel"/>
    <w:tmpl w:val="9462F3A0"/>
    <w:lvl w:ilvl="0" w:tplc="14090001">
      <w:start w:val="1"/>
      <w:numFmt w:val="bullet"/>
      <w:lvlText w:val=""/>
      <w:lvlJc w:val="left"/>
      <w:pPr>
        <w:ind w:left="360" w:hanging="360"/>
      </w:pPr>
      <w:rPr>
        <w:rFonts w:ascii="Symbol" w:hAnsi="Symbol" w:hint="default"/>
      </w:rPr>
    </w:lvl>
    <w:lvl w:ilvl="1" w:tplc="CBF86562">
      <w:numFmt w:val="bullet"/>
      <w:lvlText w:val="-"/>
      <w:lvlJc w:val="left"/>
      <w:pPr>
        <w:ind w:left="1080" w:hanging="360"/>
      </w:pPr>
      <w:rPr>
        <w:rFonts w:ascii="Calibri" w:eastAsiaTheme="minorEastAsia" w:hAnsi="Calibri" w:cstheme="minorBidi"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1">
    <w:nsid w:val="74680BB2"/>
    <w:multiLevelType w:val="hybridMultilevel"/>
    <w:tmpl w:val="D4EAD35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2">
    <w:nsid w:val="746C2699"/>
    <w:multiLevelType w:val="hybridMultilevel"/>
    <w:tmpl w:val="C8AE381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3">
    <w:nsid w:val="75A2227C"/>
    <w:multiLevelType w:val="hybridMultilevel"/>
    <w:tmpl w:val="68BC722C"/>
    <w:lvl w:ilvl="0" w:tplc="14090001">
      <w:start w:val="1"/>
      <w:numFmt w:val="bullet"/>
      <w:lvlText w:val=""/>
      <w:lvlJc w:val="left"/>
      <w:pPr>
        <w:ind w:left="720" w:hanging="360"/>
      </w:pPr>
      <w:rPr>
        <w:rFonts w:ascii="Symbol" w:hAnsi="Symbol" w:hint="default"/>
      </w:rPr>
    </w:lvl>
    <w:lvl w:ilvl="1" w:tplc="458EA92E">
      <w:start w:val="1"/>
      <w:numFmt w:val="lowerRoman"/>
      <w:lvlText w:val="%2."/>
      <w:lvlJc w:val="left"/>
      <w:pPr>
        <w:ind w:left="1800" w:hanging="720"/>
      </w:pPr>
      <w:rPr>
        <w:rFonts w:hint="default"/>
      </w:rPr>
    </w:lvl>
    <w:lvl w:ilvl="2" w:tplc="2A94BDE6">
      <w:start w:val="1"/>
      <w:numFmt w:val="bullet"/>
      <w:lvlText w:val="-"/>
      <w:lvlJc w:val="left"/>
      <w:pPr>
        <w:ind w:left="2340" w:hanging="360"/>
      </w:pPr>
      <w:rPr>
        <w:rFonts w:ascii="Arial" w:eastAsiaTheme="minorEastAsia" w:hAnsi="Arial" w:cs="Arial" w:hint="default"/>
      </w:rPr>
    </w:lvl>
    <w:lvl w:ilvl="3" w:tplc="1409000F" w:tentative="1">
      <w:start w:val="1"/>
      <w:numFmt w:val="decimal"/>
      <w:lvlText w:val="%4."/>
      <w:lvlJc w:val="left"/>
      <w:pPr>
        <w:ind w:left="2880" w:hanging="360"/>
      </w:pPr>
    </w:lvl>
    <w:lvl w:ilvl="4" w:tplc="14090017">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nsid w:val="77391741"/>
    <w:multiLevelType w:val="hybridMultilevel"/>
    <w:tmpl w:val="8B0E16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5">
    <w:nsid w:val="77AA13C7"/>
    <w:multiLevelType w:val="multilevel"/>
    <w:tmpl w:val="E5D23C8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6">
    <w:nsid w:val="79016E3F"/>
    <w:multiLevelType w:val="multilevel"/>
    <w:tmpl w:val="7DC8E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A445303"/>
    <w:multiLevelType w:val="hybridMultilevel"/>
    <w:tmpl w:val="249AB5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8">
    <w:nsid w:val="7BD85AF4"/>
    <w:multiLevelType w:val="multilevel"/>
    <w:tmpl w:val="09C40C2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val="0"/>
      </w:rPr>
    </w:lvl>
    <w:lvl w:ilvl="3">
      <w:numFmt w:val="bullet"/>
      <w:lvlText w:val=""/>
      <w:lvlJc w:val="left"/>
      <w:pPr>
        <w:ind w:left="1440" w:hanging="360"/>
      </w:pPr>
      <w:rPr>
        <w:rFonts w:ascii="Symbol" w:eastAsiaTheme="minorHAnsi" w:hAnsi="Symbol" w:cstheme="minorBidi"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70">
    <w:nsid w:val="7C1C0960"/>
    <w:multiLevelType w:val="hybridMultilevel"/>
    <w:tmpl w:val="C5E46B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1">
    <w:nsid w:val="7CC72B21"/>
    <w:multiLevelType w:val="multilevel"/>
    <w:tmpl w:val="FD6837CA"/>
    <w:lvl w:ilvl="0">
      <w:start w:val="1"/>
      <w:numFmt w:val="decimal"/>
      <w:lvlText w:val="%1"/>
      <w:lvlJc w:val="left"/>
      <w:pPr>
        <w:ind w:left="432" w:hanging="432"/>
      </w:pPr>
      <w:rPr>
        <w:rFonts w:hint="default"/>
      </w:rPr>
    </w:lvl>
    <w:lvl w:ilvl="1">
      <w:start w:val="1"/>
      <w:numFmt w:val="decimal"/>
      <w:lvlText w:val="%1.%2"/>
      <w:lvlJc w:val="left"/>
      <w:pPr>
        <w:ind w:left="9790" w:hanging="576"/>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2">
    <w:nsid w:val="7F0A70CD"/>
    <w:multiLevelType w:val="hybridMultilevel"/>
    <w:tmpl w:val="4AC85AC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3">
    <w:nsid w:val="7F5E0F28"/>
    <w:multiLevelType w:val="hybridMultilevel"/>
    <w:tmpl w:val="6FD0E58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69"/>
  </w:num>
  <w:num w:numId="2">
    <w:abstractNumId w:val="59"/>
  </w:num>
  <w:num w:numId="3">
    <w:abstractNumId w:val="36"/>
  </w:num>
  <w:num w:numId="4">
    <w:abstractNumId w:val="37"/>
  </w:num>
  <w:num w:numId="5">
    <w:abstractNumId w:val="2"/>
  </w:num>
  <w:num w:numId="6">
    <w:abstractNumId w:val="5"/>
  </w:num>
  <w:num w:numId="7">
    <w:abstractNumId w:val="25"/>
  </w:num>
  <w:num w:numId="8">
    <w:abstractNumId w:val="46"/>
  </w:num>
  <w:num w:numId="9">
    <w:abstractNumId w:val="15"/>
  </w:num>
  <w:num w:numId="10">
    <w:abstractNumId w:val="8"/>
  </w:num>
  <w:num w:numId="11">
    <w:abstractNumId w:val="1"/>
  </w:num>
  <w:num w:numId="12">
    <w:abstractNumId w:val="45"/>
  </w:num>
  <w:num w:numId="13">
    <w:abstractNumId w:val="18"/>
  </w:num>
  <w:num w:numId="14">
    <w:abstractNumId w:val="26"/>
  </w:num>
  <w:num w:numId="15">
    <w:abstractNumId w:val="48"/>
  </w:num>
  <w:num w:numId="16">
    <w:abstractNumId w:val="30"/>
  </w:num>
  <w:num w:numId="17">
    <w:abstractNumId w:val="0"/>
  </w:num>
  <w:num w:numId="18">
    <w:abstractNumId w:val="54"/>
  </w:num>
  <w:num w:numId="19">
    <w:abstractNumId w:val="14"/>
  </w:num>
  <w:num w:numId="20">
    <w:abstractNumId w:val="66"/>
    <w:lvlOverride w:ilvl="1">
      <w:lvl w:ilvl="1">
        <w:numFmt w:val="bullet"/>
        <w:lvlText w:val=""/>
        <w:lvlJc w:val="left"/>
        <w:pPr>
          <w:tabs>
            <w:tab w:val="num" w:pos="1440"/>
          </w:tabs>
          <w:ind w:left="1440" w:hanging="360"/>
        </w:pPr>
        <w:rPr>
          <w:rFonts w:ascii="Symbol" w:hAnsi="Symbol" w:hint="default"/>
          <w:sz w:val="20"/>
        </w:rPr>
      </w:lvl>
    </w:lvlOverride>
  </w:num>
  <w:num w:numId="21">
    <w:abstractNumId w:val="6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2">
    <w:abstractNumId w:val="63"/>
  </w:num>
  <w:num w:numId="23">
    <w:abstractNumId w:val="17"/>
  </w:num>
  <w:num w:numId="24">
    <w:abstractNumId w:val="20"/>
  </w:num>
  <w:num w:numId="25">
    <w:abstractNumId w:val="19"/>
  </w:num>
  <w:num w:numId="26">
    <w:abstractNumId w:val="41"/>
  </w:num>
  <w:num w:numId="27">
    <w:abstractNumId w:val="43"/>
  </w:num>
  <w:num w:numId="28">
    <w:abstractNumId w:val="65"/>
  </w:num>
  <w:num w:numId="29">
    <w:abstractNumId w:val="24"/>
  </w:num>
  <w:num w:numId="30">
    <w:abstractNumId w:val="55"/>
  </w:num>
  <w:num w:numId="31">
    <w:abstractNumId w:val="51"/>
  </w:num>
  <w:num w:numId="32">
    <w:abstractNumId w:val="31"/>
  </w:num>
  <w:num w:numId="33">
    <w:abstractNumId w:val="29"/>
  </w:num>
  <w:num w:numId="34">
    <w:abstractNumId w:val="52"/>
  </w:num>
  <w:num w:numId="35">
    <w:abstractNumId w:val="68"/>
  </w:num>
  <w:num w:numId="36">
    <w:abstractNumId w:val="9"/>
  </w:num>
  <w:num w:numId="37">
    <w:abstractNumId w:val="13"/>
  </w:num>
  <w:num w:numId="38">
    <w:abstractNumId w:val="49"/>
  </w:num>
  <w:num w:numId="39">
    <w:abstractNumId w:val="11"/>
  </w:num>
  <w:num w:numId="40">
    <w:abstractNumId w:val="47"/>
  </w:num>
  <w:num w:numId="41">
    <w:abstractNumId w:val="28"/>
  </w:num>
  <w:num w:numId="42">
    <w:abstractNumId w:val="71"/>
  </w:num>
  <w:num w:numId="43">
    <w:abstractNumId w:val="12"/>
  </w:num>
  <w:num w:numId="44">
    <w:abstractNumId w:val="67"/>
  </w:num>
  <w:num w:numId="45">
    <w:abstractNumId w:val="64"/>
  </w:num>
  <w:num w:numId="46">
    <w:abstractNumId w:val="7"/>
  </w:num>
  <w:num w:numId="47">
    <w:abstractNumId w:val="10"/>
  </w:num>
  <w:num w:numId="48">
    <w:abstractNumId w:val="42"/>
  </w:num>
  <w:num w:numId="49">
    <w:abstractNumId w:val="4"/>
  </w:num>
  <w:num w:numId="50">
    <w:abstractNumId w:val="61"/>
  </w:num>
  <w:num w:numId="51">
    <w:abstractNumId w:val="35"/>
  </w:num>
  <w:num w:numId="52">
    <w:abstractNumId w:val="73"/>
  </w:num>
  <w:num w:numId="53">
    <w:abstractNumId w:val="58"/>
  </w:num>
  <w:num w:numId="54">
    <w:abstractNumId w:val="62"/>
  </w:num>
  <w:num w:numId="55">
    <w:abstractNumId w:val="72"/>
  </w:num>
  <w:num w:numId="56">
    <w:abstractNumId w:val="27"/>
  </w:num>
  <w:num w:numId="57">
    <w:abstractNumId w:val="53"/>
  </w:num>
  <w:num w:numId="58">
    <w:abstractNumId w:val="34"/>
  </w:num>
  <w:num w:numId="59">
    <w:abstractNumId w:val="39"/>
  </w:num>
  <w:num w:numId="60">
    <w:abstractNumId w:val="70"/>
  </w:num>
  <w:num w:numId="61">
    <w:abstractNumId w:val="32"/>
  </w:num>
  <w:num w:numId="62">
    <w:abstractNumId w:val="40"/>
  </w:num>
  <w:num w:numId="63">
    <w:abstractNumId w:val="16"/>
  </w:num>
  <w:num w:numId="64">
    <w:abstractNumId w:val="6"/>
  </w:num>
  <w:num w:numId="65">
    <w:abstractNumId w:val="23"/>
  </w:num>
  <w:num w:numId="66">
    <w:abstractNumId w:val="22"/>
  </w:num>
  <w:num w:numId="67">
    <w:abstractNumId w:val="44"/>
  </w:num>
  <w:num w:numId="68">
    <w:abstractNumId w:val="50"/>
  </w:num>
  <w:num w:numId="69">
    <w:abstractNumId w:val="21"/>
  </w:num>
  <w:num w:numId="70">
    <w:abstractNumId w:val="60"/>
  </w:num>
  <w:num w:numId="71">
    <w:abstractNumId w:val="57"/>
  </w:num>
  <w:num w:numId="72">
    <w:abstractNumId w:val="38"/>
  </w:num>
  <w:num w:numId="73">
    <w:abstractNumId w:val="3"/>
  </w:num>
  <w:num w:numId="74">
    <w:abstractNumId w:val="56"/>
  </w:num>
  <w:num w:numId="75">
    <w:abstractNumId w:val="3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mirrorMargin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11AC7"/>
    <w:rsid w:val="00030B26"/>
    <w:rsid w:val="00032C0A"/>
    <w:rsid w:val="00035257"/>
    <w:rsid w:val="00043F5D"/>
    <w:rsid w:val="0006228D"/>
    <w:rsid w:val="00072BD6"/>
    <w:rsid w:val="00075B78"/>
    <w:rsid w:val="00082CD6"/>
    <w:rsid w:val="00085AFE"/>
    <w:rsid w:val="000B0730"/>
    <w:rsid w:val="000C6F15"/>
    <w:rsid w:val="000D73BE"/>
    <w:rsid w:val="000E5919"/>
    <w:rsid w:val="000F2AE2"/>
    <w:rsid w:val="000F3B3C"/>
    <w:rsid w:val="00102063"/>
    <w:rsid w:val="0010541C"/>
    <w:rsid w:val="00106F93"/>
    <w:rsid w:val="00111D50"/>
    <w:rsid w:val="00113B8E"/>
    <w:rsid w:val="001152E8"/>
    <w:rsid w:val="001342C7"/>
    <w:rsid w:val="0013585C"/>
    <w:rsid w:val="00142954"/>
    <w:rsid w:val="001460E0"/>
    <w:rsid w:val="00147F71"/>
    <w:rsid w:val="00150A6E"/>
    <w:rsid w:val="00162833"/>
    <w:rsid w:val="0016468A"/>
    <w:rsid w:val="00167F95"/>
    <w:rsid w:val="00173B2B"/>
    <w:rsid w:val="001A21B4"/>
    <w:rsid w:val="001A5CF5"/>
    <w:rsid w:val="001B39D2"/>
    <w:rsid w:val="001B4BF8"/>
    <w:rsid w:val="001B68FB"/>
    <w:rsid w:val="001B7FF5"/>
    <w:rsid w:val="001C2FA7"/>
    <w:rsid w:val="001C4326"/>
    <w:rsid w:val="001D3541"/>
    <w:rsid w:val="001F4247"/>
    <w:rsid w:val="001F45A7"/>
    <w:rsid w:val="00201A01"/>
    <w:rsid w:val="002104D3"/>
    <w:rsid w:val="00210650"/>
    <w:rsid w:val="00213A33"/>
    <w:rsid w:val="00214261"/>
    <w:rsid w:val="0021763B"/>
    <w:rsid w:val="002242D3"/>
    <w:rsid w:val="00244B34"/>
    <w:rsid w:val="00244F73"/>
    <w:rsid w:val="00246DB1"/>
    <w:rsid w:val="002476B5"/>
    <w:rsid w:val="00250390"/>
    <w:rsid w:val="00253ECF"/>
    <w:rsid w:val="002546A1"/>
    <w:rsid w:val="00275D08"/>
    <w:rsid w:val="00282C7B"/>
    <w:rsid w:val="002858E3"/>
    <w:rsid w:val="0029190A"/>
    <w:rsid w:val="00292C5A"/>
    <w:rsid w:val="00295241"/>
    <w:rsid w:val="00295DC3"/>
    <w:rsid w:val="002A4DFC"/>
    <w:rsid w:val="002B047D"/>
    <w:rsid w:val="002B732B"/>
    <w:rsid w:val="002C2219"/>
    <w:rsid w:val="002D0DF2"/>
    <w:rsid w:val="002D23BD"/>
    <w:rsid w:val="002E0B47"/>
    <w:rsid w:val="002F0480"/>
    <w:rsid w:val="002F6C3F"/>
    <w:rsid w:val="002F7213"/>
    <w:rsid w:val="002F7922"/>
    <w:rsid w:val="0030382F"/>
    <w:rsid w:val="0030408D"/>
    <w:rsid w:val="003060E4"/>
    <w:rsid w:val="00314C83"/>
    <w:rsid w:val="003160E7"/>
    <w:rsid w:val="0031739E"/>
    <w:rsid w:val="003325AB"/>
    <w:rsid w:val="003332D1"/>
    <w:rsid w:val="0033412B"/>
    <w:rsid w:val="00343365"/>
    <w:rsid w:val="00353501"/>
    <w:rsid w:val="003606F8"/>
    <w:rsid w:val="003648EF"/>
    <w:rsid w:val="003673E6"/>
    <w:rsid w:val="00377264"/>
    <w:rsid w:val="003A26A5"/>
    <w:rsid w:val="003A3761"/>
    <w:rsid w:val="003A5FEA"/>
    <w:rsid w:val="003B1D10"/>
    <w:rsid w:val="003C76D4"/>
    <w:rsid w:val="003D2CC5"/>
    <w:rsid w:val="003E7C46"/>
    <w:rsid w:val="003F52A7"/>
    <w:rsid w:val="00402308"/>
    <w:rsid w:val="0040240C"/>
    <w:rsid w:val="004065F0"/>
    <w:rsid w:val="00413021"/>
    <w:rsid w:val="0041414F"/>
    <w:rsid w:val="00440BE0"/>
    <w:rsid w:val="00442C1C"/>
    <w:rsid w:val="00444537"/>
    <w:rsid w:val="0044584B"/>
    <w:rsid w:val="00446078"/>
    <w:rsid w:val="00446D3E"/>
    <w:rsid w:val="00447CB7"/>
    <w:rsid w:val="00455CC9"/>
    <w:rsid w:val="00460826"/>
    <w:rsid w:val="00460EA7"/>
    <w:rsid w:val="0046195B"/>
    <w:rsid w:val="0046596D"/>
    <w:rsid w:val="004710E0"/>
    <w:rsid w:val="00477379"/>
    <w:rsid w:val="0048174A"/>
    <w:rsid w:val="00487C04"/>
    <w:rsid w:val="004907E1"/>
    <w:rsid w:val="004A035B"/>
    <w:rsid w:val="004A38D7"/>
    <w:rsid w:val="004A778C"/>
    <w:rsid w:val="004B3BB1"/>
    <w:rsid w:val="004B7BC2"/>
    <w:rsid w:val="004C2E6A"/>
    <w:rsid w:val="004C64B8"/>
    <w:rsid w:val="004D2A2D"/>
    <w:rsid w:val="004D6689"/>
    <w:rsid w:val="004E1D1D"/>
    <w:rsid w:val="004E7AC8"/>
    <w:rsid w:val="004F0C94"/>
    <w:rsid w:val="004F445F"/>
    <w:rsid w:val="005019AE"/>
    <w:rsid w:val="0050208D"/>
    <w:rsid w:val="00503749"/>
    <w:rsid w:val="00504CF4"/>
    <w:rsid w:val="0050635B"/>
    <w:rsid w:val="005151C2"/>
    <w:rsid w:val="0053199F"/>
    <w:rsid w:val="00533B90"/>
    <w:rsid w:val="005410F8"/>
    <w:rsid w:val="005448EC"/>
    <w:rsid w:val="00545963"/>
    <w:rsid w:val="005475C2"/>
    <w:rsid w:val="00550256"/>
    <w:rsid w:val="00553958"/>
    <w:rsid w:val="0055763D"/>
    <w:rsid w:val="005621F2"/>
    <w:rsid w:val="00567054"/>
    <w:rsid w:val="00567B58"/>
    <w:rsid w:val="005736F4"/>
    <w:rsid w:val="005763E0"/>
    <w:rsid w:val="00581136"/>
    <w:rsid w:val="005829BF"/>
    <w:rsid w:val="00593B5E"/>
    <w:rsid w:val="005A27CA"/>
    <w:rsid w:val="005A43BD"/>
    <w:rsid w:val="005B1D4D"/>
    <w:rsid w:val="005D01ED"/>
    <w:rsid w:val="005E226E"/>
    <w:rsid w:val="005E2636"/>
    <w:rsid w:val="006015D7"/>
    <w:rsid w:val="00601B21"/>
    <w:rsid w:val="006041F0"/>
    <w:rsid w:val="00626CF8"/>
    <w:rsid w:val="00634ED8"/>
    <w:rsid w:val="00636D7D"/>
    <w:rsid w:val="00637408"/>
    <w:rsid w:val="00642868"/>
    <w:rsid w:val="00647AFE"/>
    <w:rsid w:val="006512BC"/>
    <w:rsid w:val="00653A5A"/>
    <w:rsid w:val="006575F4"/>
    <w:rsid w:val="006579E6"/>
    <w:rsid w:val="00661BFA"/>
    <w:rsid w:val="00663EDC"/>
    <w:rsid w:val="00671078"/>
    <w:rsid w:val="006758CA"/>
    <w:rsid w:val="00680A04"/>
    <w:rsid w:val="00686D80"/>
    <w:rsid w:val="00690695"/>
    <w:rsid w:val="00694895"/>
    <w:rsid w:val="00697E2E"/>
    <w:rsid w:val="006A25A2"/>
    <w:rsid w:val="006A6E5D"/>
    <w:rsid w:val="006B0E73"/>
    <w:rsid w:val="006B4A4D"/>
    <w:rsid w:val="006B5695"/>
    <w:rsid w:val="006C78EB"/>
    <w:rsid w:val="006D1660"/>
    <w:rsid w:val="006D55DF"/>
    <w:rsid w:val="006F1B67"/>
    <w:rsid w:val="0070091D"/>
    <w:rsid w:val="00702854"/>
    <w:rsid w:val="0071741C"/>
    <w:rsid w:val="00722A3F"/>
    <w:rsid w:val="0073441E"/>
    <w:rsid w:val="00742B90"/>
    <w:rsid w:val="0074434D"/>
    <w:rsid w:val="00744F23"/>
    <w:rsid w:val="00771B1E"/>
    <w:rsid w:val="00773C95"/>
    <w:rsid w:val="0078171E"/>
    <w:rsid w:val="00795B34"/>
    <w:rsid w:val="007B1770"/>
    <w:rsid w:val="007B4D3E"/>
    <w:rsid w:val="007B7C70"/>
    <w:rsid w:val="007D2151"/>
    <w:rsid w:val="007D42CC"/>
    <w:rsid w:val="007D5DE4"/>
    <w:rsid w:val="007E0777"/>
    <w:rsid w:val="007E1341"/>
    <w:rsid w:val="007E1B41"/>
    <w:rsid w:val="007E30B9"/>
    <w:rsid w:val="007E74F1"/>
    <w:rsid w:val="007F0F0C"/>
    <w:rsid w:val="007F1288"/>
    <w:rsid w:val="007F3958"/>
    <w:rsid w:val="00800A8A"/>
    <w:rsid w:val="0080155C"/>
    <w:rsid w:val="008052E1"/>
    <w:rsid w:val="00813889"/>
    <w:rsid w:val="00822F2C"/>
    <w:rsid w:val="008305E8"/>
    <w:rsid w:val="00850D03"/>
    <w:rsid w:val="00855F11"/>
    <w:rsid w:val="00860826"/>
    <w:rsid w:val="00860E21"/>
    <w:rsid w:val="00863117"/>
    <w:rsid w:val="00863624"/>
    <w:rsid w:val="0086388B"/>
    <w:rsid w:val="008642E5"/>
    <w:rsid w:val="00872D93"/>
    <w:rsid w:val="00875EA4"/>
    <w:rsid w:val="00880470"/>
    <w:rsid w:val="00880D94"/>
    <w:rsid w:val="008924DE"/>
    <w:rsid w:val="008A3755"/>
    <w:rsid w:val="008B264F"/>
    <w:rsid w:val="008B5FA6"/>
    <w:rsid w:val="008B6F83"/>
    <w:rsid w:val="008B7FD8"/>
    <w:rsid w:val="008C2973"/>
    <w:rsid w:val="008C6324"/>
    <w:rsid w:val="008C64C4"/>
    <w:rsid w:val="008D74D5"/>
    <w:rsid w:val="008F29BE"/>
    <w:rsid w:val="008F4AE5"/>
    <w:rsid w:val="008F51EB"/>
    <w:rsid w:val="00900197"/>
    <w:rsid w:val="00902F55"/>
    <w:rsid w:val="0090582B"/>
    <w:rsid w:val="009060C0"/>
    <w:rsid w:val="009133F5"/>
    <w:rsid w:val="00920A27"/>
    <w:rsid w:val="00921216"/>
    <w:rsid w:val="009216CC"/>
    <w:rsid w:val="00930D08"/>
    <w:rsid w:val="00932D69"/>
    <w:rsid w:val="0094135F"/>
    <w:rsid w:val="00944647"/>
    <w:rsid w:val="00945B3E"/>
    <w:rsid w:val="00977B8A"/>
    <w:rsid w:val="00982971"/>
    <w:rsid w:val="009837D6"/>
    <w:rsid w:val="009845AD"/>
    <w:rsid w:val="00995BA0"/>
    <w:rsid w:val="00997BDF"/>
    <w:rsid w:val="009A418B"/>
    <w:rsid w:val="009A4473"/>
    <w:rsid w:val="009B5F05"/>
    <w:rsid w:val="009C151C"/>
    <w:rsid w:val="009D5125"/>
    <w:rsid w:val="009D60B8"/>
    <w:rsid w:val="009D7A62"/>
    <w:rsid w:val="009D7D4B"/>
    <w:rsid w:val="009E36ED"/>
    <w:rsid w:val="009E3C8C"/>
    <w:rsid w:val="009E6B77"/>
    <w:rsid w:val="009F460A"/>
    <w:rsid w:val="00A043FB"/>
    <w:rsid w:val="00A0729C"/>
    <w:rsid w:val="00A07779"/>
    <w:rsid w:val="00A20B2E"/>
    <w:rsid w:val="00A25069"/>
    <w:rsid w:val="00A26E6B"/>
    <w:rsid w:val="00A3068F"/>
    <w:rsid w:val="00A3145B"/>
    <w:rsid w:val="00A339D0"/>
    <w:rsid w:val="00A41002"/>
    <w:rsid w:val="00A4201A"/>
    <w:rsid w:val="00A553CE"/>
    <w:rsid w:val="00A5677A"/>
    <w:rsid w:val="00A6490D"/>
    <w:rsid w:val="00A77C3E"/>
    <w:rsid w:val="00A80363"/>
    <w:rsid w:val="00A83E9D"/>
    <w:rsid w:val="00A86A6C"/>
    <w:rsid w:val="00A9169D"/>
    <w:rsid w:val="00AA240C"/>
    <w:rsid w:val="00AA3EDF"/>
    <w:rsid w:val="00AA49C0"/>
    <w:rsid w:val="00AC101C"/>
    <w:rsid w:val="00AD46AA"/>
    <w:rsid w:val="00AD4CF1"/>
    <w:rsid w:val="00AD5988"/>
    <w:rsid w:val="00AF43A2"/>
    <w:rsid w:val="00AF7800"/>
    <w:rsid w:val="00B072E0"/>
    <w:rsid w:val="00B253F6"/>
    <w:rsid w:val="00B305DB"/>
    <w:rsid w:val="00B332F8"/>
    <w:rsid w:val="00B3492B"/>
    <w:rsid w:val="00B4646F"/>
    <w:rsid w:val="00B55C7D"/>
    <w:rsid w:val="00B63038"/>
    <w:rsid w:val="00B64BD8"/>
    <w:rsid w:val="00B701D1"/>
    <w:rsid w:val="00B73AF2"/>
    <w:rsid w:val="00B7551A"/>
    <w:rsid w:val="00B773F1"/>
    <w:rsid w:val="00B86AB1"/>
    <w:rsid w:val="00BB2CBB"/>
    <w:rsid w:val="00BC59F1"/>
    <w:rsid w:val="00BF3DE1"/>
    <w:rsid w:val="00BF4843"/>
    <w:rsid w:val="00BF5205"/>
    <w:rsid w:val="00C12508"/>
    <w:rsid w:val="00C14C31"/>
    <w:rsid w:val="00C23728"/>
    <w:rsid w:val="00C45AA2"/>
    <w:rsid w:val="00C519E8"/>
    <w:rsid w:val="00C55BEF"/>
    <w:rsid w:val="00C66296"/>
    <w:rsid w:val="00C77282"/>
    <w:rsid w:val="00C77C4F"/>
    <w:rsid w:val="00C82D02"/>
    <w:rsid w:val="00C84DE5"/>
    <w:rsid w:val="00C86248"/>
    <w:rsid w:val="00C91366"/>
    <w:rsid w:val="00C9331F"/>
    <w:rsid w:val="00CA3985"/>
    <w:rsid w:val="00CA4BBE"/>
    <w:rsid w:val="00CA4C33"/>
    <w:rsid w:val="00CA6F4A"/>
    <w:rsid w:val="00CB5C43"/>
    <w:rsid w:val="00CC5222"/>
    <w:rsid w:val="00CD2119"/>
    <w:rsid w:val="00CD237A"/>
    <w:rsid w:val="00CD36AC"/>
    <w:rsid w:val="00CE13A3"/>
    <w:rsid w:val="00CF1747"/>
    <w:rsid w:val="00D05D24"/>
    <w:rsid w:val="00D23323"/>
    <w:rsid w:val="00D2392A"/>
    <w:rsid w:val="00D25FFE"/>
    <w:rsid w:val="00D31C83"/>
    <w:rsid w:val="00D4476F"/>
    <w:rsid w:val="00D52FD0"/>
    <w:rsid w:val="00D54D50"/>
    <w:rsid w:val="00D56B08"/>
    <w:rsid w:val="00D66797"/>
    <w:rsid w:val="00D7087C"/>
    <w:rsid w:val="00D70C3C"/>
    <w:rsid w:val="00D72BE5"/>
    <w:rsid w:val="00D82F26"/>
    <w:rsid w:val="00D863D0"/>
    <w:rsid w:val="00D87C87"/>
    <w:rsid w:val="00D90E07"/>
    <w:rsid w:val="00DB39CF"/>
    <w:rsid w:val="00DD0BCD"/>
    <w:rsid w:val="00DD447A"/>
    <w:rsid w:val="00DE3B20"/>
    <w:rsid w:val="00DE6C94"/>
    <w:rsid w:val="00DE6FD7"/>
    <w:rsid w:val="00DF228A"/>
    <w:rsid w:val="00E025A8"/>
    <w:rsid w:val="00E23271"/>
    <w:rsid w:val="00E24F80"/>
    <w:rsid w:val="00E259F3"/>
    <w:rsid w:val="00E33238"/>
    <w:rsid w:val="00E4486C"/>
    <w:rsid w:val="00E460B6"/>
    <w:rsid w:val="00E511D5"/>
    <w:rsid w:val="00E60249"/>
    <w:rsid w:val="00E6085D"/>
    <w:rsid w:val="00E65269"/>
    <w:rsid w:val="00E76D66"/>
    <w:rsid w:val="00EA796A"/>
    <w:rsid w:val="00EB1856"/>
    <w:rsid w:val="00EC50CE"/>
    <w:rsid w:val="00EC5B34"/>
    <w:rsid w:val="00EC7323"/>
    <w:rsid w:val="00EE2D5C"/>
    <w:rsid w:val="00EE4ADE"/>
    <w:rsid w:val="00EE5CB7"/>
    <w:rsid w:val="00EF6708"/>
    <w:rsid w:val="00F024FE"/>
    <w:rsid w:val="00F05AD4"/>
    <w:rsid w:val="00F25970"/>
    <w:rsid w:val="00F5180D"/>
    <w:rsid w:val="00F63781"/>
    <w:rsid w:val="00F67496"/>
    <w:rsid w:val="00F801BA"/>
    <w:rsid w:val="00F85E7C"/>
    <w:rsid w:val="00F9366A"/>
    <w:rsid w:val="00F946C9"/>
    <w:rsid w:val="00FA74EE"/>
    <w:rsid w:val="00FC3711"/>
    <w:rsid w:val="00FC46E7"/>
    <w:rsid w:val="00FC5D25"/>
    <w:rsid w:val="00FD0D7E"/>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261E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C3F"/>
    <w:pPr>
      <w:spacing w:before="240" w:line="276" w:lineRule="auto"/>
    </w:pPr>
    <w:rPr>
      <w:rFonts w:ascii="Georgia" w:hAnsi="Georgia"/>
      <w:sz w:val="22"/>
      <w:lang w:eastAsia="en-GB"/>
    </w:rPr>
  </w:style>
  <w:style w:type="paragraph" w:styleId="Heading1">
    <w:name w:val="heading 1"/>
    <w:basedOn w:val="Normal"/>
    <w:next w:val="Normal"/>
    <w:link w:val="Heading1Char"/>
    <w:qFormat/>
    <w:rsid w:val="002F6C3F"/>
    <w:pPr>
      <w:pageBreakBefore/>
      <w:numPr>
        <w:numId w:val="73"/>
      </w:numPr>
      <w:pBdr>
        <w:top w:val="single" w:sz="36" w:space="10" w:color="1F497D"/>
      </w:pBdr>
      <w:spacing w:after="360"/>
      <w:outlineLvl w:val="0"/>
    </w:pPr>
    <w:rPr>
      <w:b/>
      <w:color w:val="1F497D"/>
      <w:sz w:val="40"/>
    </w:rPr>
  </w:style>
  <w:style w:type="paragraph" w:styleId="Heading2">
    <w:name w:val="heading 2"/>
    <w:basedOn w:val="Normal"/>
    <w:next w:val="Normal"/>
    <w:link w:val="Heading2Char"/>
    <w:qFormat/>
    <w:rsid w:val="00CA3985"/>
    <w:pPr>
      <w:keepNext/>
      <w:numPr>
        <w:ilvl w:val="1"/>
        <w:numId w:val="73"/>
      </w:numPr>
      <w:tabs>
        <w:tab w:val="clear" w:pos="6804"/>
        <w:tab w:val="num" w:pos="851"/>
      </w:tabs>
      <w:spacing w:before="480" w:after="120"/>
      <w:ind w:left="851"/>
      <w:outlineLvl w:val="1"/>
    </w:pPr>
    <w:rPr>
      <w:b/>
      <w:color w:val="1F497D"/>
      <w:sz w:val="28"/>
    </w:rPr>
  </w:style>
  <w:style w:type="paragraph" w:styleId="Heading3">
    <w:name w:val="heading 3"/>
    <w:basedOn w:val="Normal"/>
    <w:next w:val="Normal"/>
    <w:link w:val="Heading3Char"/>
    <w:uiPriority w:val="9"/>
    <w:qFormat/>
    <w:rsid w:val="002F6C3F"/>
    <w:pPr>
      <w:keepNext/>
      <w:numPr>
        <w:ilvl w:val="2"/>
        <w:numId w:val="73"/>
      </w:numPr>
      <w:spacing w:after="120"/>
      <w:outlineLvl w:val="2"/>
    </w:pPr>
    <w:rPr>
      <w:b/>
      <w:color w:val="1F497D"/>
      <w:sz w:val="24"/>
    </w:rPr>
  </w:style>
  <w:style w:type="paragraph" w:styleId="Heading4">
    <w:name w:val="heading 4"/>
    <w:basedOn w:val="Normal"/>
    <w:next w:val="Normal"/>
    <w:link w:val="Heading4Char"/>
    <w:uiPriority w:val="9"/>
    <w:qFormat/>
    <w:rsid w:val="000D73BE"/>
    <w:pPr>
      <w:keepNext/>
      <w:outlineLvl w:val="3"/>
    </w:pPr>
    <w:rPr>
      <w:b/>
      <w:i/>
      <w:color w:val="1F497D"/>
      <w:sz w:val="21"/>
    </w:rPr>
  </w:style>
  <w:style w:type="paragraph" w:styleId="Heading5">
    <w:name w:val="heading 5"/>
    <w:basedOn w:val="Normal"/>
    <w:next w:val="Normal"/>
    <w:link w:val="Heading5Char"/>
    <w:uiPriority w:val="9"/>
    <w:qFormat/>
    <w:rsid w:val="0013585C"/>
    <w:pPr>
      <w:keepNext/>
      <w:spacing w:before="120" w:after="120"/>
      <w:outlineLvl w:val="4"/>
    </w:pPr>
    <w:rPr>
      <w:u w:val="single"/>
    </w:rPr>
  </w:style>
  <w:style w:type="paragraph" w:styleId="Heading6">
    <w:name w:val="heading 6"/>
    <w:basedOn w:val="Normal"/>
    <w:next w:val="Normal"/>
    <w:link w:val="Heading6Char"/>
    <w:uiPriority w:val="9"/>
    <w:unhideWhenUsed/>
    <w:rsid w:val="00011AC7"/>
    <w:pPr>
      <w:spacing w:before="120" w:after="120" w:line="271" w:lineRule="auto"/>
      <w:ind w:left="1152" w:hanging="1152"/>
      <w:jc w:val="both"/>
      <w:outlineLvl w:val="5"/>
    </w:pPr>
    <w:rPr>
      <w:rFonts w:ascii="Arial" w:eastAsiaTheme="majorEastAsia" w:hAnsi="Arial" w:cstheme="majorBidi"/>
      <w:b/>
      <w:bCs/>
      <w:iCs/>
      <w:szCs w:val="24"/>
      <w:lang w:eastAsia="en-US"/>
    </w:rPr>
  </w:style>
  <w:style w:type="paragraph" w:styleId="Heading7">
    <w:name w:val="heading 7"/>
    <w:basedOn w:val="Normal"/>
    <w:next w:val="Normal"/>
    <w:link w:val="Heading7Char"/>
    <w:uiPriority w:val="9"/>
    <w:semiHidden/>
    <w:unhideWhenUsed/>
    <w:rsid w:val="00011AC7"/>
    <w:pPr>
      <w:spacing w:before="120" w:after="120" w:line="240" w:lineRule="auto"/>
      <w:ind w:left="1296" w:hanging="1296"/>
      <w:jc w:val="both"/>
      <w:outlineLvl w:val="6"/>
    </w:pPr>
    <w:rPr>
      <w:rFonts w:asciiTheme="majorHAnsi" w:eastAsiaTheme="majorEastAsia" w:hAnsiTheme="majorHAnsi" w:cstheme="majorBidi"/>
      <w:i/>
      <w:iCs/>
      <w:szCs w:val="24"/>
      <w:lang w:eastAsia="en-US"/>
    </w:rPr>
  </w:style>
  <w:style w:type="paragraph" w:styleId="Heading8">
    <w:name w:val="heading 8"/>
    <w:basedOn w:val="Normal"/>
    <w:next w:val="Normal"/>
    <w:link w:val="Heading8Char"/>
    <w:uiPriority w:val="9"/>
    <w:semiHidden/>
    <w:unhideWhenUsed/>
    <w:qFormat/>
    <w:rsid w:val="00011AC7"/>
    <w:pPr>
      <w:spacing w:before="120" w:after="120" w:line="240" w:lineRule="auto"/>
      <w:ind w:left="1440" w:hanging="1440"/>
      <w:jc w:val="both"/>
      <w:outlineLvl w:val="7"/>
    </w:pPr>
    <w:rPr>
      <w:rFonts w:asciiTheme="majorHAnsi" w:eastAsiaTheme="majorEastAsia" w:hAnsiTheme="majorHAnsi" w:cstheme="majorBidi"/>
      <w:sz w:val="20"/>
      <w:lang w:eastAsia="en-US"/>
    </w:rPr>
  </w:style>
  <w:style w:type="paragraph" w:styleId="Heading9">
    <w:name w:val="heading 9"/>
    <w:basedOn w:val="Normal"/>
    <w:next w:val="Normal"/>
    <w:link w:val="Heading9Char"/>
    <w:uiPriority w:val="9"/>
    <w:semiHidden/>
    <w:unhideWhenUsed/>
    <w:qFormat/>
    <w:rsid w:val="00011AC7"/>
    <w:pPr>
      <w:spacing w:before="120" w:after="120" w:line="240" w:lineRule="auto"/>
      <w:ind w:left="1584" w:hanging="1584"/>
      <w:jc w:val="both"/>
      <w:outlineLvl w:val="8"/>
    </w:pPr>
    <w:rPr>
      <w:rFonts w:asciiTheme="majorHAnsi" w:eastAsiaTheme="majorEastAsia" w:hAnsiTheme="majorHAnsi" w:cstheme="majorBidi"/>
      <w:i/>
      <w:iCs/>
      <w:spacing w:val="5"/>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1F4247"/>
    <w:pPr>
      <w:tabs>
        <w:tab w:val="right" w:leader="dot" w:pos="9356"/>
      </w:tabs>
      <w:spacing w:before="300"/>
      <w:ind w:left="567" w:right="567" w:hanging="567"/>
    </w:pPr>
    <w:rPr>
      <w:b/>
      <w:color w:val="1F497D"/>
    </w:rPr>
  </w:style>
  <w:style w:type="paragraph" w:styleId="TOC2">
    <w:name w:val="toc 2"/>
    <w:basedOn w:val="Normal"/>
    <w:next w:val="Normal"/>
    <w:uiPriority w:val="39"/>
    <w:rsid w:val="001F4247"/>
    <w:pPr>
      <w:tabs>
        <w:tab w:val="left" w:pos="284"/>
        <w:tab w:val="right" w:leader="dot" w:pos="9356"/>
      </w:tabs>
      <w:spacing w:before="60"/>
      <w:ind w:left="1134" w:right="567" w:hanging="567"/>
    </w:pPr>
  </w:style>
  <w:style w:type="paragraph" w:styleId="TOC3">
    <w:name w:val="toc 3"/>
    <w:basedOn w:val="Normal"/>
    <w:next w:val="Normal"/>
    <w:uiPriority w:val="39"/>
    <w:rsid w:val="001F4247"/>
    <w:pPr>
      <w:tabs>
        <w:tab w:val="right" w:leader="do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link w:val="QuoteChar"/>
    <w:uiPriority w:val="29"/>
    <w:qFormat/>
    <w:pPr>
      <w:spacing w:before="120"/>
      <w:ind w:left="284" w:right="284"/>
    </w:pPr>
  </w:style>
  <w:style w:type="paragraph" w:styleId="FootnoteText">
    <w:name w:val="footnote text"/>
    <w:basedOn w:val="Normal"/>
    <w:link w:val="FootnoteTextChar"/>
    <w:uiPriority w:val="99"/>
    <w:rsid w:val="003060E4"/>
    <w:pPr>
      <w:spacing w:before="60"/>
      <w:ind w:left="284" w:hanging="284"/>
    </w:pPr>
    <w:rPr>
      <w:sz w:val="18"/>
    </w:rPr>
  </w:style>
  <w:style w:type="paragraph" w:styleId="Header">
    <w:name w:val="header"/>
    <w:basedOn w:val="Normal"/>
    <w:link w:val="HeaderChar"/>
    <w:qFormat/>
    <w:rsid w:val="002F6C3F"/>
    <w:pPr>
      <w:spacing w:before="0"/>
    </w:pPr>
  </w:style>
  <w:style w:type="paragraph" w:styleId="Title">
    <w:name w:val="Title"/>
    <w:basedOn w:val="Normal"/>
    <w:next w:val="Normal"/>
    <w:link w:val="TitleChar"/>
    <w:qFormat/>
    <w:rsid w:val="00162833"/>
    <w:pPr>
      <w:pBdr>
        <w:bottom w:val="single" w:sz="24" w:space="6" w:color="365F91"/>
      </w:pBdr>
      <w:spacing w:after="60"/>
      <w:jc w:val="right"/>
    </w:pPr>
    <w:rPr>
      <w:b/>
      <w:color w:val="1F497D"/>
      <w:sz w:val="52"/>
    </w:rPr>
  </w:style>
  <w:style w:type="paragraph" w:customStyle="1" w:styleId="Imprint">
    <w:name w:val="Imprint"/>
    <w:basedOn w:val="Normal"/>
    <w:next w:val="Normal"/>
    <w:qFormat/>
    <w:rsid w:val="002F6C3F"/>
    <w:pPr>
      <w:spacing w:before="120"/>
    </w:pPr>
  </w:style>
  <w:style w:type="paragraph" w:styleId="Footer">
    <w:name w:val="footer"/>
    <w:basedOn w:val="Normal"/>
    <w:link w:val="FooterChar"/>
    <w:qFormat/>
    <w:rsid w:val="002F6C3F"/>
    <w:pPr>
      <w:pBdr>
        <w:bottom w:val="single" w:sz="4" w:space="4" w:color="auto"/>
      </w:pBdr>
      <w:spacing w:before="0"/>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CA3985"/>
    <w:pPr>
      <w:numPr>
        <w:numId w:val="0"/>
      </w:num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C55BEF"/>
    <w:pPr>
      <w:spacing w:before="80"/>
      <w:ind w:left="284" w:right="2552" w:hanging="284"/>
    </w:pPr>
    <w:rPr>
      <w:rFonts w:ascii="Arial" w:hAnsi="Arial"/>
      <w:sz w:val="18"/>
    </w:rPr>
  </w:style>
  <w:style w:type="paragraph" w:customStyle="1" w:styleId="Subhead">
    <w:name w:val="Subhead"/>
    <w:basedOn w:val="Normal"/>
    <w:next w:val="Normal"/>
    <w:qFormat/>
    <w:rsid w:val="00162833"/>
    <w:pPr>
      <w:jc w:val="right"/>
    </w:pPr>
    <w:rPr>
      <w:b/>
      <w:color w:val="1F497D"/>
      <w:sz w:val="52"/>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C55BEF"/>
    <w:rPr>
      <w:rFonts w:ascii="Arial" w:hAnsi="Arial"/>
      <w:sz w:val="18"/>
      <w:lang w:eastAsia="en-GB"/>
    </w:rPr>
  </w:style>
  <w:style w:type="character" w:customStyle="1" w:styleId="FootnoteTextChar">
    <w:name w:val="Footnote Text Char"/>
    <w:link w:val="FootnoteText"/>
    <w:uiPriority w:val="99"/>
    <w:rsid w:val="003060E4"/>
    <w:rPr>
      <w:rFonts w:ascii="Georgia" w:hAnsi="Georgia"/>
      <w:sz w:val="18"/>
      <w:lang w:eastAsia="en-GB"/>
    </w:rPr>
  </w:style>
  <w:style w:type="table" w:styleId="TableGrid">
    <w:name w:val="Table Grid"/>
    <w:basedOn w:val="TableNormal"/>
    <w:uiPriority w:val="59"/>
    <w:rsid w:val="00503749"/>
    <w:pPr>
      <w:spacing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rsid w:val="002F6C3F"/>
    <w:rPr>
      <w:rFonts w:ascii="Georgia" w:hAnsi="Georgia"/>
      <w:sz w:val="22"/>
      <w:lang w:eastAsia="en-GB"/>
    </w:rPr>
  </w:style>
  <w:style w:type="character" w:customStyle="1" w:styleId="FooterChar">
    <w:name w:val="Footer Char"/>
    <w:link w:val="Footer"/>
    <w:rsid w:val="002F6C3F"/>
    <w:rPr>
      <w:rFonts w:ascii="Georgia" w:hAnsi="Georgia"/>
      <w:sz w:val="22"/>
      <w:lang w:eastAsia="en-GB"/>
    </w:rPr>
  </w:style>
  <w:style w:type="character" w:customStyle="1" w:styleId="Heading1Char">
    <w:name w:val="Heading 1 Char"/>
    <w:link w:val="Heading1"/>
    <w:rsid w:val="002F6C3F"/>
    <w:rPr>
      <w:rFonts w:ascii="Georgia" w:hAnsi="Georgia"/>
      <w:b/>
      <w:color w:val="1F497D"/>
      <w:sz w:val="40"/>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rsid w:val="00CA3985"/>
    <w:rPr>
      <w:rFonts w:ascii="Georgia" w:hAnsi="Georgia"/>
      <w:b/>
      <w:color w:val="1F497D"/>
      <w:sz w:val="28"/>
      <w:lang w:eastAsia="en-GB"/>
    </w:rPr>
  </w:style>
  <w:style w:type="character" w:customStyle="1" w:styleId="Heading3Char">
    <w:name w:val="Heading 3 Char"/>
    <w:link w:val="Heading3"/>
    <w:uiPriority w:val="9"/>
    <w:rsid w:val="002F6C3F"/>
    <w:rPr>
      <w:rFonts w:ascii="Georgia" w:hAnsi="Georgia"/>
      <w:b/>
      <w:color w:val="1F497D"/>
      <w:sz w:val="24"/>
      <w:lang w:eastAsia="en-GB"/>
    </w:rPr>
  </w:style>
  <w:style w:type="paragraph" w:customStyle="1" w:styleId="Year">
    <w:name w:val="Year"/>
    <w:basedOn w:val="Subhead"/>
    <w:next w:val="Subhead"/>
    <w:qFormat/>
    <w:rsid w:val="00162833"/>
    <w:pPr>
      <w:spacing w:before="600"/>
    </w:pPr>
    <w:rPr>
      <w:sz w:val="40"/>
    </w:rPr>
  </w:style>
  <w:style w:type="character" w:customStyle="1" w:styleId="Heading6Char">
    <w:name w:val="Heading 6 Char"/>
    <w:basedOn w:val="DefaultParagraphFont"/>
    <w:link w:val="Heading6"/>
    <w:uiPriority w:val="9"/>
    <w:rsid w:val="00011AC7"/>
    <w:rPr>
      <w:rFonts w:ascii="Arial" w:eastAsiaTheme="majorEastAsia" w:hAnsi="Arial" w:cstheme="majorBidi"/>
      <w:b/>
      <w:bCs/>
      <w:iCs/>
      <w:sz w:val="22"/>
      <w:szCs w:val="24"/>
      <w:lang w:eastAsia="en-US"/>
    </w:rPr>
  </w:style>
  <w:style w:type="character" w:customStyle="1" w:styleId="Heading7Char">
    <w:name w:val="Heading 7 Char"/>
    <w:basedOn w:val="DefaultParagraphFont"/>
    <w:link w:val="Heading7"/>
    <w:uiPriority w:val="9"/>
    <w:semiHidden/>
    <w:rsid w:val="00011AC7"/>
    <w:rPr>
      <w:rFonts w:asciiTheme="majorHAnsi" w:eastAsiaTheme="majorEastAsia" w:hAnsiTheme="majorHAnsi" w:cstheme="majorBidi"/>
      <w:i/>
      <w:iCs/>
      <w:sz w:val="22"/>
      <w:szCs w:val="24"/>
      <w:lang w:eastAsia="en-US"/>
    </w:rPr>
  </w:style>
  <w:style w:type="character" w:customStyle="1" w:styleId="Heading8Char">
    <w:name w:val="Heading 8 Char"/>
    <w:basedOn w:val="DefaultParagraphFont"/>
    <w:link w:val="Heading8"/>
    <w:uiPriority w:val="9"/>
    <w:semiHidden/>
    <w:rsid w:val="00011AC7"/>
    <w:rPr>
      <w:rFonts w:asciiTheme="majorHAnsi" w:eastAsiaTheme="majorEastAsia" w:hAnsiTheme="majorHAnsi" w:cstheme="majorBidi"/>
      <w:lang w:eastAsia="en-US"/>
    </w:rPr>
  </w:style>
  <w:style w:type="character" w:customStyle="1" w:styleId="Heading9Char">
    <w:name w:val="Heading 9 Char"/>
    <w:basedOn w:val="DefaultParagraphFont"/>
    <w:link w:val="Heading9"/>
    <w:uiPriority w:val="9"/>
    <w:semiHidden/>
    <w:rsid w:val="00011AC7"/>
    <w:rPr>
      <w:rFonts w:asciiTheme="majorHAnsi" w:eastAsiaTheme="majorEastAsia" w:hAnsiTheme="majorHAnsi" w:cstheme="majorBidi"/>
      <w:i/>
      <w:iCs/>
      <w:spacing w:val="5"/>
      <w:lang w:eastAsia="en-US"/>
    </w:rPr>
  </w:style>
  <w:style w:type="character" w:customStyle="1" w:styleId="Heading4Char">
    <w:name w:val="Heading 4 Char"/>
    <w:link w:val="Heading4"/>
    <w:uiPriority w:val="9"/>
    <w:rsid w:val="000D73BE"/>
    <w:rPr>
      <w:rFonts w:ascii="Georgia" w:hAnsi="Georgia"/>
      <w:b/>
      <w:i/>
      <w:color w:val="1F497D"/>
      <w:sz w:val="21"/>
      <w:lang w:eastAsia="en-GB"/>
    </w:rPr>
  </w:style>
  <w:style w:type="character" w:customStyle="1" w:styleId="Heading5Char">
    <w:name w:val="Heading 5 Char"/>
    <w:basedOn w:val="DefaultParagraphFont"/>
    <w:link w:val="Heading5"/>
    <w:uiPriority w:val="9"/>
    <w:rsid w:val="00011AC7"/>
    <w:rPr>
      <w:rFonts w:ascii="Georgia" w:hAnsi="Georgia"/>
      <w:sz w:val="22"/>
      <w:u w:val="single"/>
      <w:lang w:eastAsia="en-GB"/>
    </w:rPr>
  </w:style>
  <w:style w:type="character" w:customStyle="1" w:styleId="QuoteChar">
    <w:name w:val="Quote Char"/>
    <w:basedOn w:val="DefaultParagraphFont"/>
    <w:link w:val="Quote"/>
    <w:uiPriority w:val="29"/>
    <w:rsid w:val="00011AC7"/>
    <w:rPr>
      <w:rFonts w:ascii="Georgia" w:hAnsi="Georgia"/>
      <w:sz w:val="22"/>
      <w:lang w:eastAsia="en-GB"/>
    </w:rPr>
  </w:style>
  <w:style w:type="character" w:customStyle="1" w:styleId="TitleChar">
    <w:name w:val="Title Char"/>
    <w:basedOn w:val="DefaultParagraphFont"/>
    <w:link w:val="Title"/>
    <w:rsid w:val="00011AC7"/>
    <w:rPr>
      <w:rFonts w:ascii="Georgia" w:hAnsi="Georgia"/>
      <w:b/>
      <w:color w:val="1F497D"/>
      <w:sz w:val="52"/>
      <w:lang w:eastAsia="en-GB"/>
    </w:rPr>
  </w:style>
  <w:style w:type="paragraph" w:customStyle="1" w:styleId="Heading1-nonumbering">
    <w:name w:val="Heading 1 - no numbering"/>
    <w:basedOn w:val="Heading1"/>
    <w:qFormat/>
    <w:rsid w:val="00AA49C0"/>
    <w:pPr>
      <w:numPr>
        <w:numId w:val="0"/>
      </w:numPr>
    </w:pPr>
  </w:style>
  <w:style w:type="paragraph" w:customStyle="1" w:styleId="Heading2-nonumbering">
    <w:name w:val="Heading 2 - no numbering"/>
    <w:basedOn w:val="Heading2"/>
    <w:qFormat/>
    <w:rsid w:val="00AA49C0"/>
    <w:pPr>
      <w:numPr>
        <w:ilvl w:val="0"/>
        <w:numId w:val="0"/>
      </w:numPr>
      <w:spacing w:before="360"/>
    </w:pPr>
  </w:style>
  <w:style w:type="paragraph" w:customStyle="1" w:styleId="Heading3-nonumbering">
    <w:name w:val="Heading 3 - no numbering"/>
    <w:basedOn w:val="Heading3"/>
    <w:next w:val="Normal"/>
    <w:qFormat/>
    <w:rsid w:val="00593B5E"/>
    <w:pPr>
      <w:numPr>
        <w:ilvl w:val="0"/>
        <w:numId w:val="0"/>
      </w:numPr>
      <w:spacing w:before="360"/>
    </w:pPr>
  </w:style>
  <w:style w:type="paragraph" w:styleId="BalloonText">
    <w:name w:val="Balloon Text"/>
    <w:basedOn w:val="Normal"/>
    <w:link w:val="BalloonTextChar"/>
    <w:uiPriority w:val="99"/>
    <w:semiHidden/>
    <w:unhideWhenUsed/>
    <w:rsid w:val="00C14C3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4C31"/>
    <w:rPr>
      <w:rFonts w:ascii="Segoe UI" w:hAnsi="Segoe UI" w:cs="Segoe UI"/>
      <w:sz w:val="18"/>
      <w:szCs w:val="18"/>
      <w:lang w:eastAsia="en-GB"/>
    </w:rPr>
  </w:style>
  <w:style w:type="character" w:styleId="CommentReference">
    <w:name w:val="annotation reference"/>
    <w:basedOn w:val="DefaultParagraphFont"/>
    <w:uiPriority w:val="99"/>
    <w:semiHidden/>
    <w:unhideWhenUsed/>
    <w:rsid w:val="00C14C31"/>
    <w:rPr>
      <w:sz w:val="16"/>
      <w:szCs w:val="16"/>
    </w:rPr>
  </w:style>
  <w:style w:type="paragraph" w:styleId="CommentText">
    <w:name w:val="annotation text"/>
    <w:basedOn w:val="Normal"/>
    <w:link w:val="CommentTextChar"/>
    <w:uiPriority w:val="99"/>
    <w:semiHidden/>
    <w:unhideWhenUsed/>
    <w:rsid w:val="00C14C31"/>
    <w:pPr>
      <w:spacing w:line="240" w:lineRule="auto"/>
    </w:pPr>
    <w:rPr>
      <w:sz w:val="20"/>
    </w:rPr>
  </w:style>
  <w:style w:type="character" w:customStyle="1" w:styleId="CommentTextChar">
    <w:name w:val="Comment Text Char"/>
    <w:basedOn w:val="DefaultParagraphFont"/>
    <w:link w:val="CommentText"/>
    <w:uiPriority w:val="99"/>
    <w:semiHidden/>
    <w:rsid w:val="00C14C31"/>
    <w:rPr>
      <w:rFonts w:ascii="Georgia" w:hAnsi="Georgia"/>
      <w:lang w:eastAsia="en-GB"/>
    </w:rPr>
  </w:style>
  <w:style w:type="paragraph" w:styleId="CommentSubject">
    <w:name w:val="annotation subject"/>
    <w:basedOn w:val="CommentText"/>
    <w:next w:val="CommentText"/>
    <w:link w:val="CommentSubjectChar"/>
    <w:uiPriority w:val="99"/>
    <w:semiHidden/>
    <w:unhideWhenUsed/>
    <w:rsid w:val="00C14C31"/>
    <w:rPr>
      <w:b/>
      <w:bCs/>
    </w:rPr>
  </w:style>
  <w:style w:type="character" w:customStyle="1" w:styleId="CommentSubjectChar">
    <w:name w:val="Comment Subject Char"/>
    <w:basedOn w:val="CommentTextChar"/>
    <w:link w:val="CommentSubject"/>
    <w:uiPriority w:val="99"/>
    <w:semiHidden/>
    <w:rsid w:val="00C14C31"/>
    <w:rPr>
      <w:rFonts w:ascii="Georgia" w:hAnsi="Georgia"/>
      <w:b/>
      <w:bCs/>
      <w:lang w:eastAsia="en-GB"/>
    </w:rPr>
  </w:style>
  <w:style w:type="paragraph" w:styleId="ListParagraph">
    <w:name w:val="List Paragraph"/>
    <w:basedOn w:val="Normal"/>
    <w:uiPriority w:val="34"/>
    <w:qFormat/>
    <w:rsid w:val="004773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yperlink" Target="http://healthitboard.health.govt.nz/system/files/documents/publications/hisf_update_dec_2015.pdf" TargetMode="External"/><Relationship Id="rId39" Type="http://schemas.openxmlformats.org/officeDocument/2006/relationships/hyperlink" Target="https://ict.govt.nz/governance-and-leadership/the-gcio-team/government-chief-privacy-officer/" TargetMode="External"/><Relationship Id="rId21" Type="http://schemas.openxmlformats.org/officeDocument/2006/relationships/footer" Target="footer7.xml"/><Relationship Id="rId34" Type="http://schemas.openxmlformats.org/officeDocument/2006/relationships/hyperlink" Target="https://privacy.org.nz/further-resources/knowledge-base/" TargetMode="External"/><Relationship Id="rId42" Type="http://schemas.openxmlformats.org/officeDocument/2006/relationships/hyperlink" Target="http://www.oaic.gov.au/privacy/privacy-resources/privacy-guides/pia-guide-qrt" TargetMode="External"/><Relationship Id="rId47" Type="http://schemas.openxmlformats.org/officeDocument/2006/relationships/hyperlink" Target="http://www.whitehouse.gov/omb/inforeg_infopoltech/" TargetMode="External"/><Relationship Id="rId50" Type="http://schemas.openxmlformats.org/officeDocument/2006/relationships/hyperlink" Target="http://www.legislation.govt.nz/act/public/1993/0028/latest/link.aspx?id=DLM2997501" TargetMode="External"/><Relationship Id="rId55" Type="http://schemas.openxmlformats.org/officeDocument/2006/relationships/hyperlink" Target="http://www.legislation.govt.nz/act/public/1993/0028/latest/link.aspx?id=DLM175958" TargetMode="External"/><Relationship Id="rId63" Type="http://schemas.openxmlformats.org/officeDocument/2006/relationships/hyperlink" Target="http://www.legislation.govt.nz/act/public/1993/0028/latest/DLM5060451.html"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healthitboard.health.govt.nz/standards/approved-standards/hiso-100292015-health-information-security-framewor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health.govt.nz/publication/framework-health-literacy" TargetMode="External"/><Relationship Id="rId32" Type="http://schemas.openxmlformats.org/officeDocument/2006/relationships/hyperlink" Target="http://www.legislation.govt.nz" TargetMode="External"/><Relationship Id="rId37" Type="http://schemas.openxmlformats.org/officeDocument/2006/relationships/hyperlink" Target="http://www.privacy.org.nz/news-and-publications/guidance-notes/privacy-impact-assessment-handbook/" TargetMode="External"/><Relationship Id="rId40" Type="http://schemas.openxmlformats.org/officeDocument/2006/relationships/hyperlink" Target="mailto:gcpo@dia.govt.nz" TargetMode="External"/><Relationship Id="rId45" Type="http://schemas.openxmlformats.org/officeDocument/2006/relationships/hyperlink" Target="http://ico.org.uk/for_organisations/data_protection/topic_guides/privacy_impact_assessment" TargetMode="External"/><Relationship Id="rId53" Type="http://schemas.openxmlformats.org/officeDocument/2006/relationships/hyperlink" Target="http://www.legislation.govt.nz/act/public/1993/0028/latest/link.aspx?id=DLM412001" TargetMode="External"/><Relationship Id="rId58" Type="http://schemas.openxmlformats.org/officeDocument/2006/relationships/hyperlink" Target="http://www.legislation.govt.nz/act/public/1993/0028/latest/link.aspx?id=DLM181706" TargetMode="External"/><Relationship Id="rId66"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creativecommons.org/licenses/by-nd/4.0/" TargetMode="External"/><Relationship Id="rId23" Type="http://schemas.openxmlformats.org/officeDocument/2006/relationships/hyperlink" Target="http://en.wikipedia.org/wiki/Procedural_law" TargetMode="External"/><Relationship Id="rId28" Type="http://schemas.openxmlformats.org/officeDocument/2006/relationships/hyperlink" Target="http://ithealthboard.health.nz/hiso-10029-health-information-security-framework" TargetMode="External"/><Relationship Id="rId36" Type="http://schemas.openxmlformats.org/officeDocument/2006/relationships/image" Target="media/image4.emf"/><Relationship Id="rId49" Type="http://schemas.openxmlformats.org/officeDocument/2006/relationships/hyperlink" Target="http://www.legislation.govt.nz/act/public/1993/0028/latest/link.aspx?id=DLM104120" TargetMode="External"/><Relationship Id="rId57" Type="http://schemas.openxmlformats.org/officeDocument/2006/relationships/hyperlink" Target="http://www.legislation.govt.nz/act/public/1993/0028/latest/link.aspx?id=DLM359106" TargetMode="External"/><Relationship Id="rId61" Type="http://schemas.openxmlformats.org/officeDocument/2006/relationships/hyperlink" Target="http://privacy.org.nz/the-privacy-act-and-codes/codes-of-practice/" TargetMode="Externa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yperlink" Target="http://privacy.org.nz/assets/Files/Codes-of-Practice-materials/HIPC-1994-incl.-amendments-revised-commentary.pdf" TargetMode="External"/><Relationship Id="rId44" Type="http://schemas.openxmlformats.org/officeDocument/2006/relationships/hyperlink" Target="http://www.cio.gov.bc.ca/cio/priv_leg/foippa/pia/pia_index.page" TargetMode="External"/><Relationship Id="rId52" Type="http://schemas.openxmlformats.org/officeDocument/2006/relationships/hyperlink" Target="http://www.legislation.govt.nz/act/public/1993/0028/latest/link.aspx?id=DLM359106" TargetMode="External"/><Relationship Id="rId60" Type="http://schemas.openxmlformats.org/officeDocument/2006/relationships/hyperlink" Target="http://privacy.org.nz/the-privacy-act-and-codes/privacy-principles/" TargetMode="External"/><Relationship Id="rId65"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healthitboard.health.govt.nz/system/files/documents/publications/hisf_update_dec_2015.pdf" TargetMode="External"/><Relationship Id="rId27" Type="http://schemas.openxmlformats.org/officeDocument/2006/relationships/hyperlink" Target="mailto:cloudcomputing@moh.govt.nz" TargetMode="External"/><Relationship Id="rId30" Type="http://schemas.openxmlformats.org/officeDocument/2006/relationships/hyperlink" Target="http://privacy.org.nz/assets/Files/Codes-of-Practice-materials/HIPC-1994-incl.-amendments-revised-commentary.pdf" TargetMode="External"/><Relationship Id="rId35" Type="http://schemas.openxmlformats.org/officeDocument/2006/relationships/hyperlink" Target="http://ethics.health.govt.nz/operating-procedures" TargetMode="External"/><Relationship Id="rId43" Type="http://schemas.openxmlformats.org/officeDocument/2006/relationships/hyperlink" Target="http://www.privacybydesign.ca/" TargetMode="External"/><Relationship Id="rId48" Type="http://schemas.openxmlformats.org/officeDocument/2006/relationships/hyperlink" Target="http://www.nist.gov/manuscript-publication-search.cfm?pub_id=915447" TargetMode="External"/><Relationship Id="rId56" Type="http://schemas.openxmlformats.org/officeDocument/2006/relationships/hyperlink" Target="http://www.legislation.govt.nz/act/public/1993/0028/latest/link.aspx?id=DLM185127" TargetMode="External"/><Relationship Id="rId64" Type="http://schemas.openxmlformats.org/officeDocument/2006/relationships/footer" Target="footer8.xm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www.legislation.govt.nz/act/public/1993/0028/latest/link.aspx?id=DLM269435"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yperlink" Target="https://www.privacy.org.nz/further-resources/online-privacy-training-free/" TargetMode="External"/><Relationship Id="rId33" Type="http://schemas.openxmlformats.org/officeDocument/2006/relationships/hyperlink" Target="http://www.privacy.org.nz" TargetMode="External"/><Relationship Id="rId38" Type="http://schemas.openxmlformats.org/officeDocument/2006/relationships/hyperlink" Target="http://www.privacy.org.nz/the-privacy-act-and-codes/privacy-principles/" TargetMode="External"/><Relationship Id="rId46" Type="http://schemas.openxmlformats.org/officeDocument/2006/relationships/hyperlink" Target="http://www.whitehouse.gov/sites/default/files/omb/inforeg/info_policy/model-pia-agency-use-third-party-websites-and-applications.pdf" TargetMode="External"/><Relationship Id="rId59" Type="http://schemas.openxmlformats.org/officeDocument/2006/relationships/hyperlink" Target="http://www.legislation.govt.nz/act/public/1993/0028/latest/link.aspx?id=DLM5770797" TargetMode="External"/><Relationship Id="rId67" Type="http://schemas.openxmlformats.org/officeDocument/2006/relationships/image" Target="media/image7.png"/><Relationship Id="rId20" Type="http://schemas.openxmlformats.org/officeDocument/2006/relationships/footer" Target="footer6.xml"/><Relationship Id="rId41" Type="http://schemas.openxmlformats.org/officeDocument/2006/relationships/hyperlink" Target="http://www.oaic.gov.au/privacy/privacy-resources/privacy-guides/guide-to-undertaking-privacy-impact-assessments" TargetMode="External"/><Relationship Id="rId54" Type="http://schemas.openxmlformats.org/officeDocument/2006/relationships/hyperlink" Target="http://www.legislation.govt.nz/act/public/1993/0028/latest/link.aspx?id=DLM364757" TargetMode="External"/><Relationship Id="rId62" Type="http://schemas.openxmlformats.org/officeDocument/2006/relationships/hyperlink" Target="http://www.legislation.govt.nz/act/public/1993/0028/latest/DLM5060448.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mcnz.org.nz/assets/News-and-Publications/Statements/Maintenance-and-retention-of-records.pdf" TargetMode="External"/><Relationship Id="rId13" Type="http://schemas.openxmlformats.org/officeDocument/2006/relationships/hyperlink" Target="http://www.ahrq.gov/professionals/quality-patient-safety/quality-resources/tools/literacy-toolkit/healthliteracytoolkit.pdf" TargetMode="External"/><Relationship Id="rId18" Type="http://schemas.openxmlformats.org/officeDocument/2006/relationships/hyperlink" Target="https://www.msd.govt.nz/documents/about-msd-and-our-work/about-msd/legislation/code-of-conduct-section-11-ssa.pdf" TargetMode="External"/><Relationship Id="rId3" Type="http://schemas.openxmlformats.org/officeDocument/2006/relationships/hyperlink" Target="https://www.gov.uk/government/uploads/system/uploads/attachment_data/file/384650/NIB_Report.pdf" TargetMode="External"/><Relationship Id="rId7" Type="http://schemas.openxmlformats.org/officeDocument/2006/relationships/hyperlink" Target="http://legislation.govt.nz/regulation/public/1996/0343/latest/DLM225616.html" TargetMode="External"/><Relationship Id="rId12" Type="http://schemas.openxmlformats.org/officeDocument/2006/relationships/hyperlink" Target="http://www.ahrq.gov/professionals/quality-patient-safety/quality-resources/tools/literacy-toolkit/healthliteracytoolkit.pdf" TargetMode="External"/><Relationship Id="rId17" Type="http://schemas.openxmlformats.org/officeDocument/2006/relationships/hyperlink" Target="http://www.legislation.govt.nz/act/public/1964/0136/latest/DLM360781.html?search=ts_act%40bill%40regulation%40deemedreg_social+security+act_resel_25_a&amp;p=1" TargetMode="External"/><Relationship Id="rId2" Type="http://schemas.openxmlformats.org/officeDocument/2006/relationships/hyperlink" Target="https://www.mcnz.org.nz/assets/News-and-Publications/Coles/Coles-Medical-Practice-in-New-Zealand-2013.pdf" TargetMode="External"/><Relationship Id="rId16" Type="http://schemas.openxmlformats.org/officeDocument/2006/relationships/hyperlink" Target="http://privacy.org.nz/assets/Files/Codes-of-Practice-materials/HIPC-1994-incl.-amendments-revised-commentary.pdf" TargetMode="External"/><Relationship Id="rId1" Type="http://schemas.openxmlformats.org/officeDocument/2006/relationships/hyperlink" Target="http://hiqa.ie/healthcare/health-information/information-governance" TargetMode="External"/><Relationship Id="rId6" Type="http://schemas.openxmlformats.org/officeDocument/2006/relationships/hyperlink" Target="https://shop.standards.govt.nz/catalog/8153%3A2002(NZS)/view" TargetMode="External"/><Relationship Id="rId11" Type="http://schemas.openxmlformats.org/officeDocument/2006/relationships/hyperlink" Target="http://www.health.govt.nz/system/files/documents/pages/eligibility-direction-2011.pdf" TargetMode="External"/><Relationship Id="rId5" Type="http://schemas.openxmlformats.org/officeDocument/2006/relationships/hyperlink" Target="http://hiqa.ie/healthcare/health-information/information-governance" TargetMode="External"/><Relationship Id="rId15" Type="http://schemas.openxmlformats.org/officeDocument/2006/relationships/hyperlink" Target="http://healthitboard.health.govt.nz/hiso-10029-health-information-security-framework" TargetMode="External"/><Relationship Id="rId10" Type="http://schemas.openxmlformats.org/officeDocument/2006/relationships/hyperlink" Target="https://www.privacy.org.nz/assets/Uploads/Privacy-Impact-Assessment-Handbook-June2007.pdf" TargetMode="External"/><Relationship Id="rId19" Type="http://schemas.openxmlformats.org/officeDocument/2006/relationships/hyperlink" Target="http://www.legislation.govt.nz/act/public/1956/0065/latest/DLM306662.html" TargetMode="External"/><Relationship Id="rId4" Type="http://schemas.openxmlformats.org/officeDocument/2006/relationships/hyperlink" Target="http://www.dpmc.govt.nz/cabinet/circulars/co08/1" TargetMode="External"/><Relationship Id="rId9" Type="http://schemas.openxmlformats.org/officeDocument/2006/relationships/hyperlink" Target="http://shop.standards.co.nz/catalog/8153%3A2002(NZS)/view" TargetMode="External"/><Relationship Id="rId14" Type="http://schemas.openxmlformats.org/officeDocument/2006/relationships/hyperlink" Target="mailto:standards@moh.govt.n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39848-D8A5-49EC-821E-88C1BDCA2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F7ECC228</Template>
  <TotalTime>0</TotalTime>
  <Pages>76</Pages>
  <Words>20338</Words>
  <Characters>118704</Characters>
  <Application>Microsoft Office Word</Application>
  <DocSecurity>0</DocSecurity>
  <Lines>989</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2017-08-28T04:15:00Z</dcterms:created>
  <dcterms:modified xsi:type="dcterms:W3CDTF">2017-08-28T04:16:00Z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