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350"/>
      </w:tblGrid>
      <w:tr w:rsidR="002719A5" w:rsidRPr="00E65B46">
        <w:trPr>
          <w:jc w:val="center"/>
        </w:trPr>
        <w:tc>
          <w:tcPr>
            <w:tcW w:w="3936" w:type="dxa"/>
          </w:tcPr>
          <w:p w:rsidR="002719A5" w:rsidRPr="00E65B46" w:rsidRDefault="00E12196" w:rsidP="00763BEA">
            <w:pPr>
              <w:pStyle w:val="Header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ja-JP"/>
              </w:rPr>
              <w:drawing>
                <wp:inline distT="0" distB="0" distL="0" distR="0">
                  <wp:extent cx="1266825" cy="866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65" r="20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ja-JP"/>
              </w:rPr>
              <w:drawing>
                <wp:inline distT="0" distB="0" distL="0" distR="0">
                  <wp:extent cx="1362075" cy="333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2719A5" w:rsidRPr="00484C70" w:rsidRDefault="002719A5">
            <w:pPr>
              <w:pStyle w:val="Header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610AD" w:rsidRPr="00E65B46" w:rsidRDefault="006610AD" w:rsidP="003A3DDB">
            <w:pPr>
              <w:pStyle w:val="Header"/>
              <w:jc w:val="center"/>
              <w:rPr>
                <w:rFonts w:ascii="Arial" w:hAnsi="Arial"/>
                <w:b/>
                <w:sz w:val="28"/>
              </w:rPr>
            </w:pPr>
            <w:r w:rsidRPr="00E65B46">
              <w:rPr>
                <w:rFonts w:ascii="Arial" w:hAnsi="Arial"/>
                <w:b/>
                <w:sz w:val="28"/>
              </w:rPr>
              <w:t>Qu</w:t>
            </w:r>
            <w:r w:rsidR="00935A8D" w:rsidRPr="00E65B46">
              <w:rPr>
                <w:rFonts w:ascii="Arial" w:hAnsi="Arial"/>
                <w:b/>
                <w:sz w:val="28"/>
              </w:rPr>
              <w:t>ality</w:t>
            </w:r>
            <w:r w:rsidRPr="00E65B46">
              <w:rPr>
                <w:rFonts w:ascii="Arial" w:hAnsi="Arial"/>
                <w:b/>
                <w:sz w:val="28"/>
              </w:rPr>
              <w:t xml:space="preserve"> Imp</w:t>
            </w:r>
            <w:r w:rsidR="00935A8D" w:rsidRPr="00E65B46">
              <w:rPr>
                <w:rFonts w:ascii="Arial" w:hAnsi="Arial"/>
                <w:b/>
                <w:sz w:val="28"/>
              </w:rPr>
              <w:t>rov</w:t>
            </w:r>
            <w:r w:rsidR="00107645">
              <w:rPr>
                <w:rFonts w:ascii="Arial" w:hAnsi="Arial"/>
                <w:b/>
                <w:sz w:val="28"/>
              </w:rPr>
              <w:t>e</w:t>
            </w:r>
            <w:r w:rsidR="00935A8D" w:rsidRPr="00E65B46">
              <w:rPr>
                <w:rFonts w:ascii="Arial" w:hAnsi="Arial"/>
                <w:b/>
                <w:sz w:val="28"/>
              </w:rPr>
              <w:t>ment</w:t>
            </w:r>
            <w:r w:rsidRPr="00E65B46">
              <w:rPr>
                <w:rFonts w:ascii="Arial" w:hAnsi="Arial"/>
                <w:b/>
                <w:sz w:val="28"/>
              </w:rPr>
              <w:t xml:space="preserve"> </w:t>
            </w:r>
            <w:r w:rsidR="00107645" w:rsidRPr="00E65B46">
              <w:rPr>
                <w:rFonts w:ascii="Arial" w:hAnsi="Arial"/>
                <w:b/>
                <w:sz w:val="28"/>
              </w:rPr>
              <w:t>Activity</w:t>
            </w:r>
          </w:p>
          <w:p w:rsidR="002719A5" w:rsidRDefault="002719A5" w:rsidP="00484C70">
            <w:pPr>
              <w:pStyle w:val="Header"/>
              <w:jc w:val="center"/>
              <w:rPr>
                <w:rFonts w:ascii="Arial" w:hAnsi="Arial"/>
                <w:b/>
                <w:sz w:val="28"/>
              </w:rPr>
            </w:pPr>
            <w:r w:rsidRPr="00E65B46">
              <w:rPr>
                <w:rFonts w:ascii="Arial" w:hAnsi="Arial"/>
                <w:b/>
                <w:sz w:val="28"/>
              </w:rPr>
              <w:t>Terms of Reference</w:t>
            </w:r>
          </w:p>
          <w:p w:rsidR="00484C70" w:rsidRPr="00484C70" w:rsidRDefault="00484C70" w:rsidP="00484C70">
            <w:pPr>
              <w:pStyle w:val="Header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719A5" w:rsidRPr="00E65B46" w:rsidRDefault="002719A5">
      <w:pPr>
        <w:pStyle w:val="BodyText"/>
        <w:rPr>
          <w:rFonts w:ascii="Arial" w:hAnsi="Arial" w:cs="Arial"/>
          <w:sz w:val="16"/>
          <w:szCs w:val="16"/>
          <w:lang w:val="en-NZ"/>
        </w:rPr>
      </w:pPr>
    </w:p>
    <w:p w:rsidR="0058406F" w:rsidRPr="00E65B46" w:rsidRDefault="006610AD" w:rsidP="007F30C5">
      <w:pPr>
        <w:pStyle w:val="BodyText"/>
        <w:outlineLvl w:val="0"/>
        <w:rPr>
          <w:rFonts w:ascii="Arial" w:hAnsi="Arial" w:cs="Arial"/>
          <w:sz w:val="22"/>
          <w:szCs w:val="22"/>
          <w:lang w:val="en-NZ"/>
        </w:rPr>
      </w:pPr>
      <w:r w:rsidRPr="00E65B46">
        <w:rPr>
          <w:rFonts w:ascii="Arial" w:hAnsi="Arial" w:cs="Arial"/>
          <w:sz w:val="22"/>
          <w:szCs w:val="22"/>
          <w:lang w:val="en-NZ"/>
        </w:rPr>
        <w:t>XX</w:t>
      </w:r>
      <w:r w:rsidR="0058406F" w:rsidRPr="00E65B46">
        <w:rPr>
          <w:rFonts w:ascii="Arial" w:hAnsi="Arial" w:cs="Arial"/>
          <w:sz w:val="22"/>
          <w:szCs w:val="22"/>
          <w:lang w:val="en-NZ"/>
        </w:rPr>
        <w:t xml:space="preserve">DHB Audit Aims: </w:t>
      </w:r>
    </w:p>
    <w:p w:rsidR="0058406F" w:rsidRPr="00E65B46" w:rsidRDefault="0058406F" w:rsidP="0058406F">
      <w:pPr>
        <w:pStyle w:val="BodyText"/>
        <w:rPr>
          <w:rFonts w:ascii="Arial" w:hAnsi="Arial" w:cs="Arial"/>
          <w:sz w:val="16"/>
          <w:szCs w:val="16"/>
          <w:lang w:val="en-NZ"/>
        </w:rPr>
      </w:pPr>
    </w:p>
    <w:p w:rsidR="0058406F" w:rsidRPr="00E65B46" w:rsidRDefault="0058406F" w:rsidP="0058406F">
      <w:pPr>
        <w:pStyle w:val="BodyText"/>
        <w:rPr>
          <w:rFonts w:ascii="Arial" w:hAnsi="Arial" w:cs="Arial"/>
          <w:b w:val="0"/>
          <w:bCs w:val="0"/>
          <w:sz w:val="20"/>
          <w:lang w:val="en-NZ"/>
        </w:rPr>
      </w:pPr>
      <w:r w:rsidRPr="00E65B46">
        <w:rPr>
          <w:rFonts w:ascii="Arial" w:hAnsi="Arial" w:cs="Arial"/>
          <w:b w:val="0"/>
          <w:bCs w:val="0"/>
          <w:sz w:val="20"/>
          <w:lang w:val="en-NZ"/>
        </w:rPr>
        <w:sym w:font="Wingdings 2" w:char="F052"/>
      </w:r>
      <w:r w:rsidRPr="00E65B46">
        <w:rPr>
          <w:rFonts w:ascii="Arial" w:hAnsi="Arial" w:cs="Arial"/>
          <w:b w:val="0"/>
          <w:bCs w:val="0"/>
          <w:sz w:val="20"/>
          <w:lang w:val="en-NZ"/>
        </w:rPr>
        <w:tab/>
        <w:t>To identify actual or potentia</w:t>
      </w:r>
      <w:r w:rsidR="00665CB1">
        <w:rPr>
          <w:rFonts w:ascii="Arial" w:hAnsi="Arial" w:cs="Arial"/>
          <w:b w:val="0"/>
          <w:bCs w:val="0"/>
          <w:sz w:val="20"/>
          <w:lang w:val="en-NZ"/>
        </w:rPr>
        <w:t>l adverse outcomes or processes</w:t>
      </w:r>
    </w:p>
    <w:p w:rsidR="0058406F" w:rsidRPr="00E65B46" w:rsidRDefault="0058406F" w:rsidP="0058406F">
      <w:pPr>
        <w:pStyle w:val="BodyText"/>
        <w:ind w:left="567" w:hanging="567"/>
        <w:rPr>
          <w:rFonts w:ascii="Arial" w:hAnsi="Arial" w:cs="Arial"/>
          <w:b w:val="0"/>
          <w:bCs w:val="0"/>
          <w:sz w:val="20"/>
          <w:lang w:val="en-NZ"/>
        </w:rPr>
      </w:pPr>
      <w:r w:rsidRPr="00E65B46">
        <w:rPr>
          <w:rFonts w:ascii="Arial" w:hAnsi="Arial" w:cs="Arial"/>
          <w:b w:val="0"/>
          <w:bCs w:val="0"/>
          <w:sz w:val="20"/>
          <w:lang w:val="en-NZ"/>
        </w:rPr>
        <w:sym w:font="Wingdings 2" w:char="F052"/>
      </w:r>
      <w:r w:rsidRPr="00E65B46">
        <w:rPr>
          <w:rFonts w:ascii="Arial" w:hAnsi="Arial" w:cs="Arial"/>
          <w:b w:val="0"/>
          <w:bCs w:val="0"/>
          <w:sz w:val="20"/>
          <w:lang w:val="en-NZ"/>
        </w:rPr>
        <w:tab/>
        <w:t>To identify ways of solving problems and/or preventin</w:t>
      </w:r>
      <w:r w:rsidR="00665CB1">
        <w:rPr>
          <w:rFonts w:ascii="Arial" w:hAnsi="Arial" w:cs="Arial"/>
          <w:b w:val="0"/>
          <w:bCs w:val="0"/>
          <w:sz w:val="20"/>
          <w:lang w:val="en-NZ"/>
        </w:rPr>
        <w:t>g adverse outcomes or processes</w:t>
      </w:r>
    </w:p>
    <w:p w:rsidR="0058406F" w:rsidRPr="00E65B46" w:rsidRDefault="0058406F" w:rsidP="0058406F">
      <w:pPr>
        <w:pStyle w:val="BodyText"/>
        <w:ind w:left="567" w:hanging="567"/>
        <w:rPr>
          <w:rFonts w:ascii="Arial" w:hAnsi="Arial" w:cs="Arial"/>
          <w:b w:val="0"/>
          <w:bCs w:val="0"/>
          <w:sz w:val="20"/>
          <w:lang w:val="en-NZ"/>
        </w:rPr>
      </w:pPr>
      <w:r w:rsidRPr="00E65B46">
        <w:rPr>
          <w:rFonts w:ascii="Arial" w:hAnsi="Arial" w:cs="Arial"/>
          <w:b w:val="0"/>
          <w:bCs w:val="0"/>
          <w:sz w:val="20"/>
          <w:lang w:val="en-NZ"/>
        </w:rPr>
        <w:sym w:font="Wingdings 2" w:char="F052"/>
      </w:r>
      <w:r w:rsidRPr="00E65B46">
        <w:rPr>
          <w:rFonts w:ascii="Arial" w:hAnsi="Arial" w:cs="Arial"/>
          <w:b w:val="0"/>
          <w:bCs w:val="0"/>
          <w:sz w:val="20"/>
          <w:lang w:val="en-NZ"/>
        </w:rPr>
        <w:tab/>
        <w:t>To communicate findings and improvement initiatives</w:t>
      </w:r>
      <w:r w:rsidR="00665CB1">
        <w:rPr>
          <w:rFonts w:ascii="Arial" w:hAnsi="Arial" w:cs="Arial"/>
          <w:b w:val="0"/>
          <w:bCs w:val="0"/>
          <w:sz w:val="20"/>
          <w:lang w:val="en-NZ"/>
        </w:rPr>
        <w:t xml:space="preserve"> with relevant key stakeholders</w:t>
      </w:r>
    </w:p>
    <w:p w:rsidR="0058406F" w:rsidRPr="00E65B46" w:rsidRDefault="0058406F" w:rsidP="006610AD">
      <w:pPr>
        <w:pStyle w:val="BodyText"/>
        <w:numPr>
          <w:ilvl w:val="0"/>
          <w:numId w:val="7"/>
        </w:numPr>
        <w:tabs>
          <w:tab w:val="clear" w:pos="930"/>
          <w:tab w:val="num" w:pos="567"/>
        </w:tabs>
        <w:ind w:hanging="930"/>
        <w:rPr>
          <w:rFonts w:ascii="Arial" w:hAnsi="Arial" w:cs="Arial"/>
          <w:b w:val="0"/>
          <w:bCs w:val="0"/>
          <w:sz w:val="20"/>
          <w:lang w:val="en-NZ"/>
        </w:rPr>
      </w:pPr>
      <w:r w:rsidRPr="00E65B46">
        <w:rPr>
          <w:rFonts w:ascii="Arial" w:hAnsi="Arial" w:cs="Arial"/>
          <w:b w:val="0"/>
          <w:bCs w:val="0"/>
          <w:sz w:val="20"/>
          <w:lang w:val="en-NZ"/>
        </w:rPr>
        <w:t>To promote learning and improvement</w:t>
      </w:r>
      <w:r w:rsidR="006610AD" w:rsidRPr="00E65B46">
        <w:rPr>
          <w:rFonts w:ascii="Arial" w:hAnsi="Arial" w:cs="Arial"/>
          <w:b w:val="0"/>
          <w:bCs w:val="0"/>
          <w:sz w:val="20"/>
          <w:lang w:val="en-NZ"/>
        </w:rPr>
        <w:t xml:space="preserve"> of VIP</w:t>
      </w:r>
      <w:r w:rsidRPr="00E65B46">
        <w:rPr>
          <w:rFonts w:ascii="Arial" w:hAnsi="Arial" w:cs="Arial"/>
          <w:b w:val="0"/>
          <w:bCs w:val="0"/>
          <w:sz w:val="20"/>
          <w:lang w:val="en-NZ"/>
        </w:rPr>
        <w:t xml:space="preserve"> within </w:t>
      </w:r>
      <w:r w:rsidR="006610AD" w:rsidRPr="00E65B46">
        <w:rPr>
          <w:rFonts w:ascii="Arial" w:hAnsi="Arial" w:cs="Arial"/>
          <w:b w:val="0"/>
          <w:bCs w:val="0"/>
          <w:sz w:val="20"/>
          <w:lang w:val="en-NZ"/>
        </w:rPr>
        <w:t>XX</w:t>
      </w:r>
      <w:r w:rsidR="00665CB1">
        <w:rPr>
          <w:rFonts w:ascii="Arial" w:hAnsi="Arial" w:cs="Arial"/>
          <w:b w:val="0"/>
          <w:bCs w:val="0"/>
          <w:sz w:val="20"/>
          <w:lang w:val="en-NZ"/>
        </w:rPr>
        <w:t>DHB</w:t>
      </w:r>
    </w:p>
    <w:p w:rsidR="006610AD" w:rsidRPr="00E65B46" w:rsidRDefault="006610AD" w:rsidP="006610AD">
      <w:pPr>
        <w:pStyle w:val="BodyText"/>
        <w:numPr>
          <w:ilvl w:val="0"/>
          <w:numId w:val="7"/>
        </w:numPr>
        <w:tabs>
          <w:tab w:val="clear" w:pos="930"/>
          <w:tab w:val="num" w:pos="567"/>
        </w:tabs>
        <w:ind w:hanging="930"/>
        <w:rPr>
          <w:rFonts w:ascii="Arial" w:hAnsi="Arial" w:cs="Arial"/>
          <w:sz w:val="20"/>
          <w:u w:val="single"/>
          <w:lang w:val="en-NZ"/>
        </w:rPr>
      </w:pPr>
      <w:r w:rsidRPr="00E65B46">
        <w:rPr>
          <w:rFonts w:ascii="Arial" w:hAnsi="Arial" w:cs="Arial"/>
          <w:b w:val="0"/>
          <w:bCs w:val="0"/>
          <w:sz w:val="20"/>
          <w:lang w:val="en-NZ"/>
        </w:rPr>
        <w:t xml:space="preserve">To enhance </w:t>
      </w:r>
      <w:r w:rsidR="00107645" w:rsidRPr="00E65B46">
        <w:rPr>
          <w:rFonts w:ascii="Arial" w:hAnsi="Arial" w:cs="Arial"/>
          <w:b w:val="0"/>
          <w:bCs w:val="0"/>
          <w:sz w:val="20"/>
          <w:lang w:val="en-NZ"/>
        </w:rPr>
        <w:t>interagency</w:t>
      </w:r>
      <w:r w:rsidRPr="00E65B46">
        <w:rPr>
          <w:rFonts w:ascii="Arial" w:hAnsi="Arial" w:cs="Arial"/>
          <w:b w:val="0"/>
          <w:bCs w:val="0"/>
          <w:sz w:val="20"/>
          <w:lang w:val="en-NZ"/>
        </w:rPr>
        <w:t xml:space="preserve"> collaboration</w:t>
      </w:r>
    </w:p>
    <w:p w:rsidR="0058406F" w:rsidRPr="00E65B46" w:rsidRDefault="0058406F">
      <w:pPr>
        <w:pStyle w:val="BodyText"/>
        <w:rPr>
          <w:rFonts w:ascii="Arial" w:hAnsi="Arial" w:cs="Arial"/>
          <w:b w:val="0"/>
          <w:bCs w:val="0"/>
          <w:sz w:val="16"/>
          <w:szCs w:val="16"/>
          <w:lang w:val="en-N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87"/>
      </w:tblGrid>
      <w:tr w:rsidR="002719A5" w:rsidRPr="00E65B46" w:rsidTr="006D3334">
        <w:tc>
          <w:tcPr>
            <w:tcW w:w="2802" w:type="dxa"/>
          </w:tcPr>
          <w:p w:rsidR="002719A5" w:rsidRPr="00E65B46" w:rsidRDefault="00935A8D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 xml:space="preserve">Activity </w:t>
            </w:r>
            <w:r w:rsidR="002719A5" w:rsidRPr="00E65B46">
              <w:rPr>
                <w:rFonts w:ascii="Arial" w:hAnsi="Arial" w:cs="Arial"/>
                <w:sz w:val="22"/>
                <w:szCs w:val="22"/>
                <w:lang w:val="en-NZ"/>
              </w:rPr>
              <w:t>Title:</w:t>
            </w:r>
          </w:p>
          <w:p w:rsidR="00B773BA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Name of </w:t>
            </w:r>
            <w:r w:rsidR="00935A8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Quality Improvement Activity (QIA) /Audit</w:t>
            </w:r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(usually reflects the title of the associated policy/guiding document/standard)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DF6C9C" w:rsidRPr="00DF6C9C" w:rsidRDefault="00DF6C9C" w:rsidP="00DF6C9C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Clinical Audit of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the</w:t>
            </w:r>
            <w:r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Violence Intervention Programme</w:t>
            </w:r>
            <w:r w:rsidR="0060706A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: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Intimate Partner Violence </w:t>
            </w:r>
            <w:r w:rsidR="00C4691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(IPV)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routine enquiry</w:t>
            </w:r>
            <w:r w:rsidR="0060706A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and documentation of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risk and health assessment and </w:t>
            </w:r>
            <w:r w:rsidR="0060706A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intervention</w:t>
            </w:r>
          </w:p>
          <w:p w:rsidR="004C11F8" w:rsidRPr="00E65B46" w:rsidRDefault="004C11F8" w:rsidP="00E8101A">
            <w:pPr>
              <w:pStyle w:val="CommentText"/>
              <w:rPr>
                <w:rFonts w:ascii="Arial" w:hAnsi="Arial" w:cs="Arial"/>
                <w:b/>
              </w:rPr>
            </w:pPr>
          </w:p>
        </w:tc>
      </w:tr>
      <w:tr w:rsidR="002719A5" w:rsidRPr="00E65B46" w:rsidTr="006D3334">
        <w:tc>
          <w:tcPr>
            <w:tcW w:w="2802" w:type="dxa"/>
          </w:tcPr>
          <w:p w:rsidR="002719A5" w:rsidRPr="00E65B46" w:rsidRDefault="002719A5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Audit Sponsor(s):</w:t>
            </w:r>
          </w:p>
          <w:p w:rsidR="00B773BA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C0C0"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Person who resources and/or has account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ability for the </w:t>
            </w:r>
            <w:r w:rsidR="00935A8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QIA/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audit’s outcome.</w:t>
            </w:r>
          </w:p>
        </w:tc>
        <w:tc>
          <w:tcPr>
            <w:tcW w:w="7087" w:type="dxa"/>
            <w:shd w:val="clear" w:color="auto" w:fill="auto"/>
          </w:tcPr>
          <w:p w:rsidR="002719A5" w:rsidRPr="00E65B46" w:rsidRDefault="00192570" w:rsidP="00B773BA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Programme Sponsor 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and </w:t>
            </w: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VIP Coordinator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(s)</w:t>
            </w:r>
          </w:p>
        </w:tc>
      </w:tr>
      <w:tr w:rsidR="002719A5" w:rsidRPr="00E65B46" w:rsidTr="006D3334">
        <w:tc>
          <w:tcPr>
            <w:tcW w:w="2802" w:type="dxa"/>
          </w:tcPr>
          <w:p w:rsidR="002719A5" w:rsidRPr="00E65B46" w:rsidRDefault="002719A5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Auditor(s):</w:t>
            </w:r>
          </w:p>
          <w:p w:rsidR="002719A5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The person(s) involved in planning and undertaking the audit.</w:t>
            </w:r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Identify the Lead Auditor if more than one auditor.</w:t>
            </w:r>
          </w:p>
        </w:tc>
        <w:tc>
          <w:tcPr>
            <w:tcW w:w="7087" w:type="dxa"/>
            <w:shd w:val="clear" w:color="auto" w:fill="auto"/>
          </w:tcPr>
          <w:p w:rsidR="002719A5" w:rsidRPr="00E65B46" w:rsidRDefault="00935A8D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VIP Coordinator</w:t>
            </w:r>
            <w:r w:rsidR="008635F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(s)</w:t>
            </w:r>
            <w:r w:rsidR="00F57FAD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9F21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and or designated staff</w:t>
            </w:r>
          </w:p>
        </w:tc>
      </w:tr>
      <w:tr w:rsidR="002719A5" w:rsidRPr="00E65B46" w:rsidTr="006D3334">
        <w:trPr>
          <w:trHeight w:val="1850"/>
        </w:trPr>
        <w:tc>
          <w:tcPr>
            <w:tcW w:w="2802" w:type="dxa"/>
          </w:tcPr>
          <w:p w:rsidR="002719A5" w:rsidRPr="00E65B46" w:rsidRDefault="002719A5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Audit Background:</w:t>
            </w:r>
          </w:p>
          <w:p w:rsidR="00B773BA" w:rsidRPr="00E65B46" w:rsidRDefault="00B773BA" w:rsidP="00B773BA">
            <w:pPr>
              <w:pStyle w:val="BodyText3"/>
              <w:rPr>
                <w:color w:val="C0C0C0"/>
                <w:sz w:val="16"/>
                <w:szCs w:val="16"/>
                <w:lang w:val="en-NZ"/>
              </w:rPr>
            </w:pPr>
            <w:r w:rsidRPr="00E65B46">
              <w:rPr>
                <w:sz w:val="16"/>
                <w:szCs w:val="16"/>
                <w:lang w:val="en-NZ"/>
              </w:rPr>
              <w:t>History and rationale of need for audit – i.e. what prompted the audit (e.g. a change in practice/ policy/ standard/ protocol/ guideline, actual or suspected risk/problem/issue or variance in practice/outcome).</w:t>
            </w:r>
          </w:p>
        </w:tc>
        <w:tc>
          <w:tcPr>
            <w:tcW w:w="7087" w:type="dxa"/>
            <w:shd w:val="clear" w:color="auto" w:fill="auto"/>
          </w:tcPr>
          <w:p w:rsidR="00B773BA" w:rsidRPr="00DF6C9C" w:rsidRDefault="00935A8D" w:rsidP="007B05B6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XDHB Violence </w:t>
            </w:r>
            <w:r w:rsidR="004C2CC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Intervention</w:t>
            </w:r>
            <w:r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Programme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requires health professionals to introduce routine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enquiry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for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IPV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into their practice.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This is a difficult practice change.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Staff need a large amount of support to attain a level of comfort with questioning.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The DHB uses a multifaceted approach to achieve this change, including policy, training and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, </w:t>
            </w:r>
            <w:r w:rsidR="00DF6C9C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monitoring and evaluation.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system support processes include a commitment to 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provide effective</w:t>
            </w:r>
            <w:r w:rsidR="002E4E35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training 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that provides staff with the knowledge and skill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s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to be </w:t>
            </w:r>
            <w:r w:rsidR="002E4E35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competent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to implement family </w:t>
            </w:r>
            <w:r w:rsidR="002E4E35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violence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2E4E35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intervention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into </w:t>
            </w:r>
            <w:r w:rsidR="002E4E35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clinical</w:t>
            </w:r>
            <w:r w:rsidR="00F57FAD" w:rsidRPr="00DF6C9C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practice. </w:t>
            </w:r>
          </w:p>
        </w:tc>
      </w:tr>
      <w:tr w:rsidR="002719A5" w:rsidRPr="00E65B46" w:rsidTr="006D3334">
        <w:tc>
          <w:tcPr>
            <w:tcW w:w="2802" w:type="dxa"/>
          </w:tcPr>
          <w:p w:rsidR="002719A5" w:rsidRPr="00E65B46" w:rsidRDefault="009C4607" w:rsidP="00B773BA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QIA/A</w:t>
            </w:r>
            <w:r w:rsidR="002719A5" w:rsidRPr="00E65B46">
              <w:rPr>
                <w:rFonts w:ascii="Arial" w:hAnsi="Arial" w:cs="Arial"/>
                <w:sz w:val="22"/>
                <w:szCs w:val="22"/>
                <w:lang w:val="en-NZ"/>
              </w:rPr>
              <w:t>udit Objectives:</w:t>
            </w:r>
          </w:p>
          <w:p w:rsidR="002719A5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i/>
                <w:iCs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Description of the intended outcome of the audit, ideally expressed in terms implying commitment to improvement in quality of care/practice</w:t>
            </w:r>
          </w:p>
        </w:tc>
        <w:tc>
          <w:tcPr>
            <w:tcW w:w="7087" w:type="dxa"/>
            <w:shd w:val="clear" w:color="auto" w:fill="auto"/>
          </w:tcPr>
          <w:p w:rsidR="004C2CCC" w:rsidRPr="00191236" w:rsidRDefault="00DB5301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quarterly </w:t>
            </w:r>
            <w:r w:rsidR="007F30C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clinical audit </w:t>
            </w: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process is a critical aspect of the </w:t>
            </w:r>
            <w:r w:rsidRPr="0019123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VIP Q</w:t>
            </w:r>
            <w:r w:rsidR="00567D9D" w:rsidRPr="0019123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uality Improvement Activity (QIA) </w:t>
            </w:r>
            <w:r w:rsidRPr="0019123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plan.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The QIA objectives are:</w:t>
            </w:r>
          </w:p>
          <w:p w:rsidR="00191236" w:rsidRPr="00DF6C9C" w:rsidRDefault="004C2CCC" w:rsidP="00665C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DF6C9C">
              <w:rPr>
                <w:rFonts w:ascii="Arial" w:hAnsi="Arial" w:cs="Arial"/>
                <w:bCs/>
                <w:sz w:val="20"/>
                <w:u w:val="single"/>
              </w:rPr>
              <w:t>Objective 1:</w:t>
            </w:r>
            <w:r w:rsidRPr="00DF6C9C">
              <w:rPr>
                <w:rFonts w:ascii="Arial" w:hAnsi="Arial" w:cs="Arial"/>
                <w:bCs/>
                <w:sz w:val="20"/>
              </w:rPr>
              <w:t xml:space="preserve"> </w:t>
            </w:r>
            <w:r w:rsidR="00191236" w:rsidRPr="00DF6C9C">
              <w:rPr>
                <w:rFonts w:ascii="Arial" w:hAnsi="Arial" w:cs="Arial"/>
                <w:sz w:val="20"/>
              </w:rPr>
              <w:t>To id</w:t>
            </w:r>
            <w:r w:rsidR="00C4198F">
              <w:rPr>
                <w:rFonts w:ascii="Arial" w:hAnsi="Arial" w:cs="Arial"/>
                <w:sz w:val="20"/>
              </w:rPr>
              <w:t>entify current rate of routine enquiry</w:t>
            </w:r>
            <w:r w:rsidR="00191236" w:rsidRPr="00DF6C9C">
              <w:rPr>
                <w:rFonts w:ascii="Arial" w:hAnsi="Arial" w:cs="Arial"/>
                <w:sz w:val="20"/>
              </w:rPr>
              <w:t xml:space="preserve"> for </w:t>
            </w:r>
            <w:r w:rsidR="00A8345E" w:rsidRPr="00A8345E">
              <w:rPr>
                <w:rFonts w:ascii="Arial" w:hAnsi="Arial" w:cs="Arial"/>
                <w:bCs/>
                <w:sz w:val="20"/>
              </w:rPr>
              <w:t>IPV</w:t>
            </w:r>
          </w:p>
          <w:p w:rsidR="00191236" w:rsidRPr="00DF6C9C" w:rsidRDefault="004C2CCC" w:rsidP="00665CB1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DF6C9C">
              <w:rPr>
                <w:rFonts w:ascii="Arial" w:hAnsi="Arial" w:cs="Arial"/>
                <w:bCs/>
                <w:sz w:val="20"/>
                <w:u w:val="single"/>
              </w:rPr>
              <w:t>Objective 2</w:t>
            </w:r>
            <w:r w:rsidRPr="00DF6C9C">
              <w:rPr>
                <w:rFonts w:ascii="Arial" w:hAnsi="Arial" w:cs="Arial"/>
                <w:bCs/>
                <w:sz w:val="20"/>
              </w:rPr>
              <w:t>:</w:t>
            </w:r>
            <w:r w:rsidR="00B85DF3">
              <w:rPr>
                <w:rFonts w:ascii="Arial" w:hAnsi="Arial" w:cs="Arial"/>
                <w:bCs/>
                <w:sz w:val="20"/>
              </w:rPr>
              <w:t xml:space="preserve"> </w:t>
            </w:r>
            <w:r w:rsidR="00191236" w:rsidRPr="00DF6C9C">
              <w:rPr>
                <w:rFonts w:ascii="Arial" w:hAnsi="Arial" w:cs="Arial"/>
                <w:sz w:val="20"/>
              </w:rPr>
              <w:t xml:space="preserve">To identify if appropriate </w:t>
            </w:r>
            <w:r w:rsidR="00C4198F">
              <w:rPr>
                <w:rFonts w:ascii="Arial" w:hAnsi="Arial" w:cs="Arial"/>
                <w:sz w:val="20"/>
              </w:rPr>
              <w:t xml:space="preserve">health and risk </w:t>
            </w:r>
            <w:r w:rsidR="00191236" w:rsidRPr="00DF6C9C">
              <w:rPr>
                <w:rFonts w:ascii="Arial" w:hAnsi="Arial" w:cs="Arial"/>
                <w:sz w:val="20"/>
              </w:rPr>
              <w:t xml:space="preserve">assessment and referrals were </w:t>
            </w:r>
            <w:r w:rsidR="00665CB1">
              <w:rPr>
                <w:rFonts w:ascii="Arial" w:hAnsi="Arial" w:cs="Arial"/>
                <w:sz w:val="20"/>
              </w:rPr>
              <w:t>made in response to disclosures</w:t>
            </w:r>
          </w:p>
          <w:p w:rsidR="002719A5" w:rsidRDefault="00191236" w:rsidP="00665CB1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DF6C9C">
              <w:rPr>
                <w:rFonts w:ascii="Arial" w:hAnsi="Arial" w:cs="Arial"/>
                <w:sz w:val="20"/>
                <w:u w:val="single"/>
              </w:rPr>
              <w:t>Objective 3:</w:t>
            </w:r>
            <w:r w:rsidRPr="00DF6C9C">
              <w:rPr>
                <w:rFonts w:ascii="Arial" w:hAnsi="Arial" w:cs="Arial"/>
                <w:sz w:val="20"/>
              </w:rPr>
              <w:t xml:space="preserve"> To identify trends in programme implementation</w:t>
            </w:r>
          </w:p>
          <w:p w:rsidR="00DF6C9C" w:rsidRPr="00DF6C9C" w:rsidRDefault="00DF6C9C" w:rsidP="00665CB1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DF6C9C">
              <w:rPr>
                <w:rFonts w:ascii="Arial" w:hAnsi="Arial" w:cs="Arial"/>
                <w:sz w:val="20"/>
                <w:u w:val="single"/>
              </w:rPr>
              <w:t>Objective 4:</w:t>
            </w:r>
            <w:r w:rsidRPr="00DF6C9C">
              <w:rPr>
                <w:rFonts w:ascii="Arial" w:hAnsi="Arial" w:cs="Arial"/>
                <w:sz w:val="20"/>
              </w:rPr>
              <w:t xml:space="preserve"> To provide feedback and support for staff in relation to the</w:t>
            </w:r>
            <w:r w:rsidR="00FD0325">
              <w:rPr>
                <w:rFonts w:ascii="Arial" w:hAnsi="Arial" w:cs="Arial"/>
                <w:sz w:val="20"/>
              </w:rPr>
              <w:t xml:space="preserve"> VIP</w:t>
            </w:r>
            <w:r w:rsidRPr="00DF6C9C">
              <w:rPr>
                <w:rFonts w:ascii="Arial" w:hAnsi="Arial" w:cs="Arial"/>
                <w:sz w:val="20"/>
              </w:rPr>
              <w:t xml:space="preserve"> to achieve attitudinal and organisational change</w:t>
            </w:r>
          </w:p>
        </w:tc>
      </w:tr>
      <w:tr w:rsidR="002719A5" w:rsidRPr="00E65B46" w:rsidTr="00B773BA">
        <w:tc>
          <w:tcPr>
            <w:tcW w:w="2802" w:type="dxa"/>
          </w:tcPr>
          <w:p w:rsidR="002719A5" w:rsidRPr="00E65B46" w:rsidRDefault="002719A5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Standards / Aspects (Indicators) of Care Tested:</w:t>
            </w:r>
          </w:p>
          <w:p w:rsidR="00B773BA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-NZ"/>
              </w:rPr>
              <w:t xml:space="preserve">Identifies </w:t>
            </w:r>
            <w:r w:rsidR="004C2CCC" w:rsidRPr="00E65B4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-NZ"/>
              </w:rPr>
              <w:t>XX</w:t>
            </w:r>
            <w:r w:rsidRPr="00E65B4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-NZ"/>
              </w:rPr>
              <w:t>DHB policy/ protocol / guideline, standard(s), clinical indicators or defined best practice where references are possible.</w:t>
            </w:r>
          </w:p>
        </w:tc>
        <w:tc>
          <w:tcPr>
            <w:tcW w:w="7087" w:type="dxa"/>
          </w:tcPr>
          <w:p w:rsidR="002719A5" w:rsidRPr="006D3334" w:rsidRDefault="004C2CCC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XDHB </w:t>
            </w:r>
            <w:r w:rsidR="00A25EA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iolence </w:t>
            </w:r>
            <w:r w:rsidR="00A25EA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ntervention</w:t>
            </w:r>
            <w:r w:rsidR="00A25EA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P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rogramme IPV </w:t>
            </w:r>
            <w:proofErr w:type="gramStart"/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policy(</w:t>
            </w:r>
            <w:proofErr w:type="spellStart"/>
            <w:proofErr w:type="gramEnd"/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ies</w:t>
            </w:r>
            <w:proofErr w:type="spellEnd"/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) </w:t>
            </w:r>
            <w:r w:rsidRPr="006D3334">
              <w:rPr>
                <w:rFonts w:ascii="Arial" w:hAnsi="Arial" w:cs="Arial"/>
                <w:b w:val="0"/>
                <w:bCs w:val="0"/>
                <w:i/>
                <w:sz w:val="20"/>
                <w:lang w:val="en-NZ"/>
              </w:rPr>
              <w:t>(specify)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2E4E35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mandate that </w:t>
            </w:r>
            <w:r w:rsidR="00C07701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staff trained in VIP will include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IPV</w:t>
            </w:r>
            <w:r w:rsidR="00C07701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within </w:t>
            </w:r>
            <w:r w:rsidR="00DD1B78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clinical</w:t>
            </w:r>
            <w:r w:rsidR="00C07701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practice</w:t>
            </w:r>
            <w:r w:rsidR="002E4E35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  <w:p w:rsidR="00C07701" w:rsidRPr="006D3334" w:rsidRDefault="00C07701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Ministry of Health Family Violence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Assessment and 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Intervention Guideline; Child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abuse 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and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intimate partner violence (2016)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indicate best practice regarding violence intervention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recommended intervention includes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routine enquiry for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IPV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If abuse is disclosed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,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validation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and support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is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provided, followed by 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</w:t>
            </w:r>
            <w:r w:rsidR="003B48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health and </w:t>
            </w:r>
            <w:r w:rsidR="003B48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risk 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assessment, safety planning, and referral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to appropriate services, including specialist community agencies</w:t>
            </w:r>
            <w:r w:rsidR="00A8345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) and follow-up and 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documentation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  <w:p w:rsidR="004C2CCC" w:rsidRPr="006D3334" w:rsidRDefault="004C2CCC" w:rsidP="007B05B6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6D3334">
              <w:rPr>
                <w:rFonts w:ascii="Arial" w:hAnsi="Arial" w:cs="Arial"/>
                <w:b w:val="0"/>
                <w:sz w:val="20"/>
                <w:lang w:val="en-NZ"/>
              </w:rPr>
              <w:t>VIP service specifications require DHBs to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report on the level of </w:t>
            </w:r>
            <w:r w:rsidR="007B05B6">
              <w:rPr>
                <w:rFonts w:ascii="Arial" w:hAnsi="Arial" w:cs="Arial"/>
                <w:b w:val="0"/>
                <w:sz w:val="20"/>
                <w:lang w:val="en-NZ"/>
              </w:rPr>
              <w:t xml:space="preserve">routine enquiry 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being undertaken in designated services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 xml:space="preserve"> (ref </w:t>
            </w:r>
            <w:r w:rsidR="00B85DF3">
              <w:rPr>
                <w:rFonts w:ascii="Arial" w:hAnsi="Arial" w:cs="Arial"/>
                <w:b w:val="0"/>
                <w:sz w:val="20"/>
              </w:rPr>
              <w:t>Ministry of Health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 xml:space="preserve"> VIP service specification; </w:t>
            </w:r>
            <w:r w:rsidR="00A8345E">
              <w:rPr>
                <w:rFonts w:ascii="Arial" w:hAnsi="Arial" w:cs="Arial"/>
                <w:b w:val="0"/>
                <w:sz w:val="20"/>
              </w:rPr>
              <w:t>6.5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>)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.</w:t>
            </w:r>
            <w:r w:rsidR="00B85DF3">
              <w:rPr>
                <w:rFonts w:ascii="Arial" w:hAnsi="Arial" w:cs="Arial"/>
                <w:b w:val="0"/>
                <w:sz w:val="20"/>
                <w:lang w:val="en-NZ"/>
              </w:rPr>
              <w:t xml:space="preserve"> 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Design</w:t>
            </w:r>
            <w:r w:rsidR="00DD1B78">
              <w:rPr>
                <w:rFonts w:ascii="Arial" w:hAnsi="Arial" w:cs="Arial"/>
                <w:b w:val="0"/>
                <w:sz w:val="20"/>
                <w:lang w:val="en-NZ"/>
              </w:rPr>
              <w:t>a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ted </w:t>
            </w:r>
            <w:r w:rsidR="00DD1B78" w:rsidRPr="006D3334">
              <w:rPr>
                <w:rFonts w:ascii="Arial" w:hAnsi="Arial" w:cs="Arial"/>
                <w:b w:val="0"/>
                <w:sz w:val="20"/>
                <w:lang w:val="en-NZ"/>
              </w:rPr>
              <w:t>services include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>m</w:t>
            </w:r>
            <w:proofErr w:type="spellStart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ental</w:t>
            </w:r>
            <w:proofErr w:type="spellEnd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health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>, a</w:t>
            </w:r>
            <w:proofErr w:type="spellStart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lcohol</w:t>
            </w:r>
            <w:proofErr w:type="spellEnd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and drug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>, e</w:t>
            </w:r>
            <w:proofErr w:type="spellStart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mergency</w:t>
            </w:r>
            <w:proofErr w:type="spellEnd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department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>, c</w:t>
            </w:r>
            <w:proofErr w:type="spellStart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hild</w:t>
            </w:r>
            <w:proofErr w:type="spellEnd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health (including school and home visiting services and tertiary paediatric services)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6D3334">
              <w:rPr>
                <w:rFonts w:ascii="Arial" w:hAnsi="Arial" w:cs="Arial"/>
                <w:b w:val="0"/>
                <w:sz w:val="20"/>
              </w:rPr>
              <w:t>m</w:t>
            </w:r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aternity</w:t>
            </w:r>
            <w:r w:rsidR="00C07701" w:rsidRPr="006D3334">
              <w:rPr>
                <w:rFonts w:ascii="Arial" w:hAnsi="Arial" w:cs="Arial"/>
                <w:b w:val="0"/>
                <w:sz w:val="20"/>
              </w:rPr>
              <w:t xml:space="preserve"> and s</w:t>
            </w:r>
            <w:proofErr w:type="spellStart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>exual</w:t>
            </w:r>
            <w:proofErr w:type="spellEnd"/>
            <w:r w:rsidR="00C07701" w:rsidRPr="006D3334">
              <w:rPr>
                <w:rFonts w:ascii="Arial" w:hAnsi="Arial" w:cs="Arial"/>
                <w:b w:val="0"/>
                <w:sz w:val="20"/>
                <w:lang w:val="en-NZ"/>
              </w:rPr>
              <w:t xml:space="preserve"> health</w:t>
            </w:r>
            <w:r w:rsidR="00DD1B78" w:rsidRPr="006D3334">
              <w:rPr>
                <w:rFonts w:ascii="Arial" w:hAnsi="Arial" w:cs="Arial"/>
                <w:b w:val="0"/>
                <w:sz w:val="20"/>
              </w:rPr>
              <w:t>.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</w:tc>
      </w:tr>
      <w:tr w:rsidR="002719A5" w:rsidRPr="00E65B46" w:rsidTr="00B773BA">
        <w:tc>
          <w:tcPr>
            <w:tcW w:w="2802" w:type="dxa"/>
          </w:tcPr>
          <w:p w:rsidR="00B773BA" w:rsidRPr="00E65B46" w:rsidRDefault="00DB6F86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QIA/</w:t>
            </w:r>
            <w:r w:rsidR="002719A5" w:rsidRPr="00E65B46">
              <w:rPr>
                <w:rFonts w:ascii="Arial" w:hAnsi="Arial" w:cs="Arial"/>
                <w:sz w:val="22"/>
                <w:szCs w:val="22"/>
                <w:lang w:val="en-NZ"/>
              </w:rPr>
              <w:t>Audit Scope:</w:t>
            </w:r>
          </w:p>
          <w:p w:rsidR="00B773BA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Defines the extent and boundaries of the audit: What/who is being audited, where &amp; when: e.g. All staff working in Unit A on </w:t>
            </w:r>
            <w:proofErr w:type="spellStart"/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dd</w:t>
            </w:r>
            <w:proofErr w:type="spellEnd"/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/mm/</w:t>
            </w:r>
            <w:proofErr w:type="spellStart"/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yy</w:t>
            </w:r>
            <w:proofErr w:type="spellEnd"/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</w:p>
          <w:p w:rsidR="002719A5" w:rsidRPr="00E65B46" w:rsidRDefault="00B773BA" w:rsidP="0074544D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lastRenderedPageBreak/>
              <w:t xml:space="preserve">e.g. 20 health records of patients discharged from “Unit X” 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with a diagnosis of “x”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during 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the period </w:t>
            </w:r>
            <w:proofErr w:type="spellStart"/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dd</w:t>
            </w:r>
            <w:proofErr w:type="spellEnd"/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/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mm/</w:t>
            </w:r>
            <w:proofErr w:type="spellStart"/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yy</w:t>
            </w:r>
            <w:proofErr w:type="spellEnd"/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– </w:t>
            </w:r>
            <w:proofErr w:type="spellStart"/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dd</w:t>
            </w:r>
            <w:proofErr w:type="spellEnd"/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/ mm/</w:t>
            </w:r>
            <w:proofErr w:type="spellStart"/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yy</w:t>
            </w:r>
            <w:proofErr w:type="spellEnd"/>
          </w:p>
        </w:tc>
        <w:tc>
          <w:tcPr>
            <w:tcW w:w="7087" w:type="dxa"/>
          </w:tcPr>
          <w:p w:rsidR="00DF6C9C" w:rsidRPr="006D3334" w:rsidRDefault="0077588C" w:rsidP="00665C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The population</w:t>
            </w:r>
            <w:r w:rsidR="003260CB">
              <w:rPr>
                <w:rFonts w:ascii="Arial" w:hAnsi="Arial" w:cs="Arial"/>
                <w:sz w:val="20"/>
              </w:rPr>
              <w:t xml:space="preserve"> that provides</w:t>
            </w:r>
            <w:r>
              <w:rPr>
                <w:rFonts w:ascii="Arial" w:hAnsi="Arial" w:cs="Arial"/>
                <w:sz w:val="20"/>
              </w:rPr>
              <w:t xml:space="preserve"> the audit sample includes a</w:t>
            </w:r>
            <w:r w:rsidR="00DF6C9C" w:rsidRPr="006D3334">
              <w:rPr>
                <w:rFonts w:ascii="Arial" w:hAnsi="Arial" w:cs="Arial"/>
                <w:sz w:val="20"/>
              </w:rPr>
              <w:t xml:space="preserve">ll female patients within the care of the </w:t>
            </w:r>
            <w:r>
              <w:rPr>
                <w:rFonts w:ascii="Arial" w:hAnsi="Arial" w:cs="Arial"/>
                <w:sz w:val="20"/>
              </w:rPr>
              <w:t xml:space="preserve">trained </w:t>
            </w:r>
            <w:r w:rsidR="00DF6C9C" w:rsidRPr="006D3334">
              <w:rPr>
                <w:rFonts w:ascii="Arial" w:hAnsi="Arial" w:cs="Arial"/>
                <w:sz w:val="20"/>
              </w:rPr>
              <w:t>designated service</w:t>
            </w:r>
            <w:r>
              <w:rPr>
                <w:rFonts w:ascii="Arial" w:hAnsi="Arial" w:cs="Arial"/>
                <w:sz w:val="20"/>
              </w:rPr>
              <w:t xml:space="preserve"> (as defined above)</w:t>
            </w:r>
            <w:r w:rsidR="00DF6C9C" w:rsidRPr="006D3334">
              <w:rPr>
                <w:rFonts w:ascii="Arial" w:hAnsi="Arial" w:cs="Arial"/>
                <w:sz w:val="20"/>
              </w:rPr>
              <w:t xml:space="preserve"> during the timeframe under review (usually one month).</w:t>
            </w:r>
          </w:p>
          <w:p w:rsidR="00DF6C9C" w:rsidRPr="006D3334" w:rsidRDefault="00DF6C9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6D3334">
              <w:rPr>
                <w:rFonts w:ascii="Arial" w:hAnsi="Arial" w:cs="Arial"/>
                <w:sz w:val="20"/>
              </w:rPr>
              <w:lastRenderedPageBreak/>
              <w:t xml:space="preserve">All services </w:t>
            </w:r>
            <w:r w:rsidR="006D3334">
              <w:rPr>
                <w:rFonts w:ascii="Arial" w:hAnsi="Arial" w:cs="Arial"/>
                <w:sz w:val="20"/>
              </w:rPr>
              <w:t xml:space="preserve">who have launched </w:t>
            </w:r>
            <w:r w:rsidRPr="006D3334">
              <w:rPr>
                <w:rFonts w:ascii="Arial" w:hAnsi="Arial" w:cs="Arial"/>
                <w:sz w:val="20"/>
              </w:rPr>
              <w:t xml:space="preserve">routine </w:t>
            </w:r>
            <w:r w:rsidR="007B05B6">
              <w:rPr>
                <w:rFonts w:ascii="Arial" w:hAnsi="Arial" w:cs="Arial"/>
                <w:sz w:val="20"/>
              </w:rPr>
              <w:t>enquiry</w:t>
            </w:r>
            <w:r w:rsidRPr="006D3334">
              <w:rPr>
                <w:rFonts w:ascii="Arial" w:hAnsi="Arial" w:cs="Arial"/>
                <w:sz w:val="20"/>
              </w:rPr>
              <w:t xml:space="preserve"> for </w:t>
            </w:r>
            <w:r w:rsidR="00A8345E">
              <w:rPr>
                <w:rFonts w:ascii="Arial" w:hAnsi="Arial" w:cs="Arial"/>
                <w:sz w:val="20"/>
              </w:rPr>
              <w:t>IP</w:t>
            </w:r>
            <w:r w:rsidR="00C46915">
              <w:rPr>
                <w:rFonts w:ascii="Arial" w:hAnsi="Arial" w:cs="Arial"/>
                <w:sz w:val="20"/>
              </w:rPr>
              <w:t>V</w:t>
            </w:r>
            <w:r w:rsidRPr="006D3334">
              <w:rPr>
                <w:rFonts w:ascii="Arial" w:hAnsi="Arial" w:cs="Arial"/>
                <w:sz w:val="20"/>
              </w:rPr>
              <w:t xml:space="preserve"> will be audited quarterly.</w:t>
            </w:r>
          </w:p>
          <w:p w:rsidR="00D64E99" w:rsidRPr="006D3334" w:rsidRDefault="00D64E99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 standardised template </w:t>
            </w:r>
            <w:r w:rsidR="00DF6C9C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(excel spreadsheet) 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is </w:t>
            </w:r>
            <w:r w:rsidR="00DF6C9C"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used to record clinical audit data</w:t>
            </w:r>
            <w:r w:rsidRP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. </w:t>
            </w:r>
          </w:p>
        </w:tc>
      </w:tr>
      <w:tr w:rsidR="002719A5" w:rsidRPr="00E65B46" w:rsidTr="00D64E99">
        <w:trPr>
          <w:trHeight w:val="118"/>
        </w:trPr>
        <w:tc>
          <w:tcPr>
            <w:tcW w:w="2802" w:type="dxa"/>
          </w:tcPr>
          <w:p w:rsidR="002719A5" w:rsidRPr="00E65B46" w:rsidRDefault="00DB6F86" w:rsidP="00B773B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lastRenderedPageBreak/>
              <w:t>QIA/</w:t>
            </w:r>
            <w:r w:rsidR="002719A5" w:rsidRPr="00E65B46">
              <w:rPr>
                <w:rFonts w:ascii="Arial" w:hAnsi="Arial" w:cs="Arial"/>
                <w:sz w:val="22"/>
                <w:szCs w:val="22"/>
                <w:lang w:val="en-NZ"/>
              </w:rPr>
              <w:t>Audit Procedure:</w:t>
            </w:r>
          </w:p>
          <w:p w:rsidR="00B773BA" w:rsidRPr="00E65B46" w:rsidRDefault="00B773BA" w:rsidP="00B773BA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Describes the audit sample (include no. of cases in sample);</w:t>
            </w:r>
          </w:p>
          <w:p w:rsidR="00B773BA" w:rsidRPr="00E65B46" w:rsidRDefault="00B773BA" w:rsidP="00B773BA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Describes how the audit sample was identified/selected;</w:t>
            </w:r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</w:p>
          <w:p w:rsidR="00B773BA" w:rsidRPr="00E65B46" w:rsidRDefault="00B773BA" w:rsidP="00B773BA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Identifies data collection methods (e.g. interview, observation, documentation review):</w:t>
            </w:r>
          </w:p>
          <w:p w:rsidR="00B773BA" w:rsidRPr="00E65B46" w:rsidRDefault="00B773BA" w:rsidP="00B773BA">
            <w:pPr>
              <w:pStyle w:val="BodyTex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Identifies method of data analysis (e.g. compliance rating);</w:t>
            </w:r>
          </w:p>
          <w:p w:rsidR="00B773BA" w:rsidRPr="00E65B46" w:rsidRDefault="00B773BA" w:rsidP="00B773BA">
            <w:pPr>
              <w:pStyle w:val="BodyText"/>
              <w:jc w:val="left"/>
              <w:rPr>
                <w:rFonts w:ascii="Arial" w:hAnsi="Arial" w:cs="Arial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Describes how confidentiality is to be protected.</w:t>
            </w:r>
          </w:p>
        </w:tc>
        <w:tc>
          <w:tcPr>
            <w:tcW w:w="7087" w:type="dxa"/>
          </w:tcPr>
          <w:p w:rsidR="00494202" w:rsidRPr="00494202" w:rsidRDefault="0077588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77588C">
              <w:rPr>
                <w:rFonts w:ascii="Arial" w:hAnsi="Arial" w:cs="Arial"/>
                <w:sz w:val="20"/>
                <w:u w:val="single"/>
              </w:rPr>
              <w:t>Process</w:t>
            </w:r>
            <w:r w:rsidR="00665CB1">
              <w:rPr>
                <w:rFonts w:ascii="Arial" w:hAnsi="Arial" w:cs="Arial"/>
                <w:sz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494202" w:rsidRPr="00494202">
              <w:rPr>
                <w:rFonts w:ascii="Arial" w:hAnsi="Arial" w:cs="Arial"/>
                <w:sz w:val="20"/>
              </w:rPr>
              <w:t xml:space="preserve">The procedure may vary depending on the service being audited, because the </w:t>
            </w:r>
            <w:r w:rsidR="000D5079" w:rsidRPr="00494202">
              <w:rPr>
                <w:rFonts w:ascii="Arial" w:hAnsi="Arial" w:cs="Arial"/>
                <w:sz w:val="20"/>
              </w:rPr>
              <w:t>health</w:t>
            </w:r>
            <w:r w:rsidR="00494202" w:rsidRPr="00494202">
              <w:rPr>
                <w:rFonts w:ascii="Arial" w:hAnsi="Arial" w:cs="Arial"/>
                <w:sz w:val="20"/>
              </w:rPr>
              <w:t xml:space="preserve"> </w:t>
            </w:r>
            <w:r w:rsidR="000D5079" w:rsidRPr="00494202">
              <w:rPr>
                <w:rFonts w:ascii="Arial" w:hAnsi="Arial" w:cs="Arial"/>
                <w:sz w:val="20"/>
              </w:rPr>
              <w:t>record</w:t>
            </w:r>
            <w:r w:rsidR="00494202" w:rsidRPr="00494202">
              <w:rPr>
                <w:rFonts w:ascii="Arial" w:hAnsi="Arial" w:cs="Arial"/>
                <w:sz w:val="20"/>
              </w:rPr>
              <w:t xml:space="preserve"> </w:t>
            </w:r>
            <w:r w:rsidR="000D5079" w:rsidRPr="00494202">
              <w:rPr>
                <w:rFonts w:ascii="Arial" w:hAnsi="Arial" w:cs="Arial"/>
                <w:sz w:val="20"/>
              </w:rPr>
              <w:t>management</w:t>
            </w:r>
            <w:r w:rsidR="00494202" w:rsidRPr="00494202">
              <w:rPr>
                <w:rFonts w:ascii="Arial" w:hAnsi="Arial" w:cs="Arial"/>
                <w:sz w:val="20"/>
              </w:rPr>
              <w:t xml:space="preserve"> process may vary with some services </w:t>
            </w:r>
            <w:r w:rsidR="000D5079" w:rsidRPr="00494202">
              <w:rPr>
                <w:rFonts w:ascii="Arial" w:hAnsi="Arial" w:cs="Arial"/>
                <w:sz w:val="20"/>
              </w:rPr>
              <w:t>having</w:t>
            </w:r>
            <w:r w:rsidR="00494202" w:rsidRPr="00494202">
              <w:rPr>
                <w:rFonts w:ascii="Arial" w:hAnsi="Arial" w:cs="Arial"/>
                <w:sz w:val="20"/>
              </w:rPr>
              <w:t xml:space="preserve"> </w:t>
            </w:r>
            <w:r w:rsidR="000D5079" w:rsidRPr="00494202">
              <w:rPr>
                <w:rFonts w:ascii="Arial" w:hAnsi="Arial" w:cs="Arial"/>
                <w:sz w:val="20"/>
              </w:rPr>
              <w:t>electronic</w:t>
            </w:r>
            <w:r w:rsidR="00494202" w:rsidRPr="00494202">
              <w:rPr>
                <w:rFonts w:ascii="Arial" w:hAnsi="Arial" w:cs="Arial"/>
                <w:sz w:val="20"/>
              </w:rPr>
              <w:t xml:space="preserve"> records while others rely on paper files. </w:t>
            </w:r>
          </w:p>
          <w:p w:rsidR="00494202" w:rsidRDefault="0077588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77588C">
              <w:rPr>
                <w:rFonts w:ascii="Arial" w:hAnsi="Arial" w:cs="Arial"/>
                <w:sz w:val="20"/>
                <w:u w:val="single"/>
              </w:rPr>
              <w:t>Data source: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94202" w:rsidRPr="00494202">
              <w:rPr>
                <w:rFonts w:ascii="Arial" w:hAnsi="Arial" w:cs="Arial"/>
                <w:sz w:val="20"/>
              </w:rPr>
              <w:t>Patient chart reviews are the information source.</w:t>
            </w:r>
            <w:r w:rsidR="00B85DF3">
              <w:rPr>
                <w:rFonts w:ascii="Arial" w:hAnsi="Arial" w:cs="Arial"/>
                <w:sz w:val="20"/>
              </w:rPr>
              <w:t xml:space="preserve"> </w:t>
            </w:r>
            <w:r w:rsidR="00494202" w:rsidRPr="00494202">
              <w:rPr>
                <w:rFonts w:ascii="Arial" w:hAnsi="Arial" w:cs="Arial"/>
                <w:sz w:val="20"/>
              </w:rPr>
              <w:t>Charts are selected by random sample or consecutive notes taken during the allotted timeframe, depending on the service audited.</w:t>
            </w:r>
          </w:p>
          <w:p w:rsidR="00494202" w:rsidRPr="00494202" w:rsidRDefault="0077588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77588C">
              <w:rPr>
                <w:rFonts w:ascii="Arial" w:hAnsi="Arial" w:cs="Arial"/>
                <w:sz w:val="20"/>
                <w:u w:val="single"/>
              </w:rPr>
              <w:t>Sample: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D0325">
              <w:rPr>
                <w:rFonts w:ascii="Arial" w:hAnsi="Arial" w:cs="Arial"/>
                <w:sz w:val="20"/>
              </w:rPr>
              <w:t xml:space="preserve">A pragmatic sample size may be used (provides reliable finding within the resource available). </w:t>
            </w:r>
            <w:r w:rsidR="00494202">
              <w:rPr>
                <w:rFonts w:ascii="Arial" w:hAnsi="Arial" w:cs="Arial"/>
                <w:sz w:val="20"/>
              </w:rPr>
              <w:t xml:space="preserve">The </w:t>
            </w:r>
            <w:r w:rsidR="00FD0325">
              <w:rPr>
                <w:rFonts w:ascii="Arial" w:hAnsi="Arial" w:cs="Arial"/>
                <w:sz w:val="20"/>
              </w:rPr>
              <w:t xml:space="preserve">random </w:t>
            </w:r>
            <w:r w:rsidR="00494202">
              <w:rPr>
                <w:rFonts w:ascii="Arial" w:hAnsi="Arial" w:cs="Arial"/>
                <w:sz w:val="20"/>
              </w:rPr>
              <w:t xml:space="preserve">sample </w:t>
            </w:r>
            <w:r w:rsidR="00FD0325">
              <w:rPr>
                <w:rFonts w:ascii="Arial" w:hAnsi="Arial" w:cs="Arial"/>
                <w:sz w:val="20"/>
              </w:rPr>
              <w:t xml:space="preserve">should </w:t>
            </w:r>
            <w:r w:rsidR="00494202">
              <w:rPr>
                <w:rFonts w:ascii="Arial" w:hAnsi="Arial" w:cs="Arial"/>
                <w:sz w:val="20"/>
              </w:rPr>
              <w:t xml:space="preserve">be representative </w:t>
            </w:r>
            <w:r>
              <w:rPr>
                <w:rFonts w:ascii="Arial" w:hAnsi="Arial" w:cs="Arial"/>
                <w:sz w:val="20"/>
              </w:rPr>
              <w:t>of the population</w:t>
            </w:r>
            <w:r w:rsidR="00494202">
              <w:rPr>
                <w:rFonts w:ascii="Arial" w:hAnsi="Arial" w:cs="Arial"/>
                <w:sz w:val="20"/>
              </w:rPr>
              <w:t>, with a</w:t>
            </w:r>
            <w:r w:rsidR="00494202" w:rsidRPr="00494202">
              <w:rPr>
                <w:rFonts w:ascii="Arial" w:hAnsi="Arial" w:cs="Arial"/>
                <w:sz w:val="20"/>
              </w:rPr>
              <w:t xml:space="preserve">ll shifts and days of the week included in the study, </w:t>
            </w:r>
            <w:r w:rsidR="00494202">
              <w:rPr>
                <w:rFonts w:ascii="Arial" w:hAnsi="Arial" w:cs="Arial"/>
                <w:sz w:val="20"/>
              </w:rPr>
              <w:t xml:space="preserve">thereby </w:t>
            </w:r>
            <w:r w:rsidR="00494202" w:rsidRPr="00494202">
              <w:rPr>
                <w:rFonts w:ascii="Arial" w:hAnsi="Arial" w:cs="Arial"/>
                <w:sz w:val="20"/>
              </w:rPr>
              <w:t>reducing any risk for bias.</w:t>
            </w:r>
            <w:r w:rsidR="00B85DF3">
              <w:rPr>
                <w:rFonts w:ascii="Arial" w:hAnsi="Arial" w:cs="Arial"/>
                <w:sz w:val="20"/>
              </w:rPr>
              <w:t xml:space="preserve"> </w:t>
            </w:r>
            <w:r w:rsidR="00494202">
              <w:rPr>
                <w:rFonts w:ascii="Arial" w:hAnsi="Arial" w:cs="Arial"/>
                <w:sz w:val="20"/>
              </w:rPr>
              <w:t xml:space="preserve"> </w:t>
            </w:r>
          </w:p>
          <w:p w:rsidR="0077588C" w:rsidRDefault="0077588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77588C">
              <w:rPr>
                <w:rFonts w:ascii="Arial" w:hAnsi="Arial" w:cs="Arial"/>
                <w:sz w:val="20"/>
                <w:u w:val="single"/>
              </w:rPr>
              <w:t>Data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  <w:r w:rsidRPr="007758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data gathered includes patient demographic details, presentation details and </w:t>
            </w:r>
            <w:r w:rsidR="00A8345E">
              <w:rPr>
                <w:rFonts w:ascii="Arial" w:hAnsi="Arial" w:cs="Arial"/>
                <w:sz w:val="20"/>
              </w:rPr>
              <w:t>routine enquiry</w:t>
            </w:r>
            <w:r>
              <w:rPr>
                <w:rFonts w:ascii="Arial" w:hAnsi="Arial" w:cs="Arial"/>
                <w:sz w:val="20"/>
              </w:rPr>
              <w:t xml:space="preserve"> profile. When </w:t>
            </w:r>
            <w:r w:rsidR="00A8345E">
              <w:rPr>
                <w:rFonts w:ascii="Arial" w:hAnsi="Arial" w:cs="Arial"/>
                <w:sz w:val="20"/>
              </w:rPr>
              <w:t>violence</w:t>
            </w:r>
            <w:r>
              <w:rPr>
                <w:rFonts w:ascii="Arial" w:hAnsi="Arial" w:cs="Arial"/>
                <w:sz w:val="20"/>
              </w:rPr>
              <w:t xml:space="preserve"> has been disclosed</w:t>
            </w:r>
            <w:r w:rsidR="00665CB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A8345E">
              <w:rPr>
                <w:rFonts w:ascii="Arial" w:hAnsi="Arial" w:cs="Arial"/>
                <w:sz w:val="20"/>
              </w:rPr>
              <w:t>IPV</w:t>
            </w:r>
            <w:r w:rsidR="007B05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documentation form is used to gather dat</w:t>
            </w:r>
            <w:r w:rsidR="007B05B6">
              <w:rPr>
                <w:rFonts w:ascii="Arial" w:hAnsi="Arial" w:cs="Arial"/>
                <w:sz w:val="20"/>
              </w:rPr>
              <w:t xml:space="preserve">a on the standard of assessment, intervention </w:t>
            </w:r>
            <w:r>
              <w:rPr>
                <w:rFonts w:ascii="Arial" w:hAnsi="Arial" w:cs="Arial"/>
                <w:sz w:val="20"/>
              </w:rPr>
              <w:t xml:space="preserve">and referral based on the </w:t>
            </w:r>
            <w:r w:rsidR="000D5079">
              <w:rPr>
                <w:rFonts w:ascii="Arial" w:hAnsi="Arial" w:cs="Arial"/>
                <w:sz w:val="20"/>
              </w:rPr>
              <w:t>documentation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77588C" w:rsidRDefault="00494202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494202">
              <w:rPr>
                <w:rFonts w:ascii="Arial" w:hAnsi="Arial" w:cs="Arial"/>
                <w:sz w:val="20"/>
              </w:rPr>
              <w:t xml:space="preserve">The data is entered into a Microsoft Excel programme. </w:t>
            </w:r>
          </w:p>
          <w:p w:rsidR="00494202" w:rsidRPr="00494202" w:rsidRDefault="0077588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77588C">
              <w:rPr>
                <w:rFonts w:ascii="Arial" w:hAnsi="Arial" w:cs="Arial"/>
                <w:sz w:val="20"/>
                <w:u w:val="single"/>
              </w:rPr>
              <w:t>Data analysis:</w:t>
            </w:r>
            <w:r>
              <w:rPr>
                <w:rFonts w:ascii="Arial" w:hAnsi="Arial" w:cs="Arial"/>
                <w:sz w:val="20"/>
              </w:rPr>
              <w:t xml:space="preserve"> The data is analysed </w:t>
            </w:r>
            <w:r w:rsidR="00494202" w:rsidRPr="00494202">
              <w:rPr>
                <w:rFonts w:ascii="Arial" w:hAnsi="Arial" w:cs="Arial"/>
                <w:sz w:val="20"/>
              </w:rPr>
              <w:t>and a report of the findings is completed.</w:t>
            </w:r>
            <w:r w:rsidR="00B85DF3">
              <w:rPr>
                <w:rFonts w:ascii="Arial" w:hAnsi="Arial" w:cs="Arial"/>
                <w:sz w:val="20"/>
              </w:rPr>
              <w:t xml:space="preserve"> </w:t>
            </w:r>
            <w:r w:rsidR="00494202" w:rsidRPr="00494202">
              <w:rPr>
                <w:rFonts w:ascii="Arial" w:hAnsi="Arial" w:cs="Arial"/>
                <w:sz w:val="20"/>
              </w:rPr>
              <w:t xml:space="preserve">Percentages are calculated with analysis comparing </w:t>
            </w:r>
            <w:r w:rsidR="007B05B6">
              <w:rPr>
                <w:rFonts w:ascii="Arial" w:hAnsi="Arial" w:cs="Arial"/>
                <w:sz w:val="20"/>
              </w:rPr>
              <w:t>enquiry</w:t>
            </w:r>
            <w:r w:rsidR="00494202" w:rsidRPr="00494202">
              <w:rPr>
                <w:rFonts w:ascii="Arial" w:hAnsi="Arial" w:cs="Arial"/>
                <w:sz w:val="20"/>
              </w:rPr>
              <w:t xml:space="preserve"> rates within population groups</w:t>
            </w:r>
            <w:r w:rsidR="00665CB1">
              <w:rPr>
                <w:rFonts w:ascii="Arial" w:hAnsi="Arial" w:cs="Arial"/>
                <w:sz w:val="20"/>
              </w:rPr>
              <w:t xml:space="preserve"> (e.g.</w:t>
            </w:r>
            <w:r w:rsidR="00494202" w:rsidRPr="00494202">
              <w:rPr>
                <w:rFonts w:ascii="Arial" w:hAnsi="Arial" w:cs="Arial"/>
                <w:sz w:val="20"/>
              </w:rPr>
              <w:t xml:space="preserve"> ethnic group</w:t>
            </w:r>
            <w:r w:rsidR="00665CB1">
              <w:rPr>
                <w:rFonts w:ascii="Arial" w:hAnsi="Arial" w:cs="Arial"/>
                <w:sz w:val="20"/>
              </w:rPr>
              <w:t>)</w:t>
            </w:r>
            <w:r w:rsidR="00494202" w:rsidRPr="00494202">
              <w:rPr>
                <w:rFonts w:ascii="Arial" w:hAnsi="Arial" w:cs="Arial"/>
                <w:sz w:val="20"/>
              </w:rPr>
              <w:t>.</w:t>
            </w:r>
            <w:r w:rsidR="00B85DF3">
              <w:rPr>
                <w:rFonts w:ascii="Arial" w:hAnsi="Arial" w:cs="Arial"/>
                <w:sz w:val="20"/>
              </w:rPr>
              <w:t xml:space="preserve"> </w:t>
            </w:r>
            <w:r w:rsidR="00494202" w:rsidRPr="00494202">
              <w:rPr>
                <w:rFonts w:ascii="Arial" w:hAnsi="Arial" w:cs="Arial"/>
                <w:sz w:val="20"/>
              </w:rPr>
              <w:t>Simple proportions only will be calculated.</w:t>
            </w:r>
          </w:p>
          <w:p w:rsidR="00494202" w:rsidRPr="00494202" w:rsidRDefault="000D5079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77588C">
              <w:rPr>
                <w:rFonts w:ascii="Arial" w:hAnsi="Arial" w:cs="Arial"/>
                <w:sz w:val="20"/>
                <w:u w:val="single"/>
              </w:rPr>
              <w:t>Confidentiality</w:t>
            </w:r>
            <w:r w:rsidR="0077588C" w:rsidRPr="0077588C">
              <w:rPr>
                <w:rFonts w:ascii="Arial" w:hAnsi="Arial" w:cs="Arial"/>
                <w:sz w:val="20"/>
                <w:u w:val="single"/>
              </w:rPr>
              <w:t>:</w:t>
            </w:r>
            <w:r w:rsidR="0077588C">
              <w:rPr>
                <w:rFonts w:ascii="Arial" w:hAnsi="Arial" w:cs="Arial"/>
                <w:sz w:val="20"/>
              </w:rPr>
              <w:t xml:space="preserve"> </w:t>
            </w:r>
            <w:r w:rsidR="00494202" w:rsidRPr="00494202">
              <w:rPr>
                <w:rFonts w:ascii="Arial" w:hAnsi="Arial" w:cs="Arial"/>
                <w:sz w:val="20"/>
              </w:rPr>
              <w:t>No patient is identifiable as names are not recorded – NHI numbers are recorded until a study number is allocated.</w:t>
            </w:r>
          </w:p>
          <w:p w:rsidR="00D64E99" w:rsidRPr="00494202" w:rsidRDefault="00494202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494202">
              <w:rPr>
                <w:rFonts w:ascii="Arial" w:hAnsi="Arial" w:cs="Arial"/>
                <w:sz w:val="20"/>
              </w:rPr>
              <w:t>All information is stored in locked filing cabinets or in password-protected computer programmes.</w:t>
            </w:r>
          </w:p>
        </w:tc>
      </w:tr>
      <w:tr w:rsidR="002719A5" w:rsidRPr="00E65B46" w:rsidTr="006D3334">
        <w:tc>
          <w:tcPr>
            <w:tcW w:w="2802" w:type="dxa"/>
          </w:tcPr>
          <w:p w:rsidR="002719A5" w:rsidRPr="00E65B46" w:rsidRDefault="002719A5" w:rsidP="002A2C9F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Report Procedure</w:t>
            </w:r>
            <w:r w:rsidR="00E8101A" w:rsidRPr="00E65B46">
              <w:rPr>
                <w:rFonts w:ascii="Arial" w:hAnsi="Arial" w:cs="Arial"/>
                <w:sz w:val="22"/>
                <w:szCs w:val="22"/>
                <w:lang w:val="en-NZ"/>
              </w:rPr>
              <w:t xml:space="preserve"> &amp; Due Date</w:t>
            </w: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</w:p>
          <w:p w:rsidR="00E8101A" w:rsidRPr="00E65B46" w:rsidRDefault="00B773BA" w:rsidP="00E8101A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Identifies who will receive the audit report, and identifies how the report will be communicated to key stakeholders.</w:t>
            </w:r>
          </w:p>
          <w:p w:rsidR="00E8101A" w:rsidRPr="00E65B46" w:rsidRDefault="00E8101A" w:rsidP="00B773BA">
            <w:pPr>
              <w:pStyle w:val="BodyText"/>
              <w:jc w:val="left"/>
              <w:rPr>
                <w:rFonts w:ascii="Arial" w:hAnsi="Arial" w:cs="Arial"/>
                <w:i/>
                <w:iCs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Draft report usually required within 2 weeks of audit and circulated for feedback.</w:t>
            </w:r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Final report usually completed within 3-4 weeks of audit and incorporates feedback where appropriate.</w:t>
            </w:r>
          </w:p>
        </w:tc>
        <w:tc>
          <w:tcPr>
            <w:tcW w:w="7087" w:type="dxa"/>
            <w:shd w:val="clear" w:color="auto" w:fill="auto"/>
          </w:tcPr>
          <w:p w:rsidR="00DF6C9C" w:rsidRPr="00DF6C9C" w:rsidRDefault="00DF6C9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DF6C9C">
              <w:rPr>
                <w:rFonts w:ascii="Arial" w:hAnsi="Arial" w:cs="Arial"/>
                <w:sz w:val="20"/>
              </w:rPr>
              <w:t xml:space="preserve">Audit reports are forwarded to the </w:t>
            </w:r>
            <w:r w:rsidR="007904C3">
              <w:rPr>
                <w:rFonts w:ascii="Arial" w:hAnsi="Arial" w:cs="Arial"/>
                <w:sz w:val="20"/>
              </w:rPr>
              <w:t>VIP</w:t>
            </w:r>
            <w:r w:rsidRPr="00DF6C9C">
              <w:rPr>
                <w:rFonts w:ascii="Arial" w:hAnsi="Arial" w:cs="Arial"/>
                <w:sz w:val="20"/>
              </w:rPr>
              <w:t xml:space="preserve"> </w:t>
            </w:r>
            <w:r w:rsidR="007904C3">
              <w:rPr>
                <w:rFonts w:ascii="Arial" w:hAnsi="Arial" w:cs="Arial"/>
                <w:sz w:val="20"/>
              </w:rPr>
              <w:t xml:space="preserve">senior </w:t>
            </w:r>
            <w:r w:rsidRPr="00DF6C9C">
              <w:rPr>
                <w:rFonts w:ascii="Arial" w:hAnsi="Arial" w:cs="Arial"/>
                <w:sz w:val="20"/>
              </w:rPr>
              <w:t>manager</w:t>
            </w:r>
            <w:r w:rsidR="007904C3">
              <w:rPr>
                <w:rFonts w:ascii="Arial" w:hAnsi="Arial" w:cs="Arial"/>
                <w:sz w:val="20"/>
              </w:rPr>
              <w:t xml:space="preserve"> and the department service manager </w:t>
            </w:r>
            <w:r w:rsidR="007904C3" w:rsidRPr="00DF6C9C">
              <w:rPr>
                <w:rFonts w:ascii="Arial" w:hAnsi="Arial" w:cs="Arial"/>
                <w:sz w:val="20"/>
              </w:rPr>
              <w:t>within two weeks of the audit being completed</w:t>
            </w:r>
            <w:r w:rsidR="007904C3">
              <w:rPr>
                <w:rFonts w:ascii="Arial" w:hAnsi="Arial" w:cs="Arial"/>
                <w:sz w:val="20"/>
              </w:rPr>
              <w:t xml:space="preserve">. </w:t>
            </w:r>
            <w:r w:rsidR="007904C3" w:rsidRPr="007904C3">
              <w:rPr>
                <w:rFonts w:ascii="Arial" w:hAnsi="Arial" w:cs="Arial"/>
                <w:i/>
                <w:sz w:val="20"/>
              </w:rPr>
              <w:t>(</w:t>
            </w:r>
            <w:r w:rsidR="007904C3">
              <w:rPr>
                <w:rFonts w:ascii="Arial" w:hAnsi="Arial" w:cs="Arial"/>
                <w:i/>
                <w:sz w:val="20"/>
              </w:rPr>
              <w:t>The report may be copied to</w:t>
            </w:r>
            <w:r w:rsidR="007904C3" w:rsidRPr="007904C3">
              <w:rPr>
                <w:rFonts w:ascii="Arial" w:hAnsi="Arial" w:cs="Arial"/>
                <w:i/>
                <w:sz w:val="20"/>
              </w:rPr>
              <w:t xml:space="preserve"> </w:t>
            </w:r>
            <w:r w:rsidRPr="007904C3">
              <w:rPr>
                <w:rFonts w:ascii="Arial" w:hAnsi="Arial" w:cs="Arial"/>
                <w:i/>
                <w:sz w:val="20"/>
              </w:rPr>
              <w:t xml:space="preserve">the </w:t>
            </w:r>
            <w:r w:rsidR="007904C3" w:rsidRPr="007904C3">
              <w:rPr>
                <w:rFonts w:ascii="Arial" w:hAnsi="Arial" w:cs="Arial"/>
                <w:i/>
                <w:sz w:val="20"/>
              </w:rPr>
              <w:t>quality and risk team depending on DHB process)</w:t>
            </w:r>
            <w:r w:rsidR="007904C3">
              <w:rPr>
                <w:rFonts w:ascii="Arial" w:hAnsi="Arial" w:cs="Arial"/>
                <w:sz w:val="20"/>
              </w:rPr>
              <w:t>.</w:t>
            </w:r>
          </w:p>
          <w:p w:rsidR="00DF6C9C" w:rsidRDefault="00DF6C9C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DF6C9C">
              <w:rPr>
                <w:rFonts w:ascii="Arial" w:hAnsi="Arial" w:cs="Arial"/>
                <w:sz w:val="20"/>
              </w:rPr>
              <w:t xml:space="preserve">The findings are reported to the </w:t>
            </w:r>
            <w:r>
              <w:rPr>
                <w:rFonts w:ascii="Arial" w:hAnsi="Arial" w:cs="Arial"/>
                <w:sz w:val="20"/>
              </w:rPr>
              <w:t xml:space="preserve">VIP Steering Group within the VIP </w:t>
            </w:r>
            <w:r w:rsidR="00665CB1">
              <w:rPr>
                <w:rFonts w:ascii="Arial" w:hAnsi="Arial" w:cs="Arial"/>
                <w:sz w:val="20"/>
              </w:rPr>
              <w:t>C</w:t>
            </w:r>
            <w:r w:rsidR="007904C3">
              <w:rPr>
                <w:rFonts w:ascii="Arial" w:hAnsi="Arial" w:cs="Arial"/>
                <w:sz w:val="20"/>
              </w:rPr>
              <w:t>oordinators’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904C3">
              <w:rPr>
                <w:rFonts w:ascii="Arial" w:hAnsi="Arial" w:cs="Arial"/>
                <w:sz w:val="20"/>
              </w:rPr>
              <w:t>reporting</w:t>
            </w:r>
            <w:r>
              <w:rPr>
                <w:rFonts w:ascii="Arial" w:hAnsi="Arial" w:cs="Arial"/>
                <w:sz w:val="20"/>
              </w:rPr>
              <w:t xml:space="preserve"> process. </w:t>
            </w:r>
          </w:p>
          <w:p w:rsidR="00DF6C9C" w:rsidRPr="00DF6C9C" w:rsidRDefault="00DF6C9C" w:rsidP="00665CB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findings </w:t>
            </w:r>
            <w:r w:rsidR="007904C3">
              <w:rPr>
                <w:rFonts w:ascii="Arial" w:hAnsi="Arial" w:cs="Arial"/>
                <w:sz w:val="20"/>
              </w:rPr>
              <w:t>will</w:t>
            </w:r>
            <w:r>
              <w:rPr>
                <w:rFonts w:ascii="Arial" w:hAnsi="Arial" w:cs="Arial"/>
                <w:sz w:val="20"/>
              </w:rPr>
              <w:t xml:space="preserve"> be reported </w:t>
            </w:r>
            <w:r w:rsidRPr="00DF6C9C">
              <w:rPr>
                <w:rFonts w:ascii="Arial" w:hAnsi="Arial" w:cs="Arial"/>
                <w:sz w:val="20"/>
              </w:rPr>
              <w:t>both formally (</w:t>
            </w:r>
            <w:r w:rsidR="007904C3" w:rsidRPr="00DF6C9C">
              <w:rPr>
                <w:rFonts w:ascii="Arial" w:hAnsi="Arial" w:cs="Arial"/>
                <w:sz w:val="20"/>
              </w:rPr>
              <w:t>i.e.</w:t>
            </w:r>
            <w:r w:rsidRPr="00DF6C9C">
              <w:rPr>
                <w:rFonts w:ascii="Arial" w:hAnsi="Arial" w:cs="Arial"/>
                <w:sz w:val="20"/>
              </w:rPr>
              <w:t xml:space="preserve">, in monthly and </w:t>
            </w:r>
            <w:r>
              <w:rPr>
                <w:rFonts w:ascii="Arial" w:hAnsi="Arial" w:cs="Arial"/>
                <w:sz w:val="20"/>
              </w:rPr>
              <w:t>bi</w:t>
            </w:r>
            <w:r w:rsidRPr="00DF6C9C">
              <w:rPr>
                <w:rFonts w:ascii="Arial" w:hAnsi="Arial" w:cs="Arial"/>
                <w:sz w:val="20"/>
              </w:rPr>
              <w:t xml:space="preserve">annual </w:t>
            </w:r>
            <w:r>
              <w:rPr>
                <w:rFonts w:ascii="Arial" w:hAnsi="Arial" w:cs="Arial"/>
                <w:sz w:val="20"/>
              </w:rPr>
              <w:t xml:space="preserve">MoH </w:t>
            </w:r>
            <w:r w:rsidRPr="00DF6C9C">
              <w:rPr>
                <w:rFonts w:ascii="Arial" w:hAnsi="Arial" w:cs="Arial"/>
                <w:sz w:val="20"/>
              </w:rPr>
              <w:t>reports) and informally (</w:t>
            </w:r>
            <w:r w:rsidR="007904C3" w:rsidRPr="00DF6C9C">
              <w:rPr>
                <w:rFonts w:ascii="Arial" w:hAnsi="Arial" w:cs="Arial"/>
                <w:sz w:val="20"/>
              </w:rPr>
              <w:t>i.e.</w:t>
            </w:r>
            <w:r w:rsidRPr="00DF6C9C">
              <w:rPr>
                <w:rFonts w:ascii="Arial" w:hAnsi="Arial" w:cs="Arial"/>
                <w:sz w:val="20"/>
              </w:rPr>
              <w:t>, at staff meetings and in the form of feedback during refresher training).</w:t>
            </w:r>
          </w:p>
          <w:p w:rsidR="00484C70" w:rsidRPr="00E65B46" w:rsidRDefault="00484C70" w:rsidP="00C4198F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Issues identified from the </w:t>
            </w:r>
            <w:r w:rsidR="007904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audit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(e.g.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7904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low </w:t>
            </w:r>
            <w:r w:rsidR="007B05B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routine enquiry </w:t>
            </w:r>
            <w:r w:rsidR="007904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rates, insufficient documentation of disclosures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)</w:t>
            </w:r>
            <w:r w:rsidR="007904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567D9D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will be managed </w:t>
            </w:r>
            <w:r w:rsidR="00C4198F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in collaboration with</w:t>
            </w:r>
            <w:r w:rsidR="00D64E9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VIP team including senior manager/programme sponsor</w:t>
            </w:r>
            <w:r w:rsidR="007904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, </w:t>
            </w:r>
            <w:r w:rsidR="000D507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department</w:t>
            </w:r>
            <w:r w:rsidR="007904C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service manager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and steering g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roup</w:t>
            </w:r>
            <w:r w:rsidR="00567D9D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(including community agency representatives) 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as indicated. </w:t>
            </w:r>
          </w:p>
        </w:tc>
      </w:tr>
      <w:tr w:rsidR="004C11F8" w:rsidRPr="00E65B46" w:rsidTr="00B773BA">
        <w:tc>
          <w:tcPr>
            <w:tcW w:w="2802" w:type="dxa"/>
          </w:tcPr>
          <w:p w:rsidR="004C11F8" w:rsidRPr="00E65B46" w:rsidRDefault="004C11F8" w:rsidP="0074544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Resources Required:</w:t>
            </w:r>
          </w:p>
          <w:p w:rsidR="0074544D" w:rsidRPr="00E65B46" w:rsidRDefault="0074544D" w:rsidP="0074544D">
            <w:pPr>
              <w:pStyle w:val="BodyText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Approximate resources required for </w:t>
            </w:r>
            <w:r w:rsid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QIA/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audit: Personnel / Time / Cost</w:t>
            </w:r>
          </w:p>
        </w:tc>
        <w:tc>
          <w:tcPr>
            <w:tcW w:w="7087" w:type="dxa"/>
          </w:tcPr>
          <w:p w:rsidR="00567D9D" w:rsidRDefault="00E65B46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A </w:t>
            </w:r>
            <w:r w:rsidR="00D64E9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standardised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spreadsheet for gathering the data </w:t>
            </w:r>
            <w:r w:rsidR="00D64E9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is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used.</w:t>
            </w:r>
          </w:p>
          <w:p w:rsidR="004C11F8" w:rsidRPr="00E65B46" w:rsidRDefault="00E65B46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</w:t>
            </w:r>
            <w:r w:rsidR="0051218E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resource required is the time 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taken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for the auditor to collect and </w:t>
            </w:r>
            <w:r w:rsidR="000D507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analyse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the data.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</w:tc>
      </w:tr>
      <w:tr w:rsidR="004C11F8" w:rsidRPr="00E65B46" w:rsidTr="00B773BA">
        <w:tc>
          <w:tcPr>
            <w:tcW w:w="2802" w:type="dxa"/>
          </w:tcPr>
          <w:p w:rsidR="004C11F8" w:rsidRPr="00E65B46" w:rsidRDefault="004C11F8" w:rsidP="0074544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Risks / Barriers:</w:t>
            </w:r>
          </w:p>
          <w:p w:rsidR="0074544D" w:rsidRPr="00E65B46" w:rsidRDefault="0074544D" w:rsidP="0074544D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Identifies any actual/potential risks to completing the audit</w:t>
            </w:r>
          </w:p>
          <w:p w:rsidR="0074544D" w:rsidRPr="00E65B46" w:rsidRDefault="00107645" w:rsidP="0074544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e.g. inability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to </w:t>
            </w:r>
            <w:r w:rsidR="00BB6964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access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accurate data; restricted time resource for the auditor/sponsor; and health record inaccessibility</w:t>
            </w:r>
          </w:p>
        </w:tc>
        <w:tc>
          <w:tcPr>
            <w:tcW w:w="7087" w:type="dxa"/>
          </w:tcPr>
          <w:p w:rsidR="00107645" w:rsidRDefault="00484C70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The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re are two potential risks. The first is that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health record management processes impact on the VIP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C</w:t>
            </w:r>
            <w:r w:rsidR="000D507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oordinator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(s) ability to conduct the audit.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  <w:p w:rsidR="004C11F8" w:rsidRPr="00E65B46" w:rsidRDefault="00665CB1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The second is that the VIP C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oordinator(s) do not have sufficient resource (time) to complete the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audit process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If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such QIA </w:t>
            </w:r>
            <w:r w:rsidR="000D507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activities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are 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not undertaken at sufficient intervals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,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early identification of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VIP </w:t>
            </w:r>
            <w:r w:rsidR="000D5079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implementation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issues may be missed and the quality of </w:t>
            </w:r>
            <w:r w:rsidR="006D3334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programme 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and its effectiveness may be affected.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107645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risk can be minimised by ensuring the VIP Steering Group endorse both the QIA plan including allocation of resources for such activities. </w:t>
            </w:r>
          </w:p>
        </w:tc>
      </w:tr>
      <w:tr w:rsidR="004C11F8" w:rsidRPr="00E65B46" w:rsidTr="00B773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F8" w:rsidRPr="00E65B46" w:rsidRDefault="002312CA" w:rsidP="0074544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 xml:space="preserve">Risk Management </w:t>
            </w:r>
            <w:r w:rsidR="004C11F8" w:rsidRPr="00E65B46">
              <w:rPr>
                <w:rFonts w:ascii="Arial" w:hAnsi="Arial" w:cs="Arial"/>
                <w:sz w:val="22"/>
                <w:szCs w:val="22"/>
                <w:lang w:val="en-NZ"/>
              </w:rPr>
              <w:t>Plan:</w:t>
            </w:r>
          </w:p>
          <w:p w:rsidR="0074544D" w:rsidRPr="00E65B46" w:rsidRDefault="0074544D" w:rsidP="0074544D">
            <w:pPr>
              <w:pStyle w:val="BodyText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Record proposed actions for overcomi</w:t>
            </w:r>
            <w:r w:rsidR="00BB6964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ng the risk(s) identified above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8F" w:rsidRPr="00E65B46" w:rsidRDefault="00107645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Regular review of QIA plan and reporting on actions/outcomes via 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VIP S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teering </w:t>
            </w:r>
            <w:r w:rsidR="00665CB1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G</w:t>
            </w:r>
            <w:r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roup and reporting processes </w:t>
            </w:r>
            <w:r w:rsidR="00484C70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should enable early identification of issue</w:t>
            </w:r>
            <w:r w:rsidR="00567D9D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s</w:t>
            </w:r>
            <w:r w:rsidR="00484C70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and </w:t>
            </w:r>
            <w:r w:rsidR="00567D9D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the development of a mutually agreeable </w:t>
            </w:r>
            <w:r w:rsidR="00484C70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recovery plan. </w:t>
            </w:r>
          </w:p>
        </w:tc>
      </w:tr>
      <w:tr w:rsidR="004C11F8" w:rsidRPr="00E65B46" w:rsidTr="00B773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F8" w:rsidRPr="00E65B46" w:rsidRDefault="004C11F8" w:rsidP="0074544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Protected Quality Assurance Activity</w:t>
            </w:r>
            <w:r w:rsidR="008D6FE4" w:rsidRPr="00E65B46">
              <w:rPr>
                <w:rFonts w:ascii="Arial" w:hAnsi="Arial" w:cs="Arial"/>
                <w:sz w:val="22"/>
                <w:szCs w:val="22"/>
                <w:lang w:val="en-NZ"/>
              </w:rPr>
              <w:t xml:space="preserve"> (PQAA)</w:t>
            </w:r>
            <w:r w:rsidRPr="00E65B46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</w:p>
          <w:p w:rsidR="0074544D" w:rsidRPr="00E65B46" w:rsidRDefault="00107645" w:rsidP="0074544D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Auditors must register the audit as a ‘PQAA’ if it meets the scope of the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lastRenderedPageBreak/>
              <w:t>quality assurance act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ivities that are covered under XX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DHB's protection notice (Protected Quality Assurance Acti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vity policy XX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DHB/OPM/038).</w:t>
            </w:r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>The declaration affords civil liability protection to participating practitioners where the terms of the policy are fulfilled.</w:t>
            </w:r>
            <w:r w:rsidR="00B85DF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  <w:r w:rsidR="0074544D" w:rsidRPr="00E65B4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E65B46" w:rsidRDefault="00C43A13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lang w:val="en-NZ"/>
              </w:rPr>
              <w:lastRenderedPageBreak/>
              <w:t>Please answer the questions</w:t>
            </w:r>
            <w:r w:rsidR="00FE21F1" w:rsidRPr="00E65B4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lang w:val="en-NZ"/>
              </w:rPr>
              <w:t xml:space="preserve">/ follow prompts </w:t>
            </w:r>
            <w:r w:rsidRPr="00E65B4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lang w:val="en-NZ"/>
              </w:rPr>
              <w:t>below:</w:t>
            </w:r>
          </w:p>
          <w:p w:rsidR="004C07FF" w:rsidRPr="00E65B46" w:rsidRDefault="00C43A13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E65B46">
              <w:rPr>
                <w:rFonts w:ascii="Arial" w:hAnsi="Arial" w:cs="Arial"/>
                <w:sz w:val="20"/>
                <w:lang w:val="en-NZ"/>
              </w:rPr>
              <w:t xml:space="preserve">Q.1. </w:t>
            </w:r>
            <w:r w:rsidR="004C07FF" w:rsidRPr="00E65B46">
              <w:rPr>
                <w:rFonts w:ascii="Arial" w:hAnsi="Arial" w:cs="Arial"/>
                <w:sz w:val="20"/>
                <w:lang w:val="en-NZ"/>
              </w:rPr>
              <w:t xml:space="preserve">Does this audit assesses the health services provided by </w:t>
            </w:r>
            <w:r w:rsidR="00484C70">
              <w:rPr>
                <w:rFonts w:ascii="Arial" w:hAnsi="Arial" w:cs="Arial"/>
                <w:sz w:val="20"/>
                <w:lang w:val="en-NZ"/>
              </w:rPr>
              <w:t>XX</w:t>
            </w:r>
            <w:r w:rsidR="004C07FF" w:rsidRPr="00E65B46">
              <w:rPr>
                <w:rFonts w:ascii="Arial" w:hAnsi="Arial" w:cs="Arial"/>
                <w:sz w:val="20"/>
                <w:lang w:val="en-NZ"/>
              </w:rPr>
              <w:t>DHB health practitioners?</w:t>
            </w:r>
            <w:r w:rsidR="00B85DF3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4C07FF"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>Yes</w:t>
            </w:r>
            <w:r w:rsidR="00BB6964"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  <w:r w:rsidR="004C07FF" w:rsidRPr="00E65B46"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NZ"/>
              </w:rPr>
              <w:t>(delete</w:t>
            </w:r>
            <w:r w:rsidR="00626B75" w:rsidRPr="00E65B46"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NZ"/>
              </w:rPr>
              <w:t xml:space="preserve"> one</w:t>
            </w:r>
            <w:r w:rsidR="004C07FF" w:rsidRPr="00E65B46"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NZ"/>
              </w:rPr>
              <w:t>)</w:t>
            </w:r>
          </w:p>
          <w:p w:rsidR="00C43A13" w:rsidRPr="00E65B46" w:rsidRDefault="00C43A13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E65B46">
              <w:rPr>
                <w:rFonts w:ascii="Arial" w:hAnsi="Arial" w:cs="Arial"/>
                <w:sz w:val="20"/>
                <w:lang w:val="en-NZ"/>
              </w:rPr>
              <w:t xml:space="preserve">Q.2. </w:t>
            </w:r>
            <w:r w:rsidR="004C07FF" w:rsidRPr="00E65B46">
              <w:rPr>
                <w:rFonts w:ascii="Arial" w:hAnsi="Arial" w:cs="Arial"/>
                <w:sz w:val="20"/>
                <w:lang w:val="en-NZ"/>
              </w:rPr>
              <w:t>I</w:t>
            </w:r>
            <w:r w:rsidRPr="00E65B46">
              <w:rPr>
                <w:rFonts w:ascii="Arial" w:hAnsi="Arial" w:cs="Arial"/>
                <w:sz w:val="20"/>
                <w:lang w:val="en-NZ"/>
              </w:rPr>
              <w:t>s this audit a</w:t>
            </w:r>
            <w:r w:rsidR="00FE21F1" w:rsidRPr="00E65B46">
              <w:rPr>
                <w:rFonts w:ascii="Arial" w:hAnsi="Arial" w:cs="Arial"/>
                <w:sz w:val="20"/>
                <w:lang w:val="en-NZ"/>
              </w:rPr>
              <w:t xml:space="preserve">ctivity covered </w:t>
            </w:r>
            <w:r w:rsidR="002A2C9F" w:rsidRPr="00E65B46">
              <w:rPr>
                <w:rFonts w:ascii="Arial" w:hAnsi="Arial" w:cs="Arial"/>
                <w:sz w:val="20"/>
                <w:lang w:val="en-NZ"/>
              </w:rPr>
              <w:t xml:space="preserve">under </w:t>
            </w:r>
            <w:r w:rsidRPr="00E65B46">
              <w:rPr>
                <w:rFonts w:ascii="Arial" w:hAnsi="Arial" w:cs="Arial"/>
                <w:sz w:val="20"/>
                <w:lang w:val="en-NZ"/>
              </w:rPr>
              <w:t>our PQAA notice?</w:t>
            </w: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  <w:p w:rsidR="00C43A13" w:rsidRPr="00E65B46" w:rsidRDefault="00C43A13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lastRenderedPageBreak/>
              <w:t>Yes</w:t>
            </w:r>
            <w:r w:rsidR="00BB6964"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t xml:space="preserve"> </w:t>
            </w:r>
          </w:p>
          <w:p w:rsidR="00C43A13" w:rsidRPr="00E65B46" w:rsidRDefault="00C43A13" w:rsidP="00665CB1">
            <w:pPr>
              <w:pStyle w:val="BodyText"/>
              <w:spacing w:after="60"/>
              <w:rPr>
                <w:rFonts w:ascii="Arial" w:hAnsi="Arial" w:cs="Arial"/>
                <w:b w:val="0"/>
                <w:bCs w:val="0"/>
                <w:sz w:val="20"/>
                <w:lang w:val="en-NZ"/>
              </w:rPr>
            </w:pPr>
            <w:r w:rsidRPr="00E65B46">
              <w:rPr>
                <w:rFonts w:ascii="Arial" w:hAnsi="Arial" w:cs="Arial"/>
                <w:b w:val="0"/>
                <w:bCs w:val="0"/>
                <w:sz w:val="20"/>
                <w:lang w:val="en-NZ"/>
              </w:rPr>
              <w:sym w:font="Wingdings" w:char="F0E2"/>
            </w:r>
          </w:p>
          <w:p w:rsidR="004C07FF" w:rsidRPr="00E65B46" w:rsidRDefault="00C43A13" w:rsidP="00665CB1">
            <w:pPr>
              <w:spacing w:after="60"/>
              <w:rPr>
                <w:rFonts w:ascii="Arial" w:hAnsi="Arial" w:cs="Arial"/>
                <w:sz w:val="20"/>
              </w:rPr>
            </w:pPr>
            <w:r w:rsidRPr="00E65B46">
              <w:rPr>
                <w:rFonts w:ascii="Arial" w:hAnsi="Arial" w:cs="Arial"/>
                <w:sz w:val="20"/>
              </w:rPr>
              <w:t xml:space="preserve">If yes, please </w:t>
            </w:r>
            <w:r w:rsidR="003A3DDB" w:rsidRPr="00E65B46">
              <w:rPr>
                <w:rFonts w:ascii="Arial" w:hAnsi="Arial" w:cs="Arial"/>
                <w:sz w:val="20"/>
              </w:rPr>
              <w:t xml:space="preserve">comply with the policy which includes a requirement to have the following statement on all </w:t>
            </w:r>
            <w:r w:rsidRPr="00E65B46">
              <w:rPr>
                <w:rFonts w:ascii="Arial" w:hAnsi="Arial" w:cs="Arial"/>
                <w:sz w:val="20"/>
              </w:rPr>
              <w:t>documentation/ records relating to this activity:</w:t>
            </w:r>
          </w:p>
          <w:p w:rsidR="00C43A13" w:rsidRPr="00E65B46" w:rsidRDefault="00C43A13" w:rsidP="00665CB1">
            <w:pPr>
              <w:spacing w:after="60"/>
              <w:rPr>
                <w:i/>
                <w:iCs/>
                <w:sz w:val="20"/>
              </w:rPr>
            </w:pPr>
            <w:r w:rsidRPr="00E65B46">
              <w:rPr>
                <w:rFonts w:ascii="Arial" w:hAnsi="Arial" w:cs="Arial"/>
                <w:i/>
                <w:iCs/>
                <w:sz w:val="20"/>
              </w:rPr>
              <w:t>“</w:t>
            </w:r>
            <w:r w:rsidR="00484C70">
              <w:rPr>
                <w:rFonts w:ascii="Arial" w:hAnsi="Arial" w:cs="Arial"/>
                <w:i/>
                <w:iCs/>
                <w:sz w:val="20"/>
              </w:rPr>
              <w:t>XX</w:t>
            </w:r>
            <w:r w:rsidRPr="00E65B46">
              <w:rPr>
                <w:rFonts w:ascii="Arial" w:hAnsi="Arial" w:cs="Arial"/>
                <w:i/>
                <w:iCs/>
                <w:sz w:val="20"/>
              </w:rPr>
              <w:t xml:space="preserve"> District Health Board: Confidential document.</w:t>
            </w:r>
            <w:r w:rsidR="00B85DF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E65B46">
              <w:rPr>
                <w:rFonts w:ascii="Arial" w:hAnsi="Arial" w:cs="Arial"/>
                <w:i/>
                <w:iCs/>
                <w:sz w:val="20"/>
              </w:rPr>
              <w:t xml:space="preserve">This document is produced for the purposes of a ‘Protected Quality Assurance Activity’ under health Practitioners’ (Quality Assurance Activity: </w:t>
            </w:r>
            <w:r w:rsidR="00484C70">
              <w:rPr>
                <w:rFonts w:ascii="Arial" w:hAnsi="Arial" w:cs="Arial"/>
                <w:i/>
                <w:iCs/>
                <w:sz w:val="20"/>
              </w:rPr>
              <w:t>XX</w:t>
            </w:r>
            <w:r w:rsidRPr="00E65B46">
              <w:rPr>
                <w:rFonts w:ascii="Arial" w:hAnsi="Arial" w:cs="Arial"/>
                <w:i/>
                <w:iCs/>
                <w:sz w:val="20"/>
              </w:rPr>
              <w:t xml:space="preserve"> District Health board) Notice 2005.”</w:t>
            </w:r>
            <w:r w:rsidR="00B85DF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3A3DDB" w:rsidRPr="00E65B4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</w:tbl>
    <w:p w:rsidR="00626B75" w:rsidRPr="00E65B46" w:rsidRDefault="00626B75" w:rsidP="003A3DDB">
      <w:pPr>
        <w:pStyle w:val="Balloon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6862"/>
      </w:tblGrid>
      <w:tr w:rsidR="00626B75" w:rsidRPr="00E65B46" w:rsidTr="001348A3">
        <w:trPr>
          <w:trHeight w:val="224"/>
        </w:trPr>
        <w:tc>
          <w:tcPr>
            <w:tcW w:w="280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8A3">
              <w:rPr>
                <w:rFonts w:ascii="Arial" w:hAnsi="Arial" w:cs="Arial"/>
                <w:b/>
                <w:bCs/>
                <w:sz w:val="22"/>
                <w:szCs w:val="22"/>
              </w:rPr>
              <w:t>TOR submitted by:</w:t>
            </w:r>
          </w:p>
        </w:tc>
        <w:tc>
          <w:tcPr>
            <w:tcW w:w="7052" w:type="dxa"/>
            <w:shd w:val="clear" w:color="auto" w:fill="auto"/>
          </w:tcPr>
          <w:p w:rsidR="00626B75" w:rsidRPr="001348A3" w:rsidRDefault="00626B75" w:rsidP="001348A3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</w:tr>
      <w:tr w:rsidR="00626B75" w:rsidRPr="00E65B46" w:rsidTr="001348A3">
        <w:tc>
          <w:tcPr>
            <w:tcW w:w="280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8A3">
              <w:rPr>
                <w:rFonts w:ascii="Arial" w:hAnsi="Arial" w:cs="Arial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705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sz w:val="20"/>
              </w:rPr>
            </w:pPr>
          </w:p>
        </w:tc>
      </w:tr>
      <w:tr w:rsidR="00626B75" w:rsidRPr="00E65B46" w:rsidTr="001348A3">
        <w:tc>
          <w:tcPr>
            <w:tcW w:w="280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8A3">
              <w:rPr>
                <w:rFonts w:ascii="Arial" w:hAnsi="Arial" w:cs="Arial"/>
                <w:b/>
                <w:bCs/>
                <w:sz w:val="22"/>
                <w:szCs w:val="22"/>
              </w:rPr>
              <w:t>Department/ Service:</w:t>
            </w:r>
          </w:p>
        </w:tc>
        <w:tc>
          <w:tcPr>
            <w:tcW w:w="705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sz w:val="20"/>
              </w:rPr>
            </w:pPr>
          </w:p>
        </w:tc>
      </w:tr>
      <w:tr w:rsidR="00626B75" w:rsidRPr="00E65B46" w:rsidTr="001348A3">
        <w:tc>
          <w:tcPr>
            <w:tcW w:w="280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8A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052" w:type="dxa"/>
            <w:shd w:val="clear" w:color="auto" w:fill="auto"/>
          </w:tcPr>
          <w:p w:rsidR="00626B75" w:rsidRPr="001348A3" w:rsidRDefault="00626B75" w:rsidP="00626B75">
            <w:pPr>
              <w:rPr>
                <w:rFonts w:ascii="Arial" w:hAnsi="Arial" w:cs="Arial"/>
                <w:sz w:val="20"/>
              </w:rPr>
            </w:pPr>
          </w:p>
        </w:tc>
      </w:tr>
    </w:tbl>
    <w:p w:rsidR="00626B75" w:rsidRPr="00E65B46" w:rsidRDefault="00626B75" w:rsidP="003A3DDB">
      <w:pPr>
        <w:pStyle w:val="Balloon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6866"/>
      </w:tblGrid>
      <w:tr w:rsidR="00626B75" w:rsidRPr="00E65B46" w:rsidTr="001348A3">
        <w:tc>
          <w:tcPr>
            <w:tcW w:w="2802" w:type="dxa"/>
            <w:shd w:val="clear" w:color="auto" w:fill="auto"/>
          </w:tcPr>
          <w:p w:rsidR="00626B75" w:rsidRPr="001348A3" w:rsidRDefault="00626B75" w:rsidP="008A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8A3">
              <w:rPr>
                <w:rFonts w:ascii="Arial" w:hAnsi="Arial" w:cs="Arial"/>
                <w:b/>
                <w:bCs/>
                <w:sz w:val="22"/>
                <w:szCs w:val="22"/>
              </w:rPr>
              <w:t>Approved by sponsor (signature)</w:t>
            </w:r>
          </w:p>
        </w:tc>
        <w:tc>
          <w:tcPr>
            <w:tcW w:w="7052" w:type="dxa"/>
            <w:shd w:val="clear" w:color="auto" w:fill="auto"/>
          </w:tcPr>
          <w:p w:rsidR="00626B75" w:rsidRPr="001348A3" w:rsidRDefault="00626B75" w:rsidP="00E8101A">
            <w:pPr>
              <w:pStyle w:val="CommentText"/>
              <w:rPr>
                <w:rFonts w:ascii="Arial" w:hAnsi="Arial" w:cs="Arial"/>
              </w:rPr>
            </w:pPr>
          </w:p>
        </w:tc>
      </w:tr>
      <w:tr w:rsidR="00626B75" w:rsidRPr="00E65B46" w:rsidTr="001348A3">
        <w:tc>
          <w:tcPr>
            <w:tcW w:w="2802" w:type="dxa"/>
            <w:shd w:val="clear" w:color="auto" w:fill="auto"/>
          </w:tcPr>
          <w:p w:rsidR="00626B75" w:rsidRPr="001348A3" w:rsidRDefault="00626B75" w:rsidP="008A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8A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052" w:type="dxa"/>
            <w:shd w:val="clear" w:color="auto" w:fill="auto"/>
          </w:tcPr>
          <w:p w:rsidR="00626B75" w:rsidRPr="001348A3" w:rsidRDefault="00626B75" w:rsidP="008A572C">
            <w:pPr>
              <w:rPr>
                <w:rFonts w:ascii="Arial" w:hAnsi="Arial" w:cs="Arial"/>
                <w:sz w:val="20"/>
              </w:rPr>
            </w:pPr>
          </w:p>
        </w:tc>
      </w:tr>
    </w:tbl>
    <w:p w:rsidR="00626B75" w:rsidRPr="00E65B46" w:rsidRDefault="00626B75" w:rsidP="003A3DDB">
      <w:pPr>
        <w:pStyle w:val="Balloon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9520"/>
      </w:tblGrid>
      <w:tr w:rsidR="00626B75" w:rsidRPr="00E65B46" w:rsidTr="00626B75">
        <w:tc>
          <w:tcPr>
            <w:tcW w:w="9746" w:type="dxa"/>
          </w:tcPr>
          <w:p w:rsidR="00626B75" w:rsidRPr="00E65B46" w:rsidRDefault="00626B75" w:rsidP="0090528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0000FF"/>
                <w:sz w:val="20"/>
                <w:lang w:val="en-NZ"/>
              </w:rPr>
            </w:pPr>
            <w:r w:rsidRPr="00E65B46">
              <w:rPr>
                <w:rFonts w:ascii="Arial" w:hAnsi="Arial" w:cs="Arial"/>
                <w:i/>
                <w:iCs/>
                <w:color w:val="0000FF"/>
                <w:sz w:val="20"/>
                <w:lang w:val="en-NZ"/>
              </w:rPr>
              <w:t xml:space="preserve">Please register your audit </w:t>
            </w:r>
            <w:r w:rsidR="00484C70">
              <w:rPr>
                <w:rFonts w:ascii="Arial" w:hAnsi="Arial" w:cs="Arial"/>
                <w:i/>
                <w:iCs/>
                <w:color w:val="0000FF"/>
                <w:sz w:val="20"/>
                <w:lang w:val="en-NZ"/>
              </w:rPr>
              <w:t>with the Quality &amp; Risk Service by following u</w:t>
            </w:r>
            <w:r w:rsidR="00484C70">
              <w:rPr>
                <w:rFonts w:ascii="Arial" w:hAnsi="Arial" w:cs="Arial"/>
                <w:b w:val="0"/>
                <w:bCs w:val="0"/>
                <w:i/>
                <w:iCs/>
                <w:color w:val="0000FF"/>
                <w:sz w:val="20"/>
                <w:lang w:val="en-NZ"/>
              </w:rPr>
              <w:t>sual DHB process.</w:t>
            </w:r>
            <w:r w:rsidR="00484C70" w:rsidRPr="00E65B46">
              <w:rPr>
                <w:rFonts w:ascii="Arial" w:hAnsi="Arial" w:cs="Arial"/>
                <w:b w:val="0"/>
                <w:bCs w:val="0"/>
                <w:i/>
                <w:iCs/>
                <w:color w:val="0000FF"/>
                <w:sz w:val="20"/>
                <w:lang w:val="en-NZ"/>
              </w:rPr>
              <w:t xml:space="preserve"> </w:t>
            </w:r>
          </w:p>
        </w:tc>
      </w:tr>
    </w:tbl>
    <w:p w:rsidR="002719A5" w:rsidRPr="00E65B46" w:rsidRDefault="002719A5" w:rsidP="00626B75"/>
    <w:sectPr w:rsidR="002719A5" w:rsidRPr="00E65B46" w:rsidSect="00763BEA">
      <w:headerReference w:type="default" r:id="rId9"/>
      <w:footerReference w:type="default" r:id="rId10"/>
      <w:footerReference w:type="first" r:id="rId11"/>
      <w:pgSz w:w="11907" w:h="16840" w:code="9"/>
      <w:pgMar w:top="425" w:right="851" w:bottom="1135" w:left="1418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2C" w:rsidRDefault="0064582C" w:rsidP="002719A5">
      <w:pPr>
        <w:pStyle w:val="Heading1"/>
      </w:pPr>
      <w:r>
        <w:separator/>
      </w:r>
    </w:p>
  </w:endnote>
  <w:endnote w:type="continuationSeparator" w:id="0">
    <w:p w:rsidR="0064582C" w:rsidRDefault="0064582C" w:rsidP="002719A5">
      <w:pPr>
        <w:pStyle w:val="Heading1"/>
      </w:pPr>
      <w:r>
        <w:continuationSeparator/>
      </w:r>
    </w:p>
  </w:endnote>
  <w:endnote w:type="continuationNotice" w:id="1">
    <w:p w:rsidR="0064582C" w:rsidRDefault="0064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A5" w:rsidRDefault="00BE5D81">
    <w:pPr>
      <w:pStyle w:val="Footer"/>
      <w:tabs>
        <w:tab w:val="left" w:pos="285"/>
      </w:tabs>
      <w:rPr>
        <w:rFonts w:ascii="Arial" w:hAnsi="Arial"/>
        <w:sz w:val="20"/>
      </w:rPr>
    </w:pPr>
    <w:r w:rsidRPr="00DC4E0C">
      <w:rPr>
        <w:rStyle w:val="PageNumber"/>
        <w:rFonts w:ascii="Helvetica" w:hAnsi="Helvetica"/>
        <w:sz w:val="16"/>
        <w:lang w:val="en-US"/>
      </w:rPr>
      <w:fldChar w:fldCharType="begin"/>
    </w:r>
    <w:r w:rsidR="00DC4E0C" w:rsidRPr="00DC4E0C">
      <w:rPr>
        <w:rStyle w:val="PageNumber"/>
        <w:rFonts w:ascii="Helvetica" w:hAnsi="Helvetica"/>
        <w:sz w:val="16"/>
        <w:lang w:val="en-US"/>
      </w:rPr>
      <w:instrText xml:space="preserve"> FILENAME </w:instrText>
    </w:r>
    <w:r w:rsidRPr="00DC4E0C">
      <w:rPr>
        <w:rStyle w:val="PageNumber"/>
        <w:rFonts w:ascii="Helvetica" w:hAnsi="Helvetica"/>
        <w:sz w:val="16"/>
        <w:lang w:val="en-US"/>
      </w:rPr>
      <w:fldChar w:fldCharType="separate"/>
    </w:r>
    <w:r w:rsidR="00192570">
      <w:rPr>
        <w:rStyle w:val="PageNumber"/>
        <w:rFonts w:ascii="Helvetica" w:hAnsi="Helvetica"/>
        <w:noProof/>
        <w:sz w:val="16"/>
        <w:lang w:val="en-US"/>
      </w:rPr>
      <w:t xml:space="preserve">VIP </w:t>
    </w:r>
    <w:r w:rsidR="00C4198F">
      <w:rPr>
        <w:rStyle w:val="PageNumber"/>
        <w:rFonts w:ascii="Helvetica" w:hAnsi="Helvetica"/>
        <w:noProof/>
        <w:sz w:val="16"/>
        <w:lang w:val="en-US"/>
      </w:rPr>
      <w:t>IPV C</w:t>
    </w:r>
    <w:r w:rsidR="00192570">
      <w:rPr>
        <w:rStyle w:val="PageNumber"/>
        <w:rFonts w:ascii="Helvetica" w:hAnsi="Helvetica"/>
        <w:noProof/>
        <w:sz w:val="16"/>
        <w:lang w:val="en-US"/>
      </w:rPr>
      <w:t>linical audit TOR</w:t>
    </w:r>
    <w:r w:rsidRPr="00DC4E0C">
      <w:rPr>
        <w:rStyle w:val="PageNumber"/>
        <w:rFonts w:ascii="Helvetica" w:hAnsi="Helvetica"/>
        <w:sz w:val="16"/>
        <w:lang w:val="en-US"/>
      </w:rPr>
      <w:fldChar w:fldCharType="end"/>
    </w:r>
    <w:r w:rsidR="00C4198F">
      <w:rPr>
        <w:rStyle w:val="PageNumber"/>
        <w:rFonts w:ascii="Helvetica" w:hAnsi="Helvetica"/>
        <w:sz w:val="16"/>
        <w:lang w:val="en-US"/>
      </w:rPr>
      <w:t xml:space="preserve"> – reviewed May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0C" w:rsidRPr="00DC4E0C" w:rsidRDefault="00BE5D81">
    <w:pPr>
      <w:pStyle w:val="Footer"/>
      <w:rPr>
        <w:rFonts w:ascii="Arial" w:hAnsi="Arial" w:cs="Arial"/>
        <w:sz w:val="16"/>
        <w:szCs w:val="16"/>
      </w:rPr>
    </w:pPr>
    <w:r w:rsidRPr="00DC4E0C">
      <w:rPr>
        <w:rFonts w:ascii="Arial" w:hAnsi="Arial" w:cs="Arial"/>
        <w:sz w:val="16"/>
        <w:szCs w:val="16"/>
        <w:lang w:val="en-US"/>
      </w:rPr>
      <w:fldChar w:fldCharType="begin"/>
    </w:r>
    <w:r w:rsidR="00DC4E0C" w:rsidRPr="00DC4E0C">
      <w:rPr>
        <w:rFonts w:ascii="Arial" w:hAnsi="Arial" w:cs="Arial"/>
        <w:sz w:val="16"/>
        <w:szCs w:val="16"/>
        <w:lang w:val="en-US"/>
      </w:rPr>
      <w:instrText xml:space="preserve"> FILENAME </w:instrText>
    </w:r>
    <w:r w:rsidRPr="00DC4E0C">
      <w:rPr>
        <w:rFonts w:ascii="Arial" w:hAnsi="Arial" w:cs="Arial"/>
        <w:sz w:val="16"/>
        <w:szCs w:val="16"/>
        <w:lang w:val="en-US"/>
      </w:rPr>
      <w:fldChar w:fldCharType="separate"/>
    </w:r>
    <w:r w:rsidR="00192570">
      <w:rPr>
        <w:rFonts w:ascii="Arial" w:hAnsi="Arial" w:cs="Arial"/>
        <w:noProof/>
        <w:sz w:val="16"/>
        <w:szCs w:val="16"/>
        <w:lang w:val="en-US"/>
      </w:rPr>
      <w:t xml:space="preserve">VIP </w:t>
    </w:r>
    <w:r w:rsidR="00C4198F">
      <w:rPr>
        <w:rFonts w:ascii="Arial" w:hAnsi="Arial" w:cs="Arial"/>
        <w:noProof/>
        <w:sz w:val="16"/>
        <w:szCs w:val="16"/>
        <w:lang w:val="en-US"/>
      </w:rPr>
      <w:t>IPV Clinical a</w:t>
    </w:r>
    <w:r w:rsidR="00192570">
      <w:rPr>
        <w:rFonts w:ascii="Arial" w:hAnsi="Arial" w:cs="Arial"/>
        <w:noProof/>
        <w:sz w:val="16"/>
        <w:szCs w:val="16"/>
        <w:lang w:val="en-US"/>
      </w:rPr>
      <w:t>udit TOR</w:t>
    </w:r>
    <w:r w:rsidRPr="00DC4E0C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2C" w:rsidRDefault="0064582C" w:rsidP="002719A5">
      <w:pPr>
        <w:pStyle w:val="Heading1"/>
      </w:pPr>
      <w:r>
        <w:separator/>
      </w:r>
    </w:p>
  </w:footnote>
  <w:footnote w:type="continuationSeparator" w:id="0">
    <w:p w:rsidR="0064582C" w:rsidRDefault="0064582C" w:rsidP="002719A5">
      <w:pPr>
        <w:pStyle w:val="Heading1"/>
      </w:pPr>
      <w:r>
        <w:continuationSeparator/>
      </w:r>
    </w:p>
  </w:footnote>
  <w:footnote w:type="continuationNotice" w:id="1">
    <w:p w:rsidR="0064582C" w:rsidRDefault="006458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A5" w:rsidRDefault="002719A5" w:rsidP="00942B82">
    <w:pPr>
      <w:pStyle w:val="Header"/>
      <w:tabs>
        <w:tab w:val="clear" w:pos="8306"/>
        <w:tab w:val="right" w:pos="9072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DD3"/>
    <w:multiLevelType w:val="hybridMultilevel"/>
    <w:tmpl w:val="277C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288D"/>
    <w:multiLevelType w:val="hybridMultilevel"/>
    <w:tmpl w:val="CB0E8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C196D"/>
    <w:multiLevelType w:val="hybridMultilevel"/>
    <w:tmpl w:val="56682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C601B"/>
    <w:multiLevelType w:val="hybridMultilevel"/>
    <w:tmpl w:val="DAF8F4C0"/>
    <w:lvl w:ilvl="0" w:tplc="429820C0">
      <w:start w:val="1"/>
      <w:numFmt w:val="bullet"/>
      <w:lvlText w:val="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D74C6"/>
    <w:multiLevelType w:val="hybridMultilevel"/>
    <w:tmpl w:val="5804F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B2B9E"/>
    <w:multiLevelType w:val="hybridMultilevel"/>
    <w:tmpl w:val="E98A0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04352"/>
    <w:multiLevelType w:val="hybridMultilevel"/>
    <w:tmpl w:val="CDEC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14912"/>
    <w:multiLevelType w:val="hybridMultilevel"/>
    <w:tmpl w:val="104A3148"/>
    <w:lvl w:ilvl="0" w:tplc="04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8">
    <w:nsid w:val="7274268F"/>
    <w:multiLevelType w:val="hybridMultilevel"/>
    <w:tmpl w:val="B7860A02"/>
    <w:lvl w:ilvl="0" w:tplc="A1BAF8F0">
      <w:numFmt w:val="bullet"/>
      <w:lvlText w:val=""/>
      <w:lvlJc w:val="left"/>
      <w:pPr>
        <w:tabs>
          <w:tab w:val="num" w:pos="930"/>
        </w:tabs>
        <w:ind w:left="930" w:hanging="57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8"/>
    <w:rsid w:val="000D5079"/>
    <w:rsid w:val="000E1710"/>
    <w:rsid w:val="00107645"/>
    <w:rsid w:val="001348A3"/>
    <w:rsid w:val="00155F07"/>
    <w:rsid w:val="00157D81"/>
    <w:rsid w:val="00164F02"/>
    <w:rsid w:val="00167B97"/>
    <w:rsid w:val="00173E39"/>
    <w:rsid w:val="00173FB9"/>
    <w:rsid w:val="00191236"/>
    <w:rsid w:val="00192570"/>
    <w:rsid w:val="001A572F"/>
    <w:rsid w:val="001C278D"/>
    <w:rsid w:val="002312CA"/>
    <w:rsid w:val="002719A5"/>
    <w:rsid w:val="00272B70"/>
    <w:rsid w:val="002A2C9F"/>
    <w:rsid w:val="002C014E"/>
    <w:rsid w:val="002C2D7B"/>
    <w:rsid w:val="002C794C"/>
    <w:rsid w:val="002E29CB"/>
    <w:rsid w:val="002E4E35"/>
    <w:rsid w:val="003260CB"/>
    <w:rsid w:val="003A3DDB"/>
    <w:rsid w:val="003B48C3"/>
    <w:rsid w:val="004007B1"/>
    <w:rsid w:val="00461F24"/>
    <w:rsid w:val="00472CC3"/>
    <w:rsid w:val="00484C70"/>
    <w:rsid w:val="00494202"/>
    <w:rsid w:val="004C07FF"/>
    <w:rsid w:val="004C11F8"/>
    <w:rsid w:val="004C2CCC"/>
    <w:rsid w:val="004C4898"/>
    <w:rsid w:val="004C7BA6"/>
    <w:rsid w:val="004F2A66"/>
    <w:rsid w:val="005041AC"/>
    <w:rsid w:val="0051218E"/>
    <w:rsid w:val="00567D9D"/>
    <w:rsid w:val="0058406F"/>
    <w:rsid w:val="0060706A"/>
    <w:rsid w:val="00610F32"/>
    <w:rsid w:val="0061578A"/>
    <w:rsid w:val="00626B75"/>
    <w:rsid w:val="006430BA"/>
    <w:rsid w:val="0064582C"/>
    <w:rsid w:val="006610AD"/>
    <w:rsid w:val="00665CB1"/>
    <w:rsid w:val="006B2F15"/>
    <w:rsid w:val="006C3279"/>
    <w:rsid w:val="006D3334"/>
    <w:rsid w:val="006F0F9D"/>
    <w:rsid w:val="0074544D"/>
    <w:rsid w:val="00763BEA"/>
    <w:rsid w:val="0077588C"/>
    <w:rsid w:val="007904C3"/>
    <w:rsid w:val="007B05B6"/>
    <w:rsid w:val="007C37CE"/>
    <w:rsid w:val="007E5A4D"/>
    <w:rsid w:val="007E6063"/>
    <w:rsid w:val="007F30C5"/>
    <w:rsid w:val="0084076D"/>
    <w:rsid w:val="008635FC"/>
    <w:rsid w:val="008772A2"/>
    <w:rsid w:val="00884AA6"/>
    <w:rsid w:val="00886F92"/>
    <w:rsid w:val="008A572C"/>
    <w:rsid w:val="008D3B1C"/>
    <w:rsid w:val="008D6FE4"/>
    <w:rsid w:val="008D7890"/>
    <w:rsid w:val="0090528E"/>
    <w:rsid w:val="00935A8D"/>
    <w:rsid w:val="00942B82"/>
    <w:rsid w:val="00983424"/>
    <w:rsid w:val="009C4607"/>
    <w:rsid w:val="009F2145"/>
    <w:rsid w:val="00A03F75"/>
    <w:rsid w:val="00A25EAE"/>
    <w:rsid w:val="00A8345E"/>
    <w:rsid w:val="00AE6AAE"/>
    <w:rsid w:val="00B13674"/>
    <w:rsid w:val="00B41AF1"/>
    <w:rsid w:val="00B42B22"/>
    <w:rsid w:val="00B52224"/>
    <w:rsid w:val="00B773BA"/>
    <w:rsid w:val="00B85DF3"/>
    <w:rsid w:val="00BB6964"/>
    <w:rsid w:val="00BE5D81"/>
    <w:rsid w:val="00C07701"/>
    <w:rsid w:val="00C4198F"/>
    <w:rsid w:val="00C43A13"/>
    <w:rsid w:val="00C46915"/>
    <w:rsid w:val="00C61280"/>
    <w:rsid w:val="00CE1415"/>
    <w:rsid w:val="00CE1887"/>
    <w:rsid w:val="00D64E99"/>
    <w:rsid w:val="00DB40EB"/>
    <w:rsid w:val="00DB5301"/>
    <w:rsid w:val="00DB6F86"/>
    <w:rsid w:val="00DC4E0C"/>
    <w:rsid w:val="00DD1B78"/>
    <w:rsid w:val="00DF6C9C"/>
    <w:rsid w:val="00E12196"/>
    <w:rsid w:val="00E54A8D"/>
    <w:rsid w:val="00E65B46"/>
    <w:rsid w:val="00E67BA4"/>
    <w:rsid w:val="00E8101A"/>
    <w:rsid w:val="00EB327E"/>
    <w:rsid w:val="00EC08F8"/>
    <w:rsid w:val="00F363F0"/>
    <w:rsid w:val="00F57FAD"/>
    <w:rsid w:val="00FD0325"/>
    <w:rsid w:val="00FE21F1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F1698ED-4305-4ECF-AD28-A0B7B04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8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E5D81"/>
    <w:pPr>
      <w:keepNext/>
      <w:jc w:val="center"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qFormat/>
    <w:rsid w:val="00BE5D81"/>
    <w:pPr>
      <w:keepNext/>
      <w:outlineLvl w:val="1"/>
    </w:pPr>
    <w:rPr>
      <w:i/>
      <w:iCs/>
      <w:color w:val="FF0000"/>
      <w:lang w:val="en-GB"/>
    </w:rPr>
  </w:style>
  <w:style w:type="paragraph" w:styleId="Heading3">
    <w:name w:val="heading 3"/>
    <w:basedOn w:val="Normal"/>
    <w:next w:val="Normal"/>
    <w:qFormat/>
    <w:rsid w:val="00BE5D81"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BE5D81"/>
    <w:pPr>
      <w:keepNext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BE5D81"/>
    <w:pPr>
      <w:keepNext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5D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E5D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D81"/>
  </w:style>
  <w:style w:type="paragraph" w:styleId="BodyText">
    <w:name w:val="Body Text"/>
    <w:basedOn w:val="Normal"/>
    <w:rsid w:val="00BE5D81"/>
    <w:pPr>
      <w:jc w:val="both"/>
    </w:pPr>
    <w:rPr>
      <w:b/>
      <w:bCs/>
      <w:lang w:val="en-US"/>
    </w:rPr>
  </w:style>
  <w:style w:type="paragraph" w:styleId="BodyText2">
    <w:name w:val="Body Text 2"/>
    <w:basedOn w:val="Normal"/>
    <w:rsid w:val="00BE5D81"/>
    <w:rPr>
      <w:i/>
      <w:color w:val="FF0000"/>
      <w:lang w:val="en-GB"/>
    </w:rPr>
  </w:style>
  <w:style w:type="paragraph" w:styleId="BodyText3">
    <w:name w:val="Body Text 3"/>
    <w:basedOn w:val="Normal"/>
    <w:rsid w:val="00BE5D81"/>
    <w:rPr>
      <w:rFonts w:ascii="Arial" w:hAnsi="Arial" w:cs="Arial"/>
      <w:i/>
      <w:sz w:val="20"/>
      <w:lang w:val="en-GB"/>
    </w:rPr>
  </w:style>
  <w:style w:type="character" w:styleId="Hyperlink">
    <w:name w:val="Hyperlink"/>
    <w:rsid w:val="00BE5D81"/>
    <w:rPr>
      <w:color w:val="0000FF"/>
      <w:u w:val="single"/>
    </w:rPr>
  </w:style>
  <w:style w:type="character" w:styleId="FollowedHyperlink">
    <w:name w:val="FollowedHyperlink"/>
    <w:rsid w:val="00BE5D81"/>
    <w:rPr>
      <w:color w:val="800080"/>
      <w:u w:val="single"/>
    </w:rPr>
  </w:style>
  <w:style w:type="table" w:styleId="TableGrid">
    <w:name w:val="Table Grid"/>
    <w:basedOn w:val="TableNormal"/>
    <w:rsid w:val="0062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A3DDB"/>
    <w:rPr>
      <w:sz w:val="16"/>
      <w:szCs w:val="16"/>
    </w:rPr>
  </w:style>
  <w:style w:type="paragraph" w:styleId="CommentText">
    <w:name w:val="annotation text"/>
    <w:basedOn w:val="Normal"/>
    <w:semiHidden/>
    <w:rsid w:val="003A3D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A3DDB"/>
    <w:rPr>
      <w:b/>
      <w:bCs/>
    </w:rPr>
  </w:style>
  <w:style w:type="paragraph" w:styleId="BalloonText">
    <w:name w:val="Balloon Text"/>
    <w:basedOn w:val="Normal"/>
    <w:semiHidden/>
    <w:rsid w:val="003A3D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F30C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951D06D3.dotm</Template>
  <TotalTime>5</TotalTime>
  <Pages>3</Pages>
  <Words>1419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Activity - terms of reference</vt:lpstr>
    </vt:vector>
  </TitlesOfParts>
  <Company>Healthcare Hawke's Bay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Activity - terms of reference</dc:title>
  <dc:subject/>
  <dc:creator>Ministry of Health</dc:creator>
  <cp:keywords/>
  <cp:lastModifiedBy>Ministry of Health</cp:lastModifiedBy>
  <cp:revision>4</cp:revision>
  <cp:lastPrinted>2009-01-11T19:53:00Z</cp:lastPrinted>
  <dcterms:created xsi:type="dcterms:W3CDTF">2018-08-07T23:10:00Z</dcterms:created>
  <dcterms:modified xsi:type="dcterms:W3CDTF">2018-08-08T02:03:00Z</dcterms:modified>
</cp:coreProperties>
</file>