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3A" w:rsidRPr="00500D9F" w:rsidRDefault="0082133A" w:rsidP="001A15A2">
      <w:pPr>
        <w:jc w:val="center"/>
        <w:rPr>
          <w:rFonts w:ascii="Calibri" w:hAnsi="Calibri" w:cs="Arial"/>
          <w:b/>
          <w:sz w:val="56"/>
        </w:rPr>
      </w:pPr>
      <w:bookmarkStart w:id="0" w:name="_GoBack"/>
      <w:bookmarkEnd w:id="0"/>
    </w:p>
    <w:p w:rsidR="0082133A" w:rsidRPr="00500D9F" w:rsidRDefault="0082133A" w:rsidP="001A15A2">
      <w:pPr>
        <w:jc w:val="center"/>
        <w:rPr>
          <w:rFonts w:ascii="Calibri" w:hAnsi="Calibri" w:cs="Arial"/>
          <w:b/>
          <w:sz w:val="56"/>
        </w:rPr>
      </w:pPr>
    </w:p>
    <w:p w:rsidR="0082133A" w:rsidRPr="00500D9F" w:rsidRDefault="0082133A" w:rsidP="001A15A2">
      <w:pPr>
        <w:jc w:val="center"/>
        <w:rPr>
          <w:rFonts w:ascii="Calibri" w:hAnsi="Calibri" w:cs="Arial"/>
          <w:b/>
          <w:sz w:val="56"/>
        </w:rPr>
      </w:pPr>
    </w:p>
    <w:p w:rsidR="0082133A" w:rsidRPr="00500D9F" w:rsidRDefault="0082133A" w:rsidP="001A15A2">
      <w:pPr>
        <w:jc w:val="center"/>
        <w:rPr>
          <w:rFonts w:ascii="Calibri" w:hAnsi="Calibri" w:cs="Arial"/>
          <w:b/>
          <w:sz w:val="56"/>
        </w:rPr>
      </w:pPr>
    </w:p>
    <w:p w:rsidR="0082133A" w:rsidRPr="00500D9F" w:rsidRDefault="0082133A" w:rsidP="001A15A2">
      <w:pPr>
        <w:jc w:val="center"/>
        <w:rPr>
          <w:rFonts w:ascii="Calibri" w:hAnsi="Calibri" w:cs="Arial"/>
          <w:b/>
          <w:sz w:val="56"/>
          <w:szCs w:val="56"/>
        </w:rPr>
      </w:pPr>
      <w:r w:rsidRPr="00500D9F">
        <w:rPr>
          <w:rFonts w:ascii="Calibri" w:hAnsi="Calibri" w:cs="Arial"/>
          <w:b/>
          <w:sz w:val="56"/>
          <w:szCs w:val="56"/>
        </w:rPr>
        <w:t>DHB Costing Guidelines</w:t>
      </w: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BB52FD" w:rsidP="001A15A2">
      <w:pPr>
        <w:jc w:val="center"/>
        <w:rPr>
          <w:rFonts w:ascii="Calibri" w:hAnsi="Calibri" w:cs="Arial"/>
          <w:b/>
          <w:sz w:val="40"/>
        </w:rPr>
      </w:pPr>
      <w:r>
        <w:rPr>
          <w:rFonts w:ascii="Calibri" w:hAnsi="Calibri" w:cs="Arial"/>
          <w:b/>
          <w:sz w:val="40"/>
        </w:rPr>
        <w:t>Version</w:t>
      </w:r>
      <w:r w:rsidR="0082133A" w:rsidRPr="00500D9F">
        <w:rPr>
          <w:rFonts w:ascii="Calibri" w:hAnsi="Calibri" w:cs="Arial"/>
          <w:b/>
          <w:sz w:val="40"/>
        </w:rPr>
        <w:t xml:space="preserve"> </w:t>
      </w:r>
      <w:r w:rsidR="00315382">
        <w:rPr>
          <w:rFonts w:ascii="Calibri" w:hAnsi="Calibri" w:cs="Arial"/>
          <w:b/>
          <w:sz w:val="40"/>
        </w:rPr>
        <w:t>1</w:t>
      </w:r>
      <w:r w:rsidR="002433BF">
        <w:rPr>
          <w:rFonts w:ascii="Calibri" w:hAnsi="Calibri" w:cs="Arial"/>
          <w:b/>
          <w:sz w:val="40"/>
        </w:rPr>
        <w:t>1</w:t>
      </w:r>
    </w:p>
    <w:p w:rsidR="0082133A" w:rsidRPr="00500D9F" w:rsidRDefault="002433BF" w:rsidP="001A15A2">
      <w:pPr>
        <w:jc w:val="center"/>
        <w:rPr>
          <w:rFonts w:ascii="Calibri" w:hAnsi="Calibri" w:cs="Arial"/>
          <w:b/>
          <w:sz w:val="40"/>
          <w:szCs w:val="40"/>
        </w:rPr>
      </w:pPr>
      <w:r>
        <w:rPr>
          <w:rFonts w:ascii="Calibri" w:hAnsi="Calibri" w:cs="Arial"/>
          <w:b/>
          <w:sz w:val="40"/>
          <w:szCs w:val="40"/>
        </w:rPr>
        <w:t>June</w:t>
      </w:r>
      <w:r w:rsidR="008179E7">
        <w:rPr>
          <w:rFonts w:ascii="Calibri" w:hAnsi="Calibri" w:cs="Arial"/>
          <w:b/>
          <w:sz w:val="40"/>
          <w:szCs w:val="40"/>
        </w:rPr>
        <w:t xml:space="preserve"> </w:t>
      </w:r>
      <w:r w:rsidR="0082133A" w:rsidRPr="00500D9F">
        <w:rPr>
          <w:rFonts w:ascii="Calibri" w:hAnsi="Calibri" w:cs="Arial"/>
          <w:b/>
          <w:sz w:val="40"/>
          <w:szCs w:val="40"/>
        </w:rPr>
        <w:t>201</w:t>
      </w:r>
      <w:r w:rsidR="00315382">
        <w:rPr>
          <w:rFonts w:ascii="Calibri" w:hAnsi="Calibri" w:cs="Arial"/>
          <w:b/>
          <w:sz w:val="40"/>
          <w:szCs w:val="40"/>
        </w:rPr>
        <w:t>9</w:t>
      </w:r>
    </w:p>
    <w:p w:rsidR="0082133A" w:rsidRPr="00500D9F" w:rsidRDefault="0082133A" w:rsidP="001A15A2">
      <w:pPr>
        <w:jc w:val="center"/>
        <w:rPr>
          <w:rFonts w:ascii="Calibri" w:hAnsi="Calibri" w:cs="Arial"/>
        </w:rPr>
      </w:pPr>
    </w:p>
    <w:p w:rsidR="0082133A" w:rsidRPr="00500D9F" w:rsidRDefault="0082133A" w:rsidP="008D1FFF">
      <w:pPr>
        <w:pStyle w:val="TOC1"/>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p>
    <w:p w:rsidR="0082133A" w:rsidRPr="00500D9F" w:rsidRDefault="0082133A" w:rsidP="001A15A2">
      <w:pPr>
        <w:jc w:val="center"/>
        <w:rPr>
          <w:rFonts w:ascii="Calibri" w:hAnsi="Calibri" w:cs="Arial"/>
        </w:rPr>
      </w:pPr>
      <w:r w:rsidRPr="00500D9F">
        <w:rPr>
          <w:rFonts w:ascii="Calibri" w:hAnsi="Calibri" w:cs="Arial"/>
        </w:rPr>
        <w:t>Issued by</w:t>
      </w:r>
    </w:p>
    <w:p w:rsidR="0082133A" w:rsidRPr="00500D9F" w:rsidRDefault="0082133A" w:rsidP="001838C5">
      <w:pPr>
        <w:jc w:val="center"/>
        <w:rPr>
          <w:rFonts w:ascii="Calibri" w:hAnsi="Calibri" w:cs="Arial"/>
        </w:rPr>
      </w:pPr>
      <w:r w:rsidRPr="00500D9F">
        <w:rPr>
          <w:rFonts w:ascii="Calibri" w:hAnsi="Calibri" w:cs="Arial"/>
        </w:rPr>
        <w:t>Common Costing Group</w:t>
      </w:r>
    </w:p>
    <w:p w:rsidR="0082133A" w:rsidRPr="00500D9F" w:rsidRDefault="0082133A" w:rsidP="001A15A2">
      <w:pPr>
        <w:jc w:val="left"/>
        <w:rPr>
          <w:rFonts w:ascii="Calibri" w:hAnsi="Calibri" w:cs="Arial"/>
        </w:rPr>
        <w:sectPr w:rsidR="0082133A" w:rsidRPr="00500D9F" w:rsidSect="00124FAF">
          <w:footerReference w:type="even" r:id="rId8"/>
          <w:footerReference w:type="default" r:id="rId9"/>
          <w:footerReference w:type="first" r:id="rId10"/>
          <w:pgSz w:w="11906" w:h="16838"/>
          <w:pgMar w:top="1440" w:right="1797" w:bottom="1440" w:left="1797" w:header="709" w:footer="709" w:gutter="0"/>
          <w:pgNumType w:start="0"/>
          <w:cols w:space="708"/>
          <w:titlePg/>
          <w:docGrid w:linePitch="360"/>
        </w:sectPr>
      </w:pPr>
    </w:p>
    <w:p w:rsidR="0082133A" w:rsidRPr="00500D9F" w:rsidRDefault="0082133A" w:rsidP="00713908">
      <w:pPr>
        <w:jc w:val="center"/>
        <w:rPr>
          <w:rFonts w:ascii="Calibri" w:hAnsi="Calibri"/>
          <w:b/>
          <w:u w:val="single"/>
        </w:rPr>
      </w:pPr>
      <w:r w:rsidRPr="00500D9F">
        <w:rPr>
          <w:rFonts w:ascii="Calibri" w:hAnsi="Calibri"/>
          <w:b/>
          <w:u w:val="single"/>
        </w:rPr>
        <w:lastRenderedPageBreak/>
        <w:t>TABLE OF CONTENTS</w:t>
      </w:r>
    </w:p>
    <w:p w:rsidR="0082133A" w:rsidRPr="00500D9F" w:rsidRDefault="0082133A" w:rsidP="008D1FFF">
      <w:pPr>
        <w:ind w:left="7920" w:firstLine="720"/>
        <w:jc w:val="right"/>
        <w:rPr>
          <w:rFonts w:ascii="Calibri" w:hAnsi="Calibri"/>
          <w:b/>
        </w:rPr>
      </w:pPr>
      <w:r w:rsidRPr="00500D9F">
        <w:rPr>
          <w:rFonts w:ascii="Calibri" w:hAnsi="Calibri"/>
          <w:b/>
        </w:rPr>
        <w:t>Page</w:t>
      </w:r>
    </w:p>
    <w:p w:rsidR="0082133A" w:rsidRPr="00500D9F" w:rsidRDefault="0082133A" w:rsidP="001B6975">
      <w:pPr>
        <w:ind w:right="22"/>
        <w:rPr>
          <w:rFonts w:ascii="Calibri" w:hAnsi="Calibri" w:cs="Arial"/>
        </w:rPr>
      </w:pPr>
    </w:p>
    <w:p w:rsidR="00D4526F" w:rsidRDefault="0082133A">
      <w:pPr>
        <w:pStyle w:val="TOC1"/>
        <w:rPr>
          <w:rFonts w:asciiTheme="minorHAnsi" w:eastAsiaTheme="minorEastAsia" w:hAnsiTheme="minorHAnsi" w:cstheme="minorBidi"/>
          <w:sz w:val="22"/>
          <w:szCs w:val="22"/>
          <w:lang w:eastAsia="en-NZ"/>
        </w:rPr>
      </w:pPr>
      <w:r w:rsidRPr="00500D9F">
        <w:rPr>
          <w:rFonts w:ascii="Calibri" w:hAnsi="Calibri" w:cs="Arial"/>
        </w:rPr>
        <w:fldChar w:fldCharType="begin"/>
      </w:r>
      <w:r w:rsidRPr="00500D9F">
        <w:rPr>
          <w:rFonts w:ascii="Calibri" w:hAnsi="Calibri" w:cs="Arial"/>
        </w:rPr>
        <w:instrText xml:space="preserve"> TOC \o "1-1" \t "Heading 3,2" </w:instrText>
      </w:r>
      <w:r w:rsidRPr="00500D9F">
        <w:rPr>
          <w:rFonts w:ascii="Calibri" w:hAnsi="Calibri" w:cs="Arial"/>
        </w:rPr>
        <w:fldChar w:fldCharType="separate"/>
      </w:r>
      <w:r w:rsidR="00D4526F" w:rsidRPr="00B669ED">
        <w:rPr>
          <w:rFonts w:ascii="Calibri" w:hAnsi="Calibri"/>
          <w:u w:val="single"/>
        </w:rPr>
        <w:t>Explanatory Foreword</w:t>
      </w:r>
      <w:r w:rsidR="00D4526F">
        <w:tab/>
      </w:r>
      <w:r w:rsidR="00D4526F">
        <w:fldChar w:fldCharType="begin"/>
      </w:r>
      <w:r w:rsidR="00D4526F">
        <w:instrText xml:space="preserve"> PAGEREF _Toc530662730 \h </w:instrText>
      </w:r>
      <w:r w:rsidR="00D4526F">
        <w:fldChar w:fldCharType="separate"/>
      </w:r>
      <w:r w:rsidR="00D4526F">
        <w:t>3</w:t>
      </w:r>
      <w:r w:rsidR="00D4526F">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1) Version control</w:t>
      </w:r>
      <w:r>
        <w:rPr>
          <w:noProof/>
        </w:rPr>
        <w:tab/>
      </w:r>
      <w:r>
        <w:rPr>
          <w:noProof/>
        </w:rPr>
        <w:fldChar w:fldCharType="begin"/>
      </w:r>
      <w:r>
        <w:rPr>
          <w:noProof/>
        </w:rPr>
        <w:instrText xml:space="preserve"> PAGEREF _Toc530662731 \h </w:instrText>
      </w:r>
      <w:r>
        <w:rPr>
          <w:noProof/>
        </w:rPr>
      </w:r>
      <w:r>
        <w:rPr>
          <w:noProof/>
        </w:rPr>
        <w:fldChar w:fldCharType="separate"/>
      </w:r>
      <w:r>
        <w:rPr>
          <w:noProof/>
        </w:rPr>
        <w:t>3</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2) Purpose of the Costing Guidelines</w:t>
      </w:r>
      <w:r>
        <w:rPr>
          <w:noProof/>
        </w:rPr>
        <w:tab/>
      </w:r>
      <w:r>
        <w:rPr>
          <w:noProof/>
        </w:rPr>
        <w:fldChar w:fldCharType="begin"/>
      </w:r>
      <w:r>
        <w:rPr>
          <w:noProof/>
        </w:rPr>
        <w:instrText xml:space="preserve"> PAGEREF _Toc530662732 \h </w:instrText>
      </w:r>
      <w:r>
        <w:rPr>
          <w:noProof/>
        </w:rPr>
      </w:r>
      <w:r>
        <w:rPr>
          <w:noProof/>
        </w:rPr>
        <w:fldChar w:fldCharType="separate"/>
      </w:r>
      <w:r>
        <w:rPr>
          <w:noProof/>
        </w:rPr>
        <w:t>3</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3) Origin of the Costing Guidelines</w:t>
      </w:r>
      <w:r>
        <w:rPr>
          <w:noProof/>
        </w:rPr>
        <w:tab/>
      </w:r>
      <w:r>
        <w:rPr>
          <w:noProof/>
        </w:rPr>
        <w:fldChar w:fldCharType="begin"/>
      </w:r>
      <w:r>
        <w:rPr>
          <w:noProof/>
        </w:rPr>
        <w:instrText xml:space="preserve"> PAGEREF _Toc530662733 \h </w:instrText>
      </w:r>
      <w:r>
        <w:rPr>
          <w:noProof/>
        </w:rPr>
      </w:r>
      <w:r>
        <w:rPr>
          <w:noProof/>
        </w:rPr>
        <w:fldChar w:fldCharType="separate"/>
      </w:r>
      <w:r>
        <w:rPr>
          <w:noProof/>
        </w:rPr>
        <w:t>3</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4) Relationship of the Costing Guidelines to the Costing Standards</w:t>
      </w:r>
      <w:r>
        <w:rPr>
          <w:noProof/>
        </w:rPr>
        <w:tab/>
      </w:r>
      <w:r>
        <w:rPr>
          <w:noProof/>
        </w:rPr>
        <w:fldChar w:fldCharType="begin"/>
      </w:r>
      <w:r>
        <w:rPr>
          <w:noProof/>
        </w:rPr>
        <w:instrText xml:space="preserve"> PAGEREF _Toc530662734 \h </w:instrText>
      </w:r>
      <w:r>
        <w:rPr>
          <w:noProof/>
        </w:rPr>
      </w:r>
      <w:r>
        <w:rPr>
          <w:noProof/>
        </w:rPr>
        <w:fldChar w:fldCharType="separate"/>
      </w:r>
      <w:r>
        <w:rPr>
          <w:noProof/>
        </w:rPr>
        <w:t>3</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1: CRITICAL CARE (CS7.7.10 A100)</w:t>
      </w:r>
      <w:r>
        <w:tab/>
      </w:r>
      <w:r>
        <w:fldChar w:fldCharType="begin"/>
      </w:r>
      <w:r>
        <w:instrText xml:space="preserve"> PAGEREF _Toc530662735 \h </w:instrText>
      </w:r>
      <w:r>
        <w:fldChar w:fldCharType="separate"/>
      </w:r>
      <w:r>
        <w:t>4</w:t>
      </w:r>
      <w: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2: EMERGENCY (CS7.7.11 A110)</w:t>
      </w:r>
      <w:r>
        <w:tab/>
      </w:r>
      <w:r w:rsidR="002433BF">
        <w:t>5</w:t>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3: THEATRE/PROCEDURE ROOMS(CS7.7.8 A080)</w:t>
      </w:r>
      <w:r>
        <w:tab/>
      </w:r>
      <w:r>
        <w:fldChar w:fldCharType="begin"/>
      </w:r>
      <w:r>
        <w:instrText xml:space="preserve"> PAGEREF _Toc530662743 \h </w:instrText>
      </w:r>
      <w:r>
        <w:fldChar w:fldCharType="separate"/>
      </w:r>
      <w:r>
        <w:t>12</w:t>
      </w:r>
      <w: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1) Theatre/Procedure Room Products/Activity</w:t>
      </w:r>
      <w:r>
        <w:rPr>
          <w:noProof/>
        </w:rPr>
        <w:tab/>
      </w:r>
      <w:r>
        <w:rPr>
          <w:noProof/>
        </w:rPr>
        <w:fldChar w:fldCharType="begin"/>
      </w:r>
      <w:r>
        <w:rPr>
          <w:noProof/>
        </w:rPr>
        <w:instrText xml:space="preserve"> PAGEREF _Toc530662744 \h </w:instrText>
      </w:r>
      <w:r>
        <w:rPr>
          <w:noProof/>
        </w:rPr>
      </w:r>
      <w:r>
        <w:rPr>
          <w:noProof/>
        </w:rPr>
        <w:fldChar w:fldCharType="separate"/>
      </w:r>
      <w:r>
        <w:rPr>
          <w:noProof/>
        </w:rPr>
        <w:t>12</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2) Theatre/Procedure Room Relative Value Units (RVUs)</w:t>
      </w:r>
      <w:r>
        <w:rPr>
          <w:noProof/>
        </w:rPr>
        <w:tab/>
      </w:r>
      <w:r>
        <w:rPr>
          <w:noProof/>
        </w:rPr>
        <w:fldChar w:fldCharType="begin"/>
      </w:r>
      <w:r>
        <w:rPr>
          <w:noProof/>
        </w:rPr>
        <w:instrText xml:space="preserve"> PAGEREF _Toc530662745 \h </w:instrText>
      </w:r>
      <w:r>
        <w:rPr>
          <w:noProof/>
        </w:rPr>
      </w:r>
      <w:r>
        <w:rPr>
          <w:noProof/>
        </w:rPr>
        <w:fldChar w:fldCharType="separate"/>
      </w:r>
      <w:r>
        <w:rPr>
          <w:noProof/>
        </w:rPr>
        <w:t>12</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3) Theatre/Procedure Room Overheads</w:t>
      </w:r>
      <w:r>
        <w:rPr>
          <w:noProof/>
        </w:rPr>
        <w:tab/>
      </w:r>
      <w:r>
        <w:rPr>
          <w:noProof/>
        </w:rPr>
        <w:fldChar w:fldCharType="begin"/>
      </w:r>
      <w:r>
        <w:rPr>
          <w:noProof/>
        </w:rPr>
        <w:instrText xml:space="preserve"> PAGEREF _Toc530662746 \h </w:instrText>
      </w:r>
      <w:r>
        <w:rPr>
          <w:noProof/>
        </w:rPr>
      </w:r>
      <w:r>
        <w:rPr>
          <w:noProof/>
        </w:rPr>
        <w:fldChar w:fldCharType="separate"/>
      </w:r>
      <w:r>
        <w:rPr>
          <w:noProof/>
        </w:rPr>
        <w:t>17</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4: WARDS (CS7.7.2 (A010)</w:t>
      </w:r>
      <w:r>
        <w:tab/>
      </w:r>
      <w:r>
        <w:fldChar w:fldCharType="begin"/>
      </w:r>
      <w:r>
        <w:instrText xml:space="preserve"> PAGEREF _Toc530662747 \h </w:instrText>
      </w:r>
      <w:r>
        <w:fldChar w:fldCharType="separate"/>
      </w:r>
      <w:r>
        <w:t>18</w:t>
      </w:r>
      <w: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1) Ward/Department Products/Activity</w:t>
      </w:r>
      <w:r>
        <w:rPr>
          <w:noProof/>
        </w:rPr>
        <w:tab/>
      </w:r>
      <w:r>
        <w:rPr>
          <w:noProof/>
        </w:rPr>
        <w:fldChar w:fldCharType="begin"/>
      </w:r>
      <w:r>
        <w:rPr>
          <w:noProof/>
        </w:rPr>
        <w:instrText xml:space="preserve"> PAGEREF _Toc530662748 \h </w:instrText>
      </w:r>
      <w:r>
        <w:rPr>
          <w:noProof/>
        </w:rPr>
      </w:r>
      <w:r>
        <w:rPr>
          <w:noProof/>
        </w:rPr>
        <w:fldChar w:fldCharType="separate"/>
      </w:r>
      <w:r>
        <w:rPr>
          <w:noProof/>
        </w:rPr>
        <w:t>18</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2) Ward/Department Relative Value Units (RVUs)</w:t>
      </w:r>
      <w:r>
        <w:rPr>
          <w:noProof/>
        </w:rPr>
        <w:tab/>
      </w:r>
      <w:r>
        <w:rPr>
          <w:noProof/>
        </w:rPr>
        <w:fldChar w:fldCharType="begin"/>
      </w:r>
      <w:r>
        <w:rPr>
          <w:noProof/>
        </w:rPr>
        <w:instrText xml:space="preserve"> PAGEREF _Toc530662749 \h </w:instrText>
      </w:r>
      <w:r>
        <w:rPr>
          <w:noProof/>
        </w:rPr>
      </w:r>
      <w:r>
        <w:rPr>
          <w:noProof/>
        </w:rPr>
        <w:fldChar w:fldCharType="separate"/>
      </w:r>
      <w:r>
        <w:rPr>
          <w:noProof/>
        </w:rPr>
        <w:t>19</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3) Ward Department Overheads</w:t>
      </w:r>
      <w:r>
        <w:rPr>
          <w:noProof/>
        </w:rPr>
        <w:tab/>
      </w:r>
      <w:r>
        <w:rPr>
          <w:noProof/>
        </w:rPr>
        <w:fldChar w:fldCharType="begin"/>
      </w:r>
      <w:r>
        <w:rPr>
          <w:noProof/>
        </w:rPr>
        <w:instrText xml:space="preserve"> PAGEREF _Toc530662750 \h </w:instrText>
      </w:r>
      <w:r>
        <w:rPr>
          <w:noProof/>
        </w:rPr>
      </w:r>
      <w:r>
        <w:rPr>
          <w:noProof/>
        </w:rPr>
        <w:fldChar w:fldCharType="separate"/>
      </w:r>
      <w:r>
        <w:rPr>
          <w:noProof/>
        </w:rPr>
        <w:t>20</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5: ONCOLOGY &amp; HAEMATOLOGY SERVICES</w:t>
      </w:r>
      <w:r>
        <w:tab/>
      </w:r>
      <w:r>
        <w:fldChar w:fldCharType="begin"/>
      </w:r>
      <w:r>
        <w:instrText xml:space="preserve"> PAGEREF _Toc530662751 \h </w:instrText>
      </w:r>
      <w:r>
        <w:fldChar w:fldCharType="separate"/>
      </w:r>
      <w:r>
        <w:t>21</w:t>
      </w:r>
      <w: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Background</w:t>
      </w:r>
      <w:r>
        <w:rPr>
          <w:noProof/>
        </w:rPr>
        <w:tab/>
      </w:r>
      <w:r>
        <w:rPr>
          <w:noProof/>
        </w:rPr>
        <w:fldChar w:fldCharType="begin"/>
      </w:r>
      <w:r>
        <w:rPr>
          <w:noProof/>
        </w:rPr>
        <w:instrText xml:space="preserve"> PAGEREF _Toc530662752 \h </w:instrText>
      </w:r>
      <w:r>
        <w:rPr>
          <w:noProof/>
        </w:rPr>
      </w:r>
      <w:r>
        <w:rPr>
          <w:noProof/>
        </w:rPr>
        <w:fldChar w:fldCharType="separate"/>
      </w:r>
      <w:r>
        <w:rPr>
          <w:noProof/>
        </w:rPr>
        <w:t>21</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Methodology</w:t>
      </w:r>
      <w:r>
        <w:rPr>
          <w:noProof/>
        </w:rPr>
        <w:tab/>
      </w:r>
      <w:r>
        <w:rPr>
          <w:noProof/>
        </w:rPr>
        <w:fldChar w:fldCharType="begin"/>
      </w:r>
      <w:r>
        <w:rPr>
          <w:noProof/>
        </w:rPr>
        <w:instrText xml:space="preserve"> PAGEREF _Toc530662753 \h </w:instrText>
      </w:r>
      <w:r>
        <w:rPr>
          <w:noProof/>
        </w:rPr>
      </w:r>
      <w:r>
        <w:rPr>
          <w:noProof/>
        </w:rPr>
        <w:fldChar w:fldCharType="separate"/>
      </w:r>
      <w:r>
        <w:rPr>
          <w:noProof/>
        </w:rPr>
        <w:t>21</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General audit checks for haematology and oncology services</w:t>
      </w:r>
      <w:r>
        <w:rPr>
          <w:noProof/>
        </w:rPr>
        <w:tab/>
      </w:r>
      <w:r>
        <w:rPr>
          <w:noProof/>
        </w:rPr>
        <w:fldChar w:fldCharType="begin"/>
      </w:r>
      <w:r>
        <w:rPr>
          <w:noProof/>
        </w:rPr>
        <w:instrText xml:space="preserve"> PAGEREF _Toc530662754 \h </w:instrText>
      </w:r>
      <w:r>
        <w:rPr>
          <w:noProof/>
        </w:rPr>
      </w:r>
      <w:r>
        <w:rPr>
          <w:noProof/>
        </w:rPr>
        <w:fldChar w:fldCharType="separate"/>
      </w:r>
      <w:r>
        <w:rPr>
          <w:noProof/>
        </w:rPr>
        <w:t>21</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u w:val="single"/>
        </w:rPr>
        <w:t>Oncology specific audit checks by PUC</w:t>
      </w:r>
      <w:r>
        <w:rPr>
          <w:noProof/>
        </w:rPr>
        <w:tab/>
      </w:r>
      <w:r>
        <w:rPr>
          <w:noProof/>
        </w:rPr>
        <w:fldChar w:fldCharType="begin"/>
      </w:r>
      <w:r>
        <w:rPr>
          <w:noProof/>
        </w:rPr>
        <w:instrText xml:space="preserve"> PAGEREF _Toc530662755 \h </w:instrText>
      </w:r>
      <w:r>
        <w:rPr>
          <w:noProof/>
        </w:rPr>
      </w:r>
      <w:r>
        <w:rPr>
          <w:noProof/>
        </w:rPr>
        <w:fldChar w:fldCharType="separate"/>
      </w:r>
      <w:r>
        <w:rPr>
          <w:noProof/>
        </w:rPr>
        <w:t>24</w:t>
      </w:r>
      <w:r>
        <w:rPr>
          <w:noProof/>
        </w:rP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u w:val="single"/>
        </w:rPr>
        <w:t>Haematology specific audit checks by PUC</w:t>
      </w:r>
      <w:r>
        <w:rPr>
          <w:noProof/>
        </w:rPr>
        <w:tab/>
      </w:r>
      <w:r>
        <w:rPr>
          <w:noProof/>
        </w:rPr>
        <w:fldChar w:fldCharType="begin"/>
      </w:r>
      <w:r>
        <w:rPr>
          <w:noProof/>
        </w:rPr>
        <w:instrText xml:space="preserve"> PAGEREF _Toc530662756 \h </w:instrText>
      </w:r>
      <w:r>
        <w:rPr>
          <w:noProof/>
        </w:rPr>
      </w:r>
      <w:r>
        <w:rPr>
          <w:noProof/>
        </w:rPr>
        <w:fldChar w:fldCharType="separate"/>
      </w:r>
      <w:r>
        <w:rPr>
          <w:noProof/>
        </w:rPr>
        <w:t>26</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7: MEDICAL COST POOL (CS7.7.3 A030)</w:t>
      </w:r>
      <w:r>
        <w:tab/>
      </w:r>
      <w:r>
        <w:fldChar w:fldCharType="begin"/>
      </w:r>
      <w:r>
        <w:instrText xml:space="preserve"> PAGEREF _Toc530662760 \h </w:instrText>
      </w:r>
      <w:r>
        <w:fldChar w:fldCharType="separate"/>
      </w:r>
      <w:r>
        <w:t>29</w:t>
      </w:r>
      <w: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1)</w:t>
      </w:r>
      <w:r>
        <w:rPr>
          <w:rFonts w:asciiTheme="minorHAnsi" w:eastAsiaTheme="minorEastAsia" w:hAnsiTheme="minorHAnsi" w:cstheme="minorBidi"/>
          <w:noProof/>
          <w:sz w:val="22"/>
          <w:szCs w:val="22"/>
          <w:lang w:eastAsia="en-NZ"/>
        </w:rPr>
        <w:tab/>
      </w:r>
      <w:r w:rsidRPr="00B669ED">
        <w:rPr>
          <w:rFonts w:ascii="Calibri" w:hAnsi="Calibri"/>
          <w:noProof/>
        </w:rPr>
        <w:t>Outpatients</w:t>
      </w:r>
      <w:r>
        <w:rPr>
          <w:noProof/>
        </w:rPr>
        <w:tab/>
      </w:r>
      <w:r>
        <w:rPr>
          <w:noProof/>
        </w:rPr>
        <w:fldChar w:fldCharType="begin"/>
      </w:r>
      <w:r>
        <w:rPr>
          <w:noProof/>
        </w:rPr>
        <w:instrText xml:space="preserve"> PAGEREF _Toc530662761 \h </w:instrText>
      </w:r>
      <w:r>
        <w:rPr>
          <w:noProof/>
        </w:rPr>
      </w:r>
      <w:r>
        <w:rPr>
          <w:noProof/>
        </w:rPr>
        <w:fldChar w:fldCharType="separate"/>
      </w:r>
      <w:r>
        <w:rPr>
          <w:noProof/>
        </w:rPr>
        <w:t>29</w:t>
      </w:r>
      <w:r>
        <w:rPr>
          <w:noProof/>
        </w:rP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2)</w:t>
      </w:r>
      <w:r>
        <w:rPr>
          <w:rFonts w:asciiTheme="minorHAnsi" w:eastAsiaTheme="minorEastAsia" w:hAnsiTheme="minorHAnsi" w:cstheme="minorBidi"/>
          <w:noProof/>
          <w:sz w:val="22"/>
          <w:szCs w:val="22"/>
          <w:lang w:eastAsia="en-NZ"/>
        </w:rPr>
        <w:tab/>
      </w:r>
      <w:r w:rsidRPr="00B669ED">
        <w:rPr>
          <w:rFonts w:ascii="Calibri" w:hAnsi="Calibri"/>
          <w:noProof/>
        </w:rPr>
        <w:t>Inpatients</w:t>
      </w:r>
      <w:r>
        <w:rPr>
          <w:noProof/>
        </w:rPr>
        <w:tab/>
      </w:r>
      <w:r>
        <w:rPr>
          <w:noProof/>
        </w:rPr>
        <w:fldChar w:fldCharType="begin"/>
      </w:r>
      <w:r>
        <w:rPr>
          <w:noProof/>
        </w:rPr>
        <w:instrText xml:space="preserve"> PAGEREF _Toc530662762 \h </w:instrText>
      </w:r>
      <w:r>
        <w:rPr>
          <w:noProof/>
        </w:rPr>
      </w:r>
      <w:r>
        <w:rPr>
          <w:noProof/>
        </w:rPr>
        <w:fldChar w:fldCharType="separate"/>
      </w:r>
      <w:r>
        <w:rPr>
          <w:noProof/>
        </w:rPr>
        <w:t>30</w:t>
      </w:r>
      <w:r>
        <w:rPr>
          <w:noProof/>
        </w:rP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3)</w:t>
      </w:r>
      <w:r>
        <w:rPr>
          <w:rFonts w:asciiTheme="minorHAnsi" w:eastAsiaTheme="minorEastAsia" w:hAnsiTheme="minorHAnsi" w:cstheme="minorBidi"/>
          <w:noProof/>
          <w:sz w:val="22"/>
          <w:szCs w:val="22"/>
          <w:lang w:eastAsia="en-NZ"/>
        </w:rPr>
        <w:tab/>
      </w:r>
      <w:r w:rsidRPr="00B669ED">
        <w:rPr>
          <w:rFonts w:ascii="Calibri" w:hAnsi="Calibri"/>
          <w:noProof/>
        </w:rPr>
        <w:t>Theatre</w:t>
      </w:r>
      <w:r>
        <w:rPr>
          <w:noProof/>
        </w:rPr>
        <w:tab/>
      </w:r>
      <w:r>
        <w:rPr>
          <w:noProof/>
        </w:rPr>
        <w:fldChar w:fldCharType="begin"/>
      </w:r>
      <w:r>
        <w:rPr>
          <w:noProof/>
        </w:rPr>
        <w:instrText xml:space="preserve"> PAGEREF _Toc530662763 \h </w:instrText>
      </w:r>
      <w:r>
        <w:rPr>
          <w:noProof/>
        </w:rPr>
      </w:r>
      <w:r>
        <w:rPr>
          <w:noProof/>
        </w:rPr>
        <w:fldChar w:fldCharType="separate"/>
      </w:r>
      <w:r>
        <w:rPr>
          <w:noProof/>
        </w:rPr>
        <w:t>30</w:t>
      </w:r>
      <w:r>
        <w:rPr>
          <w:noProof/>
        </w:rP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4)</w:t>
      </w:r>
      <w:r>
        <w:rPr>
          <w:rFonts w:asciiTheme="minorHAnsi" w:eastAsiaTheme="minorEastAsia" w:hAnsiTheme="minorHAnsi" w:cstheme="minorBidi"/>
          <w:noProof/>
          <w:sz w:val="22"/>
          <w:szCs w:val="22"/>
          <w:lang w:eastAsia="en-NZ"/>
        </w:rPr>
        <w:tab/>
      </w:r>
      <w:r w:rsidRPr="00B669ED">
        <w:rPr>
          <w:rFonts w:ascii="Calibri" w:hAnsi="Calibri"/>
          <w:noProof/>
        </w:rPr>
        <w:t>Procedures</w:t>
      </w:r>
      <w:r>
        <w:rPr>
          <w:noProof/>
        </w:rPr>
        <w:tab/>
      </w:r>
      <w:r>
        <w:rPr>
          <w:noProof/>
        </w:rPr>
        <w:fldChar w:fldCharType="begin"/>
      </w:r>
      <w:r>
        <w:rPr>
          <w:noProof/>
        </w:rPr>
        <w:instrText xml:space="preserve"> PAGEREF _Toc530662764 \h </w:instrText>
      </w:r>
      <w:r>
        <w:rPr>
          <w:noProof/>
        </w:rPr>
      </w:r>
      <w:r>
        <w:rPr>
          <w:noProof/>
        </w:rPr>
        <w:fldChar w:fldCharType="separate"/>
      </w:r>
      <w:r>
        <w:rPr>
          <w:noProof/>
        </w:rPr>
        <w:t>31</w:t>
      </w:r>
      <w:r>
        <w:rPr>
          <w:noProof/>
        </w:rP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5)</w:t>
      </w:r>
      <w:r>
        <w:rPr>
          <w:rFonts w:asciiTheme="minorHAnsi" w:eastAsiaTheme="minorEastAsia" w:hAnsiTheme="minorHAnsi" w:cstheme="minorBidi"/>
          <w:noProof/>
          <w:sz w:val="22"/>
          <w:szCs w:val="22"/>
          <w:lang w:eastAsia="en-NZ"/>
        </w:rPr>
        <w:tab/>
      </w:r>
      <w:r w:rsidRPr="00B669ED">
        <w:rPr>
          <w:rFonts w:ascii="Calibri" w:hAnsi="Calibri"/>
          <w:noProof/>
        </w:rPr>
        <w:t>Fee for Service</w:t>
      </w:r>
      <w:r>
        <w:rPr>
          <w:noProof/>
        </w:rPr>
        <w:tab/>
      </w:r>
      <w:r>
        <w:rPr>
          <w:noProof/>
        </w:rPr>
        <w:fldChar w:fldCharType="begin"/>
      </w:r>
      <w:r>
        <w:rPr>
          <w:noProof/>
        </w:rPr>
        <w:instrText xml:space="preserve"> PAGEREF _Toc530662765 \h </w:instrText>
      </w:r>
      <w:r>
        <w:rPr>
          <w:noProof/>
        </w:rPr>
      </w:r>
      <w:r>
        <w:rPr>
          <w:noProof/>
        </w:rPr>
        <w:fldChar w:fldCharType="separate"/>
      </w:r>
      <w:r>
        <w:rPr>
          <w:noProof/>
        </w:rPr>
        <w:t>32</w:t>
      </w:r>
      <w:r>
        <w:rPr>
          <w:noProof/>
        </w:rPr>
        <w:fldChar w:fldCharType="end"/>
      </w:r>
    </w:p>
    <w:p w:rsidR="00D4526F" w:rsidRDefault="00D4526F">
      <w:pPr>
        <w:pStyle w:val="TOC2"/>
        <w:tabs>
          <w:tab w:val="left" w:pos="660"/>
        </w:tabs>
        <w:rPr>
          <w:rFonts w:asciiTheme="minorHAnsi" w:eastAsiaTheme="minorEastAsia" w:hAnsiTheme="minorHAnsi" w:cstheme="minorBidi"/>
          <w:noProof/>
          <w:sz w:val="22"/>
          <w:szCs w:val="22"/>
          <w:lang w:eastAsia="en-NZ"/>
        </w:rPr>
      </w:pPr>
      <w:r w:rsidRPr="00B669ED">
        <w:rPr>
          <w:rFonts w:ascii="Calibri" w:hAnsi="Calibri"/>
          <w:noProof/>
        </w:rPr>
        <w:t>6)</w:t>
      </w:r>
      <w:r>
        <w:rPr>
          <w:rFonts w:asciiTheme="minorHAnsi" w:eastAsiaTheme="minorEastAsia" w:hAnsiTheme="minorHAnsi" w:cstheme="minorBidi"/>
          <w:noProof/>
          <w:sz w:val="22"/>
          <w:szCs w:val="22"/>
          <w:lang w:eastAsia="en-NZ"/>
        </w:rPr>
        <w:tab/>
      </w:r>
      <w:r w:rsidRPr="00B669ED">
        <w:rPr>
          <w:rFonts w:ascii="Calibri" w:hAnsi="Calibri"/>
          <w:noProof/>
        </w:rPr>
        <w:t>Emergency Department (ED)</w:t>
      </w:r>
      <w:r>
        <w:rPr>
          <w:noProof/>
        </w:rPr>
        <w:tab/>
      </w:r>
      <w:r>
        <w:rPr>
          <w:noProof/>
        </w:rPr>
        <w:fldChar w:fldCharType="begin"/>
      </w:r>
      <w:r>
        <w:rPr>
          <w:noProof/>
        </w:rPr>
        <w:instrText xml:space="preserve"> PAGEREF _Toc530662766 \h </w:instrText>
      </w:r>
      <w:r>
        <w:rPr>
          <w:noProof/>
        </w:rPr>
      </w:r>
      <w:r>
        <w:rPr>
          <w:noProof/>
        </w:rPr>
        <w:fldChar w:fldCharType="separate"/>
      </w:r>
      <w:r>
        <w:rPr>
          <w:noProof/>
        </w:rPr>
        <w:t>32</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8: TREATMENT OF GOVERNANCE COSTS</w:t>
      </w:r>
      <w:r>
        <w:tab/>
      </w:r>
      <w:r>
        <w:fldChar w:fldCharType="begin"/>
      </w:r>
      <w:r>
        <w:instrText xml:space="preserve"> PAGEREF _Toc530662767 \h </w:instrText>
      </w:r>
      <w:r>
        <w:fldChar w:fldCharType="separate"/>
      </w:r>
      <w:r>
        <w:t>33</w:t>
      </w:r>
      <w:r>
        <w:fldChar w:fldCharType="end"/>
      </w:r>
    </w:p>
    <w:p w:rsidR="00D4526F" w:rsidRDefault="00D4526F">
      <w:pPr>
        <w:pStyle w:val="TOC2"/>
        <w:rPr>
          <w:rFonts w:asciiTheme="minorHAnsi" w:eastAsiaTheme="minorEastAsia" w:hAnsiTheme="minorHAnsi" w:cstheme="minorBidi"/>
          <w:noProof/>
          <w:sz w:val="22"/>
          <w:szCs w:val="22"/>
          <w:lang w:eastAsia="en-NZ"/>
        </w:rPr>
      </w:pPr>
      <w:r w:rsidRPr="00B669ED">
        <w:rPr>
          <w:rFonts w:ascii="Calibri" w:hAnsi="Calibri"/>
          <w:noProof/>
        </w:rPr>
        <w:t>Governance guideline flowchart</w:t>
      </w:r>
      <w:r>
        <w:rPr>
          <w:noProof/>
        </w:rPr>
        <w:tab/>
      </w:r>
      <w:r>
        <w:rPr>
          <w:noProof/>
        </w:rPr>
        <w:fldChar w:fldCharType="begin"/>
      </w:r>
      <w:r>
        <w:rPr>
          <w:noProof/>
        </w:rPr>
        <w:instrText xml:space="preserve"> PAGEREF _Toc530662768 \h </w:instrText>
      </w:r>
      <w:r>
        <w:rPr>
          <w:noProof/>
        </w:rPr>
      </w:r>
      <w:r>
        <w:rPr>
          <w:noProof/>
        </w:rPr>
        <w:fldChar w:fldCharType="separate"/>
      </w:r>
      <w:r>
        <w:rPr>
          <w:noProof/>
        </w:rPr>
        <w:t>34</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9: MATERNITY</w:t>
      </w:r>
      <w:r>
        <w:tab/>
      </w:r>
      <w:r>
        <w:fldChar w:fldCharType="begin"/>
      </w:r>
      <w:r>
        <w:instrText xml:space="preserve"> PAGEREF _Toc530662769 \h </w:instrText>
      </w:r>
      <w:r>
        <w:fldChar w:fldCharType="separate"/>
      </w:r>
      <w:r>
        <w:t>35</w:t>
      </w:r>
      <w: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10: UNCOUNTED SERVICES / SPREAD COSTS</w:t>
      </w:r>
      <w:r>
        <w:tab/>
      </w:r>
      <w:r>
        <w:fldChar w:fldCharType="begin"/>
      </w:r>
      <w:r>
        <w:instrText xml:space="preserve"> PAGEREF _Toc530662770 \h </w:instrText>
      </w:r>
      <w:r>
        <w:fldChar w:fldCharType="separate"/>
      </w:r>
      <w:r>
        <w:t>40</w:t>
      </w:r>
      <w:r>
        <w:fldChar w:fldCharType="end"/>
      </w:r>
    </w:p>
    <w:p w:rsidR="00D4526F" w:rsidRDefault="00D4526F">
      <w:pPr>
        <w:pStyle w:val="TOC2"/>
        <w:tabs>
          <w:tab w:val="left" w:pos="880"/>
        </w:tabs>
        <w:rPr>
          <w:rFonts w:asciiTheme="minorHAnsi" w:eastAsiaTheme="minorEastAsia" w:hAnsiTheme="minorHAnsi" w:cstheme="minorBidi"/>
          <w:noProof/>
          <w:sz w:val="22"/>
          <w:szCs w:val="22"/>
          <w:lang w:eastAsia="en-NZ"/>
        </w:rPr>
      </w:pPr>
      <w:r w:rsidRPr="00B669ED">
        <w:rPr>
          <w:rFonts w:eastAsia="Calibri"/>
          <w:noProof/>
          <w:lang w:val="en-AU"/>
        </w:rPr>
        <w:t>1)</w:t>
      </w:r>
      <w:r>
        <w:rPr>
          <w:rFonts w:asciiTheme="minorHAnsi" w:eastAsiaTheme="minorEastAsia" w:hAnsiTheme="minorHAnsi" w:cstheme="minorBidi"/>
          <w:noProof/>
          <w:sz w:val="22"/>
          <w:szCs w:val="22"/>
          <w:lang w:eastAsia="en-NZ"/>
        </w:rPr>
        <w:tab/>
      </w:r>
      <w:r w:rsidRPr="00B669ED">
        <w:rPr>
          <w:rFonts w:eastAsia="Calibri"/>
          <w:noProof/>
          <w:lang w:val="en-AU"/>
        </w:rPr>
        <w:t>Non funded patient activity</w:t>
      </w:r>
      <w:r>
        <w:rPr>
          <w:noProof/>
        </w:rPr>
        <w:tab/>
      </w:r>
      <w:r>
        <w:rPr>
          <w:noProof/>
        </w:rPr>
        <w:fldChar w:fldCharType="begin"/>
      </w:r>
      <w:r>
        <w:rPr>
          <w:noProof/>
        </w:rPr>
        <w:instrText xml:space="preserve"> PAGEREF _Toc530662771 \h </w:instrText>
      </w:r>
      <w:r>
        <w:rPr>
          <w:noProof/>
        </w:rPr>
      </w:r>
      <w:r>
        <w:rPr>
          <w:noProof/>
        </w:rPr>
        <w:fldChar w:fldCharType="separate"/>
      </w:r>
      <w:r>
        <w:rPr>
          <w:noProof/>
        </w:rPr>
        <w:t>40</w:t>
      </w:r>
      <w:r>
        <w:rPr>
          <w:noProof/>
        </w:rPr>
        <w:fldChar w:fldCharType="end"/>
      </w:r>
    </w:p>
    <w:p w:rsidR="00D4526F" w:rsidRDefault="00D4526F">
      <w:pPr>
        <w:pStyle w:val="TOC2"/>
        <w:tabs>
          <w:tab w:val="left" w:pos="880"/>
        </w:tabs>
        <w:rPr>
          <w:rFonts w:asciiTheme="minorHAnsi" w:eastAsiaTheme="minorEastAsia" w:hAnsiTheme="minorHAnsi" w:cstheme="minorBidi"/>
          <w:noProof/>
          <w:sz w:val="22"/>
          <w:szCs w:val="22"/>
          <w:lang w:eastAsia="en-NZ"/>
        </w:rPr>
      </w:pPr>
      <w:r w:rsidRPr="00B669ED">
        <w:rPr>
          <w:rFonts w:eastAsia="Calibri"/>
          <w:noProof/>
          <w:lang w:val="en-AU"/>
        </w:rPr>
        <w:t>2)</w:t>
      </w:r>
      <w:r>
        <w:rPr>
          <w:rFonts w:asciiTheme="minorHAnsi" w:eastAsiaTheme="minorEastAsia" w:hAnsiTheme="minorHAnsi" w:cstheme="minorBidi"/>
          <w:noProof/>
          <w:sz w:val="22"/>
          <w:szCs w:val="22"/>
          <w:lang w:eastAsia="en-NZ"/>
        </w:rPr>
        <w:tab/>
      </w:r>
      <w:r w:rsidRPr="00B669ED">
        <w:rPr>
          <w:rFonts w:eastAsia="Calibri"/>
          <w:noProof/>
          <w:lang w:val="en-AU"/>
        </w:rPr>
        <w:t>Costs that are unable to be patient identifiable or complete</w:t>
      </w:r>
      <w:r>
        <w:rPr>
          <w:noProof/>
        </w:rPr>
        <w:tab/>
      </w:r>
      <w:r>
        <w:rPr>
          <w:noProof/>
        </w:rPr>
        <w:fldChar w:fldCharType="begin"/>
      </w:r>
      <w:r>
        <w:rPr>
          <w:noProof/>
        </w:rPr>
        <w:instrText xml:space="preserve"> PAGEREF _Toc530662772 \h </w:instrText>
      </w:r>
      <w:r>
        <w:rPr>
          <w:noProof/>
        </w:rPr>
      </w:r>
      <w:r>
        <w:rPr>
          <w:noProof/>
        </w:rPr>
        <w:fldChar w:fldCharType="separate"/>
      </w:r>
      <w:r>
        <w:rPr>
          <w:noProof/>
        </w:rPr>
        <w:t>40</w:t>
      </w:r>
      <w:r>
        <w:rPr>
          <w:noProof/>
        </w:rPr>
        <w:fldChar w:fldCharType="end"/>
      </w:r>
    </w:p>
    <w:p w:rsidR="00D4526F" w:rsidRDefault="00D4526F">
      <w:pPr>
        <w:pStyle w:val="TOC2"/>
        <w:tabs>
          <w:tab w:val="left" w:pos="880"/>
        </w:tabs>
        <w:rPr>
          <w:rFonts w:asciiTheme="minorHAnsi" w:eastAsiaTheme="minorEastAsia" w:hAnsiTheme="minorHAnsi" w:cstheme="minorBidi"/>
          <w:noProof/>
          <w:sz w:val="22"/>
          <w:szCs w:val="22"/>
          <w:lang w:eastAsia="en-NZ"/>
        </w:rPr>
      </w:pPr>
      <w:r w:rsidRPr="00B669ED">
        <w:rPr>
          <w:rFonts w:eastAsia="Calibri"/>
          <w:noProof/>
          <w:lang w:val="en-AU"/>
        </w:rPr>
        <w:t>3)</w:t>
      </w:r>
      <w:r>
        <w:rPr>
          <w:rFonts w:asciiTheme="minorHAnsi" w:eastAsiaTheme="minorEastAsia" w:hAnsiTheme="minorHAnsi" w:cstheme="minorBidi"/>
          <w:noProof/>
          <w:sz w:val="22"/>
          <w:szCs w:val="22"/>
          <w:lang w:eastAsia="en-NZ"/>
        </w:rPr>
        <w:tab/>
      </w:r>
      <w:r w:rsidRPr="00B669ED">
        <w:rPr>
          <w:rFonts w:eastAsia="Calibri"/>
          <w:noProof/>
          <w:lang w:val="en-AU"/>
        </w:rPr>
        <w:t>How to link and spread costs</w:t>
      </w:r>
      <w:r>
        <w:rPr>
          <w:noProof/>
        </w:rPr>
        <w:tab/>
      </w:r>
      <w:r>
        <w:rPr>
          <w:noProof/>
        </w:rPr>
        <w:fldChar w:fldCharType="begin"/>
      </w:r>
      <w:r>
        <w:rPr>
          <w:noProof/>
        </w:rPr>
        <w:instrText xml:space="preserve"> PAGEREF _Toc530662773 \h </w:instrText>
      </w:r>
      <w:r>
        <w:rPr>
          <w:noProof/>
        </w:rPr>
      </w:r>
      <w:r>
        <w:rPr>
          <w:noProof/>
        </w:rPr>
        <w:fldChar w:fldCharType="separate"/>
      </w:r>
      <w:r>
        <w:rPr>
          <w:noProof/>
        </w:rPr>
        <w:t>41</w:t>
      </w:r>
      <w:r>
        <w:rPr>
          <w:noProof/>
        </w:rPr>
        <w:fldChar w:fldCharType="end"/>
      </w:r>
    </w:p>
    <w:p w:rsidR="00D4526F" w:rsidRDefault="00D4526F">
      <w:pPr>
        <w:pStyle w:val="TOC2"/>
        <w:tabs>
          <w:tab w:val="left" w:pos="880"/>
        </w:tabs>
        <w:rPr>
          <w:rFonts w:asciiTheme="minorHAnsi" w:eastAsiaTheme="minorEastAsia" w:hAnsiTheme="minorHAnsi" w:cstheme="minorBidi"/>
          <w:noProof/>
          <w:sz w:val="22"/>
          <w:szCs w:val="22"/>
          <w:lang w:eastAsia="en-NZ"/>
        </w:rPr>
      </w:pPr>
      <w:r w:rsidRPr="00B669ED">
        <w:rPr>
          <w:rFonts w:eastAsia="Calibri"/>
          <w:noProof/>
          <w:lang w:val="en-AU"/>
        </w:rPr>
        <w:t>4)</w:t>
      </w:r>
      <w:r>
        <w:rPr>
          <w:rFonts w:asciiTheme="minorHAnsi" w:eastAsiaTheme="minorEastAsia" w:hAnsiTheme="minorHAnsi" w:cstheme="minorBidi"/>
          <w:noProof/>
          <w:sz w:val="22"/>
          <w:szCs w:val="22"/>
          <w:lang w:eastAsia="en-NZ"/>
        </w:rPr>
        <w:tab/>
      </w:r>
      <w:r w:rsidRPr="00B669ED">
        <w:rPr>
          <w:rFonts w:eastAsia="Calibri"/>
          <w:noProof/>
          <w:lang w:val="en-AU"/>
        </w:rPr>
        <w:t>Patient activity that can only be reported at summary PUC level</w:t>
      </w:r>
      <w:r>
        <w:rPr>
          <w:noProof/>
        </w:rPr>
        <w:tab/>
      </w:r>
      <w:r>
        <w:rPr>
          <w:noProof/>
        </w:rPr>
        <w:fldChar w:fldCharType="begin"/>
      </w:r>
      <w:r>
        <w:rPr>
          <w:noProof/>
        </w:rPr>
        <w:instrText xml:space="preserve"> PAGEREF _Toc530662774 \h </w:instrText>
      </w:r>
      <w:r>
        <w:rPr>
          <w:noProof/>
        </w:rPr>
      </w:r>
      <w:r>
        <w:rPr>
          <w:noProof/>
        </w:rPr>
        <w:fldChar w:fldCharType="separate"/>
      </w:r>
      <w:r>
        <w:rPr>
          <w:noProof/>
        </w:rPr>
        <w:t>42</w:t>
      </w:r>
      <w:r>
        <w:rPr>
          <w:noProof/>
        </w:rPr>
        <w:fldChar w:fldCharType="end"/>
      </w:r>
    </w:p>
    <w:p w:rsidR="00D4526F" w:rsidRDefault="00D4526F">
      <w:pPr>
        <w:pStyle w:val="TOC2"/>
        <w:tabs>
          <w:tab w:val="left" w:pos="880"/>
        </w:tabs>
        <w:rPr>
          <w:rFonts w:asciiTheme="minorHAnsi" w:eastAsiaTheme="minorEastAsia" w:hAnsiTheme="minorHAnsi" w:cstheme="minorBidi"/>
          <w:noProof/>
          <w:sz w:val="22"/>
          <w:szCs w:val="22"/>
          <w:lang w:eastAsia="en-NZ"/>
        </w:rPr>
      </w:pPr>
      <w:r w:rsidRPr="00B669ED">
        <w:rPr>
          <w:rFonts w:eastAsia="Calibri"/>
          <w:noProof/>
          <w:lang w:val="en-AU"/>
        </w:rPr>
        <w:t>5)</w:t>
      </w:r>
      <w:r>
        <w:rPr>
          <w:rFonts w:asciiTheme="minorHAnsi" w:eastAsiaTheme="minorEastAsia" w:hAnsiTheme="minorHAnsi" w:cstheme="minorBidi"/>
          <w:noProof/>
          <w:sz w:val="22"/>
          <w:szCs w:val="22"/>
          <w:lang w:eastAsia="en-NZ"/>
        </w:rPr>
        <w:tab/>
      </w:r>
      <w:r w:rsidRPr="00B669ED">
        <w:rPr>
          <w:rFonts w:eastAsia="Calibri"/>
          <w:noProof/>
          <w:lang w:val="en-AU"/>
        </w:rPr>
        <w:t>Uncounted services</w:t>
      </w:r>
      <w:r>
        <w:rPr>
          <w:noProof/>
        </w:rPr>
        <w:tab/>
      </w:r>
      <w:r>
        <w:rPr>
          <w:noProof/>
        </w:rPr>
        <w:fldChar w:fldCharType="begin"/>
      </w:r>
      <w:r>
        <w:rPr>
          <w:noProof/>
        </w:rPr>
        <w:instrText xml:space="preserve"> PAGEREF _Toc530662775 \h </w:instrText>
      </w:r>
      <w:r>
        <w:rPr>
          <w:noProof/>
        </w:rPr>
      </w:r>
      <w:r>
        <w:rPr>
          <w:noProof/>
        </w:rPr>
        <w:fldChar w:fldCharType="separate"/>
      </w:r>
      <w:r>
        <w:rPr>
          <w:noProof/>
        </w:rPr>
        <w:t>42</w:t>
      </w:r>
      <w:r>
        <w:rPr>
          <w:noProof/>
        </w:rP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Theme="minorHAnsi" w:hAnsiTheme="minorHAnsi"/>
          <w:u w:val="single"/>
        </w:rPr>
        <w:t xml:space="preserve">Guideline 11: </w:t>
      </w:r>
      <w:r w:rsidR="00315382">
        <w:rPr>
          <w:rFonts w:asciiTheme="minorHAnsi" w:hAnsiTheme="minorHAnsi"/>
          <w:u w:val="single"/>
        </w:rPr>
        <w:t xml:space="preserve">AMBULANCE / </w:t>
      </w:r>
      <w:r w:rsidRPr="00B669ED">
        <w:rPr>
          <w:rFonts w:asciiTheme="minorHAnsi" w:hAnsiTheme="minorHAnsi"/>
          <w:u w:val="single"/>
        </w:rPr>
        <w:t>PATIENT TRANSPORT S</w:t>
      </w:r>
      <w:r w:rsidR="00315382">
        <w:rPr>
          <w:rFonts w:asciiTheme="minorHAnsi" w:hAnsiTheme="minorHAnsi"/>
          <w:u w:val="single"/>
        </w:rPr>
        <w:t>ERVICES</w:t>
      </w:r>
      <w:r>
        <w:tab/>
      </w:r>
      <w:r>
        <w:fldChar w:fldCharType="begin"/>
      </w:r>
      <w:r>
        <w:instrText xml:space="preserve"> PAGEREF _Toc530662776 \h </w:instrText>
      </w:r>
      <w:r>
        <w:fldChar w:fldCharType="separate"/>
      </w:r>
      <w:r>
        <w:t>43</w:t>
      </w:r>
      <w:r>
        <w:fldChar w:fldCharType="end"/>
      </w:r>
    </w:p>
    <w:p w:rsidR="00D4526F" w:rsidRDefault="00D4526F">
      <w:pPr>
        <w:pStyle w:val="TOC1"/>
        <w:rPr>
          <w:rFonts w:asciiTheme="minorHAnsi" w:eastAsiaTheme="minorEastAsia" w:hAnsiTheme="minorHAnsi" w:cstheme="minorBidi"/>
          <w:sz w:val="22"/>
          <w:szCs w:val="22"/>
          <w:lang w:eastAsia="en-NZ"/>
        </w:rPr>
      </w:pPr>
      <w:r w:rsidRPr="00B669ED">
        <w:rPr>
          <w:rFonts w:ascii="Calibri" w:hAnsi="Calibri"/>
          <w:u w:val="single"/>
        </w:rPr>
        <w:t>Guideline 12: AUDIT GUIDELINE FOR COSTING RENAL SERVICES</w:t>
      </w:r>
      <w:r>
        <w:tab/>
      </w:r>
      <w:r>
        <w:fldChar w:fldCharType="begin"/>
      </w:r>
      <w:r>
        <w:instrText xml:space="preserve"> PAGEREF _Toc530662777 \h </w:instrText>
      </w:r>
      <w:r>
        <w:fldChar w:fldCharType="separate"/>
      </w:r>
      <w:r>
        <w:t>45</w:t>
      </w:r>
      <w:r>
        <w:fldChar w:fldCharType="end"/>
      </w:r>
    </w:p>
    <w:p w:rsidR="002D71FC" w:rsidRDefault="0082133A" w:rsidP="004D6EA9">
      <w:pPr>
        <w:pStyle w:val="TOC2"/>
        <w:tabs>
          <w:tab w:val="left" w:pos="660"/>
        </w:tabs>
        <w:rPr>
          <w:rFonts w:ascii="Calibri" w:hAnsi="Calibri" w:cs="Arial"/>
        </w:rPr>
      </w:pPr>
      <w:r w:rsidRPr="00500D9F">
        <w:rPr>
          <w:rFonts w:ascii="Calibri" w:hAnsi="Calibri" w:cs="Arial"/>
        </w:rPr>
        <w:fldChar w:fldCharType="end"/>
      </w:r>
    </w:p>
    <w:p w:rsidR="002D71FC" w:rsidRDefault="002D71FC">
      <w:pPr>
        <w:jc w:val="left"/>
        <w:rPr>
          <w:rFonts w:ascii="Calibri" w:hAnsi="Calibri" w:cs="Arial"/>
        </w:rPr>
      </w:pPr>
      <w:r>
        <w:rPr>
          <w:rFonts w:ascii="Calibri" w:hAnsi="Calibri" w:cs="Arial"/>
        </w:rPr>
        <w:br w:type="page"/>
      </w:r>
    </w:p>
    <w:p w:rsidR="004D6EA9" w:rsidRPr="004D6EA9" w:rsidRDefault="004D6EA9" w:rsidP="004D6EA9">
      <w:pPr>
        <w:pStyle w:val="TOC2"/>
        <w:tabs>
          <w:tab w:val="left" w:pos="660"/>
        </w:tabs>
        <w:rPr>
          <w:rFonts w:ascii="Calibri" w:hAnsi="Calibri" w:cs="Arial"/>
        </w:rPr>
      </w:pPr>
    </w:p>
    <w:p w:rsidR="0082133A" w:rsidRPr="00500D9F" w:rsidRDefault="0082133A" w:rsidP="00B30AAC">
      <w:pPr>
        <w:pStyle w:val="Heading1"/>
        <w:jc w:val="center"/>
        <w:rPr>
          <w:rFonts w:ascii="Calibri" w:hAnsi="Calibri"/>
          <w:u w:val="single"/>
        </w:rPr>
      </w:pPr>
      <w:bookmarkStart w:id="1" w:name="_Toc530662730"/>
      <w:r w:rsidRPr="00500D9F">
        <w:rPr>
          <w:rFonts w:ascii="Calibri" w:hAnsi="Calibri"/>
          <w:u w:val="single"/>
        </w:rPr>
        <w:t>Explanatory Foreword</w:t>
      </w:r>
      <w:bookmarkEnd w:id="1"/>
    </w:p>
    <w:p w:rsidR="0082133A" w:rsidRPr="00500D9F" w:rsidRDefault="0082133A" w:rsidP="00F17797">
      <w:pPr>
        <w:rPr>
          <w:rFonts w:ascii="Calibri" w:hAnsi="Calibri" w:cs="Arial"/>
          <w:sz w:val="36"/>
          <w:szCs w:val="36"/>
        </w:rPr>
      </w:pPr>
    </w:p>
    <w:p w:rsidR="0082133A" w:rsidRPr="00500D9F" w:rsidRDefault="0082133A" w:rsidP="00B3118D">
      <w:pPr>
        <w:pStyle w:val="Heading3"/>
        <w:rPr>
          <w:rFonts w:ascii="Calibri" w:hAnsi="Calibri"/>
        </w:rPr>
      </w:pPr>
      <w:bookmarkStart w:id="2" w:name="_Toc530662731"/>
      <w:r w:rsidRPr="00500D9F">
        <w:rPr>
          <w:rFonts w:ascii="Calibri" w:hAnsi="Calibri"/>
        </w:rPr>
        <w:t>1) Version control</w:t>
      </w:r>
      <w:bookmarkEnd w:id="2"/>
    </w:p>
    <w:p w:rsidR="0082133A" w:rsidRPr="00500D9F" w:rsidRDefault="0082133A" w:rsidP="00B3118D">
      <w:pPr>
        <w:rPr>
          <w:rFonts w:ascii="Calibri" w:hAnsi="Calibri"/>
        </w:rPr>
      </w:pPr>
    </w:p>
    <w:p w:rsidR="0082133A" w:rsidRPr="00500D9F" w:rsidRDefault="0082133A" w:rsidP="00B3118D">
      <w:pPr>
        <w:rPr>
          <w:rFonts w:ascii="Calibri" w:hAnsi="Calibri" w:cs="Arial"/>
        </w:rPr>
      </w:pPr>
      <w:r w:rsidRPr="00500D9F">
        <w:rPr>
          <w:rFonts w:ascii="Calibri" w:hAnsi="Calibri" w:cs="Arial"/>
        </w:rPr>
        <w:t xml:space="preserve">Version </w:t>
      </w:r>
      <w:r w:rsidR="007D2AC8">
        <w:rPr>
          <w:rFonts w:ascii="Calibri" w:hAnsi="Calibri" w:cs="Arial"/>
        </w:rPr>
        <w:t>8</w:t>
      </w:r>
      <w:r w:rsidRPr="00500D9F">
        <w:rPr>
          <w:rFonts w:ascii="Calibri" w:hAnsi="Calibri" w:cs="Arial"/>
        </w:rPr>
        <w:t xml:space="preserve"> is applicable from 1 July 201</w:t>
      </w:r>
      <w:r w:rsidR="00666AB7">
        <w:rPr>
          <w:rFonts w:ascii="Calibri" w:hAnsi="Calibri" w:cs="Arial"/>
        </w:rPr>
        <w:t>8</w:t>
      </w:r>
      <w:r w:rsidRPr="00500D9F">
        <w:rPr>
          <w:rFonts w:ascii="Calibri" w:hAnsi="Calibri" w:cs="Arial"/>
        </w:rPr>
        <w:t xml:space="preserve"> onwards.</w:t>
      </w:r>
    </w:p>
    <w:p w:rsidR="0082133A" w:rsidRPr="00500D9F" w:rsidRDefault="0082133A" w:rsidP="00B3118D">
      <w:pPr>
        <w:rPr>
          <w:rFonts w:ascii="Calibri" w:hAnsi="Calibri" w:cs="Arial"/>
        </w:rPr>
      </w:pPr>
    </w:p>
    <w:p w:rsidR="0082133A" w:rsidRPr="00500D9F" w:rsidRDefault="0082133A" w:rsidP="00B3118D">
      <w:pPr>
        <w:pStyle w:val="Heading3"/>
        <w:rPr>
          <w:rFonts w:ascii="Calibri" w:hAnsi="Calibri"/>
        </w:rPr>
      </w:pPr>
      <w:bookmarkStart w:id="3" w:name="_Toc530662732"/>
      <w:r w:rsidRPr="00500D9F">
        <w:rPr>
          <w:rFonts w:ascii="Calibri" w:hAnsi="Calibri"/>
        </w:rPr>
        <w:t>2) Purpose of the Costing Guidelines</w:t>
      </w:r>
      <w:bookmarkEnd w:id="3"/>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r w:rsidRPr="00500D9F">
        <w:rPr>
          <w:rFonts w:ascii="Calibri" w:hAnsi="Calibri" w:cs="Arial"/>
        </w:rPr>
        <w:t>The costing guidelines have been created to achieve the following objectives;-</w:t>
      </w:r>
    </w:p>
    <w:p w:rsidR="0082133A" w:rsidRPr="00500D9F" w:rsidRDefault="0082133A" w:rsidP="00F17797">
      <w:pPr>
        <w:rPr>
          <w:rFonts w:ascii="Calibri" w:hAnsi="Calibri" w:cs="Arial"/>
        </w:rPr>
      </w:pPr>
    </w:p>
    <w:p w:rsidR="0082133A" w:rsidRPr="00500D9F" w:rsidRDefault="0082133A" w:rsidP="001B2BA1">
      <w:pPr>
        <w:numPr>
          <w:ilvl w:val="0"/>
          <w:numId w:val="1"/>
        </w:numPr>
        <w:rPr>
          <w:rFonts w:ascii="Calibri" w:hAnsi="Calibri" w:cs="Arial"/>
        </w:rPr>
      </w:pPr>
      <w:r w:rsidRPr="00500D9F">
        <w:rPr>
          <w:rFonts w:ascii="Calibri" w:hAnsi="Calibri" w:cs="Arial"/>
        </w:rPr>
        <w:t>Assist DHBs when they are implementing an event level costing system.</w:t>
      </w:r>
    </w:p>
    <w:p w:rsidR="0082133A" w:rsidRPr="00500D9F" w:rsidRDefault="0082133A" w:rsidP="003C625A">
      <w:pPr>
        <w:ind w:left="360"/>
        <w:rPr>
          <w:rFonts w:ascii="Calibri" w:hAnsi="Calibri" w:cs="Arial"/>
        </w:rPr>
      </w:pPr>
    </w:p>
    <w:p w:rsidR="0082133A" w:rsidRPr="00500D9F" w:rsidRDefault="0082133A" w:rsidP="001B2BA1">
      <w:pPr>
        <w:numPr>
          <w:ilvl w:val="0"/>
          <w:numId w:val="1"/>
        </w:numPr>
        <w:rPr>
          <w:rFonts w:ascii="Calibri" w:hAnsi="Calibri" w:cs="Arial"/>
        </w:rPr>
      </w:pPr>
      <w:r w:rsidRPr="00500D9F">
        <w:rPr>
          <w:rFonts w:ascii="Calibri" w:hAnsi="Calibri" w:cs="Arial"/>
        </w:rPr>
        <w:t>Enable DHBs to assess their costing methodology in comparison to other DHBs.</w:t>
      </w:r>
    </w:p>
    <w:p w:rsidR="0082133A" w:rsidRPr="00500D9F" w:rsidRDefault="0082133A" w:rsidP="003C625A">
      <w:pPr>
        <w:ind w:left="360"/>
        <w:rPr>
          <w:rFonts w:ascii="Calibri" w:hAnsi="Calibri" w:cs="Arial"/>
        </w:rPr>
      </w:pPr>
    </w:p>
    <w:p w:rsidR="0082133A" w:rsidRPr="00500D9F" w:rsidRDefault="0082133A" w:rsidP="001B2BA1">
      <w:pPr>
        <w:numPr>
          <w:ilvl w:val="0"/>
          <w:numId w:val="1"/>
        </w:numPr>
        <w:rPr>
          <w:rFonts w:ascii="Calibri" w:hAnsi="Calibri" w:cs="Arial"/>
        </w:rPr>
      </w:pPr>
      <w:r w:rsidRPr="00500D9F">
        <w:rPr>
          <w:rFonts w:ascii="Calibri" w:hAnsi="Calibri" w:cs="Arial"/>
        </w:rPr>
        <w:t>Assist the interpretation of event level costing data.</w:t>
      </w:r>
    </w:p>
    <w:p w:rsidR="0082133A" w:rsidRPr="00500D9F" w:rsidRDefault="0082133A" w:rsidP="003C625A">
      <w:pPr>
        <w:ind w:left="360"/>
        <w:rPr>
          <w:rFonts w:ascii="Calibri" w:hAnsi="Calibri" w:cs="Arial"/>
        </w:rPr>
      </w:pPr>
    </w:p>
    <w:p w:rsidR="0082133A" w:rsidRPr="00500D9F" w:rsidRDefault="0082133A" w:rsidP="001B2BA1">
      <w:pPr>
        <w:numPr>
          <w:ilvl w:val="0"/>
          <w:numId w:val="1"/>
        </w:numPr>
        <w:rPr>
          <w:rFonts w:ascii="Calibri" w:hAnsi="Calibri" w:cs="Arial"/>
        </w:rPr>
      </w:pPr>
      <w:r w:rsidRPr="00500D9F">
        <w:rPr>
          <w:rFonts w:ascii="Calibri" w:hAnsi="Calibri" w:cs="Arial"/>
        </w:rPr>
        <w:t>Improve the development of the Costing Standards.</w:t>
      </w:r>
    </w:p>
    <w:p w:rsidR="0082133A" w:rsidRPr="00500D9F" w:rsidRDefault="0082133A" w:rsidP="001B2BA1">
      <w:pPr>
        <w:rPr>
          <w:rFonts w:ascii="Calibri" w:hAnsi="Calibri" w:cs="Arial"/>
        </w:rPr>
      </w:pPr>
    </w:p>
    <w:p w:rsidR="0082133A" w:rsidRPr="00500D9F" w:rsidRDefault="0082133A" w:rsidP="001B2BA1">
      <w:pPr>
        <w:rPr>
          <w:rFonts w:ascii="Calibri" w:hAnsi="Calibri" w:cs="Arial"/>
        </w:rPr>
      </w:pPr>
    </w:p>
    <w:p w:rsidR="0082133A" w:rsidRPr="00500D9F" w:rsidRDefault="0082133A" w:rsidP="001D583D">
      <w:pPr>
        <w:pStyle w:val="Heading3"/>
        <w:rPr>
          <w:rFonts w:ascii="Calibri" w:hAnsi="Calibri"/>
        </w:rPr>
      </w:pPr>
      <w:bookmarkStart w:id="4" w:name="_Toc530662733"/>
      <w:r w:rsidRPr="00500D9F">
        <w:rPr>
          <w:rFonts w:ascii="Calibri" w:hAnsi="Calibri"/>
        </w:rPr>
        <w:t>3)</w:t>
      </w:r>
      <w:r w:rsidR="00F330C3">
        <w:rPr>
          <w:rFonts w:ascii="Calibri" w:hAnsi="Calibri"/>
        </w:rPr>
        <w:t xml:space="preserve"> </w:t>
      </w:r>
      <w:r w:rsidRPr="00500D9F">
        <w:rPr>
          <w:rFonts w:ascii="Calibri" w:hAnsi="Calibri"/>
        </w:rPr>
        <w:t>Origin of the Costing Guidelines</w:t>
      </w:r>
      <w:bookmarkEnd w:id="4"/>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r w:rsidRPr="00500D9F">
        <w:rPr>
          <w:rFonts w:ascii="Calibri" w:hAnsi="Calibri" w:cs="Arial"/>
        </w:rPr>
        <w:t>The guidelines were developed by the Common Costing Group, an advisory group set up in 2005 by the CFO Technical Accounting Group and the Ministry of Health. They are based on information obtained from the members of this group.</w:t>
      </w: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r w:rsidRPr="00500D9F">
        <w:rPr>
          <w:rFonts w:ascii="Calibri" w:hAnsi="Calibri" w:cs="Arial"/>
        </w:rPr>
        <w:t>Every guideline details the DHBs that contributed information towards its creation and the date this information was obtained.</w:t>
      </w:r>
    </w:p>
    <w:p w:rsidR="0082133A" w:rsidRPr="00500D9F" w:rsidRDefault="0082133A" w:rsidP="00F17797">
      <w:pPr>
        <w:rPr>
          <w:rFonts w:ascii="Calibri" w:hAnsi="Calibri" w:cs="Arial"/>
        </w:rPr>
      </w:pPr>
    </w:p>
    <w:p w:rsidR="0082133A" w:rsidRPr="00500D9F" w:rsidRDefault="0082133A" w:rsidP="00F17797">
      <w:pPr>
        <w:rPr>
          <w:rFonts w:ascii="Calibri" w:hAnsi="Calibri" w:cs="Arial"/>
          <w:b/>
        </w:rPr>
      </w:pPr>
    </w:p>
    <w:p w:rsidR="0082133A" w:rsidRPr="00500D9F" w:rsidRDefault="0082133A" w:rsidP="001D583D">
      <w:pPr>
        <w:pStyle w:val="Heading3"/>
        <w:rPr>
          <w:rFonts w:ascii="Calibri" w:hAnsi="Calibri"/>
        </w:rPr>
      </w:pPr>
      <w:bookmarkStart w:id="5" w:name="_Toc530662734"/>
      <w:r w:rsidRPr="00500D9F">
        <w:rPr>
          <w:rFonts w:ascii="Calibri" w:hAnsi="Calibri"/>
        </w:rPr>
        <w:t>4) Relationship of the Costing Guidelines to the Costing Standards</w:t>
      </w:r>
      <w:bookmarkEnd w:id="5"/>
    </w:p>
    <w:p w:rsidR="0082133A" w:rsidRPr="00500D9F" w:rsidRDefault="0082133A" w:rsidP="00F17797">
      <w:pPr>
        <w:rPr>
          <w:rFonts w:ascii="Calibri" w:hAnsi="Calibri" w:cs="Arial"/>
          <w:b/>
        </w:rPr>
      </w:pPr>
    </w:p>
    <w:p w:rsidR="0082133A" w:rsidRPr="00500D9F" w:rsidRDefault="0082133A" w:rsidP="00F17797">
      <w:pPr>
        <w:rPr>
          <w:rFonts w:ascii="Calibri" w:hAnsi="Calibri" w:cs="Arial"/>
        </w:rPr>
      </w:pPr>
      <w:r w:rsidRPr="00500D9F">
        <w:rPr>
          <w:rFonts w:ascii="Calibri" w:hAnsi="Calibri" w:cs="Arial"/>
        </w:rPr>
        <w:t xml:space="preserve">The Costing Standards provide direction on the allocation of costs to patient events and the categorisation of the expenses and the products (CS7) that should be used to represent the goods and services provided. </w:t>
      </w: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r w:rsidRPr="00500D9F">
        <w:rPr>
          <w:rFonts w:ascii="Calibri" w:hAnsi="Calibri" w:cs="Arial"/>
        </w:rPr>
        <w:t>The guidelines provide information on the products that DHBs have chosen to use to allocate costs to patient events, and the type of costs that are allocated by each product.</w:t>
      </w: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r w:rsidRPr="00500D9F">
        <w:rPr>
          <w:rFonts w:ascii="Calibri" w:hAnsi="Calibri" w:cs="Arial"/>
        </w:rPr>
        <w:t>Therefore they provide information on how DHBs have applied the costing standards in relation to schedule seven Intermediate Products,</w:t>
      </w:r>
      <w:r w:rsidR="00AE4D1E">
        <w:rPr>
          <w:rFonts w:ascii="Calibri" w:hAnsi="Calibri" w:cs="Arial"/>
        </w:rPr>
        <w:t xml:space="preserve"> </w:t>
      </w:r>
      <w:r w:rsidR="00AE4D1E" w:rsidRPr="00500D9F">
        <w:rPr>
          <w:rFonts w:ascii="Calibri" w:hAnsi="Calibri" w:cs="Arial"/>
        </w:rPr>
        <w:t>i.e.</w:t>
      </w:r>
      <w:r w:rsidRPr="00500D9F">
        <w:rPr>
          <w:rFonts w:ascii="Calibri" w:hAnsi="Calibri" w:cs="Arial"/>
        </w:rPr>
        <w:t xml:space="preserve"> the goods and services costed and allocated to patient events.</w:t>
      </w:r>
    </w:p>
    <w:p w:rsidR="0082133A" w:rsidRPr="00500D9F" w:rsidRDefault="0082133A" w:rsidP="001D583D">
      <w:pPr>
        <w:pStyle w:val="Heading1"/>
        <w:rPr>
          <w:rFonts w:ascii="Calibri" w:hAnsi="Calibri"/>
          <w:u w:val="single"/>
        </w:rPr>
      </w:pPr>
      <w:bookmarkStart w:id="6" w:name="_Toc530662735"/>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1: CRITICAL CARE (CS7.7.10 A100)</w:t>
      </w:r>
      <w:bookmarkEnd w:id="6"/>
    </w:p>
    <w:p w:rsidR="0082133A" w:rsidRPr="00500D9F" w:rsidRDefault="0082133A" w:rsidP="006D57FF">
      <w:pPr>
        <w:rPr>
          <w:rFonts w:ascii="Calibri" w:hAnsi="Calibri" w:cs="Arial"/>
          <w:sz w:val="20"/>
          <w:szCs w:val="20"/>
        </w:rPr>
      </w:pPr>
    </w:p>
    <w:p w:rsidR="00021592" w:rsidRPr="00500D9F" w:rsidRDefault="00021592" w:rsidP="00021592">
      <w:pPr>
        <w:rPr>
          <w:rFonts w:ascii="Calibri" w:hAnsi="Calibri" w:cs="Arial"/>
        </w:rPr>
      </w:pPr>
      <w:r w:rsidRPr="00500D9F">
        <w:rPr>
          <w:rFonts w:ascii="Calibri" w:hAnsi="Calibri" w:cs="Arial"/>
        </w:rPr>
        <w:t>The cost of providing the inpatient and day patient care within an Intensive Care Unit, Neonatal ICU, Coronary Care Unit or other high dependency specialist unit.</w:t>
      </w:r>
    </w:p>
    <w:p w:rsidR="00021592" w:rsidRDefault="00021592" w:rsidP="00021592">
      <w:pPr>
        <w:rPr>
          <w:rFonts w:ascii="Calibri" w:hAnsi="Calibri" w:cs="Arial"/>
          <w:b/>
          <w:bCs/>
          <w:sz w:val="20"/>
          <w:szCs w:val="20"/>
        </w:rPr>
      </w:pPr>
    </w:p>
    <w:p w:rsidR="00021592" w:rsidRPr="00500D9F" w:rsidRDefault="00021592" w:rsidP="00021592">
      <w:pPr>
        <w:rPr>
          <w:rFonts w:ascii="Calibri" w:hAnsi="Calibri" w:cs="Arial"/>
          <w:b/>
          <w:bCs/>
          <w:sz w:val="20"/>
          <w:szCs w:val="20"/>
        </w:rPr>
      </w:pPr>
    </w:p>
    <w:p w:rsidR="00021592" w:rsidRPr="00500D9F" w:rsidRDefault="00021592" w:rsidP="00021592">
      <w:pPr>
        <w:rPr>
          <w:rFonts w:ascii="Calibri" w:hAnsi="Calibri" w:cs="Arial"/>
          <w:b/>
          <w:bCs/>
        </w:rPr>
      </w:pPr>
      <w:r w:rsidRPr="00500D9F">
        <w:rPr>
          <w:rFonts w:ascii="Calibri" w:hAnsi="Calibri" w:cs="Arial"/>
          <w:b/>
          <w:bCs/>
        </w:rPr>
        <w:t>Hierarchy of Products</w:t>
      </w:r>
    </w:p>
    <w:p w:rsidR="00021592" w:rsidRPr="00500D9F" w:rsidRDefault="00021592" w:rsidP="00021592">
      <w:pPr>
        <w:rPr>
          <w:rFonts w:ascii="Calibri" w:hAnsi="Calibri" w:cs="Arial"/>
          <w:b/>
          <w:bCs/>
        </w:rPr>
      </w:pPr>
    </w:p>
    <w:tbl>
      <w:tblPr>
        <w:tblW w:w="4987" w:type="dxa"/>
        <w:tblInd w:w="90" w:type="dxa"/>
        <w:tblLook w:val="0000" w:firstRow="0" w:lastRow="0" w:firstColumn="0" w:lastColumn="0" w:noHBand="0" w:noVBand="0"/>
      </w:tblPr>
      <w:tblGrid>
        <w:gridCol w:w="1460"/>
        <w:gridCol w:w="3527"/>
      </w:tblGrid>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Level 1</w:t>
            </w: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Critical Care Day</w:t>
            </w:r>
          </w:p>
        </w:tc>
      </w:tr>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Level 2</w:t>
            </w: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ICU / ITU Day</w:t>
            </w:r>
          </w:p>
        </w:tc>
      </w:tr>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CCU Day</w:t>
            </w:r>
          </w:p>
        </w:tc>
      </w:tr>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p>
        </w:tc>
        <w:tc>
          <w:tcPr>
            <w:tcW w:w="3527" w:type="dxa"/>
            <w:tcBorders>
              <w:top w:val="nil"/>
              <w:left w:val="nil"/>
              <w:bottom w:val="nil"/>
              <w:right w:val="nil"/>
            </w:tcBorders>
            <w:noWrap/>
          </w:tcPr>
          <w:p w:rsidR="00021592" w:rsidRDefault="00021592" w:rsidP="00CE3E56">
            <w:pPr>
              <w:rPr>
                <w:rFonts w:ascii="Calibri" w:hAnsi="Calibri" w:cs="Arial"/>
              </w:rPr>
            </w:pPr>
            <w:r w:rsidRPr="00500D9F">
              <w:rPr>
                <w:rFonts w:ascii="Calibri" w:hAnsi="Calibri" w:cs="Arial"/>
              </w:rPr>
              <w:t>SCBU Day</w:t>
            </w:r>
          </w:p>
          <w:p w:rsidR="00021592" w:rsidRPr="00500D9F" w:rsidRDefault="00021592" w:rsidP="00CE3E56">
            <w:pPr>
              <w:rPr>
                <w:rFonts w:ascii="Calibri" w:hAnsi="Calibri" w:cs="Arial"/>
              </w:rPr>
            </w:pPr>
            <w:r>
              <w:rPr>
                <w:rFonts w:ascii="Calibri" w:hAnsi="Calibri" w:cs="Arial"/>
              </w:rPr>
              <w:t>PICU Day</w:t>
            </w:r>
          </w:p>
        </w:tc>
      </w:tr>
      <w:tr w:rsidR="00021592" w:rsidRPr="00500D9F" w:rsidTr="00CE3E56">
        <w:trPr>
          <w:trHeight w:val="255"/>
        </w:trPr>
        <w:tc>
          <w:tcPr>
            <w:tcW w:w="1460" w:type="dxa"/>
            <w:tcBorders>
              <w:top w:val="nil"/>
              <w:left w:val="nil"/>
              <w:bottom w:val="nil"/>
              <w:right w:val="nil"/>
            </w:tcBorders>
            <w:noWrap/>
            <w:vAlign w:val="bottom"/>
          </w:tcPr>
          <w:p w:rsidR="00021592" w:rsidRPr="00500D9F" w:rsidRDefault="00021592" w:rsidP="00CE3E56">
            <w:pPr>
              <w:rPr>
                <w:rFonts w:ascii="Calibri" w:hAnsi="Calibri" w:cs="Arial"/>
              </w:rPr>
            </w:pPr>
          </w:p>
        </w:tc>
        <w:tc>
          <w:tcPr>
            <w:tcW w:w="3527" w:type="dxa"/>
            <w:tcBorders>
              <w:top w:val="nil"/>
              <w:left w:val="nil"/>
              <w:bottom w:val="nil"/>
              <w:right w:val="nil"/>
            </w:tcBorders>
            <w:noWrap/>
            <w:vAlign w:val="bottom"/>
          </w:tcPr>
          <w:p w:rsidR="00021592" w:rsidRDefault="00021592" w:rsidP="00CE3E56">
            <w:pPr>
              <w:rPr>
                <w:rFonts w:ascii="Calibri" w:hAnsi="Calibri" w:cs="Arial"/>
              </w:rPr>
            </w:pPr>
            <w:r w:rsidRPr="00500D9F">
              <w:rPr>
                <w:rFonts w:ascii="Calibri" w:hAnsi="Calibri" w:cs="Arial"/>
              </w:rPr>
              <w:t>NICU Day</w:t>
            </w:r>
          </w:p>
          <w:p w:rsidR="00021592" w:rsidRDefault="00021592" w:rsidP="00CE3E56">
            <w:pPr>
              <w:rPr>
                <w:rFonts w:ascii="Calibri" w:hAnsi="Calibri" w:cs="Arial"/>
              </w:rPr>
            </w:pPr>
            <w:r>
              <w:rPr>
                <w:rFonts w:ascii="Calibri" w:hAnsi="Calibri" w:cs="Arial"/>
              </w:rPr>
              <w:t>HDU Day</w:t>
            </w:r>
          </w:p>
          <w:p w:rsidR="00021592" w:rsidRPr="00500D9F" w:rsidRDefault="00021592" w:rsidP="00CE3E56">
            <w:pPr>
              <w:rPr>
                <w:rFonts w:ascii="Calibri" w:hAnsi="Calibri" w:cs="Arial"/>
              </w:rPr>
            </w:pPr>
            <w:r>
              <w:rPr>
                <w:rFonts w:ascii="Calibri" w:hAnsi="Calibri" w:cs="Arial"/>
              </w:rPr>
              <w:t>Intensive Mental Health Day</w:t>
            </w:r>
          </w:p>
        </w:tc>
      </w:tr>
      <w:tr w:rsidR="00021592" w:rsidRPr="00500D9F" w:rsidTr="00CE3E56">
        <w:trPr>
          <w:trHeight w:val="255"/>
        </w:trPr>
        <w:tc>
          <w:tcPr>
            <w:tcW w:w="1460" w:type="dxa"/>
            <w:tcBorders>
              <w:top w:val="nil"/>
              <w:left w:val="nil"/>
              <w:bottom w:val="nil"/>
              <w:right w:val="nil"/>
            </w:tcBorders>
            <w:noWrap/>
            <w:vAlign w:val="bottom"/>
          </w:tcPr>
          <w:p w:rsidR="00021592" w:rsidRPr="00500D9F" w:rsidRDefault="00021592" w:rsidP="00CE3E56">
            <w:pPr>
              <w:rPr>
                <w:rFonts w:ascii="Calibri" w:hAnsi="Calibri" w:cs="Arial"/>
              </w:rPr>
            </w:pP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Other Special Care Units</w:t>
            </w:r>
          </w:p>
        </w:tc>
      </w:tr>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Level 3</w:t>
            </w: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Same categories as above but in hours</w:t>
            </w:r>
          </w:p>
        </w:tc>
      </w:tr>
      <w:tr w:rsidR="00021592" w:rsidRPr="00500D9F" w:rsidTr="00CE3E56">
        <w:trPr>
          <w:trHeight w:val="255"/>
        </w:trPr>
        <w:tc>
          <w:tcPr>
            <w:tcW w:w="1460"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 xml:space="preserve">Level 4 </w:t>
            </w:r>
          </w:p>
        </w:tc>
        <w:tc>
          <w:tcPr>
            <w:tcW w:w="3527" w:type="dxa"/>
            <w:tcBorders>
              <w:top w:val="nil"/>
              <w:left w:val="nil"/>
              <w:bottom w:val="nil"/>
              <w:right w:val="nil"/>
            </w:tcBorders>
            <w:noWrap/>
          </w:tcPr>
          <w:p w:rsidR="00021592" w:rsidRPr="00500D9F" w:rsidRDefault="00021592" w:rsidP="00CE3E56">
            <w:pPr>
              <w:rPr>
                <w:rFonts w:ascii="Calibri" w:hAnsi="Calibri" w:cs="Arial"/>
              </w:rPr>
            </w:pPr>
            <w:r w:rsidRPr="00500D9F">
              <w:rPr>
                <w:rFonts w:ascii="Calibri" w:hAnsi="Calibri" w:cs="Arial"/>
              </w:rPr>
              <w:t>Hours differentiated by level of intensity</w:t>
            </w:r>
          </w:p>
        </w:tc>
      </w:tr>
    </w:tbl>
    <w:p w:rsidR="00021592" w:rsidRPr="00500D9F" w:rsidRDefault="00021592" w:rsidP="00021592">
      <w:pPr>
        <w:rPr>
          <w:rFonts w:ascii="Calibri" w:hAnsi="Calibri" w:cs="Arial"/>
          <w:sz w:val="20"/>
          <w:szCs w:val="20"/>
        </w:rPr>
      </w:pPr>
    </w:p>
    <w:p w:rsidR="0082133A" w:rsidRPr="00500D9F" w:rsidRDefault="0082133A" w:rsidP="006D57FF">
      <w:pPr>
        <w:rPr>
          <w:rFonts w:ascii="Calibri" w:hAnsi="Calibri" w:cs="Arial"/>
          <w:b/>
          <w:bCs/>
        </w:rPr>
      </w:pPr>
    </w:p>
    <w:p w:rsidR="00021592" w:rsidRPr="00500D9F" w:rsidRDefault="00021592" w:rsidP="00021592">
      <w:pPr>
        <w:rPr>
          <w:rFonts w:ascii="Calibri" w:hAnsi="Calibri" w:cs="Arial"/>
          <w:b/>
          <w:bCs/>
        </w:rPr>
      </w:pPr>
      <w:bookmarkStart w:id="7" w:name="_Toc221608909"/>
      <w:r w:rsidRPr="00500D9F">
        <w:rPr>
          <w:rFonts w:ascii="Calibri" w:hAnsi="Calibri" w:cs="Arial"/>
          <w:b/>
          <w:bCs/>
        </w:rPr>
        <w:t>CRITICAL CARE (A100) GUIDELINES</w:t>
      </w:r>
      <w:bookmarkEnd w:id="7"/>
    </w:p>
    <w:p w:rsidR="00021592" w:rsidRPr="00500D9F" w:rsidRDefault="00021592" w:rsidP="00021592">
      <w:pPr>
        <w:rPr>
          <w:rFonts w:ascii="Calibri" w:hAnsi="Calibri" w:cs="Arial"/>
          <w:sz w:val="20"/>
          <w:szCs w:val="20"/>
        </w:rPr>
      </w:pPr>
    </w:p>
    <w:p w:rsidR="00021592" w:rsidRPr="00500D9F" w:rsidRDefault="00021592" w:rsidP="00021592">
      <w:pPr>
        <w:rPr>
          <w:rFonts w:ascii="Calibri" w:hAnsi="Calibri" w:cs="Arial"/>
        </w:rPr>
      </w:pPr>
      <w:r w:rsidRPr="00500D9F">
        <w:rPr>
          <w:rFonts w:ascii="Calibri" w:hAnsi="Calibri" w:cs="Arial"/>
        </w:rPr>
        <w:t>The following are guidelines that can be used by DHBs when determining how to cost Critical Care products/activity. They are based on the methodology currently used and found by DHBs to be successful.</w:t>
      </w:r>
    </w:p>
    <w:p w:rsidR="00021592" w:rsidRPr="00500D9F" w:rsidRDefault="00021592" w:rsidP="00021592">
      <w:pPr>
        <w:rPr>
          <w:rFonts w:ascii="Calibri" w:hAnsi="Calibri" w:cs="Arial"/>
          <w:sz w:val="20"/>
          <w:szCs w:val="20"/>
        </w:rPr>
      </w:pPr>
    </w:p>
    <w:p w:rsidR="00021592" w:rsidRPr="00500D9F" w:rsidRDefault="00021592" w:rsidP="00021592">
      <w:pPr>
        <w:rPr>
          <w:rFonts w:ascii="Calibri" w:hAnsi="Calibri" w:cs="Arial"/>
        </w:rPr>
      </w:pPr>
      <w:r w:rsidRPr="00500D9F">
        <w:rPr>
          <w:rFonts w:ascii="Calibri" w:hAnsi="Calibri" w:cs="Arial"/>
        </w:rPr>
        <w:t>The guidelines were created using data from the following District Health Boards;-</w:t>
      </w:r>
    </w:p>
    <w:p w:rsidR="00021592" w:rsidRDefault="00021592" w:rsidP="00021592">
      <w:pPr>
        <w:rPr>
          <w:rFonts w:ascii="Times New Roman" w:hAnsi="Times New Roman"/>
          <w:sz w:val="20"/>
          <w:szCs w:val="20"/>
          <w:lang w:eastAsia="en-NZ"/>
        </w:rPr>
      </w:pPr>
      <w:r>
        <w:fldChar w:fldCharType="begin"/>
      </w:r>
      <w:r>
        <w:instrText xml:space="preserve"> LINK Excel.Sheet.12 "Book1" "Sheet1!R5C2:R8C3" \a \f 4 \h  \* MERGEFORMAT </w:instrText>
      </w:r>
      <w:r>
        <w:fldChar w:fldCharType="separate"/>
      </w:r>
    </w:p>
    <w:tbl>
      <w:tblPr>
        <w:tblW w:w="5591" w:type="dxa"/>
        <w:tblInd w:w="547" w:type="dxa"/>
        <w:tblLook w:val="04A0" w:firstRow="1" w:lastRow="0" w:firstColumn="1" w:lastColumn="0" w:noHBand="0" w:noVBand="1"/>
      </w:tblPr>
      <w:tblGrid>
        <w:gridCol w:w="2416"/>
        <w:gridCol w:w="3175"/>
      </w:tblGrid>
      <w:tr w:rsidR="00021592" w:rsidRPr="00BA2FAC" w:rsidTr="00CE3E56">
        <w:trPr>
          <w:trHeight w:val="340"/>
        </w:trPr>
        <w:tc>
          <w:tcPr>
            <w:tcW w:w="2416"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Bay of Plenty</w:t>
            </w:r>
          </w:p>
        </w:tc>
        <w:tc>
          <w:tcPr>
            <w:tcW w:w="3175"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Auckland</w:t>
            </w:r>
          </w:p>
        </w:tc>
      </w:tr>
      <w:tr w:rsidR="00021592" w:rsidRPr="00BA2FAC" w:rsidTr="00CE3E56">
        <w:trPr>
          <w:trHeight w:val="340"/>
        </w:trPr>
        <w:tc>
          <w:tcPr>
            <w:tcW w:w="2416"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Northland</w:t>
            </w:r>
          </w:p>
        </w:tc>
        <w:tc>
          <w:tcPr>
            <w:tcW w:w="3175"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xml:space="preserve">·       </w:t>
            </w:r>
            <w:proofErr w:type="spellStart"/>
            <w:r w:rsidRPr="00BA2FAC">
              <w:rPr>
                <w:rFonts w:ascii="Calibri" w:hAnsi="Calibri" w:cs="Calibri"/>
                <w:color w:val="000000"/>
                <w:sz w:val="22"/>
                <w:szCs w:val="22"/>
                <w:lang w:eastAsia="en-NZ"/>
              </w:rPr>
              <w:t>MidCentral</w:t>
            </w:r>
            <w:proofErr w:type="spellEnd"/>
            <w:r w:rsidRPr="00BA2FAC">
              <w:rPr>
                <w:rFonts w:ascii="Calibri" w:hAnsi="Calibri" w:cs="Calibri"/>
                <w:color w:val="000000"/>
                <w:sz w:val="22"/>
                <w:szCs w:val="22"/>
                <w:lang w:eastAsia="en-NZ"/>
              </w:rPr>
              <w:t xml:space="preserve"> </w:t>
            </w:r>
          </w:p>
        </w:tc>
      </w:tr>
      <w:tr w:rsidR="00021592" w:rsidRPr="00BA2FAC" w:rsidTr="00CE3E56">
        <w:trPr>
          <w:trHeight w:val="340"/>
        </w:trPr>
        <w:tc>
          <w:tcPr>
            <w:tcW w:w="2416"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xml:space="preserve">·       </w:t>
            </w:r>
            <w:proofErr w:type="spellStart"/>
            <w:r w:rsidRPr="00BA2FAC">
              <w:rPr>
                <w:rFonts w:ascii="Calibri" w:hAnsi="Calibri" w:cs="Calibri"/>
                <w:color w:val="000000"/>
                <w:sz w:val="22"/>
                <w:szCs w:val="22"/>
                <w:lang w:eastAsia="en-NZ"/>
              </w:rPr>
              <w:t>Waitemata</w:t>
            </w:r>
            <w:proofErr w:type="spellEnd"/>
          </w:p>
        </w:tc>
        <w:tc>
          <w:tcPr>
            <w:tcW w:w="3175"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xml:space="preserve">·       Counties </w:t>
            </w:r>
            <w:proofErr w:type="spellStart"/>
            <w:r w:rsidRPr="00BA2FAC">
              <w:rPr>
                <w:rFonts w:ascii="Calibri" w:hAnsi="Calibri" w:cs="Calibri"/>
                <w:color w:val="000000"/>
                <w:sz w:val="22"/>
                <w:szCs w:val="22"/>
                <w:lang w:eastAsia="en-NZ"/>
              </w:rPr>
              <w:t>Manukau</w:t>
            </w:r>
            <w:proofErr w:type="spellEnd"/>
          </w:p>
        </w:tc>
      </w:tr>
      <w:tr w:rsidR="00021592" w:rsidRPr="00BA2FAC" w:rsidTr="00CE3E56">
        <w:trPr>
          <w:trHeight w:val="340"/>
        </w:trPr>
        <w:tc>
          <w:tcPr>
            <w:tcW w:w="2416"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Waikato</w:t>
            </w:r>
          </w:p>
        </w:tc>
        <w:tc>
          <w:tcPr>
            <w:tcW w:w="3175" w:type="dxa"/>
            <w:tcBorders>
              <w:top w:val="nil"/>
              <w:left w:val="nil"/>
              <w:bottom w:val="nil"/>
              <w:right w:val="nil"/>
            </w:tcBorders>
            <w:shd w:val="clear" w:color="auto" w:fill="auto"/>
            <w:noWrap/>
            <w:vAlign w:val="bottom"/>
            <w:hideMark/>
          </w:tcPr>
          <w:p w:rsidR="00021592" w:rsidRPr="00BA2FAC" w:rsidRDefault="00021592" w:rsidP="00CE3E56">
            <w:pPr>
              <w:jc w:val="left"/>
              <w:rPr>
                <w:rFonts w:ascii="Calibri" w:hAnsi="Calibri" w:cs="Calibri"/>
                <w:color w:val="000000"/>
                <w:sz w:val="22"/>
                <w:szCs w:val="22"/>
                <w:lang w:eastAsia="en-NZ"/>
              </w:rPr>
            </w:pPr>
            <w:r w:rsidRPr="00BA2FAC">
              <w:rPr>
                <w:rFonts w:ascii="Calibri" w:hAnsi="Calibri" w:cs="Calibri"/>
                <w:color w:val="000000"/>
                <w:sz w:val="22"/>
                <w:szCs w:val="22"/>
                <w:lang w:eastAsia="en-NZ"/>
              </w:rPr>
              <w:t>·       Capital &amp; Coast</w:t>
            </w:r>
          </w:p>
        </w:tc>
      </w:tr>
    </w:tbl>
    <w:p w:rsidR="00021592" w:rsidRPr="00500D9F" w:rsidRDefault="00021592" w:rsidP="00021592">
      <w:pPr>
        <w:rPr>
          <w:rFonts w:ascii="Calibri" w:hAnsi="Calibri" w:cs="Arial"/>
          <w:b/>
          <w:bCs/>
        </w:rPr>
      </w:pPr>
      <w:r>
        <w:rPr>
          <w:rFonts w:ascii="Calibri" w:hAnsi="Calibri" w:cs="Arial"/>
          <w:b/>
          <w:bCs/>
        </w:rPr>
        <w:fldChar w:fldCharType="end"/>
      </w:r>
    </w:p>
    <w:p w:rsidR="00021592" w:rsidRDefault="00021592" w:rsidP="00021592">
      <w:pPr>
        <w:rPr>
          <w:rFonts w:ascii="Calibri" w:hAnsi="Calibri" w:cs="Arial"/>
          <w:b/>
          <w:bCs/>
          <w:sz w:val="20"/>
          <w:szCs w:val="20"/>
        </w:rPr>
      </w:pPr>
    </w:p>
    <w:p w:rsidR="00021592" w:rsidRPr="00500D9F" w:rsidRDefault="00021592" w:rsidP="00021592">
      <w:pPr>
        <w:pStyle w:val="Heading3"/>
        <w:rPr>
          <w:rFonts w:ascii="Calibri" w:hAnsi="Calibri"/>
        </w:rPr>
      </w:pPr>
      <w:bookmarkStart w:id="8" w:name="_Toc530662736"/>
      <w:r w:rsidRPr="00500D9F">
        <w:rPr>
          <w:rFonts w:ascii="Calibri" w:hAnsi="Calibri"/>
        </w:rPr>
        <w:t>1) Critical Care Products/Activity</w:t>
      </w:r>
      <w:bookmarkEnd w:id="8"/>
    </w:p>
    <w:p w:rsidR="00021592" w:rsidRPr="00500D9F" w:rsidRDefault="00021592" w:rsidP="00021592">
      <w:pPr>
        <w:rPr>
          <w:rFonts w:ascii="Calibri" w:hAnsi="Calibri" w:cs="Arial"/>
          <w:sz w:val="20"/>
          <w:szCs w:val="20"/>
        </w:rPr>
      </w:pPr>
    </w:p>
    <w:p w:rsidR="00021592" w:rsidRPr="00021592" w:rsidRDefault="00021592" w:rsidP="00021592">
      <w:pPr>
        <w:rPr>
          <w:rFonts w:ascii="Calibri" w:hAnsi="Calibri" w:cs="Arial"/>
        </w:rPr>
      </w:pPr>
      <w:r w:rsidRPr="00021592">
        <w:rPr>
          <w:rFonts w:ascii="Calibri" w:hAnsi="Calibri" w:cs="Arial"/>
        </w:rPr>
        <w:t>Summary of critical care products costed by DHB's.</w:t>
      </w:r>
    </w:p>
    <w:p w:rsidR="00021592" w:rsidRDefault="00021592" w:rsidP="00021592">
      <w:pPr>
        <w:rPr>
          <w:rFonts w:ascii="Calibri" w:hAnsi="Calibri" w:cs="Arial"/>
        </w:rPr>
      </w:pPr>
    </w:p>
    <w:bookmarkStart w:id="9" w:name="_MON_1621155047"/>
    <w:bookmarkEnd w:id="9"/>
    <w:p w:rsidR="00021592" w:rsidRDefault="00021592" w:rsidP="00021592">
      <w:pPr>
        <w:rPr>
          <w:rFonts w:ascii="Calibri" w:hAnsi="Calibri" w:cs="Arial"/>
        </w:rPr>
      </w:pPr>
      <w:r>
        <w:rPr>
          <w:rFonts w:ascii="Calibri" w:hAnsi="Calibri" w:cs="Arial"/>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11" o:title=""/>
          </v:shape>
          <o:OLEObject Type="Embed" ProgID="Excel.Sheet.12" ShapeID="_x0000_i1025" DrawAspect="Icon" ObjectID="_1627387697" r:id="rId12"/>
        </w:object>
      </w:r>
    </w:p>
    <w:p w:rsidR="00021592" w:rsidRPr="00500D9F" w:rsidRDefault="00021592" w:rsidP="00021592">
      <w:pPr>
        <w:rPr>
          <w:rFonts w:ascii="Calibri" w:hAnsi="Calibri" w:cs="Arial"/>
        </w:rPr>
      </w:pPr>
    </w:p>
    <w:p w:rsidR="00772F9C" w:rsidRDefault="00772F9C" w:rsidP="006D57FF">
      <w:pPr>
        <w:rPr>
          <w:rFonts w:ascii="Calibri" w:hAnsi="Calibri" w:cs="Arial"/>
          <w:b/>
          <w:bCs/>
          <w:sz w:val="20"/>
          <w:szCs w:val="20"/>
        </w:rPr>
      </w:pPr>
    </w:p>
    <w:p w:rsidR="00772F9C" w:rsidRDefault="00772F9C" w:rsidP="006D57FF">
      <w:pPr>
        <w:rPr>
          <w:rFonts w:ascii="Calibri" w:hAnsi="Calibri" w:cs="Arial"/>
          <w:b/>
          <w:bCs/>
          <w:sz w:val="20"/>
          <w:szCs w:val="20"/>
        </w:rPr>
      </w:pPr>
    </w:p>
    <w:p w:rsidR="00772F9C" w:rsidRDefault="00772F9C" w:rsidP="006D57FF">
      <w:pPr>
        <w:rPr>
          <w:rFonts w:ascii="Calibri" w:hAnsi="Calibri" w:cs="Arial"/>
          <w:b/>
          <w:bCs/>
          <w:sz w:val="20"/>
          <w:szCs w:val="20"/>
        </w:rPr>
      </w:pPr>
    </w:p>
    <w:p w:rsidR="00021592" w:rsidRDefault="00021592" w:rsidP="00021592">
      <w:pPr>
        <w:rPr>
          <w:rFonts w:ascii="Calibri" w:hAnsi="Calibri" w:cs="Arial"/>
        </w:rPr>
      </w:pPr>
    </w:p>
    <w:p w:rsidR="00021592" w:rsidRPr="00500D9F" w:rsidRDefault="00021592" w:rsidP="00021592">
      <w:pPr>
        <w:rPr>
          <w:rFonts w:ascii="Calibri" w:hAnsi="Calibri" w:cs="Arial"/>
        </w:rPr>
      </w:pPr>
      <w:r w:rsidRPr="00500D9F">
        <w:rPr>
          <w:rFonts w:ascii="Calibri" w:hAnsi="Calibri" w:cs="Arial"/>
        </w:rPr>
        <w:t>Each DHB has adopted a uniquely different product mix to cost their Critical Care Units. Generally there is some form of bed day in the product mix however, some DHB's allocate costs based on bed hours.</w:t>
      </w:r>
    </w:p>
    <w:p w:rsidR="00021592" w:rsidRPr="00500D9F" w:rsidRDefault="00021592" w:rsidP="00021592">
      <w:pPr>
        <w:rPr>
          <w:rFonts w:ascii="Calibri" w:hAnsi="Calibri" w:cs="Arial"/>
        </w:rPr>
      </w:pPr>
    </w:p>
    <w:p w:rsidR="00021592" w:rsidRPr="00500D9F" w:rsidRDefault="00021592" w:rsidP="00021592">
      <w:pPr>
        <w:rPr>
          <w:rFonts w:ascii="Calibri" w:hAnsi="Calibri" w:cs="Arial"/>
        </w:rPr>
      </w:pPr>
      <w:r w:rsidRPr="00500D9F">
        <w:rPr>
          <w:rFonts w:ascii="Calibri" w:hAnsi="Calibri" w:cs="Arial"/>
        </w:rPr>
        <w:t>The types of costs allocated to bed days also differ considerably, for example some include doctor costs others don't. A number of DHB's have bed day products based on acuity but again this varies considerably e</w:t>
      </w:r>
      <w:r w:rsidR="002433BF">
        <w:rPr>
          <w:rFonts w:ascii="Calibri" w:hAnsi="Calibri" w:cs="Arial"/>
        </w:rPr>
        <w:t>.</w:t>
      </w:r>
      <w:r w:rsidRPr="00500D9F">
        <w:rPr>
          <w:rFonts w:ascii="Calibri" w:hAnsi="Calibri" w:cs="Arial"/>
        </w:rPr>
        <w:t>g</w:t>
      </w:r>
      <w:r w:rsidR="002433BF">
        <w:rPr>
          <w:rFonts w:ascii="Calibri" w:hAnsi="Calibri" w:cs="Arial"/>
        </w:rPr>
        <w:t>.</w:t>
      </w:r>
      <w:r w:rsidRPr="00500D9F">
        <w:rPr>
          <w:rFonts w:ascii="Calibri" w:hAnsi="Calibri" w:cs="Arial"/>
        </w:rPr>
        <w:t xml:space="preserve"> the range is one to nineteen.</w:t>
      </w:r>
    </w:p>
    <w:p w:rsidR="00021592" w:rsidRPr="00500D9F" w:rsidRDefault="00021592" w:rsidP="00021592">
      <w:pPr>
        <w:rPr>
          <w:rFonts w:ascii="Calibri" w:hAnsi="Calibri" w:cs="Arial"/>
        </w:rPr>
      </w:pPr>
    </w:p>
    <w:p w:rsidR="00021592" w:rsidRPr="00500D9F" w:rsidRDefault="00021592" w:rsidP="00021592">
      <w:pPr>
        <w:rPr>
          <w:rFonts w:ascii="Calibri" w:hAnsi="Calibri" w:cs="Arial"/>
        </w:rPr>
      </w:pPr>
      <w:r w:rsidRPr="00500D9F">
        <w:rPr>
          <w:rFonts w:ascii="Calibri" w:hAnsi="Calibri" w:cs="Arial"/>
        </w:rPr>
        <w:t>As a guideline Critical Care Units should be costed using some form of bed day product that recognises the staff resource required per patient day/hour. If possible the day/hour should be weighted according to the resources consumed i</w:t>
      </w:r>
      <w:r w:rsidR="002433BF">
        <w:rPr>
          <w:rFonts w:ascii="Calibri" w:hAnsi="Calibri" w:cs="Arial"/>
        </w:rPr>
        <w:t>.</w:t>
      </w:r>
      <w:r w:rsidRPr="00500D9F">
        <w:rPr>
          <w:rFonts w:ascii="Calibri" w:hAnsi="Calibri" w:cs="Arial"/>
        </w:rPr>
        <w:t>e</w:t>
      </w:r>
      <w:r w:rsidR="002433BF">
        <w:rPr>
          <w:rFonts w:ascii="Calibri" w:hAnsi="Calibri" w:cs="Arial"/>
        </w:rPr>
        <w:t>.</w:t>
      </w:r>
      <w:r w:rsidRPr="00500D9F">
        <w:rPr>
          <w:rFonts w:ascii="Calibri" w:hAnsi="Calibri" w:cs="Arial"/>
        </w:rPr>
        <w:t xml:space="preserve"> weighted by acuity, ventilation, CPAP etc. Note however, before this methodology is adopted there should be confidence in the weight adopted. Also as a general rule all weights/RVUs should be reviewed annually.</w:t>
      </w:r>
    </w:p>
    <w:p w:rsidR="00021592" w:rsidRPr="00500D9F" w:rsidRDefault="00021592" w:rsidP="00021592">
      <w:pPr>
        <w:rPr>
          <w:rFonts w:ascii="Calibri" w:hAnsi="Calibri" w:cs="Arial"/>
        </w:rPr>
      </w:pPr>
    </w:p>
    <w:p w:rsidR="00021592" w:rsidRPr="00500D9F" w:rsidRDefault="00021592" w:rsidP="00021592">
      <w:pPr>
        <w:rPr>
          <w:rFonts w:ascii="Calibri" w:hAnsi="Calibri" w:cs="Arial"/>
        </w:rPr>
      </w:pPr>
      <w:r w:rsidRPr="00500D9F">
        <w:rPr>
          <w:rFonts w:ascii="Calibri" w:hAnsi="Calibri" w:cs="Arial"/>
        </w:rPr>
        <w:t>If services provided by Critical Care staff, in addition to the normal bed day, care can be recognised and costed</w:t>
      </w:r>
      <w:r>
        <w:rPr>
          <w:rFonts w:ascii="Calibri" w:hAnsi="Calibri" w:cs="Arial"/>
        </w:rPr>
        <w:t>,</w:t>
      </w:r>
      <w:r w:rsidRPr="00500D9F">
        <w:rPr>
          <w:rFonts w:ascii="Calibri" w:hAnsi="Calibri" w:cs="Arial"/>
        </w:rPr>
        <w:t xml:space="preserve"> e</w:t>
      </w:r>
      <w:r>
        <w:rPr>
          <w:rFonts w:ascii="Calibri" w:hAnsi="Calibri" w:cs="Arial"/>
        </w:rPr>
        <w:t>.</w:t>
      </w:r>
      <w:r w:rsidRPr="00500D9F">
        <w:rPr>
          <w:rFonts w:ascii="Calibri" w:hAnsi="Calibri" w:cs="Arial"/>
        </w:rPr>
        <w:t>g</w:t>
      </w:r>
      <w:r>
        <w:rPr>
          <w:rFonts w:ascii="Calibri" w:hAnsi="Calibri" w:cs="Arial"/>
        </w:rPr>
        <w:t>.</w:t>
      </w:r>
      <w:r w:rsidRPr="00500D9F">
        <w:rPr>
          <w:rFonts w:ascii="Calibri" w:hAnsi="Calibri" w:cs="Arial"/>
        </w:rPr>
        <w:t xml:space="preserve"> procedures and tests then it is advisable to separately cost this activity.</w:t>
      </w:r>
    </w:p>
    <w:p w:rsidR="00021592" w:rsidRPr="00500D9F" w:rsidRDefault="00021592" w:rsidP="00021592">
      <w:pPr>
        <w:rPr>
          <w:rFonts w:ascii="Calibri" w:hAnsi="Calibri" w:cs="Arial"/>
          <w:b/>
          <w:bCs/>
        </w:rPr>
      </w:pPr>
    </w:p>
    <w:p w:rsidR="00021592" w:rsidRPr="00500D9F" w:rsidRDefault="00021592" w:rsidP="00021592">
      <w:pPr>
        <w:pStyle w:val="Heading3"/>
        <w:rPr>
          <w:rFonts w:ascii="Calibri" w:hAnsi="Calibri"/>
        </w:rPr>
      </w:pPr>
      <w:r w:rsidRPr="00500D9F">
        <w:rPr>
          <w:rFonts w:ascii="Calibri" w:hAnsi="Calibri"/>
        </w:rPr>
        <w:t>2) Critical Care Department Overheads</w:t>
      </w:r>
    </w:p>
    <w:p w:rsidR="00021592" w:rsidRPr="00500D9F" w:rsidRDefault="00021592" w:rsidP="00021592">
      <w:pPr>
        <w:rPr>
          <w:rFonts w:ascii="Calibri" w:hAnsi="Calibri" w:cs="Arial"/>
        </w:rPr>
      </w:pPr>
    </w:p>
    <w:p w:rsidR="00021592" w:rsidRPr="00500D9F" w:rsidRDefault="00021592" w:rsidP="00021592">
      <w:pPr>
        <w:rPr>
          <w:rFonts w:ascii="Calibri" w:hAnsi="Calibri" w:cs="Arial"/>
        </w:rPr>
      </w:pPr>
      <w:r w:rsidRPr="00500D9F">
        <w:rPr>
          <w:rFonts w:ascii="Calibri" w:hAnsi="Calibri" w:cs="Arial"/>
        </w:rPr>
        <w:t xml:space="preserve">Overall indirect costs comprised approximately </w:t>
      </w:r>
      <w:r w:rsidRPr="004D25FF">
        <w:rPr>
          <w:rFonts w:ascii="Calibri" w:hAnsi="Calibri" w:cs="Arial"/>
        </w:rPr>
        <w:t xml:space="preserve">27% </w:t>
      </w:r>
      <w:r w:rsidRPr="00500D9F">
        <w:rPr>
          <w:rFonts w:ascii="Calibri" w:hAnsi="Calibri" w:cs="Arial"/>
        </w:rPr>
        <w:t xml:space="preserve">of the total Critical Care Department costs. The range between DHBs </w:t>
      </w:r>
      <w:r>
        <w:rPr>
          <w:rFonts w:ascii="Calibri" w:hAnsi="Calibri" w:cs="Arial"/>
        </w:rPr>
        <w:t xml:space="preserve">submitting overhead percentages (3 DHBs) </w:t>
      </w:r>
      <w:r w:rsidRPr="00500D9F">
        <w:rPr>
          <w:rFonts w:ascii="Calibri" w:hAnsi="Calibri" w:cs="Arial"/>
        </w:rPr>
        <w:t xml:space="preserve">was </w:t>
      </w:r>
      <w:r w:rsidRPr="004D25FF">
        <w:rPr>
          <w:rFonts w:ascii="Calibri" w:hAnsi="Calibri" w:cs="Arial"/>
        </w:rPr>
        <w:t>22% to</w:t>
      </w:r>
      <w:r>
        <w:rPr>
          <w:rFonts w:ascii="Calibri" w:hAnsi="Calibri" w:cs="Arial"/>
        </w:rPr>
        <w:t>33</w:t>
      </w:r>
      <w:r w:rsidRPr="004D25FF">
        <w:rPr>
          <w:rFonts w:ascii="Calibri" w:hAnsi="Calibri" w:cs="Arial"/>
        </w:rPr>
        <w:t xml:space="preserve">%. </w:t>
      </w:r>
    </w:p>
    <w:p w:rsidR="00021592" w:rsidRDefault="00021592" w:rsidP="00021592">
      <w:pPr>
        <w:rPr>
          <w:rFonts w:ascii="Calibri" w:hAnsi="Calibri" w:cs="Arial"/>
        </w:rPr>
      </w:pPr>
    </w:p>
    <w:p w:rsidR="00021592" w:rsidRPr="00500D9F" w:rsidRDefault="00021592" w:rsidP="00021592">
      <w:pPr>
        <w:rPr>
          <w:rFonts w:ascii="Calibri" w:hAnsi="Calibri" w:cs="Arial"/>
          <w:b/>
          <w:bCs/>
          <w:u w:val="single"/>
        </w:rPr>
      </w:pPr>
      <w:r w:rsidRPr="00500D9F">
        <w:rPr>
          <w:rFonts w:ascii="Calibri" w:hAnsi="Calibri" w:cs="Arial"/>
          <w:b/>
          <w:bCs/>
          <w:u w:val="single"/>
        </w:rPr>
        <w:t>NOTES</w:t>
      </w:r>
    </w:p>
    <w:p w:rsidR="00021592" w:rsidRPr="00500D9F" w:rsidRDefault="00021592" w:rsidP="00021592">
      <w:pPr>
        <w:rPr>
          <w:rFonts w:ascii="Calibri" w:hAnsi="Calibri" w:cs="Arial"/>
        </w:rPr>
      </w:pPr>
      <w:r w:rsidRPr="00500D9F">
        <w:rPr>
          <w:rFonts w:ascii="Calibri" w:hAnsi="Calibri" w:cs="Arial"/>
        </w:rPr>
        <w:t>Number of DHBs included in survey</w:t>
      </w:r>
      <w:r>
        <w:rPr>
          <w:rFonts w:ascii="Calibri" w:hAnsi="Calibri" w:cs="Arial"/>
        </w:rPr>
        <w:t xml:space="preserve"> = 8</w:t>
      </w:r>
    </w:p>
    <w:p w:rsidR="00021592" w:rsidRDefault="00021592" w:rsidP="00021592">
      <w:pPr>
        <w:rPr>
          <w:rFonts w:ascii="Calibri" w:hAnsi="Calibri" w:cs="Arial"/>
        </w:rPr>
      </w:pPr>
      <w:r w:rsidRPr="00500D9F">
        <w:rPr>
          <w:rFonts w:ascii="Calibri" w:hAnsi="Calibri" w:cs="Arial"/>
        </w:rPr>
        <w:t>Date of survey</w:t>
      </w:r>
      <w:r>
        <w:rPr>
          <w:rFonts w:ascii="Calibri" w:hAnsi="Calibri" w:cs="Arial"/>
        </w:rPr>
        <w:t xml:space="preserve"> </w:t>
      </w:r>
      <w:r w:rsidRPr="00500D9F">
        <w:rPr>
          <w:rFonts w:ascii="Calibri" w:hAnsi="Calibri" w:cs="Arial"/>
        </w:rPr>
        <w:t>-</w:t>
      </w:r>
      <w:r>
        <w:rPr>
          <w:rFonts w:ascii="Calibri" w:hAnsi="Calibri" w:cs="Arial"/>
        </w:rPr>
        <w:t xml:space="preserve"> May/June 2019</w:t>
      </w:r>
    </w:p>
    <w:p w:rsidR="00021592" w:rsidRDefault="00021592" w:rsidP="00021592"/>
    <w:p w:rsidR="00021592" w:rsidRPr="00952130" w:rsidRDefault="00021592" w:rsidP="00021592">
      <w:pPr>
        <w:rPr>
          <w:rFonts w:ascii="Calibri" w:hAnsi="Calibri" w:cs="Arial"/>
        </w:rPr>
      </w:pPr>
      <w:r w:rsidRPr="00952130">
        <w:rPr>
          <w:rFonts w:ascii="Calibri" w:hAnsi="Calibri" w:cs="Arial"/>
        </w:rPr>
        <w:t>From 2017/18 Cost Data these are the top 10 Purchase Units (across all DHBs with Critical Care Costs):</w:t>
      </w:r>
    </w:p>
    <w:p w:rsidR="002433BF" w:rsidRDefault="002433BF" w:rsidP="00021592"/>
    <w:p w:rsidR="002433BF" w:rsidRDefault="002433BF" w:rsidP="00021592"/>
    <w:p w:rsidR="00021592" w:rsidRPr="007D2AC8" w:rsidRDefault="00021592" w:rsidP="00021592">
      <w:r w:rsidRPr="00952130">
        <w:rPr>
          <w:noProof/>
          <w:lang w:eastAsia="en-NZ"/>
        </w:rPr>
        <w:drawing>
          <wp:inline distT="0" distB="0" distL="0" distR="0" wp14:anchorId="3BD203DF" wp14:editId="02EB5137">
            <wp:extent cx="4639322" cy="249589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9322" cy="2495898"/>
                    </a:xfrm>
                    <a:prstGeom prst="rect">
                      <a:avLst/>
                    </a:prstGeom>
                  </pic:spPr>
                </pic:pic>
              </a:graphicData>
            </a:graphic>
          </wp:inline>
        </w:drawing>
      </w:r>
    </w:p>
    <w:p w:rsidR="00772F9C" w:rsidRPr="00500D9F" w:rsidRDefault="00772F9C" w:rsidP="006D57FF">
      <w:pPr>
        <w:rPr>
          <w:rFonts w:ascii="Calibri" w:hAnsi="Calibri" w:cs="Arial"/>
          <w:b/>
          <w:bCs/>
          <w:sz w:val="20"/>
          <w:szCs w:val="20"/>
        </w:rPr>
        <w:sectPr w:rsidR="00772F9C" w:rsidRPr="00500D9F" w:rsidSect="00CB4D7F">
          <w:pgSz w:w="11906" w:h="16838"/>
          <w:pgMar w:top="993" w:right="1106" w:bottom="1418" w:left="1418" w:header="709" w:footer="709" w:gutter="0"/>
          <w:cols w:space="708"/>
          <w:docGrid w:linePitch="360"/>
        </w:sectPr>
      </w:pPr>
    </w:p>
    <w:p w:rsidR="0082133A" w:rsidRPr="00500D9F" w:rsidRDefault="002433BF" w:rsidP="00EF1B93">
      <w:pPr>
        <w:pStyle w:val="Heading1"/>
        <w:rPr>
          <w:rFonts w:ascii="Calibri" w:hAnsi="Calibri"/>
          <w:u w:val="single"/>
        </w:rPr>
      </w:pPr>
      <w:bookmarkStart w:id="10" w:name="_Toc530662739"/>
      <w:r>
        <w:rPr>
          <w:rFonts w:ascii="Calibri" w:hAnsi="Calibri"/>
          <w:u w:val="single"/>
        </w:rPr>
        <w:lastRenderedPageBreak/>
        <w:t>G</w:t>
      </w:r>
      <w:r w:rsidR="0082133A">
        <w:rPr>
          <w:rFonts w:ascii="Calibri" w:hAnsi="Calibri"/>
          <w:u w:val="single"/>
        </w:rPr>
        <w:t>uideline</w:t>
      </w:r>
      <w:r w:rsidR="0082133A" w:rsidRPr="00500D9F">
        <w:rPr>
          <w:rFonts w:ascii="Calibri" w:hAnsi="Calibri"/>
          <w:u w:val="single"/>
        </w:rPr>
        <w:t xml:space="preserve"> 2: EMERGENCY (CS7.7.11 A110)</w:t>
      </w:r>
      <w:bookmarkEnd w:id="10"/>
    </w:p>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The cost of providing the Emergency Department service.  This includes costs of Acute Assessment Units managed within the same clinical directorate as the Emergency Department, but not the Assessment / Short Stay wards which are outside of the ED Director’s management scope.</w:t>
      </w:r>
    </w:p>
    <w:p w:rsidR="00D71AAB" w:rsidRPr="00D71AAB" w:rsidRDefault="00D71AAB" w:rsidP="00D71AAB">
      <w:pPr>
        <w:rPr>
          <w:rFonts w:ascii="Calibri" w:hAnsi="Calibri" w:cs="Arial"/>
          <w:b/>
          <w:bCs/>
          <w:sz w:val="22"/>
          <w:szCs w:val="22"/>
        </w:rPr>
      </w:pPr>
    </w:p>
    <w:p w:rsidR="00D71AAB" w:rsidRPr="00D71AAB" w:rsidRDefault="00D71AAB" w:rsidP="00D71AAB">
      <w:pPr>
        <w:rPr>
          <w:rFonts w:ascii="Calibri" w:hAnsi="Calibri" w:cs="Arial"/>
          <w:b/>
          <w:bCs/>
          <w:sz w:val="22"/>
          <w:szCs w:val="22"/>
        </w:rPr>
      </w:pPr>
      <w:r w:rsidRPr="00D71AAB">
        <w:rPr>
          <w:rFonts w:ascii="Calibri" w:hAnsi="Calibri" w:cs="Arial"/>
          <w:b/>
          <w:bCs/>
          <w:sz w:val="22"/>
          <w:szCs w:val="22"/>
        </w:rPr>
        <w:t>Hierarchy of Products</w:t>
      </w:r>
    </w:p>
    <w:p w:rsidR="00D71AAB" w:rsidRPr="00D71AAB" w:rsidRDefault="00D71AAB" w:rsidP="00D71AAB">
      <w:pPr>
        <w:rPr>
          <w:rFonts w:ascii="Calibri" w:hAnsi="Calibri" w:cs="Arial"/>
          <w:b/>
          <w:bCs/>
          <w:sz w:val="20"/>
          <w:szCs w:val="20"/>
        </w:rPr>
      </w:pPr>
    </w:p>
    <w:tbl>
      <w:tblPr>
        <w:tblW w:w="9734" w:type="dxa"/>
        <w:tblInd w:w="88" w:type="dxa"/>
        <w:tblLook w:val="0000" w:firstRow="0" w:lastRow="0" w:firstColumn="0" w:lastColumn="0" w:noHBand="0" w:noVBand="0"/>
      </w:tblPr>
      <w:tblGrid>
        <w:gridCol w:w="1060"/>
        <w:gridCol w:w="8674"/>
      </w:tblGrid>
      <w:tr w:rsidR="00D71AAB" w:rsidRPr="00D71AAB" w:rsidTr="00CE3E56">
        <w:trPr>
          <w:trHeight w:val="285"/>
        </w:trPr>
        <w:tc>
          <w:tcPr>
            <w:tcW w:w="1060"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Level 1</w:t>
            </w:r>
          </w:p>
        </w:tc>
        <w:tc>
          <w:tcPr>
            <w:tcW w:w="8674"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ED Attendance or Acute Assessment Unit attendance</w:t>
            </w:r>
          </w:p>
        </w:tc>
      </w:tr>
      <w:tr w:rsidR="00D71AAB" w:rsidRPr="00D71AAB" w:rsidTr="00CE3E56">
        <w:trPr>
          <w:trHeight w:val="285"/>
        </w:trPr>
        <w:tc>
          <w:tcPr>
            <w:tcW w:w="1060"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Level 2</w:t>
            </w:r>
          </w:p>
        </w:tc>
        <w:tc>
          <w:tcPr>
            <w:tcW w:w="8674"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As for Level 1 by DHB ED triage Score</w:t>
            </w:r>
          </w:p>
        </w:tc>
      </w:tr>
      <w:tr w:rsidR="00D71AAB" w:rsidRPr="00D71AAB" w:rsidTr="00CE3E56">
        <w:trPr>
          <w:trHeight w:val="285"/>
        </w:trPr>
        <w:tc>
          <w:tcPr>
            <w:tcW w:w="1060"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Level 3</w:t>
            </w:r>
          </w:p>
        </w:tc>
        <w:tc>
          <w:tcPr>
            <w:tcW w:w="8674"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Specific types of attendance – by specialty or patient presentation type, ED location etc.</w:t>
            </w:r>
          </w:p>
        </w:tc>
      </w:tr>
      <w:tr w:rsidR="00D71AAB" w:rsidRPr="00D71AAB" w:rsidTr="00CE3E56">
        <w:trPr>
          <w:trHeight w:val="285"/>
        </w:trPr>
        <w:tc>
          <w:tcPr>
            <w:tcW w:w="1060"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 xml:space="preserve">Level 4 </w:t>
            </w:r>
          </w:p>
        </w:tc>
        <w:tc>
          <w:tcPr>
            <w:tcW w:w="8674"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 xml:space="preserve">As above with hours </w:t>
            </w:r>
          </w:p>
        </w:tc>
      </w:tr>
      <w:tr w:rsidR="00D71AAB" w:rsidRPr="00D71AAB" w:rsidTr="00CE3E56">
        <w:trPr>
          <w:trHeight w:val="285"/>
        </w:trPr>
        <w:tc>
          <w:tcPr>
            <w:tcW w:w="1060"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 xml:space="preserve">Level 5 </w:t>
            </w:r>
          </w:p>
        </w:tc>
        <w:tc>
          <w:tcPr>
            <w:tcW w:w="8674" w:type="dxa"/>
            <w:tcBorders>
              <w:top w:val="nil"/>
              <w:left w:val="nil"/>
              <w:bottom w:val="nil"/>
              <w:right w:val="nil"/>
            </w:tcBorders>
            <w:noWrap/>
          </w:tcPr>
          <w:p w:rsidR="00D71AAB" w:rsidRPr="00D71AAB" w:rsidRDefault="00D71AAB" w:rsidP="00D71AAB">
            <w:pPr>
              <w:rPr>
                <w:rFonts w:ascii="Calibri" w:hAnsi="Calibri" w:cs="Arial"/>
                <w:sz w:val="22"/>
                <w:szCs w:val="20"/>
              </w:rPr>
            </w:pPr>
            <w:r w:rsidRPr="00D71AAB">
              <w:rPr>
                <w:rFonts w:ascii="Calibri" w:hAnsi="Calibri" w:cs="Arial"/>
                <w:sz w:val="22"/>
                <w:szCs w:val="20"/>
              </w:rPr>
              <w:t xml:space="preserve">As for Level 4 with differentiation by level of resource intensity </w:t>
            </w:r>
          </w:p>
        </w:tc>
      </w:tr>
    </w:tbl>
    <w:p w:rsidR="00D71AAB" w:rsidRPr="00D71AAB" w:rsidRDefault="00D71AAB" w:rsidP="00D71AAB">
      <w:pPr>
        <w:rPr>
          <w:rFonts w:ascii="Calibri" w:hAnsi="Calibri" w:cs="Arial"/>
          <w:b/>
          <w:bCs/>
        </w:rPr>
      </w:pPr>
    </w:p>
    <w:p w:rsidR="00D71AAB" w:rsidRPr="00D71AAB" w:rsidRDefault="00D71AAB" w:rsidP="00D71AAB">
      <w:pPr>
        <w:rPr>
          <w:rFonts w:ascii="Calibri" w:hAnsi="Calibri" w:cs="Arial"/>
          <w:b/>
          <w:bCs/>
          <w:sz w:val="22"/>
          <w:szCs w:val="22"/>
        </w:rPr>
      </w:pPr>
      <w:bookmarkStart w:id="11" w:name="_Toc221608915"/>
      <w:r w:rsidRPr="00D71AAB">
        <w:rPr>
          <w:rFonts w:ascii="Calibri" w:hAnsi="Calibri" w:cs="Arial"/>
          <w:b/>
          <w:bCs/>
          <w:sz w:val="22"/>
          <w:szCs w:val="22"/>
        </w:rPr>
        <w:t>EMERGENCYENCY DEPARTMENT (A110) GUIDELINES</w:t>
      </w:r>
      <w:bookmarkEnd w:id="11"/>
    </w:p>
    <w:p w:rsidR="00D71AAB" w:rsidRPr="00D71AAB" w:rsidRDefault="00D71AAB" w:rsidP="00D71AAB">
      <w:pPr>
        <w:rPr>
          <w:rFonts w:ascii="Calibri" w:hAnsi="Calibri" w:cs="Arial"/>
          <w:sz w:val="20"/>
          <w:szCs w:val="20"/>
        </w:rPr>
      </w:pPr>
    </w:p>
    <w:p w:rsidR="00D71AAB" w:rsidRPr="00D71AAB" w:rsidRDefault="00D71AAB" w:rsidP="00D71AAB">
      <w:pPr>
        <w:rPr>
          <w:rFonts w:ascii="Calibri" w:hAnsi="Calibri" w:cs="Arial"/>
          <w:sz w:val="22"/>
          <w:szCs w:val="22"/>
        </w:rPr>
      </w:pPr>
      <w:r w:rsidRPr="00D71AAB">
        <w:rPr>
          <w:rFonts w:ascii="Calibri" w:hAnsi="Calibri" w:cs="Arial"/>
          <w:sz w:val="22"/>
          <w:szCs w:val="22"/>
        </w:rPr>
        <w:t>The following are guidelines that can be used by DHBs when determining how to cost Emergency Department products/activity. They are based on the methodology currently used and found by DHBs to be successful.</w:t>
      </w:r>
    </w:p>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The guidelines were updated in 2019 using data from the following District Health Boards:</w:t>
      </w:r>
    </w:p>
    <w:p w:rsidR="00D71AAB" w:rsidRPr="00D71AAB" w:rsidRDefault="00D71AAB" w:rsidP="00D71AAB">
      <w:pPr>
        <w:rPr>
          <w:rFonts w:ascii="Calibri" w:hAnsi="Calibri" w:cs="Arial"/>
          <w:sz w:val="22"/>
          <w:szCs w:val="22"/>
        </w:rPr>
      </w:pPr>
    </w:p>
    <w:tbl>
      <w:tblPr>
        <w:tblW w:w="6816" w:type="dxa"/>
        <w:tblInd w:w="88" w:type="dxa"/>
        <w:tblLook w:val="0000" w:firstRow="0" w:lastRow="0" w:firstColumn="0" w:lastColumn="0" w:noHBand="0" w:noVBand="0"/>
      </w:tblPr>
      <w:tblGrid>
        <w:gridCol w:w="3980"/>
        <w:gridCol w:w="2836"/>
      </w:tblGrid>
      <w:tr w:rsidR="00D71AAB" w:rsidRPr="00D71AAB" w:rsidTr="00CE3E56">
        <w:trPr>
          <w:trHeight w:val="255"/>
        </w:trPr>
        <w:tc>
          <w:tcPr>
            <w:tcW w:w="3980"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Auckland</w:t>
            </w:r>
          </w:p>
        </w:tc>
        <w:tc>
          <w:tcPr>
            <w:tcW w:w="2836"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proofErr w:type="spellStart"/>
            <w:r w:rsidRPr="00D71AAB">
              <w:rPr>
                <w:rFonts w:ascii="Calibri" w:hAnsi="Calibri" w:cs="Arial"/>
                <w:sz w:val="22"/>
                <w:szCs w:val="20"/>
              </w:rPr>
              <w:t>Tairawhiti</w:t>
            </w:r>
            <w:proofErr w:type="spellEnd"/>
          </w:p>
        </w:tc>
      </w:tr>
      <w:tr w:rsidR="00D71AAB" w:rsidRPr="00D71AAB" w:rsidTr="00CE3E56">
        <w:trPr>
          <w:trHeight w:val="255"/>
        </w:trPr>
        <w:tc>
          <w:tcPr>
            <w:tcW w:w="3980"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Bay of Plenty</w:t>
            </w:r>
          </w:p>
        </w:tc>
        <w:tc>
          <w:tcPr>
            <w:tcW w:w="2836"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Northland</w:t>
            </w:r>
          </w:p>
        </w:tc>
      </w:tr>
      <w:tr w:rsidR="00D71AAB" w:rsidRPr="00D71AAB" w:rsidTr="00CE3E56">
        <w:trPr>
          <w:trHeight w:val="255"/>
        </w:trPr>
        <w:tc>
          <w:tcPr>
            <w:tcW w:w="3980"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Capital &amp; Coast</w:t>
            </w:r>
          </w:p>
        </w:tc>
        <w:tc>
          <w:tcPr>
            <w:tcW w:w="2836"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Waikato</w:t>
            </w:r>
          </w:p>
        </w:tc>
      </w:tr>
      <w:tr w:rsidR="00D71AAB" w:rsidRPr="00D71AAB" w:rsidTr="00CE3E56">
        <w:trPr>
          <w:trHeight w:val="255"/>
        </w:trPr>
        <w:tc>
          <w:tcPr>
            <w:tcW w:w="3980"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Counties</w:t>
            </w:r>
          </w:p>
        </w:tc>
        <w:tc>
          <w:tcPr>
            <w:tcW w:w="2836"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proofErr w:type="spellStart"/>
            <w:r w:rsidRPr="00D71AAB">
              <w:rPr>
                <w:rFonts w:ascii="Calibri" w:hAnsi="Calibri" w:cs="Arial"/>
                <w:sz w:val="22"/>
                <w:szCs w:val="20"/>
              </w:rPr>
              <w:t>Waitemata</w:t>
            </w:r>
            <w:proofErr w:type="spellEnd"/>
          </w:p>
        </w:tc>
      </w:tr>
      <w:tr w:rsidR="00D71AAB" w:rsidRPr="00D71AAB" w:rsidTr="00CE3E56">
        <w:trPr>
          <w:trHeight w:val="255"/>
        </w:trPr>
        <w:tc>
          <w:tcPr>
            <w:tcW w:w="3980" w:type="dxa"/>
            <w:tcBorders>
              <w:top w:val="nil"/>
              <w:left w:val="nil"/>
              <w:bottom w:val="nil"/>
              <w:right w:val="nil"/>
            </w:tcBorders>
            <w:noWrap/>
            <w:vAlign w:val="bottom"/>
          </w:tcPr>
          <w:p w:rsidR="00D71AAB" w:rsidRPr="00D71AAB" w:rsidRDefault="00D71AAB" w:rsidP="00D71AAB">
            <w:pPr>
              <w:numPr>
                <w:ilvl w:val="0"/>
                <w:numId w:val="3"/>
              </w:numPr>
              <w:jc w:val="left"/>
              <w:rPr>
                <w:rFonts w:ascii="Calibri" w:hAnsi="Calibri" w:cs="Arial"/>
                <w:sz w:val="22"/>
                <w:szCs w:val="20"/>
              </w:rPr>
            </w:pPr>
            <w:r w:rsidRPr="00D71AAB">
              <w:rPr>
                <w:rFonts w:ascii="Calibri" w:hAnsi="Calibri" w:cs="Arial"/>
                <w:sz w:val="22"/>
                <w:szCs w:val="20"/>
              </w:rPr>
              <w:t>Lakes</w:t>
            </w:r>
          </w:p>
        </w:tc>
        <w:tc>
          <w:tcPr>
            <w:tcW w:w="2836" w:type="dxa"/>
            <w:tcBorders>
              <w:top w:val="nil"/>
              <w:left w:val="nil"/>
              <w:bottom w:val="nil"/>
              <w:right w:val="nil"/>
            </w:tcBorders>
            <w:noWrap/>
            <w:vAlign w:val="bottom"/>
          </w:tcPr>
          <w:p w:rsidR="00D71AAB" w:rsidRPr="00D71AAB" w:rsidRDefault="00D71AAB" w:rsidP="00D71AAB">
            <w:pPr>
              <w:ind w:left="1134"/>
              <w:jc w:val="left"/>
              <w:rPr>
                <w:rFonts w:ascii="Calibri" w:hAnsi="Calibri" w:cs="Arial"/>
                <w:sz w:val="22"/>
                <w:szCs w:val="20"/>
              </w:rPr>
            </w:pPr>
          </w:p>
        </w:tc>
      </w:tr>
    </w:tbl>
    <w:p w:rsidR="00D71AAB" w:rsidRPr="00D71AAB" w:rsidRDefault="00D71AAB" w:rsidP="00D71AAB">
      <w:pPr>
        <w:rPr>
          <w:rFonts w:ascii="Calibri" w:hAnsi="Calibri" w:cs="Arial"/>
          <w:b/>
          <w:bCs/>
        </w:rPr>
      </w:pPr>
    </w:p>
    <w:p w:rsidR="00D71AAB" w:rsidRPr="00D71AAB" w:rsidRDefault="00D71AAB" w:rsidP="00D71AAB">
      <w:pPr>
        <w:keepNext/>
        <w:spacing w:before="240" w:after="60"/>
        <w:outlineLvl w:val="2"/>
        <w:rPr>
          <w:rFonts w:ascii="Calibri" w:hAnsi="Calibri" w:cs="Arial"/>
          <w:b/>
          <w:bCs/>
          <w:sz w:val="26"/>
          <w:szCs w:val="26"/>
        </w:rPr>
      </w:pPr>
      <w:bookmarkStart w:id="12" w:name="_Toc530662740"/>
      <w:r w:rsidRPr="00D71AAB">
        <w:rPr>
          <w:rFonts w:ascii="Calibri" w:hAnsi="Calibri" w:cs="Arial"/>
          <w:b/>
          <w:bCs/>
          <w:sz w:val="26"/>
          <w:szCs w:val="26"/>
        </w:rPr>
        <w:t>1) Emergency Department Products/Activity</w:t>
      </w:r>
      <w:bookmarkEnd w:id="12"/>
    </w:p>
    <w:p w:rsidR="00D71AAB" w:rsidRPr="00D71AAB" w:rsidRDefault="00D71AAB" w:rsidP="00D71AAB">
      <w:pPr>
        <w:rPr>
          <w:rFonts w:ascii="Calibri" w:hAnsi="Calibri" w:cs="Arial"/>
          <w:sz w:val="20"/>
          <w:szCs w:val="20"/>
        </w:rPr>
      </w:pPr>
    </w:p>
    <w:p w:rsidR="00D71AAB" w:rsidRPr="00D71AAB" w:rsidRDefault="00D71AAB" w:rsidP="00D71AAB">
      <w:pPr>
        <w:rPr>
          <w:rFonts w:ascii="Calibri" w:hAnsi="Calibri" w:cs="Arial"/>
          <w:sz w:val="22"/>
          <w:szCs w:val="22"/>
        </w:rPr>
      </w:pPr>
      <w:r w:rsidRPr="00D71AAB">
        <w:rPr>
          <w:rFonts w:ascii="Calibri" w:hAnsi="Calibri" w:cs="Arial"/>
          <w:sz w:val="22"/>
          <w:szCs w:val="22"/>
        </w:rPr>
        <w:t>All DHBs surveyed use triage level as a way to differentiate their products (Triage 1 being the highest level of severity):</w:t>
      </w:r>
    </w:p>
    <w:p w:rsidR="00D71AAB" w:rsidRPr="00D71AAB" w:rsidRDefault="00D71AAB" w:rsidP="00D71AAB">
      <w:pPr>
        <w:rPr>
          <w:rFonts w:ascii="Calibri" w:hAnsi="Calibri" w:cs="Arial"/>
          <w:sz w:val="22"/>
          <w:szCs w:val="22"/>
        </w:rPr>
      </w:pPr>
    </w:p>
    <w:tbl>
      <w:tblPr>
        <w:tblW w:w="7380" w:type="dxa"/>
        <w:tblInd w:w="88" w:type="dxa"/>
        <w:tblLook w:val="0000" w:firstRow="0" w:lastRow="0" w:firstColumn="0" w:lastColumn="0" w:noHBand="0" w:noVBand="0"/>
      </w:tblPr>
      <w:tblGrid>
        <w:gridCol w:w="3980"/>
        <w:gridCol w:w="3400"/>
      </w:tblGrid>
      <w:tr w:rsidR="00D71AAB" w:rsidRPr="00D71AAB" w:rsidTr="00CE3E56">
        <w:trPr>
          <w:trHeight w:val="255"/>
        </w:trPr>
        <w:tc>
          <w:tcPr>
            <w:tcW w:w="3980" w:type="dxa"/>
            <w:tcBorders>
              <w:top w:val="nil"/>
              <w:left w:val="nil"/>
              <w:bottom w:val="nil"/>
              <w:right w:val="nil"/>
            </w:tcBorders>
            <w:noWrap/>
          </w:tcPr>
          <w:p w:rsidR="00D71AAB" w:rsidRPr="00D71AAB" w:rsidRDefault="00D71AAB" w:rsidP="00D71AAB">
            <w:pPr>
              <w:numPr>
                <w:ilvl w:val="0"/>
                <w:numId w:val="4"/>
              </w:numPr>
              <w:jc w:val="left"/>
              <w:rPr>
                <w:rFonts w:ascii="Calibri" w:hAnsi="Calibri" w:cs="Arial"/>
                <w:sz w:val="22"/>
                <w:szCs w:val="20"/>
              </w:rPr>
            </w:pPr>
            <w:r w:rsidRPr="00D71AAB">
              <w:rPr>
                <w:rFonts w:ascii="Calibri" w:hAnsi="Calibri" w:cs="Arial"/>
                <w:sz w:val="22"/>
                <w:szCs w:val="20"/>
              </w:rPr>
              <w:t>Emergency Visits - Triage 1</w:t>
            </w:r>
          </w:p>
        </w:tc>
        <w:tc>
          <w:tcPr>
            <w:tcW w:w="3400" w:type="dxa"/>
            <w:tcBorders>
              <w:top w:val="nil"/>
              <w:left w:val="nil"/>
              <w:bottom w:val="nil"/>
              <w:right w:val="nil"/>
            </w:tcBorders>
            <w:noWrap/>
          </w:tcPr>
          <w:p w:rsidR="00D71AAB" w:rsidRPr="00D71AAB" w:rsidRDefault="00D71AAB" w:rsidP="00D71AAB">
            <w:pPr>
              <w:numPr>
                <w:ilvl w:val="0"/>
                <w:numId w:val="4"/>
              </w:numPr>
              <w:jc w:val="left"/>
              <w:rPr>
                <w:rFonts w:ascii="Calibri" w:hAnsi="Calibri" w:cs="Arial"/>
                <w:sz w:val="22"/>
                <w:szCs w:val="20"/>
              </w:rPr>
            </w:pPr>
            <w:r w:rsidRPr="00D71AAB">
              <w:rPr>
                <w:rFonts w:ascii="Calibri" w:hAnsi="Calibri" w:cs="Arial"/>
                <w:sz w:val="22"/>
                <w:szCs w:val="20"/>
              </w:rPr>
              <w:t>Emergency Visits - Triage 4</w:t>
            </w:r>
          </w:p>
        </w:tc>
      </w:tr>
      <w:tr w:rsidR="00D71AAB" w:rsidRPr="00D71AAB" w:rsidTr="00CE3E56">
        <w:trPr>
          <w:trHeight w:val="255"/>
        </w:trPr>
        <w:tc>
          <w:tcPr>
            <w:tcW w:w="3980" w:type="dxa"/>
            <w:tcBorders>
              <w:top w:val="nil"/>
              <w:left w:val="nil"/>
              <w:bottom w:val="nil"/>
              <w:right w:val="nil"/>
            </w:tcBorders>
            <w:noWrap/>
          </w:tcPr>
          <w:p w:rsidR="00D71AAB" w:rsidRPr="00D71AAB" w:rsidRDefault="00D71AAB" w:rsidP="00D71AAB">
            <w:pPr>
              <w:numPr>
                <w:ilvl w:val="0"/>
                <w:numId w:val="4"/>
              </w:numPr>
              <w:jc w:val="left"/>
              <w:rPr>
                <w:rFonts w:ascii="Calibri" w:hAnsi="Calibri" w:cs="Arial"/>
                <w:sz w:val="22"/>
                <w:szCs w:val="20"/>
              </w:rPr>
            </w:pPr>
            <w:r w:rsidRPr="00D71AAB">
              <w:rPr>
                <w:rFonts w:ascii="Calibri" w:hAnsi="Calibri" w:cs="Arial"/>
                <w:sz w:val="22"/>
                <w:szCs w:val="20"/>
              </w:rPr>
              <w:t>Emergency Visits - Triage 2</w:t>
            </w:r>
          </w:p>
        </w:tc>
        <w:tc>
          <w:tcPr>
            <w:tcW w:w="3400" w:type="dxa"/>
            <w:tcBorders>
              <w:top w:val="nil"/>
              <w:left w:val="nil"/>
              <w:bottom w:val="nil"/>
              <w:right w:val="nil"/>
            </w:tcBorders>
            <w:noWrap/>
          </w:tcPr>
          <w:p w:rsidR="00D71AAB" w:rsidRPr="00D71AAB" w:rsidRDefault="00D71AAB" w:rsidP="00D71AAB">
            <w:pPr>
              <w:numPr>
                <w:ilvl w:val="0"/>
                <w:numId w:val="4"/>
              </w:numPr>
              <w:jc w:val="left"/>
              <w:rPr>
                <w:rFonts w:ascii="Calibri" w:hAnsi="Calibri" w:cs="Arial"/>
                <w:sz w:val="22"/>
                <w:szCs w:val="20"/>
              </w:rPr>
            </w:pPr>
            <w:r w:rsidRPr="00D71AAB">
              <w:rPr>
                <w:rFonts w:ascii="Calibri" w:hAnsi="Calibri" w:cs="Arial"/>
                <w:sz w:val="22"/>
                <w:szCs w:val="20"/>
              </w:rPr>
              <w:t>Emergency Visits - Triage 5</w:t>
            </w:r>
          </w:p>
        </w:tc>
      </w:tr>
      <w:tr w:rsidR="00D71AAB" w:rsidRPr="00D71AAB" w:rsidTr="00CE3E56">
        <w:trPr>
          <w:trHeight w:val="255"/>
        </w:trPr>
        <w:tc>
          <w:tcPr>
            <w:tcW w:w="3980" w:type="dxa"/>
            <w:tcBorders>
              <w:top w:val="nil"/>
              <w:left w:val="nil"/>
              <w:bottom w:val="nil"/>
              <w:right w:val="nil"/>
            </w:tcBorders>
            <w:noWrap/>
          </w:tcPr>
          <w:p w:rsidR="00D71AAB" w:rsidRPr="00D71AAB" w:rsidRDefault="00D71AAB" w:rsidP="00D71AAB">
            <w:pPr>
              <w:numPr>
                <w:ilvl w:val="0"/>
                <w:numId w:val="4"/>
              </w:numPr>
              <w:jc w:val="left"/>
              <w:rPr>
                <w:rFonts w:ascii="Calibri" w:hAnsi="Calibri" w:cs="Arial"/>
                <w:sz w:val="22"/>
                <w:szCs w:val="20"/>
              </w:rPr>
            </w:pPr>
            <w:r w:rsidRPr="00D71AAB">
              <w:rPr>
                <w:rFonts w:ascii="Calibri" w:hAnsi="Calibri" w:cs="Arial"/>
                <w:sz w:val="22"/>
                <w:szCs w:val="20"/>
              </w:rPr>
              <w:t>Emergency Visits - Triage 3</w:t>
            </w:r>
          </w:p>
        </w:tc>
        <w:tc>
          <w:tcPr>
            <w:tcW w:w="3400" w:type="dxa"/>
            <w:tcBorders>
              <w:top w:val="nil"/>
              <w:left w:val="nil"/>
              <w:bottom w:val="nil"/>
              <w:right w:val="nil"/>
            </w:tcBorders>
            <w:noWrap/>
          </w:tcPr>
          <w:p w:rsidR="00D71AAB" w:rsidRPr="00D71AAB" w:rsidRDefault="00D71AAB" w:rsidP="00D71AAB">
            <w:pPr>
              <w:ind w:left="851"/>
              <w:rPr>
                <w:rFonts w:ascii="Calibri" w:hAnsi="Calibri" w:cs="Arial"/>
                <w:sz w:val="22"/>
                <w:szCs w:val="20"/>
              </w:rPr>
            </w:pPr>
          </w:p>
        </w:tc>
      </w:tr>
    </w:tbl>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 xml:space="preserve">Based on </w:t>
      </w:r>
      <w:proofErr w:type="spellStart"/>
      <w:r w:rsidRPr="00D71AAB">
        <w:rPr>
          <w:rFonts w:ascii="Calibri" w:hAnsi="Calibri" w:cs="Arial"/>
          <w:sz w:val="22"/>
          <w:szCs w:val="22"/>
        </w:rPr>
        <w:t>Waitemata</w:t>
      </w:r>
      <w:proofErr w:type="spellEnd"/>
      <w:r w:rsidRPr="00D71AAB">
        <w:rPr>
          <w:rFonts w:ascii="Calibri" w:hAnsi="Calibri" w:cs="Arial"/>
          <w:sz w:val="22"/>
          <w:szCs w:val="22"/>
        </w:rPr>
        <w:t xml:space="preserve"> DHB Doctors, using level three products hierarchy location within ED (e.g. resus, monitored) is a better indicator of cost than triage due to there being different staffing ratios which RVUs can be based on.</w:t>
      </w:r>
    </w:p>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Some DHBs also have additional hourly, daily (bed day) or other duration / LOS based products as well. Sometimes multiple duration types are used, e.g. hours and bed days. Sometimes hours aren't counted for e.g. the first hour, or until they have been there for a certain number of hours.</w:t>
      </w:r>
    </w:p>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A few DHBs split patients into admitted and non-admitted, which coincides with the purchase units e.g. ED04001/ED04001A.</w:t>
      </w:r>
    </w:p>
    <w:p w:rsidR="00D71AAB" w:rsidRPr="00D71AAB" w:rsidRDefault="00D71AAB" w:rsidP="00D71AAB">
      <w:pPr>
        <w:rPr>
          <w:rFonts w:ascii="Calibri" w:hAnsi="Calibri" w:cs="Arial"/>
          <w:sz w:val="22"/>
          <w:szCs w:val="22"/>
        </w:rPr>
      </w:pPr>
      <w:r w:rsidRPr="00D71AAB">
        <w:rPr>
          <w:rFonts w:ascii="Calibri" w:hAnsi="Calibri" w:cs="Arial"/>
          <w:sz w:val="22"/>
          <w:szCs w:val="22"/>
        </w:rPr>
        <w:lastRenderedPageBreak/>
        <w:t>Some DHBs track movements within ED, e.g. to observation, or to assessment units. But there can be difficulty tracking some of this movement, e.g. between ED and assessment units, and the logic of mapping these movements to products requires some work.</w:t>
      </w:r>
    </w:p>
    <w:p w:rsidR="00D71AAB" w:rsidRPr="00D71AAB" w:rsidRDefault="00D71AAB" w:rsidP="00D71AAB">
      <w:pPr>
        <w:rPr>
          <w:rFonts w:ascii="Calibri" w:hAnsi="Calibri" w:cs="Arial"/>
          <w:sz w:val="22"/>
          <w:szCs w:val="22"/>
        </w:rPr>
      </w:pPr>
    </w:p>
    <w:p w:rsidR="00D71AAB" w:rsidRPr="00D71AAB" w:rsidRDefault="00D71AAB" w:rsidP="00D71AAB">
      <w:pPr>
        <w:rPr>
          <w:rFonts w:ascii="Calibri" w:hAnsi="Calibri" w:cs="Arial"/>
          <w:sz w:val="22"/>
          <w:szCs w:val="22"/>
        </w:rPr>
      </w:pPr>
      <w:r w:rsidRPr="00D71AAB">
        <w:rPr>
          <w:rFonts w:ascii="Calibri" w:hAnsi="Calibri" w:cs="Arial"/>
          <w:sz w:val="22"/>
          <w:szCs w:val="22"/>
        </w:rPr>
        <w:t>Some DHBs cost specific procedures performed in ED, while others barely capture any data at all on procedures.</w:t>
      </w:r>
    </w:p>
    <w:p w:rsidR="00D71AAB" w:rsidRPr="00D71AAB" w:rsidRDefault="00D71AAB" w:rsidP="00D71AAB">
      <w:pPr>
        <w:rPr>
          <w:rFonts w:ascii="Calibri" w:hAnsi="Calibri" w:cs="Arial"/>
          <w:b/>
          <w:bCs/>
        </w:rPr>
      </w:pPr>
    </w:p>
    <w:p w:rsidR="00D71AAB" w:rsidRPr="00D71AAB" w:rsidRDefault="00D71AAB" w:rsidP="00D71AAB">
      <w:pPr>
        <w:keepNext/>
        <w:spacing w:before="240" w:after="60"/>
        <w:outlineLvl w:val="2"/>
        <w:rPr>
          <w:rFonts w:ascii="Calibri" w:hAnsi="Calibri" w:cs="Arial"/>
          <w:b/>
          <w:bCs/>
          <w:sz w:val="26"/>
          <w:szCs w:val="26"/>
        </w:rPr>
      </w:pPr>
      <w:bookmarkStart w:id="13" w:name="_Toc530662742"/>
      <w:r w:rsidRPr="00D71AAB">
        <w:rPr>
          <w:rFonts w:ascii="Calibri" w:hAnsi="Calibri" w:cs="Arial"/>
          <w:b/>
          <w:bCs/>
          <w:sz w:val="26"/>
          <w:szCs w:val="26"/>
        </w:rPr>
        <w:t>2) Emergency Department Overheads</w:t>
      </w:r>
      <w:bookmarkEnd w:id="13"/>
    </w:p>
    <w:p w:rsidR="00D71AAB" w:rsidRPr="00D71AAB" w:rsidRDefault="00D71AAB" w:rsidP="00D71AAB">
      <w:pPr>
        <w:rPr>
          <w:rFonts w:ascii="Calibri" w:hAnsi="Calibri" w:cs="Arial"/>
          <w:sz w:val="20"/>
          <w:szCs w:val="20"/>
        </w:rPr>
      </w:pPr>
    </w:p>
    <w:p w:rsidR="00D71AAB" w:rsidRPr="00D71AAB" w:rsidRDefault="00D71AAB" w:rsidP="00D71AAB">
      <w:pPr>
        <w:rPr>
          <w:rFonts w:ascii="Calibri" w:hAnsi="Calibri" w:cs="Arial"/>
        </w:rPr>
      </w:pPr>
      <w:r w:rsidRPr="00D71AAB">
        <w:rPr>
          <w:rFonts w:ascii="Calibri" w:hAnsi="Calibri" w:cs="Arial"/>
        </w:rPr>
        <w:t>Median indirect costs comprised 24% of the total Emergency Department costs. The range between DHBs was 16% to 31%.</w:t>
      </w:r>
    </w:p>
    <w:p w:rsidR="00D71AAB" w:rsidRPr="00D71AAB" w:rsidRDefault="00D71AAB" w:rsidP="00D71AAB">
      <w:pPr>
        <w:rPr>
          <w:rFonts w:ascii="Calibri" w:hAnsi="Calibri" w:cs="Arial"/>
        </w:rPr>
      </w:pPr>
    </w:p>
    <w:p w:rsidR="00D71AAB" w:rsidRPr="00D71AAB" w:rsidRDefault="00D71AAB" w:rsidP="00D71AAB">
      <w:pPr>
        <w:rPr>
          <w:rFonts w:ascii="Calibri" w:hAnsi="Calibri" w:cs="Arial"/>
        </w:rPr>
      </w:pPr>
    </w:p>
    <w:p w:rsidR="00D71AAB" w:rsidRPr="00D71AAB" w:rsidRDefault="00D71AAB" w:rsidP="00D71AAB">
      <w:pPr>
        <w:rPr>
          <w:rFonts w:ascii="Calibri" w:hAnsi="Calibri" w:cs="Arial"/>
          <w:b/>
          <w:bCs/>
          <w:u w:val="single"/>
        </w:rPr>
      </w:pPr>
      <w:r w:rsidRPr="00D71AAB">
        <w:rPr>
          <w:rFonts w:ascii="Calibri" w:hAnsi="Calibri" w:cs="Arial"/>
          <w:b/>
          <w:bCs/>
          <w:u w:val="single"/>
        </w:rPr>
        <w:t>NOTES</w:t>
      </w:r>
    </w:p>
    <w:p w:rsidR="00D71AAB" w:rsidRPr="00D71AAB" w:rsidRDefault="00D71AAB" w:rsidP="00D71AAB">
      <w:pPr>
        <w:rPr>
          <w:rFonts w:ascii="Calibri" w:hAnsi="Calibri" w:cs="Arial"/>
        </w:rPr>
      </w:pPr>
    </w:p>
    <w:p w:rsidR="00D71AAB" w:rsidRPr="00D71AAB" w:rsidRDefault="00D71AAB" w:rsidP="00D71AAB">
      <w:pPr>
        <w:rPr>
          <w:rFonts w:ascii="Calibri" w:hAnsi="Calibri" w:cs="Arial"/>
        </w:rPr>
      </w:pPr>
      <w:r w:rsidRPr="00D71AAB">
        <w:rPr>
          <w:rFonts w:ascii="Calibri" w:hAnsi="Calibri" w:cs="Arial"/>
        </w:rPr>
        <w:t>Number of DHBs included in survey:</w:t>
      </w:r>
      <w:r w:rsidRPr="00D71AAB">
        <w:rPr>
          <w:rFonts w:ascii="Calibri" w:hAnsi="Calibri" w:cs="Arial"/>
        </w:rPr>
        <w:tab/>
      </w:r>
      <w:r w:rsidRPr="00D71AAB">
        <w:rPr>
          <w:rFonts w:ascii="Calibri" w:hAnsi="Calibri" w:cs="Arial"/>
        </w:rPr>
        <w:tab/>
      </w:r>
      <w:r w:rsidRPr="00D71AAB">
        <w:rPr>
          <w:rFonts w:ascii="Calibri" w:hAnsi="Calibri" w:cs="Arial"/>
        </w:rPr>
        <w:tab/>
        <w:t xml:space="preserve"> 9</w:t>
      </w:r>
    </w:p>
    <w:p w:rsidR="00D71AAB" w:rsidRPr="00D71AAB" w:rsidRDefault="00D71AAB" w:rsidP="00D71AAB">
      <w:pPr>
        <w:rPr>
          <w:rFonts w:ascii="Calibri" w:hAnsi="Calibri" w:cs="Arial"/>
        </w:rPr>
      </w:pPr>
    </w:p>
    <w:p w:rsidR="00D71AAB" w:rsidRPr="00D71AAB" w:rsidRDefault="00D71AAB" w:rsidP="00D71AAB">
      <w:pPr>
        <w:rPr>
          <w:rFonts w:ascii="Calibri" w:hAnsi="Calibri" w:cs="Arial"/>
        </w:rPr>
      </w:pPr>
      <w:r w:rsidRPr="00D71AAB">
        <w:rPr>
          <w:rFonts w:ascii="Calibri" w:hAnsi="Calibri" w:cs="Arial"/>
        </w:rPr>
        <w:t>Date of survey:</w:t>
      </w:r>
      <w:r w:rsidRPr="00D71AAB">
        <w:rPr>
          <w:rFonts w:ascii="Calibri" w:hAnsi="Calibri" w:cs="Arial"/>
        </w:rPr>
        <w:tab/>
      </w:r>
      <w:r w:rsidRPr="00D71AAB">
        <w:rPr>
          <w:rFonts w:ascii="Calibri" w:hAnsi="Calibri" w:cs="Arial"/>
        </w:rPr>
        <w:tab/>
      </w:r>
      <w:r w:rsidRPr="00D71AAB">
        <w:rPr>
          <w:rFonts w:ascii="Calibri" w:hAnsi="Calibri" w:cs="Arial"/>
        </w:rPr>
        <w:tab/>
      </w:r>
      <w:r w:rsidRPr="00D71AAB">
        <w:rPr>
          <w:rFonts w:ascii="Calibri" w:hAnsi="Calibri" w:cs="Arial"/>
        </w:rPr>
        <w:tab/>
        <w:t>Feb 2019</w:t>
      </w:r>
    </w:p>
    <w:p w:rsidR="00D71AAB" w:rsidRPr="00D71AAB" w:rsidRDefault="00D71AAB" w:rsidP="00D71AAB">
      <w:pPr>
        <w:rPr>
          <w:rFonts w:ascii="Calibri" w:hAnsi="Calibri" w:cs="Arial"/>
        </w:rPr>
      </w:pPr>
    </w:p>
    <w:p w:rsidR="00D71AAB" w:rsidRPr="00D71AAB" w:rsidRDefault="00D71AAB" w:rsidP="00D71AAB">
      <w:pPr>
        <w:rPr>
          <w:rFonts w:ascii="Calibri" w:hAnsi="Calibri" w:cs="Arial"/>
        </w:rPr>
      </w:pPr>
      <w:r w:rsidRPr="00D71AAB">
        <w:rPr>
          <w:rFonts w:ascii="Calibri" w:hAnsi="Calibri" w:cs="Arial"/>
        </w:rPr>
        <w:t xml:space="preserve">(Survey conducted by Richard Wilde, </w:t>
      </w:r>
      <w:proofErr w:type="spellStart"/>
      <w:r w:rsidRPr="00D71AAB">
        <w:rPr>
          <w:rFonts w:ascii="Calibri" w:hAnsi="Calibri" w:cs="Arial"/>
        </w:rPr>
        <w:t>Waitemata</w:t>
      </w:r>
      <w:proofErr w:type="spellEnd"/>
      <w:r w:rsidRPr="00D71AAB">
        <w:rPr>
          <w:rFonts w:ascii="Calibri" w:hAnsi="Calibri" w:cs="Arial"/>
        </w:rPr>
        <w:t xml:space="preserve"> DHB)</w:t>
      </w:r>
    </w:p>
    <w:p w:rsidR="00D71AAB" w:rsidRPr="00D71AAB" w:rsidRDefault="00D71AAB" w:rsidP="00D71AAB"/>
    <w:p w:rsidR="0082133A" w:rsidRDefault="0082133A"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Default="00D71AAB" w:rsidP="006D57FF">
      <w:pPr>
        <w:rPr>
          <w:rFonts w:ascii="Calibri" w:hAnsi="Calibri" w:cs="Arial"/>
          <w:sz w:val="20"/>
          <w:szCs w:val="20"/>
        </w:rPr>
      </w:pPr>
    </w:p>
    <w:p w:rsidR="00D71AAB" w:rsidRPr="00500D9F" w:rsidRDefault="00D71AAB" w:rsidP="006D57FF">
      <w:pPr>
        <w:rPr>
          <w:rFonts w:ascii="Calibri" w:hAnsi="Calibri" w:cs="Arial"/>
          <w:sz w:val="20"/>
          <w:szCs w:val="20"/>
        </w:rPr>
      </w:pPr>
    </w:p>
    <w:p w:rsidR="0082133A" w:rsidRPr="00500D9F" w:rsidRDefault="0082133A" w:rsidP="00713908">
      <w:pPr>
        <w:pStyle w:val="Heading1"/>
        <w:ind w:right="-289"/>
        <w:jc w:val="left"/>
        <w:rPr>
          <w:rFonts w:ascii="Calibri" w:hAnsi="Calibri"/>
          <w:u w:val="single"/>
        </w:rPr>
      </w:pPr>
      <w:bookmarkStart w:id="14" w:name="_Toc530662743"/>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3: THEATRE/PROCEDURE </w:t>
      </w:r>
      <w:proofErr w:type="gramStart"/>
      <w:r w:rsidRPr="00500D9F">
        <w:rPr>
          <w:rFonts w:ascii="Calibri" w:hAnsi="Calibri"/>
          <w:u w:val="single"/>
        </w:rPr>
        <w:t>ROOMS(</w:t>
      </w:r>
      <w:proofErr w:type="gramEnd"/>
      <w:r w:rsidRPr="00500D9F">
        <w:rPr>
          <w:rFonts w:ascii="Calibri" w:hAnsi="Calibri"/>
          <w:u w:val="single"/>
        </w:rPr>
        <w:t>CS7.7.8 A080)</w:t>
      </w:r>
      <w:bookmarkEnd w:id="14"/>
    </w:p>
    <w:p w:rsidR="0082133A" w:rsidRPr="00500D9F" w:rsidRDefault="0082133A" w:rsidP="006D57FF">
      <w:pPr>
        <w:rPr>
          <w:rFonts w:ascii="Calibri" w:hAnsi="Calibri" w:cs="Arial"/>
          <w:sz w:val="20"/>
          <w:szCs w:val="20"/>
        </w:rPr>
      </w:pPr>
    </w:p>
    <w:p w:rsidR="0082133A" w:rsidRPr="00500D9F" w:rsidRDefault="0082133A" w:rsidP="006D57FF">
      <w:pPr>
        <w:rPr>
          <w:rFonts w:ascii="Calibri" w:hAnsi="Calibri" w:cs="Arial"/>
        </w:rPr>
      </w:pPr>
      <w:r w:rsidRPr="00500D9F">
        <w:rPr>
          <w:rFonts w:ascii="Calibri" w:hAnsi="Calibri" w:cs="Arial"/>
        </w:rPr>
        <w:t>Facility and staff costs for operating theatre and recovery rooms. Includes specific procedure rooms where anaesthesia may not always be required and Maternity Unit Caesarean theatres.</w:t>
      </w:r>
    </w:p>
    <w:p w:rsidR="0082133A" w:rsidRPr="00500D9F" w:rsidRDefault="0082133A" w:rsidP="006D57FF">
      <w:pPr>
        <w:rPr>
          <w:rFonts w:ascii="Calibri" w:hAnsi="Calibri" w:cs="Arial"/>
        </w:rPr>
      </w:pPr>
    </w:p>
    <w:p w:rsidR="0082133A" w:rsidRPr="00500D9F" w:rsidRDefault="0082133A" w:rsidP="006D57FF">
      <w:pPr>
        <w:rPr>
          <w:rFonts w:ascii="Calibri" w:hAnsi="Calibri" w:cs="Arial"/>
          <w:b/>
        </w:rPr>
      </w:pPr>
      <w:r w:rsidRPr="00500D9F">
        <w:rPr>
          <w:rFonts w:ascii="Calibri" w:hAnsi="Calibri" w:cs="Arial"/>
          <w:b/>
        </w:rPr>
        <w:t>Hierarchy of Products</w:t>
      </w:r>
    </w:p>
    <w:p w:rsidR="0082133A" w:rsidRPr="00500D9F" w:rsidRDefault="0082133A" w:rsidP="006D57FF">
      <w:pPr>
        <w:rPr>
          <w:rFonts w:ascii="Calibri" w:hAnsi="Calibri" w:cs="Arial"/>
        </w:rPr>
      </w:pPr>
    </w:p>
    <w:tbl>
      <w:tblPr>
        <w:tblW w:w="6946" w:type="dxa"/>
        <w:tblInd w:w="78" w:type="dxa"/>
        <w:tblLook w:val="0000" w:firstRow="0" w:lastRow="0" w:firstColumn="0" w:lastColumn="0" w:noHBand="0" w:noVBand="0"/>
      </w:tblPr>
      <w:tblGrid>
        <w:gridCol w:w="1060"/>
        <w:gridCol w:w="5886"/>
      </w:tblGrid>
      <w:tr w:rsidR="0082133A" w:rsidRPr="00500D9F">
        <w:trPr>
          <w:trHeight w:val="255"/>
        </w:trPr>
        <w:tc>
          <w:tcPr>
            <w:tcW w:w="1060"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Level 1</w:t>
            </w:r>
          </w:p>
        </w:tc>
        <w:tc>
          <w:tcPr>
            <w:tcW w:w="5886"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Anaesthesia minute</w:t>
            </w:r>
          </w:p>
        </w:tc>
      </w:tr>
      <w:tr w:rsidR="0082133A" w:rsidRPr="00500D9F">
        <w:trPr>
          <w:trHeight w:val="255"/>
        </w:trPr>
        <w:tc>
          <w:tcPr>
            <w:tcW w:w="1060"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Level 2</w:t>
            </w:r>
          </w:p>
        </w:tc>
        <w:tc>
          <w:tcPr>
            <w:tcW w:w="5886"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As for level 1 by specialty</w:t>
            </w:r>
          </w:p>
        </w:tc>
      </w:tr>
      <w:tr w:rsidR="0082133A" w:rsidRPr="00500D9F">
        <w:trPr>
          <w:trHeight w:val="255"/>
        </w:trPr>
        <w:tc>
          <w:tcPr>
            <w:tcW w:w="1060"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Level 3</w:t>
            </w:r>
          </w:p>
        </w:tc>
        <w:tc>
          <w:tcPr>
            <w:tcW w:w="5886"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As for level 1 by specialty and by theatre type or anaesthesia type</w:t>
            </w:r>
          </w:p>
        </w:tc>
      </w:tr>
      <w:tr w:rsidR="0082133A" w:rsidRPr="00500D9F">
        <w:trPr>
          <w:trHeight w:val="255"/>
        </w:trPr>
        <w:tc>
          <w:tcPr>
            <w:tcW w:w="1060"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 xml:space="preserve">Level 4 </w:t>
            </w:r>
          </w:p>
        </w:tc>
        <w:tc>
          <w:tcPr>
            <w:tcW w:w="5886" w:type="dxa"/>
            <w:tcBorders>
              <w:top w:val="nil"/>
              <w:left w:val="nil"/>
              <w:bottom w:val="nil"/>
              <w:right w:val="nil"/>
            </w:tcBorders>
            <w:noWrap/>
            <w:vAlign w:val="bottom"/>
          </w:tcPr>
          <w:p w:rsidR="0082133A" w:rsidRPr="00500D9F" w:rsidRDefault="0082133A" w:rsidP="006D57FF">
            <w:pPr>
              <w:rPr>
                <w:rFonts w:ascii="Calibri" w:hAnsi="Calibri" w:cs="Arial"/>
              </w:rPr>
            </w:pPr>
            <w:r w:rsidRPr="00500D9F">
              <w:rPr>
                <w:rFonts w:ascii="Calibri" w:hAnsi="Calibri" w:cs="Arial"/>
              </w:rPr>
              <w:t>Per level 3, further split by complexity</w:t>
            </w:r>
          </w:p>
        </w:tc>
      </w:tr>
    </w:tbl>
    <w:p w:rsidR="0082133A" w:rsidRPr="00500D9F" w:rsidRDefault="0082133A" w:rsidP="006D57FF">
      <w:pPr>
        <w:rPr>
          <w:rFonts w:ascii="Calibri" w:hAnsi="Calibri" w:cs="Arial"/>
        </w:rPr>
      </w:pPr>
    </w:p>
    <w:p w:rsidR="0082133A" w:rsidRPr="00500D9F" w:rsidRDefault="0082133A" w:rsidP="00EF1B93">
      <w:pPr>
        <w:rPr>
          <w:rFonts w:ascii="Calibri" w:hAnsi="Calibri" w:cs="Arial"/>
          <w:b/>
        </w:rPr>
      </w:pPr>
      <w:bookmarkStart w:id="15" w:name="_Toc221608921"/>
      <w:r w:rsidRPr="00500D9F">
        <w:rPr>
          <w:rFonts w:ascii="Calibri" w:hAnsi="Calibri" w:cs="Arial"/>
          <w:b/>
        </w:rPr>
        <w:t>THEATRE/PROCEDURE ROOMS (A080) GUIDELINES</w:t>
      </w:r>
      <w:bookmarkEnd w:id="15"/>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The following are guidelines that can be used by DHBs when determining how to cost theatre/procedure room products/activity. They are based on the methodology currently used and found by DHBs to be successful.</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The guidelines were created using data from the following District Health Boards;-</w:t>
      </w:r>
    </w:p>
    <w:p w:rsidR="0082133A" w:rsidRPr="00500D9F" w:rsidRDefault="0082133A" w:rsidP="006D57FF">
      <w:pPr>
        <w:rPr>
          <w:rFonts w:ascii="Calibri" w:hAnsi="Calibri" w:cs="Arial"/>
        </w:rPr>
      </w:pPr>
    </w:p>
    <w:tbl>
      <w:tblPr>
        <w:tblW w:w="2809" w:type="pct"/>
        <w:tblLook w:val="0000" w:firstRow="0" w:lastRow="0" w:firstColumn="0" w:lastColumn="0" w:noHBand="0" w:noVBand="0"/>
      </w:tblPr>
      <w:tblGrid>
        <w:gridCol w:w="3183"/>
        <w:gridCol w:w="2627"/>
      </w:tblGrid>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Auckland</w:t>
            </w:r>
          </w:p>
        </w:tc>
        <w:tc>
          <w:tcPr>
            <w:tcW w:w="2444"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Taranaki</w:t>
            </w:r>
          </w:p>
        </w:tc>
      </w:tr>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 xml:space="preserve">Counties </w:t>
            </w:r>
            <w:proofErr w:type="spellStart"/>
            <w:r w:rsidRPr="00500D9F">
              <w:rPr>
                <w:rFonts w:ascii="Calibri" w:hAnsi="Calibri" w:cs="Arial"/>
              </w:rPr>
              <w:t>Manukau</w:t>
            </w:r>
            <w:proofErr w:type="spellEnd"/>
          </w:p>
        </w:tc>
        <w:tc>
          <w:tcPr>
            <w:tcW w:w="2444"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Waikato</w:t>
            </w:r>
          </w:p>
        </w:tc>
      </w:tr>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proofErr w:type="spellStart"/>
            <w:r w:rsidRPr="00500D9F">
              <w:rPr>
                <w:rFonts w:ascii="Calibri" w:hAnsi="Calibri" w:cs="Arial"/>
              </w:rPr>
              <w:t>HawkesBay</w:t>
            </w:r>
            <w:proofErr w:type="spellEnd"/>
          </w:p>
        </w:tc>
        <w:tc>
          <w:tcPr>
            <w:tcW w:w="2444"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proofErr w:type="spellStart"/>
            <w:r w:rsidRPr="00500D9F">
              <w:rPr>
                <w:rFonts w:ascii="Calibri" w:hAnsi="Calibri" w:cs="Arial"/>
              </w:rPr>
              <w:t>Waitemata</w:t>
            </w:r>
            <w:proofErr w:type="spellEnd"/>
          </w:p>
        </w:tc>
      </w:tr>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Lakes</w:t>
            </w:r>
          </w:p>
        </w:tc>
        <w:tc>
          <w:tcPr>
            <w:tcW w:w="2444"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Bay of Plenty</w:t>
            </w:r>
          </w:p>
        </w:tc>
      </w:tr>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Mid Central</w:t>
            </w:r>
          </w:p>
        </w:tc>
        <w:tc>
          <w:tcPr>
            <w:tcW w:w="2444"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Canterbury</w:t>
            </w:r>
          </w:p>
        </w:tc>
      </w:tr>
      <w:tr w:rsidR="0082133A" w:rsidRPr="00500D9F">
        <w:trPr>
          <w:trHeight w:val="255"/>
        </w:trPr>
        <w:tc>
          <w:tcPr>
            <w:tcW w:w="2556" w:type="pct"/>
            <w:tcBorders>
              <w:top w:val="nil"/>
              <w:left w:val="nil"/>
              <w:bottom w:val="nil"/>
              <w:right w:val="nil"/>
            </w:tcBorders>
            <w:noWrap/>
            <w:vAlign w:val="bottom"/>
          </w:tcPr>
          <w:p w:rsidR="0082133A" w:rsidRPr="00500D9F" w:rsidRDefault="0082133A" w:rsidP="006D57FF">
            <w:pPr>
              <w:numPr>
                <w:ilvl w:val="0"/>
                <w:numId w:val="5"/>
              </w:numPr>
              <w:jc w:val="left"/>
              <w:rPr>
                <w:rFonts w:ascii="Calibri" w:hAnsi="Calibri" w:cs="Arial"/>
              </w:rPr>
            </w:pPr>
            <w:r w:rsidRPr="00500D9F">
              <w:rPr>
                <w:rFonts w:ascii="Calibri" w:hAnsi="Calibri" w:cs="Arial"/>
              </w:rPr>
              <w:t>Northland</w:t>
            </w:r>
          </w:p>
        </w:tc>
        <w:tc>
          <w:tcPr>
            <w:tcW w:w="2444" w:type="pct"/>
            <w:tcBorders>
              <w:top w:val="nil"/>
              <w:left w:val="nil"/>
              <w:bottom w:val="nil"/>
              <w:right w:val="nil"/>
            </w:tcBorders>
            <w:noWrap/>
            <w:vAlign w:val="bottom"/>
          </w:tcPr>
          <w:p w:rsidR="0082133A" w:rsidRPr="00500D9F" w:rsidRDefault="0082133A" w:rsidP="006D57FF">
            <w:pPr>
              <w:ind w:left="851"/>
              <w:rPr>
                <w:rFonts w:ascii="Calibri" w:hAnsi="Calibri" w:cs="Arial"/>
              </w:rPr>
            </w:pPr>
          </w:p>
        </w:tc>
      </w:tr>
    </w:tbl>
    <w:p w:rsidR="0082133A" w:rsidRPr="00500D9F" w:rsidRDefault="0082133A" w:rsidP="006D57FF">
      <w:pPr>
        <w:rPr>
          <w:rFonts w:ascii="Calibri" w:hAnsi="Calibri" w:cs="Arial"/>
        </w:rPr>
      </w:pPr>
    </w:p>
    <w:p w:rsidR="0082133A" w:rsidRPr="00500D9F" w:rsidRDefault="0082133A" w:rsidP="0073266B">
      <w:pPr>
        <w:pStyle w:val="Heading3"/>
        <w:rPr>
          <w:rFonts w:ascii="Calibri" w:hAnsi="Calibri"/>
        </w:rPr>
      </w:pPr>
      <w:bookmarkStart w:id="16" w:name="_Toc221608922"/>
      <w:bookmarkStart w:id="17" w:name="_Toc530662744"/>
      <w:r w:rsidRPr="00500D9F">
        <w:rPr>
          <w:rFonts w:ascii="Calibri" w:hAnsi="Calibri"/>
        </w:rPr>
        <w:t>1) Theatre/Procedure Room Products/Activity</w:t>
      </w:r>
      <w:bookmarkEnd w:id="16"/>
      <w:bookmarkEnd w:id="17"/>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 xml:space="preserve">All DHBs have a product based on time in theatre to allocate staff, </w:t>
      </w:r>
      <w:proofErr w:type="spellStart"/>
      <w:r w:rsidRPr="00500D9F">
        <w:rPr>
          <w:rFonts w:ascii="Calibri" w:hAnsi="Calibri" w:cs="Arial"/>
        </w:rPr>
        <w:t>ie</w:t>
      </w:r>
      <w:proofErr w:type="spellEnd"/>
      <w:r w:rsidRPr="00500D9F">
        <w:rPr>
          <w:rFonts w:ascii="Calibri" w:hAnsi="Calibri" w:cs="Arial"/>
        </w:rPr>
        <w:t xml:space="preserve"> Nurse and Technician costs. Supply costs are also generally allocated based on operating time, however, a couple of DHBs allocate supply costs based on a weighted operation bases. There are also a couple of DHBs that allocate a portion of their supply costs based on the actual cost of the supplies rather than an RVU.</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 xml:space="preserve">In addition to the products noted above 55% of the DHBs who participated in the survey have a separate product for recovery room activity and 18% have a separate </w:t>
      </w:r>
      <w:proofErr w:type="spellStart"/>
      <w:r w:rsidRPr="00500D9F">
        <w:rPr>
          <w:rFonts w:ascii="Calibri" w:hAnsi="Calibri" w:cs="Arial"/>
        </w:rPr>
        <w:t>preadmit</w:t>
      </w:r>
      <w:proofErr w:type="spellEnd"/>
      <w:r w:rsidRPr="00500D9F">
        <w:rPr>
          <w:rFonts w:ascii="Calibri" w:hAnsi="Calibri" w:cs="Arial"/>
        </w:rPr>
        <w:t xml:space="preserve"> clinic product.</w:t>
      </w:r>
    </w:p>
    <w:p w:rsidR="0082133A" w:rsidRPr="00500D9F" w:rsidRDefault="0082133A" w:rsidP="006D57FF">
      <w:pPr>
        <w:rPr>
          <w:rFonts w:ascii="Calibri" w:hAnsi="Calibri" w:cs="Arial"/>
          <w:b/>
          <w:bCs/>
        </w:rPr>
      </w:pPr>
    </w:p>
    <w:p w:rsidR="0082133A" w:rsidRPr="00500D9F" w:rsidRDefault="0082133A" w:rsidP="006D57FF">
      <w:pPr>
        <w:rPr>
          <w:rFonts w:ascii="Calibri" w:hAnsi="Calibri" w:cs="Arial"/>
          <w:b/>
          <w:bCs/>
        </w:rPr>
      </w:pPr>
      <w:bookmarkStart w:id="18" w:name="_Toc530662745"/>
      <w:r w:rsidRPr="00500D9F">
        <w:rPr>
          <w:rStyle w:val="Heading3Char"/>
          <w:rFonts w:ascii="Calibri" w:hAnsi="Calibri" w:cs="Arial"/>
          <w:bCs/>
          <w:szCs w:val="26"/>
        </w:rPr>
        <w:t>2) Theatre/Procedure Room Relative Value Units (RVUs)</w:t>
      </w:r>
      <w:bookmarkEnd w:id="18"/>
      <w:r w:rsidRPr="00500D9F">
        <w:rPr>
          <w:rFonts w:ascii="Calibri" w:hAnsi="Calibri" w:cs="Arial"/>
          <w:bCs/>
        </w:rPr>
        <w:t xml:space="preserve"> (see following table)</w:t>
      </w:r>
    </w:p>
    <w:p w:rsidR="0082133A" w:rsidRPr="00500D9F" w:rsidRDefault="0082133A" w:rsidP="006D57FF">
      <w:pPr>
        <w:rPr>
          <w:rFonts w:ascii="Calibri" w:hAnsi="Calibri" w:cs="Arial"/>
        </w:rPr>
      </w:pPr>
    </w:p>
    <w:p w:rsidR="0082133A" w:rsidRPr="00500D9F" w:rsidRDefault="0082133A" w:rsidP="006D57FF">
      <w:pPr>
        <w:rPr>
          <w:rFonts w:ascii="Calibri" w:hAnsi="Calibri" w:cs="Arial"/>
          <w:sz w:val="20"/>
          <w:szCs w:val="20"/>
        </w:rPr>
      </w:pPr>
      <w:r w:rsidRPr="00500D9F">
        <w:rPr>
          <w:rFonts w:ascii="Calibri" w:hAnsi="Calibri" w:cs="Arial"/>
        </w:rPr>
        <w:t>The following are the RVUs that are applied by the DHBs listed above to count and cost theatre/procedure room products/activity.</w:t>
      </w:r>
    </w:p>
    <w:p w:rsidR="0082133A" w:rsidRPr="00500D9F" w:rsidRDefault="0082133A" w:rsidP="006D57FF">
      <w:pPr>
        <w:rPr>
          <w:rFonts w:ascii="Calibri" w:hAnsi="Calibri" w:cs="Arial"/>
        </w:rPr>
        <w:sectPr w:rsidR="0082133A" w:rsidRPr="00500D9F" w:rsidSect="0073266B">
          <w:pgSz w:w="11907" w:h="16840" w:code="9"/>
          <w:pgMar w:top="1418" w:right="1418" w:bottom="1079" w:left="1418" w:header="709" w:footer="709" w:gutter="0"/>
          <w:cols w:space="708"/>
          <w:docGrid w:linePitch="360"/>
        </w:sectPr>
      </w:pPr>
    </w:p>
    <w:p w:rsidR="0082133A" w:rsidRPr="00500D9F" w:rsidRDefault="0082133A" w:rsidP="0073266B">
      <w:pPr>
        <w:ind w:left="851"/>
        <w:rPr>
          <w:rFonts w:ascii="Calibri" w:hAnsi="Calibri" w:cs="Arial"/>
          <w:b/>
          <w:sz w:val="20"/>
        </w:rPr>
      </w:pPr>
      <w:r w:rsidRPr="00500D9F">
        <w:rPr>
          <w:rFonts w:ascii="Calibri" w:hAnsi="Calibri" w:cs="Arial"/>
          <w:b/>
          <w:sz w:val="20"/>
        </w:rPr>
        <w:lastRenderedPageBreak/>
        <w:t xml:space="preserve">Theatre/Procedure Room Relative Value Units (RVUs) </w:t>
      </w:r>
    </w:p>
    <w:p w:rsidR="0082133A" w:rsidRPr="00500D9F" w:rsidRDefault="0082133A" w:rsidP="00360292">
      <w:pPr>
        <w:rPr>
          <w:rFonts w:ascii="Calibri" w:hAnsi="Calibri" w:cs="Arial"/>
          <w:b/>
          <w:bCs/>
        </w:rPr>
      </w:pPr>
    </w:p>
    <w:tbl>
      <w:tblPr>
        <w:tblW w:w="5229" w:type="pct"/>
        <w:tblLayout w:type="fixed"/>
        <w:tblLook w:val="0000" w:firstRow="0" w:lastRow="0" w:firstColumn="0" w:lastColumn="0" w:noHBand="0" w:noVBand="0"/>
      </w:tblPr>
      <w:tblGrid>
        <w:gridCol w:w="1170"/>
        <w:gridCol w:w="1602"/>
        <w:gridCol w:w="988"/>
        <w:gridCol w:w="932"/>
        <w:gridCol w:w="904"/>
        <w:gridCol w:w="727"/>
        <w:gridCol w:w="1162"/>
        <w:gridCol w:w="749"/>
        <w:gridCol w:w="1066"/>
        <w:gridCol w:w="684"/>
        <w:gridCol w:w="867"/>
        <w:gridCol w:w="901"/>
        <w:gridCol w:w="1166"/>
        <w:gridCol w:w="2623"/>
      </w:tblGrid>
      <w:tr w:rsidR="0082133A" w:rsidRPr="00500D9F">
        <w:trPr>
          <w:trHeight w:val="388"/>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single" w:sz="4" w:space="0" w:color="auto"/>
            </w:tcBorders>
            <w:noWrap/>
            <w:vAlign w:val="bottom"/>
          </w:tcPr>
          <w:p w:rsidR="0082133A" w:rsidRPr="00500D9F" w:rsidRDefault="0082133A" w:rsidP="006D57FF">
            <w:pPr>
              <w:rPr>
                <w:rFonts w:ascii="Calibri" w:hAnsi="Calibri" w:cs="Arial"/>
                <w:sz w:val="16"/>
                <w:szCs w:val="16"/>
              </w:rPr>
            </w:pPr>
          </w:p>
        </w:tc>
        <w:tc>
          <w:tcPr>
            <w:tcW w:w="2647" w:type="pct"/>
            <w:gridSpan w:val="9"/>
            <w:tcBorders>
              <w:top w:val="single" w:sz="4" w:space="0" w:color="auto"/>
              <w:left w:val="single" w:sz="4" w:space="0" w:color="auto"/>
              <w:bottom w:val="single" w:sz="4" w:space="0" w:color="auto"/>
              <w:right w:val="single" w:sz="4" w:space="0" w:color="auto"/>
            </w:tcBorders>
            <w:vAlign w:val="bottom"/>
          </w:tcPr>
          <w:p w:rsidR="0082133A" w:rsidRPr="00500D9F" w:rsidRDefault="0082133A" w:rsidP="008D1FFF">
            <w:pPr>
              <w:ind w:left="99"/>
              <w:jc w:val="center"/>
              <w:rPr>
                <w:rFonts w:ascii="Calibri" w:hAnsi="Calibri" w:cs="Arial"/>
                <w:b/>
                <w:bCs/>
              </w:rPr>
            </w:pPr>
            <w:r w:rsidRPr="00500D9F">
              <w:rPr>
                <w:rFonts w:ascii="Calibri" w:hAnsi="Calibri" w:cs="Arial"/>
                <w:b/>
                <w:bCs/>
                <w:sz w:val="16"/>
                <w:szCs w:val="16"/>
              </w:rPr>
              <w:t>Cost Groups with Direct Patient Activity</w:t>
            </w:r>
          </w:p>
        </w:tc>
        <w:tc>
          <w:tcPr>
            <w:tcW w:w="844" w:type="pct"/>
            <w:vAlign w:val="bottom"/>
          </w:tcPr>
          <w:p w:rsidR="0082133A" w:rsidRPr="00500D9F" w:rsidRDefault="0082133A" w:rsidP="00D17328">
            <w:pPr>
              <w:rPr>
                <w:rFonts w:ascii="Calibri" w:hAnsi="Calibri" w:cs="Arial"/>
                <w:b/>
                <w:bCs/>
                <w:sz w:val="16"/>
                <w:szCs w:val="16"/>
              </w:rPr>
            </w:pPr>
          </w:p>
        </w:tc>
      </w:tr>
      <w:tr w:rsidR="0082133A" w:rsidRPr="00500D9F">
        <w:trPr>
          <w:trHeight w:val="627"/>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single" w:sz="4" w:space="0" w:color="auto"/>
            </w:tcBorders>
            <w:noWrap/>
            <w:vAlign w:val="bottom"/>
          </w:tcPr>
          <w:p w:rsidR="0082133A" w:rsidRPr="00500D9F" w:rsidRDefault="0082133A" w:rsidP="006D57FF">
            <w:pPr>
              <w:rPr>
                <w:rFonts w:ascii="Calibri" w:hAnsi="Calibri" w:cs="Arial"/>
                <w:sz w:val="16"/>
                <w:szCs w:val="16"/>
              </w:rPr>
            </w:pPr>
          </w:p>
        </w:tc>
        <w:tc>
          <w:tcPr>
            <w:tcW w:w="291"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Nurse Labour</w:t>
            </w:r>
          </w:p>
        </w:tc>
        <w:tc>
          <w:tcPr>
            <w:tcW w:w="234"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Allied Health Labour</w:t>
            </w:r>
          </w:p>
        </w:tc>
        <w:tc>
          <w:tcPr>
            <w:tcW w:w="374"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Non Clinical Support Labour</w:t>
            </w:r>
          </w:p>
        </w:tc>
        <w:tc>
          <w:tcPr>
            <w:tcW w:w="241"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proofErr w:type="spellStart"/>
            <w:r w:rsidRPr="00500D9F">
              <w:rPr>
                <w:rFonts w:ascii="Calibri" w:hAnsi="Calibri" w:cs="Arial"/>
                <w:sz w:val="16"/>
                <w:szCs w:val="16"/>
              </w:rPr>
              <w:t>Mgmt</w:t>
            </w:r>
            <w:proofErr w:type="spellEnd"/>
            <w:r w:rsidRPr="00500D9F">
              <w:rPr>
                <w:rFonts w:ascii="Calibri" w:hAnsi="Calibri" w:cs="Arial"/>
                <w:sz w:val="16"/>
                <w:szCs w:val="16"/>
              </w:rPr>
              <w:t>&amp; Admin Labour</w:t>
            </w:r>
          </w:p>
        </w:tc>
        <w:tc>
          <w:tcPr>
            <w:tcW w:w="343"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Outsourced Clinical Services</w:t>
            </w:r>
          </w:p>
        </w:tc>
        <w:tc>
          <w:tcPr>
            <w:tcW w:w="220"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Drugs</w:t>
            </w:r>
          </w:p>
        </w:tc>
        <w:tc>
          <w:tcPr>
            <w:tcW w:w="279"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Implants</w:t>
            </w:r>
          </w:p>
        </w:tc>
        <w:tc>
          <w:tcPr>
            <w:tcW w:w="290"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Other Clinical Supplies</w:t>
            </w:r>
          </w:p>
        </w:tc>
        <w:tc>
          <w:tcPr>
            <w:tcW w:w="375"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Infrastructure</w:t>
            </w:r>
          </w:p>
        </w:tc>
        <w:tc>
          <w:tcPr>
            <w:tcW w:w="844" w:type="pct"/>
            <w:vAlign w:val="bottom"/>
          </w:tcPr>
          <w:p w:rsidR="0082133A" w:rsidRPr="00500D9F" w:rsidRDefault="0082133A" w:rsidP="00D17328">
            <w:pPr>
              <w:rPr>
                <w:rFonts w:ascii="Calibri" w:hAnsi="Calibri" w:cs="Arial"/>
                <w:b/>
                <w:bCs/>
                <w:sz w:val="16"/>
                <w:szCs w:val="16"/>
              </w:rPr>
            </w:pPr>
            <w:r w:rsidRPr="00500D9F">
              <w:rPr>
                <w:rFonts w:ascii="Calibri" w:hAnsi="Calibri" w:cs="Arial"/>
                <w:b/>
                <w:bCs/>
                <w:sz w:val="16"/>
                <w:szCs w:val="16"/>
              </w:rPr>
              <w:t>Notes</w:t>
            </w:r>
          </w:p>
        </w:tc>
      </w:tr>
      <w:tr w:rsidR="0082133A" w:rsidRPr="00500D9F">
        <w:trPr>
          <w:trHeight w:val="167"/>
        </w:trPr>
        <w:tc>
          <w:tcPr>
            <w:tcW w:w="376" w:type="pct"/>
            <w:tcBorders>
              <w:top w:val="nil"/>
              <w:left w:val="nil"/>
              <w:bottom w:val="nil"/>
              <w:right w:val="nil"/>
            </w:tcBorders>
            <w:noWrap/>
            <w:vAlign w:val="bottom"/>
          </w:tcPr>
          <w:p w:rsidR="0082133A" w:rsidRPr="00500D9F" w:rsidRDefault="0082133A" w:rsidP="006D57FF">
            <w:pPr>
              <w:rPr>
                <w:rFonts w:ascii="Calibri" w:hAnsi="Calibri" w:cs="Arial"/>
                <w:b/>
                <w:bCs/>
                <w:sz w:val="16"/>
                <w:szCs w:val="16"/>
                <w:u w:val="single"/>
              </w:rPr>
            </w:pPr>
            <w:r w:rsidRPr="00500D9F">
              <w:rPr>
                <w:rFonts w:ascii="Calibri" w:hAnsi="Calibri" w:cs="Arial"/>
                <w:b/>
                <w:bCs/>
                <w:sz w:val="16"/>
                <w:szCs w:val="16"/>
                <w:u w:val="single"/>
              </w:rPr>
              <w:t>DHB</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b/>
                <w:bCs/>
                <w:sz w:val="16"/>
                <w:szCs w:val="16"/>
                <w:u w:val="single"/>
              </w:rPr>
            </w:pPr>
            <w:r w:rsidRPr="00500D9F">
              <w:rPr>
                <w:rFonts w:ascii="Calibri" w:hAnsi="Calibri" w:cs="Arial"/>
                <w:b/>
                <w:bCs/>
                <w:sz w:val="16"/>
                <w:szCs w:val="16"/>
                <w:u w:val="single"/>
              </w:rPr>
              <w:t>Products</w:t>
            </w:r>
          </w:p>
        </w:tc>
        <w:tc>
          <w:tcPr>
            <w:tcW w:w="300" w:type="pct"/>
            <w:tcBorders>
              <w:top w:val="nil"/>
              <w:left w:val="nil"/>
              <w:bottom w:val="nil"/>
              <w:right w:val="nil"/>
            </w:tcBorders>
            <w:vAlign w:val="bottom"/>
          </w:tcPr>
          <w:p w:rsidR="0082133A" w:rsidRPr="00500D9F" w:rsidRDefault="0082133A" w:rsidP="006D57FF">
            <w:pPr>
              <w:rPr>
                <w:rFonts w:ascii="Calibri" w:hAnsi="Calibri" w:cs="Arial"/>
                <w:b/>
                <w:bCs/>
                <w:sz w:val="16"/>
                <w:szCs w:val="16"/>
                <w:u w:val="single"/>
              </w:rPr>
            </w:pPr>
            <w:r w:rsidRPr="00500D9F">
              <w:rPr>
                <w:rFonts w:ascii="Calibri" w:hAnsi="Calibri" w:cs="Arial"/>
                <w:b/>
                <w:bCs/>
                <w:sz w:val="16"/>
                <w:szCs w:val="16"/>
                <w:u w:val="single"/>
              </w:rPr>
              <w:t>Quantity Measure</w:t>
            </w:r>
          </w:p>
        </w:tc>
        <w:tc>
          <w:tcPr>
            <w:tcW w:w="291"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single" w:sz="4" w:space="0" w:color="auto"/>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Waikato</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4</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1 - 4</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2 - 4</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1 - 4</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Minor Op to Complex Op</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Setup</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4</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1 - 4</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1 - 4</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1 - 4</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25 - 100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Minor to Complex Setup</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roofErr w:type="spellStart"/>
            <w:r w:rsidRPr="00500D9F">
              <w:rPr>
                <w:rFonts w:ascii="Calibri" w:hAnsi="Calibri" w:cs="Arial"/>
                <w:sz w:val="16"/>
                <w:szCs w:val="16"/>
              </w:rPr>
              <w:t>Waitemata</w:t>
            </w:r>
            <w:proofErr w:type="spellEnd"/>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8</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2 - 3.28</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2 - 3.28</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0 - 4</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Range ORL, Medical, </w:t>
            </w:r>
            <w:proofErr w:type="spellStart"/>
            <w:r w:rsidRPr="00500D9F">
              <w:rPr>
                <w:rFonts w:ascii="Calibri" w:hAnsi="Calibri" w:cs="Arial"/>
                <w:sz w:val="16"/>
                <w:szCs w:val="16"/>
              </w:rPr>
              <w:t>Othroetc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 xml:space="preserve">Bay of </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22</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.6 - .9</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5 - 22</w:t>
            </w:r>
          </w:p>
        </w:tc>
        <w:tc>
          <w:tcPr>
            <w:tcW w:w="279" w:type="pct"/>
            <w:tcBorders>
              <w:top w:val="nil"/>
              <w:left w:val="nil"/>
              <w:bottom w:val="nil"/>
              <w:right w:val="nil"/>
            </w:tcBorders>
            <w:noWrap/>
            <w:vAlign w:val="bottom"/>
          </w:tcPr>
          <w:p w:rsidR="0082133A" w:rsidRPr="00500D9F" w:rsidRDefault="0082133A" w:rsidP="00953882">
            <w:pPr>
              <w:ind w:right="152"/>
              <w:jc w:val="center"/>
              <w:rPr>
                <w:rFonts w:ascii="Calibri" w:hAnsi="Calibri" w:cs="Arial"/>
                <w:sz w:val="16"/>
                <w:szCs w:val="16"/>
              </w:rPr>
            </w:pPr>
            <w:r w:rsidRPr="00500D9F">
              <w:rPr>
                <w:rFonts w:ascii="Calibri" w:hAnsi="Calibri" w:cs="Arial"/>
                <w:sz w:val="16"/>
                <w:szCs w:val="16"/>
              </w:rPr>
              <w:t>0 - 8</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5 - 75</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Plenty</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.5</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Setup</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22</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3 - 27</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0 - 4</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0 - 260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0 - 50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5 - 30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 xml:space="preserve">Recovery Ward </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Hour</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5</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.2</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.2</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roofErr w:type="spellStart"/>
            <w:r w:rsidRPr="00500D9F">
              <w:rPr>
                <w:rFonts w:ascii="Calibri" w:hAnsi="Calibri" w:cs="Arial"/>
                <w:sz w:val="16"/>
                <w:szCs w:val="16"/>
              </w:rPr>
              <w:t>Recy</w:t>
            </w:r>
            <w:proofErr w:type="spellEnd"/>
            <w:r w:rsidRPr="00500D9F">
              <w:rPr>
                <w:rFonts w:ascii="Calibri" w:hAnsi="Calibri" w:cs="Arial"/>
                <w:sz w:val="16"/>
                <w:szCs w:val="16"/>
              </w:rPr>
              <w:t xml:space="preserve"> Ward Arrival</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Each</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8</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2</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Counties</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Nurse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7</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1 - 6</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category 1 to 6</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roofErr w:type="spellStart"/>
            <w:r w:rsidRPr="00500D9F">
              <w:rPr>
                <w:rFonts w:ascii="Calibri" w:hAnsi="Calibri" w:cs="Arial"/>
                <w:sz w:val="16"/>
                <w:szCs w:val="16"/>
              </w:rPr>
              <w:t>Manukau</w:t>
            </w:r>
            <w:proofErr w:type="spellEnd"/>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Supplies</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16</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1 - 15</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1 - 15</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1 - 15</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ORL, Renal, Hand </w:t>
            </w:r>
            <w:proofErr w:type="spellStart"/>
            <w:r w:rsidRPr="00500D9F">
              <w:rPr>
                <w:rFonts w:ascii="Calibri" w:hAnsi="Calibri" w:cs="Arial"/>
                <w:sz w:val="16"/>
                <w:szCs w:val="16"/>
              </w:rPr>
              <w:t>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Facility</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Auckland</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1 - 2</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Mid Central</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Nurse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Supplies</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Other</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DOSA, PERIOP &amp; SSSU</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1 - 2</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0.5 - 1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0.5 - 1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Range, </w:t>
            </w: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 S2 &amp; S3</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Taranaki</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Staff</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5</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bl>
    <w:p w:rsidR="0082133A" w:rsidRPr="00500D9F" w:rsidRDefault="0082133A">
      <w:pPr>
        <w:rPr>
          <w:rFonts w:ascii="Calibri" w:hAnsi="Calibri" w:cs="Arial"/>
        </w:rPr>
      </w:pPr>
    </w:p>
    <w:p w:rsidR="0082133A" w:rsidRDefault="0082133A">
      <w:pPr>
        <w:rPr>
          <w:rFonts w:ascii="Calibri" w:hAnsi="Calibri" w:cs="Arial"/>
        </w:rPr>
      </w:pPr>
    </w:p>
    <w:p w:rsidR="0082133A" w:rsidRPr="00500D9F" w:rsidRDefault="0082133A">
      <w:pPr>
        <w:rPr>
          <w:rFonts w:ascii="Calibri" w:hAnsi="Calibri" w:cs="Arial"/>
        </w:rPr>
      </w:pPr>
    </w:p>
    <w:p w:rsidR="0082133A" w:rsidRPr="00500D9F" w:rsidRDefault="0082133A">
      <w:pPr>
        <w:rPr>
          <w:rFonts w:ascii="Calibri" w:hAnsi="Calibri" w:cs="Arial"/>
        </w:rPr>
      </w:pPr>
    </w:p>
    <w:p w:rsidR="0082133A" w:rsidRPr="00500D9F" w:rsidRDefault="0082133A">
      <w:pPr>
        <w:rPr>
          <w:rFonts w:ascii="Calibri" w:hAnsi="Calibri" w:cs="Arial"/>
        </w:rPr>
      </w:pPr>
    </w:p>
    <w:tbl>
      <w:tblPr>
        <w:tblW w:w="5229" w:type="pct"/>
        <w:tblLayout w:type="fixed"/>
        <w:tblLook w:val="0000" w:firstRow="0" w:lastRow="0" w:firstColumn="0" w:lastColumn="0" w:noHBand="0" w:noVBand="0"/>
      </w:tblPr>
      <w:tblGrid>
        <w:gridCol w:w="1170"/>
        <w:gridCol w:w="1602"/>
        <w:gridCol w:w="988"/>
        <w:gridCol w:w="932"/>
        <w:gridCol w:w="904"/>
        <w:gridCol w:w="727"/>
        <w:gridCol w:w="1162"/>
        <w:gridCol w:w="749"/>
        <w:gridCol w:w="1066"/>
        <w:gridCol w:w="684"/>
        <w:gridCol w:w="867"/>
        <w:gridCol w:w="901"/>
        <w:gridCol w:w="1166"/>
        <w:gridCol w:w="2623"/>
      </w:tblGrid>
      <w:tr w:rsidR="0082133A" w:rsidRPr="00500D9F">
        <w:trPr>
          <w:trHeight w:val="389"/>
        </w:trPr>
        <w:tc>
          <w:tcPr>
            <w:tcW w:w="5000" w:type="pct"/>
            <w:gridSpan w:val="14"/>
            <w:tcBorders>
              <w:top w:val="nil"/>
              <w:left w:val="nil"/>
              <w:bottom w:val="nil"/>
            </w:tcBorders>
            <w:noWrap/>
            <w:vAlign w:val="bottom"/>
          </w:tcPr>
          <w:p w:rsidR="0082133A" w:rsidRPr="00500D9F" w:rsidRDefault="0082133A" w:rsidP="0073266B">
            <w:pPr>
              <w:ind w:left="851"/>
              <w:rPr>
                <w:rFonts w:ascii="Calibri" w:hAnsi="Calibri" w:cs="Arial"/>
                <w:b/>
                <w:sz w:val="20"/>
              </w:rPr>
            </w:pPr>
            <w:bookmarkStart w:id="19" w:name="_Toc221608641"/>
            <w:r w:rsidRPr="00500D9F">
              <w:rPr>
                <w:rFonts w:ascii="Calibri" w:hAnsi="Calibri" w:cs="Arial"/>
                <w:b/>
                <w:sz w:val="20"/>
              </w:rPr>
              <w:lastRenderedPageBreak/>
              <w:t>Theatre/Procedure Room Relative Value Units (RVUs) cont.</w:t>
            </w:r>
            <w:bookmarkEnd w:id="19"/>
          </w:p>
          <w:p w:rsidR="0082133A" w:rsidRPr="00500D9F" w:rsidRDefault="0082133A" w:rsidP="00D17328">
            <w:pPr>
              <w:rPr>
                <w:rFonts w:ascii="Calibri" w:hAnsi="Calibri" w:cs="Arial"/>
                <w:sz w:val="16"/>
                <w:szCs w:val="16"/>
              </w:rPr>
            </w:pPr>
          </w:p>
        </w:tc>
      </w:tr>
      <w:tr w:rsidR="0082133A" w:rsidRPr="00500D9F">
        <w:trPr>
          <w:gridAfter w:val="1"/>
          <w:wAfter w:w="844" w:type="pct"/>
          <w:trHeight w:val="164"/>
        </w:trPr>
        <w:tc>
          <w:tcPr>
            <w:tcW w:w="376" w:type="pct"/>
            <w:tcBorders>
              <w:top w:val="nil"/>
              <w:left w:val="nil"/>
              <w:bottom w:val="nil"/>
              <w:right w:val="nil"/>
            </w:tcBorders>
            <w:noWrap/>
            <w:vAlign w:val="bottom"/>
          </w:tcPr>
          <w:p w:rsidR="0082133A" w:rsidRPr="00500D9F" w:rsidRDefault="0082133A" w:rsidP="00CE0CBB">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CE0CBB">
            <w:pPr>
              <w:rPr>
                <w:rFonts w:ascii="Calibri" w:hAnsi="Calibri" w:cs="Arial"/>
                <w:sz w:val="16"/>
                <w:szCs w:val="16"/>
              </w:rPr>
            </w:pPr>
          </w:p>
        </w:tc>
        <w:tc>
          <w:tcPr>
            <w:tcW w:w="318" w:type="pct"/>
            <w:tcBorders>
              <w:left w:val="nil"/>
            </w:tcBorders>
            <w:noWrap/>
            <w:vAlign w:val="bottom"/>
          </w:tcPr>
          <w:p w:rsidR="0082133A" w:rsidRPr="00500D9F" w:rsidRDefault="0082133A" w:rsidP="00CE0CBB">
            <w:pPr>
              <w:jc w:val="center"/>
              <w:rPr>
                <w:rFonts w:ascii="Calibri" w:hAnsi="Calibri" w:cs="Arial"/>
                <w:sz w:val="16"/>
                <w:szCs w:val="16"/>
              </w:rPr>
            </w:pPr>
          </w:p>
        </w:tc>
        <w:tc>
          <w:tcPr>
            <w:tcW w:w="300" w:type="pct"/>
            <w:tcBorders>
              <w:right w:val="single" w:sz="4" w:space="0" w:color="auto"/>
            </w:tcBorders>
            <w:noWrap/>
            <w:vAlign w:val="bottom"/>
          </w:tcPr>
          <w:p w:rsidR="0082133A" w:rsidRPr="00500D9F" w:rsidRDefault="0082133A" w:rsidP="00CE0CBB">
            <w:pPr>
              <w:rPr>
                <w:rFonts w:ascii="Calibri" w:hAnsi="Calibri" w:cs="Arial"/>
                <w:sz w:val="16"/>
                <w:szCs w:val="16"/>
              </w:rPr>
            </w:pPr>
          </w:p>
        </w:tc>
        <w:tc>
          <w:tcPr>
            <w:tcW w:w="2647" w:type="pct"/>
            <w:gridSpan w:val="9"/>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CE0CBB">
            <w:pPr>
              <w:ind w:left="99"/>
              <w:jc w:val="center"/>
              <w:rPr>
                <w:rFonts w:ascii="Calibri" w:hAnsi="Calibri" w:cs="Arial"/>
                <w:b/>
                <w:bCs/>
              </w:rPr>
            </w:pPr>
            <w:r w:rsidRPr="00500D9F">
              <w:rPr>
                <w:rFonts w:ascii="Calibri" w:hAnsi="Calibri" w:cs="Arial"/>
                <w:b/>
                <w:bCs/>
                <w:sz w:val="16"/>
                <w:szCs w:val="16"/>
              </w:rPr>
              <w:t>Cost Groups with Direct Patient Activity</w:t>
            </w:r>
          </w:p>
        </w:tc>
      </w:tr>
      <w:tr w:rsidR="0082133A" w:rsidRPr="00500D9F">
        <w:trPr>
          <w:trHeight w:val="680"/>
        </w:trPr>
        <w:tc>
          <w:tcPr>
            <w:tcW w:w="376" w:type="pct"/>
            <w:tcBorders>
              <w:top w:val="nil"/>
              <w:left w:val="nil"/>
              <w:bottom w:val="nil"/>
              <w:right w:val="nil"/>
            </w:tcBorders>
            <w:noWrap/>
            <w:vAlign w:val="bottom"/>
          </w:tcPr>
          <w:p w:rsidR="0082133A" w:rsidRPr="00500D9F" w:rsidRDefault="0082133A" w:rsidP="0006523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06523F">
            <w:pPr>
              <w:rPr>
                <w:rFonts w:ascii="Calibri" w:hAnsi="Calibri" w:cs="Arial"/>
                <w:sz w:val="16"/>
                <w:szCs w:val="16"/>
              </w:rPr>
            </w:pPr>
          </w:p>
        </w:tc>
        <w:tc>
          <w:tcPr>
            <w:tcW w:w="318" w:type="pct"/>
            <w:tcBorders>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300" w:type="pct"/>
            <w:tcBorders>
              <w:left w:val="nil"/>
              <w:bottom w:val="nil"/>
              <w:right w:val="single" w:sz="4" w:space="0" w:color="auto"/>
            </w:tcBorders>
            <w:noWrap/>
            <w:vAlign w:val="bottom"/>
          </w:tcPr>
          <w:p w:rsidR="0082133A" w:rsidRPr="00500D9F" w:rsidRDefault="0082133A" w:rsidP="0006523F">
            <w:pPr>
              <w:rPr>
                <w:rFonts w:ascii="Calibri" w:hAnsi="Calibri" w:cs="Arial"/>
                <w:sz w:val="16"/>
                <w:szCs w:val="16"/>
              </w:rPr>
            </w:pPr>
          </w:p>
        </w:tc>
        <w:tc>
          <w:tcPr>
            <w:tcW w:w="291"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Nurse Labour</w:t>
            </w:r>
          </w:p>
        </w:tc>
        <w:tc>
          <w:tcPr>
            <w:tcW w:w="234"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Allied Health Labour</w:t>
            </w:r>
          </w:p>
        </w:tc>
        <w:tc>
          <w:tcPr>
            <w:tcW w:w="374"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Non Clinical Support Labour</w:t>
            </w:r>
          </w:p>
        </w:tc>
        <w:tc>
          <w:tcPr>
            <w:tcW w:w="241"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proofErr w:type="spellStart"/>
            <w:r w:rsidRPr="00500D9F">
              <w:rPr>
                <w:rFonts w:ascii="Calibri" w:hAnsi="Calibri" w:cs="Arial"/>
                <w:sz w:val="16"/>
                <w:szCs w:val="16"/>
              </w:rPr>
              <w:t>Mgmt</w:t>
            </w:r>
            <w:proofErr w:type="spellEnd"/>
            <w:r w:rsidRPr="00500D9F">
              <w:rPr>
                <w:rFonts w:ascii="Calibri" w:hAnsi="Calibri" w:cs="Arial"/>
                <w:sz w:val="16"/>
                <w:szCs w:val="16"/>
              </w:rPr>
              <w:t>&amp; Admin Labour</w:t>
            </w:r>
          </w:p>
        </w:tc>
        <w:tc>
          <w:tcPr>
            <w:tcW w:w="343"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Outsourced Clinical Services</w:t>
            </w:r>
          </w:p>
        </w:tc>
        <w:tc>
          <w:tcPr>
            <w:tcW w:w="220"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Drugs</w:t>
            </w:r>
          </w:p>
        </w:tc>
        <w:tc>
          <w:tcPr>
            <w:tcW w:w="279"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Implants</w:t>
            </w:r>
          </w:p>
        </w:tc>
        <w:tc>
          <w:tcPr>
            <w:tcW w:w="290"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Other Clinical Supplies</w:t>
            </w:r>
          </w:p>
        </w:tc>
        <w:tc>
          <w:tcPr>
            <w:tcW w:w="375"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6523F">
            <w:pPr>
              <w:jc w:val="center"/>
              <w:rPr>
                <w:rFonts w:ascii="Calibri" w:hAnsi="Calibri" w:cs="Arial"/>
                <w:sz w:val="16"/>
                <w:szCs w:val="16"/>
              </w:rPr>
            </w:pPr>
            <w:r w:rsidRPr="00500D9F">
              <w:rPr>
                <w:rFonts w:ascii="Calibri" w:hAnsi="Calibri" w:cs="Arial"/>
                <w:sz w:val="16"/>
                <w:szCs w:val="16"/>
              </w:rPr>
              <w:t>Infrastructure</w:t>
            </w:r>
          </w:p>
        </w:tc>
        <w:tc>
          <w:tcPr>
            <w:tcW w:w="844" w:type="pct"/>
            <w:vAlign w:val="bottom"/>
          </w:tcPr>
          <w:p w:rsidR="0082133A" w:rsidRPr="00500D9F" w:rsidRDefault="0082133A" w:rsidP="00D17328">
            <w:pPr>
              <w:rPr>
                <w:rFonts w:ascii="Calibri" w:hAnsi="Calibri" w:cs="Arial"/>
                <w:b/>
                <w:bCs/>
                <w:sz w:val="16"/>
                <w:szCs w:val="16"/>
              </w:rPr>
            </w:pPr>
            <w:r w:rsidRPr="00500D9F">
              <w:rPr>
                <w:rFonts w:ascii="Calibri" w:hAnsi="Calibri" w:cs="Arial"/>
                <w:b/>
                <w:bCs/>
                <w:sz w:val="16"/>
                <w:szCs w:val="16"/>
              </w:rPr>
              <w:t>Notes</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06523F">
            <w:pPr>
              <w:rPr>
                <w:rFonts w:ascii="Calibri" w:hAnsi="Calibri" w:cs="Arial"/>
                <w:b/>
                <w:bCs/>
                <w:sz w:val="16"/>
                <w:szCs w:val="16"/>
                <w:u w:val="single"/>
              </w:rPr>
            </w:pPr>
            <w:r w:rsidRPr="00500D9F">
              <w:rPr>
                <w:rFonts w:ascii="Calibri" w:hAnsi="Calibri" w:cs="Arial"/>
                <w:b/>
                <w:bCs/>
                <w:sz w:val="16"/>
                <w:szCs w:val="16"/>
                <w:u w:val="single"/>
              </w:rPr>
              <w:t>DHB</w:t>
            </w:r>
          </w:p>
        </w:tc>
        <w:tc>
          <w:tcPr>
            <w:tcW w:w="515" w:type="pct"/>
            <w:tcBorders>
              <w:top w:val="nil"/>
              <w:left w:val="nil"/>
              <w:bottom w:val="nil"/>
              <w:right w:val="nil"/>
            </w:tcBorders>
            <w:noWrap/>
            <w:vAlign w:val="bottom"/>
          </w:tcPr>
          <w:p w:rsidR="0082133A" w:rsidRPr="00500D9F" w:rsidRDefault="0082133A" w:rsidP="0006523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06523F">
            <w:pPr>
              <w:jc w:val="center"/>
              <w:rPr>
                <w:rFonts w:ascii="Calibri" w:hAnsi="Calibri" w:cs="Arial"/>
                <w:b/>
                <w:bCs/>
                <w:sz w:val="16"/>
                <w:szCs w:val="16"/>
                <w:u w:val="single"/>
              </w:rPr>
            </w:pPr>
            <w:r w:rsidRPr="00500D9F">
              <w:rPr>
                <w:rFonts w:ascii="Calibri" w:hAnsi="Calibri" w:cs="Arial"/>
                <w:b/>
                <w:bCs/>
                <w:sz w:val="16"/>
                <w:szCs w:val="16"/>
                <w:u w:val="single"/>
              </w:rPr>
              <w:t>Products</w:t>
            </w:r>
          </w:p>
        </w:tc>
        <w:tc>
          <w:tcPr>
            <w:tcW w:w="300" w:type="pct"/>
            <w:tcBorders>
              <w:top w:val="nil"/>
              <w:left w:val="nil"/>
              <w:bottom w:val="nil"/>
              <w:right w:val="nil"/>
            </w:tcBorders>
            <w:noWrap/>
            <w:vAlign w:val="bottom"/>
          </w:tcPr>
          <w:p w:rsidR="0082133A" w:rsidRPr="00500D9F" w:rsidRDefault="0082133A" w:rsidP="0006523F">
            <w:pPr>
              <w:rPr>
                <w:rFonts w:ascii="Calibri" w:hAnsi="Calibri" w:cs="Arial"/>
                <w:b/>
                <w:bCs/>
                <w:sz w:val="16"/>
                <w:szCs w:val="16"/>
                <w:u w:val="single"/>
              </w:rPr>
            </w:pPr>
            <w:r w:rsidRPr="00500D9F">
              <w:rPr>
                <w:rFonts w:ascii="Calibri" w:hAnsi="Calibri" w:cs="Arial"/>
                <w:b/>
                <w:bCs/>
                <w:sz w:val="16"/>
                <w:szCs w:val="16"/>
                <w:u w:val="single"/>
              </w:rPr>
              <w:t>Quantity Measure</w:t>
            </w:r>
          </w:p>
        </w:tc>
        <w:tc>
          <w:tcPr>
            <w:tcW w:w="291"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234"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374"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241"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343"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220"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279"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290"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375" w:type="pct"/>
            <w:tcBorders>
              <w:top w:val="single" w:sz="4" w:space="0" w:color="auto"/>
              <w:left w:val="nil"/>
              <w:bottom w:val="nil"/>
              <w:right w:val="nil"/>
            </w:tcBorders>
            <w:noWrap/>
            <w:vAlign w:val="bottom"/>
          </w:tcPr>
          <w:p w:rsidR="0082133A" w:rsidRPr="00500D9F" w:rsidRDefault="0082133A" w:rsidP="0006523F">
            <w:pPr>
              <w:jc w:val="center"/>
              <w:rPr>
                <w:rFonts w:ascii="Calibri" w:hAnsi="Calibri" w:cs="Arial"/>
                <w:sz w:val="16"/>
                <w:szCs w:val="16"/>
              </w:rPr>
            </w:pPr>
          </w:p>
        </w:tc>
        <w:tc>
          <w:tcPr>
            <w:tcW w:w="844" w:type="pct"/>
            <w:vAlign w:val="bottom"/>
          </w:tcPr>
          <w:p w:rsidR="0082133A" w:rsidRPr="00500D9F" w:rsidRDefault="0082133A" w:rsidP="00D17328">
            <w:pPr>
              <w:jc w:val="cente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p w:rsidR="0082133A" w:rsidRPr="00500D9F" w:rsidRDefault="0082133A" w:rsidP="00D17328">
            <w:pPr>
              <w:rPr>
                <w:rFonts w:ascii="Calibri" w:hAnsi="Calibri" w:cs="Arial"/>
                <w:sz w:val="16"/>
                <w:szCs w:val="16"/>
              </w:rPr>
            </w:pPr>
          </w:p>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Lakes </w:t>
            </w: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Setup</w:t>
            </w:r>
          </w:p>
        </w:tc>
        <w:tc>
          <w:tcPr>
            <w:tcW w:w="318"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4</w:t>
            </w:r>
          </w:p>
        </w:tc>
        <w:tc>
          <w:tcPr>
            <w:tcW w:w="300"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10 - 60</w:t>
            </w:r>
          </w:p>
        </w:tc>
        <w:tc>
          <w:tcPr>
            <w:tcW w:w="23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10</w:t>
            </w:r>
          </w:p>
        </w:tc>
        <w:tc>
          <w:tcPr>
            <w:tcW w:w="343"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0 - 3</w:t>
            </w:r>
          </w:p>
        </w:tc>
        <w:tc>
          <w:tcPr>
            <w:tcW w:w="375"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0 - 3</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from minor to complex</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 Drugs</w:t>
            </w:r>
          </w:p>
        </w:tc>
        <w:tc>
          <w:tcPr>
            <w:tcW w:w="318"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8</w:t>
            </w:r>
          </w:p>
        </w:tc>
        <w:tc>
          <w:tcPr>
            <w:tcW w:w="300"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61 - 3</w:t>
            </w:r>
          </w:p>
        </w:tc>
        <w:tc>
          <w:tcPr>
            <w:tcW w:w="279"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anaes</w:t>
            </w:r>
            <w:proofErr w:type="spellEnd"/>
            <w:r w:rsidRPr="00500D9F">
              <w:rPr>
                <w:rFonts w:ascii="Calibri" w:hAnsi="Calibri" w:cs="Arial"/>
                <w:sz w:val="16"/>
                <w:szCs w:val="16"/>
              </w:rPr>
              <w:t xml:space="preserve"> type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Local, Gen </w:t>
            </w:r>
            <w:proofErr w:type="spellStart"/>
            <w:r w:rsidRPr="00500D9F">
              <w:rPr>
                <w:rFonts w:ascii="Calibri" w:hAnsi="Calibri" w:cs="Arial"/>
                <w:sz w:val="16"/>
                <w:szCs w:val="16"/>
              </w:rPr>
              <w:t>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 Staff</w:t>
            </w:r>
          </w:p>
        </w:tc>
        <w:tc>
          <w:tcPr>
            <w:tcW w:w="318"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9</w:t>
            </w:r>
          </w:p>
        </w:tc>
        <w:tc>
          <w:tcPr>
            <w:tcW w:w="300"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2 - 3</w:t>
            </w:r>
          </w:p>
        </w:tc>
        <w:tc>
          <w:tcPr>
            <w:tcW w:w="23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0.1 - 3</w:t>
            </w:r>
          </w:p>
        </w:tc>
        <w:tc>
          <w:tcPr>
            <w:tcW w:w="279"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1 - 6</w:t>
            </w:r>
          </w:p>
        </w:tc>
        <w:tc>
          <w:tcPr>
            <w:tcW w:w="375"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from minor to complex</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w:t>
            </w:r>
          </w:p>
        </w:tc>
        <w:tc>
          <w:tcPr>
            <w:tcW w:w="234"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0 - 1</w:t>
            </w:r>
          </w:p>
        </w:tc>
        <w:tc>
          <w:tcPr>
            <w:tcW w:w="374"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0 - 1</w:t>
            </w:r>
          </w:p>
        </w:tc>
        <w:tc>
          <w:tcPr>
            <w:tcW w:w="279"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1 - 2</w:t>
            </w:r>
          </w:p>
        </w:tc>
        <w:tc>
          <w:tcPr>
            <w:tcW w:w="375"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Day</w:t>
            </w:r>
          </w:p>
        </w:tc>
        <w:tc>
          <w:tcPr>
            <w:tcW w:w="318"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Days</w:t>
            </w:r>
          </w:p>
        </w:tc>
        <w:tc>
          <w:tcPr>
            <w:tcW w:w="29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60</w:t>
            </w:r>
          </w:p>
        </w:tc>
        <w:tc>
          <w:tcPr>
            <w:tcW w:w="23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15</w:t>
            </w:r>
          </w:p>
        </w:tc>
        <w:tc>
          <w:tcPr>
            <w:tcW w:w="343"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.5 - 3</w:t>
            </w:r>
          </w:p>
        </w:tc>
        <w:tc>
          <w:tcPr>
            <w:tcW w:w="279"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480</w:t>
            </w:r>
          </w:p>
        </w:tc>
        <w:tc>
          <w:tcPr>
            <w:tcW w:w="375" w:type="pct"/>
            <w:tcBorders>
              <w:top w:val="nil"/>
              <w:left w:val="nil"/>
              <w:bottom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480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Day pts&amp; day case for ENT &amp; Dental </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Implants</w:t>
            </w:r>
          </w:p>
        </w:tc>
        <w:tc>
          <w:tcPr>
            <w:tcW w:w="318"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right w:val="nil"/>
            </w:tcBorders>
            <w:noWrap/>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Unit</w:t>
            </w:r>
          </w:p>
        </w:tc>
        <w:tc>
          <w:tcPr>
            <w:tcW w:w="291"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Weight</w:t>
            </w:r>
          </w:p>
        </w:tc>
        <w:tc>
          <w:tcPr>
            <w:tcW w:w="290"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right w:val="nil"/>
            </w:tcBorders>
            <w:noWrap/>
            <w:vAlign w:val="bottom"/>
          </w:tcPr>
          <w:p w:rsidR="0082133A" w:rsidRPr="00500D9F" w:rsidRDefault="0082133A" w:rsidP="00D17328">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Weight = Proc code weighting</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p w:rsidR="0082133A" w:rsidRPr="00500D9F" w:rsidRDefault="0082133A" w:rsidP="006D57FF">
            <w:pPr>
              <w:rPr>
                <w:rFonts w:ascii="Calibri" w:hAnsi="Calibri" w:cs="Arial"/>
                <w:sz w:val="16"/>
                <w:szCs w:val="16"/>
              </w:rPr>
            </w:pPr>
            <w:r w:rsidRPr="00500D9F">
              <w:rPr>
                <w:rFonts w:ascii="Calibri" w:hAnsi="Calibri" w:cs="Arial"/>
                <w:sz w:val="16"/>
                <w:szCs w:val="16"/>
              </w:rPr>
              <w:t xml:space="preserve">Hawkes </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Staff</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34"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4"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41"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220"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279"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5" w:type="pct"/>
            <w:tcBorders>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p>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Bay</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Supplies</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Item</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Cost</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Cost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Cost = actual cost of item</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.25</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jc w:val="cente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15</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15</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15</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15</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15 - 25</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15</w:t>
            </w:r>
          </w:p>
        </w:tc>
        <w:tc>
          <w:tcPr>
            <w:tcW w:w="844" w:type="pct"/>
            <w:vAlign w:val="bottom"/>
          </w:tcPr>
          <w:p w:rsidR="0082133A" w:rsidRPr="00500D9F" w:rsidRDefault="0082133A" w:rsidP="00D17328">
            <w:pPr>
              <w:jc w:val="cente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Attend</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844" w:type="pct"/>
            <w:vAlign w:val="bottom"/>
          </w:tcPr>
          <w:p w:rsidR="0082133A" w:rsidRPr="00500D9F" w:rsidRDefault="0082133A" w:rsidP="00D17328">
            <w:pPr>
              <w:jc w:val="cente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jc w:val="cente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Northland</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Staff</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28</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0 - 3</w:t>
            </w:r>
          </w:p>
        </w:tc>
        <w:tc>
          <w:tcPr>
            <w:tcW w:w="234" w:type="pct"/>
            <w:tcBorders>
              <w:top w:val="nil"/>
              <w:left w:val="nil"/>
              <w:bottom w:val="nil"/>
              <w:right w:val="nil"/>
            </w:tcBorders>
            <w:noWrap/>
            <w:vAlign w:val="bottom"/>
          </w:tcPr>
          <w:p w:rsidR="0082133A" w:rsidRPr="00500D9F" w:rsidRDefault="0082133A" w:rsidP="006D57FF">
            <w:pPr>
              <w:jc w:val="right"/>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right"/>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right"/>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.15</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Range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&amp; complexity </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Supplies</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Item</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Cost</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Cost = actual cost of item</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Setup</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30</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0 - 15</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0 - 15</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0 - 65</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0 - 80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Gynaeetc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.95</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.02</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2</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Days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0 - 60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Nursing day - acuity and day stay</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Canterbury</w:t>
            </w: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10</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1 - 6</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from 'Main Recovery', to Dental</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Recovery Theatre</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10</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0 - 40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1 - 20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1 - 6.5</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MRSA</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Patient</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69.11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 xml:space="preserve">Operation extra nurse </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10</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0 - 116</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0 - 232</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.02 - 1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NICU extra nursing </w:t>
            </w:r>
            <w:proofErr w:type="spellStart"/>
            <w:r w:rsidRPr="00500D9F">
              <w:rPr>
                <w:rFonts w:ascii="Calibri" w:hAnsi="Calibri" w:cs="Arial"/>
                <w:sz w:val="16"/>
                <w:szCs w:val="16"/>
              </w:rPr>
              <w:t>etc</w:t>
            </w:r>
            <w:proofErr w:type="spellEnd"/>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 Staff</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6</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Minutes</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1 - 3</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from Main Theatres to DSU</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 xml:space="preserve">Operation </w:t>
            </w: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140</w:t>
            </w: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r w:rsidRPr="00500D9F">
              <w:rPr>
                <w:rFonts w:ascii="Calibri" w:hAnsi="Calibri" w:cs="Arial"/>
                <w:sz w:val="16"/>
                <w:szCs w:val="16"/>
              </w:rPr>
              <w:t>Operation</w:t>
            </w:r>
          </w:p>
        </w:tc>
        <w:tc>
          <w:tcPr>
            <w:tcW w:w="29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12 - 14</w:t>
            </w:r>
          </w:p>
        </w:tc>
        <w:tc>
          <w:tcPr>
            <w:tcW w:w="23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0 - 80</w:t>
            </w:r>
          </w:p>
        </w:tc>
        <w:tc>
          <w:tcPr>
            <w:tcW w:w="374"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0 - 40</w:t>
            </w:r>
          </w:p>
        </w:tc>
        <w:tc>
          <w:tcPr>
            <w:tcW w:w="241"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all 1</w:t>
            </w:r>
          </w:p>
        </w:tc>
        <w:tc>
          <w:tcPr>
            <w:tcW w:w="343"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2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79"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290"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1 - 1781</w:t>
            </w:r>
          </w:p>
        </w:tc>
        <w:tc>
          <w:tcPr>
            <w:tcW w:w="375"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r w:rsidRPr="00500D9F">
              <w:rPr>
                <w:rFonts w:ascii="Calibri" w:hAnsi="Calibri" w:cs="Arial"/>
                <w:sz w:val="16"/>
                <w:szCs w:val="16"/>
              </w:rPr>
              <w:t>0</w:t>
            </w: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Range from Ortho Hand Minor to</w:t>
            </w:r>
          </w:p>
        </w:tc>
      </w:tr>
      <w:tr w:rsidR="0082133A" w:rsidRPr="00500D9F">
        <w:trPr>
          <w:trHeight w:val="255"/>
        </w:trPr>
        <w:tc>
          <w:tcPr>
            <w:tcW w:w="376"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51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18" w:type="pct"/>
            <w:tcBorders>
              <w:top w:val="nil"/>
              <w:left w:val="nil"/>
              <w:bottom w:val="nil"/>
              <w:right w:val="nil"/>
            </w:tcBorders>
            <w:noWrap/>
            <w:vAlign w:val="bottom"/>
          </w:tcPr>
          <w:p w:rsidR="0082133A" w:rsidRPr="00500D9F" w:rsidRDefault="0082133A" w:rsidP="006D57FF">
            <w:pPr>
              <w:jc w:val="center"/>
              <w:rPr>
                <w:rFonts w:ascii="Calibri" w:hAnsi="Calibri" w:cs="Arial"/>
                <w:sz w:val="16"/>
                <w:szCs w:val="16"/>
              </w:rPr>
            </w:pPr>
          </w:p>
        </w:tc>
        <w:tc>
          <w:tcPr>
            <w:tcW w:w="30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3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4"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41"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43"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2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79"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290"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375" w:type="pct"/>
            <w:tcBorders>
              <w:top w:val="nil"/>
              <w:left w:val="nil"/>
              <w:bottom w:val="nil"/>
              <w:right w:val="nil"/>
            </w:tcBorders>
            <w:noWrap/>
            <w:vAlign w:val="bottom"/>
          </w:tcPr>
          <w:p w:rsidR="0082133A" w:rsidRPr="00500D9F" w:rsidRDefault="0082133A" w:rsidP="006D57FF">
            <w:pPr>
              <w:rPr>
                <w:rFonts w:ascii="Calibri" w:hAnsi="Calibri" w:cs="Arial"/>
                <w:sz w:val="16"/>
                <w:szCs w:val="16"/>
              </w:rPr>
            </w:pPr>
          </w:p>
        </w:tc>
        <w:tc>
          <w:tcPr>
            <w:tcW w:w="844" w:type="pct"/>
            <w:vAlign w:val="bottom"/>
          </w:tcPr>
          <w:p w:rsidR="0082133A" w:rsidRPr="00500D9F" w:rsidRDefault="0082133A" w:rsidP="00D17328">
            <w:pPr>
              <w:rPr>
                <w:rFonts w:ascii="Calibri" w:hAnsi="Calibri" w:cs="Arial"/>
                <w:sz w:val="16"/>
                <w:szCs w:val="16"/>
              </w:rPr>
            </w:pPr>
            <w:r w:rsidRPr="00500D9F">
              <w:rPr>
                <w:rFonts w:ascii="Calibri" w:hAnsi="Calibri" w:cs="Arial"/>
                <w:sz w:val="16"/>
                <w:szCs w:val="16"/>
              </w:rPr>
              <w:t>Plastics Hand Maj ADHL.</w:t>
            </w:r>
          </w:p>
        </w:tc>
      </w:tr>
    </w:tbl>
    <w:p w:rsidR="0082133A" w:rsidRPr="00500D9F" w:rsidRDefault="0082133A" w:rsidP="006D57FF">
      <w:pPr>
        <w:rPr>
          <w:rFonts w:ascii="Calibri" w:hAnsi="Calibri" w:cs="Arial"/>
        </w:rPr>
      </w:pPr>
    </w:p>
    <w:p w:rsidR="0082133A" w:rsidRPr="00500D9F" w:rsidRDefault="0082133A" w:rsidP="006D57FF">
      <w:pPr>
        <w:rPr>
          <w:rFonts w:ascii="Calibri" w:hAnsi="Calibri" w:cs="Arial"/>
        </w:rPr>
      </w:pPr>
    </w:p>
    <w:p w:rsidR="0082133A" w:rsidRPr="00500D9F" w:rsidRDefault="0082133A" w:rsidP="006D57FF">
      <w:pPr>
        <w:rPr>
          <w:rFonts w:ascii="Calibri" w:hAnsi="Calibri" w:cs="Arial"/>
        </w:rPr>
        <w:sectPr w:rsidR="0082133A" w:rsidRPr="00500D9F" w:rsidSect="00404910">
          <w:pgSz w:w="16840" w:h="11907" w:orient="landscape" w:code="9"/>
          <w:pgMar w:top="454" w:right="1440" w:bottom="454" w:left="540" w:header="709" w:footer="709" w:gutter="0"/>
          <w:cols w:space="708"/>
          <w:docGrid w:linePitch="360"/>
        </w:sectPr>
      </w:pPr>
    </w:p>
    <w:tbl>
      <w:tblPr>
        <w:tblpPr w:leftFromText="180" w:rightFromText="180" w:tblpY="354"/>
        <w:tblW w:w="5349" w:type="pct"/>
        <w:tblLayout w:type="fixed"/>
        <w:tblLook w:val="0000" w:firstRow="0" w:lastRow="0" w:firstColumn="0" w:lastColumn="0" w:noHBand="0" w:noVBand="0"/>
      </w:tblPr>
      <w:tblGrid>
        <w:gridCol w:w="1926"/>
        <w:gridCol w:w="1660"/>
        <w:gridCol w:w="1129"/>
        <w:gridCol w:w="1326"/>
        <w:gridCol w:w="1326"/>
        <w:gridCol w:w="1326"/>
        <w:gridCol w:w="1510"/>
        <w:gridCol w:w="1323"/>
        <w:gridCol w:w="1313"/>
        <w:gridCol w:w="251"/>
        <w:gridCol w:w="2807"/>
      </w:tblGrid>
      <w:tr w:rsidR="0082133A" w:rsidRPr="00500D9F">
        <w:trPr>
          <w:trHeight w:val="270"/>
        </w:trPr>
        <w:tc>
          <w:tcPr>
            <w:tcW w:w="1900" w:type="pct"/>
            <w:gridSpan w:val="4"/>
            <w:tcBorders>
              <w:right w:val="single" w:sz="4" w:space="0" w:color="auto"/>
            </w:tcBorders>
            <w:vAlign w:val="bottom"/>
          </w:tcPr>
          <w:p w:rsidR="0082133A" w:rsidRPr="00500D9F" w:rsidRDefault="0082133A" w:rsidP="0073266B">
            <w:pPr>
              <w:jc w:val="center"/>
              <w:rPr>
                <w:rFonts w:ascii="Calibri" w:hAnsi="Calibri" w:cs="Arial"/>
                <w:sz w:val="16"/>
                <w:szCs w:val="16"/>
              </w:rPr>
            </w:pPr>
          </w:p>
        </w:tc>
        <w:tc>
          <w:tcPr>
            <w:tcW w:w="2138" w:type="pct"/>
            <w:gridSpan w:val="5"/>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b/>
                <w:bCs/>
                <w:sz w:val="16"/>
                <w:szCs w:val="16"/>
              </w:rPr>
              <w:t>Cost Groups with Indirect Pt Activity</w:t>
            </w:r>
          </w:p>
        </w:tc>
        <w:tc>
          <w:tcPr>
            <w:tcW w:w="962" w:type="pct"/>
            <w:gridSpan w:val="2"/>
            <w:tcBorders>
              <w:left w:val="single" w:sz="4" w:space="0" w:color="auto"/>
            </w:tcBorders>
            <w:vAlign w:val="bottom"/>
          </w:tcPr>
          <w:p w:rsidR="0082133A" w:rsidRPr="00500D9F" w:rsidRDefault="0082133A" w:rsidP="0073266B">
            <w:pPr>
              <w:jc w:val="center"/>
              <w:rPr>
                <w:rFonts w:ascii="Calibri" w:hAnsi="Calibri" w:cs="Arial"/>
                <w:sz w:val="16"/>
                <w:szCs w:val="16"/>
              </w:rPr>
            </w:pPr>
          </w:p>
        </w:tc>
      </w:tr>
      <w:tr w:rsidR="0082133A" w:rsidRPr="00500D9F">
        <w:trPr>
          <w:trHeight w:val="313"/>
        </w:trPr>
        <w:tc>
          <w:tcPr>
            <w:tcW w:w="606" w:type="pct"/>
            <w:vAlign w:val="bottom"/>
          </w:tcPr>
          <w:p w:rsidR="0082133A" w:rsidRPr="00500D9F" w:rsidRDefault="0082133A" w:rsidP="0073266B">
            <w:pPr>
              <w:rPr>
                <w:rFonts w:ascii="Calibri" w:hAnsi="Calibri" w:cs="Arial"/>
                <w:sz w:val="16"/>
                <w:szCs w:val="16"/>
              </w:rPr>
            </w:pPr>
          </w:p>
        </w:tc>
        <w:tc>
          <w:tcPr>
            <w:tcW w:w="522" w:type="pct"/>
            <w:vAlign w:val="bottom"/>
          </w:tcPr>
          <w:p w:rsidR="0082133A" w:rsidRPr="00500D9F" w:rsidRDefault="0082133A" w:rsidP="0073266B">
            <w:pPr>
              <w:rPr>
                <w:rFonts w:ascii="Calibri" w:hAnsi="Calibri" w:cs="Arial"/>
                <w:sz w:val="16"/>
                <w:szCs w:val="16"/>
              </w:rPr>
            </w:pPr>
          </w:p>
        </w:tc>
        <w:tc>
          <w:tcPr>
            <w:tcW w:w="355" w:type="pct"/>
            <w:vAlign w:val="bottom"/>
          </w:tcPr>
          <w:p w:rsidR="0082133A" w:rsidRPr="00500D9F" w:rsidRDefault="0082133A" w:rsidP="0073266B">
            <w:pPr>
              <w:jc w:val="center"/>
              <w:rPr>
                <w:rFonts w:ascii="Calibri" w:hAnsi="Calibri" w:cs="Arial"/>
                <w:b/>
                <w:bCs/>
                <w:sz w:val="16"/>
                <w:szCs w:val="16"/>
                <w:u w:val="single"/>
              </w:rPr>
            </w:pPr>
          </w:p>
        </w:tc>
        <w:tc>
          <w:tcPr>
            <w:tcW w:w="417" w:type="pct"/>
            <w:tcBorders>
              <w:right w:val="single" w:sz="4" w:space="0" w:color="auto"/>
            </w:tcBorders>
            <w:vAlign w:val="bottom"/>
          </w:tcPr>
          <w:p w:rsidR="0082133A" w:rsidRPr="00500D9F" w:rsidRDefault="0082133A" w:rsidP="0073266B">
            <w:pPr>
              <w:rPr>
                <w:rFonts w:ascii="Calibri" w:hAnsi="Calibri" w:cs="Arial"/>
                <w:b/>
                <w:bCs/>
                <w:sz w:val="16"/>
                <w:szCs w:val="16"/>
                <w:u w:val="single"/>
              </w:rPr>
            </w:pPr>
          </w:p>
        </w:tc>
        <w:tc>
          <w:tcPr>
            <w:tcW w:w="417"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Cost of Capital</w:t>
            </w:r>
          </w:p>
        </w:tc>
        <w:tc>
          <w:tcPr>
            <w:tcW w:w="417"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Corporate</w:t>
            </w:r>
          </w:p>
        </w:tc>
        <w:tc>
          <w:tcPr>
            <w:tcW w:w="475"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Other Service Based</w:t>
            </w:r>
          </w:p>
        </w:tc>
        <w:tc>
          <w:tcPr>
            <w:tcW w:w="416"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Drugs</w:t>
            </w:r>
          </w:p>
        </w:tc>
        <w:tc>
          <w:tcPr>
            <w:tcW w:w="413" w:type="pct"/>
            <w:tcBorders>
              <w:top w:val="single" w:sz="4" w:space="0" w:color="auto"/>
              <w:left w:val="single" w:sz="4" w:space="0" w:color="auto"/>
              <w:bottom w:val="single" w:sz="4" w:space="0" w:color="auto"/>
              <w:right w:val="single" w:sz="4" w:space="0" w:color="auto"/>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CTA</w:t>
            </w:r>
          </w:p>
        </w:tc>
        <w:tc>
          <w:tcPr>
            <w:tcW w:w="79" w:type="pct"/>
            <w:tcBorders>
              <w:left w:val="single" w:sz="4" w:space="0" w:color="auto"/>
            </w:tcBorders>
            <w:noWrap/>
            <w:vAlign w:val="bottom"/>
          </w:tcPr>
          <w:p w:rsidR="0082133A" w:rsidRPr="00500D9F" w:rsidRDefault="0082133A" w:rsidP="0073266B">
            <w:pPr>
              <w:rPr>
                <w:rFonts w:ascii="Calibri" w:hAnsi="Calibri" w:cs="Arial"/>
                <w:sz w:val="16"/>
                <w:szCs w:val="16"/>
              </w:rPr>
            </w:pPr>
          </w:p>
        </w:tc>
        <w:tc>
          <w:tcPr>
            <w:tcW w:w="883" w:type="pct"/>
            <w:vAlign w:val="bottom"/>
          </w:tcPr>
          <w:p w:rsidR="0082133A" w:rsidRPr="00500D9F" w:rsidRDefault="0082133A" w:rsidP="0073266B">
            <w:pPr>
              <w:rPr>
                <w:rFonts w:ascii="Calibri" w:hAnsi="Calibri" w:cs="Arial"/>
                <w:b/>
                <w:bCs/>
                <w:sz w:val="16"/>
                <w:szCs w:val="16"/>
              </w:rPr>
            </w:pPr>
            <w:r w:rsidRPr="00500D9F">
              <w:rPr>
                <w:rFonts w:ascii="Calibri" w:hAnsi="Calibri" w:cs="Arial"/>
                <w:b/>
                <w:bCs/>
                <w:sz w:val="16"/>
                <w:szCs w:val="16"/>
              </w:rPr>
              <w:t>Notes</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b/>
                <w:bCs/>
                <w:sz w:val="16"/>
                <w:szCs w:val="16"/>
                <w:u w:val="single"/>
              </w:rPr>
              <w:t>DHB</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b/>
                <w:bCs/>
                <w:sz w:val="16"/>
                <w:szCs w:val="16"/>
                <w:u w:val="single"/>
              </w:rPr>
            </w:pPr>
            <w:r w:rsidRPr="00500D9F">
              <w:rPr>
                <w:rFonts w:ascii="Calibri" w:hAnsi="Calibri" w:cs="Arial"/>
                <w:b/>
                <w:bCs/>
                <w:sz w:val="16"/>
                <w:szCs w:val="16"/>
                <w:u w:val="single"/>
              </w:rPr>
              <w:t>Products</w:t>
            </w:r>
          </w:p>
        </w:tc>
        <w:tc>
          <w:tcPr>
            <w:tcW w:w="417" w:type="pct"/>
            <w:tcBorders>
              <w:top w:val="nil"/>
              <w:left w:val="nil"/>
              <w:bottom w:val="nil"/>
              <w:right w:val="nil"/>
            </w:tcBorders>
            <w:vAlign w:val="bottom"/>
          </w:tcPr>
          <w:p w:rsidR="0082133A" w:rsidRPr="00500D9F" w:rsidRDefault="0082133A" w:rsidP="0073266B">
            <w:pPr>
              <w:rPr>
                <w:rFonts w:ascii="Calibri" w:hAnsi="Calibri" w:cs="Arial"/>
                <w:b/>
                <w:bCs/>
                <w:sz w:val="16"/>
                <w:szCs w:val="16"/>
                <w:u w:val="single"/>
              </w:rPr>
            </w:pPr>
            <w:r w:rsidRPr="00500D9F">
              <w:rPr>
                <w:rFonts w:ascii="Calibri" w:hAnsi="Calibri" w:cs="Arial"/>
                <w:b/>
                <w:bCs/>
                <w:sz w:val="16"/>
                <w:szCs w:val="16"/>
                <w:u w:val="single"/>
              </w:rPr>
              <w:t>Quantity Measure</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Waikato</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4</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Minor Op to Complex Op</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Setup</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4</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15</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30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30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Minor to Complex Setup</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roofErr w:type="spellStart"/>
            <w:r w:rsidRPr="00500D9F">
              <w:rPr>
                <w:rFonts w:ascii="Calibri" w:hAnsi="Calibri" w:cs="Arial"/>
                <w:sz w:val="16"/>
                <w:szCs w:val="16"/>
              </w:rPr>
              <w:t>Waitemata</w:t>
            </w:r>
            <w:proofErr w:type="spellEnd"/>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8</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Range ORL, Medical, </w:t>
            </w:r>
            <w:proofErr w:type="spellStart"/>
            <w:r w:rsidRPr="00500D9F">
              <w:rPr>
                <w:rFonts w:ascii="Calibri" w:hAnsi="Calibri" w:cs="Arial"/>
                <w:sz w:val="16"/>
                <w:szCs w:val="16"/>
              </w:rPr>
              <w:t>Othroetc</w:t>
            </w:r>
            <w:proofErr w:type="spellEnd"/>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Bay of </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22</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etc</w:t>
            </w:r>
            <w:proofErr w:type="spellEnd"/>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Plenty</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Recovery Theatre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3</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Setup</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22</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1 - 5</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5 - 10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5 - 60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0 - 30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etc</w:t>
            </w:r>
            <w:proofErr w:type="spellEnd"/>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Recovery Ward </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3</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Hour</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.2</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.5</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Recovery Ward Arrival</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3</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Each</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.2</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Counties</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Nurse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7</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1 - 12</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1 - 12</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1 - 12</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1 - 12</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category 1 to 6</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roofErr w:type="spellStart"/>
            <w:r w:rsidRPr="00500D9F">
              <w:rPr>
                <w:rFonts w:ascii="Calibri" w:hAnsi="Calibri" w:cs="Arial"/>
                <w:sz w:val="16"/>
                <w:szCs w:val="16"/>
              </w:rPr>
              <w:t>Manukau</w:t>
            </w:r>
            <w:proofErr w:type="spellEnd"/>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Supplies</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16</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21 - 311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21 - 311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21 - 311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21 - 311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ORL, Renal, Hand </w:t>
            </w:r>
            <w:proofErr w:type="spellStart"/>
            <w:r w:rsidRPr="00500D9F">
              <w:rPr>
                <w:rFonts w:ascii="Calibri" w:hAnsi="Calibri" w:cs="Arial"/>
                <w:sz w:val="16"/>
                <w:szCs w:val="16"/>
              </w:rPr>
              <w:t>etc</w:t>
            </w:r>
            <w:proofErr w:type="spellEnd"/>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Recovery Theatre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1 - 5</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1 - 5</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1 - 5</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1 - 5</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Facility</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64 - 111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64 - 111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64 - 111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64 - 111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Auckland</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w:t>
            </w: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Mid Central</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Nurse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Supplies</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Other</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Day</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3</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Days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0 - 60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DOSA, PERIOP &amp; SSSU</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2</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0.5 - 1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0.5 - 1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Range, </w:t>
            </w: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 S2 &amp; S3</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Taranaki</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Staff</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6</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Theatre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5</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Minutes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Lakes </w:t>
            </w: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Setup</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4</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1 - 4</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from minor to complex</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Drugs</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8</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anaes</w:t>
            </w:r>
            <w:proofErr w:type="spellEnd"/>
            <w:r w:rsidRPr="00500D9F">
              <w:rPr>
                <w:rFonts w:ascii="Calibri" w:hAnsi="Calibri" w:cs="Arial"/>
                <w:sz w:val="16"/>
                <w:szCs w:val="16"/>
              </w:rPr>
              <w:t xml:space="preserve"> type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Local, Gen </w:t>
            </w:r>
            <w:proofErr w:type="spellStart"/>
            <w:r w:rsidRPr="00500D9F">
              <w:rPr>
                <w:rFonts w:ascii="Calibri" w:hAnsi="Calibri" w:cs="Arial"/>
                <w:sz w:val="16"/>
                <w:szCs w:val="16"/>
              </w:rPr>
              <w:t>etc</w:t>
            </w:r>
            <w:proofErr w:type="spellEnd"/>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 Staff</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9</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Range from minor to complex</w:t>
            </w: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Recovery Theatre</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1</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Operation</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p>
        </w:tc>
      </w:tr>
      <w:tr w:rsidR="0082133A" w:rsidRPr="00500D9F">
        <w:trPr>
          <w:trHeight w:val="255"/>
        </w:trPr>
        <w:tc>
          <w:tcPr>
            <w:tcW w:w="606" w:type="pct"/>
            <w:tcBorders>
              <w:top w:val="nil"/>
              <w:bottom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Day</w:t>
            </w:r>
          </w:p>
        </w:tc>
        <w:tc>
          <w:tcPr>
            <w:tcW w:w="355" w:type="pct"/>
            <w:tcBorders>
              <w:top w:val="nil"/>
              <w:left w:val="nil"/>
              <w:bottom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3</w:t>
            </w:r>
          </w:p>
        </w:tc>
        <w:tc>
          <w:tcPr>
            <w:tcW w:w="417" w:type="pct"/>
            <w:tcBorders>
              <w:top w:val="nil"/>
              <w:left w:val="nil"/>
              <w:bottom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Days</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75"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6"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bottom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bottom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 xml:space="preserve">Day pts&amp; day case for ENT &amp; Dental </w:t>
            </w:r>
          </w:p>
        </w:tc>
      </w:tr>
      <w:tr w:rsidR="0082133A" w:rsidRPr="00500D9F">
        <w:trPr>
          <w:trHeight w:val="255"/>
        </w:trPr>
        <w:tc>
          <w:tcPr>
            <w:tcW w:w="606" w:type="pct"/>
            <w:tcBorders>
              <w:top w:val="nil"/>
              <w:right w:val="nil"/>
            </w:tcBorders>
            <w:vAlign w:val="bottom"/>
          </w:tcPr>
          <w:p w:rsidR="0082133A" w:rsidRPr="00500D9F" w:rsidRDefault="0082133A" w:rsidP="0073266B">
            <w:pPr>
              <w:rPr>
                <w:rFonts w:ascii="Calibri" w:hAnsi="Calibri" w:cs="Arial"/>
                <w:sz w:val="16"/>
                <w:szCs w:val="16"/>
              </w:rPr>
            </w:pPr>
          </w:p>
        </w:tc>
        <w:tc>
          <w:tcPr>
            <w:tcW w:w="522" w:type="pct"/>
            <w:tcBorders>
              <w:top w:val="nil"/>
              <w:left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Implants</w:t>
            </w:r>
          </w:p>
        </w:tc>
        <w:tc>
          <w:tcPr>
            <w:tcW w:w="355" w:type="pct"/>
            <w:tcBorders>
              <w:top w:val="nil"/>
              <w:left w:val="nil"/>
              <w:right w:val="nil"/>
            </w:tcBorders>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3</w:t>
            </w:r>
          </w:p>
        </w:tc>
        <w:tc>
          <w:tcPr>
            <w:tcW w:w="417" w:type="pct"/>
            <w:tcBorders>
              <w:top w:val="nil"/>
              <w:left w:val="nil"/>
              <w:right w:val="nil"/>
            </w:tcBorders>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Unit</w:t>
            </w:r>
          </w:p>
        </w:tc>
        <w:tc>
          <w:tcPr>
            <w:tcW w:w="417"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7"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75"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6"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413"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73266B">
            <w:pPr>
              <w:jc w:val="center"/>
              <w:rPr>
                <w:rFonts w:ascii="Calibri" w:hAnsi="Calibri" w:cs="Arial"/>
                <w:sz w:val="16"/>
                <w:szCs w:val="16"/>
              </w:rPr>
            </w:pPr>
          </w:p>
        </w:tc>
        <w:tc>
          <w:tcPr>
            <w:tcW w:w="883" w:type="pct"/>
            <w:tcBorders>
              <w:top w:val="nil"/>
              <w:left w:val="nil"/>
            </w:tcBorders>
            <w:noWrap/>
            <w:vAlign w:val="bottom"/>
          </w:tcPr>
          <w:p w:rsidR="0082133A" w:rsidRPr="00500D9F" w:rsidRDefault="0082133A" w:rsidP="0073266B">
            <w:pPr>
              <w:rPr>
                <w:rFonts w:ascii="Calibri" w:hAnsi="Calibri" w:cs="Arial"/>
                <w:sz w:val="16"/>
                <w:szCs w:val="16"/>
              </w:rPr>
            </w:pPr>
            <w:r w:rsidRPr="00500D9F">
              <w:rPr>
                <w:rFonts w:ascii="Calibri" w:hAnsi="Calibri" w:cs="Arial"/>
                <w:sz w:val="16"/>
                <w:szCs w:val="16"/>
              </w:rPr>
              <w:t>Weight = Proc code weighting</w:t>
            </w:r>
          </w:p>
        </w:tc>
      </w:tr>
    </w:tbl>
    <w:p w:rsidR="0082133A" w:rsidRPr="00500D9F" w:rsidRDefault="0082133A" w:rsidP="0073266B">
      <w:pPr>
        <w:ind w:left="851"/>
        <w:rPr>
          <w:rFonts w:ascii="Calibri" w:hAnsi="Calibri" w:cs="Arial"/>
          <w:b/>
          <w:sz w:val="20"/>
        </w:rPr>
      </w:pPr>
      <w:r w:rsidRPr="00500D9F">
        <w:rPr>
          <w:rFonts w:ascii="Calibri" w:hAnsi="Calibri" w:cs="Arial"/>
          <w:b/>
          <w:sz w:val="20"/>
        </w:rPr>
        <w:t>Theatre/Procedure Room Relative Value Units (RVUs) cont.</w:t>
      </w:r>
    </w:p>
    <w:p w:rsidR="0082133A" w:rsidRPr="00500D9F" w:rsidRDefault="0082133A">
      <w:pPr>
        <w:rPr>
          <w:rFonts w:ascii="Calibri" w:hAnsi="Calibri" w:cs="Arial"/>
        </w:rPr>
      </w:pPr>
      <w:r w:rsidRPr="00500D9F">
        <w:rPr>
          <w:rFonts w:ascii="Calibri" w:hAnsi="Calibri" w:cs="Arial"/>
        </w:rPr>
        <w:br w:type="page"/>
      </w:r>
    </w:p>
    <w:tbl>
      <w:tblPr>
        <w:tblW w:w="5313" w:type="pct"/>
        <w:tblInd w:w="108" w:type="dxa"/>
        <w:tblLayout w:type="fixed"/>
        <w:tblLook w:val="0000" w:firstRow="0" w:lastRow="0" w:firstColumn="0" w:lastColumn="0" w:noHBand="0" w:noVBand="0"/>
      </w:tblPr>
      <w:tblGrid>
        <w:gridCol w:w="1065"/>
        <w:gridCol w:w="1419"/>
        <w:gridCol w:w="1127"/>
        <w:gridCol w:w="1336"/>
        <w:gridCol w:w="1326"/>
        <w:gridCol w:w="1326"/>
        <w:gridCol w:w="1510"/>
        <w:gridCol w:w="1323"/>
        <w:gridCol w:w="2526"/>
        <w:gridCol w:w="249"/>
        <w:gridCol w:w="2583"/>
      </w:tblGrid>
      <w:tr w:rsidR="0082133A" w:rsidRPr="00500D9F">
        <w:trPr>
          <w:trHeight w:val="627"/>
        </w:trPr>
        <w:tc>
          <w:tcPr>
            <w:tcW w:w="5000" w:type="pct"/>
            <w:gridSpan w:val="11"/>
            <w:tcBorders>
              <w:top w:val="nil"/>
            </w:tcBorders>
            <w:vAlign w:val="bottom"/>
          </w:tcPr>
          <w:p w:rsidR="0082133A" w:rsidRPr="00500D9F" w:rsidRDefault="0082133A" w:rsidP="0073266B">
            <w:pPr>
              <w:ind w:left="851"/>
              <w:rPr>
                <w:rFonts w:ascii="Calibri" w:hAnsi="Calibri" w:cs="Arial"/>
                <w:b/>
                <w:sz w:val="20"/>
                <w:szCs w:val="20"/>
              </w:rPr>
            </w:pPr>
            <w:bookmarkStart w:id="20" w:name="_Toc221608643"/>
            <w:r w:rsidRPr="00500D9F">
              <w:rPr>
                <w:rFonts w:ascii="Calibri" w:hAnsi="Calibri" w:cs="Arial"/>
                <w:b/>
                <w:sz w:val="20"/>
                <w:szCs w:val="20"/>
              </w:rPr>
              <w:lastRenderedPageBreak/>
              <w:t>Theatre/Procedure Room Relative Value Units (RVUs) cont.</w:t>
            </w:r>
            <w:bookmarkEnd w:id="20"/>
          </w:p>
          <w:p w:rsidR="0082133A" w:rsidRPr="00500D9F" w:rsidRDefault="0082133A" w:rsidP="00483103">
            <w:pPr>
              <w:rPr>
                <w:rFonts w:ascii="Calibri" w:hAnsi="Calibri" w:cs="Arial"/>
                <w:sz w:val="16"/>
                <w:szCs w:val="16"/>
              </w:rPr>
            </w:pPr>
          </w:p>
        </w:tc>
      </w:tr>
      <w:tr w:rsidR="0082133A" w:rsidRPr="00500D9F">
        <w:trPr>
          <w:trHeight w:val="255"/>
        </w:trPr>
        <w:tc>
          <w:tcPr>
            <w:tcW w:w="1566" w:type="pct"/>
            <w:gridSpan w:val="4"/>
            <w:tcBorders>
              <w:right w:val="single" w:sz="4" w:space="0" w:color="auto"/>
            </w:tcBorders>
            <w:vAlign w:val="bottom"/>
          </w:tcPr>
          <w:p w:rsidR="0082133A" w:rsidRPr="00500D9F" w:rsidRDefault="0082133A" w:rsidP="003E531F">
            <w:pPr>
              <w:jc w:val="center"/>
              <w:rPr>
                <w:rFonts w:ascii="Calibri" w:hAnsi="Calibri" w:cs="Arial"/>
                <w:sz w:val="16"/>
                <w:szCs w:val="16"/>
              </w:rPr>
            </w:pPr>
          </w:p>
        </w:tc>
        <w:tc>
          <w:tcPr>
            <w:tcW w:w="2536" w:type="pct"/>
            <w:gridSpan w:val="5"/>
            <w:tcBorders>
              <w:top w:val="single" w:sz="4" w:space="0" w:color="auto"/>
              <w:left w:val="single" w:sz="4" w:space="0" w:color="auto"/>
              <w:bottom w:val="single" w:sz="4" w:space="0" w:color="auto"/>
              <w:right w:val="single" w:sz="4" w:space="0" w:color="auto"/>
            </w:tcBorders>
            <w:vAlign w:val="bottom"/>
          </w:tcPr>
          <w:p w:rsidR="0082133A" w:rsidRPr="00500D9F" w:rsidRDefault="0082133A" w:rsidP="003E531F">
            <w:pPr>
              <w:jc w:val="center"/>
              <w:rPr>
                <w:rFonts w:ascii="Calibri" w:hAnsi="Calibri" w:cs="Arial"/>
                <w:sz w:val="16"/>
                <w:szCs w:val="16"/>
              </w:rPr>
            </w:pPr>
            <w:r w:rsidRPr="00500D9F">
              <w:rPr>
                <w:rFonts w:ascii="Calibri" w:hAnsi="Calibri" w:cs="Arial"/>
                <w:b/>
                <w:bCs/>
                <w:sz w:val="16"/>
                <w:szCs w:val="16"/>
              </w:rPr>
              <w:t>Cost Groups with Indirect Pt Activity</w:t>
            </w:r>
          </w:p>
        </w:tc>
        <w:tc>
          <w:tcPr>
            <w:tcW w:w="898" w:type="pct"/>
            <w:gridSpan w:val="2"/>
            <w:tcBorders>
              <w:left w:val="single" w:sz="4" w:space="0" w:color="auto"/>
            </w:tcBorders>
            <w:vAlign w:val="bottom"/>
          </w:tcPr>
          <w:p w:rsidR="0082133A" w:rsidRPr="00500D9F" w:rsidRDefault="0082133A" w:rsidP="003E531F">
            <w:pPr>
              <w:jc w:val="center"/>
              <w:rPr>
                <w:rFonts w:ascii="Calibri" w:hAnsi="Calibri" w:cs="Arial"/>
                <w:sz w:val="16"/>
                <w:szCs w:val="16"/>
              </w:rPr>
            </w:pPr>
          </w:p>
        </w:tc>
      </w:tr>
      <w:tr w:rsidR="0082133A" w:rsidRPr="00500D9F">
        <w:trPr>
          <w:trHeight w:val="255"/>
        </w:trPr>
        <w:tc>
          <w:tcPr>
            <w:tcW w:w="337" w:type="pct"/>
            <w:vAlign w:val="bottom"/>
          </w:tcPr>
          <w:p w:rsidR="0082133A" w:rsidRPr="00500D9F" w:rsidRDefault="0082133A" w:rsidP="0004583B">
            <w:pPr>
              <w:rPr>
                <w:rFonts w:ascii="Calibri" w:hAnsi="Calibri" w:cs="Arial"/>
                <w:b/>
                <w:bCs/>
                <w:sz w:val="16"/>
                <w:szCs w:val="16"/>
                <w:u w:val="single"/>
              </w:rPr>
            </w:pPr>
          </w:p>
        </w:tc>
        <w:tc>
          <w:tcPr>
            <w:tcW w:w="449" w:type="pct"/>
            <w:vAlign w:val="bottom"/>
          </w:tcPr>
          <w:p w:rsidR="0082133A" w:rsidRPr="00500D9F" w:rsidRDefault="0082133A" w:rsidP="0004583B">
            <w:pPr>
              <w:rPr>
                <w:rFonts w:ascii="Calibri" w:hAnsi="Calibri" w:cs="Arial"/>
                <w:sz w:val="16"/>
                <w:szCs w:val="16"/>
              </w:rPr>
            </w:pPr>
          </w:p>
        </w:tc>
        <w:tc>
          <w:tcPr>
            <w:tcW w:w="357" w:type="pct"/>
            <w:vAlign w:val="bottom"/>
          </w:tcPr>
          <w:p w:rsidR="0082133A" w:rsidRPr="00500D9F" w:rsidRDefault="0082133A" w:rsidP="0004583B">
            <w:pPr>
              <w:jc w:val="center"/>
              <w:rPr>
                <w:rFonts w:ascii="Calibri" w:hAnsi="Calibri" w:cs="Arial"/>
                <w:b/>
                <w:bCs/>
                <w:sz w:val="16"/>
                <w:szCs w:val="16"/>
                <w:u w:val="single"/>
              </w:rPr>
            </w:pPr>
          </w:p>
        </w:tc>
        <w:tc>
          <w:tcPr>
            <w:tcW w:w="423" w:type="pct"/>
            <w:tcBorders>
              <w:right w:val="single" w:sz="4" w:space="0" w:color="auto"/>
            </w:tcBorders>
            <w:vAlign w:val="bottom"/>
          </w:tcPr>
          <w:p w:rsidR="0082133A" w:rsidRPr="00500D9F" w:rsidRDefault="0082133A" w:rsidP="0004583B">
            <w:pPr>
              <w:rPr>
                <w:rFonts w:ascii="Calibri" w:hAnsi="Calibri" w:cs="Arial"/>
                <w:b/>
                <w:bCs/>
                <w:sz w:val="16"/>
                <w:szCs w:val="16"/>
                <w:u w:val="single"/>
              </w:rPr>
            </w:pPr>
          </w:p>
        </w:tc>
        <w:tc>
          <w:tcPr>
            <w:tcW w:w="420"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Cost of Capital</w:t>
            </w:r>
          </w:p>
        </w:tc>
        <w:tc>
          <w:tcPr>
            <w:tcW w:w="420"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Corporate</w:t>
            </w:r>
          </w:p>
        </w:tc>
        <w:tc>
          <w:tcPr>
            <w:tcW w:w="478"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Other Service Based</w:t>
            </w:r>
          </w:p>
        </w:tc>
        <w:tc>
          <w:tcPr>
            <w:tcW w:w="419"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Drugs</w:t>
            </w:r>
          </w:p>
        </w:tc>
        <w:tc>
          <w:tcPr>
            <w:tcW w:w="800" w:type="pct"/>
            <w:tcBorders>
              <w:top w:val="single" w:sz="4" w:space="0" w:color="auto"/>
              <w:left w:val="single" w:sz="4" w:space="0" w:color="auto"/>
              <w:bottom w:val="single" w:sz="4" w:space="0" w:color="auto"/>
              <w:right w:val="single" w:sz="4" w:space="0" w:color="auto"/>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CTA</w:t>
            </w:r>
          </w:p>
        </w:tc>
        <w:tc>
          <w:tcPr>
            <w:tcW w:w="79" w:type="pct"/>
            <w:tcBorders>
              <w:left w:val="single" w:sz="4" w:space="0" w:color="auto"/>
            </w:tcBorders>
            <w:noWrap/>
            <w:vAlign w:val="bottom"/>
          </w:tcPr>
          <w:p w:rsidR="0082133A" w:rsidRPr="00500D9F" w:rsidRDefault="0082133A" w:rsidP="0004583B">
            <w:pPr>
              <w:rPr>
                <w:rFonts w:ascii="Calibri" w:hAnsi="Calibri" w:cs="Arial"/>
                <w:sz w:val="16"/>
                <w:szCs w:val="16"/>
              </w:rPr>
            </w:pPr>
          </w:p>
        </w:tc>
        <w:tc>
          <w:tcPr>
            <w:tcW w:w="819" w:type="pct"/>
            <w:noWrap/>
            <w:vAlign w:val="bottom"/>
          </w:tcPr>
          <w:p w:rsidR="0082133A" w:rsidRPr="00500D9F" w:rsidRDefault="0082133A" w:rsidP="0004583B">
            <w:pPr>
              <w:rPr>
                <w:rFonts w:ascii="Calibri" w:hAnsi="Calibri" w:cs="Arial"/>
                <w:b/>
                <w:bCs/>
                <w:sz w:val="16"/>
                <w:szCs w:val="16"/>
              </w:rPr>
            </w:pPr>
            <w:r w:rsidRPr="00500D9F">
              <w:rPr>
                <w:rFonts w:ascii="Calibri" w:hAnsi="Calibri" w:cs="Arial"/>
                <w:b/>
                <w:bCs/>
                <w:sz w:val="16"/>
                <w:szCs w:val="16"/>
              </w:rPr>
              <w:t>Notes</w:t>
            </w:r>
          </w:p>
        </w:tc>
      </w:tr>
      <w:tr w:rsidR="0082133A" w:rsidRPr="00500D9F">
        <w:trPr>
          <w:trHeight w:val="255"/>
        </w:trPr>
        <w:tc>
          <w:tcPr>
            <w:tcW w:w="337" w:type="pct"/>
            <w:tcBorders>
              <w:right w:val="nil"/>
            </w:tcBorders>
            <w:vAlign w:val="bottom"/>
          </w:tcPr>
          <w:p w:rsidR="0082133A" w:rsidRPr="00500D9F" w:rsidRDefault="0082133A" w:rsidP="00CE0CBB">
            <w:pPr>
              <w:rPr>
                <w:rFonts w:ascii="Calibri" w:hAnsi="Calibri" w:cs="Arial"/>
                <w:b/>
                <w:bCs/>
                <w:sz w:val="16"/>
                <w:szCs w:val="16"/>
                <w:u w:val="single"/>
              </w:rPr>
            </w:pPr>
            <w:r w:rsidRPr="00500D9F">
              <w:rPr>
                <w:rFonts w:ascii="Calibri" w:hAnsi="Calibri" w:cs="Arial"/>
                <w:b/>
                <w:bCs/>
                <w:sz w:val="16"/>
                <w:szCs w:val="16"/>
                <w:u w:val="single"/>
              </w:rPr>
              <w:t>DHB</w:t>
            </w:r>
          </w:p>
        </w:tc>
        <w:tc>
          <w:tcPr>
            <w:tcW w:w="449" w:type="pct"/>
            <w:tcBorders>
              <w:left w:val="nil"/>
              <w:bottom w:val="nil"/>
              <w:right w:val="nil"/>
            </w:tcBorders>
            <w:vAlign w:val="bottom"/>
          </w:tcPr>
          <w:p w:rsidR="0082133A" w:rsidRPr="00500D9F" w:rsidRDefault="0082133A" w:rsidP="00CE0CBB">
            <w:pPr>
              <w:rPr>
                <w:rFonts w:ascii="Calibri" w:hAnsi="Calibri" w:cs="Arial"/>
                <w:sz w:val="16"/>
                <w:szCs w:val="16"/>
              </w:rPr>
            </w:pPr>
          </w:p>
        </w:tc>
        <w:tc>
          <w:tcPr>
            <w:tcW w:w="357" w:type="pct"/>
            <w:tcBorders>
              <w:left w:val="nil"/>
              <w:bottom w:val="nil"/>
              <w:right w:val="nil"/>
            </w:tcBorders>
            <w:vAlign w:val="bottom"/>
          </w:tcPr>
          <w:p w:rsidR="0082133A" w:rsidRPr="00500D9F" w:rsidRDefault="0082133A" w:rsidP="00CE0CBB">
            <w:pPr>
              <w:jc w:val="center"/>
              <w:rPr>
                <w:rFonts w:ascii="Calibri" w:hAnsi="Calibri" w:cs="Arial"/>
                <w:b/>
                <w:bCs/>
                <w:sz w:val="16"/>
                <w:szCs w:val="16"/>
                <w:u w:val="single"/>
              </w:rPr>
            </w:pPr>
            <w:r w:rsidRPr="00500D9F">
              <w:rPr>
                <w:rFonts w:ascii="Calibri" w:hAnsi="Calibri" w:cs="Arial"/>
                <w:b/>
                <w:bCs/>
                <w:sz w:val="16"/>
                <w:szCs w:val="16"/>
                <w:u w:val="single"/>
              </w:rPr>
              <w:t>Products</w:t>
            </w:r>
          </w:p>
        </w:tc>
        <w:tc>
          <w:tcPr>
            <w:tcW w:w="423" w:type="pct"/>
            <w:tcBorders>
              <w:left w:val="nil"/>
              <w:bottom w:val="nil"/>
              <w:right w:val="nil"/>
            </w:tcBorders>
            <w:vAlign w:val="bottom"/>
          </w:tcPr>
          <w:p w:rsidR="0082133A" w:rsidRPr="00500D9F" w:rsidRDefault="0082133A" w:rsidP="00CE0CBB">
            <w:pPr>
              <w:rPr>
                <w:rFonts w:ascii="Calibri" w:hAnsi="Calibri" w:cs="Arial"/>
                <w:b/>
                <w:bCs/>
                <w:sz w:val="16"/>
                <w:szCs w:val="16"/>
                <w:u w:val="single"/>
              </w:rPr>
            </w:pPr>
            <w:r w:rsidRPr="00500D9F">
              <w:rPr>
                <w:rFonts w:ascii="Calibri" w:hAnsi="Calibri" w:cs="Arial"/>
                <w:b/>
                <w:bCs/>
                <w:sz w:val="16"/>
                <w:szCs w:val="16"/>
                <w:u w:val="single"/>
              </w:rPr>
              <w:t>Quantity Measure</w:t>
            </w:r>
          </w:p>
        </w:tc>
        <w:tc>
          <w:tcPr>
            <w:tcW w:w="420"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420"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478"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419"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800"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79"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Hawkes </w:t>
            </w:r>
          </w:p>
        </w:tc>
        <w:tc>
          <w:tcPr>
            <w:tcW w:w="449" w:type="pct"/>
            <w:tcBorders>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Staff</w:t>
            </w:r>
          </w:p>
        </w:tc>
        <w:tc>
          <w:tcPr>
            <w:tcW w:w="357" w:type="pct"/>
            <w:tcBorders>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13</w:t>
            </w:r>
          </w:p>
        </w:tc>
        <w:tc>
          <w:tcPr>
            <w:tcW w:w="423" w:type="pct"/>
            <w:tcBorders>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800" w:type="pct"/>
            <w:tcBorders>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79" w:type="pct"/>
            <w:tcBorders>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Bay</w:t>
            </w: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Supplies</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Item</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Cost = actual cost of item</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Recovery Theatre</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Day</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3</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Days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15</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15</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15</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15</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15</w:t>
            </w:r>
          </w:p>
        </w:tc>
        <w:tc>
          <w:tcPr>
            <w:tcW w:w="7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proofErr w:type="spellStart"/>
            <w:r w:rsidRPr="00500D9F">
              <w:rPr>
                <w:rFonts w:ascii="Calibri" w:hAnsi="Calibri" w:cs="Arial"/>
                <w:sz w:val="16"/>
                <w:szCs w:val="16"/>
              </w:rPr>
              <w:t>Preadmit</w:t>
            </w:r>
            <w:proofErr w:type="spellEnd"/>
            <w:r w:rsidRPr="00500D9F">
              <w:rPr>
                <w:rFonts w:ascii="Calibri" w:hAnsi="Calibri" w:cs="Arial"/>
                <w:sz w:val="16"/>
                <w:szCs w:val="16"/>
              </w:rPr>
              <w:t xml:space="preserve"> Clinic</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Attend</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7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jc w:val="cente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Northland</w:t>
            </w: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Staff</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28</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Range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Gynae</w:t>
            </w:r>
            <w:proofErr w:type="spellEnd"/>
            <w:r w:rsidRPr="00500D9F">
              <w:rPr>
                <w:rFonts w:ascii="Calibri" w:hAnsi="Calibri" w:cs="Arial"/>
                <w:sz w:val="16"/>
                <w:szCs w:val="16"/>
              </w:rPr>
              <w:t xml:space="preserve">&amp; complexity </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Supplies</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3</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Item</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Cost = actual cost of item</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Setup</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30</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Ent, </w:t>
            </w:r>
            <w:proofErr w:type="spellStart"/>
            <w:r w:rsidRPr="00500D9F">
              <w:rPr>
                <w:rFonts w:ascii="Calibri" w:hAnsi="Calibri" w:cs="Arial"/>
                <w:sz w:val="16"/>
                <w:szCs w:val="16"/>
              </w:rPr>
              <w:t>Gynaeetc</w:t>
            </w:r>
            <w:proofErr w:type="spellEnd"/>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Recovery Theatre</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0 - 1.28</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0 - 1.28</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0 - 1.28</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0 - 1.28</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0 - 1.28</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Day</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2</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Days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Nursing day - acuity and day stay</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Canterbury</w:t>
            </w: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Recovery Theatre</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10</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Range from 'Main Recovery', to Dental</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Recovery Theatre</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10</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MRSA</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Patient</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Operation extra nurse </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10</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.1</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Proc by </w:t>
            </w:r>
            <w:proofErr w:type="spellStart"/>
            <w:r w:rsidRPr="00500D9F">
              <w:rPr>
                <w:rFonts w:ascii="Calibri" w:hAnsi="Calibri" w:cs="Arial"/>
                <w:sz w:val="16"/>
                <w:szCs w:val="16"/>
              </w:rPr>
              <w:t>Dept</w:t>
            </w:r>
            <w:proofErr w:type="spellEnd"/>
            <w:r w:rsidRPr="00500D9F">
              <w:rPr>
                <w:rFonts w:ascii="Calibri" w:hAnsi="Calibri" w:cs="Arial"/>
                <w:sz w:val="16"/>
                <w:szCs w:val="16"/>
              </w:rPr>
              <w:t xml:space="preserve"> </w:t>
            </w:r>
            <w:proofErr w:type="spellStart"/>
            <w:r w:rsidRPr="00500D9F">
              <w:rPr>
                <w:rFonts w:ascii="Calibri" w:hAnsi="Calibri" w:cs="Arial"/>
                <w:sz w:val="16"/>
                <w:szCs w:val="16"/>
              </w:rPr>
              <w:t>eg</w:t>
            </w:r>
            <w:proofErr w:type="spellEnd"/>
            <w:r w:rsidRPr="00500D9F">
              <w:rPr>
                <w:rFonts w:ascii="Calibri" w:hAnsi="Calibri" w:cs="Arial"/>
                <w:sz w:val="16"/>
                <w:szCs w:val="16"/>
              </w:rPr>
              <w:t xml:space="preserve"> NICU extra nursing </w:t>
            </w:r>
            <w:proofErr w:type="spellStart"/>
            <w:r w:rsidRPr="00500D9F">
              <w:rPr>
                <w:rFonts w:ascii="Calibri" w:hAnsi="Calibri" w:cs="Arial"/>
                <w:sz w:val="16"/>
                <w:szCs w:val="16"/>
              </w:rPr>
              <w:t>etc</w:t>
            </w:r>
            <w:proofErr w:type="spellEnd"/>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 Staff</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6</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Minutes</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0 - .4</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Range from Main Theatres to DSU</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 xml:space="preserve">Operation </w:t>
            </w: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140</w:t>
            </w: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Operation</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2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78"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all 1</w:t>
            </w:r>
          </w:p>
        </w:tc>
        <w:tc>
          <w:tcPr>
            <w:tcW w:w="419"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.33 - 89</w:t>
            </w:r>
          </w:p>
        </w:tc>
        <w:tc>
          <w:tcPr>
            <w:tcW w:w="800" w:type="pct"/>
            <w:tcBorders>
              <w:top w:val="nil"/>
              <w:left w:val="nil"/>
              <w:right w:val="nil"/>
            </w:tcBorders>
            <w:noWrap/>
            <w:vAlign w:val="bottom"/>
          </w:tcPr>
          <w:p w:rsidR="0082133A" w:rsidRPr="00500D9F" w:rsidRDefault="0082133A" w:rsidP="0004583B">
            <w:pPr>
              <w:jc w:val="center"/>
              <w:rPr>
                <w:rFonts w:ascii="Calibri" w:hAnsi="Calibri" w:cs="Arial"/>
                <w:sz w:val="16"/>
                <w:szCs w:val="16"/>
              </w:rPr>
            </w:pPr>
            <w:r w:rsidRPr="00500D9F">
              <w:rPr>
                <w:rFonts w:ascii="Calibri" w:hAnsi="Calibri" w:cs="Arial"/>
                <w:sz w:val="16"/>
                <w:szCs w:val="16"/>
              </w:rPr>
              <w:t>0</w:t>
            </w: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Range from Ortho Hand Minor to</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357" w:type="pct"/>
            <w:tcBorders>
              <w:top w:val="nil"/>
              <w:left w:val="nil"/>
              <w:bottom w:val="nil"/>
              <w:right w:val="nil"/>
            </w:tcBorders>
            <w:vAlign w:val="bottom"/>
          </w:tcPr>
          <w:p w:rsidR="0082133A" w:rsidRPr="00500D9F" w:rsidRDefault="0082133A" w:rsidP="0004583B">
            <w:pPr>
              <w:jc w:val="center"/>
              <w:rPr>
                <w:rFonts w:ascii="Calibri" w:hAnsi="Calibri" w:cs="Arial"/>
                <w:sz w:val="16"/>
                <w:szCs w:val="16"/>
              </w:rPr>
            </w:pPr>
          </w:p>
        </w:tc>
        <w:tc>
          <w:tcPr>
            <w:tcW w:w="423" w:type="pct"/>
            <w:tcBorders>
              <w:top w:val="nil"/>
              <w:left w:val="nil"/>
              <w:bottom w:val="nil"/>
              <w:right w:val="nil"/>
            </w:tcBorders>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78"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1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0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bottom w:val="nil"/>
            </w:tcBorders>
            <w:noWrap/>
            <w:vAlign w:val="bottom"/>
          </w:tcPr>
          <w:p w:rsidR="0082133A" w:rsidRPr="00500D9F" w:rsidRDefault="0082133A" w:rsidP="0004583B">
            <w:pPr>
              <w:rPr>
                <w:rFonts w:ascii="Calibri" w:hAnsi="Calibri" w:cs="Arial"/>
                <w:sz w:val="16"/>
                <w:szCs w:val="16"/>
              </w:rPr>
            </w:pPr>
            <w:r w:rsidRPr="00500D9F">
              <w:rPr>
                <w:rFonts w:ascii="Calibri" w:hAnsi="Calibri" w:cs="Arial"/>
                <w:sz w:val="16"/>
                <w:szCs w:val="16"/>
              </w:rPr>
              <w:t>Plastics Hand Maj ADHL.</w:t>
            </w:r>
          </w:p>
        </w:tc>
      </w:tr>
      <w:tr w:rsidR="0082133A" w:rsidRPr="00500D9F">
        <w:trPr>
          <w:trHeight w:val="255"/>
        </w:trPr>
        <w:tc>
          <w:tcPr>
            <w:tcW w:w="337" w:type="pct"/>
            <w:tcBorders>
              <w:top w:val="nil"/>
              <w:right w:val="nil"/>
            </w:tcBorders>
            <w:vAlign w:val="bottom"/>
          </w:tcPr>
          <w:p w:rsidR="0082133A" w:rsidRPr="00500D9F" w:rsidRDefault="0082133A" w:rsidP="0004583B">
            <w:pPr>
              <w:rPr>
                <w:rFonts w:ascii="Calibri" w:hAnsi="Calibri" w:cs="Arial"/>
                <w:sz w:val="16"/>
                <w:szCs w:val="16"/>
              </w:rPr>
            </w:pPr>
          </w:p>
        </w:tc>
        <w:tc>
          <w:tcPr>
            <w:tcW w:w="449" w:type="pct"/>
            <w:tcBorders>
              <w:top w:val="nil"/>
              <w:left w:val="nil"/>
              <w:right w:val="nil"/>
            </w:tcBorders>
            <w:vAlign w:val="bottom"/>
          </w:tcPr>
          <w:p w:rsidR="0082133A" w:rsidRPr="00500D9F" w:rsidRDefault="0082133A" w:rsidP="0004583B">
            <w:pPr>
              <w:rPr>
                <w:rFonts w:ascii="Calibri" w:hAnsi="Calibri" w:cs="Arial"/>
                <w:sz w:val="16"/>
                <w:szCs w:val="16"/>
              </w:rPr>
            </w:pPr>
          </w:p>
        </w:tc>
        <w:tc>
          <w:tcPr>
            <w:tcW w:w="357" w:type="pct"/>
            <w:tcBorders>
              <w:top w:val="nil"/>
              <w:left w:val="nil"/>
              <w:right w:val="nil"/>
            </w:tcBorders>
            <w:vAlign w:val="bottom"/>
          </w:tcPr>
          <w:p w:rsidR="0082133A" w:rsidRPr="00500D9F" w:rsidRDefault="0082133A" w:rsidP="0004583B">
            <w:pPr>
              <w:jc w:val="center"/>
              <w:rPr>
                <w:rFonts w:ascii="Calibri" w:hAnsi="Calibri" w:cs="Arial"/>
                <w:sz w:val="16"/>
                <w:szCs w:val="16"/>
              </w:rPr>
            </w:pPr>
          </w:p>
        </w:tc>
        <w:tc>
          <w:tcPr>
            <w:tcW w:w="423" w:type="pct"/>
            <w:tcBorders>
              <w:top w:val="nil"/>
              <w:left w:val="nil"/>
              <w:right w:val="nil"/>
            </w:tcBorders>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2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78"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41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00"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79" w:type="pct"/>
            <w:tcBorders>
              <w:top w:val="nil"/>
              <w:left w:val="nil"/>
              <w:right w:val="nil"/>
            </w:tcBorders>
            <w:noWrap/>
            <w:vAlign w:val="bottom"/>
          </w:tcPr>
          <w:p w:rsidR="0082133A" w:rsidRPr="00500D9F" w:rsidRDefault="0082133A" w:rsidP="0004583B">
            <w:pPr>
              <w:rPr>
                <w:rFonts w:ascii="Calibri" w:hAnsi="Calibri" w:cs="Arial"/>
                <w:sz w:val="16"/>
                <w:szCs w:val="16"/>
              </w:rPr>
            </w:pPr>
          </w:p>
        </w:tc>
        <w:tc>
          <w:tcPr>
            <w:tcW w:w="819" w:type="pct"/>
            <w:tcBorders>
              <w:top w:val="nil"/>
              <w:left w:val="nil"/>
            </w:tcBorders>
            <w:noWrap/>
            <w:vAlign w:val="bottom"/>
          </w:tcPr>
          <w:p w:rsidR="0082133A" w:rsidRPr="00500D9F" w:rsidRDefault="0082133A" w:rsidP="0004583B">
            <w:pPr>
              <w:rPr>
                <w:rFonts w:ascii="Calibri" w:hAnsi="Calibri" w:cs="Arial"/>
                <w:sz w:val="16"/>
                <w:szCs w:val="16"/>
              </w:rPr>
            </w:pPr>
          </w:p>
        </w:tc>
      </w:tr>
    </w:tbl>
    <w:p w:rsidR="0082133A" w:rsidRPr="00500D9F" w:rsidRDefault="0082133A" w:rsidP="006D57FF">
      <w:pPr>
        <w:rPr>
          <w:rFonts w:ascii="Calibri" w:hAnsi="Calibri" w:cs="Arial"/>
        </w:rPr>
        <w:sectPr w:rsidR="0082133A" w:rsidRPr="00500D9F" w:rsidSect="0073266B">
          <w:pgSz w:w="16840" w:h="11907" w:orient="landscape" w:code="9"/>
          <w:pgMar w:top="454" w:right="1440" w:bottom="454" w:left="540" w:header="709" w:footer="709" w:gutter="0"/>
          <w:cols w:space="708"/>
          <w:docGrid w:linePitch="360"/>
        </w:sectPr>
      </w:pPr>
    </w:p>
    <w:p w:rsidR="0082133A" w:rsidRPr="00500D9F" w:rsidRDefault="0082133A" w:rsidP="006D57FF">
      <w:pPr>
        <w:rPr>
          <w:rFonts w:ascii="Calibri" w:hAnsi="Calibri" w:cs="Arial"/>
        </w:rPr>
      </w:pPr>
      <w:r w:rsidRPr="00500D9F">
        <w:rPr>
          <w:rFonts w:ascii="Calibri" w:hAnsi="Calibri" w:cs="Arial"/>
        </w:rPr>
        <w:lastRenderedPageBreak/>
        <w:t>Although there is a considerable difference in the number of products used between DHBs to cost theatre services, all DHBs allocate staff costs based on the patients time in theatre. Therefore as a guide this approach should continue to be adopted in future.</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If the actual supply cost per operation can be identified then this should be used in the costing process otherwise an allocation basis based on either time or a predetermined RVU should be used.</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 xml:space="preserve">If additional theatre activity </w:t>
      </w:r>
      <w:proofErr w:type="spellStart"/>
      <w:r w:rsidRPr="00500D9F">
        <w:rPr>
          <w:rFonts w:ascii="Calibri" w:hAnsi="Calibri" w:cs="Arial"/>
        </w:rPr>
        <w:t>ie</w:t>
      </w:r>
      <w:proofErr w:type="spellEnd"/>
      <w:r w:rsidRPr="00500D9F">
        <w:rPr>
          <w:rFonts w:ascii="Calibri" w:hAnsi="Calibri" w:cs="Arial"/>
        </w:rPr>
        <w:t xml:space="preserve"> activity in addition to the actual operating time </w:t>
      </w:r>
      <w:proofErr w:type="spellStart"/>
      <w:r w:rsidRPr="00500D9F">
        <w:rPr>
          <w:rFonts w:ascii="Calibri" w:hAnsi="Calibri" w:cs="Arial"/>
        </w:rPr>
        <w:t>eg</w:t>
      </w:r>
      <w:proofErr w:type="spellEnd"/>
      <w:r w:rsidRPr="00500D9F">
        <w:rPr>
          <w:rFonts w:ascii="Calibri" w:hAnsi="Calibri" w:cs="Arial"/>
        </w:rPr>
        <w:t xml:space="preserve"> recover room, theatre setup </w:t>
      </w:r>
      <w:proofErr w:type="spellStart"/>
      <w:r w:rsidRPr="00500D9F">
        <w:rPr>
          <w:rFonts w:ascii="Calibri" w:hAnsi="Calibri" w:cs="Arial"/>
        </w:rPr>
        <w:t>etc</w:t>
      </w:r>
      <w:proofErr w:type="spellEnd"/>
      <w:r w:rsidRPr="00500D9F">
        <w:rPr>
          <w:rFonts w:ascii="Calibri" w:hAnsi="Calibri" w:cs="Arial"/>
        </w:rPr>
        <w:t xml:space="preserve"> can be measured per operation then it should be captured and separately costed.</w:t>
      </w:r>
    </w:p>
    <w:p w:rsidR="0082133A" w:rsidRPr="00500D9F" w:rsidRDefault="0082133A" w:rsidP="006D57FF">
      <w:pPr>
        <w:rPr>
          <w:rFonts w:ascii="Calibri" w:hAnsi="Calibri" w:cs="Arial"/>
          <w:b/>
          <w:bCs/>
        </w:rPr>
      </w:pPr>
    </w:p>
    <w:p w:rsidR="0082133A" w:rsidRPr="00500D9F" w:rsidRDefault="0082133A" w:rsidP="00A739A7">
      <w:pPr>
        <w:pStyle w:val="Heading3"/>
        <w:rPr>
          <w:rFonts w:ascii="Calibri" w:hAnsi="Calibri"/>
        </w:rPr>
      </w:pPr>
      <w:bookmarkStart w:id="21" w:name="_Toc530662746"/>
      <w:r w:rsidRPr="00500D9F">
        <w:rPr>
          <w:rFonts w:ascii="Calibri" w:hAnsi="Calibri"/>
        </w:rPr>
        <w:t>3) Theatre/Procedure Room Overheads</w:t>
      </w:r>
      <w:bookmarkEnd w:id="21"/>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Overall indirect costs comprised approximately 29% of the total theatre costs. The range between DHBs was 14% to 50%. Currently however, all DHBs who participated in the survey include sterile supply expenses in theatre overhead costs. From 2008/2009 onwards the Common Costing Standards specify that sterile supply costs should be reported as direct costs in their own product cost pool. Therefore it is anticipated that reported theatre overheads will reduce in future.</w:t>
      </w:r>
    </w:p>
    <w:p w:rsidR="0082133A" w:rsidRPr="00500D9F" w:rsidRDefault="0082133A" w:rsidP="006D57FF">
      <w:pPr>
        <w:rPr>
          <w:rFonts w:ascii="Calibri" w:hAnsi="Calibri" w:cs="Arial"/>
          <w:b/>
          <w:bCs/>
          <w:u w:val="single"/>
        </w:rPr>
      </w:pPr>
    </w:p>
    <w:p w:rsidR="0082133A" w:rsidRPr="00500D9F" w:rsidRDefault="0082133A" w:rsidP="006D57FF">
      <w:pPr>
        <w:rPr>
          <w:rFonts w:ascii="Calibri" w:hAnsi="Calibri" w:cs="Arial"/>
          <w:b/>
          <w:bCs/>
          <w:u w:val="single"/>
        </w:rPr>
      </w:pPr>
      <w:r w:rsidRPr="00500D9F">
        <w:rPr>
          <w:rFonts w:ascii="Calibri" w:hAnsi="Calibri" w:cs="Arial"/>
          <w:b/>
          <w:bCs/>
          <w:u w:val="single"/>
        </w:rPr>
        <w:t>NOTES</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 xml:space="preserve">Number of DHBs included in survey;- </w:t>
      </w:r>
      <w:r w:rsidRPr="00500D9F">
        <w:rPr>
          <w:rFonts w:ascii="Calibri" w:hAnsi="Calibri" w:cs="Arial"/>
        </w:rPr>
        <w:tab/>
        <w:t>11</w:t>
      </w:r>
    </w:p>
    <w:p w:rsidR="0082133A" w:rsidRPr="00500D9F" w:rsidRDefault="0082133A" w:rsidP="006D57FF">
      <w:pPr>
        <w:rPr>
          <w:rFonts w:ascii="Calibri" w:hAnsi="Calibri" w:cs="Arial"/>
        </w:rPr>
      </w:pPr>
    </w:p>
    <w:p w:rsidR="0082133A" w:rsidRPr="00500D9F" w:rsidRDefault="0082133A" w:rsidP="006D57FF">
      <w:pPr>
        <w:rPr>
          <w:rFonts w:ascii="Calibri" w:hAnsi="Calibri" w:cs="Arial"/>
        </w:rPr>
      </w:pPr>
      <w:r w:rsidRPr="00500D9F">
        <w:rPr>
          <w:rFonts w:ascii="Calibri" w:hAnsi="Calibri" w:cs="Arial"/>
        </w:rPr>
        <w:t>Date of survey;-</w:t>
      </w:r>
      <w:r w:rsidRPr="00500D9F">
        <w:rPr>
          <w:rFonts w:ascii="Calibri" w:hAnsi="Calibri" w:cs="Arial"/>
        </w:rPr>
        <w:tab/>
      </w:r>
      <w:r w:rsidRPr="00500D9F">
        <w:rPr>
          <w:rFonts w:ascii="Calibri" w:hAnsi="Calibri" w:cs="Arial"/>
        </w:rPr>
        <w:tab/>
      </w:r>
      <w:r w:rsidRPr="00500D9F">
        <w:rPr>
          <w:rFonts w:ascii="Calibri" w:hAnsi="Calibri" w:cs="Arial"/>
        </w:rPr>
        <w:tab/>
      </w:r>
      <w:r w:rsidRPr="00500D9F">
        <w:rPr>
          <w:rFonts w:ascii="Calibri" w:hAnsi="Calibri" w:cs="Arial"/>
        </w:rPr>
        <w:tab/>
        <w:t>September 2008</w:t>
      </w: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pPr>
    </w:p>
    <w:p w:rsidR="0082133A" w:rsidRPr="00500D9F" w:rsidRDefault="0082133A" w:rsidP="00F17797">
      <w:pPr>
        <w:rPr>
          <w:rFonts w:ascii="Calibri" w:hAnsi="Calibri" w:cs="Arial"/>
        </w:rPr>
        <w:sectPr w:rsidR="0082133A" w:rsidRPr="00500D9F" w:rsidSect="00404910">
          <w:pgSz w:w="11906" w:h="16838"/>
          <w:pgMar w:top="1440" w:right="1259" w:bottom="1440" w:left="902" w:header="709" w:footer="709" w:gutter="0"/>
          <w:cols w:space="708"/>
          <w:docGrid w:linePitch="360"/>
        </w:sectPr>
      </w:pPr>
    </w:p>
    <w:p w:rsidR="0082133A" w:rsidRPr="00500D9F" w:rsidRDefault="0082133A" w:rsidP="00D80001">
      <w:pPr>
        <w:pStyle w:val="Heading1"/>
        <w:rPr>
          <w:rFonts w:ascii="Calibri" w:hAnsi="Calibri"/>
          <w:kern w:val="0"/>
          <w:u w:val="single"/>
        </w:rPr>
      </w:pPr>
      <w:bookmarkStart w:id="22" w:name="_Toc530662747"/>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w:t>
      </w:r>
      <w:r w:rsidRPr="00500D9F">
        <w:rPr>
          <w:rFonts w:ascii="Calibri" w:hAnsi="Calibri"/>
          <w:kern w:val="0"/>
          <w:u w:val="single"/>
        </w:rPr>
        <w:t xml:space="preserve">4: </w:t>
      </w:r>
      <w:r w:rsidRPr="00500D9F">
        <w:rPr>
          <w:rFonts w:ascii="Calibri" w:hAnsi="Calibri"/>
          <w:u w:val="single"/>
        </w:rPr>
        <w:t>WARDS (CS7.7.2 (A010)</w:t>
      </w:r>
      <w:bookmarkEnd w:id="22"/>
    </w:p>
    <w:tbl>
      <w:tblPr>
        <w:tblW w:w="10274" w:type="dxa"/>
        <w:tblInd w:w="106" w:type="dxa"/>
        <w:tblLook w:val="0000" w:firstRow="0" w:lastRow="0" w:firstColumn="0" w:lastColumn="0" w:noHBand="0" w:noVBand="0"/>
      </w:tblPr>
      <w:tblGrid>
        <w:gridCol w:w="1185"/>
        <w:gridCol w:w="2148"/>
        <w:gridCol w:w="1360"/>
        <w:gridCol w:w="529"/>
        <w:gridCol w:w="688"/>
        <w:gridCol w:w="1084"/>
        <w:gridCol w:w="3280"/>
      </w:tblGrid>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The costs of providing the inpatient and day patient care within a Ward setting.</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b/>
                <w:bCs/>
                <w:sz w:val="20"/>
                <w:szCs w:val="20"/>
                <w:lang w:val="en-US"/>
              </w:rPr>
              <w:t>Hierarchy of Products</w:t>
            </w:r>
          </w:p>
        </w:tc>
      </w:tr>
      <w:tr w:rsidR="0082133A" w:rsidRPr="00500D9F">
        <w:trPr>
          <w:trHeight w:val="28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Level 1</w:t>
            </w:r>
          </w:p>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day per ward</w:t>
            </w:r>
          </w:p>
        </w:tc>
      </w:tr>
      <w:tr w:rsidR="0082133A" w:rsidRPr="00500D9F">
        <w:trPr>
          <w:trHeight w:val="28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Day Case</w:t>
            </w:r>
          </w:p>
        </w:tc>
      </w:tr>
      <w:tr w:rsidR="0082133A" w:rsidRPr="00500D9F">
        <w:trPr>
          <w:trHeight w:val="28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Level 2</w:t>
            </w: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Ward Days by Specialty</w:t>
            </w:r>
          </w:p>
        </w:tc>
      </w:tr>
      <w:tr w:rsidR="0082133A" w:rsidRPr="00500D9F">
        <w:trPr>
          <w:trHeight w:val="28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Level 3</w:t>
            </w: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Ward Days or Ward hours split by specialty and actual ward</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Level 4 </w:t>
            </w: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Ward days or hours split by acuity / dependency system</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Level 5 </w:t>
            </w: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Acuity by shift or time of day ward hour differentiation</w:t>
            </w:r>
          </w:p>
        </w:tc>
      </w:tr>
      <w:tr w:rsidR="0082133A" w:rsidRPr="00500D9F">
        <w:trPr>
          <w:trHeight w:val="285"/>
        </w:trPr>
        <w:tc>
          <w:tcPr>
            <w:tcW w:w="10274" w:type="dxa"/>
            <w:gridSpan w:val="7"/>
            <w:tcBorders>
              <w:top w:val="nil"/>
              <w:left w:val="nil"/>
              <w:bottom w:val="nil"/>
              <w:right w:val="nil"/>
            </w:tcBorders>
            <w:noWrap/>
          </w:tcPr>
          <w:p w:rsidR="0082133A" w:rsidRPr="00500D9F" w:rsidRDefault="0082133A" w:rsidP="00FC47A6">
            <w:pPr>
              <w:jc w:val="left"/>
              <w:rPr>
                <w:rFonts w:ascii="Calibri" w:hAnsi="Calibri" w:cs="Arial"/>
                <w:sz w:val="20"/>
                <w:szCs w:val="20"/>
                <w:lang w:val="en-US"/>
              </w:rPr>
            </w:pPr>
          </w:p>
        </w:tc>
      </w:tr>
      <w:tr w:rsidR="0082133A" w:rsidRPr="00500D9F">
        <w:trPr>
          <w:trHeight w:val="315"/>
        </w:trPr>
        <w:tc>
          <w:tcPr>
            <w:tcW w:w="10274" w:type="dxa"/>
            <w:gridSpan w:val="7"/>
            <w:tcBorders>
              <w:top w:val="nil"/>
              <w:left w:val="nil"/>
              <w:bottom w:val="nil"/>
              <w:right w:val="nil"/>
            </w:tcBorders>
            <w:noWrap/>
            <w:vAlign w:val="bottom"/>
          </w:tcPr>
          <w:p w:rsidR="0082133A" w:rsidRPr="00500D9F" w:rsidRDefault="0082133A" w:rsidP="002337FA">
            <w:pPr>
              <w:jc w:val="left"/>
              <w:rPr>
                <w:rFonts w:ascii="Calibri" w:hAnsi="Calibri" w:cs="Arial"/>
                <w:b/>
                <w:bCs/>
                <w:sz w:val="20"/>
                <w:szCs w:val="20"/>
                <w:lang w:val="en-US"/>
              </w:rPr>
            </w:pPr>
            <w:r w:rsidRPr="00500D9F">
              <w:rPr>
                <w:rFonts w:ascii="Calibri" w:hAnsi="Calibri" w:cs="Arial"/>
                <w:b/>
                <w:bCs/>
                <w:sz w:val="20"/>
                <w:szCs w:val="20"/>
                <w:lang w:val="en-US"/>
              </w:rPr>
              <w:t>WARD DEPARTMENT (A010) GUIDELINES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The following are guidelines that can be used by DHBs when determining how to cost Ward products/activity.</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They are based on the methodology currently used and found by DHBs to be successful.</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The guidelines were created using data from the following District Health Boards;-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HawkesBay</w:t>
            </w:r>
          </w:p>
        </w:tc>
        <w:tc>
          <w:tcPr>
            <w:tcW w:w="1889"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Mid Central</w:t>
            </w:r>
          </w:p>
        </w:tc>
        <w:tc>
          <w:tcPr>
            <w:tcW w:w="68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Northland</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Lakes</w:t>
            </w:r>
          </w:p>
        </w:tc>
        <w:tc>
          <w:tcPr>
            <w:tcW w:w="6941" w:type="dxa"/>
            <w:gridSpan w:val="5"/>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Auckland</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Waitemata</w:t>
            </w:r>
            <w:proofErr w:type="spellEnd"/>
          </w:p>
        </w:tc>
        <w:tc>
          <w:tcPr>
            <w:tcW w:w="6941" w:type="dxa"/>
            <w:gridSpan w:val="5"/>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Counties </w:t>
            </w:r>
            <w:proofErr w:type="spellStart"/>
            <w:r w:rsidRPr="00500D9F">
              <w:rPr>
                <w:rFonts w:ascii="Calibri" w:hAnsi="Calibri" w:cs="Arial"/>
                <w:sz w:val="20"/>
                <w:szCs w:val="20"/>
                <w:lang w:val="en-US"/>
              </w:rPr>
              <w:t>Manukau</w:t>
            </w:r>
            <w:proofErr w:type="spellEnd"/>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Waikato</w:t>
            </w:r>
          </w:p>
        </w:tc>
        <w:tc>
          <w:tcPr>
            <w:tcW w:w="6941" w:type="dxa"/>
            <w:gridSpan w:val="5"/>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Wairarapa</w:t>
            </w:r>
            <w:proofErr w:type="spellEnd"/>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315"/>
        </w:trPr>
        <w:tc>
          <w:tcPr>
            <w:tcW w:w="10274" w:type="dxa"/>
            <w:gridSpan w:val="7"/>
            <w:tcBorders>
              <w:top w:val="nil"/>
              <w:left w:val="nil"/>
              <w:bottom w:val="nil"/>
              <w:right w:val="nil"/>
            </w:tcBorders>
            <w:noWrap/>
            <w:vAlign w:val="bottom"/>
          </w:tcPr>
          <w:p w:rsidR="0082133A" w:rsidRPr="00500D9F" w:rsidRDefault="0082133A" w:rsidP="00A739A7">
            <w:pPr>
              <w:pStyle w:val="Heading3"/>
              <w:rPr>
                <w:rFonts w:ascii="Calibri" w:hAnsi="Calibri"/>
              </w:rPr>
            </w:pPr>
            <w:bookmarkStart w:id="23" w:name="_Toc530662748"/>
            <w:r w:rsidRPr="00500D9F">
              <w:rPr>
                <w:rFonts w:ascii="Calibri" w:hAnsi="Calibri"/>
              </w:rPr>
              <w:t>1) Ward</w:t>
            </w:r>
            <w:r w:rsidR="00817C50">
              <w:rPr>
                <w:rFonts w:ascii="Calibri" w:hAnsi="Calibri"/>
              </w:rPr>
              <w:t>/</w:t>
            </w:r>
            <w:r w:rsidRPr="00500D9F">
              <w:rPr>
                <w:rFonts w:ascii="Calibri" w:hAnsi="Calibri"/>
              </w:rPr>
              <w:t>Department Products/Activity</w:t>
            </w:r>
            <w:bookmarkEnd w:id="23"/>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To cost Wards DHBs should have products at least to the level of bed days and day cases/patients. Most DHBs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go further than this and define their bed days at the </w:t>
            </w: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 xml:space="preserve"> level. A number go further still and record bed days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at the </w:t>
            </w: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 xml:space="preserve"> level with some form  of acuity.</w:t>
            </w:r>
          </w:p>
        </w:tc>
      </w:tr>
      <w:tr w:rsidR="0082133A" w:rsidRPr="00500D9F">
        <w:trPr>
          <w:trHeight w:val="31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The following products/activity are counted and costed by the DHBs who contributed to the survey;-</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510"/>
        </w:trPr>
        <w:tc>
          <w:tcPr>
            <w:tcW w:w="1185" w:type="dxa"/>
            <w:tcBorders>
              <w:top w:val="nil"/>
              <w:left w:val="nil"/>
              <w:bottom w:val="nil"/>
              <w:right w:val="nil"/>
            </w:tcBorders>
            <w:vAlign w:val="bottom"/>
          </w:tcPr>
          <w:p w:rsidR="0082133A" w:rsidRPr="00500D9F" w:rsidRDefault="0082133A" w:rsidP="00FC47A6">
            <w:pPr>
              <w:jc w:val="left"/>
              <w:rPr>
                <w:rFonts w:ascii="Calibri" w:hAnsi="Calibri" w:cs="Arial"/>
                <w:b/>
                <w:bCs/>
                <w:sz w:val="20"/>
                <w:szCs w:val="20"/>
                <w:lang w:val="en-US"/>
              </w:rPr>
            </w:pPr>
            <w:r w:rsidRPr="00500D9F">
              <w:rPr>
                <w:rFonts w:ascii="Calibri" w:hAnsi="Calibri" w:cs="Arial"/>
                <w:b/>
                <w:bCs/>
                <w:sz w:val="20"/>
                <w:szCs w:val="20"/>
                <w:lang w:val="en-US"/>
              </w:rPr>
              <w:t>Unit of Measure</w:t>
            </w:r>
          </w:p>
        </w:tc>
        <w:tc>
          <w:tcPr>
            <w:tcW w:w="2148" w:type="dxa"/>
            <w:tcBorders>
              <w:top w:val="nil"/>
              <w:left w:val="nil"/>
              <w:bottom w:val="nil"/>
              <w:right w:val="nil"/>
            </w:tcBorders>
            <w:vAlign w:val="bottom"/>
          </w:tcPr>
          <w:p w:rsidR="0082133A" w:rsidRPr="00500D9F" w:rsidRDefault="0082133A" w:rsidP="00FC47A6">
            <w:pPr>
              <w:jc w:val="left"/>
              <w:rPr>
                <w:rFonts w:ascii="Calibri" w:hAnsi="Calibri" w:cs="Arial"/>
                <w:b/>
                <w:bCs/>
                <w:sz w:val="20"/>
                <w:szCs w:val="20"/>
                <w:lang w:val="en-US"/>
              </w:rPr>
            </w:pPr>
            <w:r w:rsidRPr="00500D9F">
              <w:rPr>
                <w:rFonts w:ascii="Calibri" w:hAnsi="Calibri" w:cs="Arial"/>
                <w:b/>
                <w:bCs/>
                <w:sz w:val="20"/>
                <w:szCs w:val="20"/>
                <w:lang w:val="en-US"/>
              </w:rPr>
              <w:t>Product Level</w:t>
            </w:r>
          </w:p>
        </w:tc>
        <w:tc>
          <w:tcPr>
            <w:tcW w:w="1360" w:type="dxa"/>
            <w:tcBorders>
              <w:top w:val="nil"/>
              <w:left w:val="nil"/>
              <w:bottom w:val="nil"/>
              <w:right w:val="nil"/>
            </w:tcBorders>
            <w:vAlign w:val="bottom"/>
          </w:tcPr>
          <w:p w:rsidR="0082133A" w:rsidRPr="00500D9F" w:rsidRDefault="0082133A" w:rsidP="00FC47A6">
            <w:pPr>
              <w:jc w:val="left"/>
              <w:rPr>
                <w:rFonts w:ascii="Calibri" w:hAnsi="Calibri" w:cs="Arial"/>
                <w:b/>
                <w:bCs/>
                <w:sz w:val="20"/>
                <w:szCs w:val="20"/>
                <w:lang w:val="en-US"/>
              </w:rPr>
            </w:pPr>
            <w:r w:rsidRPr="00500D9F">
              <w:rPr>
                <w:rFonts w:ascii="Calibri" w:hAnsi="Calibri" w:cs="Arial"/>
                <w:b/>
                <w:bCs/>
                <w:sz w:val="20"/>
                <w:szCs w:val="20"/>
                <w:lang w:val="en-US"/>
              </w:rPr>
              <w:t>Example</w:t>
            </w: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vAlign w:val="bottom"/>
          </w:tcPr>
          <w:p w:rsidR="0082133A" w:rsidRPr="00500D9F" w:rsidRDefault="0082133A" w:rsidP="00FC47A6">
            <w:pPr>
              <w:jc w:val="center"/>
              <w:rPr>
                <w:rFonts w:ascii="Calibri" w:hAnsi="Calibri" w:cs="Arial"/>
                <w:b/>
                <w:bCs/>
                <w:sz w:val="20"/>
                <w:szCs w:val="20"/>
                <w:lang w:val="en-US"/>
              </w:rPr>
            </w:pPr>
            <w:r w:rsidRPr="00500D9F">
              <w:rPr>
                <w:rFonts w:ascii="Calibri" w:hAnsi="Calibri" w:cs="Arial"/>
                <w:b/>
                <w:bCs/>
                <w:sz w:val="20"/>
                <w:szCs w:val="20"/>
                <w:lang w:val="en-US"/>
              </w:rPr>
              <w:t>Number of DHBs</w:t>
            </w:r>
          </w:p>
        </w:tc>
        <w:tc>
          <w:tcPr>
            <w:tcW w:w="3280" w:type="dxa"/>
            <w:tcBorders>
              <w:top w:val="nil"/>
              <w:left w:val="nil"/>
              <w:bottom w:val="nil"/>
              <w:right w:val="nil"/>
            </w:tcBorders>
            <w:vAlign w:val="bottom"/>
          </w:tcPr>
          <w:p w:rsidR="0082133A" w:rsidRPr="00500D9F" w:rsidRDefault="0082133A" w:rsidP="00FC47A6">
            <w:pPr>
              <w:jc w:val="center"/>
              <w:rPr>
                <w:rFonts w:ascii="Calibri" w:hAnsi="Calibri" w:cs="Arial"/>
                <w:b/>
                <w:bCs/>
                <w:sz w:val="20"/>
                <w:szCs w:val="20"/>
                <w:lang w:val="en-US"/>
              </w:rPr>
            </w:pPr>
            <w:r w:rsidRPr="00500D9F">
              <w:rPr>
                <w:rFonts w:ascii="Calibri" w:hAnsi="Calibri" w:cs="Arial"/>
                <w:b/>
                <w:bCs/>
                <w:sz w:val="20"/>
                <w:szCs w:val="20"/>
                <w:lang w:val="en-US"/>
              </w:rPr>
              <w:t>Notes</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Day</w:t>
            </w: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Day</w:t>
            </w: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Day</w:t>
            </w:r>
          </w:p>
        </w:tc>
        <w:tc>
          <w:tcPr>
            <w:tcW w:w="1217" w:type="dxa"/>
            <w:gridSpan w:val="2"/>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3</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Generic day for all Wards.</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w:t>
            </w: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Medical</w:t>
            </w:r>
          </w:p>
        </w:tc>
        <w:tc>
          <w:tcPr>
            <w:tcW w:w="1217" w:type="dxa"/>
            <w:gridSpan w:val="2"/>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4</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For the majority of DHBs </w:t>
            </w:r>
            <w:proofErr w:type="spellStart"/>
            <w:r w:rsidRPr="00500D9F">
              <w:rPr>
                <w:rFonts w:ascii="Calibri" w:hAnsi="Calibri" w:cs="Arial"/>
                <w:sz w:val="20"/>
                <w:szCs w:val="20"/>
                <w:lang w:val="en-US"/>
              </w:rPr>
              <w:t>speciality</w:t>
            </w:r>
            <w:proofErr w:type="spellEnd"/>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Surgical </w:t>
            </w: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is determined by the ward.</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Mental Health</w:t>
            </w: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/Ward-Acuity</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Nursing Day Shift Acuity</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2</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Three levels - Day, Evening, Night. </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Nursing Dependency 1-5</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Includes default level when</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dependency not recorded.</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/Ward-DRG</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day - A - Z64B</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DRG weight used to </w:t>
            </w:r>
            <w:proofErr w:type="spellStart"/>
            <w:r w:rsidRPr="00500D9F">
              <w:rPr>
                <w:rFonts w:ascii="Calibri" w:hAnsi="Calibri" w:cs="Arial"/>
                <w:sz w:val="20"/>
                <w:szCs w:val="20"/>
                <w:lang w:val="en-US"/>
              </w:rPr>
              <w:t>spreadimprest</w:t>
            </w:r>
            <w:proofErr w:type="spellEnd"/>
            <w:r w:rsidRPr="00500D9F">
              <w:rPr>
                <w:rFonts w:ascii="Calibri" w:hAnsi="Calibri" w:cs="Arial"/>
                <w:sz w:val="20"/>
                <w:szCs w:val="20"/>
                <w:lang w:val="en-US"/>
              </w:rPr>
              <w:t xml:space="preserve"> drug costs.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lastRenderedPageBreak/>
              <w:t>Bed Hours</w:t>
            </w: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Hours</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Hours</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Antenatal </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Only used to cost the Obstetric</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Postnatal</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service.</w:t>
            </w:r>
          </w:p>
        </w:tc>
      </w:tr>
      <w:tr w:rsidR="0082133A" w:rsidRPr="00500D9F">
        <w:trPr>
          <w:trHeight w:val="510"/>
        </w:trPr>
        <w:tc>
          <w:tcPr>
            <w:tcW w:w="1185" w:type="dxa"/>
            <w:tcBorders>
              <w:top w:val="nil"/>
              <w:left w:val="nil"/>
              <w:bottom w:val="nil"/>
              <w:right w:val="nil"/>
            </w:tcBorders>
            <w:vAlign w:val="bottom"/>
          </w:tcPr>
          <w:p w:rsidR="0082133A" w:rsidRPr="00500D9F" w:rsidRDefault="0082133A" w:rsidP="00FC47A6">
            <w:pPr>
              <w:jc w:val="left"/>
              <w:rPr>
                <w:rFonts w:ascii="Calibri" w:hAnsi="Calibri" w:cs="Arial"/>
                <w:b/>
                <w:bCs/>
                <w:sz w:val="20"/>
                <w:szCs w:val="20"/>
                <w:lang w:val="en-US"/>
              </w:rPr>
            </w:pPr>
            <w:r w:rsidRPr="00500D9F">
              <w:rPr>
                <w:rFonts w:ascii="Calibri" w:hAnsi="Calibri" w:cs="Arial"/>
                <w:b/>
                <w:bCs/>
                <w:sz w:val="20"/>
                <w:szCs w:val="20"/>
                <w:lang w:val="en-US"/>
              </w:rPr>
              <w:t>Unit of Measure</w:t>
            </w:r>
          </w:p>
        </w:tc>
        <w:tc>
          <w:tcPr>
            <w:tcW w:w="2148" w:type="dxa"/>
            <w:tcBorders>
              <w:top w:val="nil"/>
              <w:left w:val="nil"/>
              <w:bottom w:val="nil"/>
              <w:right w:val="nil"/>
            </w:tcBorders>
            <w:vAlign w:val="bottom"/>
          </w:tcPr>
          <w:p w:rsidR="0082133A" w:rsidRPr="00500D9F" w:rsidRDefault="0082133A" w:rsidP="00FC47A6">
            <w:pPr>
              <w:jc w:val="left"/>
              <w:rPr>
                <w:rFonts w:ascii="Calibri" w:hAnsi="Calibri" w:cs="Arial"/>
                <w:b/>
                <w:bCs/>
                <w:sz w:val="20"/>
                <w:szCs w:val="20"/>
                <w:lang w:val="en-US"/>
              </w:rPr>
            </w:pPr>
            <w:r w:rsidRPr="00500D9F">
              <w:rPr>
                <w:rFonts w:ascii="Calibri" w:hAnsi="Calibri" w:cs="Arial"/>
                <w:b/>
                <w:bCs/>
                <w:sz w:val="20"/>
                <w:szCs w:val="20"/>
                <w:lang w:val="en-US"/>
              </w:rPr>
              <w:t>Product Level</w:t>
            </w:r>
          </w:p>
        </w:tc>
        <w:tc>
          <w:tcPr>
            <w:tcW w:w="2577" w:type="dxa"/>
            <w:gridSpan w:val="3"/>
            <w:tcBorders>
              <w:top w:val="nil"/>
              <w:left w:val="nil"/>
              <w:bottom w:val="nil"/>
              <w:right w:val="nil"/>
            </w:tcBorders>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b/>
                <w:bCs/>
                <w:sz w:val="20"/>
                <w:szCs w:val="20"/>
                <w:lang w:val="en-US"/>
              </w:rPr>
              <w:t>Example</w:t>
            </w:r>
          </w:p>
        </w:tc>
        <w:tc>
          <w:tcPr>
            <w:tcW w:w="1084" w:type="dxa"/>
            <w:tcBorders>
              <w:top w:val="nil"/>
              <w:left w:val="nil"/>
              <w:bottom w:val="nil"/>
              <w:right w:val="nil"/>
            </w:tcBorders>
            <w:vAlign w:val="bottom"/>
          </w:tcPr>
          <w:p w:rsidR="0082133A" w:rsidRPr="00500D9F" w:rsidRDefault="0082133A" w:rsidP="00FC47A6">
            <w:pPr>
              <w:jc w:val="center"/>
              <w:rPr>
                <w:rFonts w:ascii="Calibri" w:hAnsi="Calibri" w:cs="Arial"/>
                <w:b/>
                <w:bCs/>
                <w:sz w:val="20"/>
                <w:szCs w:val="20"/>
                <w:lang w:val="en-US"/>
              </w:rPr>
            </w:pPr>
            <w:r w:rsidRPr="00500D9F">
              <w:rPr>
                <w:rFonts w:ascii="Calibri" w:hAnsi="Calibri" w:cs="Arial"/>
                <w:b/>
                <w:bCs/>
                <w:sz w:val="20"/>
                <w:szCs w:val="20"/>
                <w:lang w:val="en-US"/>
              </w:rPr>
              <w:t>Number of DHBs</w:t>
            </w:r>
          </w:p>
        </w:tc>
        <w:tc>
          <w:tcPr>
            <w:tcW w:w="3280" w:type="dxa"/>
            <w:tcBorders>
              <w:top w:val="nil"/>
              <w:left w:val="nil"/>
              <w:bottom w:val="nil"/>
              <w:right w:val="nil"/>
            </w:tcBorders>
            <w:vAlign w:val="bottom"/>
          </w:tcPr>
          <w:p w:rsidR="0082133A" w:rsidRPr="00500D9F" w:rsidRDefault="0082133A" w:rsidP="00FC47A6">
            <w:pPr>
              <w:jc w:val="center"/>
              <w:rPr>
                <w:rFonts w:ascii="Calibri" w:hAnsi="Calibri" w:cs="Arial"/>
                <w:b/>
                <w:bCs/>
                <w:sz w:val="20"/>
                <w:szCs w:val="20"/>
                <w:lang w:val="en-US"/>
              </w:rPr>
            </w:pPr>
            <w:r w:rsidRPr="00500D9F">
              <w:rPr>
                <w:rFonts w:ascii="Calibri" w:hAnsi="Calibri" w:cs="Arial"/>
                <w:b/>
                <w:bCs/>
                <w:sz w:val="20"/>
                <w:szCs w:val="20"/>
                <w:lang w:val="en-US"/>
              </w:rPr>
              <w:t>Notes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/Ward-DRG</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Bed Hour - WAU - B60A</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DRG weight used to spread</w:t>
            </w:r>
            <w:r w:rsidR="00CF723A">
              <w:rPr>
                <w:rFonts w:ascii="Calibri" w:hAnsi="Calibri" w:cs="Arial"/>
                <w:sz w:val="20"/>
                <w:szCs w:val="20"/>
                <w:lang w:val="en-US"/>
              </w:rPr>
              <w:t xml:space="preserve"> </w:t>
            </w:r>
            <w:proofErr w:type="spellStart"/>
            <w:r w:rsidRPr="00500D9F">
              <w:rPr>
                <w:rFonts w:ascii="Calibri" w:hAnsi="Calibri" w:cs="Arial"/>
                <w:sz w:val="20"/>
                <w:szCs w:val="20"/>
                <w:lang w:val="en-US"/>
              </w:rPr>
              <w:t>imprest</w:t>
            </w:r>
            <w:proofErr w:type="spellEnd"/>
            <w:r w:rsidRPr="00500D9F">
              <w:rPr>
                <w:rFonts w:ascii="Calibri" w:hAnsi="Calibri" w:cs="Arial"/>
                <w:sz w:val="20"/>
                <w:szCs w:val="20"/>
                <w:lang w:val="en-US"/>
              </w:rPr>
              <w:t xml:space="preserve"> drug costs.</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Day Patient</w:t>
            </w: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Day Patient</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Day Patient</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4</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/Ward</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Medical</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Surgical </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Mental Health</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Other </w:t>
            </w: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Boarder Days</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Boarder Parent Day</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Procedures</w:t>
            </w: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Colonoscopy Care</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Lumbar Puncture</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148"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2577" w:type="dxa"/>
            <w:gridSpan w:val="3"/>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Renal Biopsy</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4725" w:type="dxa"/>
            <w:gridSpan w:val="4"/>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Leave Days</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Costs only applied to Mental Health leave days.</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4725" w:type="dxa"/>
            <w:gridSpan w:val="4"/>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Watch</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Staff cost lower cost than  bed days.</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4725" w:type="dxa"/>
            <w:gridSpan w:val="4"/>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Pharmacy Bed Day</w:t>
            </w:r>
          </w:p>
        </w:tc>
        <w:tc>
          <w:tcPr>
            <w:tcW w:w="1084" w:type="dxa"/>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1</w:t>
            </w: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Used to allocate </w:t>
            </w:r>
            <w:proofErr w:type="spellStart"/>
            <w:r w:rsidRPr="00500D9F">
              <w:rPr>
                <w:rFonts w:ascii="Calibri" w:hAnsi="Calibri" w:cs="Arial"/>
                <w:sz w:val="20"/>
                <w:szCs w:val="20"/>
                <w:lang w:val="en-US"/>
              </w:rPr>
              <w:t>imprest</w:t>
            </w:r>
            <w:proofErr w:type="spellEnd"/>
            <w:r w:rsidRPr="00500D9F">
              <w:rPr>
                <w:rFonts w:ascii="Calibri" w:hAnsi="Calibri" w:cs="Arial"/>
                <w:sz w:val="20"/>
                <w:szCs w:val="20"/>
                <w:lang w:val="en-US"/>
              </w:rPr>
              <w:t xml:space="preserve"> drug costs.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315"/>
        </w:trPr>
        <w:tc>
          <w:tcPr>
            <w:tcW w:w="10274" w:type="dxa"/>
            <w:gridSpan w:val="7"/>
            <w:tcBorders>
              <w:top w:val="nil"/>
              <w:left w:val="nil"/>
              <w:bottom w:val="nil"/>
              <w:right w:val="nil"/>
            </w:tcBorders>
            <w:noWrap/>
            <w:vAlign w:val="bottom"/>
          </w:tcPr>
          <w:p w:rsidR="0082133A" w:rsidRPr="00500D9F" w:rsidRDefault="0082133A" w:rsidP="00817C50">
            <w:pPr>
              <w:pStyle w:val="Heading3"/>
              <w:rPr>
                <w:rFonts w:ascii="Calibri" w:hAnsi="Calibri"/>
              </w:rPr>
            </w:pPr>
            <w:bookmarkStart w:id="24" w:name="_Toc530662749"/>
            <w:r w:rsidRPr="00500D9F">
              <w:rPr>
                <w:rFonts w:ascii="Calibri" w:hAnsi="Calibri"/>
              </w:rPr>
              <w:t>2) Ward</w:t>
            </w:r>
            <w:r w:rsidR="00817C50">
              <w:rPr>
                <w:rFonts w:ascii="Calibri" w:hAnsi="Calibri"/>
              </w:rPr>
              <w:t>/</w:t>
            </w:r>
            <w:r w:rsidRPr="00500D9F">
              <w:rPr>
                <w:rFonts w:ascii="Calibri" w:hAnsi="Calibri"/>
              </w:rPr>
              <w:t>Department Relative Value Units (RVUs)</w:t>
            </w:r>
            <w:bookmarkEnd w:id="24"/>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Although all DHBs use bed days as the main product/activity to cost their Ward</w:t>
            </w:r>
            <w:r w:rsidR="00CF723A">
              <w:rPr>
                <w:rFonts w:ascii="Calibri" w:hAnsi="Calibri" w:cs="Arial"/>
                <w:sz w:val="20"/>
                <w:szCs w:val="20"/>
                <w:lang w:val="en-US"/>
              </w:rPr>
              <w:t>/</w:t>
            </w:r>
            <w:r w:rsidRPr="00500D9F">
              <w:rPr>
                <w:rFonts w:ascii="Calibri" w:hAnsi="Calibri" w:cs="Arial"/>
                <w:sz w:val="20"/>
                <w:szCs w:val="20"/>
                <w:lang w:val="en-US"/>
              </w:rPr>
              <w:t xml:space="preserve">Departments there is a </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considerable difference in the level to which the bed day is recorded. For example the range is from one</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generic bed day to several levels of detail below this i.e. bed day by </w:t>
            </w:r>
            <w:proofErr w:type="spellStart"/>
            <w:r w:rsidRPr="00500D9F">
              <w:rPr>
                <w:rFonts w:ascii="Calibri" w:hAnsi="Calibri" w:cs="Arial"/>
                <w:sz w:val="20"/>
                <w:szCs w:val="20"/>
                <w:lang w:val="en-US"/>
              </w:rPr>
              <w:t>speciality</w:t>
            </w:r>
            <w:proofErr w:type="spellEnd"/>
            <w:r w:rsidRPr="00500D9F">
              <w:rPr>
                <w:rFonts w:ascii="Calibri" w:hAnsi="Calibri" w:cs="Arial"/>
                <w:sz w:val="20"/>
                <w:szCs w:val="20"/>
                <w:lang w:val="en-US"/>
              </w:rPr>
              <w:t xml:space="preserve"> and acuity or DRG.</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This leads to a considerable difference in the number of counted and costed Ward products, which in turn</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means a significant difference in the RVUs used.</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In addition to the bed days there is also a variety of other products counted and costed by DHBs for their</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Ward</w:t>
            </w:r>
            <w:r w:rsidR="00CF723A">
              <w:rPr>
                <w:rFonts w:ascii="Calibri" w:hAnsi="Calibri" w:cs="Arial"/>
                <w:sz w:val="20"/>
                <w:szCs w:val="20"/>
                <w:lang w:val="en-US"/>
              </w:rPr>
              <w:t>/</w:t>
            </w:r>
            <w:r w:rsidRPr="00500D9F">
              <w:rPr>
                <w:rFonts w:ascii="Calibri" w:hAnsi="Calibri" w:cs="Arial"/>
                <w:sz w:val="20"/>
                <w:szCs w:val="20"/>
                <w:lang w:val="en-US"/>
              </w:rPr>
              <w:t xml:space="preserve">Departments. Just under half of those surveyed have a Day Patient product, there are also a number of </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other products, for example Boarders Days and Leave Days, that are unique to individual DHBs.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It is therefore not possible by product to usefully convert the RVUs that have been applied by DHBs into a </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comparable number or range.</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However as a general rule;-</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Day patient products are given RVUs a half to a third the value of  bed day product RVUs.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 Unless a DHB has a nursing acuity system then in the main nursing </w:t>
            </w:r>
            <w:proofErr w:type="spellStart"/>
            <w:r w:rsidRPr="00500D9F">
              <w:rPr>
                <w:rFonts w:ascii="Calibri" w:hAnsi="Calibri" w:cs="Arial"/>
                <w:sz w:val="20"/>
                <w:szCs w:val="20"/>
                <w:lang w:val="en-US"/>
              </w:rPr>
              <w:t>labour</w:t>
            </w:r>
            <w:proofErr w:type="spellEnd"/>
            <w:r w:rsidRPr="00500D9F">
              <w:rPr>
                <w:rFonts w:ascii="Calibri" w:hAnsi="Calibri" w:cs="Arial"/>
                <w:sz w:val="20"/>
                <w:szCs w:val="20"/>
                <w:lang w:val="en-US"/>
              </w:rPr>
              <w:t xml:space="preserve"> costs are spread</w:t>
            </w: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evenly over the bed days products.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185"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9089" w:type="dxa"/>
            <w:gridSpan w:val="6"/>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 xml:space="preserve">- </w:t>
            </w:r>
            <w:proofErr w:type="spellStart"/>
            <w:r w:rsidRPr="00500D9F">
              <w:rPr>
                <w:rFonts w:ascii="Calibri" w:hAnsi="Calibri" w:cs="Arial"/>
                <w:sz w:val="20"/>
                <w:szCs w:val="20"/>
                <w:lang w:val="en-US"/>
              </w:rPr>
              <w:t>Imprest</w:t>
            </w:r>
            <w:proofErr w:type="spellEnd"/>
            <w:r w:rsidRPr="00500D9F">
              <w:rPr>
                <w:rFonts w:ascii="Calibri" w:hAnsi="Calibri" w:cs="Arial"/>
                <w:sz w:val="20"/>
                <w:szCs w:val="20"/>
                <w:lang w:val="en-US"/>
              </w:rPr>
              <w:t xml:space="preserve"> drugs were also spread evenly over the  bed day products. </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Default="0082133A" w:rsidP="00FC47A6">
            <w:pPr>
              <w:jc w:val="left"/>
              <w:rPr>
                <w:rFonts w:ascii="Calibri" w:hAnsi="Calibri" w:cs="Arial"/>
                <w:sz w:val="20"/>
                <w:szCs w:val="20"/>
                <w:lang w:val="en-US"/>
              </w:rPr>
            </w:pPr>
          </w:p>
          <w:p w:rsidR="0082133A" w:rsidRPr="00500D9F" w:rsidRDefault="0082133A" w:rsidP="00FC47A6">
            <w:pPr>
              <w:jc w:val="left"/>
              <w:rPr>
                <w:rFonts w:ascii="Calibri" w:hAnsi="Calibri" w:cs="Arial"/>
                <w:sz w:val="20"/>
                <w:szCs w:val="20"/>
                <w:lang w:val="en-US"/>
              </w:rPr>
            </w:pPr>
          </w:p>
        </w:tc>
      </w:tr>
      <w:tr w:rsidR="0082133A" w:rsidRPr="00500D9F">
        <w:trPr>
          <w:trHeight w:val="315"/>
        </w:trPr>
        <w:tc>
          <w:tcPr>
            <w:tcW w:w="10274" w:type="dxa"/>
            <w:gridSpan w:val="7"/>
            <w:tcBorders>
              <w:top w:val="nil"/>
              <w:left w:val="nil"/>
              <w:bottom w:val="nil"/>
              <w:right w:val="nil"/>
            </w:tcBorders>
            <w:noWrap/>
            <w:vAlign w:val="bottom"/>
          </w:tcPr>
          <w:p w:rsidR="0082133A" w:rsidRPr="00500D9F" w:rsidRDefault="0082133A" w:rsidP="00A739A7">
            <w:pPr>
              <w:pStyle w:val="Heading3"/>
              <w:rPr>
                <w:rFonts w:ascii="Calibri" w:hAnsi="Calibri"/>
              </w:rPr>
            </w:pPr>
            <w:bookmarkStart w:id="25" w:name="_Toc530662750"/>
            <w:r w:rsidRPr="00500D9F">
              <w:rPr>
                <w:rFonts w:ascii="Calibri" w:hAnsi="Calibri"/>
              </w:rPr>
              <w:lastRenderedPageBreak/>
              <w:t>3) Ward Department Overheads</w:t>
            </w:r>
            <w:bookmarkEnd w:id="25"/>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Overhead costs were almost always spread equally over the bed day products. The allocation to other ward</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products generally varied in  relation to the RVUs used for direct costs.</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Overall indirect costs comprised approximately 28% of the total Ward</w:t>
            </w:r>
            <w:r w:rsidR="00817C50">
              <w:rPr>
                <w:rFonts w:ascii="Calibri" w:hAnsi="Calibri" w:cs="Arial"/>
                <w:sz w:val="20"/>
                <w:szCs w:val="20"/>
                <w:lang w:val="en-US"/>
              </w:rPr>
              <w:t>/</w:t>
            </w:r>
            <w:r w:rsidRPr="00500D9F">
              <w:rPr>
                <w:rFonts w:ascii="Calibri" w:hAnsi="Calibri" w:cs="Arial"/>
                <w:sz w:val="20"/>
                <w:szCs w:val="20"/>
                <w:lang w:val="en-US"/>
              </w:rPr>
              <w:t>Department costs. The range between</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DHB was 3% to 52%. However the majority of DHBs reported overhead costs in the range of 22% to 41%.</w:t>
            </w: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b/>
                <w:bCs/>
                <w:sz w:val="20"/>
                <w:szCs w:val="20"/>
                <w:u w:val="single"/>
                <w:lang w:val="en-US"/>
              </w:rPr>
              <w:t>NOTES</w:t>
            </w:r>
          </w:p>
        </w:tc>
      </w:tr>
      <w:tr w:rsidR="0082133A" w:rsidRPr="00500D9F">
        <w:trPr>
          <w:trHeight w:val="255"/>
        </w:trPr>
        <w:tc>
          <w:tcPr>
            <w:tcW w:w="3333"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Number of DHBs included in survey;-</w:t>
            </w: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center"/>
              <w:rPr>
                <w:rFonts w:ascii="Calibri" w:hAnsi="Calibri" w:cs="Arial"/>
                <w:sz w:val="20"/>
                <w:szCs w:val="20"/>
                <w:lang w:val="en-US"/>
              </w:rPr>
            </w:pPr>
            <w:r w:rsidRPr="00500D9F">
              <w:rPr>
                <w:rFonts w:ascii="Calibri" w:hAnsi="Calibri" w:cs="Arial"/>
                <w:sz w:val="20"/>
                <w:szCs w:val="20"/>
                <w:lang w:val="en-US"/>
              </w:rPr>
              <w:t>9</w:t>
            </w:r>
          </w:p>
        </w:tc>
        <w:tc>
          <w:tcPr>
            <w:tcW w:w="1084"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3333" w:type="dxa"/>
            <w:gridSpan w:val="2"/>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r w:rsidRPr="00500D9F">
              <w:rPr>
                <w:rFonts w:ascii="Calibri" w:hAnsi="Calibri" w:cs="Arial"/>
                <w:sz w:val="20"/>
                <w:szCs w:val="20"/>
                <w:lang w:val="en-US"/>
              </w:rPr>
              <w:t>Date of survey;-</w:t>
            </w:r>
          </w:p>
        </w:tc>
        <w:tc>
          <w:tcPr>
            <w:tcW w:w="136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1217" w:type="dxa"/>
            <w:gridSpan w:val="2"/>
            <w:tcBorders>
              <w:top w:val="nil"/>
              <w:left w:val="nil"/>
              <w:bottom w:val="nil"/>
              <w:right w:val="nil"/>
            </w:tcBorders>
            <w:noWrap/>
            <w:vAlign w:val="bottom"/>
          </w:tcPr>
          <w:p w:rsidR="0082133A" w:rsidRPr="00500D9F" w:rsidRDefault="0082133A" w:rsidP="00FC47A6">
            <w:pPr>
              <w:jc w:val="right"/>
              <w:rPr>
                <w:rFonts w:ascii="Calibri" w:hAnsi="Calibri" w:cs="Arial"/>
                <w:sz w:val="20"/>
                <w:szCs w:val="20"/>
                <w:lang w:val="en-US"/>
              </w:rPr>
            </w:pPr>
            <w:r w:rsidRPr="00500D9F">
              <w:rPr>
                <w:rFonts w:ascii="Calibri" w:hAnsi="Calibri" w:cs="Arial"/>
                <w:sz w:val="20"/>
                <w:szCs w:val="20"/>
                <w:lang w:val="en-US"/>
              </w:rPr>
              <w:t>19/05/2009</w:t>
            </w:r>
          </w:p>
        </w:tc>
        <w:tc>
          <w:tcPr>
            <w:tcW w:w="1084"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c>
          <w:tcPr>
            <w:tcW w:w="3280" w:type="dxa"/>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r w:rsidR="0082133A" w:rsidRPr="00500D9F">
        <w:trPr>
          <w:trHeight w:val="255"/>
        </w:trPr>
        <w:tc>
          <w:tcPr>
            <w:tcW w:w="10274" w:type="dxa"/>
            <w:gridSpan w:val="7"/>
            <w:tcBorders>
              <w:top w:val="nil"/>
              <w:left w:val="nil"/>
              <w:bottom w:val="nil"/>
              <w:right w:val="nil"/>
            </w:tcBorders>
            <w:noWrap/>
            <w:vAlign w:val="bottom"/>
          </w:tcPr>
          <w:p w:rsidR="0082133A" w:rsidRPr="00500D9F" w:rsidRDefault="0082133A" w:rsidP="00FC47A6">
            <w:pPr>
              <w:jc w:val="left"/>
              <w:rPr>
                <w:rFonts w:ascii="Calibri" w:hAnsi="Calibri" w:cs="Arial"/>
                <w:sz w:val="20"/>
                <w:szCs w:val="20"/>
                <w:lang w:val="en-US"/>
              </w:rPr>
            </w:pPr>
          </w:p>
        </w:tc>
      </w:tr>
    </w:tbl>
    <w:p w:rsidR="0082133A" w:rsidRPr="00500D9F" w:rsidRDefault="0082133A" w:rsidP="00F17797">
      <w:pPr>
        <w:rPr>
          <w:rFonts w:ascii="Calibri" w:hAnsi="Calibri" w:cs="Arial"/>
        </w:rPr>
      </w:pPr>
    </w:p>
    <w:p w:rsidR="0082133A" w:rsidRPr="00500D9F" w:rsidRDefault="0082133A" w:rsidP="00F17797">
      <w:pPr>
        <w:rPr>
          <w:rFonts w:ascii="Calibri" w:hAnsi="Calibri" w:cs="Arial"/>
        </w:rPr>
        <w:sectPr w:rsidR="0082133A" w:rsidRPr="00500D9F" w:rsidSect="00404910">
          <w:pgSz w:w="11906" w:h="16838"/>
          <w:pgMar w:top="1440" w:right="1259" w:bottom="1440" w:left="902" w:header="709" w:footer="709" w:gutter="0"/>
          <w:cols w:space="708"/>
          <w:docGrid w:linePitch="360"/>
        </w:sectPr>
      </w:pPr>
    </w:p>
    <w:p w:rsidR="00D4526F" w:rsidRPr="00500D9F" w:rsidRDefault="00D4526F" w:rsidP="00D4526F">
      <w:pPr>
        <w:pStyle w:val="Heading1"/>
        <w:jc w:val="left"/>
        <w:rPr>
          <w:rFonts w:ascii="Calibri" w:hAnsi="Calibri"/>
          <w:u w:val="single"/>
        </w:rPr>
      </w:pPr>
      <w:bookmarkStart w:id="26" w:name="_Toc444507010"/>
      <w:bookmarkStart w:id="27" w:name="_Toc530662751"/>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5: ONCOLOGY &amp; HAEMATOLOGY SERVICES</w:t>
      </w:r>
      <w:bookmarkEnd w:id="26"/>
      <w:bookmarkEnd w:id="27"/>
    </w:p>
    <w:p w:rsidR="00D4526F" w:rsidRPr="00500D9F" w:rsidRDefault="00D4526F" w:rsidP="00D4526F">
      <w:pPr>
        <w:rPr>
          <w:rFonts w:ascii="Calibri" w:hAnsi="Calibri"/>
        </w:rPr>
      </w:pPr>
    </w:p>
    <w:p w:rsidR="00D4526F" w:rsidRPr="00500D9F" w:rsidRDefault="00D4526F" w:rsidP="00D4526F">
      <w:pPr>
        <w:pStyle w:val="Heading3"/>
        <w:rPr>
          <w:rFonts w:ascii="Calibri" w:hAnsi="Calibri"/>
        </w:rPr>
      </w:pPr>
      <w:bookmarkStart w:id="28" w:name="_Toc444507011"/>
      <w:bookmarkStart w:id="29" w:name="_Toc530662752"/>
      <w:r w:rsidRPr="00500D9F">
        <w:rPr>
          <w:rFonts w:ascii="Calibri" w:hAnsi="Calibri"/>
        </w:rPr>
        <w:t>Background</w:t>
      </w:r>
      <w:bookmarkEnd w:id="28"/>
      <w:bookmarkEnd w:id="29"/>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 xml:space="preserve">The integrity of </w:t>
      </w:r>
      <w:r>
        <w:rPr>
          <w:rFonts w:ascii="Calibri" w:hAnsi="Calibri"/>
        </w:rPr>
        <w:t xml:space="preserve">the </w:t>
      </w:r>
      <w:r w:rsidRPr="00500D9F">
        <w:rPr>
          <w:rFonts w:ascii="Calibri" w:hAnsi="Calibri"/>
        </w:rPr>
        <w:t>national pricing program requires that the six cancer centres have accurate counting and costing data.  This allow</w:t>
      </w:r>
      <w:r>
        <w:rPr>
          <w:rFonts w:ascii="Calibri" w:hAnsi="Calibri"/>
        </w:rPr>
        <w:t>s</w:t>
      </w:r>
      <w:r w:rsidRPr="00500D9F">
        <w:rPr>
          <w:rFonts w:ascii="Calibri" w:hAnsi="Calibri"/>
        </w:rPr>
        <w:t xml:space="preserve"> benchmarking between centres and provide</w:t>
      </w:r>
      <w:r>
        <w:rPr>
          <w:rFonts w:ascii="Calibri" w:hAnsi="Calibri"/>
        </w:rPr>
        <w:t>s</w:t>
      </w:r>
      <w:r w:rsidRPr="00500D9F">
        <w:rPr>
          <w:rFonts w:ascii="Calibri" w:hAnsi="Calibri"/>
        </w:rPr>
        <w:t xml:space="preserve"> </w:t>
      </w:r>
      <w:r>
        <w:rPr>
          <w:rFonts w:ascii="Calibri" w:hAnsi="Calibri"/>
        </w:rPr>
        <w:t>consistency</w:t>
      </w:r>
      <w:r w:rsidRPr="00500D9F">
        <w:rPr>
          <w:rFonts w:ascii="Calibri" w:hAnsi="Calibri"/>
        </w:rPr>
        <w:t xml:space="preserve">, which is critical </w:t>
      </w:r>
      <w:r>
        <w:rPr>
          <w:rFonts w:ascii="Calibri" w:hAnsi="Calibri"/>
        </w:rPr>
        <w:t>to ensure a fair and equitable IDF price for providing services to the respective regions</w:t>
      </w:r>
      <w:r w:rsidRPr="00500D9F">
        <w:rPr>
          <w:rFonts w:ascii="Calibri" w:hAnsi="Calibri"/>
        </w:rPr>
        <w:t>.</w:t>
      </w:r>
    </w:p>
    <w:p w:rsidR="00D4526F" w:rsidRPr="00500D9F" w:rsidRDefault="00D4526F" w:rsidP="00D4526F">
      <w:pPr>
        <w:rPr>
          <w:rFonts w:ascii="Calibri" w:hAnsi="Calibri" w:cs="Arial"/>
          <w:color w:val="000080"/>
          <w:sz w:val="20"/>
          <w:szCs w:val="20"/>
          <w:lang w:val="en-GB"/>
        </w:rPr>
      </w:pPr>
    </w:p>
    <w:p w:rsidR="00D4526F" w:rsidRPr="00500D9F" w:rsidRDefault="00D4526F" w:rsidP="00D4526F">
      <w:pPr>
        <w:pStyle w:val="Heading3"/>
        <w:rPr>
          <w:rFonts w:ascii="Calibri" w:hAnsi="Calibri"/>
        </w:rPr>
      </w:pPr>
      <w:bookmarkStart w:id="30" w:name="_Toc444507012"/>
      <w:bookmarkStart w:id="31" w:name="_Toc530662753"/>
      <w:r w:rsidRPr="00500D9F">
        <w:rPr>
          <w:rFonts w:ascii="Calibri" w:hAnsi="Calibri"/>
        </w:rPr>
        <w:t>Methodology</w:t>
      </w:r>
      <w:bookmarkEnd w:id="30"/>
      <w:bookmarkEnd w:id="31"/>
    </w:p>
    <w:p w:rsidR="00D4526F" w:rsidRPr="00500D9F" w:rsidRDefault="00D4526F" w:rsidP="00D4526F">
      <w:pPr>
        <w:rPr>
          <w:rFonts w:ascii="Calibri" w:hAnsi="Calibri"/>
          <w:u w:val="single"/>
        </w:rPr>
      </w:pPr>
    </w:p>
    <w:p w:rsidR="00D4526F" w:rsidRPr="00500D9F" w:rsidRDefault="00D4526F" w:rsidP="00D4526F">
      <w:pPr>
        <w:rPr>
          <w:rFonts w:ascii="Calibri" w:hAnsi="Calibri"/>
        </w:rPr>
      </w:pPr>
      <w:r w:rsidRPr="00500D9F">
        <w:rPr>
          <w:rFonts w:ascii="Calibri" w:hAnsi="Calibri"/>
        </w:rPr>
        <w:t>The guideline is based on the Oncology and</w:t>
      </w:r>
      <w:r w:rsidRPr="00500D9F">
        <w:rPr>
          <w:rFonts w:ascii="Calibri" w:hAnsi="Calibri"/>
          <w:lang w:val="en-GB"/>
        </w:rPr>
        <w:t xml:space="preserve"> Haematology</w:t>
      </w:r>
      <w:r w:rsidRPr="00500D9F">
        <w:rPr>
          <w:rFonts w:ascii="Calibri" w:hAnsi="Calibri"/>
        </w:rPr>
        <w:t xml:space="preserve"> PUC’s. </w:t>
      </w:r>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The services represented by each PUC have associated cost characteristics that are unique to that service. The audit tests generally focus on checking to ensure that the costing results reflect the service attributes of each PUC. There are however, general checks that apply to all PUCs, these have been listed first.</w:t>
      </w:r>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The checks are a guide that DHBs can use to audit their results</w:t>
      </w:r>
      <w:r>
        <w:rPr>
          <w:rFonts w:ascii="Calibri" w:hAnsi="Calibri"/>
        </w:rPr>
        <w:t>;</w:t>
      </w:r>
      <w:r w:rsidRPr="00500D9F">
        <w:rPr>
          <w:rFonts w:ascii="Calibri" w:hAnsi="Calibri"/>
        </w:rPr>
        <w:t xml:space="preserve"> however, there may</w:t>
      </w:r>
      <w:r>
        <w:rPr>
          <w:rFonts w:ascii="Calibri" w:hAnsi="Calibri"/>
        </w:rPr>
        <w:t xml:space="preserve"> </w:t>
      </w:r>
      <w:r w:rsidRPr="00500D9F">
        <w:rPr>
          <w:rFonts w:ascii="Calibri" w:hAnsi="Calibri"/>
        </w:rPr>
        <w:t>be differences in service delivery that result in a DHB allocating costs to a PUC that do not conform to one of the audit checks listed below. When differences occur it is recommend that DHBs investigate the results and ensure that there is a</w:t>
      </w:r>
      <w:r w:rsidRPr="00500D9F">
        <w:rPr>
          <w:rFonts w:ascii="Calibri" w:hAnsi="Calibri"/>
          <w:lang w:val="en-GB"/>
        </w:rPr>
        <w:t xml:space="preserve"> legitimate</w:t>
      </w:r>
      <w:r w:rsidRPr="00500D9F">
        <w:rPr>
          <w:rFonts w:ascii="Calibri" w:hAnsi="Calibri"/>
        </w:rPr>
        <w:t xml:space="preserve"> reason for the variance. </w:t>
      </w:r>
    </w:p>
    <w:p w:rsidR="00D4526F" w:rsidRPr="00500D9F" w:rsidRDefault="00D4526F" w:rsidP="00D4526F">
      <w:pPr>
        <w:rPr>
          <w:rFonts w:ascii="Calibri" w:hAnsi="Calibri"/>
          <w:u w:val="single"/>
        </w:rPr>
      </w:pPr>
    </w:p>
    <w:p w:rsidR="00D4526F" w:rsidRPr="00500D9F" w:rsidRDefault="00D4526F" w:rsidP="00D4526F">
      <w:pPr>
        <w:pStyle w:val="Heading3"/>
        <w:rPr>
          <w:rFonts w:ascii="Calibri" w:hAnsi="Calibri"/>
        </w:rPr>
      </w:pPr>
      <w:bookmarkStart w:id="32" w:name="_Toc444507013"/>
      <w:bookmarkStart w:id="33" w:name="_Toc530662754"/>
      <w:r w:rsidRPr="00500D9F">
        <w:rPr>
          <w:rFonts w:ascii="Calibri" w:hAnsi="Calibri"/>
        </w:rPr>
        <w:t>General audit checks for haematology and oncology services</w:t>
      </w:r>
      <w:bookmarkEnd w:id="32"/>
      <w:bookmarkEnd w:id="33"/>
    </w:p>
    <w:p w:rsidR="00D4526F" w:rsidRPr="00500D9F" w:rsidRDefault="00D4526F" w:rsidP="00D4526F">
      <w:pPr>
        <w:rPr>
          <w:rFonts w:ascii="Calibri" w:hAnsi="Calibri"/>
        </w:rPr>
      </w:pPr>
    </w:p>
    <w:p w:rsidR="00D4526F" w:rsidRPr="00500D9F" w:rsidRDefault="00D4526F" w:rsidP="00D4526F">
      <w:pPr>
        <w:rPr>
          <w:rFonts w:ascii="Calibri" w:hAnsi="Calibri"/>
          <w:u w:val="single"/>
        </w:rPr>
      </w:pPr>
      <w:r w:rsidRPr="00500D9F">
        <w:rPr>
          <w:rFonts w:ascii="Calibri" w:hAnsi="Calibri"/>
          <w:u w:val="single"/>
        </w:rPr>
        <w:t>Volumes</w:t>
      </w:r>
    </w:p>
    <w:p w:rsidR="00D4526F" w:rsidRPr="00500D9F" w:rsidRDefault="00D4526F" w:rsidP="00D4526F">
      <w:pPr>
        <w:rPr>
          <w:rFonts w:ascii="Calibri" w:hAnsi="Calibri"/>
        </w:rPr>
      </w:pPr>
      <w:r w:rsidRPr="00500D9F">
        <w:rPr>
          <w:rFonts w:ascii="Calibri" w:hAnsi="Calibri"/>
        </w:rPr>
        <w:t xml:space="preserve">Does the number of costed events match the volumes reported to the Ministry? If not why? If costs are not spread over all the services provided i.e. episodes of care are incorrectly excluded then the results will be incorrect. </w:t>
      </w:r>
    </w:p>
    <w:p w:rsidR="00D4526F" w:rsidRPr="00500D9F" w:rsidRDefault="00D4526F" w:rsidP="00D4526F">
      <w:pPr>
        <w:rPr>
          <w:rFonts w:ascii="Calibri" w:hAnsi="Calibri"/>
        </w:rPr>
      </w:pPr>
    </w:p>
    <w:p w:rsidR="00D4526F" w:rsidRPr="00500D9F" w:rsidRDefault="00D4526F" w:rsidP="00D4526F">
      <w:pPr>
        <w:rPr>
          <w:rFonts w:ascii="Calibri" w:hAnsi="Calibri"/>
          <w:u w:val="single"/>
        </w:rPr>
      </w:pPr>
      <w:r w:rsidRPr="00500D9F">
        <w:rPr>
          <w:rFonts w:ascii="Calibri" w:hAnsi="Calibri"/>
          <w:u w:val="single"/>
        </w:rPr>
        <w:t>Pharmaceutical Cancer Treatment (PCT) Drugs</w:t>
      </w:r>
    </w:p>
    <w:p w:rsidR="00D4526F" w:rsidRPr="00500D9F" w:rsidRDefault="00D4526F" w:rsidP="00D4526F">
      <w:pPr>
        <w:rPr>
          <w:rFonts w:ascii="Calibri" w:hAnsi="Calibri"/>
        </w:rPr>
      </w:pPr>
      <w:r w:rsidRPr="00500D9F">
        <w:rPr>
          <w:rFonts w:ascii="Calibri" w:hAnsi="Calibri"/>
        </w:rPr>
        <w:t>The PCT drugs need to be reported under the CS7 category ‘Pharmaceutical Cancer Treatment’ (A150). This category must include both the cost of the drugs and the cost of dispensing the drugs.</w:t>
      </w:r>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 xml:space="preserve">Most of the costs under A150 will come under the CS2 category ‘Pharmaceuticals’ (DF), however, because this CS7 category also includes the dispensing costs there </w:t>
      </w:r>
      <w:r>
        <w:rPr>
          <w:rFonts w:ascii="Calibri" w:hAnsi="Calibri"/>
        </w:rPr>
        <w:t>may</w:t>
      </w:r>
      <w:r w:rsidRPr="00500D9F">
        <w:rPr>
          <w:rFonts w:ascii="Calibri" w:hAnsi="Calibri"/>
        </w:rPr>
        <w:t xml:space="preserve"> also be pharmacist costs under ‘Allied Health</w:t>
      </w:r>
      <w:r w:rsidRPr="00500D9F">
        <w:rPr>
          <w:rFonts w:ascii="Calibri" w:hAnsi="Calibri"/>
          <w:lang w:val="en-GB"/>
        </w:rPr>
        <w:t xml:space="preserve"> Labour</w:t>
      </w:r>
      <w:r w:rsidRPr="00500D9F">
        <w:rPr>
          <w:rFonts w:ascii="Calibri" w:hAnsi="Calibri"/>
        </w:rPr>
        <w:t>’ (DC), and supply costs under ‘Other Clinical Costs’ (DH). A150 should also contain the PCT drug reimbursement under the CS2 category OF ‘PCT Cost Recovery’. This figure should be materially equal to the costs in DF A150.</w:t>
      </w:r>
      <w:r>
        <w:rPr>
          <w:rFonts w:ascii="Calibri" w:hAnsi="Calibri"/>
        </w:rPr>
        <w:t xml:space="preserve">  A difference should be anticipated as the claim amount won’t cover the cost of dispensing.</w:t>
      </w:r>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The DHB Oncology related PCT drug claims can be used as a guide to check the total PCT drug expenditure in the Oncology PUCs as both figures should be materially equal.</w:t>
      </w:r>
      <w:r>
        <w:rPr>
          <w:rFonts w:ascii="Calibri" w:hAnsi="Calibri"/>
        </w:rPr>
        <w:t xml:space="preserve">  Differences can occur </w:t>
      </w:r>
      <w:r>
        <w:rPr>
          <w:rFonts w:ascii="Calibri" w:hAnsi="Calibri"/>
        </w:rPr>
        <w:lastRenderedPageBreak/>
        <w:t>due to the claim process being fortnightly and having a 6 week delay from dispensing to claim payment, this leads to a 6 week estimate within each financial year.</w:t>
      </w:r>
    </w:p>
    <w:p w:rsidR="00D4526F" w:rsidRPr="00500D9F" w:rsidRDefault="00D4526F" w:rsidP="00D4526F">
      <w:pPr>
        <w:rPr>
          <w:rFonts w:ascii="Calibri" w:hAnsi="Calibri"/>
        </w:rPr>
      </w:pPr>
    </w:p>
    <w:p w:rsidR="00D4526F" w:rsidRPr="00500D9F" w:rsidRDefault="00D4526F" w:rsidP="00D4526F">
      <w:pPr>
        <w:rPr>
          <w:rFonts w:ascii="Calibri" w:hAnsi="Calibri"/>
          <w:u w:val="single"/>
        </w:rPr>
      </w:pPr>
      <w:r w:rsidRPr="00500D9F">
        <w:rPr>
          <w:rFonts w:ascii="Calibri" w:hAnsi="Calibri"/>
          <w:u w:val="single"/>
        </w:rPr>
        <w:t>Overheads</w:t>
      </w:r>
    </w:p>
    <w:p w:rsidR="00D4526F" w:rsidRPr="00500D9F" w:rsidRDefault="00D4526F" w:rsidP="00D4526F">
      <w:pPr>
        <w:rPr>
          <w:rFonts w:ascii="Calibri" w:hAnsi="Calibri"/>
        </w:rPr>
      </w:pPr>
      <w:r w:rsidRPr="00500D9F">
        <w:rPr>
          <w:rFonts w:ascii="Calibri" w:hAnsi="Calibri"/>
        </w:rPr>
        <w:t>The allocation of overheads to each PUC should reflect the overhead consumed in the provision of the service. An RVU that achieves this needs to be identified and used in the overhead allocation process. This is particularly important for those Cancer PUCs, such as M50005 Radiotherapy, that represent a capital intensive service. The total of DM, OM and OA represent the cost of capital employed in this service provision.</w:t>
      </w:r>
    </w:p>
    <w:p w:rsidR="00D4526F" w:rsidRPr="00500D9F" w:rsidRDefault="00D4526F" w:rsidP="00D4526F">
      <w:pPr>
        <w:rPr>
          <w:rFonts w:ascii="Calibri" w:hAnsi="Calibri"/>
        </w:rPr>
      </w:pPr>
    </w:p>
    <w:p w:rsidR="00D4526F" w:rsidRPr="00500D9F" w:rsidRDefault="00D4526F" w:rsidP="00D4526F">
      <w:pPr>
        <w:rPr>
          <w:rFonts w:ascii="Calibri" w:hAnsi="Calibri"/>
          <w:u w:val="single"/>
        </w:rPr>
      </w:pPr>
      <w:r w:rsidRPr="00500D9F">
        <w:rPr>
          <w:rFonts w:ascii="Calibri" w:hAnsi="Calibri"/>
          <w:u w:val="single"/>
        </w:rPr>
        <w:t>Allocation of Doctor Costs</w:t>
      </w:r>
    </w:p>
    <w:p w:rsidR="00D4526F" w:rsidRDefault="00D4526F" w:rsidP="00D4526F">
      <w:pPr>
        <w:rPr>
          <w:rFonts w:ascii="Calibri" w:hAnsi="Calibri"/>
        </w:rPr>
      </w:pPr>
      <w:r w:rsidRPr="00500D9F">
        <w:rPr>
          <w:rFonts w:ascii="Calibri" w:hAnsi="Calibri"/>
        </w:rPr>
        <w:t xml:space="preserve">The total amount of Doctor time allocated to each PUC in the costing methodology, should approximately reconcile to an FTE allocation determined by the service as per the Doctors employment contracts. </w:t>
      </w:r>
    </w:p>
    <w:p w:rsidR="00D4526F" w:rsidRDefault="00D4526F" w:rsidP="00D4526F">
      <w:pPr>
        <w:rPr>
          <w:rFonts w:ascii="Calibri" w:hAnsi="Calibri"/>
        </w:rPr>
      </w:pPr>
    </w:p>
    <w:p w:rsidR="00D4526F" w:rsidRPr="00500D9F" w:rsidRDefault="00D4526F" w:rsidP="00D4526F">
      <w:pPr>
        <w:rPr>
          <w:rFonts w:ascii="Calibri" w:hAnsi="Calibri"/>
        </w:rPr>
      </w:pPr>
      <w:r>
        <w:rPr>
          <w:rFonts w:ascii="Calibri" w:hAnsi="Calibri"/>
        </w:rPr>
        <w:t>Consideration should be given to using separate RVU calculations for SMO and RMO if the DHBs model of care lead to significant differences in where doctors spend their time (i.e. RMOs may spend a significant amount of time on the ward where an SMO may not).</w:t>
      </w:r>
    </w:p>
    <w:p w:rsidR="00D4526F" w:rsidRPr="00500D9F" w:rsidRDefault="00D4526F" w:rsidP="00D4526F">
      <w:pPr>
        <w:rPr>
          <w:rFonts w:ascii="Calibri" w:hAnsi="Calibri"/>
        </w:rPr>
      </w:pPr>
    </w:p>
    <w:p w:rsidR="00D4526F" w:rsidRDefault="00D4526F" w:rsidP="00D4526F">
      <w:pPr>
        <w:rPr>
          <w:rFonts w:ascii="Calibri" w:hAnsi="Calibri"/>
        </w:rPr>
      </w:pPr>
      <w:r w:rsidRPr="00500D9F">
        <w:rPr>
          <w:rFonts w:ascii="Calibri" w:hAnsi="Calibri"/>
        </w:rPr>
        <w:t>This audit check can be completed by mapping the RVUs used for costing the service to the cancer PUCs and multiplying the RVU by the PUC volumes to get a total RVU Doctor weight for each PUC. The total Doctor FTEs in the service can then be allocated to each PUC in proportion to the PUC’s total RVU Doctor weight. The resulting Doctor FTE calculated under this methodology should then be compared to the allocation of Doctor time, by FTE, to each PUC according to the employment contracts.</w:t>
      </w:r>
    </w:p>
    <w:p w:rsidR="00D4526F" w:rsidRDefault="00D4526F" w:rsidP="00D4526F">
      <w:pPr>
        <w:spacing w:after="200" w:line="276" w:lineRule="auto"/>
        <w:jc w:val="left"/>
        <w:rPr>
          <w:rFonts w:ascii="Calibri" w:hAnsi="Calibri"/>
        </w:rPr>
      </w:pPr>
      <w:r>
        <w:rPr>
          <w:rFonts w:ascii="Calibri" w:hAnsi="Calibri"/>
        </w:rPr>
        <w:br w:type="page"/>
      </w:r>
    </w:p>
    <w:p w:rsidR="00D4526F" w:rsidRPr="00D4191B" w:rsidRDefault="00D4526F" w:rsidP="00D4526F">
      <w:pPr>
        <w:rPr>
          <w:rFonts w:ascii="Calibri" w:hAnsi="Calibri"/>
          <w:u w:val="single"/>
        </w:rPr>
      </w:pPr>
      <w:r w:rsidRPr="00D4191B">
        <w:rPr>
          <w:rFonts w:ascii="Calibri" w:hAnsi="Calibri"/>
          <w:u w:val="single"/>
        </w:rPr>
        <w:lastRenderedPageBreak/>
        <w:t>Time Allocation Example</w:t>
      </w:r>
    </w:p>
    <w:p w:rsidR="00D4526F" w:rsidRPr="00500D9F" w:rsidRDefault="00D4526F" w:rsidP="00D4526F">
      <w:pPr>
        <w:rPr>
          <w:rFonts w:ascii="Calibri" w:hAnsi="Calibri"/>
        </w:rPr>
      </w:pPr>
    </w:p>
    <w:p w:rsidR="00D4526F" w:rsidRDefault="00D4526F" w:rsidP="00D4526F">
      <w:pPr>
        <w:spacing w:after="200" w:line="276" w:lineRule="auto"/>
        <w:jc w:val="left"/>
        <w:rPr>
          <w:rFonts w:ascii="Calibri" w:hAnsi="Calibri"/>
        </w:rPr>
      </w:pPr>
      <w:r>
        <w:rPr>
          <w:rFonts w:ascii="Calibri" w:hAnsi="Calibri"/>
        </w:rPr>
        <w:t>This</w:t>
      </w:r>
      <w:r w:rsidRPr="00500D9F">
        <w:rPr>
          <w:rFonts w:ascii="Calibri" w:hAnsi="Calibri"/>
        </w:rPr>
        <w:t xml:space="preserve"> is an example of how the </w:t>
      </w:r>
      <w:r>
        <w:rPr>
          <w:rFonts w:ascii="Calibri" w:hAnsi="Calibri"/>
        </w:rPr>
        <w:t>RVUs for the</w:t>
      </w:r>
      <w:r w:rsidRPr="00500D9F">
        <w:rPr>
          <w:rFonts w:ascii="Calibri" w:hAnsi="Calibri"/>
        </w:rPr>
        <w:t xml:space="preserve"> </w:t>
      </w:r>
      <w:r>
        <w:rPr>
          <w:rFonts w:ascii="Calibri" w:hAnsi="Calibri"/>
        </w:rPr>
        <w:t xml:space="preserve">activities </w:t>
      </w:r>
      <w:r w:rsidRPr="00500D9F">
        <w:rPr>
          <w:rFonts w:ascii="Calibri" w:hAnsi="Calibri"/>
        </w:rPr>
        <w:t xml:space="preserve">can be </w:t>
      </w:r>
      <w:r>
        <w:rPr>
          <w:rFonts w:ascii="Calibri" w:hAnsi="Calibri"/>
        </w:rPr>
        <w:t xml:space="preserve">allocated and then </w:t>
      </w:r>
      <w:r w:rsidRPr="00500D9F">
        <w:rPr>
          <w:rFonts w:ascii="Calibri" w:hAnsi="Calibri"/>
        </w:rPr>
        <w:t>compare</w:t>
      </w:r>
      <w:r>
        <w:rPr>
          <w:rFonts w:ascii="Calibri" w:hAnsi="Calibri"/>
        </w:rPr>
        <w:t>d</w:t>
      </w:r>
      <w:r w:rsidRPr="00500D9F">
        <w:rPr>
          <w:rFonts w:ascii="Calibri" w:hAnsi="Calibri"/>
        </w:rPr>
        <w:t xml:space="preserve"> to </w:t>
      </w:r>
      <w:r>
        <w:rPr>
          <w:rFonts w:ascii="Calibri" w:hAnsi="Calibri"/>
        </w:rPr>
        <w:t>the contracted FTE for a service</w:t>
      </w:r>
      <w:r w:rsidRPr="00500D9F">
        <w:rPr>
          <w:rFonts w:ascii="Calibri" w:hAnsi="Calibri"/>
        </w:rPr>
        <w:t>.</w:t>
      </w:r>
    </w:p>
    <w:p w:rsidR="00D4526F" w:rsidRDefault="00D4526F" w:rsidP="00D4526F">
      <w:pPr>
        <w:spacing w:after="200" w:line="276" w:lineRule="auto"/>
        <w:jc w:val="left"/>
        <w:rPr>
          <w:rFonts w:ascii="Calibri" w:hAnsi="Calibri"/>
        </w:rPr>
      </w:pPr>
      <w:r>
        <w:rPr>
          <w:rFonts w:ascii="Calibri" w:hAnsi="Calibri"/>
        </w:rPr>
        <w:t>Please note, in this example:</w:t>
      </w:r>
    </w:p>
    <w:p w:rsidR="00D4526F" w:rsidRDefault="00D4526F" w:rsidP="00D4526F">
      <w:pPr>
        <w:pStyle w:val="ListParagraph"/>
        <w:numPr>
          <w:ilvl w:val="0"/>
          <w:numId w:val="37"/>
        </w:numPr>
        <w:spacing w:after="200" w:line="276" w:lineRule="auto"/>
        <w:contextualSpacing/>
        <w:rPr>
          <w:rFonts w:ascii="Calibri" w:hAnsi="Calibri"/>
        </w:rPr>
      </w:pPr>
      <w:r>
        <w:rPr>
          <w:rFonts w:ascii="Calibri" w:hAnsi="Calibri"/>
        </w:rPr>
        <w:t>T</w:t>
      </w:r>
      <w:r w:rsidRPr="00883406">
        <w:rPr>
          <w:rFonts w:ascii="Calibri" w:hAnsi="Calibri"/>
        </w:rPr>
        <w:t xml:space="preserve">he cost base for Medical and Radiation Oncology is combined, and therefore both groups of activity need to be assessed together.  </w:t>
      </w:r>
    </w:p>
    <w:p w:rsidR="00D4526F" w:rsidRDefault="00D4526F" w:rsidP="00D4526F">
      <w:pPr>
        <w:pStyle w:val="ListParagraph"/>
        <w:numPr>
          <w:ilvl w:val="0"/>
          <w:numId w:val="37"/>
        </w:numPr>
        <w:spacing w:after="200" w:line="276" w:lineRule="auto"/>
        <w:contextualSpacing/>
        <w:rPr>
          <w:rFonts w:ascii="Calibri" w:hAnsi="Calibri"/>
        </w:rPr>
      </w:pPr>
      <w:r w:rsidRPr="00883406">
        <w:rPr>
          <w:rFonts w:ascii="Calibri" w:hAnsi="Calibri"/>
        </w:rPr>
        <w:t>The Radiation Oncologists time for RT Treatment has also been allocated on a per treatment basis (5 mins) with the overall goal of allocating an average of 75 minutes per patient following discussion with the Clinical Director.</w:t>
      </w:r>
    </w:p>
    <w:p w:rsidR="00D4526F" w:rsidRDefault="00D4526F" w:rsidP="00D4526F">
      <w:pPr>
        <w:pStyle w:val="ListParagraph"/>
        <w:numPr>
          <w:ilvl w:val="0"/>
          <w:numId w:val="37"/>
        </w:numPr>
        <w:spacing w:after="200" w:line="276" w:lineRule="auto"/>
        <w:contextualSpacing/>
        <w:rPr>
          <w:rFonts w:ascii="Calibri" w:hAnsi="Calibri"/>
        </w:rPr>
      </w:pPr>
      <w:r>
        <w:rPr>
          <w:rFonts w:ascii="Calibri" w:hAnsi="Calibri"/>
        </w:rPr>
        <w:t>RMO allocations have been separated from SMO allocations as they spend a considerable amount of time on the ward and in the chemotherapy outpatients environment compared to the SMOs.</w:t>
      </w:r>
    </w:p>
    <w:p w:rsidR="00D4526F" w:rsidRDefault="00D4526F" w:rsidP="00D4526F">
      <w:pPr>
        <w:pStyle w:val="ListParagraph"/>
        <w:numPr>
          <w:ilvl w:val="0"/>
          <w:numId w:val="37"/>
        </w:numPr>
        <w:spacing w:after="200" w:line="276" w:lineRule="auto"/>
        <w:contextualSpacing/>
        <w:rPr>
          <w:rFonts w:ascii="Calibri" w:hAnsi="Calibri"/>
        </w:rPr>
      </w:pPr>
      <w:r>
        <w:rPr>
          <w:rFonts w:ascii="Calibri" w:hAnsi="Calibri"/>
        </w:rPr>
        <w:t>Haematology activity is not shown in this example.</w:t>
      </w:r>
    </w:p>
    <w:p w:rsidR="00D4526F" w:rsidRPr="00883406" w:rsidRDefault="00D4526F" w:rsidP="00D4526F">
      <w:pPr>
        <w:pStyle w:val="ListParagraph"/>
        <w:spacing w:after="200" w:line="276" w:lineRule="auto"/>
        <w:ind w:left="360"/>
        <w:rPr>
          <w:rFonts w:ascii="Calibri" w:hAnsi="Calibri"/>
          <w:sz w:val="6"/>
        </w:rPr>
      </w:pPr>
    </w:p>
    <w:p w:rsidR="00D4526F" w:rsidRDefault="00D4526F" w:rsidP="00D4526F">
      <w:pPr>
        <w:rPr>
          <w:rFonts w:ascii="Calibri" w:hAnsi="Calibri"/>
        </w:rPr>
      </w:pPr>
      <w:r>
        <w:rPr>
          <w:noProof/>
          <w:lang w:eastAsia="en-NZ"/>
        </w:rPr>
        <w:drawing>
          <wp:inline distT="0" distB="0" distL="0" distR="0" wp14:anchorId="703EB887" wp14:editId="3139FCEB">
            <wp:extent cx="6162675" cy="433494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62675" cy="4334941"/>
                    </a:xfrm>
                    <a:prstGeom prst="rect">
                      <a:avLst/>
                    </a:prstGeom>
                  </pic:spPr>
                </pic:pic>
              </a:graphicData>
            </a:graphic>
          </wp:inline>
        </w:drawing>
      </w:r>
    </w:p>
    <w:p w:rsidR="00D4526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 xml:space="preserve">The contracted </w:t>
      </w:r>
      <w:proofErr w:type="spellStart"/>
      <w:r w:rsidRPr="00500D9F">
        <w:rPr>
          <w:rFonts w:ascii="Calibri" w:hAnsi="Calibri"/>
        </w:rPr>
        <w:t>fte</w:t>
      </w:r>
      <w:proofErr w:type="spellEnd"/>
      <w:r w:rsidRPr="00500D9F">
        <w:rPr>
          <w:rFonts w:ascii="Calibri" w:hAnsi="Calibri"/>
        </w:rPr>
        <w:t xml:space="preserve"> figure e.g. </w:t>
      </w:r>
      <w:r>
        <w:rPr>
          <w:rFonts w:ascii="Calibri" w:hAnsi="Calibri"/>
        </w:rPr>
        <w:t>13 SMO</w:t>
      </w:r>
      <w:r w:rsidRPr="00500D9F">
        <w:rPr>
          <w:rFonts w:ascii="Calibri" w:hAnsi="Calibri"/>
        </w:rPr>
        <w:t xml:space="preserve"> is prorated over the </w:t>
      </w:r>
      <w:r>
        <w:rPr>
          <w:rFonts w:ascii="Calibri" w:hAnsi="Calibri"/>
        </w:rPr>
        <w:t>activity</w:t>
      </w:r>
      <w:r w:rsidRPr="00500D9F">
        <w:rPr>
          <w:rFonts w:ascii="Calibri" w:hAnsi="Calibri"/>
        </w:rPr>
        <w:t xml:space="preserve"> ba</w:t>
      </w:r>
      <w:r>
        <w:rPr>
          <w:rFonts w:ascii="Calibri" w:hAnsi="Calibri"/>
        </w:rPr>
        <w:t>sed on the resource percentages</w:t>
      </w:r>
      <w:r w:rsidRPr="00500D9F">
        <w:rPr>
          <w:rFonts w:ascii="Calibri" w:hAnsi="Calibri"/>
        </w:rPr>
        <w:t>.</w:t>
      </w:r>
      <w:r>
        <w:rPr>
          <w:rFonts w:ascii="Calibri" w:hAnsi="Calibri"/>
        </w:rPr>
        <w:t xml:space="preserve">  This provides a reasonability check on the balance of resource across groups of activities and can be compared to the services rosters.</w:t>
      </w:r>
    </w:p>
    <w:p w:rsidR="00D4526F" w:rsidRDefault="00D4526F" w:rsidP="00D4526F">
      <w:pPr>
        <w:spacing w:after="200" w:line="276" w:lineRule="auto"/>
        <w:jc w:val="left"/>
        <w:rPr>
          <w:rFonts w:ascii="Calibri" w:eastAsiaTheme="majorEastAsia" w:hAnsi="Calibri" w:cstheme="majorBidi"/>
          <w:b/>
          <w:bCs/>
        </w:rPr>
      </w:pPr>
      <w:bookmarkStart w:id="34" w:name="_Toc444507014"/>
      <w:r>
        <w:rPr>
          <w:rFonts w:ascii="Calibri" w:hAnsi="Calibri"/>
        </w:rPr>
        <w:br w:type="page"/>
      </w:r>
    </w:p>
    <w:p w:rsidR="00D4526F" w:rsidRPr="00D4191B" w:rsidRDefault="00D4526F" w:rsidP="00D4526F">
      <w:pPr>
        <w:pStyle w:val="Heading3"/>
        <w:rPr>
          <w:rFonts w:ascii="Calibri" w:hAnsi="Calibri"/>
          <w:u w:val="single"/>
        </w:rPr>
      </w:pPr>
      <w:bookmarkStart w:id="35" w:name="_Toc530662755"/>
      <w:r w:rsidRPr="00D4191B">
        <w:rPr>
          <w:rFonts w:ascii="Calibri" w:hAnsi="Calibri"/>
          <w:u w:val="single"/>
        </w:rPr>
        <w:lastRenderedPageBreak/>
        <w:t>Oncology specific audit checks by PUC</w:t>
      </w:r>
      <w:bookmarkEnd w:id="34"/>
      <w:bookmarkEnd w:id="35"/>
    </w:p>
    <w:p w:rsidR="00D4526F" w:rsidRPr="00500D9F" w:rsidRDefault="00D4526F" w:rsidP="00D4526F">
      <w:pPr>
        <w:rPr>
          <w:rFonts w:ascii="Calibri" w:hAnsi="Calibri"/>
          <w:sz w:val="28"/>
          <w:szCs w:val="14"/>
        </w:rPr>
      </w:pPr>
    </w:p>
    <w:p w:rsidR="00D4526F" w:rsidRPr="00500D9F" w:rsidRDefault="00D4526F" w:rsidP="00D4526F">
      <w:pPr>
        <w:rPr>
          <w:rFonts w:ascii="Calibri" w:hAnsi="Calibri"/>
          <w:b/>
        </w:rPr>
      </w:pPr>
      <w:r w:rsidRPr="00500D9F">
        <w:rPr>
          <w:rFonts w:ascii="Calibri" w:hAnsi="Calibri"/>
          <w:b/>
        </w:rPr>
        <w:t>M500</w:t>
      </w:r>
      <w:r>
        <w:rPr>
          <w:rFonts w:ascii="Calibri" w:hAnsi="Calibri"/>
          <w:b/>
        </w:rPr>
        <w:t>20 Medical</w:t>
      </w:r>
      <w:r w:rsidRPr="00500D9F">
        <w:rPr>
          <w:rFonts w:ascii="Calibri" w:hAnsi="Calibri"/>
          <w:b/>
        </w:rPr>
        <w:t xml:space="preserve"> Oncology - 1st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 CS7 category A030 and CS2 category D</w:t>
      </w:r>
      <w:r>
        <w:rPr>
          <w:rFonts w:ascii="Calibri" w:hAnsi="Calibri"/>
        </w:rPr>
        <w:t>R for SMO and DS for RMO, Outpatient Facility &amp; some Radiology</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FSA appointments.</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M500</w:t>
      </w:r>
      <w:r>
        <w:rPr>
          <w:rFonts w:ascii="Calibri" w:hAnsi="Calibri"/>
          <w:b/>
        </w:rPr>
        <w:t>21 Medical</w:t>
      </w:r>
      <w:r w:rsidRPr="00500D9F">
        <w:rPr>
          <w:rFonts w:ascii="Calibri" w:hAnsi="Calibri"/>
          <w:b/>
        </w:rPr>
        <w:t xml:space="preserve"> Oncology - Subsequent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w:t>
      </w:r>
      <w:r>
        <w:rPr>
          <w:rFonts w:ascii="Calibri" w:hAnsi="Calibri"/>
        </w:rPr>
        <w:t>, Outpatient Facility &amp; some Radiology</w:t>
      </w:r>
      <w:r w:rsidRPr="00500D9F">
        <w:rPr>
          <w:rFonts w:ascii="Calibri" w:hAnsi="Calibri"/>
        </w:rPr>
        <w:t>.</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FU appointments.</w:t>
      </w:r>
    </w:p>
    <w:p w:rsidR="00D4526F" w:rsidRDefault="00D4526F" w:rsidP="00D4526F">
      <w:pPr>
        <w:rPr>
          <w:rFonts w:ascii="Calibri" w:hAnsi="Calibri"/>
          <w:b/>
        </w:rPr>
      </w:pPr>
    </w:p>
    <w:p w:rsidR="00D4526F" w:rsidRPr="00500D9F" w:rsidRDefault="00D4526F" w:rsidP="00D4526F">
      <w:pPr>
        <w:rPr>
          <w:rFonts w:ascii="Calibri" w:hAnsi="Calibri"/>
          <w:b/>
        </w:rPr>
      </w:pPr>
      <w:r w:rsidRPr="00500D9F">
        <w:rPr>
          <w:rFonts w:ascii="Calibri" w:hAnsi="Calibri"/>
          <w:b/>
        </w:rPr>
        <w:t>M500</w:t>
      </w:r>
      <w:r>
        <w:rPr>
          <w:rFonts w:ascii="Calibri" w:hAnsi="Calibri"/>
          <w:b/>
        </w:rPr>
        <w:t>22 Radiation</w:t>
      </w:r>
      <w:r w:rsidRPr="00500D9F">
        <w:rPr>
          <w:rFonts w:ascii="Calibri" w:hAnsi="Calibri"/>
          <w:b/>
        </w:rPr>
        <w:t xml:space="preserve"> Oncology - 1st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 CS7 category A030 and CS2 category D</w:t>
      </w:r>
      <w:r>
        <w:rPr>
          <w:rFonts w:ascii="Calibri" w:hAnsi="Calibri"/>
        </w:rPr>
        <w:t>R for SMO and DS for RMO, Outpatient Facility &amp; some Radiology</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FSA appointments.</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M500</w:t>
      </w:r>
      <w:r>
        <w:rPr>
          <w:rFonts w:ascii="Calibri" w:hAnsi="Calibri"/>
          <w:b/>
        </w:rPr>
        <w:t>23 Radiation</w:t>
      </w:r>
      <w:r w:rsidRPr="00500D9F">
        <w:rPr>
          <w:rFonts w:ascii="Calibri" w:hAnsi="Calibri"/>
          <w:b/>
        </w:rPr>
        <w:t xml:space="preserve"> Oncology - Subsequent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w:t>
      </w:r>
      <w:r>
        <w:rPr>
          <w:rFonts w:ascii="Calibri" w:hAnsi="Calibri"/>
        </w:rPr>
        <w:t>, Outpatient Facility &amp; some Radiology</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FU appointments.</w:t>
      </w:r>
    </w:p>
    <w:p w:rsidR="00D4526F" w:rsidRDefault="00D4526F" w:rsidP="00D4526F">
      <w:pPr>
        <w:rPr>
          <w:rFonts w:ascii="Calibri" w:hAnsi="Calibri"/>
          <w:b/>
        </w:rPr>
      </w:pPr>
    </w:p>
    <w:p w:rsidR="00D4526F" w:rsidRPr="00500D9F" w:rsidRDefault="00D4526F" w:rsidP="00D4526F">
      <w:pPr>
        <w:rPr>
          <w:rFonts w:ascii="Calibri" w:hAnsi="Calibri"/>
          <w:b/>
        </w:rPr>
      </w:pPr>
      <w:r w:rsidRPr="00500D9F">
        <w:rPr>
          <w:rFonts w:ascii="Calibri" w:hAnsi="Calibri"/>
          <w:b/>
        </w:rPr>
        <w:t>M50009 Oncology - Blood Transfusions</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Blood expenses, which come under the CS2 category ‘Other Clinical Costs’ (DH).</w:t>
      </w:r>
    </w:p>
    <w:p w:rsidR="00D4526F" w:rsidRPr="00500D9F" w:rsidRDefault="00D4526F" w:rsidP="00D4526F">
      <w:pPr>
        <w:numPr>
          <w:ilvl w:val="0"/>
          <w:numId w:val="6"/>
        </w:numPr>
        <w:jc w:val="left"/>
        <w:rPr>
          <w:rFonts w:ascii="Calibri" w:hAnsi="Calibri"/>
        </w:rPr>
      </w:pPr>
      <w:r w:rsidRPr="00500D9F">
        <w:rPr>
          <w:rFonts w:ascii="Calibri" w:hAnsi="Calibri"/>
        </w:rPr>
        <w:t>If any, there should be only a small amount of Laboratory and Radiology expenses.</w:t>
      </w:r>
    </w:p>
    <w:p w:rsidR="00D4526F" w:rsidRPr="00500D9F" w:rsidRDefault="00D4526F" w:rsidP="00D4526F">
      <w:pPr>
        <w:numPr>
          <w:ilvl w:val="0"/>
          <w:numId w:val="6"/>
        </w:numPr>
        <w:jc w:val="left"/>
        <w:rPr>
          <w:rFonts w:ascii="Calibri" w:hAnsi="Calibri"/>
        </w:rPr>
      </w:pPr>
      <w:r w:rsidRPr="00500D9F">
        <w:rPr>
          <w:rFonts w:ascii="Calibri" w:hAnsi="Calibri"/>
        </w:rPr>
        <w:t>The material employee costs should be Nursing S&amp;W.</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MS01001 Nurse Led Outpatient Clinics</w:t>
      </w:r>
    </w:p>
    <w:p w:rsidR="00D4526F" w:rsidRPr="00500D9F" w:rsidRDefault="00D4526F" w:rsidP="00D4526F">
      <w:pPr>
        <w:numPr>
          <w:ilvl w:val="0"/>
          <w:numId w:val="6"/>
        </w:numPr>
        <w:jc w:val="left"/>
        <w:rPr>
          <w:rFonts w:ascii="Calibri" w:hAnsi="Calibri"/>
        </w:rPr>
      </w:pPr>
      <w:r w:rsidRPr="00500D9F">
        <w:rPr>
          <w:rFonts w:ascii="Calibri" w:hAnsi="Calibri"/>
        </w:rPr>
        <w:t xml:space="preserve">The cost of this PUC should be dominated by Nursing S&amp;W expenses, CS2 category DB. </w:t>
      </w:r>
    </w:p>
    <w:p w:rsidR="00D4526F" w:rsidRPr="00500D9F" w:rsidRDefault="00D4526F" w:rsidP="00D4526F">
      <w:pPr>
        <w:numPr>
          <w:ilvl w:val="0"/>
          <w:numId w:val="6"/>
        </w:numPr>
        <w:jc w:val="left"/>
        <w:rPr>
          <w:rFonts w:ascii="Calibri" w:hAnsi="Calibri"/>
        </w:rPr>
      </w:pPr>
      <w:r w:rsidRPr="00500D9F">
        <w:rPr>
          <w:rFonts w:ascii="Calibri" w:hAnsi="Calibri"/>
        </w:rPr>
        <w:t>On average this should be the lowest cost Oncology PUC.</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M500</w:t>
      </w:r>
      <w:r>
        <w:rPr>
          <w:rFonts w:ascii="Calibri" w:hAnsi="Calibri"/>
          <w:b/>
        </w:rPr>
        <w:t>24/25</w:t>
      </w:r>
      <w:r w:rsidRPr="00500D9F">
        <w:rPr>
          <w:rFonts w:ascii="Calibri" w:hAnsi="Calibri"/>
          <w:b/>
        </w:rPr>
        <w:t xml:space="preserve"> Oncology - Radiotherapy</w:t>
      </w:r>
    </w:p>
    <w:p w:rsidR="00D4526F" w:rsidRPr="00500D9F" w:rsidRDefault="00D4526F" w:rsidP="00D4526F">
      <w:pPr>
        <w:numPr>
          <w:ilvl w:val="0"/>
          <w:numId w:val="6"/>
        </w:numPr>
        <w:jc w:val="left"/>
        <w:rPr>
          <w:rFonts w:ascii="Calibri" w:hAnsi="Calibri"/>
        </w:rPr>
      </w:pPr>
      <w:r w:rsidRPr="00500D9F">
        <w:rPr>
          <w:rFonts w:ascii="Calibri" w:hAnsi="Calibri"/>
        </w:rPr>
        <w:t xml:space="preserve">This PUC should contain significant Radiotherapist S&amp;W expenses. These come under the CS2 category ‘Allied </w:t>
      </w:r>
      <w:r>
        <w:rPr>
          <w:rFonts w:ascii="Calibri" w:hAnsi="Calibri"/>
        </w:rPr>
        <w:t xml:space="preserve">Technical </w:t>
      </w:r>
      <w:r w:rsidRPr="00500D9F">
        <w:rPr>
          <w:rFonts w:ascii="Calibri" w:hAnsi="Calibri"/>
        </w:rPr>
        <w:t>Health</w:t>
      </w:r>
      <w:r w:rsidRPr="00500D9F">
        <w:rPr>
          <w:rFonts w:ascii="Calibri" w:hAnsi="Calibri"/>
          <w:lang w:val="en-GB"/>
        </w:rPr>
        <w:t xml:space="preserve"> Labour</w:t>
      </w:r>
      <w:r w:rsidRPr="00500D9F">
        <w:rPr>
          <w:rFonts w:ascii="Calibri" w:hAnsi="Calibri"/>
        </w:rPr>
        <w:t>’ (D</w:t>
      </w:r>
      <w:r>
        <w:rPr>
          <w:rFonts w:ascii="Calibri" w:hAnsi="Calibri"/>
        </w:rPr>
        <w:t>O</w:t>
      </w:r>
      <w:r w:rsidRPr="00500D9F">
        <w:rPr>
          <w:rFonts w:ascii="Calibri" w:hAnsi="Calibri"/>
        </w:rPr>
        <w:t>).</w:t>
      </w:r>
    </w:p>
    <w:p w:rsidR="00D4526F" w:rsidRPr="00500D9F" w:rsidRDefault="00D4526F" w:rsidP="00D4526F">
      <w:pPr>
        <w:numPr>
          <w:ilvl w:val="0"/>
          <w:numId w:val="6"/>
        </w:numPr>
        <w:jc w:val="left"/>
        <w:rPr>
          <w:rFonts w:ascii="Calibri" w:hAnsi="Calibri"/>
        </w:rPr>
      </w:pPr>
      <w:r w:rsidRPr="00500D9F">
        <w:rPr>
          <w:rFonts w:ascii="Calibri" w:hAnsi="Calibri"/>
        </w:rPr>
        <w:t>There should also be a material amount of Doctor S&amp;W expenses</w:t>
      </w:r>
      <w:r>
        <w:rPr>
          <w:rFonts w:ascii="Calibri" w:hAnsi="Calibri"/>
        </w:rPr>
        <w:t xml:space="preserve"> for planning activities</w:t>
      </w:r>
      <w:r w:rsidRPr="00500D9F">
        <w:rPr>
          <w:rFonts w:ascii="Calibri" w:hAnsi="Calibri"/>
        </w:rPr>
        <w:t>.</w:t>
      </w:r>
    </w:p>
    <w:p w:rsidR="00D4526F" w:rsidRPr="00500D9F" w:rsidRDefault="00D4526F" w:rsidP="00D4526F">
      <w:pPr>
        <w:numPr>
          <w:ilvl w:val="0"/>
          <w:numId w:val="6"/>
        </w:numPr>
        <w:jc w:val="left"/>
        <w:rPr>
          <w:rFonts w:ascii="Calibri" w:hAnsi="Calibri"/>
        </w:rPr>
      </w:pPr>
      <w:r w:rsidRPr="00500D9F">
        <w:rPr>
          <w:rFonts w:ascii="Calibri" w:hAnsi="Calibri"/>
        </w:rPr>
        <w:t>The depreciation and capital costs of the radiotherapy equipment and the associated buildings should be mapped to this PUC. This should result in a significantly greater portion of overhead costs as a percentage of total costs compared to other Oncology and</w:t>
      </w:r>
      <w:r w:rsidRPr="00500D9F">
        <w:rPr>
          <w:rFonts w:ascii="Calibri" w:hAnsi="Calibri"/>
          <w:lang w:val="en-GB"/>
        </w:rPr>
        <w:t xml:space="preserve"> Haematology</w:t>
      </w:r>
      <w:r w:rsidRPr="00500D9F">
        <w:rPr>
          <w:rFonts w:ascii="Calibri" w:hAnsi="Calibri"/>
        </w:rPr>
        <w:t xml:space="preserve"> PUCs. </w:t>
      </w:r>
    </w:p>
    <w:p w:rsidR="00D4526F" w:rsidRPr="00500D9F" w:rsidRDefault="00D4526F" w:rsidP="00D4526F">
      <w:pPr>
        <w:numPr>
          <w:ilvl w:val="0"/>
          <w:numId w:val="6"/>
        </w:numPr>
        <w:jc w:val="left"/>
        <w:rPr>
          <w:rFonts w:ascii="Calibri" w:hAnsi="Calibri"/>
        </w:rPr>
      </w:pPr>
      <w:r w:rsidRPr="00500D9F">
        <w:rPr>
          <w:rFonts w:ascii="Calibri" w:hAnsi="Calibri"/>
        </w:rPr>
        <w:t>If this service is outsourced then these costs should be visible under the employee CS2 categories or the ‘Outsourced Clinical Services’ (DJ) category.</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lastRenderedPageBreak/>
        <w:t>MS02009 IV Chemotherapy - Cancer - Any health specialty</w:t>
      </w:r>
    </w:p>
    <w:p w:rsidR="00D4526F" w:rsidRPr="00500D9F" w:rsidRDefault="00D4526F" w:rsidP="00D4526F">
      <w:pPr>
        <w:numPr>
          <w:ilvl w:val="0"/>
          <w:numId w:val="6"/>
        </w:numPr>
        <w:jc w:val="left"/>
        <w:rPr>
          <w:rFonts w:ascii="Calibri" w:hAnsi="Calibri"/>
        </w:rPr>
      </w:pPr>
      <w:r w:rsidRPr="00500D9F">
        <w:rPr>
          <w:rFonts w:ascii="Calibri" w:hAnsi="Calibri"/>
        </w:rPr>
        <w:t xml:space="preserve">The cost of this PUC should be dominated by PCT drug costs, CS7 category (A150) and the associated dispensing costs which come under a number of CS2 categories e.g. ‘Allied </w:t>
      </w:r>
      <w:r>
        <w:rPr>
          <w:rFonts w:ascii="Calibri" w:hAnsi="Calibri"/>
        </w:rPr>
        <w:t xml:space="preserve">Technical </w:t>
      </w:r>
      <w:r w:rsidRPr="00500D9F">
        <w:rPr>
          <w:rFonts w:ascii="Calibri" w:hAnsi="Calibri"/>
          <w:lang w:val="en-GB"/>
        </w:rPr>
        <w:t>Labour</w:t>
      </w:r>
      <w:r w:rsidRPr="00500D9F">
        <w:rPr>
          <w:rFonts w:ascii="Calibri" w:hAnsi="Calibri"/>
        </w:rPr>
        <w:t>’ (D</w:t>
      </w:r>
      <w:r>
        <w:rPr>
          <w:rFonts w:ascii="Calibri" w:hAnsi="Calibri"/>
        </w:rPr>
        <w:t>O</w:t>
      </w:r>
      <w:r w:rsidRPr="00500D9F">
        <w:rPr>
          <w:rFonts w:ascii="Calibri" w:hAnsi="Calibri"/>
        </w:rPr>
        <w:t xml:space="preserve">) and ‘Other Clinical Costs’ (DH). </w:t>
      </w:r>
    </w:p>
    <w:p w:rsidR="00D4526F" w:rsidRDefault="00D4526F" w:rsidP="00D4526F">
      <w:pPr>
        <w:numPr>
          <w:ilvl w:val="0"/>
          <w:numId w:val="6"/>
        </w:numPr>
        <w:jc w:val="left"/>
        <w:rPr>
          <w:rFonts w:ascii="Calibri" w:hAnsi="Calibri"/>
        </w:rPr>
      </w:pPr>
      <w:r w:rsidRPr="00500D9F">
        <w:rPr>
          <w:rFonts w:ascii="Calibri" w:hAnsi="Calibri"/>
        </w:rPr>
        <w:t xml:space="preserve">There should be a material amount of </w:t>
      </w:r>
      <w:r>
        <w:rPr>
          <w:rFonts w:ascii="Calibri" w:hAnsi="Calibri"/>
        </w:rPr>
        <w:t>n</w:t>
      </w:r>
      <w:r w:rsidRPr="00500D9F">
        <w:rPr>
          <w:rFonts w:ascii="Calibri" w:hAnsi="Calibri"/>
        </w:rPr>
        <w:t>ursing cost for this PUC, CS2 category ‘Nursing</w:t>
      </w:r>
      <w:r w:rsidRPr="00500D9F">
        <w:rPr>
          <w:rFonts w:ascii="Calibri" w:hAnsi="Calibri"/>
          <w:lang w:val="en-GB"/>
        </w:rPr>
        <w:t xml:space="preserve"> Labour</w:t>
      </w:r>
      <w:r w:rsidRPr="00500D9F">
        <w:rPr>
          <w:rFonts w:ascii="Calibri" w:hAnsi="Calibri"/>
        </w:rPr>
        <w:t>’ (DB).</w:t>
      </w:r>
    </w:p>
    <w:p w:rsidR="00D4526F" w:rsidRPr="00447852" w:rsidRDefault="00D4526F" w:rsidP="00D4526F">
      <w:pPr>
        <w:numPr>
          <w:ilvl w:val="0"/>
          <w:numId w:val="6"/>
        </w:numPr>
        <w:jc w:val="left"/>
        <w:rPr>
          <w:rFonts w:ascii="Calibri" w:hAnsi="Calibri"/>
        </w:rPr>
      </w:pPr>
      <w:r>
        <w:rPr>
          <w:rFonts w:ascii="Calibri" w:hAnsi="Calibri"/>
        </w:rPr>
        <w:t>Depending on the DHBs model of care, there may be a reasonable amount of doctor cost if RMOs are present in the Chemo Outpatient setting.</w:t>
      </w:r>
    </w:p>
    <w:p w:rsidR="00D4526F" w:rsidRDefault="00D4526F" w:rsidP="00D4526F">
      <w:pPr>
        <w:rPr>
          <w:rFonts w:ascii="Calibri" w:hAnsi="Calibri"/>
          <w:b/>
        </w:rPr>
      </w:pPr>
    </w:p>
    <w:p w:rsidR="00D4526F" w:rsidRPr="007A3BC2" w:rsidRDefault="00D4526F" w:rsidP="00D4526F">
      <w:pPr>
        <w:rPr>
          <w:rFonts w:ascii="Calibri" w:hAnsi="Calibri"/>
          <w:b/>
        </w:rPr>
      </w:pPr>
      <w:r w:rsidRPr="007A3BC2">
        <w:rPr>
          <w:rFonts w:ascii="Calibri" w:hAnsi="Calibri"/>
          <w:b/>
        </w:rPr>
        <w:t>M50016 – HDR Brachytherapy</w:t>
      </w:r>
    </w:p>
    <w:p w:rsidR="00D4526F" w:rsidRPr="00500D9F" w:rsidRDefault="00D4526F" w:rsidP="00D4526F">
      <w:pPr>
        <w:numPr>
          <w:ilvl w:val="0"/>
          <w:numId w:val="6"/>
        </w:numPr>
        <w:jc w:val="left"/>
        <w:rPr>
          <w:rFonts w:ascii="Calibri" w:hAnsi="Calibri"/>
        </w:rPr>
      </w:pPr>
      <w:r w:rsidRPr="00500D9F">
        <w:rPr>
          <w:rFonts w:ascii="Calibri" w:hAnsi="Calibri"/>
        </w:rPr>
        <w:t xml:space="preserve">This PUC should contain significant Radiotherapist S&amp;W expenses. These come under the CS2 category ‘Allied </w:t>
      </w:r>
      <w:r>
        <w:rPr>
          <w:rFonts w:ascii="Calibri" w:hAnsi="Calibri"/>
        </w:rPr>
        <w:t xml:space="preserve">Technical </w:t>
      </w:r>
      <w:r w:rsidRPr="00500D9F">
        <w:rPr>
          <w:rFonts w:ascii="Calibri" w:hAnsi="Calibri"/>
          <w:lang w:val="en-GB"/>
        </w:rPr>
        <w:t>Labour</w:t>
      </w:r>
      <w:r w:rsidRPr="00500D9F">
        <w:rPr>
          <w:rFonts w:ascii="Calibri" w:hAnsi="Calibri"/>
        </w:rPr>
        <w:t>’ (D</w:t>
      </w:r>
      <w:r>
        <w:rPr>
          <w:rFonts w:ascii="Calibri" w:hAnsi="Calibri"/>
        </w:rPr>
        <w:t>O</w:t>
      </w:r>
      <w:r w:rsidRPr="00500D9F">
        <w:rPr>
          <w:rFonts w:ascii="Calibri" w:hAnsi="Calibri"/>
        </w:rPr>
        <w:t>).</w:t>
      </w:r>
    </w:p>
    <w:p w:rsidR="00D4526F" w:rsidRPr="00500D9F" w:rsidRDefault="00D4526F" w:rsidP="00D4526F">
      <w:pPr>
        <w:numPr>
          <w:ilvl w:val="0"/>
          <w:numId w:val="6"/>
        </w:numPr>
        <w:jc w:val="left"/>
        <w:rPr>
          <w:rFonts w:ascii="Calibri" w:hAnsi="Calibri"/>
        </w:rPr>
      </w:pPr>
      <w:r w:rsidRPr="00500D9F">
        <w:rPr>
          <w:rFonts w:ascii="Calibri" w:hAnsi="Calibri"/>
        </w:rPr>
        <w:t>There should also be a material amount of Doctor S&amp;W expenses</w:t>
      </w:r>
      <w:r>
        <w:rPr>
          <w:rFonts w:ascii="Calibri" w:hAnsi="Calibri"/>
        </w:rPr>
        <w:t xml:space="preserve"> for planning activities</w:t>
      </w:r>
      <w:r w:rsidRPr="00500D9F">
        <w:rPr>
          <w:rFonts w:ascii="Calibri" w:hAnsi="Calibri"/>
        </w:rPr>
        <w:t>.</w:t>
      </w:r>
    </w:p>
    <w:p w:rsidR="00D4526F" w:rsidRPr="00500D9F" w:rsidRDefault="00D4526F" w:rsidP="00D4526F">
      <w:pPr>
        <w:numPr>
          <w:ilvl w:val="0"/>
          <w:numId w:val="6"/>
        </w:numPr>
        <w:jc w:val="left"/>
        <w:rPr>
          <w:rFonts w:ascii="Calibri" w:hAnsi="Calibri"/>
        </w:rPr>
      </w:pPr>
      <w:r w:rsidRPr="00500D9F">
        <w:rPr>
          <w:rFonts w:ascii="Calibri" w:hAnsi="Calibri"/>
        </w:rPr>
        <w:t>The depreciation and capital costs of the radiotherapy equipment and the associated buildings should be mapped to this PUC. This should result in a significantly greater portion of overhead costs as a percentage of total costs compared to other Oncology and</w:t>
      </w:r>
      <w:r w:rsidRPr="00500D9F">
        <w:rPr>
          <w:rFonts w:ascii="Calibri" w:hAnsi="Calibri"/>
          <w:lang w:val="en-GB"/>
        </w:rPr>
        <w:t xml:space="preserve"> Haematology</w:t>
      </w:r>
      <w:r w:rsidRPr="00500D9F">
        <w:rPr>
          <w:rFonts w:ascii="Calibri" w:hAnsi="Calibri"/>
        </w:rPr>
        <w:t xml:space="preserve"> PUCs. </w:t>
      </w:r>
    </w:p>
    <w:p w:rsidR="00D4526F" w:rsidRPr="00500D9F" w:rsidRDefault="00D4526F" w:rsidP="00D4526F">
      <w:pPr>
        <w:numPr>
          <w:ilvl w:val="0"/>
          <w:numId w:val="6"/>
        </w:numPr>
        <w:jc w:val="left"/>
        <w:rPr>
          <w:rFonts w:ascii="Calibri" w:hAnsi="Calibri"/>
        </w:rPr>
      </w:pPr>
      <w:r w:rsidRPr="00500D9F">
        <w:rPr>
          <w:rFonts w:ascii="Calibri" w:hAnsi="Calibri"/>
        </w:rPr>
        <w:t>If this service is outsourced then these costs should be visible under the employee CS2 categories or the ‘Outsourced Clinical Services’ (DJ) category.</w:t>
      </w:r>
    </w:p>
    <w:p w:rsidR="00D4526F" w:rsidRDefault="00D4526F" w:rsidP="00D4526F">
      <w:pPr>
        <w:rPr>
          <w:rFonts w:ascii="Calibri" w:hAnsi="Calibri"/>
        </w:rPr>
      </w:pPr>
    </w:p>
    <w:p w:rsidR="00D4526F" w:rsidRPr="007A3BC2" w:rsidRDefault="00D4526F" w:rsidP="00D4526F">
      <w:pPr>
        <w:rPr>
          <w:rFonts w:ascii="Calibri" w:hAnsi="Calibri"/>
          <w:b/>
        </w:rPr>
      </w:pPr>
      <w:r w:rsidRPr="007A3BC2">
        <w:rPr>
          <w:rFonts w:ascii="Calibri" w:hAnsi="Calibri"/>
          <w:b/>
        </w:rPr>
        <w:t>M50017 PET Scanning</w:t>
      </w:r>
    </w:p>
    <w:p w:rsidR="00D4526F" w:rsidRDefault="00D4526F" w:rsidP="00D4526F">
      <w:pPr>
        <w:numPr>
          <w:ilvl w:val="0"/>
          <w:numId w:val="6"/>
        </w:numPr>
        <w:jc w:val="left"/>
        <w:rPr>
          <w:rFonts w:ascii="Calibri" w:hAnsi="Calibri"/>
        </w:rPr>
      </w:pPr>
      <w:r w:rsidRPr="00500D9F">
        <w:rPr>
          <w:rFonts w:ascii="Calibri" w:hAnsi="Calibri"/>
        </w:rPr>
        <w:t xml:space="preserve">If this service is outsourced </w:t>
      </w:r>
      <w:r>
        <w:rPr>
          <w:rFonts w:ascii="Calibri" w:hAnsi="Calibri"/>
        </w:rPr>
        <w:t>by the Provider then cost should be in</w:t>
      </w:r>
      <w:r w:rsidRPr="00500D9F">
        <w:rPr>
          <w:rFonts w:ascii="Calibri" w:hAnsi="Calibri"/>
        </w:rPr>
        <w:t xml:space="preserve"> ‘Outsourced Clinical Services’ (DJ) category.</w:t>
      </w:r>
    </w:p>
    <w:p w:rsidR="00D4526F" w:rsidRDefault="00D4526F" w:rsidP="00D4526F">
      <w:pPr>
        <w:numPr>
          <w:ilvl w:val="0"/>
          <w:numId w:val="6"/>
        </w:numPr>
        <w:jc w:val="left"/>
        <w:rPr>
          <w:rFonts w:ascii="Calibri" w:hAnsi="Calibri"/>
        </w:rPr>
      </w:pPr>
      <w:r>
        <w:rPr>
          <w:rFonts w:ascii="Calibri" w:hAnsi="Calibri"/>
        </w:rPr>
        <w:t>Many DHBs pay for this direct from the Funder.</w:t>
      </w:r>
    </w:p>
    <w:p w:rsidR="00D4526F" w:rsidRDefault="00D4526F" w:rsidP="00D4526F">
      <w:pPr>
        <w:jc w:val="left"/>
        <w:rPr>
          <w:rFonts w:ascii="Calibri" w:hAnsi="Calibri"/>
        </w:rPr>
      </w:pPr>
    </w:p>
    <w:p w:rsidR="00D4526F" w:rsidRPr="00DF1376" w:rsidRDefault="00D4526F" w:rsidP="00D4526F">
      <w:pPr>
        <w:jc w:val="left"/>
        <w:rPr>
          <w:rFonts w:ascii="Calibri" w:hAnsi="Calibri"/>
          <w:b/>
        </w:rPr>
      </w:pPr>
      <w:r w:rsidRPr="00DF1376">
        <w:rPr>
          <w:rFonts w:ascii="Calibri" w:hAnsi="Calibri"/>
          <w:b/>
        </w:rPr>
        <w:t>M50008 Stereotactic Radiotherapy</w:t>
      </w:r>
    </w:p>
    <w:p w:rsidR="00D4526F" w:rsidRPr="00DF1376" w:rsidRDefault="00D4526F" w:rsidP="00D4526F">
      <w:pPr>
        <w:numPr>
          <w:ilvl w:val="0"/>
          <w:numId w:val="6"/>
        </w:numPr>
        <w:jc w:val="left"/>
        <w:rPr>
          <w:rFonts w:ascii="Calibri" w:hAnsi="Calibri"/>
        </w:rPr>
      </w:pPr>
      <w:bookmarkStart w:id="36" w:name="_Toc444507015"/>
      <w:r w:rsidRPr="00500D9F">
        <w:rPr>
          <w:rFonts w:ascii="Calibri" w:hAnsi="Calibri"/>
        </w:rPr>
        <w:t xml:space="preserve">This </w:t>
      </w:r>
      <w:r>
        <w:rPr>
          <w:rFonts w:ascii="Calibri" w:hAnsi="Calibri"/>
        </w:rPr>
        <w:t xml:space="preserve">PUC should contain similar types of costs to </w:t>
      </w:r>
      <w:r w:rsidRPr="00DF1376">
        <w:rPr>
          <w:rFonts w:ascii="Calibri" w:hAnsi="Calibri"/>
        </w:rPr>
        <w:t xml:space="preserve">M50024/25 Oncology </w:t>
      </w:r>
      <w:r>
        <w:rPr>
          <w:rFonts w:ascii="Calibri" w:hAnsi="Calibri"/>
        </w:rPr>
        <w:t>–</w:t>
      </w:r>
      <w:r w:rsidRPr="00DF1376">
        <w:rPr>
          <w:rFonts w:ascii="Calibri" w:hAnsi="Calibri"/>
        </w:rPr>
        <w:t xml:space="preserve"> Radiotherapy</w:t>
      </w:r>
      <w:r>
        <w:rPr>
          <w:rFonts w:ascii="Calibri" w:hAnsi="Calibri"/>
        </w:rPr>
        <w:t>.</w:t>
      </w:r>
    </w:p>
    <w:p w:rsidR="00D4526F" w:rsidRPr="00500D9F" w:rsidRDefault="00D4526F" w:rsidP="00D4526F">
      <w:pPr>
        <w:numPr>
          <w:ilvl w:val="0"/>
          <w:numId w:val="6"/>
        </w:numPr>
        <w:jc w:val="left"/>
        <w:rPr>
          <w:rFonts w:ascii="Calibri" w:hAnsi="Calibri"/>
        </w:rPr>
      </w:pPr>
      <w:r>
        <w:rPr>
          <w:rFonts w:ascii="Calibri" w:hAnsi="Calibri"/>
        </w:rPr>
        <w:t>The counting methodology is different to M50024/25.  The PUC unit of measure is completed treatments, not by individual treatment events.  Therefore, the cost of this PUC should be significantly higher than M50024/25.</w:t>
      </w:r>
    </w:p>
    <w:p w:rsidR="00D4526F" w:rsidRDefault="00D4526F" w:rsidP="00D4526F">
      <w:pPr>
        <w:spacing w:after="200" w:line="276" w:lineRule="auto"/>
        <w:jc w:val="left"/>
        <w:rPr>
          <w:rFonts w:ascii="Calibri" w:eastAsiaTheme="majorEastAsia" w:hAnsi="Calibri" w:cstheme="majorBidi"/>
          <w:b/>
          <w:bCs/>
          <w:u w:val="single"/>
        </w:rPr>
      </w:pPr>
      <w:r>
        <w:rPr>
          <w:rFonts w:ascii="Calibri" w:hAnsi="Calibri"/>
          <w:u w:val="single"/>
        </w:rPr>
        <w:br w:type="page"/>
      </w:r>
    </w:p>
    <w:p w:rsidR="00D4526F" w:rsidRPr="00D4191B" w:rsidRDefault="00D4526F" w:rsidP="00D4526F">
      <w:pPr>
        <w:pStyle w:val="Heading3"/>
        <w:rPr>
          <w:rFonts w:ascii="Calibri" w:hAnsi="Calibri"/>
          <w:u w:val="single"/>
        </w:rPr>
      </w:pPr>
      <w:bookmarkStart w:id="37" w:name="_Toc530662756"/>
      <w:r w:rsidRPr="00D4191B">
        <w:rPr>
          <w:rFonts w:ascii="Calibri" w:hAnsi="Calibri"/>
          <w:u w:val="single"/>
        </w:rPr>
        <w:lastRenderedPageBreak/>
        <w:t>Haematology specific audit checks by PUC</w:t>
      </w:r>
      <w:bookmarkEnd w:id="36"/>
      <w:bookmarkEnd w:id="37"/>
    </w:p>
    <w:p w:rsidR="00D4526F" w:rsidRPr="00500D9F" w:rsidRDefault="00D4526F" w:rsidP="00D4526F">
      <w:pPr>
        <w:rPr>
          <w:rFonts w:ascii="Calibri" w:hAnsi="Calibri"/>
        </w:rPr>
      </w:pPr>
    </w:p>
    <w:p w:rsidR="00D4526F" w:rsidRPr="00500D9F" w:rsidRDefault="00D4526F" w:rsidP="00D4526F">
      <w:pPr>
        <w:rPr>
          <w:rFonts w:ascii="Calibri" w:hAnsi="Calibri"/>
        </w:rPr>
      </w:pPr>
      <w:r w:rsidRPr="00500D9F">
        <w:rPr>
          <w:rFonts w:ascii="Calibri" w:hAnsi="Calibri"/>
        </w:rPr>
        <w:t>Generally the issues that relate to the Oncology PUC are also applicable to the</w:t>
      </w:r>
      <w:r w:rsidRPr="00500D9F">
        <w:rPr>
          <w:rFonts w:ascii="Calibri" w:hAnsi="Calibri"/>
          <w:lang w:val="en-GB"/>
        </w:rPr>
        <w:t xml:space="preserve"> Haematology</w:t>
      </w:r>
      <w:r w:rsidRPr="00500D9F">
        <w:rPr>
          <w:rFonts w:ascii="Calibri" w:hAnsi="Calibri"/>
        </w:rPr>
        <w:t xml:space="preserve"> PUCs.</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M30002</w:t>
      </w:r>
      <w:r w:rsidRPr="00500D9F">
        <w:rPr>
          <w:rFonts w:ascii="Calibri" w:hAnsi="Calibri"/>
          <w:b/>
          <w:lang w:val="en-GB"/>
        </w:rPr>
        <w:t xml:space="preserve"> Haematology</w:t>
      </w:r>
      <w:r w:rsidRPr="00500D9F">
        <w:rPr>
          <w:rFonts w:ascii="Calibri" w:hAnsi="Calibri"/>
          <w:b/>
        </w:rPr>
        <w:t xml:space="preserve"> - 1st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FSA appointments.</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M30003</w:t>
      </w:r>
      <w:r w:rsidRPr="00500D9F">
        <w:rPr>
          <w:rFonts w:ascii="Calibri" w:hAnsi="Calibri"/>
          <w:b/>
          <w:lang w:val="en-GB"/>
        </w:rPr>
        <w:t xml:space="preserve"> Haematology</w:t>
      </w:r>
      <w:r w:rsidRPr="00500D9F">
        <w:rPr>
          <w:rFonts w:ascii="Calibri" w:hAnsi="Calibri"/>
          <w:b/>
        </w:rPr>
        <w:t xml:space="preserve"> - Subsequent attendance</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w:t>
      </w:r>
    </w:p>
    <w:p w:rsidR="00D4526F" w:rsidRPr="00500D9F" w:rsidRDefault="00D4526F" w:rsidP="00D4526F">
      <w:pPr>
        <w:numPr>
          <w:ilvl w:val="0"/>
          <w:numId w:val="6"/>
        </w:numPr>
        <w:jc w:val="left"/>
        <w:rPr>
          <w:rFonts w:ascii="Calibri" w:hAnsi="Calibri"/>
        </w:rPr>
      </w:pPr>
      <w:r w:rsidRPr="00500D9F">
        <w:rPr>
          <w:rFonts w:ascii="Calibri" w:hAnsi="Calibri"/>
        </w:rPr>
        <w:t xml:space="preserve">There should be only a small amount of drug and blood costs attached. </w:t>
      </w:r>
    </w:p>
    <w:p w:rsidR="00D4526F" w:rsidRPr="00500D9F" w:rsidRDefault="00D4526F" w:rsidP="00D4526F">
      <w:pPr>
        <w:numPr>
          <w:ilvl w:val="0"/>
          <w:numId w:val="6"/>
        </w:numPr>
        <w:jc w:val="left"/>
        <w:rPr>
          <w:rFonts w:ascii="Calibri" w:hAnsi="Calibri"/>
        </w:rPr>
      </w:pPr>
      <w:r w:rsidRPr="00500D9F">
        <w:rPr>
          <w:rFonts w:ascii="Calibri" w:hAnsi="Calibri"/>
        </w:rPr>
        <w:t>Generally the allocated overheads should be similar to other FU appointments.</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M30014</w:t>
      </w:r>
      <w:r w:rsidRPr="00500D9F">
        <w:rPr>
          <w:rFonts w:ascii="Calibri" w:hAnsi="Calibri"/>
          <w:b/>
          <w:lang w:val="en-GB"/>
        </w:rPr>
        <w:t xml:space="preserve"> Haematology</w:t>
      </w:r>
      <w:r w:rsidRPr="00500D9F">
        <w:rPr>
          <w:rFonts w:ascii="Calibri" w:hAnsi="Calibri"/>
          <w:b/>
        </w:rPr>
        <w:t xml:space="preserve"> - Blood Transfusions</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Blood expenses. These come under the CS2 category ‘Other Clinical Costs’ (DH).</w:t>
      </w:r>
    </w:p>
    <w:p w:rsidR="00D4526F" w:rsidRPr="00500D9F" w:rsidRDefault="00D4526F" w:rsidP="00D4526F">
      <w:pPr>
        <w:numPr>
          <w:ilvl w:val="0"/>
          <w:numId w:val="6"/>
        </w:numPr>
        <w:jc w:val="left"/>
        <w:rPr>
          <w:rFonts w:ascii="Calibri" w:hAnsi="Calibri"/>
        </w:rPr>
      </w:pPr>
      <w:r w:rsidRPr="00500D9F">
        <w:rPr>
          <w:rFonts w:ascii="Calibri" w:hAnsi="Calibri"/>
        </w:rPr>
        <w:t>At most there should be only a small amount of Laboratory and Radiology expenses.</w:t>
      </w:r>
    </w:p>
    <w:p w:rsidR="00D4526F" w:rsidRPr="00500D9F" w:rsidRDefault="00D4526F" w:rsidP="00D4526F">
      <w:pPr>
        <w:numPr>
          <w:ilvl w:val="0"/>
          <w:numId w:val="6"/>
        </w:numPr>
        <w:jc w:val="left"/>
        <w:rPr>
          <w:rFonts w:ascii="Calibri" w:hAnsi="Calibri"/>
        </w:rPr>
      </w:pPr>
      <w:r w:rsidRPr="00500D9F">
        <w:rPr>
          <w:rFonts w:ascii="Calibri" w:hAnsi="Calibri"/>
        </w:rPr>
        <w:t>The material employee costs should be Nursing S&amp;W, CS2 category DB.</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M30020 IV Chemotherapy – Cancer-</w:t>
      </w:r>
      <w:r w:rsidRPr="00500D9F">
        <w:rPr>
          <w:rFonts w:ascii="Calibri" w:hAnsi="Calibri"/>
          <w:b/>
          <w:lang w:val="en-GB"/>
        </w:rPr>
        <w:t>Haematology</w:t>
      </w:r>
      <w:r w:rsidRPr="00500D9F">
        <w:rPr>
          <w:rFonts w:ascii="Calibri" w:hAnsi="Calibri"/>
          <w:b/>
        </w:rPr>
        <w:t xml:space="preserve"> (non</w:t>
      </w:r>
      <w:r w:rsidRPr="00500D9F">
        <w:rPr>
          <w:rFonts w:ascii="Calibri" w:hAnsi="Calibri"/>
          <w:b/>
          <w:lang w:val="en-GB"/>
        </w:rPr>
        <w:t xml:space="preserve"> paediatric</w:t>
      </w:r>
      <w:r w:rsidRPr="00500D9F">
        <w:rPr>
          <w:rFonts w:ascii="Calibri" w:hAnsi="Calibri"/>
          <w:b/>
        </w:rPr>
        <w:t>)</w:t>
      </w:r>
    </w:p>
    <w:p w:rsidR="00D4526F" w:rsidRPr="00500D9F" w:rsidRDefault="00D4526F" w:rsidP="00D4526F">
      <w:pPr>
        <w:numPr>
          <w:ilvl w:val="0"/>
          <w:numId w:val="6"/>
        </w:numPr>
        <w:jc w:val="left"/>
        <w:rPr>
          <w:rFonts w:ascii="Calibri" w:hAnsi="Calibri"/>
        </w:rPr>
      </w:pPr>
      <w:r w:rsidRPr="00500D9F">
        <w:rPr>
          <w:rFonts w:ascii="Calibri" w:hAnsi="Calibri"/>
        </w:rPr>
        <w:t xml:space="preserve">The cost of this PUC should be dominated by PCT drug costs, CS7 category (A150) and the associated dispensing costs which come under a number of CS2 categories e.g. ‘Allied </w:t>
      </w:r>
      <w:r>
        <w:rPr>
          <w:rFonts w:ascii="Calibri" w:hAnsi="Calibri"/>
        </w:rPr>
        <w:t xml:space="preserve">Technical </w:t>
      </w:r>
      <w:r w:rsidRPr="00500D9F">
        <w:rPr>
          <w:rFonts w:ascii="Calibri" w:hAnsi="Calibri"/>
          <w:lang w:val="en-GB"/>
        </w:rPr>
        <w:t>Labour</w:t>
      </w:r>
      <w:r w:rsidRPr="00500D9F">
        <w:rPr>
          <w:rFonts w:ascii="Calibri" w:hAnsi="Calibri"/>
        </w:rPr>
        <w:t>’ (D</w:t>
      </w:r>
      <w:r>
        <w:rPr>
          <w:rFonts w:ascii="Calibri" w:hAnsi="Calibri"/>
        </w:rPr>
        <w:t>O</w:t>
      </w:r>
      <w:r w:rsidRPr="00500D9F">
        <w:rPr>
          <w:rFonts w:ascii="Calibri" w:hAnsi="Calibri"/>
        </w:rPr>
        <w:t xml:space="preserve">) and ‘Other Clinical Costs’ (DH). </w:t>
      </w:r>
    </w:p>
    <w:p w:rsidR="00D4526F" w:rsidRPr="00500D9F" w:rsidRDefault="00D4526F" w:rsidP="00D4526F">
      <w:pPr>
        <w:numPr>
          <w:ilvl w:val="0"/>
          <w:numId w:val="6"/>
        </w:numPr>
        <w:jc w:val="left"/>
        <w:rPr>
          <w:rFonts w:ascii="Calibri" w:hAnsi="Calibri"/>
        </w:rPr>
      </w:pPr>
      <w:r w:rsidRPr="00500D9F">
        <w:rPr>
          <w:rFonts w:ascii="Calibri" w:hAnsi="Calibri"/>
        </w:rPr>
        <w:t>There should be a material amount of Nursing costs for this PUC.</w:t>
      </w:r>
    </w:p>
    <w:p w:rsidR="00D4526F" w:rsidRPr="00500D9F" w:rsidRDefault="00D4526F" w:rsidP="00D4526F">
      <w:pPr>
        <w:rPr>
          <w:rFonts w:ascii="Calibri" w:hAnsi="Calibri"/>
        </w:rPr>
      </w:pPr>
    </w:p>
    <w:p w:rsidR="00D4526F" w:rsidRPr="00500D9F" w:rsidRDefault="00D4526F" w:rsidP="00D4526F">
      <w:pPr>
        <w:rPr>
          <w:rFonts w:ascii="Calibri" w:hAnsi="Calibri"/>
          <w:b/>
        </w:rPr>
      </w:pPr>
      <w:r w:rsidRPr="00500D9F">
        <w:rPr>
          <w:rFonts w:ascii="Calibri" w:hAnsi="Calibri"/>
          <w:b/>
        </w:rPr>
        <w:t>MS02013 Virtual First Specialist Assessment - Any health specialty</w:t>
      </w:r>
    </w:p>
    <w:p w:rsidR="00D4526F" w:rsidRPr="00500D9F" w:rsidRDefault="00D4526F" w:rsidP="00D4526F">
      <w:pPr>
        <w:numPr>
          <w:ilvl w:val="0"/>
          <w:numId w:val="6"/>
        </w:numPr>
        <w:jc w:val="left"/>
        <w:rPr>
          <w:rFonts w:ascii="Calibri" w:hAnsi="Calibri"/>
        </w:rPr>
      </w:pPr>
      <w:r w:rsidRPr="00500D9F">
        <w:rPr>
          <w:rFonts w:ascii="Calibri" w:hAnsi="Calibri"/>
        </w:rPr>
        <w:t>The cost of this PUC should be dominated by Medical S&amp;W expenses.</w:t>
      </w:r>
    </w:p>
    <w:p w:rsidR="0082133A" w:rsidRDefault="00D4526F" w:rsidP="00315382">
      <w:pPr>
        <w:numPr>
          <w:ilvl w:val="0"/>
          <w:numId w:val="6"/>
        </w:numPr>
        <w:jc w:val="left"/>
        <w:rPr>
          <w:rFonts w:ascii="Calibri" w:hAnsi="Calibri"/>
        </w:rPr>
      </w:pPr>
      <w:r w:rsidRPr="00500D9F">
        <w:rPr>
          <w:rFonts w:ascii="Calibri" w:hAnsi="Calibri"/>
        </w:rPr>
        <w:t>There should only be a small amount of overhead cost attached to this PUC, in general it should be approximately half the overhead allocated to follow-up</w:t>
      </w:r>
      <w:r w:rsidRPr="00500D9F">
        <w:rPr>
          <w:rFonts w:ascii="Calibri" w:hAnsi="Calibri"/>
          <w:lang w:val="en-GB"/>
        </w:rPr>
        <w:t xml:space="preserve"> haematology</w:t>
      </w:r>
      <w:r w:rsidRPr="00500D9F">
        <w:rPr>
          <w:rFonts w:ascii="Calibri" w:hAnsi="Calibri"/>
        </w:rPr>
        <w:t xml:space="preserve"> appointments. </w:t>
      </w:r>
    </w:p>
    <w:p w:rsidR="00315382" w:rsidRPr="00315382" w:rsidRDefault="00315382" w:rsidP="00315382">
      <w:pPr>
        <w:ind w:left="720"/>
        <w:jc w:val="left"/>
        <w:rPr>
          <w:rFonts w:ascii="Calibri" w:hAnsi="Calibri"/>
        </w:rPr>
      </w:pPr>
    </w:p>
    <w:p w:rsidR="0082133A" w:rsidRPr="00500D9F" w:rsidRDefault="0082133A" w:rsidP="005A6B2A">
      <w:pPr>
        <w:rPr>
          <w:rFonts w:ascii="Calibri" w:hAnsi="Calibri"/>
        </w:rPr>
      </w:pPr>
    </w:p>
    <w:p w:rsidR="00315382" w:rsidRDefault="00315382" w:rsidP="00315382">
      <w:bookmarkStart w:id="38" w:name="_Toc530662760"/>
    </w:p>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Default="00315382" w:rsidP="00315382"/>
    <w:p w:rsidR="00315382" w:rsidRPr="00315382" w:rsidRDefault="00315382" w:rsidP="00315382"/>
    <w:p w:rsidR="0082133A" w:rsidRPr="00500D9F" w:rsidRDefault="0082133A" w:rsidP="00AC6652">
      <w:pPr>
        <w:pStyle w:val="Heading1"/>
        <w:rPr>
          <w:rFonts w:ascii="Calibri" w:hAnsi="Calibri"/>
          <w:b w:val="0"/>
          <w:bCs w:val="0"/>
          <w:kern w:val="0"/>
          <w:sz w:val="24"/>
          <w:lang w:val="en-AU"/>
        </w:rPr>
      </w:pPr>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w:t>
      </w:r>
      <w:r w:rsidRPr="00500D9F">
        <w:rPr>
          <w:rFonts w:ascii="Calibri" w:hAnsi="Calibri"/>
          <w:kern w:val="0"/>
          <w:u w:val="single"/>
        </w:rPr>
        <w:t>7</w:t>
      </w:r>
      <w:r>
        <w:rPr>
          <w:rFonts w:ascii="Calibri" w:hAnsi="Calibri"/>
          <w:kern w:val="0"/>
          <w:u w:val="single"/>
        </w:rPr>
        <w:t>:</w:t>
      </w:r>
      <w:r w:rsidRPr="00500D9F">
        <w:rPr>
          <w:rFonts w:ascii="Calibri" w:hAnsi="Calibri"/>
          <w:kern w:val="0"/>
          <w:u w:val="single"/>
        </w:rPr>
        <w:t xml:space="preserve"> MEDICAL COST POOL (CS7.7.3 A030)</w:t>
      </w:r>
      <w:bookmarkEnd w:id="38"/>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Introduction</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medical intermediate product cost pool contains the cost of providing medical staffing care to patients in a number of settings: inpatients, outpatients, theatres and procedure rooms.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majority of costs in this cost pool should be drawn from CS2 category DA – Medical Labour. CTA Revenue (OE) should offset Medical Labour to the degree that these costs are supported by the clinical training agency. Where the primary physician giving care is a nurse practitioner Nursing Labour (DB) should provide the majority of intermediate product cost. Other relevant cost categories include Other Clinical Supplies and Overheads, where these expenses relate to Medical Labour, and Corporate and Other Service based overheads.</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Purpose</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purpose of this document is to expand on the guidance in the Common Costing Standards regarding Medical cost pool intermediate products and to present preferred and alternative measures for these products.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This guideline is complimentary but subordinate to the standards and should be read in conjunction with Schedule 7 Medical Cost Pool (A030).</w:t>
      </w:r>
    </w:p>
    <w:p w:rsidR="0082133A" w:rsidRPr="00500D9F" w:rsidRDefault="0082133A" w:rsidP="00AC6652">
      <w:pPr>
        <w:jc w:val="left"/>
        <w:rPr>
          <w:rFonts w:ascii="Calibri" w:hAnsi="Calibri"/>
          <w:lang w:val="en-AU"/>
        </w:rPr>
      </w:pPr>
    </w:p>
    <w:p w:rsidR="0082133A" w:rsidRPr="00500D9F" w:rsidRDefault="0082133A" w:rsidP="00CB4D7F">
      <w:pPr>
        <w:pStyle w:val="Heading3"/>
        <w:numPr>
          <w:ilvl w:val="0"/>
          <w:numId w:val="22"/>
        </w:numPr>
        <w:rPr>
          <w:rFonts w:ascii="Calibri" w:hAnsi="Calibri"/>
        </w:rPr>
      </w:pPr>
      <w:bookmarkStart w:id="39" w:name="_Toc530662761"/>
      <w:r w:rsidRPr="00500D9F">
        <w:rPr>
          <w:rFonts w:ascii="Calibri" w:hAnsi="Calibri"/>
        </w:rPr>
        <w:t>Outpatients</w:t>
      </w:r>
      <w:bookmarkEnd w:id="39"/>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providing medical care in an outpatient setting :</w:t>
      </w:r>
    </w:p>
    <w:p w:rsidR="0082133A" w:rsidRPr="00500D9F" w:rsidRDefault="0082133A" w:rsidP="00AC6652">
      <w:pPr>
        <w:jc w:val="left"/>
        <w:rPr>
          <w:rFonts w:ascii="Calibri" w:hAnsi="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559"/>
        <w:gridCol w:w="2559"/>
      </w:tblGrid>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Product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Preferred Measure</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Alternate Measure</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First appointment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Actual minutes</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Booked minutes / 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Follow up appointment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Actual minutes</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Booked minutes / 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Virtual appointment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Actual minutes</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Booked minutes / 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 xml:space="preserve">Procedure – </w:t>
            </w:r>
            <w:proofErr w:type="spellStart"/>
            <w:r w:rsidRPr="00500D9F">
              <w:rPr>
                <w:rFonts w:ascii="Calibri" w:hAnsi="Calibri"/>
                <w:lang w:val="en-AU"/>
              </w:rPr>
              <w:t>eg</w:t>
            </w:r>
            <w:proofErr w:type="spellEnd"/>
            <w:r w:rsidRPr="00500D9F">
              <w:rPr>
                <w:rFonts w:ascii="Calibri" w:hAnsi="Calibri"/>
                <w:lang w:val="en-AU"/>
              </w:rPr>
              <w:t xml:space="preserve"> scope</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Actual minutes</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Booked minutes / Count</w:t>
            </w:r>
          </w:p>
        </w:tc>
      </w:tr>
    </w:tbl>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The preferred measure for all Outpatient Products is the actual duration of the appointment in minutes. </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Many patient management systems record the time booked for the appointment rather than the actual minutes that the patient attended. Booked minutes or a count of the outpatient appointments with an average appointment time RVU are acceptable alternate measures.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RVU values for outpatient appointments should include preparation time and subsequent documentation time. </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providing the outpatient facility or procedure room should not be included in this cost pool. These costs should be distributed by products in the Outpatient Utilisation (A020) or Theatre/Procedure Rooms (A080) cost pools.</w:t>
      </w:r>
    </w:p>
    <w:p w:rsidR="0082133A" w:rsidRPr="00500D9F" w:rsidRDefault="0082133A" w:rsidP="00AC6652">
      <w:pPr>
        <w:jc w:val="left"/>
        <w:rPr>
          <w:rFonts w:ascii="Calibri" w:hAnsi="Calibri"/>
          <w:lang w:val="en-AU"/>
        </w:rPr>
      </w:pPr>
    </w:p>
    <w:p w:rsidR="0082133A" w:rsidRPr="00500D9F" w:rsidRDefault="0082133A" w:rsidP="00CB4D7F">
      <w:pPr>
        <w:pStyle w:val="Heading3"/>
        <w:numPr>
          <w:ilvl w:val="0"/>
          <w:numId w:val="22"/>
        </w:numPr>
        <w:rPr>
          <w:rFonts w:ascii="Calibri" w:hAnsi="Calibri"/>
        </w:rPr>
      </w:pPr>
      <w:bookmarkStart w:id="40" w:name="_Toc530662762"/>
      <w:r w:rsidRPr="00500D9F">
        <w:rPr>
          <w:rFonts w:ascii="Calibri" w:hAnsi="Calibri"/>
        </w:rPr>
        <w:t>Inpatients</w:t>
      </w:r>
      <w:bookmarkEnd w:id="40"/>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providing medical care to admitted patients in a ward setting :</w:t>
      </w:r>
    </w:p>
    <w:p w:rsidR="0082133A" w:rsidRPr="00500D9F" w:rsidRDefault="0082133A" w:rsidP="00AC6652">
      <w:pPr>
        <w:jc w:val="left"/>
        <w:rPr>
          <w:rFonts w:ascii="Calibri" w:hAnsi="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559"/>
      </w:tblGrid>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Product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Preferred Measure</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Doctor Ward Day</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 xml:space="preserve">Doctor Ward </w:t>
            </w:r>
            <w:proofErr w:type="spellStart"/>
            <w:r w:rsidRPr="00500D9F">
              <w:rPr>
                <w:rFonts w:ascii="Calibri" w:hAnsi="Calibri"/>
                <w:lang w:val="en-AU"/>
              </w:rPr>
              <w:t>Daycase</w:t>
            </w:r>
            <w:proofErr w:type="spellEnd"/>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Doctor Admit Day</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Count</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Doctor Ward Discharge Day</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Count</w:t>
            </w:r>
          </w:p>
        </w:tc>
      </w:tr>
    </w:tbl>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preferred measure for all inpatient products is a count of the number of days or part days that a patient stays on a ward.</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Where there is a significant difference in medical resource consumed by the patient at specific times in their stay (</w:t>
      </w:r>
      <w:proofErr w:type="spellStart"/>
      <w:r w:rsidRPr="00500D9F">
        <w:rPr>
          <w:rFonts w:ascii="Calibri" w:hAnsi="Calibri"/>
          <w:lang w:val="en-AU"/>
        </w:rPr>
        <w:t>eg</w:t>
      </w:r>
      <w:proofErr w:type="spellEnd"/>
      <w:r w:rsidRPr="00500D9F">
        <w:rPr>
          <w:rFonts w:ascii="Calibri" w:hAnsi="Calibri"/>
          <w:lang w:val="en-AU"/>
        </w:rPr>
        <w:t xml:space="preserve"> admit day, discharge day, transfers) additional products may be used to allocate more cost to these parts of the inpatient event.</w:t>
      </w:r>
    </w:p>
    <w:p w:rsidR="0082133A" w:rsidRPr="00500D9F" w:rsidRDefault="0082133A" w:rsidP="00AC6652">
      <w:pPr>
        <w:jc w:val="left"/>
        <w:rPr>
          <w:rFonts w:ascii="Calibri" w:hAnsi="Calibri"/>
          <w:highlight w:val="yellow"/>
          <w:lang w:val="en-AU"/>
        </w:rPr>
      </w:pPr>
    </w:p>
    <w:p w:rsidR="0082133A" w:rsidRPr="00500D9F" w:rsidRDefault="0082133A" w:rsidP="00AC6652">
      <w:pPr>
        <w:jc w:val="left"/>
        <w:rPr>
          <w:rFonts w:ascii="Calibri" w:hAnsi="Calibri"/>
          <w:lang w:val="en-AU"/>
        </w:rPr>
      </w:pPr>
      <w:r w:rsidRPr="00500D9F">
        <w:rPr>
          <w:rFonts w:ascii="Calibri" w:hAnsi="Calibri"/>
          <w:lang w:val="en-AU"/>
        </w:rPr>
        <w:t>In a “home warding” situation where the patient’s ward maps to the speciality of the doctor providing care the ward may be used as the feeder basis however using speciality or clinician is the preferred method.</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providing the ward facility should not be included in this cost pool. These costs should be distributed by products in the Wards (A010) cost pool.</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p>
    <w:p w:rsidR="0082133A" w:rsidRPr="00500D9F" w:rsidRDefault="0082133A" w:rsidP="00CB4D7F">
      <w:pPr>
        <w:pStyle w:val="Heading3"/>
        <w:numPr>
          <w:ilvl w:val="0"/>
          <w:numId w:val="22"/>
        </w:numPr>
        <w:rPr>
          <w:rFonts w:ascii="Calibri" w:hAnsi="Calibri"/>
        </w:rPr>
      </w:pPr>
      <w:bookmarkStart w:id="41" w:name="_Toc530662763"/>
      <w:r w:rsidRPr="00500D9F">
        <w:rPr>
          <w:rFonts w:ascii="Calibri" w:hAnsi="Calibri"/>
        </w:rPr>
        <w:t>Theatre</w:t>
      </w:r>
      <w:bookmarkEnd w:id="41"/>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performing surgery in a theatre setting :</w:t>
      </w:r>
    </w:p>
    <w:p w:rsidR="0082133A" w:rsidRPr="00500D9F" w:rsidRDefault="0082133A" w:rsidP="00AC6652">
      <w:pPr>
        <w:jc w:val="left"/>
        <w:rPr>
          <w:rFonts w:ascii="Calibri" w:hAnsi="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559"/>
      </w:tblGrid>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Product</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Preferred Measure</w:t>
            </w:r>
          </w:p>
        </w:tc>
      </w:tr>
      <w:tr w:rsidR="0082133A" w:rsidRPr="00500D9F" w:rsidTr="008C0B1F">
        <w:trPr>
          <w:trHeight w:val="280"/>
        </w:trPr>
        <w:tc>
          <w:tcPr>
            <w:tcW w:w="3410" w:type="dxa"/>
          </w:tcPr>
          <w:p w:rsidR="0082133A" w:rsidRPr="00500D9F" w:rsidRDefault="0082133A" w:rsidP="00AC6652">
            <w:pPr>
              <w:jc w:val="left"/>
              <w:rPr>
                <w:rFonts w:ascii="Calibri" w:hAnsi="Calibri"/>
                <w:lang w:val="en-AU"/>
              </w:rPr>
            </w:pPr>
            <w:r w:rsidRPr="00500D9F">
              <w:rPr>
                <w:rFonts w:ascii="Calibri" w:hAnsi="Calibri"/>
                <w:lang w:val="en-AU"/>
              </w:rPr>
              <w:t>Doctor Theatre Time</w:t>
            </w:r>
          </w:p>
        </w:tc>
        <w:tc>
          <w:tcPr>
            <w:tcW w:w="2559" w:type="dxa"/>
          </w:tcPr>
          <w:p w:rsidR="0082133A" w:rsidRPr="00500D9F" w:rsidRDefault="0082133A" w:rsidP="00AC6652">
            <w:pPr>
              <w:jc w:val="left"/>
              <w:rPr>
                <w:rFonts w:ascii="Calibri" w:hAnsi="Calibri"/>
                <w:lang w:val="en-AU"/>
              </w:rPr>
            </w:pPr>
            <w:r w:rsidRPr="00500D9F">
              <w:rPr>
                <w:rFonts w:ascii="Calibri" w:hAnsi="Calibri"/>
                <w:lang w:val="en-AU"/>
              </w:rPr>
              <w:t>Minutes</w:t>
            </w:r>
          </w:p>
        </w:tc>
      </w:tr>
    </w:tbl>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preferred measure for surgical products is the number of minutes medical staff are present in surgery calculated as the time between first incision and close.</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Where multiple surgeons take part in an operation the feeder volume minutes or RVUs should reflect this.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Where surgery takes place out of hours at higher cost to the DHB “out of hours” products with higher RVUs can be used to allocate the correct medical cost to the operation.</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 cost of providing the theatre facility or of anaesthetists should not be included in this cost pool. These costs should be distributed by products in the Theatre / Procedure Rooms (A080) cost pool and the Anaesthetics (A036) cost pool.</w:t>
      </w:r>
    </w:p>
    <w:p w:rsidR="0082133A" w:rsidRPr="00500D9F" w:rsidRDefault="0082133A" w:rsidP="00AC6652">
      <w:pPr>
        <w:jc w:val="left"/>
        <w:rPr>
          <w:rFonts w:ascii="Calibri" w:hAnsi="Calibri"/>
          <w:lang w:val="en-AU"/>
        </w:rPr>
      </w:pPr>
    </w:p>
    <w:p w:rsidR="0082133A" w:rsidRPr="00500D9F" w:rsidRDefault="0082133A" w:rsidP="00CB4D7F">
      <w:pPr>
        <w:pStyle w:val="Heading3"/>
        <w:numPr>
          <w:ilvl w:val="0"/>
          <w:numId w:val="22"/>
        </w:numPr>
        <w:rPr>
          <w:rFonts w:ascii="Calibri" w:hAnsi="Calibri"/>
        </w:rPr>
      </w:pPr>
      <w:bookmarkStart w:id="42" w:name="_Toc530662764"/>
      <w:r w:rsidRPr="00500D9F">
        <w:rPr>
          <w:rFonts w:ascii="Calibri" w:hAnsi="Calibri"/>
        </w:rPr>
        <w:t>Procedures</w:t>
      </w:r>
      <w:bookmarkEnd w:id="42"/>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For the purposes of this document “Procedures” include all work undertaken by doctors outside the settings outlined above. The products listed are neither mandatory nor exhaustive and will depend on the services offered by your DHB. </w:t>
      </w:r>
    </w:p>
    <w:p w:rsidR="0082133A" w:rsidRPr="00500D9F" w:rsidRDefault="0082133A" w:rsidP="00AC6652">
      <w:pPr>
        <w:jc w:val="left"/>
        <w:rPr>
          <w:rFonts w:ascii="Calibri" w:hAnsi="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618"/>
        <w:gridCol w:w="2057"/>
        <w:gridCol w:w="2062"/>
      </w:tblGrid>
      <w:tr w:rsidR="0082133A" w:rsidRPr="00500D9F" w:rsidTr="008C0B1F">
        <w:trPr>
          <w:trHeight w:val="280"/>
        </w:trPr>
        <w:tc>
          <w:tcPr>
            <w:tcW w:w="1791" w:type="dxa"/>
          </w:tcPr>
          <w:p w:rsidR="0082133A" w:rsidRPr="00500D9F" w:rsidRDefault="0082133A" w:rsidP="00AC6652">
            <w:pPr>
              <w:jc w:val="left"/>
              <w:rPr>
                <w:rFonts w:ascii="Calibri" w:hAnsi="Calibri"/>
                <w:lang w:val="en-AU"/>
              </w:rPr>
            </w:pPr>
            <w:r w:rsidRPr="00500D9F">
              <w:rPr>
                <w:rFonts w:ascii="Calibri" w:hAnsi="Calibri"/>
                <w:lang w:val="en-AU"/>
              </w:rPr>
              <w:t>Product(s)</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Typical cost RC</w:t>
            </w:r>
          </w:p>
        </w:tc>
        <w:tc>
          <w:tcPr>
            <w:tcW w:w="2057" w:type="dxa"/>
          </w:tcPr>
          <w:p w:rsidR="0082133A" w:rsidRPr="00500D9F" w:rsidRDefault="0082133A" w:rsidP="00AC6652">
            <w:pPr>
              <w:jc w:val="left"/>
              <w:rPr>
                <w:rFonts w:ascii="Calibri" w:hAnsi="Calibri"/>
                <w:lang w:val="en-AU"/>
              </w:rPr>
            </w:pPr>
            <w:r w:rsidRPr="00500D9F">
              <w:rPr>
                <w:rFonts w:ascii="Calibri" w:hAnsi="Calibri"/>
                <w:lang w:val="en-AU"/>
              </w:rPr>
              <w:t>Preferred Measure</w:t>
            </w:r>
          </w:p>
        </w:tc>
        <w:tc>
          <w:tcPr>
            <w:tcW w:w="2062" w:type="dxa"/>
          </w:tcPr>
          <w:p w:rsidR="0082133A" w:rsidRPr="00500D9F" w:rsidRDefault="0082133A" w:rsidP="00AC6652">
            <w:pPr>
              <w:jc w:val="left"/>
              <w:rPr>
                <w:rFonts w:ascii="Calibri" w:hAnsi="Calibri"/>
                <w:lang w:val="en-AU"/>
              </w:rPr>
            </w:pPr>
            <w:r w:rsidRPr="00500D9F">
              <w:rPr>
                <w:rFonts w:ascii="Calibri" w:hAnsi="Calibri"/>
                <w:lang w:val="en-AU"/>
              </w:rPr>
              <w:t>Alternate Measure</w:t>
            </w:r>
          </w:p>
        </w:tc>
      </w:tr>
      <w:tr w:rsidR="0082133A" w:rsidRPr="00500D9F" w:rsidTr="008C0B1F">
        <w:trPr>
          <w:trHeight w:val="280"/>
        </w:trPr>
        <w:tc>
          <w:tcPr>
            <w:tcW w:w="1791" w:type="dxa"/>
          </w:tcPr>
          <w:p w:rsidR="0082133A" w:rsidRPr="00500D9F" w:rsidRDefault="0082133A" w:rsidP="00AC6652">
            <w:pPr>
              <w:jc w:val="left"/>
              <w:rPr>
                <w:rFonts w:ascii="Calibri" w:hAnsi="Calibri"/>
                <w:lang w:val="en-AU"/>
              </w:rPr>
            </w:pPr>
            <w:r w:rsidRPr="00500D9F">
              <w:rPr>
                <w:rFonts w:ascii="Calibri" w:hAnsi="Calibri"/>
                <w:lang w:val="en-AU"/>
              </w:rPr>
              <w:t xml:space="preserve">Radiology procedures </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Dependent on procedure</w:t>
            </w:r>
          </w:p>
        </w:tc>
        <w:tc>
          <w:tcPr>
            <w:tcW w:w="2057" w:type="dxa"/>
          </w:tcPr>
          <w:p w:rsidR="0082133A" w:rsidRPr="00500D9F" w:rsidRDefault="0082133A" w:rsidP="00AC6652">
            <w:pPr>
              <w:jc w:val="left"/>
              <w:rPr>
                <w:rFonts w:ascii="Calibri" w:hAnsi="Calibri"/>
                <w:lang w:val="en-AU"/>
              </w:rPr>
            </w:pPr>
            <w:r w:rsidRPr="00500D9F">
              <w:rPr>
                <w:rFonts w:ascii="Calibri" w:hAnsi="Calibri"/>
                <w:lang w:val="en-AU"/>
              </w:rPr>
              <w:t>Count</w:t>
            </w:r>
          </w:p>
        </w:tc>
        <w:tc>
          <w:tcPr>
            <w:tcW w:w="2062" w:type="dxa"/>
          </w:tcPr>
          <w:p w:rsidR="0082133A" w:rsidRPr="00500D9F" w:rsidRDefault="0082133A" w:rsidP="00AC6652">
            <w:pPr>
              <w:jc w:val="left"/>
              <w:rPr>
                <w:rFonts w:ascii="Calibri" w:hAnsi="Calibri"/>
                <w:lang w:val="en-AU"/>
              </w:rPr>
            </w:pPr>
            <w:r w:rsidRPr="00500D9F">
              <w:rPr>
                <w:rFonts w:ascii="Calibri" w:hAnsi="Calibri"/>
                <w:lang w:val="en-AU"/>
              </w:rPr>
              <w:t>N/A</w:t>
            </w:r>
          </w:p>
        </w:tc>
      </w:tr>
      <w:tr w:rsidR="0082133A" w:rsidRPr="00500D9F" w:rsidTr="008C0B1F">
        <w:trPr>
          <w:trHeight w:val="280"/>
        </w:trPr>
        <w:tc>
          <w:tcPr>
            <w:tcW w:w="1791" w:type="dxa"/>
          </w:tcPr>
          <w:p w:rsidR="0082133A" w:rsidRPr="00500D9F" w:rsidRDefault="0082133A" w:rsidP="00AC6652">
            <w:pPr>
              <w:jc w:val="left"/>
              <w:rPr>
                <w:rFonts w:ascii="Calibri" w:hAnsi="Calibri"/>
                <w:lang w:val="en-AU"/>
              </w:rPr>
            </w:pPr>
            <w:r w:rsidRPr="00500D9F">
              <w:rPr>
                <w:rFonts w:ascii="Calibri" w:hAnsi="Calibri"/>
                <w:lang w:val="en-AU"/>
              </w:rPr>
              <w:t>Birth Delivery</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Obstetrics</w:t>
            </w:r>
          </w:p>
        </w:tc>
        <w:tc>
          <w:tcPr>
            <w:tcW w:w="2057" w:type="dxa"/>
          </w:tcPr>
          <w:p w:rsidR="0082133A" w:rsidRPr="00500D9F" w:rsidRDefault="0082133A" w:rsidP="00AC6652">
            <w:pPr>
              <w:jc w:val="left"/>
              <w:rPr>
                <w:rFonts w:ascii="Calibri" w:hAnsi="Calibri"/>
                <w:lang w:val="en-AU"/>
              </w:rPr>
            </w:pPr>
            <w:r w:rsidRPr="00500D9F">
              <w:rPr>
                <w:rFonts w:ascii="Calibri" w:hAnsi="Calibri"/>
                <w:lang w:val="en-AU"/>
              </w:rPr>
              <w:t>Minutes</w:t>
            </w:r>
          </w:p>
        </w:tc>
        <w:tc>
          <w:tcPr>
            <w:tcW w:w="2062" w:type="dxa"/>
          </w:tcPr>
          <w:p w:rsidR="0082133A" w:rsidRPr="00500D9F" w:rsidRDefault="0082133A" w:rsidP="00AC6652">
            <w:pPr>
              <w:jc w:val="left"/>
              <w:rPr>
                <w:rFonts w:ascii="Calibri" w:hAnsi="Calibri"/>
                <w:lang w:val="en-AU"/>
              </w:rPr>
            </w:pPr>
            <w:r w:rsidRPr="00500D9F">
              <w:rPr>
                <w:rFonts w:ascii="Calibri" w:hAnsi="Calibri"/>
                <w:lang w:val="en-AU"/>
              </w:rPr>
              <w:t>Count</w:t>
            </w:r>
          </w:p>
        </w:tc>
      </w:tr>
      <w:tr w:rsidR="0082133A" w:rsidRPr="00500D9F" w:rsidTr="008C0B1F">
        <w:trPr>
          <w:trHeight w:val="280"/>
        </w:trPr>
        <w:tc>
          <w:tcPr>
            <w:tcW w:w="1791" w:type="dxa"/>
          </w:tcPr>
          <w:p w:rsidR="0082133A" w:rsidRPr="00500D9F" w:rsidRDefault="0082133A" w:rsidP="00AC6652">
            <w:pPr>
              <w:jc w:val="left"/>
              <w:rPr>
                <w:rFonts w:ascii="Calibri" w:hAnsi="Calibri"/>
                <w:lang w:val="en-AU"/>
              </w:rPr>
            </w:pPr>
            <w:r w:rsidRPr="00500D9F">
              <w:rPr>
                <w:rFonts w:ascii="Calibri" w:hAnsi="Calibri"/>
                <w:lang w:val="en-AU"/>
              </w:rPr>
              <w:t xml:space="preserve">Colonoscopy </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Gastroenterology</w:t>
            </w:r>
          </w:p>
        </w:tc>
        <w:tc>
          <w:tcPr>
            <w:tcW w:w="2057" w:type="dxa"/>
          </w:tcPr>
          <w:p w:rsidR="0082133A" w:rsidRPr="00500D9F" w:rsidRDefault="0082133A" w:rsidP="00AC6652">
            <w:pPr>
              <w:jc w:val="left"/>
              <w:rPr>
                <w:rFonts w:ascii="Calibri" w:hAnsi="Calibri"/>
                <w:lang w:val="en-AU"/>
              </w:rPr>
            </w:pPr>
            <w:r w:rsidRPr="00500D9F">
              <w:rPr>
                <w:rFonts w:ascii="Calibri" w:hAnsi="Calibri"/>
                <w:lang w:val="en-AU"/>
              </w:rPr>
              <w:t>Minutes</w:t>
            </w:r>
          </w:p>
        </w:tc>
        <w:tc>
          <w:tcPr>
            <w:tcW w:w="2062" w:type="dxa"/>
          </w:tcPr>
          <w:p w:rsidR="0082133A" w:rsidRPr="00500D9F" w:rsidRDefault="0082133A" w:rsidP="00AC6652">
            <w:pPr>
              <w:jc w:val="left"/>
              <w:rPr>
                <w:rFonts w:ascii="Calibri" w:hAnsi="Calibri"/>
                <w:lang w:val="en-AU"/>
              </w:rPr>
            </w:pPr>
            <w:r w:rsidRPr="00500D9F">
              <w:rPr>
                <w:rFonts w:ascii="Calibri" w:hAnsi="Calibri"/>
                <w:lang w:val="en-AU"/>
              </w:rPr>
              <w:t>N/A</w:t>
            </w:r>
          </w:p>
        </w:tc>
      </w:tr>
      <w:tr w:rsidR="0082133A" w:rsidRPr="00500D9F" w:rsidTr="008C0B1F">
        <w:trPr>
          <w:trHeight w:val="280"/>
        </w:trPr>
        <w:tc>
          <w:tcPr>
            <w:tcW w:w="1791" w:type="dxa"/>
          </w:tcPr>
          <w:p w:rsidR="0082133A" w:rsidRPr="00500D9F" w:rsidRDefault="0082133A" w:rsidP="00AC6652">
            <w:pPr>
              <w:jc w:val="left"/>
              <w:rPr>
                <w:rFonts w:ascii="Calibri" w:hAnsi="Calibri"/>
                <w:lang w:val="en-AU"/>
              </w:rPr>
            </w:pPr>
            <w:r w:rsidRPr="00500D9F">
              <w:rPr>
                <w:rFonts w:ascii="Calibri" w:hAnsi="Calibri"/>
                <w:lang w:val="en-AU"/>
              </w:rPr>
              <w:t>Pain clinic</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General Medical</w:t>
            </w:r>
          </w:p>
        </w:tc>
        <w:tc>
          <w:tcPr>
            <w:tcW w:w="2057" w:type="dxa"/>
          </w:tcPr>
          <w:p w:rsidR="0082133A" w:rsidRPr="00500D9F" w:rsidRDefault="0082133A" w:rsidP="00AC6652">
            <w:pPr>
              <w:jc w:val="left"/>
              <w:rPr>
                <w:rFonts w:ascii="Calibri" w:hAnsi="Calibri"/>
                <w:lang w:val="en-AU"/>
              </w:rPr>
            </w:pPr>
            <w:r w:rsidRPr="00500D9F">
              <w:rPr>
                <w:rFonts w:ascii="Calibri" w:hAnsi="Calibri"/>
                <w:lang w:val="en-AU"/>
              </w:rPr>
              <w:t>Minutes</w:t>
            </w:r>
          </w:p>
        </w:tc>
        <w:tc>
          <w:tcPr>
            <w:tcW w:w="2062" w:type="dxa"/>
          </w:tcPr>
          <w:p w:rsidR="0082133A" w:rsidRPr="00500D9F" w:rsidRDefault="0082133A" w:rsidP="00AC6652">
            <w:pPr>
              <w:jc w:val="left"/>
              <w:rPr>
                <w:rFonts w:ascii="Calibri" w:hAnsi="Calibri"/>
                <w:lang w:val="en-AU"/>
              </w:rPr>
            </w:pPr>
            <w:r w:rsidRPr="00500D9F">
              <w:rPr>
                <w:rFonts w:ascii="Calibri" w:hAnsi="Calibri"/>
                <w:lang w:val="en-AU"/>
              </w:rPr>
              <w:t>N/A</w:t>
            </w:r>
          </w:p>
        </w:tc>
      </w:tr>
    </w:tbl>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Radiology procedures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Certain radiology procedures require the presence of a doctor in addition to the Radiologist. The preferred measure is a count of the number of procedures. Where such a procedure has been identified a product should be set up in the corresponding doctor’s cost centre. Note this is in addition to any Radiographer costs which are allocated from cost pool A060.</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Birth Delivery</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Certain birth deliveries require the presence of an Obstetrician. These deliveries can be identified by their ICD10 codes (forceps </w:t>
      </w:r>
      <w:proofErr w:type="spellStart"/>
      <w:r w:rsidRPr="00500D9F">
        <w:rPr>
          <w:rFonts w:ascii="Calibri" w:hAnsi="Calibri"/>
          <w:lang w:val="en-AU"/>
        </w:rPr>
        <w:t>etc</w:t>
      </w:r>
      <w:proofErr w:type="spellEnd"/>
      <w:r w:rsidRPr="00500D9F">
        <w:rPr>
          <w:rFonts w:ascii="Calibri" w:hAnsi="Calibri"/>
          <w:lang w:val="en-AU"/>
        </w:rPr>
        <w:t>) or by clinician if these details are available. The preferred measure is the number of minutes spent attending to the delivery. Where this is unavailable the alternate measure is a count of the number of procedures. Where such a procedure has been identified a product should be set up in the Obstetrician cost centre. The cost of Lead Maternity Care (F020), as distinct from other Obstetric doctor activity, should not be distributed from this cost pool.</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Colonoscopy</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Colonoscopies are undertaken by Gastroenterologists in procedure rooms or theatres.  The preferred measure is the duration of the colonoscopy in minutes. Where this is unavailable a count of the number of procedures performed and an RVU representing the time per procedure may be used. Where such a procedure has been identified a product should be set up in the </w:t>
      </w:r>
      <w:proofErr w:type="spellStart"/>
      <w:r w:rsidRPr="00500D9F">
        <w:rPr>
          <w:rFonts w:ascii="Calibri" w:hAnsi="Calibri"/>
          <w:lang w:val="en-AU"/>
        </w:rPr>
        <w:t>Gastroentorology</w:t>
      </w:r>
      <w:proofErr w:type="spellEnd"/>
      <w:r w:rsidRPr="00500D9F">
        <w:rPr>
          <w:rFonts w:ascii="Calibri" w:hAnsi="Calibri"/>
          <w:lang w:val="en-AU"/>
        </w:rPr>
        <w:t xml:space="preserve"> cost centre.</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Pain Clinics</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Doctors are often included in multi-disciplinary pain clinic teams. The preferred measure is the number of minutes that the doctor spends in the clinic. Where such a procedure has been identified a product should be set up in the appropriate cost centre.</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The cost of providing a procedure room should not be included in this cost pool. These costs should be distributed by products in the Theatre / Procedure Rooms (A080) cost pool. </w:t>
      </w:r>
    </w:p>
    <w:p w:rsidR="0082133A" w:rsidRPr="00500D9F" w:rsidRDefault="0082133A" w:rsidP="00AC6652">
      <w:pPr>
        <w:jc w:val="left"/>
        <w:rPr>
          <w:rFonts w:ascii="Calibri" w:hAnsi="Calibri"/>
          <w:lang w:val="en-AU"/>
        </w:rPr>
      </w:pPr>
    </w:p>
    <w:p w:rsidR="0082133A" w:rsidRPr="00CB4D7F" w:rsidRDefault="0082133A" w:rsidP="00CB4D7F">
      <w:pPr>
        <w:pStyle w:val="Heading3"/>
        <w:numPr>
          <w:ilvl w:val="0"/>
          <w:numId w:val="22"/>
        </w:numPr>
        <w:rPr>
          <w:rFonts w:ascii="Calibri" w:hAnsi="Calibri"/>
        </w:rPr>
      </w:pPr>
      <w:bookmarkStart w:id="43" w:name="_Toc530662765"/>
      <w:r w:rsidRPr="00CB4D7F">
        <w:rPr>
          <w:rFonts w:ascii="Calibri" w:hAnsi="Calibri"/>
        </w:rPr>
        <w:t>Fee for Service</w:t>
      </w:r>
      <w:bookmarkEnd w:id="43"/>
      <w:r w:rsidRPr="00CB4D7F">
        <w:rPr>
          <w:rFonts w:ascii="Calibri" w:hAnsi="Calibri"/>
        </w:rPr>
        <w:t xml:space="preserve"> </w:t>
      </w:r>
    </w:p>
    <w:p w:rsidR="0082133A" w:rsidRPr="00500D9F" w:rsidRDefault="0082133A" w:rsidP="00AC6652">
      <w:pPr>
        <w:jc w:val="left"/>
        <w:rPr>
          <w:rFonts w:ascii="Calibri" w:hAnsi="Calibr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244"/>
        <w:gridCol w:w="2618"/>
      </w:tblGrid>
      <w:tr w:rsidR="0082133A" w:rsidRPr="00500D9F" w:rsidTr="008C0B1F">
        <w:trPr>
          <w:trHeight w:val="280"/>
        </w:trPr>
        <w:tc>
          <w:tcPr>
            <w:tcW w:w="3287" w:type="dxa"/>
          </w:tcPr>
          <w:p w:rsidR="0082133A" w:rsidRPr="00500D9F" w:rsidRDefault="0082133A" w:rsidP="00AC6652">
            <w:pPr>
              <w:jc w:val="left"/>
              <w:rPr>
                <w:rFonts w:ascii="Calibri" w:hAnsi="Calibri"/>
                <w:lang w:val="en-AU"/>
              </w:rPr>
            </w:pPr>
            <w:r w:rsidRPr="00500D9F">
              <w:rPr>
                <w:rFonts w:ascii="Calibri" w:hAnsi="Calibri"/>
                <w:lang w:val="en-AU"/>
              </w:rPr>
              <w:t>Product</w:t>
            </w:r>
          </w:p>
        </w:tc>
        <w:tc>
          <w:tcPr>
            <w:tcW w:w="2244" w:type="dxa"/>
          </w:tcPr>
          <w:p w:rsidR="0082133A" w:rsidRPr="00500D9F" w:rsidRDefault="0082133A" w:rsidP="00AC6652">
            <w:pPr>
              <w:jc w:val="left"/>
              <w:rPr>
                <w:rFonts w:ascii="Calibri" w:hAnsi="Calibri"/>
                <w:lang w:val="en-AU"/>
              </w:rPr>
            </w:pPr>
            <w:r w:rsidRPr="00500D9F">
              <w:rPr>
                <w:rFonts w:ascii="Calibri" w:hAnsi="Calibri"/>
                <w:lang w:val="en-AU"/>
              </w:rPr>
              <w:t>Preferred Measure</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Alternative Measure</w:t>
            </w:r>
          </w:p>
        </w:tc>
      </w:tr>
      <w:tr w:rsidR="0082133A" w:rsidRPr="00500D9F" w:rsidTr="008C0B1F">
        <w:trPr>
          <w:trHeight w:val="280"/>
        </w:trPr>
        <w:tc>
          <w:tcPr>
            <w:tcW w:w="3287" w:type="dxa"/>
          </w:tcPr>
          <w:p w:rsidR="0082133A" w:rsidRPr="00500D9F" w:rsidRDefault="0082133A" w:rsidP="00AC6652">
            <w:pPr>
              <w:jc w:val="left"/>
              <w:rPr>
                <w:rFonts w:ascii="Calibri" w:hAnsi="Calibri"/>
                <w:lang w:val="en-AU"/>
              </w:rPr>
            </w:pPr>
            <w:r w:rsidRPr="00500D9F">
              <w:rPr>
                <w:rFonts w:ascii="Calibri" w:hAnsi="Calibri"/>
                <w:lang w:val="en-AU"/>
              </w:rPr>
              <w:t>Doctor Outsourced Dollars</w:t>
            </w:r>
          </w:p>
        </w:tc>
        <w:tc>
          <w:tcPr>
            <w:tcW w:w="2244" w:type="dxa"/>
          </w:tcPr>
          <w:p w:rsidR="0082133A" w:rsidRPr="00500D9F" w:rsidRDefault="0082133A" w:rsidP="00AC6652">
            <w:pPr>
              <w:jc w:val="left"/>
              <w:rPr>
                <w:rFonts w:ascii="Calibri" w:hAnsi="Calibri"/>
                <w:lang w:val="en-AU"/>
              </w:rPr>
            </w:pPr>
            <w:r w:rsidRPr="00500D9F">
              <w:rPr>
                <w:rFonts w:ascii="Calibri" w:hAnsi="Calibri"/>
                <w:lang w:val="en-AU"/>
              </w:rPr>
              <w:t>Dollars</w:t>
            </w:r>
          </w:p>
        </w:tc>
        <w:tc>
          <w:tcPr>
            <w:tcW w:w="2618" w:type="dxa"/>
          </w:tcPr>
          <w:p w:rsidR="0082133A" w:rsidRPr="00500D9F" w:rsidRDefault="0082133A" w:rsidP="00AC6652">
            <w:pPr>
              <w:jc w:val="left"/>
              <w:rPr>
                <w:rFonts w:ascii="Calibri" w:hAnsi="Calibri"/>
                <w:lang w:val="en-AU"/>
              </w:rPr>
            </w:pPr>
            <w:r w:rsidRPr="00500D9F">
              <w:rPr>
                <w:rFonts w:ascii="Calibri" w:hAnsi="Calibri"/>
                <w:lang w:val="en-AU"/>
              </w:rPr>
              <w:t>As for standard paid.</w:t>
            </w:r>
          </w:p>
        </w:tc>
      </w:tr>
    </w:tbl>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Where doctors are paid on a fee for service basis (</w:t>
      </w:r>
      <w:proofErr w:type="spellStart"/>
      <w:r w:rsidRPr="00500D9F">
        <w:rPr>
          <w:rFonts w:ascii="Calibri" w:hAnsi="Calibri"/>
          <w:lang w:val="en-AU"/>
        </w:rPr>
        <w:t>eg</w:t>
      </w:r>
      <w:proofErr w:type="spellEnd"/>
      <w:r w:rsidRPr="00500D9F">
        <w:rPr>
          <w:rFonts w:ascii="Calibri" w:hAnsi="Calibri"/>
          <w:lang w:val="en-AU"/>
        </w:rPr>
        <w:t xml:space="preserve"> per operation) it may be possible, depending on the information available in the DHB’s procurement system, to link the amount paid directly to the event. In these cases the dollars paid to the doctor should be used as the volume for allocating outsourced fee for service dollars within the medical cost centre.</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Theoretically a fee for service structure could be set in place for any of the above care settings however it is most often seen in a surgical setting.</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Where there is insufficient procurement information available Outsourced Doctor Dollars can be allocated on the same basis as non fee for service payments. </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 xml:space="preserve">Defining Product Feeders </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Medical cost centres are usually arranged by medical speciality. Where this is the case product feeders should be based on the speciality of the doctor providing care to the patient and mapped to the cost centre of that speciality. If doctor-cost centre mappings are maintained in the costing system the clinician should be used as the feeder basis.</w:t>
      </w:r>
    </w:p>
    <w:p w:rsidR="0082133A" w:rsidRPr="00500D9F" w:rsidRDefault="0082133A" w:rsidP="00AC6652">
      <w:pPr>
        <w:jc w:val="left"/>
        <w:rPr>
          <w:rFonts w:ascii="Calibri" w:hAnsi="Calibri"/>
          <w:lang w:val="en-AU"/>
        </w:rPr>
      </w:pPr>
    </w:p>
    <w:p w:rsidR="0082133A" w:rsidRPr="00500D9F" w:rsidRDefault="0082133A" w:rsidP="00AC6652">
      <w:pPr>
        <w:rPr>
          <w:rFonts w:ascii="Calibri" w:hAnsi="Calibri" w:cs="Arial"/>
          <w:b/>
          <w:sz w:val="26"/>
          <w:szCs w:val="26"/>
        </w:rPr>
      </w:pPr>
      <w:r w:rsidRPr="00500D9F">
        <w:rPr>
          <w:rFonts w:ascii="Calibri" w:hAnsi="Calibri" w:cs="Arial"/>
          <w:b/>
          <w:sz w:val="26"/>
          <w:szCs w:val="26"/>
        </w:rPr>
        <w:t>Critical Care (ICU,NICU,CCU)</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 xml:space="preserve">Dedicated doctor costs for Critical Care Departments are classified as cost pool A100 not A030. </w:t>
      </w:r>
    </w:p>
    <w:p w:rsidR="0082133A" w:rsidRPr="00500D9F" w:rsidRDefault="0082133A" w:rsidP="00AC6652">
      <w:pPr>
        <w:jc w:val="left"/>
        <w:rPr>
          <w:rFonts w:ascii="Calibri" w:hAnsi="Calibri"/>
          <w:lang w:val="en-AU"/>
        </w:rPr>
      </w:pPr>
      <w:r w:rsidRPr="00500D9F">
        <w:rPr>
          <w:rFonts w:ascii="Calibri" w:hAnsi="Calibri"/>
          <w:lang w:val="en-AU"/>
        </w:rPr>
        <w:t>Refer to Guideline 1 – Critical Care.</w:t>
      </w:r>
    </w:p>
    <w:p w:rsidR="0082133A" w:rsidRPr="00500D9F" w:rsidRDefault="0082133A" w:rsidP="00AC6652">
      <w:pPr>
        <w:jc w:val="left"/>
        <w:rPr>
          <w:rFonts w:ascii="Calibri" w:hAnsi="Calibri"/>
          <w:lang w:val="en-AU"/>
        </w:rPr>
      </w:pPr>
    </w:p>
    <w:p w:rsidR="0082133A" w:rsidRPr="00CB4D7F" w:rsidRDefault="0082133A" w:rsidP="00CB4D7F">
      <w:pPr>
        <w:pStyle w:val="Heading3"/>
        <w:numPr>
          <w:ilvl w:val="0"/>
          <w:numId w:val="22"/>
        </w:numPr>
        <w:rPr>
          <w:rFonts w:ascii="Calibri" w:hAnsi="Calibri"/>
        </w:rPr>
      </w:pPr>
      <w:bookmarkStart w:id="44" w:name="_Toc530662766"/>
      <w:r w:rsidRPr="00CB4D7F">
        <w:rPr>
          <w:rFonts w:ascii="Calibri" w:hAnsi="Calibri"/>
        </w:rPr>
        <w:t>Emergency Department (ED)</w:t>
      </w:r>
      <w:bookmarkEnd w:id="44"/>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Doctor costs for Emergency Departments are classified as cost pool A110 not A030. Refer to Guideline 2 – Emergency.</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Costing Standards context</w:t>
      </w:r>
    </w:p>
    <w:p w:rsidR="0082133A" w:rsidRPr="00500D9F" w:rsidRDefault="0082133A" w:rsidP="00AC6652">
      <w:pPr>
        <w:jc w:val="left"/>
        <w:rPr>
          <w:rFonts w:ascii="Calibri" w:hAnsi="Calibri"/>
          <w:lang w:val="en-AU"/>
        </w:rPr>
      </w:pPr>
    </w:p>
    <w:p w:rsidR="0082133A" w:rsidRPr="00500D9F" w:rsidRDefault="0082133A" w:rsidP="00AC6652">
      <w:pPr>
        <w:jc w:val="left"/>
        <w:rPr>
          <w:rFonts w:ascii="Calibri" w:hAnsi="Calibri"/>
          <w:lang w:val="en-AU"/>
        </w:rPr>
      </w:pPr>
      <w:r w:rsidRPr="00500D9F">
        <w:rPr>
          <w:rFonts w:ascii="Calibri" w:hAnsi="Calibri"/>
          <w:lang w:val="en-AU"/>
        </w:rPr>
        <w:t>This guideline aligns with DHB Costing Standards Version 12 2011/12.</w:t>
      </w:r>
    </w:p>
    <w:p w:rsidR="0082133A" w:rsidRPr="00500D9F" w:rsidRDefault="0082133A" w:rsidP="00832BE3">
      <w:pPr>
        <w:pStyle w:val="Heading1"/>
        <w:rPr>
          <w:rFonts w:ascii="Calibri" w:hAnsi="Calibri"/>
          <w:kern w:val="0"/>
          <w:u w:val="single"/>
        </w:rPr>
      </w:pPr>
      <w:r w:rsidRPr="00500D9F">
        <w:rPr>
          <w:rFonts w:ascii="Calibri" w:hAnsi="Calibri"/>
        </w:rPr>
        <w:br w:type="page"/>
      </w:r>
      <w:bookmarkStart w:id="45" w:name="_Toc530662767"/>
      <w:r w:rsidRPr="00500D9F">
        <w:rPr>
          <w:rFonts w:ascii="Calibri" w:hAnsi="Calibri"/>
          <w:u w:val="single"/>
        </w:rPr>
        <w:lastRenderedPageBreak/>
        <w:t>G</w:t>
      </w:r>
      <w:r>
        <w:rPr>
          <w:rFonts w:ascii="Calibri" w:hAnsi="Calibri"/>
          <w:u w:val="single"/>
        </w:rPr>
        <w:t>uideline</w:t>
      </w:r>
      <w:r w:rsidRPr="00500D9F">
        <w:rPr>
          <w:rFonts w:ascii="Calibri" w:hAnsi="Calibri"/>
          <w:u w:val="single"/>
        </w:rPr>
        <w:t xml:space="preserve"> </w:t>
      </w:r>
      <w:r w:rsidRPr="00500D9F">
        <w:rPr>
          <w:rFonts w:ascii="Calibri" w:hAnsi="Calibri"/>
          <w:kern w:val="0"/>
          <w:u w:val="single"/>
        </w:rPr>
        <w:t>8</w:t>
      </w:r>
      <w:r>
        <w:rPr>
          <w:rFonts w:ascii="Calibri" w:hAnsi="Calibri"/>
          <w:kern w:val="0"/>
          <w:u w:val="single"/>
        </w:rPr>
        <w:t>:</w:t>
      </w:r>
      <w:r w:rsidRPr="00500D9F">
        <w:rPr>
          <w:rFonts w:ascii="Calibri" w:hAnsi="Calibri"/>
          <w:kern w:val="0"/>
          <w:u w:val="single"/>
        </w:rPr>
        <w:t xml:space="preserve"> </w:t>
      </w:r>
      <w:r>
        <w:rPr>
          <w:rFonts w:ascii="Calibri" w:hAnsi="Calibri"/>
          <w:kern w:val="0"/>
          <w:u w:val="single"/>
        </w:rPr>
        <w:t>TREATMENT OF GOVERNANCE COSTS</w:t>
      </w:r>
      <w:bookmarkEnd w:id="45"/>
      <w:r w:rsidRPr="00500D9F">
        <w:rPr>
          <w:rFonts w:ascii="Calibri" w:hAnsi="Calibri"/>
          <w:kern w:val="0"/>
          <w:u w:val="single"/>
        </w:rPr>
        <w:t xml:space="preserve"> </w:t>
      </w:r>
    </w:p>
    <w:p w:rsidR="0082133A" w:rsidRPr="00500D9F" w:rsidRDefault="0082133A" w:rsidP="00F17797">
      <w:pPr>
        <w:rPr>
          <w:rFonts w:ascii="Calibri" w:hAnsi="Calibri" w:cs="Arial"/>
        </w:rPr>
      </w:pPr>
    </w:p>
    <w:p w:rsidR="0082133A" w:rsidRDefault="0082133A" w:rsidP="00832BE3">
      <w:pPr>
        <w:spacing w:line="360" w:lineRule="auto"/>
        <w:rPr>
          <w:rFonts w:ascii="Calibri" w:hAnsi="Calibri" w:cs="Arial"/>
        </w:rPr>
      </w:pPr>
    </w:p>
    <w:p w:rsidR="0082133A" w:rsidRDefault="0082133A" w:rsidP="00832BE3">
      <w:pPr>
        <w:spacing w:line="360" w:lineRule="auto"/>
        <w:rPr>
          <w:rFonts w:ascii="Calibri" w:hAnsi="Calibri" w:cs="Arial"/>
        </w:rPr>
      </w:pPr>
      <w:r w:rsidRPr="00500D9F">
        <w:rPr>
          <w:rFonts w:ascii="Calibri" w:hAnsi="Calibri" w:cs="Arial"/>
        </w:rPr>
        <w:t>The</w:t>
      </w:r>
      <w:r>
        <w:rPr>
          <w:rFonts w:ascii="Calibri" w:hAnsi="Calibri" w:cs="Arial"/>
        </w:rPr>
        <w:t xml:space="preserve">re are five </w:t>
      </w:r>
      <w:r w:rsidRPr="00500D9F">
        <w:rPr>
          <w:rFonts w:ascii="Calibri" w:hAnsi="Calibri" w:cs="Arial"/>
        </w:rPr>
        <w:t xml:space="preserve">Statement of </w:t>
      </w:r>
      <w:r>
        <w:rPr>
          <w:rFonts w:ascii="Calibri" w:hAnsi="Calibri" w:cs="Arial"/>
        </w:rPr>
        <w:t xml:space="preserve">Financial </w:t>
      </w:r>
      <w:r w:rsidRPr="00500D9F">
        <w:rPr>
          <w:rFonts w:ascii="Calibri" w:hAnsi="Calibri" w:cs="Arial"/>
        </w:rPr>
        <w:t xml:space="preserve">Performance </w:t>
      </w:r>
      <w:r>
        <w:rPr>
          <w:rFonts w:ascii="Calibri" w:hAnsi="Calibri" w:cs="Arial"/>
        </w:rPr>
        <w:t xml:space="preserve">in the </w:t>
      </w:r>
      <w:proofErr w:type="spellStart"/>
      <w:r w:rsidRPr="00500D9F">
        <w:rPr>
          <w:rFonts w:ascii="Calibri" w:hAnsi="Calibri" w:cs="Arial"/>
        </w:rPr>
        <w:t>MoH</w:t>
      </w:r>
      <w:proofErr w:type="spellEnd"/>
      <w:r w:rsidRPr="00500D9F">
        <w:rPr>
          <w:rFonts w:ascii="Calibri" w:hAnsi="Calibri" w:cs="Arial"/>
        </w:rPr>
        <w:t xml:space="preserve"> </w:t>
      </w:r>
      <w:r>
        <w:rPr>
          <w:rFonts w:ascii="Calibri" w:hAnsi="Calibri" w:cs="Arial"/>
        </w:rPr>
        <w:t xml:space="preserve">Financial Reporting </w:t>
      </w:r>
      <w:r w:rsidRPr="00500D9F">
        <w:rPr>
          <w:rFonts w:ascii="Calibri" w:hAnsi="Calibri" w:cs="Arial"/>
        </w:rPr>
        <w:t>templates</w:t>
      </w:r>
      <w:r>
        <w:rPr>
          <w:rFonts w:ascii="Calibri" w:hAnsi="Calibri" w:cs="Arial"/>
        </w:rPr>
        <w:t xml:space="preserve">:  </w:t>
      </w:r>
    </w:p>
    <w:p w:rsidR="0082133A" w:rsidRPr="00367FA1" w:rsidRDefault="0082133A" w:rsidP="00500D9F">
      <w:pPr>
        <w:numPr>
          <w:ilvl w:val="0"/>
          <w:numId w:val="10"/>
        </w:numPr>
        <w:spacing w:line="360" w:lineRule="auto"/>
        <w:rPr>
          <w:rFonts w:ascii="Calibri" w:hAnsi="Calibri" w:cs="Arial"/>
          <w:b/>
        </w:rPr>
      </w:pPr>
      <w:r w:rsidRPr="00367FA1">
        <w:rPr>
          <w:rFonts w:ascii="Calibri" w:hAnsi="Calibri" w:cs="Arial"/>
          <w:b/>
        </w:rPr>
        <w:t>DHB Governance and Funding Administration</w:t>
      </w:r>
    </w:p>
    <w:p w:rsidR="0082133A" w:rsidRPr="00367FA1" w:rsidRDefault="0082133A" w:rsidP="00500D9F">
      <w:pPr>
        <w:numPr>
          <w:ilvl w:val="0"/>
          <w:numId w:val="10"/>
        </w:numPr>
        <w:spacing w:line="360" w:lineRule="auto"/>
        <w:rPr>
          <w:rFonts w:ascii="Calibri" w:hAnsi="Calibri" w:cs="Arial"/>
          <w:b/>
        </w:rPr>
      </w:pPr>
      <w:r w:rsidRPr="00367FA1">
        <w:rPr>
          <w:rFonts w:ascii="Calibri" w:hAnsi="Calibri" w:cs="Arial"/>
          <w:b/>
        </w:rPr>
        <w:t xml:space="preserve">DHB Provider </w:t>
      </w:r>
    </w:p>
    <w:p w:rsidR="0082133A" w:rsidRDefault="0082133A" w:rsidP="00500D9F">
      <w:pPr>
        <w:numPr>
          <w:ilvl w:val="0"/>
          <w:numId w:val="10"/>
        </w:numPr>
        <w:spacing w:line="360" w:lineRule="auto"/>
        <w:rPr>
          <w:rFonts w:ascii="Calibri" w:hAnsi="Calibri" w:cs="Arial"/>
        </w:rPr>
      </w:pPr>
      <w:r>
        <w:rPr>
          <w:rFonts w:ascii="Calibri" w:hAnsi="Calibri" w:cs="Arial"/>
        </w:rPr>
        <w:t>DHB Funds</w:t>
      </w:r>
    </w:p>
    <w:p w:rsidR="0082133A" w:rsidRDefault="0082133A" w:rsidP="00500D9F">
      <w:pPr>
        <w:numPr>
          <w:ilvl w:val="0"/>
          <w:numId w:val="10"/>
        </w:numPr>
        <w:spacing w:line="360" w:lineRule="auto"/>
        <w:rPr>
          <w:rFonts w:ascii="Calibri" w:hAnsi="Calibri" w:cs="Arial"/>
        </w:rPr>
      </w:pPr>
      <w:r>
        <w:rPr>
          <w:rFonts w:ascii="Calibri" w:hAnsi="Calibri" w:cs="Arial"/>
        </w:rPr>
        <w:t>DHB Elimination</w:t>
      </w:r>
    </w:p>
    <w:p w:rsidR="0082133A" w:rsidRPr="00500D9F" w:rsidRDefault="0082133A" w:rsidP="00500D9F">
      <w:pPr>
        <w:numPr>
          <w:ilvl w:val="0"/>
          <w:numId w:val="10"/>
        </w:numPr>
        <w:spacing w:line="360" w:lineRule="auto"/>
        <w:rPr>
          <w:rFonts w:ascii="Calibri" w:hAnsi="Calibri" w:cs="Arial"/>
        </w:rPr>
      </w:pPr>
      <w:r>
        <w:rPr>
          <w:rFonts w:ascii="Calibri" w:hAnsi="Calibri" w:cs="Arial"/>
        </w:rPr>
        <w:t>DHB Consolidated</w:t>
      </w:r>
    </w:p>
    <w:p w:rsidR="0082133A" w:rsidRPr="00500D9F" w:rsidRDefault="0082133A" w:rsidP="00832BE3">
      <w:pPr>
        <w:spacing w:line="360" w:lineRule="auto"/>
        <w:rPr>
          <w:rFonts w:ascii="Calibri" w:hAnsi="Calibri" w:cs="Arial"/>
        </w:rPr>
      </w:pPr>
      <w:r w:rsidRPr="00500D9F">
        <w:rPr>
          <w:rFonts w:ascii="Calibri" w:hAnsi="Calibri" w:cs="Arial"/>
        </w:rPr>
        <w:tab/>
      </w:r>
    </w:p>
    <w:p w:rsidR="0082133A" w:rsidRPr="00500D9F" w:rsidRDefault="0082133A" w:rsidP="00832BE3">
      <w:pPr>
        <w:spacing w:line="360" w:lineRule="auto"/>
        <w:rPr>
          <w:rFonts w:ascii="Calibri" w:hAnsi="Calibri" w:cs="Arial"/>
        </w:rPr>
      </w:pPr>
      <w:r w:rsidRPr="00500D9F">
        <w:rPr>
          <w:rFonts w:ascii="Calibri" w:hAnsi="Calibri" w:cs="Arial"/>
        </w:rPr>
        <w:t>The DHB Governance and Funding Administration includes governance costs for the entire DHB.  To enable appropriate allocation of costs to Provider activity, it is important to separate out the cost centres (and individual costs) that relate to governance and non-provider functions.</w:t>
      </w:r>
    </w:p>
    <w:p w:rsidR="0082133A" w:rsidRPr="00500D9F" w:rsidRDefault="0082133A" w:rsidP="00832BE3">
      <w:pPr>
        <w:spacing w:line="360" w:lineRule="auto"/>
        <w:rPr>
          <w:rFonts w:ascii="Calibri" w:hAnsi="Calibri" w:cs="Arial"/>
        </w:rPr>
      </w:pPr>
      <w:r w:rsidRPr="00500D9F">
        <w:rPr>
          <w:rFonts w:ascii="Calibri" w:hAnsi="Calibri" w:cs="Arial"/>
        </w:rPr>
        <w:t xml:space="preserve">See Costing Standards Schedule 1 </w:t>
      </w:r>
      <w:r>
        <w:rPr>
          <w:rFonts w:ascii="Calibri" w:hAnsi="Calibri" w:cs="Arial"/>
        </w:rPr>
        <w:t>(</w:t>
      </w:r>
      <w:r w:rsidRPr="00500D9F">
        <w:rPr>
          <w:rFonts w:ascii="Calibri" w:hAnsi="Calibri" w:cs="Arial"/>
        </w:rPr>
        <w:t>CS1</w:t>
      </w:r>
      <w:r>
        <w:rPr>
          <w:rFonts w:ascii="Calibri" w:hAnsi="Calibri" w:cs="Arial"/>
        </w:rPr>
        <w:t>)</w:t>
      </w:r>
      <w:r w:rsidRPr="00500D9F">
        <w:rPr>
          <w:rFonts w:ascii="Calibri" w:hAnsi="Calibri" w:cs="Arial"/>
        </w:rPr>
        <w:t xml:space="preserve"> for assistance in determining the cost centre functions that relate to Governance.</w:t>
      </w:r>
    </w:p>
    <w:p w:rsidR="0082133A" w:rsidRPr="00500D9F" w:rsidRDefault="0082133A" w:rsidP="00832BE3">
      <w:pPr>
        <w:spacing w:line="360" w:lineRule="auto"/>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716"/>
      </w:tblGrid>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1</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 xml:space="preserve">Identify all </w:t>
            </w:r>
            <w:r>
              <w:rPr>
                <w:rFonts w:ascii="Calibri" w:hAnsi="Calibri" w:cs="Arial"/>
                <w:sz w:val="22"/>
                <w:szCs w:val="22"/>
              </w:rPr>
              <w:t>c</w:t>
            </w:r>
            <w:r w:rsidRPr="00500D9F">
              <w:rPr>
                <w:rFonts w:ascii="Calibri" w:hAnsi="Calibri" w:cs="Arial"/>
                <w:sz w:val="22"/>
                <w:szCs w:val="22"/>
              </w:rPr>
              <w:t>ost centres that relate to Funding and Planning functions</w:t>
            </w:r>
            <w:r w:rsidR="00AA6659">
              <w:rPr>
                <w:rFonts w:ascii="Calibri" w:hAnsi="Calibri" w:cs="Arial"/>
                <w:sz w:val="22"/>
                <w:szCs w:val="22"/>
              </w:rPr>
              <w:t xml:space="preserve"> as defined in CS1.</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2</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Exclude these costs from patient costing.</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3</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 xml:space="preserve">Allow overhead allocation from Provider overhead cost centres to Funding and Planning. Examples would be payroll, Human Resources, IT, building costs as applicable. </w:t>
            </w:r>
            <w:r>
              <w:rPr>
                <w:rFonts w:ascii="Calibri" w:hAnsi="Calibri" w:cs="Arial"/>
                <w:sz w:val="22"/>
                <w:szCs w:val="22"/>
              </w:rPr>
              <w:t xml:space="preserve"> </w:t>
            </w:r>
            <w:r w:rsidRPr="00500D9F">
              <w:rPr>
                <w:rFonts w:ascii="Calibri" w:hAnsi="Calibri" w:cs="Arial"/>
                <w:sz w:val="22"/>
                <w:szCs w:val="22"/>
              </w:rPr>
              <w:t>See CS4 for the accepted overhead cost allocation methods.</w:t>
            </w:r>
          </w:p>
          <w:p w:rsidR="0082133A" w:rsidRPr="00500D9F" w:rsidRDefault="0082133A" w:rsidP="00500D9F">
            <w:pPr>
              <w:rPr>
                <w:rFonts w:ascii="Calibri" w:hAnsi="Calibri" w:cs="Arial"/>
              </w:rPr>
            </w:pPr>
            <w:r w:rsidRPr="00500D9F">
              <w:rPr>
                <w:rFonts w:ascii="Calibri" w:hAnsi="Calibri" w:cs="Arial"/>
                <w:sz w:val="22"/>
                <w:szCs w:val="22"/>
              </w:rPr>
              <w:t xml:space="preserve">Costs allocated from Provider to Funding </w:t>
            </w:r>
            <w:r w:rsidRPr="00500D9F">
              <w:rPr>
                <w:rFonts w:ascii="Calibri" w:hAnsi="Calibri" w:cs="Arial"/>
              </w:rPr>
              <w:t xml:space="preserve">Administration </w:t>
            </w:r>
            <w:r w:rsidRPr="00500D9F">
              <w:rPr>
                <w:rFonts w:ascii="Calibri" w:hAnsi="Calibri" w:cs="Arial"/>
                <w:sz w:val="22"/>
                <w:szCs w:val="22"/>
              </w:rPr>
              <w:t>are also excluded from patient costing.</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4</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Identify all cost centres categorised as governance</w:t>
            </w:r>
            <w:r>
              <w:rPr>
                <w:rFonts w:ascii="Calibri" w:hAnsi="Calibri" w:cs="Arial"/>
                <w:sz w:val="22"/>
                <w:szCs w:val="22"/>
              </w:rPr>
              <w:t xml:space="preserve"> </w:t>
            </w:r>
            <w:r w:rsidRPr="00500D9F">
              <w:rPr>
                <w:rFonts w:ascii="Calibri" w:hAnsi="Calibri" w:cs="Arial"/>
                <w:sz w:val="22"/>
                <w:szCs w:val="22"/>
              </w:rPr>
              <w:t>CS1.   This is basically CEO and DHB Board costs.</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5</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Allow overhead allocation from Provider overhead cost centres to Governance  as applicable. The total cost of Governance is then the initial cost plus allocated overheads.</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6</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Governance costs are then allocated to both Provider Arm and to Funding &amp; Planning according to the basis set out in CS4 Table 1.</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7</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 xml:space="preserve">Costs allocated from Governance to Funding and Planning (non-Provider) are also excluded from patient costing. </w:t>
            </w:r>
          </w:p>
        </w:tc>
      </w:tr>
      <w:tr w:rsidR="0082133A" w:rsidRPr="00500D9F" w:rsidTr="00832BE3">
        <w:tc>
          <w:tcPr>
            <w:tcW w:w="1526" w:type="dxa"/>
            <w:vAlign w:val="center"/>
          </w:tcPr>
          <w:p w:rsidR="0082133A" w:rsidRPr="00500D9F" w:rsidRDefault="0082133A" w:rsidP="00500D9F">
            <w:pPr>
              <w:jc w:val="center"/>
              <w:rPr>
                <w:rFonts w:ascii="Calibri" w:hAnsi="Calibri" w:cs="Arial"/>
                <w:b/>
              </w:rPr>
            </w:pPr>
            <w:r w:rsidRPr="00500D9F">
              <w:rPr>
                <w:rFonts w:ascii="Calibri" w:hAnsi="Calibri" w:cs="Arial"/>
                <w:b/>
                <w:sz w:val="22"/>
                <w:szCs w:val="22"/>
              </w:rPr>
              <w:t>Step 8</w:t>
            </w:r>
          </w:p>
        </w:tc>
        <w:tc>
          <w:tcPr>
            <w:tcW w:w="7716" w:type="dxa"/>
          </w:tcPr>
          <w:p w:rsidR="0082133A" w:rsidRPr="00500D9F" w:rsidRDefault="0082133A" w:rsidP="00500D9F">
            <w:pPr>
              <w:rPr>
                <w:rFonts w:ascii="Calibri" w:hAnsi="Calibri" w:cs="Arial"/>
              </w:rPr>
            </w:pPr>
            <w:r w:rsidRPr="00500D9F">
              <w:rPr>
                <w:rFonts w:ascii="Calibri" w:hAnsi="Calibri" w:cs="Arial"/>
                <w:sz w:val="22"/>
                <w:szCs w:val="22"/>
              </w:rPr>
              <w:t>Costs allocated from Governance to Provider Arm are considered to be overheads of healthcare service delivery and are included in patient costing.</w:t>
            </w:r>
          </w:p>
        </w:tc>
      </w:tr>
    </w:tbl>
    <w:p w:rsidR="0009516C" w:rsidRDefault="0009516C" w:rsidP="00500D9F">
      <w:pPr>
        <w:spacing w:line="360" w:lineRule="auto"/>
        <w:rPr>
          <w:rFonts w:ascii="Calibri" w:hAnsi="Calibri"/>
        </w:rPr>
      </w:pPr>
    </w:p>
    <w:p w:rsidR="0009516C" w:rsidRDefault="0009516C" w:rsidP="00500D9F">
      <w:pPr>
        <w:spacing w:line="360" w:lineRule="auto"/>
        <w:rPr>
          <w:rFonts w:ascii="Calibri" w:hAnsi="Calibri"/>
        </w:rPr>
      </w:pPr>
    </w:p>
    <w:p w:rsidR="0009516C" w:rsidRDefault="0009516C" w:rsidP="00500D9F">
      <w:pPr>
        <w:spacing w:line="360" w:lineRule="auto"/>
        <w:rPr>
          <w:rFonts w:ascii="Calibri" w:hAnsi="Calibri"/>
        </w:rPr>
      </w:pPr>
    </w:p>
    <w:p w:rsidR="0009516C" w:rsidRDefault="0009516C" w:rsidP="00500D9F">
      <w:pPr>
        <w:spacing w:line="360" w:lineRule="auto"/>
        <w:rPr>
          <w:rFonts w:ascii="Calibri" w:hAnsi="Calibri"/>
        </w:rPr>
      </w:pPr>
    </w:p>
    <w:p w:rsidR="0009516C" w:rsidRDefault="0009516C" w:rsidP="00500D9F">
      <w:pPr>
        <w:spacing w:line="360" w:lineRule="auto"/>
        <w:rPr>
          <w:rFonts w:ascii="Calibri" w:hAnsi="Calibri"/>
        </w:rPr>
      </w:pPr>
    </w:p>
    <w:p w:rsidR="0009516C" w:rsidRPr="0009516C" w:rsidRDefault="0009516C" w:rsidP="0009516C">
      <w:pPr>
        <w:pStyle w:val="Heading3"/>
        <w:jc w:val="center"/>
        <w:rPr>
          <w:rFonts w:ascii="Calibri" w:hAnsi="Calibri"/>
        </w:rPr>
      </w:pPr>
      <w:bookmarkStart w:id="46" w:name="_Toc530662768"/>
      <w:r w:rsidRPr="0009516C">
        <w:rPr>
          <w:rFonts w:ascii="Calibri" w:hAnsi="Calibri"/>
        </w:rPr>
        <w:t>Governance guideline flowchart</w:t>
      </w:r>
      <w:bookmarkEnd w:id="46"/>
    </w:p>
    <w:p w:rsidR="0009516C" w:rsidRDefault="0009516C" w:rsidP="0009516C"/>
    <w:p w:rsidR="0009516C" w:rsidRPr="0009516C" w:rsidRDefault="0009516C" w:rsidP="0009516C"/>
    <w:p w:rsidR="007650AA" w:rsidRDefault="00BA6192" w:rsidP="00500D9F">
      <w:pPr>
        <w:spacing w:line="360" w:lineRule="auto"/>
        <w:rPr>
          <w:rFonts w:ascii="Calibri" w:hAnsi="Calibri"/>
        </w:rPr>
      </w:pPr>
      <w:r>
        <w:rPr>
          <w:noProof/>
          <w:lang w:eastAsia="en-NZ"/>
        </w:rPr>
        <w:drawing>
          <wp:inline distT="0" distB="0" distL="0" distR="0">
            <wp:extent cx="6553200" cy="470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4705350"/>
                    </a:xfrm>
                    <a:prstGeom prst="rect">
                      <a:avLst/>
                    </a:prstGeom>
                    <a:noFill/>
                    <a:ln>
                      <a:noFill/>
                    </a:ln>
                  </pic:spPr>
                </pic:pic>
              </a:graphicData>
            </a:graphic>
          </wp:inline>
        </w:drawing>
      </w:r>
    </w:p>
    <w:p w:rsidR="007650AA" w:rsidRDefault="007650AA">
      <w:pPr>
        <w:jc w:val="left"/>
        <w:rPr>
          <w:rFonts w:ascii="Calibri" w:hAnsi="Calibri"/>
        </w:rPr>
      </w:pPr>
      <w:r>
        <w:rPr>
          <w:rFonts w:ascii="Calibri" w:hAnsi="Calibri"/>
        </w:rPr>
        <w:br w:type="page"/>
      </w:r>
    </w:p>
    <w:p w:rsidR="003964B6" w:rsidRPr="007F67C6" w:rsidRDefault="003964B6" w:rsidP="003964B6">
      <w:pPr>
        <w:pStyle w:val="Heading1"/>
        <w:rPr>
          <w:rFonts w:ascii="Calibri" w:hAnsi="Calibri"/>
          <w:u w:val="single"/>
        </w:rPr>
      </w:pPr>
      <w:bookmarkStart w:id="47" w:name="_Toc530662769"/>
      <w:r w:rsidRPr="007F67C6">
        <w:rPr>
          <w:rFonts w:ascii="Calibri" w:hAnsi="Calibri"/>
          <w:u w:val="single"/>
        </w:rPr>
        <w:lastRenderedPageBreak/>
        <w:t>Guideline 9: MATERNITY</w:t>
      </w:r>
      <w:bookmarkEnd w:id="47"/>
      <w:r w:rsidRPr="007F67C6">
        <w:rPr>
          <w:rFonts w:ascii="Calibri" w:hAnsi="Calibri"/>
          <w:u w:val="single"/>
        </w:rPr>
        <w:t xml:space="preserve"> </w:t>
      </w:r>
    </w:p>
    <w:p w:rsidR="003964B6" w:rsidRPr="007F67C6" w:rsidRDefault="003964B6" w:rsidP="003964B6">
      <w:pPr>
        <w:rPr>
          <w:rFonts w:ascii="Calibri" w:hAnsi="Calibri"/>
        </w:rPr>
      </w:pPr>
    </w:p>
    <w:p w:rsidR="003964B6" w:rsidRPr="007F67C6" w:rsidRDefault="003964B6" w:rsidP="003964B6">
      <w:pPr>
        <w:rPr>
          <w:rFonts w:ascii="Calibri" w:hAnsi="Calibri"/>
          <w:b/>
        </w:rPr>
      </w:pPr>
      <w:r w:rsidRPr="007F67C6">
        <w:rPr>
          <w:rFonts w:ascii="Calibri" w:hAnsi="Calibri"/>
          <w:b/>
        </w:rPr>
        <w:t>Background</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 xml:space="preserve">Purchase unit W10001 was added to </w:t>
      </w:r>
      <w:proofErr w:type="spellStart"/>
      <w:r w:rsidRPr="007F67C6">
        <w:rPr>
          <w:rFonts w:ascii="Calibri" w:hAnsi="Calibri"/>
        </w:rPr>
        <w:t>casemix</w:t>
      </w:r>
      <w:proofErr w:type="spellEnd"/>
      <w:r w:rsidRPr="007F67C6">
        <w:rPr>
          <w:rFonts w:ascii="Calibri" w:hAnsi="Calibri"/>
        </w:rPr>
        <w:t xml:space="preserve"> several years after </w:t>
      </w:r>
      <w:proofErr w:type="spellStart"/>
      <w:r w:rsidRPr="007F67C6">
        <w:rPr>
          <w:rFonts w:ascii="Calibri" w:hAnsi="Calibri"/>
        </w:rPr>
        <w:t>casemix</w:t>
      </w:r>
      <w:proofErr w:type="spellEnd"/>
      <w:r w:rsidRPr="007F67C6">
        <w:rPr>
          <w:rFonts w:ascii="Calibri" w:hAnsi="Calibri"/>
        </w:rPr>
        <w:t xml:space="preserve"> funding was introduced.  In the first year data quality was so poor that costs were excluded from pricing.  Over the years data quality has improved, but has been quite inconsistent between DHBs and between years.  </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 xml:space="preserve">Maternity data quality and consistency is important in </w:t>
      </w:r>
      <w:proofErr w:type="spellStart"/>
      <w:r w:rsidRPr="007F67C6">
        <w:rPr>
          <w:rFonts w:ascii="Calibri" w:hAnsi="Calibri"/>
        </w:rPr>
        <w:t>casemix</w:t>
      </w:r>
      <w:proofErr w:type="spellEnd"/>
      <w:r w:rsidRPr="007F67C6">
        <w:rPr>
          <w:rFonts w:ascii="Calibri" w:hAnsi="Calibri"/>
        </w:rPr>
        <w:t xml:space="preserve"> because of its unique influence on DRGs.  The W10001 purchase unit contains both mothers and babies, and these both go through the same cost departments, but end up in different sets of DRGs, the mothers in the “O” DRGs and the babies in the “P” DRGs.  In particular there has been inconsistency on whether to attach the costs of the delivery in delivery suite to the mother or the baby and also in the weighting of bed days between mothers and wellborn babies in the wards.  A guideline is needed so that some consistency can be attained across DHBs and DRGs.</w:t>
      </w:r>
    </w:p>
    <w:p w:rsidR="003964B6" w:rsidRPr="007F67C6" w:rsidRDefault="003964B6" w:rsidP="003964B6">
      <w:pPr>
        <w:rPr>
          <w:rFonts w:ascii="Calibri" w:hAnsi="Calibri"/>
        </w:rPr>
      </w:pPr>
    </w:p>
    <w:p w:rsidR="003964B6" w:rsidRPr="007F67C6" w:rsidRDefault="003964B6" w:rsidP="003964B6">
      <w:pPr>
        <w:rPr>
          <w:rFonts w:ascii="Calibri" w:hAnsi="Calibri"/>
        </w:rPr>
      </w:pPr>
    </w:p>
    <w:p w:rsidR="003964B6" w:rsidRPr="007F67C6" w:rsidRDefault="003964B6" w:rsidP="003964B6">
      <w:pPr>
        <w:rPr>
          <w:rFonts w:ascii="Calibri" w:hAnsi="Calibri"/>
          <w:b/>
        </w:rPr>
      </w:pPr>
      <w:r w:rsidRPr="007F67C6">
        <w:rPr>
          <w:rFonts w:ascii="Calibri" w:hAnsi="Calibri"/>
          <w:b/>
        </w:rPr>
        <w:t>Scope</w:t>
      </w:r>
    </w:p>
    <w:p w:rsidR="003964B6" w:rsidRPr="007F67C6" w:rsidRDefault="003964B6" w:rsidP="003964B6">
      <w:pPr>
        <w:rPr>
          <w:rFonts w:ascii="Calibri" w:hAnsi="Calibri"/>
          <w:b/>
        </w:rPr>
      </w:pPr>
    </w:p>
    <w:p w:rsidR="003964B6" w:rsidRPr="007F67C6" w:rsidRDefault="003964B6" w:rsidP="003964B6">
      <w:pPr>
        <w:rPr>
          <w:rFonts w:ascii="Calibri" w:hAnsi="Calibri"/>
        </w:rPr>
      </w:pPr>
      <w:r w:rsidRPr="007F67C6">
        <w:rPr>
          <w:rFonts w:ascii="Calibri" w:hAnsi="Calibri"/>
        </w:rPr>
        <w:t>This guideline is directed at the bulk of patients going through the maternity facilities - normal deliveries and wellborn babies which end up in the W10001 purchase unit.  Therefore the costs of the delivery suite, maternity wards and LMC midwives is included.</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 xml:space="preserve"> If mothers need to undergo a theatre procedure, this will be captured separately in the theatre system.  If babies are not wellborn and need medical attention, they will be referred to a neonatal unit or a paediatrics department.  These costs are not covered by the guideline.</w:t>
      </w:r>
    </w:p>
    <w:p w:rsidR="003964B6" w:rsidRPr="007F67C6" w:rsidRDefault="003964B6" w:rsidP="003964B6">
      <w:pPr>
        <w:rPr>
          <w:rFonts w:ascii="Calibri" w:hAnsi="Calibri"/>
        </w:rPr>
      </w:pPr>
    </w:p>
    <w:p w:rsidR="003964B6" w:rsidRPr="007F67C6" w:rsidRDefault="00BA6192" w:rsidP="003964B6">
      <w:pPr>
        <w:rPr>
          <w:rFonts w:ascii="Calibri" w:hAnsi="Calibri"/>
        </w:rPr>
      </w:pPr>
      <w:r>
        <w:rPr>
          <w:rFonts w:ascii="Calibri" w:hAnsi="Calibri"/>
          <w:noProof/>
          <w:lang w:eastAsia="en-NZ"/>
        </w:rPr>
        <w:drawing>
          <wp:inline distT="0" distB="0" distL="0" distR="0">
            <wp:extent cx="6019800" cy="319087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3190875"/>
                    </a:xfrm>
                    <a:prstGeom prst="rect">
                      <a:avLst/>
                    </a:prstGeom>
                    <a:noFill/>
                    <a:ln>
                      <a:noFill/>
                    </a:ln>
                  </pic:spPr>
                </pic:pic>
              </a:graphicData>
            </a:graphic>
          </wp:inline>
        </w:drawing>
      </w:r>
    </w:p>
    <w:p w:rsidR="00C3587C" w:rsidRPr="007F67C6" w:rsidRDefault="00C3587C">
      <w:pPr>
        <w:jc w:val="left"/>
        <w:rPr>
          <w:rFonts w:ascii="Calibri" w:hAnsi="Calibri"/>
          <w:b/>
        </w:rPr>
      </w:pPr>
      <w:r w:rsidRPr="007F67C6">
        <w:rPr>
          <w:rFonts w:ascii="Calibri" w:hAnsi="Calibri"/>
          <w:b/>
        </w:rPr>
        <w:br w:type="page"/>
      </w:r>
    </w:p>
    <w:p w:rsidR="003964B6" w:rsidRPr="007F67C6" w:rsidRDefault="003964B6" w:rsidP="003964B6">
      <w:pPr>
        <w:rPr>
          <w:rFonts w:ascii="Calibri" w:hAnsi="Calibri"/>
          <w:b/>
        </w:rPr>
      </w:pPr>
      <w:r w:rsidRPr="007F67C6">
        <w:rPr>
          <w:rFonts w:ascii="Calibri" w:hAnsi="Calibri"/>
          <w:b/>
        </w:rPr>
        <w:lastRenderedPageBreak/>
        <w:t>Delivery Suite</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The diagram below shows the pathway through the maternity unit for normal deliveries and wellborn babies.  The baby does not have a patient event created until it is born, after the time spent in delivery suite.  This guideline therefore recommends that all the costs of the delivery is put on the mother and none on the baby.</w:t>
      </w:r>
    </w:p>
    <w:p w:rsidR="003964B6" w:rsidRPr="007F67C6" w:rsidRDefault="003964B6" w:rsidP="003964B6">
      <w:pPr>
        <w:rPr>
          <w:rFonts w:ascii="Calibri" w:hAnsi="Calibri"/>
        </w:rPr>
      </w:pPr>
    </w:p>
    <w:p w:rsidR="00C3587C" w:rsidRPr="007F67C6" w:rsidRDefault="00BA6192" w:rsidP="003964B6">
      <w:pPr>
        <w:rPr>
          <w:rFonts w:ascii="Calibri" w:hAnsi="Calibri"/>
        </w:rPr>
      </w:pPr>
      <w:r>
        <w:rPr>
          <w:rFonts w:ascii="Calibri" w:hAnsi="Calibri"/>
          <w:noProof/>
          <w:lang w:eastAsia="en-NZ"/>
        </w:rPr>
        <w:drawing>
          <wp:inline distT="0" distB="0" distL="0" distR="0">
            <wp:extent cx="59436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504886" w:rsidRPr="007F67C6" w:rsidRDefault="00504886" w:rsidP="003964B6">
      <w:pPr>
        <w:rPr>
          <w:rFonts w:ascii="Calibri" w:hAnsi="Calibri"/>
        </w:rPr>
      </w:pPr>
    </w:p>
    <w:p w:rsidR="003964B6" w:rsidRPr="007F67C6" w:rsidRDefault="003964B6" w:rsidP="003964B6">
      <w:pPr>
        <w:rPr>
          <w:rFonts w:ascii="Calibri" w:hAnsi="Calibri"/>
        </w:rPr>
      </w:pPr>
      <w:r w:rsidRPr="007F67C6">
        <w:rPr>
          <w:rFonts w:ascii="Calibri" w:hAnsi="Calibri"/>
        </w:rPr>
        <w:t>Differentiation of costs within delivery suite for more complex births can be obtained using the following methodologies</w:t>
      </w:r>
    </w:p>
    <w:p w:rsidR="003964B6" w:rsidRPr="007F67C6" w:rsidRDefault="003964B6" w:rsidP="003964B6">
      <w:pPr>
        <w:rPr>
          <w:rFonts w:ascii="Calibri" w:hAnsi="Calibri"/>
        </w:rPr>
      </w:pPr>
    </w:p>
    <w:p w:rsidR="003964B6" w:rsidRPr="007F67C6" w:rsidRDefault="003964B6" w:rsidP="003964B6">
      <w:pPr>
        <w:pStyle w:val="ListParagraph"/>
        <w:numPr>
          <w:ilvl w:val="0"/>
          <w:numId w:val="11"/>
        </w:numPr>
        <w:contextualSpacing/>
        <w:rPr>
          <w:rFonts w:ascii="Calibri" w:hAnsi="Calibri"/>
        </w:rPr>
      </w:pPr>
      <w:r w:rsidRPr="007F67C6">
        <w:rPr>
          <w:rFonts w:ascii="Calibri" w:hAnsi="Calibri"/>
        </w:rPr>
        <w:t xml:space="preserve"> If a feed can be obtained from a maternity system, one product or a set of products for a complex birth can be created (for example: augmentation, epidural, induction).</w:t>
      </w:r>
    </w:p>
    <w:p w:rsidR="003964B6" w:rsidRPr="007F67C6" w:rsidRDefault="003964B6" w:rsidP="003964B6">
      <w:pPr>
        <w:pStyle w:val="ListParagraph"/>
        <w:numPr>
          <w:ilvl w:val="0"/>
          <w:numId w:val="11"/>
        </w:numPr>
        <w:contextualSpacing/>
        <w:rPr>
          <w:rFonts w:ascii="Calibri" w:hAnsi="Calibri"/>
        </w:rPr>
      </w:pPr>
      <w:r w:rsidRPr="007F67C6">
        <w:rPr>
          <w:rFonts w:ascii="Calibri" w:hAnsi="Calibri"/>
        </w:rPr>
        <w:t>In the absence of a feed from the maternity system, ICD procedure codes can be used to determine complexity.  See appendix 2</w:t>
      </w:r>
    </w:p>
    <w:p w:rsidR="003964B6" w:rsidRPr="007F67C6" w:rsidRDefault="003964B6" w:rsidP="003964B6">
      <w:pPr>
        <w:ind w:left="360"/>
        <w:rPr>
          <w:rFonts w:ascii="Calibri" w:hAnsi="Calibri"/>
        </w:rPr>
      </w:pPr>
    </w:p>
    <w:p w:rsidR="003964B6" w:rsidRPr="007F67C6" w:rsidRDefault="003964B6" w:rsidP="003964B6">
      <w:pPr>
        <w:rPr>
          <w:rFonts w:ascii="Calibri" w:hAnsi="Calibri"/>
        </w:rPr>
      </w:pPr>
    </w:p>
    <w:p w:rsidR="003964B6" w:rsidRPr="007F67C6" w:rsidRDefault="003964B6" w:rsidP="003964B6">
      <w:pPr>
        <w:rPr>
          <w:rFonts w:ascii="Calibri" w:hAnsi="Calibri"/>
          <w:b/>
        </w:rPr>
      </w:pPr>
      <w:r w:rsidRPr="007F67C6">
        <w:rPr>
          <w:rFonts w:ascii="Calibri" w:hAnsi="Calibri"/>
          <w:b/>
        </w:rPr>
        <w:t>Maternity Wards</w:t>
      </w:r>
    </w:p>
    <w:p w:rsidR="003964B6" w:rsidRPr="007F67C6" w:rsidRDefault="003964B6" w:rsidP="003964B6">
      <w:pPr>
        <w:rPr>
          <w:rFonts w:ascii="Calibri" w:hAnsi="Calibri"/>
          <w:b/>
        </w:rPr>
      </w:pPr>
    </w:p>
    <w:p w:rsidR="003964B6" w:rsidRPr="007F67C6" w:rsidRDefault="003964B6" w:rsidP="003964B6">
      <w:pPr>
        <w:rPr>
          <w:rFonts w:ascii="Calibri" w:hAnsi="Calibri"/>
          <w:b/>
        </w:rPr>
      </w:pPr>
      <w:r w:rsidRPr="007F67C6">
        <w:rPr>
          <w:rFonts w:ascii="Calibri" w:hAnsi="Calibri"/>
          <w:b/>
        </w:rPr>
        <w:t xml:space="preserve">There is already a guideline on the costing of wards.  </w:t>
      </w:r>
    </w:p>
    <w:p w:rsidR="003964B6" w:rsidRPr="007F67C6" w:rsidRDefault="003964B6" w:rsidP="003964B6">
      <w:pPr>
        <w:rPr>
          <w:rFonts w:ascii="Calibri" w:hAnsi="Calibri"/>
          <w:b/>
        </w:rPr>
      </w:pPr>
    </w:p>
    <w:p w:rsidR="003964B6" w:rsidRPr="007F67C6" w:rsidRDefault="003964B6" w:rsidP="003964B6">
      <w:pPr>
        <w:rPr>
          <w:rFonts w:ascii="Calibri" w:hAnsi="Calibri"/>
        </w:rPr>
      </w:pPr>
      <w:r w:rsidRPr="007F67C6">
        <w:rPr>
          <w:rFonts w:ascii="Calibri" w:hAnsi="Calibri"/>
        </w:rPr>
        <w:t>According to the guidelines for wards, products should be:</w:t>
      </w:r>
    </w:p>
    <w:p w:rsidR="003964B6" w:rsidRPr="007F67C6" w:rsidRDefault="003964B6" w:rsidP="003964B6">
      <w:pPr>
        <w:rPr>
          <w:rFonts w:ascii="Calibri" w:hAnsi="Calibri"/>
        </w:rPr>
      </w:pPr>
    </w:p>
    <w:p w:rsidR="003964B6" w:rsidRPr="007F67C6" w:rsidRDefault="00C76AC2" w:rsidP="003964B6">
      <w:pPr>
        <w:rPr>
          <w:rFonts w:ascii="Calibri" w:hAnsi="Calibri"/>
        </w:rPr>
      </w:pPr>
      <w:r w:rsidRPr="007F67C6">
        <w:rPr>
          <w:rFonts w:ascii="Calibri" w:hAnsi="Calibri"/>
        </w:rPr>
        <w:t>Level 1</w:t>
      </w:r>
      <w:r w:rsidR="003964B6" w:rsidRPr="007F67C6">
        <w:rPr>
          <w:rFonts w:ascii="Calibri" w:hAnsi="Calibri"/>
        </w:rPr>
        <w:t xml:space="preserve"> Ward day</w:t>
      </w:r>
    </w:p>
    <w:p w:rsidR="003964B6" w:rsidRPr="007F67C6" w:rsidRDefault="003964B6" w:rsidP="003964B6">
      <w:pPr>
        <w:rPr>
          <w:rFonts w:ascii="Calibri" w:hAnsi="Calibri"/>
        </w:rPr>
      </w:pPr>
      <w:r w:rsidRPr="007F67C6">
        <w:rPr>
          <w:rFonts w:ascii="Calibri" w:hAnsi="Calibri"/>
        </w:rPr>
        <w:t>Level 2 Ward day by specialty</w:t>
      </w:r>
    </w:p>
    <w:p w:rsidR="003964B6" w:rsidRPr="007F67C6" w:rsidRDefault="003964B6" w:rsidP="003964B6">
      <w:pPr>
        <w:rPr>
          <w:rFonts w:ascii="Calibri" w:hAnsi="Calibri"/>
        </w:rPr>
      </w:pPr>
      <w:r w:rsidRPr="007F67C6">
        <w:rPr>
          <w:rFonts w:ascii="Calibri" w:hAnsi="Calibri"/>
        </w:rPr>
        <w:t>Level 3 Ward day or ward hour split by specialty and actual ward</w:t>
      </w:r>
    </w:p>
    <w:p w:rsidR="003964B6" w:rsidRPr="007F67C6" w:rsidRDefault="003964B6" w:rsidP="003964B6">
      <w:pPr>
        <w:rPr>
          <w:rFonts w:ascii="Calibri" w:hAnsi="Calibri"/>
        </w:rPr>
      </w:pPr>
      <w:r w:rsidRPr="007F67C6">
        <w:rPr>
          <w:rFonts w:ascii="Calibri" w:hAnsi="Calibri"/>
        </w:rPr>
        <w:t>Level 4 Ward day or Ward hour split by acuity/dependency system</w:t>
      </w:r>
    </w:p>
    <w:p w:rsidR="003964B6" w:rsidRPr="007F67C6" w:rsidRDefault="003964B6" w:rsidP="003964B6">
      <w:pPr>
        <w:rPr>
          <w:rFonts w:ascii="Calibri" w:hAnsi="Calibri"/>
        </w:rPr>
      </w:pPr>
      <w:r w:rsidRPr="007F67C6">
        <w:rPr>
          <w:rFonts w:ascii="Calibri" w:hAnsi="Calibri"/>
        </w:rPr>
        <w:t>Level 5 Acuity by shift or time of day ward hour differentiation</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 xml:space="preserve">Mothers and wellborn babies share maternity wards and the time that nurses and midwives spend attending the pair needs to be split between mother and baby ward day products.   Because mothers and babies end up in different DRGS, consistency in a costing approach is important to developing consistent and rational </w:t>
      </w:r>
      <w:proofErr w:type="spellStart"/>
      <w:r w:rsidRPr="007F67C6">
        <w:rPr>
          <w:rFonts w:ascii="Calibri" w:hAnsi="Calibri"/>
        </w:rPr>
        <w:t>casemix</w:t>
      </w:r>
      <w:proofErr w:type="spellEnd"/>
      <w:r w:rsidRPr="007F67C6">
        <w:rPr>
          <w:rFonts w:ascii="Calibri" w:hAnsi="Calibri"/>
        </w:rPr>
        <w:t xml:space="preserve"> weightings.  If it is possible to differentiate products between mother and baby, and if there is no way to identify actual time spent (</w:t>
      </w:r>
      <w:proofErr w:type="spellStart"/>
      <w:r w:rsidRPr="007F67C6">
        <w:rPr>
          <w:rFonts w:ascii="Calibri" w:hAnsi="Calibri"/>
        </w:rPr>
        <w:t>eg</w:t>
      </w:r>
      <w:proofErr w:type="spellEnd"/>
      <w:r w:rsidRPr="007F67C6">
        <w:rPr>
          <w:rFonts w:ascii="Calibri" w:hAnsi="Calibri"/>
        </w:rPr>
        <w:t xml:space="preserve"> via an acuity/dependency system) this guideline recommends that more time is allocated to mothers than to babies.  </w:t>
      </w:r>
    </w:p>
    <w:p w:rsidR="003964B6" w:rsidRPr="007F67C6" w:rsidRDefault="003964B6" w:rsidP="003964B6">
      <w:pPr>
        <w:rPr>
          <w:rFonts w:ascii="Calibri" w:hAnsi="Calibri"/>
        </w:rPr>
      </w:pPr>
      <w:r w:rsidRPr="007F67C6">
        <w:rPr>
          <w:rFonts w:ascii="Calibri" w:hAnsi="Calibri"/>
        </w:rPr>
        <w:t>In general, in maternity wards, the RVU for ward-based midwife time (</w:t>
      </w:r>
      <w:proofErr w:type="spellStart"/>
      <w:r w:rsidRPr="007F67C6">
        <w:rPr>
          <w:rFonts w:ascii="Calibri" w:hAnsi="Calibri"/>
        </w:rPr>
        <w:t>excl</w:t>
      </w:r>
      <w:proofErr w:type="spellEnd"/>
      <w:r w:rsidRPr="007F67C6">
        <w:rPr>
          <w:rFonts w:ascii="Calibri" w:hAnsi="Calibri"/>
        </w:rPr>
        <w:t xml:space="preserve"> LMC) and nursing time spent with mothers should be about twice that of babies.  </w:t>
      </w:r>
    </w:p>
    <w:p w:rsidR="003964B6" w:rsidRPr="007F67C6" w:rsidRDefault="003964B6" w:rsidP="003964B6">
      <w:pPr>
        <w:rPr>
          <w:rFonts w:ascii="Calibri" w:hAnsi="Calibri"/>
        </w:rPr>
      </w:pPr>
    </w:p>
    <w:p w:rsidR="003964B6" w:rsidRPr="007F67C6" w:rsidRDefault="003964B6" w:rsidP="003964B6">
      <w:pPr>
        <w:rPr>
          <w:rFonts w:ascii="Calibri" w:hAnsi="Calibri"/>
          <w:b/>
        </w:rPr>
      </w:pPr>
      <w:r w:rsidRPr="007F67C6">
        <w:rPr>
          <w:rFonts w:ascii="Calibri" w:hAnsi="Calibri"/>
          <w:b/>
        </w:rPr>
        <w:lastRenderedPageBreak/>
        <w:t>Lead maternity carers (LMC)</w:t>
      </w:r>
    </w:p>
    <w:p w:rsidR="003964B6" w:rsidRPr="007F67C6" w:rsidRDefault="003964B6" w:rsidP="003964B6">
      <w:pPr>
        <w:rPr>
          <w:rFonts w:ascii="Calibri" w:hAnsi="Calibri"/>
        </w:rPr>
      </w:pPr>
      <w:r w:rsidRPr="007F67C6">
        <w:rPr>
          <w:rFonts w:ascii="Calibri" w:hAnsi="Calibri"/>
        </w:rPr>
        <w:t>The common costing standard for LMC (F20) contains the following hierarchy of products:</w:t>
      </w:r>
    </w:p>
    <w:p w:rsidR="003964B6" w:rsidRPr="007F67C6" w:rsidRDefault="003964B6" w:rsidP="003964B6">
      <w:pPr>
        <w:rPr>
          <w:rFonts w:ascii="Calibri" w:hAnsi="Calibri"/>
          <w:b/>
        </w:rPr>
      </w:pPr>
    </w:p>
    <w:p w:rsidR="003964B6" w:rsidRPr="007F67C6" w:rsidRDefault="003964B6" w:rsidP="003964B6">
      <w:pPr>
        <w:rPr>
          <w:rFonts w:ascii="Calibri" w:hAnsi="Calibri"/>
        </w:rPr>
      </w:pPr>
      <w:r w:rsidRPr="007F67C6">
        <w:rPr>
          <w:rFonts w:ascii="Calibri" w:hAnsi="Calibri"/>
        </w:rPr>
        <w:t>Level 1 Women registered with service</w:t>
      </w:r>
    </w:p>
    <w:p w:rsidR="003964B6" w:rsidRPr="007F67C6" w:rsidRDefault="003964B6" w:rsidP="003964B6">
      <w:pPr>
        <w:rPr>
          <w:rFonts w:ascii="Calibri" w:hAnsi="Calibri"/>
        </w:rPr>
      </w:pPr>
      <w:r w:rsidRPr="007F67C6">
        <w:rPr>
          <w:rFonts w:ascii="Calibri" w:hAnsi="Calibri"/>
        </w:rPr>
        <w:t>Level 2 Women by module</w:t>
      </w:r>
    </w:p>
    <w:p w:rsidR="003964B6" w:rsidRPr="007F67C6" w:rsidRDefault="003964B6" w:rsidP="003964B6">
      <w:pPr>
        <w:rPr>
          <w:rFonts w:ascii="Calibri" w:hAnsi="Calibri"/>
        </w:rPr>
      </w:pPr>
      <w:r w:rsidRPr="007F67C6">
        <w:rPr>
          <w:rFonts w:ascii="Calibri" w:hAnsi="Calibri"/>
        </w:rPr>
        <w:t>Level 3 Contacts by module</w:t>
      </w:r>
    </w:p>
    <w:p w:rsidR="003964B6" w:rsidRPr="007F67C6" w:rsidRDefault="003964B6" w:rsidP="003964B6">
      <w:pPr>
        <w:rPr>
          <w:rFonts w:ascii="Calibri" w:hAnsi="Calibri"/>
        </w:rPr>
      </w:pPr>
      <w:r w:rsidRPr="007F67C6">
        <w:rPr>
          <w:rFonts w:ascii="Calibri" w:hAnsi="Calibri"/>
        </w:rPr>
        <w:t>Level 4 Level 3 detail of visit type and delivery</w:t>
      </w:r>
    </w:p>
    <w:p w:rsidR="003964B6" w:rsidRPr="007F67C6" w:rsidRDefault="003964B6" w:rsidP="003964B6">
      <w:pPr>
        <w:rPr>
          <w:rFonts w:ascii="Calibri" w:hAnsi="Calibri"/>
        </w:rPr>
      </w:pPr>
      <w:r w:rsidRPr="007F67C6">
        <w:rPr>
          <w:rFonts w:ascii="Calibri" w:hAnsi="Calibri"/>
        </w:rPr>
        <w:t>Level 5 level 4 plus hours in labour by stage.</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This guideline is concerned with the costing of the inpatient event at which delivery occurs, therefore level 3 and 4 which specify detail about the delivery event.</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 xml:space="preserve">The survey </w:t>
      </w:r>
      <w:r w:rsidR="00C3587C" w:rsidRPr="007F67C6">
        <w:rPr>
          <w:rFonts w:ascii="Calibri" w:hAnsi="Calibri"/>
        </w:rPr>
        <w:t xml:space="preserve">(appendix 1) </w:t>
      </w:r>
      <w:r w:rsidRPr="007F67C6">
        <w:rPr>
          <w:rFonts w:ascii="Calibri" w:hAnsi="Calibri"/>
        </w:rPr>
        <w:t>showed that most DHBs attribute LMC cost to the delivery, the stay in maternity ward for mothers and babies, outpatient and domiciliary visits. Some DHBs have few or no DHB employed LMCs so there is no cost to the DHB and therefore no products.</w:t>
      </w:r>
    </w:p>
    <w:p w:rsidR="003964B6" w:rsidRPr="007F67C6" w:rsidRDefault="003964B6" w:rsidP="003964B6">
      <w:pPr>
        <w:rPr>
          <w:rFonts w:ascii="Calibri" w:hAnsi="Calibri"/>
        </w:rPr>
      </w:pPr>
    </w:p>
    <w:p w:rsidR="003964B6" w:rsidRPr="007F67C6" w:rsidRDefault="003964B6" w:rsidP="003964B6">
      <w:pPr>
        <w:rPr>
          <w:rFonts w:ascii="Calibri" w:hAnsi="Calibri"/>
        </w:rPr>
      </w:pPr>
      <w:r w:rsidRPr="007F67C6">
        <w:rPr>
          <w:rFonts w:ascii="Calibri" w:hAnsi="Calibri"/>
        </w:rPr>
        <w:t>The following methodologies are used to cost LMC services</w:t>
      </w:r>
    </w:p>
    <w:p w:rsidR="003964B6" w:rsidRPr="007F67C6" w:rsidRDefault="003964B6" w:rsidP="003964B6">
      <w:pPr>
        <w:pStyle w:val="ListParagraph"/>
        <w:numPr>
          <w:ilvl w:val="0"/>
          <w:numId w:val="12"/>
        </w:numPr>
        <w:contextualSpacing/>
        <w:rPr>
          <w:rFonts w:ascii="Calibri" w:hAnsi="Calibri"/>
          <w:b/>
        </w:rPr>
      </w:pPr>
      <w:r w:rsidRPr="007F67C6">
        <w:rPr>
          <w:rFonts w:ascii="Calibri" w:hAnsi="Calibri"/>
          <w:i/>
        </w:rPr>
        <w:t xml:space="preserve">Delivery.  </w:t>
      </w:r>
    </w:p>
    <w:p w:rsidR="003964B6" w:rsidRPr="007F67C6" w:rsidRDefault="003964B6" w:rsidP="003964B6">
      <w:pPr>
        <w:pStyle w:val="ListParagraph"/>
        <w:numPr>
          <w:ilvl w:val="1"/>
          <w:numId w:val="12"/>
        </w:numPr>
        <w:contextualSpacing/>
        <w:rPr>
          <w:rFonts w:ascii="Calibri" w:hAnsi="Calibri"/>
          <w:b/>
        </w:rPr>
      </w:pPr>
      <w:r w:rsidRPr="007F67C6">
        <w:rPr>
          <w:rFonts w:ascii="Calibri" w:hAnsi="Calibri"/>
        </w:rPr>
        <w:t xml:space="preserve">Three DHBs had one product per delivery.  </w:t>
      </w:r>
    </w:p>
    <w:p w:rsidR="003964B6" w:rsidRPr="007F67C6" w:rsidRDefault="003964B6" w:rsidP="003964B6">
      <w:pPr>
        <w:pStyle w:val="ListParagraph"/>
        <w:numPr>
          <w:ilvl w:val="1"/>
          <w:numId w:val="12"/>
        </w:numPr>
        <w:contextualSpacing/>
        <w:rPr>
          <w:rFonts w:ascii="Calibri" w:hAnsi="Calibri"/>
          <w:b/>
        </w:rPr>
      </w:pPr>
      <w:r w:rsidRPr="007F67C6">
        <w:rPr>
          <w:rFonts w:ascii="Calibri" w:hAnsi="Calibri"/>
        </w:rPr>
        <w:t xml:space="preserve">Two DHBs had one product for delivery but differentiated the type of delivery, </w:t>
      </w:r>
      <w:proofErr w:type="spellStart"/>
      <w:r w:rsidRPr="007F67C6">
        <w:rPr>
          <w:rFonts w:ascii="Calibri" w:hAnsi="Calibri"/>
        </w:rPr>
        <w:t>eg</w:t>
      </w:r>
      <w:proofErr w:type="spellEnd"/>
      <w:r w:rsidRPr="007F67C6">
        <w:rPr>
          <w:rFonts w:ascii="Calibri" w:hAnsi="Calibri"/>
        </w:rPr>
        <w:t>: Normal vaginal, epidural, operative vaginal and caesarean section</w:t>
      </w:r>
    </w:p>
    <w:p w:rsidR="003964B6" w:rsidRPr="007F67C6" w:rsidRDefault="003964B6" w:rsidP="003964B6">
      <w:pPr>
        <w:pStyle w:val="ListParagraph"/>
        <w:numPr>
          <w:ilvl w:val="1"/>
          <w:numId w:val="12"/>
        </w:numPr>
        <w:spacing w:before="240"/>
        <w:contextualSpacing/>
        <w:rPr>
          <w:rFonts w:ascii="Calibri" w:hAnsi="Calibri"/>
          <w:b/>
        </w:rPr>
      </w:pPr>
      <w:r w:rsidRPr="007F67C6">
        <w:rPr>
          <w:rFonts w:ascii="Calibri" w:hAnsi="Calibri"/>
        </w:rPr>
        <w:t>One DHB used ICD procedure codes to create products (see appendix 2).</w:t>
      </w:r>
    </w:p>
    <w:p w:rsidR="003964B6" w:rsidRPr="007F67C6" w:rsidRDefault="003964B6" w:rsidP="003964B6">
      <w:pPr>
        <w:pStyle w:val="ListParagraph"/>
        <w:numPr>
          <w:ilvl w:val="1"/>
          <w:numId w:val="12"/>
        </w:numPr>
        <w:contextualSpacing/>
        <w:rPr>
          <w:rFonts w:ascii="Calibri" w:hAnsi="Calibri"/>
          <w:b/>
        </w:rPr>
      </w:pPr>
      <w:r w:rsidRPr="007F67C6">
        <w:rPr>
          <w:rFonts w:ascii="Calibri" w:hAnsi="Calibri"/>
        </w:rPr>
        <w:t>Two of the above DHBs had additional delivery products for independent midwives, one had the RVU for independent midwife at 20% of the DHB midwife and the other 44%.  Two of the DHBs did not have DHB midwives so had no costed products for LMCs at all.</w:t>
      </w:r>
    </w:p>
    <w:p w:rsidR="003964B6" w:rsidRPr="007F67C6" w:rsidRDefault="003964B6" w:rsidP="003964B6">
      <w:pPr>
        <w:pStyle w:val="ListParagraph"/>
        <w:numPr>
          <w:ilvl w:val="0"/>
          <w:numId w:val="12"/>
        </w:numPr>
        <w:contextualSpacing/>
        <w:rPr>
          <w:rFonts w:ascii="Calibri" w:hAnsi="Calibri"/>
          <w:b/>
          <w:i/>
        </w:rPr>
      </w:pPr>
      <w:r w:rsidRPr="007F67C6">
        <w:rPr>
          <w:rFonts w:ascii="Calibri" w:hAnsi="Calibri"/>
          <w:i/>
        </w:rPr>
        <w:t>Ward.</w:t>
      </w:r>
    </w:p>
    <w:p w:rsidR="003964B6" w:rsidRPr="007F67C6" w:rsidRDefault="003964B6" w:rsidP="003964B6">
      <w:pPr>
        <w:pStyle w:val="ListParagraph"/>
        <w:numPr>
          <w:ilvl w:val="1"/>
          <w:numId w:val="12"/>
        </w:numPr>
        <w:contextualSpacing/>
        <w:rPr>
          <w:rFonts w:ascii="Calibri" w:hAnsi="Calibri"/>
          <w:b/>
          <w:i/>
        </w:rPr>
      </w:pPr>
      <w:r w:rsidRPr="007F67C6">
        <w:rPr>
          <w:rFonts w:ascii="Calibri" w:hAnsi="Calibri"/>
        </w:rPr>
        <w:t xml:space="preserve">LMC post-natal cost was spread either via bed days or via </w:t>
      </w:r>
      <w:proofErr w:type="spellStart"/>
      <w:r w:rsidRPr="007F67C6">
        <w:rPr>
          <w:rFonts w:ascii="Calibri" w:hAnsi="Calibri"/>
        </w:rPr>
        <w:t>trendare</w:t>
      </w:r>
      <w:proofErr w:type="spellEnd"/>
      <w:r w:rsidRPr="007F67C6">
        <w:rPr>
          <w:rFonts w:ascii="Calibri" w:hAnsi="Calibri"/>
        </w:rPr>
        <w:t xml:space="preserve"> bed hours by acuity in most instances.</w:t>
      </w:r>
    </w:p>
    <w:p w:rsidR="003964B6" w:rsidRPr="007F67C6" w:rsidRDefault="003964B6" w:rsidP="003964B6">
      <w:pPr>
        <w:pStyle w:val="ListParagraph"/>
        <w:numPr>
          <w:ilvl w:val="1"/>
          <w:numId w:val="12"/>
        </w:numPr>
        <w:contextualSpacing/>
        <w:rPr>
          <w:rFonts w:ascii="Calibri" w:hAnsi="Calibri"/>
          <w:b/>
          <w:i/>
        </w:rPr>
      </w:pPr>
      <w:r w:rsidRPr="007F67C6">
        <w:rPr>
          <w:rFonts w:ascii="Calibri" w:hAnsi="Calibri"/>
        </w:rPr>
        <w:t>Three DHBs did not have a post-natal inpatient product but the entire costs was spread via the delivery product.</w:t>
      </w:r>
    </w:p>
    <w:p w:rsidR="003964B6" w:rsidRPr="007F67C6" w:rsidRDefault="003964B6" w:rsidP="003964B6">
      <w:pPr>
        <w:pStyle w:val="ListParagraph"/>
        <w:numPr>
          <w:ilvl w:val="1"/>
          <w:numId w:val="12"/>
        </w:numPr>
        <w:contextualSpacing/>
        <w:rPr>
          <w:rFonts w:ascii="Calibri" w:hAnsi="Calibri"/>
          <w:b/>
          <w:i/>
        </w:rPr>
      </w:pPr>
      <w:r w:rsidRPr="007F67C6">
        <w:rPr>
          <w:rFonts w:ascii="Calibri" w:hAnsi="Calibri"/>
        </w:rPr>
        <w:t>One DHB had a ward visit contact product</w:t>
      </w:r>
    </w:p>
    <w:p w:rsidR="003964B6" w:rsidRPr="007F67C6" w:rsidRDefault="003964B6" w:rsidP="003964B6">
      <w:pPr>
        <w:pStyle w:val="ListParagraph"/>
        <w:numPr>
          <w:ilvl w:val="0"/>
          <w:numId w:val="12"/>
        </w:numPr>
        <w:contextualSpacing/>
        <w:rPr>
          <w:rFonts w:ascii="Calibri" w:hAnsi="Calibri"/>
          <w:b/>
          <w:i/>
        </w:rPr>
      </w:pPr>
      <w:r w:rsidRPr="007F67C6">
        <w:rPr>
          <w:rFonts w:ascii="Calibri" w:hAnsi="Calibri"/>
          <w:i/>
        </w:rPr>
        <w:t>Outpatient and home visits</w:t>
      </w:r>
    </w:p>
    <w:p w:rsidR="003964B6" w:rsidRPr="007F67C6" w:rsidRDefault="003964B6" w:rsidP="003964B6">
      <w:pPr>
        <w:pStyle w:val="ListParagraph"/>
        <w:numPr>
          <w:ilvl w:val="1"/>
          <w:numId w:val="12"/>
        </w:numPr>
        <w:contextualSpacing/>
        <w:rPr>
          <w:rFonts w:ascii="Calibri" w:hAnsi="Calibri"/>
          <w:b/>
          <w:i/>
        </w:rPr>
      </w:pPr>
      <w:r w:rsidRPr="007F67C6">
        <w:rPr>
          <w:rFonts w:ascii="Calibri" w:hAnsi="Calibri"/>
        </w:rPr>
        <w:t xml:space="preserve">Most (but not all) DHBs also had outpatient and home visit products recording attendances for LMCs. </w:t>
      </w:r>
    </w:p>
    <w:p w:rsidR="00C76AC2" w:rsidRPr="007F67C6" w:rsidRDefault="00C76AC2">
      <w:pPr>
        <w:jc w:val="left"/>
        <w:rPr>
          <w:rFonts w:ascii="Calibri" w:hAnsi="Calibri"/>
          <w:b/>
          <w:i/>
        </w:rPr>
      </w:pPr>
      <w:r w:rsidRPr="007F67C6">
        <w:rPr>
          <w:rFonts w:ascii="Calibri" w:hAnsi="Calibri"/>
          <w:b/>
          <w:i/>
        </w:rPr>
        <w:br w:type="page"/>
      </w:r>
    </w:p>
    <w:p w:rsidR="003964B6" w:rsidRPr="007F67C6" w:rsidRDefault="003964B6" w:rsidP="003964B6">
      <w:pPr>
        <w:rPr>
          <w:rFonts w:ascii="Calibri" w:hAnsi="Calibri"/>
          <w:b/>
        </w:rPr>
      </w:pPr>
      <w:r w:rsidRPr="007F67C6">
        <w:rPr>
          <w:rFonts w:ascii="Calibri" w:hAnsi="Calibri"/>
          <w:b/>
        </w:rPr>
        <w:lastRenderedPageBreak/>
        <w:t xml:space="preserve">Appendix 1 </w:t>
      </w:r>
      <w:r w:rsidR="00E14998" w:rsidRPr="007F67C6">
        <w:rPr>
          <w:rFonts w:ascii="Calibri" w:hAnsi="Calibri"/>
          <w:b/>
        </w:rPr>
        <w:t>–</w:t>
      </w:r>
      <w:r w:rsidRPr="007F67C6">
        <w:rPr>
          <w:rFonts w:ascii="Calibri" w:hAnsi="Calibri"/>
          <w:b/>
        </w:rPr>
        <w:t xml:space="preserve"> Survey</w:t>
      </w:r>
    </w:p>
    <w:p w:rsidR="00D83BE6" w:rsidRPr="007F67C6" w:rsidRDefault="00D83BE6" w:rsidP="003964B6">
      <w:pPr>
        <w:rPr>
          <w:rFonts w:ascii="Calibri" w:hAnsi="Calibri"/>
          <w:b/>
          <w:i/>
        </w:rPr>
      </w:pPr>
    </w:p>
    <w:p w:rsidR="00D83BE6" w:rsidRPr="007F67C6" w:rsidRDefault="00BA6192" w:rsidP="007537EA">
      <w:pPr>
        <w:ind w:left="-426" w:right="-745"/>
        <w:jc w:val="left"/>
        <w:rPr>
          <w:rFonts w:ascii="Calibri" w:hAnsi="Calibri"/>
          <w:b/>
        </w:rPr>
      </w:pPr>
      <w:r>
        <w:rPr>
          <w:noProof/>
          <w:lang w:eastAsia="en-NZ"/>
        </w:rPr>
        <w:drawing>
          <wp:inline distT="0" distB="0" distL="0" distR="0">
            <wp:extent cx="8582025" cy="6848475"/>
            <wp:effectExtent l="0" t="9525"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8582025" cy="6848475"/>
                    </a:xfrm>
                    <a:prstGeom prst="rect">
                      <a:avLst/>
                    </a:prstGeom>
                    <a:noFill/>
                    <a:ln>
                      <a:noFill/>
                    </a:ln>
                  </pic:spPr>
                </pic:pic>
              </a:graphicData>
            </a:graphic>
          </wp:inline>
        </w:drawing>
      </w:r>
      <w:r w:rsidR="00D83BE6" w:rsidRPr="007F67C6">
        <w:rPr>
          <w:rFonts w:ascii="Calibri" w:hAnsi="Calibri"/>
          <w:b/>
        </w:rPr>
        <w:br w:type="page"/>
      </w:r>
    </w:p>
    <w:p w:rsidR="003964B6" w:rsidRPr="007F67C6" w:rsidRDefault="003964B6" w:rsidP="003964B6">
      <w:pPr>
        <w:rPr>
          <w:rFonts w:ascii="Calibri" w:hAnsi="Calibri"/>
          <w:b/>
        </w:rPr>
      </w:pPr>
      <w:r w:rsidRPr="007F67C6">
        <w:rPr>
          <w:rFonts w:ascii="Calibri" w:hAnsi="Calibri"/>
          <w:b/>
        </w:rPr>
        <w:lastRenderedPageBreak/>
        <w:t>Appendix 2</w:t>
      </w:r>
    </w:p>
    <w:p w:rsidR="003964B6" w:rsidRPr="007F67C6" w:rsidRDefault="00BA6192" w:rsidP="003964B6">
      <w:pPr>
        <w:rPr>
          <w:rFonts w:ascii="Calibri" w:hAnsi="Calibri"/>
          <w:b/>
        </w:rPr>
      </w:pPr>
      <w:r>
        <w:rPr>
          <w:rFonts w:ascii="Calibri" w:hAnsi="Calibri"/>
          <w:noProof/>
          <w:lang w:eastAsia="en-NZ"/>
        </w:rPr>
        <w:drawing>
          <wp:inline distT="0" distB="0" distL="0" distR="0">
            <wp:extent cx="6753225" cy="743902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3225" cy="7439025"/>
                    </a:xfrm>
                    <a:prstGeom prst="rect">
                      <a:avLst/>
                    </a:prstGeom>
                    <a:noFill/>
                    <a:ln>
                      <a:noFill/>
                    </a:ln>
                  </pic:spPr>
                </pic:pic>
              </a:graphicData>
            </a:graphic>
          </wp:inline>
        </w:drawing>
      </w:r>
    </w:p>
    <w:p w:rsidR="003964B6" w:rsidRPr="007F67C6" w:rsidRDefault="003964B6" w:rsidP="007650AA">
      <w:pPr>
        <w:pStyle w:val="Heading1"/>
        <w:jc w:val="left"/>
        <w:rPr>
          <w:rFonts w:ascii="Calibri" w:hAnsi="Calibri"/>
          <w:u w:val="single"/>
        </w:rPr>
      </w:pPr>
    </w:p>
    <w:p w:rsidR="00C76AC2" w:rsidRPr="007F67C6" w:rsidRDefault="00C76AC2">
      <w:pPr>
        <w:jc w:val="left"/>
        <w:rPr>
          <w:rFonts w:ascii="Calibri" w:hAnsi="Calibri" w:cs="Arial"/>
          <w:b/>
          <w:bCs/>
          <w:kern w:val="32"/>
          <w:sz w:val="32"/>
          <w:szCs w:val="32"/>
          <w:u w:val="single"/>
        </w:rPr>
      </w:pPr>
    </w:p>
    <w:p w:rsidR="008B57A3" w:rsidRPr="007F67C6" w:rsidRDefault="008B57A3">
      <w:pPr>
        <w:jc w:val="left"/>
        <w:rPr>
          <w:rFonts w:ascii="Calibri" w:hAnsi="Calibri" w:cs="Arial"/>
          <w:b/>
          <w:bCs/>
          <w:kern w:val="32"/>
          <w:sz w:val="32"/>
          <w:szCs w:val="32"/>
          <w:u w:val="single"/>
        </w:rPr>
      </w:pPr>
      <w:r w:rsidRPr="007F67C6">
        <w:rPr>
          <w:rFonts w:ascii="Calibri" w:hAnsi="Calibri"/>
          <w:u w:val="single"/>
        </w:rPr>
        <w:br w:type="page"/>
      </w:r>
    </w:p>
    <w:p w:rsidR="008B57A3" w:rsidRPr="007F67C6" w:rsidRDefault="008B57A3" w:rsidP="008B57A3">
      <w:pPr>
        <w:pStyle w:val="Heading1"/>
        <w:rPr>
          <w:rFonts w:ascii="Calibri" w:hAnsi="Calibri"/>
          <w:b w:val="0"/>
          <w:bCs w:val="0"/>
          <w:i/>
          <w:sz w:val="28"/>
        </w:rPr>
      </w:pPr>
      <w:r w:rsidRPr="007F67C6">
        <w:rPr>
          <w:rFonts w:ascii="Calibri" w:hAnsi="Calibri"/>
          <w:i/>
          <w:sz w:val="28"/>
        </w:rPr>
        <w:lastRenderedPageBreak/>
        <w:t> </w:t>
      </w:r>
      <w:bookmarkStart w:id="48" w:name="_Toc530662770"/>
      <w:r w:rsidRPr="007F67C6">
        <w:rPr>
          <w:rFonts w:ascii="Calibri" w:hAnsi="Calibri"/>
          <w:u w:val="single"/>
        </w:rPr>
        <w:t>Guideline 10: UNCOUNTED SERVICES / SPREAD COSTS</w:t>
      </w:r>
      <w:bookmarkEnd w:id="48"/>
    </w:p>
    <w:p w:rsidR="008B57A3" w:rsidRPr="007F67C6" w:rsidRDefault="008B57A3" w:rsidP="008B57A3">
      <w:pPr>
        <w:rPr>
          <w:rFonts w:ascii="Calibri" w:hAnsi="Calibri"/>
          <w:b/>
          <w:bCs/>
          <w:i/>
          <w:sz w:val="16"/>
        </w:rPr>
      </w:pPr>
    </w:p>
    <w:p w:rsidR="003363BE" w:rsidRPr="007F67C6" w:rsidRDefault="003363BE" w:rsidP="008B57A3">
      <w:pPr>
        <w:rPr>
          <w:rFonts w:ascii="Calibri" w:hAnsi="Calibri"/>
          <w:b/>
          <w:bCs/>
          <w:i/>
          <w:sz w:val="16"/>
        </w:rPr>
      </w:pPr>
    </w:p>
    <w:p w:rsidR="008B57A3" w:rsidRPr="007F67C6" w:rsidRDefault="008B57A3" w:rsidP="008B57A3">
      <w:pPr>
        <w:spacing w:after="160" w:line="259" w:lineRule="auto"/>
        <w:jc w:val="left"/>
        <w:rPr>
          <w:rFonts w:ascii="Calibri" w:hAnsi="Calibri"/>
          <w:lang w:val="en-AU"/>
        </w:rPr>
      </w:pPr>
      <w:r w:rsidRPr="007F67C6">
        <w:rPr>
          <w:rFonts w:ascii="Calibri" w:hAnsi="Calibri"/>
          <w:lang w:val="en-AU"/>
        </w:rPr>
        <w:t>There are differences in practice and understanding of uncounted services and spread costs. This guideline aims to create better consistency whilst meeting the requirements of internal users of costed patient activity data as well as external reporting requirements such as NC</w:t>
      </w:r>
      <w:r w:rsidR="00D237C6" w:rsidRPr="007F67C6">
        <w:rPr>
          <w:rFonts w:ascii="Calibri" w:hAnsi="Calibri"/>
          <w:lang w:val="en-AU"/>
        </w:rPr>
        <w:t>C</w:t>
      </w:r>
      <w:r w:rsidRPr="007F67C6">
        <w:rPr>
          <w:rFonts w:ascii="Calibri" w:hAnsi="Calibri"/>
          <w:lang w:val="en-AU"/>
        </w:rPr>
        <w:t>P.</w:t>
      </w:r>
    </w:p>
    <w:p w:rsidR="003363BE" w:rsidRPr="007F67C6" w:rsidRDefault="003363BE" w:rsidP="008B57A3">
      <w:pPr>
        <w:spacing w:after="160" w:line="259" w:lineRule="auto"/>
        <w:jc w:val="left"/>
        <w:rPr>
          <w:rFonts w:ascii="Calibri" w:hAnsi="Calibri"/>
          <w:lang w:val="en-AU"/>
        </w:rPr>
      </w:pPr>
    </w:p>
    <w:p w:rsidR="003363BE" w:rsidRPr="007F67C6" w:rsidRDefault="00D237C6" w:rsidP="002D71FC">
      <w:pPr>
        <w:pStyle w:val="Heading3"/>
        <w:numPr>
          <w:ilvl w:val="0"/>
          <w:numId w:val="35"/>
        </w:numPr>
        <w:rPr>
          <w:rFonts w:eastAsia="Calibri"/>
          <w:lang w:val="en-AU"/>
        </w:rPr>
      </w:pPr>
      <w:bookmarkStart w:id="49" w:name="_Toc530662771"/>
      <w:r w:rsidRPr="007F67C6">
        <w:rPr>
          <w:rFonts w:eastAsia="Calibri"/>
          <w:lang w:val="en-AU"/>
        </w:rPr>
        <w:t>Non funded patient activity</w:t>
      </w:r>
      <w:bookmarkEnd w:id="49"/>
      <w:r w:rsidRPr="007F67C6">
        <w:rPr>
          <w:rFonts w:eastAsia="Calibri"/>
          <w:lang w:val="en-AU"/>
        </w:rPr>
        <w:t xml:space="preserve">    </w:t>
      </w:r>
    </w:p>
    <w:p w:rsidR="003363BE" w:rsidRPr="003363BE" w:rsidRDefault="003363BE" w:rsidP="003363BE"/>
    <w:p w:rsidR="00D237C6" w:rsidRPr="007F67C6" w:rsidRDefault="00D237C6" w:rsidP="003363BE">
      <w:pPr>
        <w:pStyle w:val="ListParagraph"/>
        <w:spacing w:after="160" w:line="259" w:lineRule="auto"/>
        <w:ind w:left="360"/>
        <w:contextualSpacing/>
        <w:rPr>
          <w:rFonts w:ascii="Calibri" w:hAnsi="Calibri"/>
          <w:lang w:val="en-AU"/>
        </w:rPr>
      </w:pPr>
      <w:r w:rsidRPr="007F67C6">
        <w:rPr>
          <w:rFonts w:ascii="Calibri" w:hAnsi="Calibri"/>
          <w:lang w:val="en-AU"/>
        </w:rPr>
        <w:t>For operational and national reporting purposes, several non-funded services are required to be costed using the same methodology as funded activity:</w:t>
      </w:r>
    </w:p>
    <w:p w:rsidR="00D237C6" w:rsidRPr="007F67C6" w:rsidRDefault="00D237C6" w:rsidP="00D237C6">
      <w:pPr>
        <w:numPr>
          <w:ilvl w:val="1"/>
          <w:numId w:val="19"/>
        </w:numPr>
        <w:spacing w:after="160" w:line="259" w:lineRule="auto"/>
        <w:jc w:val="left"/>
        <w:rPr>
          <w:rFonts w:ascii="Calibri" w:hAnsi="Calibri"/>
          <w:lang w:val="en-AU"/>
        </w:rPr>
      </w:pPr>
      <w:r w:rsidRPr="007F67C6">
        <w:rPr>
          <w:rFonts w:ascii="Calibri" w:hAnsi="Calibri"/>
          <w:lang w:val="en-AU"/>
        </w:rPr>
        <w:t>Cancelled Operations - Inpatients who for various reasons do not receive the treatment/surgery that they were admitted for.</w:t>
      </w:r>
    </w:p>
    <w:p w:rsidR="00D237C6" w:rsidRPr="007F67C6" w:rsidRDefault="00D237C6" w:rsidP="00D237C6">
      <w:pPr>
        <w:numPr>
          <w:ilvl w:val="1"/>
          <w:numId w:val="19"/>
        </w:numPr>
        <w:spacing w:after="160" w:line="259" w:lineRule="auto"/>
        <w:jc w:val="left"/>
        <w:rPr>
          <w:rFonts w:ascii="Calibri" w:hAnsi="Calibri"/>
          <w:lang w:val="en-AU"/>
        </w:rPr>
      </w:pPr>
      <w:r w:rsidRPr="007F67C6">
        <w:rPr>
          <w:rFonts w:ascii="Calibri" w:hAnsi="Calibri"/>
          <w:lang w:val="en-AU"/>
        </w:rPr>
        <w:t>Pre-assessment outpatient appointments which are a necessary part of an elective inpatient procedure booking, and historically considered to be part of the eventual WIES cost – sometimes the procedure booking does not proceed due to various reasons.</w:t>
      </w:r>
    </w:p>
    <w:p w:rsidR="00D237C6" w:rsidRPr="007F67C6" w:rsidRDefault="00D237C6" w:rsidP="00D237C6">
      <w:pPr>
        <w:numPr>
          <w:ilvl w:val="1"/>
          <w:numId w:val="19"/>
        </w:numPr>
        <w:spacing w:after="160" w:line="259" w:lineRule="auto"/>
        <w:jc w:val="left"/>
        <w:rPr>
          <w:rFonts w:ascii="Calibri" w:hAnsi="Calibri"/>
          <w:lang w:val="en-AU"/>
        </w:rPr>
      </w:pPr>
      <w:r w:rsidRPr="007F67C6">
        <w:rPr>
          <w:rFonts w:ascii="Calibri" w:hAnsi="Calibri"/>
          <w:lang w:val="en-AU"/>
        </w:rPr>
        <w:t>Admitted ED events where the patient presents acutely and proceeds to an acute inpatient admission. Note some DHBs do not differentiate the ED event costs but instead directly amalgamate all intermediate products to the inpatient event.</w:t>
      </w:r>
    </w:p>
    <w:p w:rsidR="00D237C6" w:rsidRDefault="00D237C6" w:rsidP="00D237C6">
      <w:pPr>
        <w:numPr>
          <w:ilvl w:val="1"/>
          <w:numId w:val="19"/>
        </w:numPr>
        <w:spacing w:after="160" w:line="259" w:lineRule="auto"/>
        <w:jc w:val="left"/>
        <w:rPr>
          <w:rFonts w:ascii="Calibri" w:hAnsi="Calibri"/>
          <w:lang w:val="en-AU"/>
        </w:rPr>
      </w:pPr>
      <w:r w:rsidRPr="007F67C6">
        <w:rPr>
          <w:rFonts w:ascii="Calibri" w:hAnsi="Calibri"/>
          <w:lang w:val="en-AU"/>
        </w:rPr>
        <w:t>OP appointments where the patient did not arrive and did not cancel prior to the appointment time. Depending on the service, these can have a reasonable cost. Note that some DHBs do not cost this activity as separate events while others consider that quantifying the cost of these wasted resources is important operationally.</w:t>
      </w:r>
    </w:p>
    <w:p w:rsidR="00A80F4D" w:rsidRPr="007F67C6" w:rsidRDefault="00A80F4D" w:rsidP="00A80F4D">
      <w:pPr>
        <w:spacing w:after="160" w:line="259" w:lineRule="auto"/>
        <w:ind w:left="792"/>
        <w:jc w:val="left"/>
        <w:rPr>
          <w:rFonts w:ascii="Calibri" w:hAnsi="Calibri"/>
          <w:lang w:val="en-AU"/>
        </w:rPr>
      </w:pPr>
    </w:p>
    <w:p w:rsidR="003363BE" w:rsidRPr="007F67C6" w:rsidRDefault="00D237C6" w:rsidP="002D71FC">
      <w:pPr>
        <w:pStyle w:val="Heading3"/>
        <w:numPr>
          <w:ilvl w:val="0"/>
          <w:numId w:val="35"/>
        </w:numPr>
        <w:rPr>
          <w:rFonts w:eastAsia="Calibri"/>
          <w:lang w:val="en-AU"/>
        </w:rPr>
      </w:pPr>
      <w:bookmarkStart w:id="50" w:name="_Toc530662772"/>
      <w:r w:rsidRPr="007F67C6">
        <w:rPr>
          <w:rFonts w:eastAsia="Calibri"/>
          <w:lang w:val="en-AU"/>
        </w:rPr>
        <w:t>Costs that are unable to be patient identifiable or complete</w:t>
      </w:r>
      <w:bookmarkEnd w:id="50"/>
      <w:r w:rsidRPr="007F67C6">
        <w:rPr>
          <w:rFonts w:eastAsia="Calibri"/>
          <w:lang w:val="en-AU"/>
        </w:rPr>
        <w:t xml:space="preserve"> </w:t>
      </w:r>
    </w:p>
    <w:p w:rsidR="003363BE" w:rsidRPr="003363BE" w:rsidRDefault="003363BE" w:rsidP="003363BE"/>
    <w:p w:rsidR="00D237C6" w:rsidRPr="007F67C6" w:rsidRDefault="00D237C6" w:rsidP="003363BE">
      <w:pPr>
        <w:pStyle w:val="ListParagraph"/>
        <w:spacing w:after="160" w:line="259" w:lineRule="auto"/>
        <w:ind w:left="360"/>
        <w:contextualSpacing/>
        <w:rPr>
          <w:rFonts w:ascii="Calibri" w:hAnsi="Calibri"/>
          <w:lang w:val="en-AU"/>
        </w:rPr>
      </w:pPr>
      <w:r w:rsidRPr="007F67C6">
        <w:rPr>
          <w:rFonts w:ascii="Calibri" w:hAnsi="Calibri"/>
          <w:lang w:val="en-AU"/>
        </w:rPr>
        <w:t xml:space="preserve">As well as the above types of patient events that are not directly funded but are distinct patient events with intermediate product activity and costs, there may also be GL costs for service delivery that is </w:t>
      </w:r>
      <w:r w:rsidRPr="007F67C6">
        <w:rPr>
          <w:rFonts w:ascii="Calibri" w:hAnsi="Calibri"/>
          <w:i/>
          <w:lang w:val="en-AU"/>
        </w:rPr>
        <w:t>unable to be defined</w:t>
      </w:r>
      <w:r w:rsidRPr="007F67C6">
        <w:rPr>
          <w:rFonts w:ascii="Calibri" w:hAnsi="Calibri"/>
          <w:lang w:val="en-AU"/>
        </w:rPr>
        <w:t xml:space="preserve"> to patient events:</w:t>
      </w:r>
    </w:p>
    <w:p w:rsidR="00D237C6" w:rsidRPr="007F67C6" w:rsidRDefault="00D237C6" w:rsidP="002D71FC">
      <w:pPr>
        <w:numPr>
          <w:ilvl w:val="1"/>
          <w:numId w:val="35"/>
        </w:numPr>
        <w:spacing w:after="160" w:line="259" w:lineRule="auto"/>
        <w:jc w:val="left"/>
        <w:rPr>
          <w:rFonts w:ascii="Calibri" w:hAnsi="Calibri"/>
          <w:lang w:val="en-AU"/>
        </w:rPr>
      </w:pPr>
      <w:r w:rsidRPr="007F67C6">
        <w:rPr>
          <w:rFonts w:ascii="Calibri" w:hAnsi="Calibri"/>
          <w:lang w:val="en-AU"/>
        </w:rPr>
        <w:t>Summary services - may be an amount of dollars that is known to cover several service based PUCs. May not be able to allocate to a specific PUC but is known that the pool of money relates to several service based PUCs.</w:t>
      </w:r>
    </w:p>
    <w:p w:rsidR="00D237C6" w:rsidRPr="007F67C6" w:rsidRDefault="00D237C6" w:rsidP="002D71FC">
      <w:pPr>
        <w:numPr>
          <w:ilvl w:val="1"/>
          <w:numId w:val="35"/>
        </w:numPr>
        <w:spacing w:after="160" w:line="259" w:lineRule="auto"/>
        <w:jc w:val="left"/>
        <w:rPr>
          <w:rFonts w:ascii="Calibri" w:hAnsi="Calibri"/>
          <w:lang w:val="en-AU"/>
        </w:rPr>
      </w:pPr>
      <w:r w:rsidRPr="007F67C6">
        <w:rPr>
          <w:rFonts w:ascii="Calibri" w:hAnsi="Calibri"/>
          <w:lang w:val="en-AU"/>
        </w:rPr>
        <w:t>Some intermediate products may be known to relate to a specific service such as sexual health but are unable to be matched to individual events because the NHI is not available for privacy reasons.</w:t>
      </w:r>
    </w:p>
    <w:p w:rsidR="00D237C6" w:rsidRPr="007F67C6" w:rsidRDefault="00D237C6" w:rsidP="002D71FC">
      <w:pPr>
        <w:numPr>
          <w:ilvl w:val="1"/>
          <w:numId w:val="35"/>
        </w:numPr>
        <w:spacing w:after="160" w:line="259" w:lineRule="auto"/>
        <w:jc w:val="left"/>
        <w:rPr>
          <w:rFonts w:ascii="Calibri" w:hAnsi="Calibri"/>
          <w:lang w:val="en-AU"/>
        </w:rPr>
      </w:pPr>
      <w:r w:rsidRPr="007F67C6">
        <w:rPr>
          <w:rFonts w:ascii="Calibri" w:hAnsi="Calibri"/>
          <w:lang w:val="en-AU"/>
        </w:rPr>
        <w:t>Joint ventures with specialist service providers where the DHB provides and pays for the facility and theatres or other service components but does not have GL visibility of the specialist costs (</w:t>
      </w:r>
      <w:proofErr w:type="spellStart"/>
      <w:r w:rsidRPr="007F67C6">
        <w:rPr>
          <w:rFonts w:ascii="Calibri" w:hAnsi="Calibri"/>
          <w:lang w:val="en-AU"/>
        </w:rPr>
        <w:t>eg</w:t>
      </w:r>
      <w:proofErr w:type="spellEnd"/>
      <w:r w:rsidRPr="007F67C6">
        <w:rPr>
          <w:rFonts w:ascii="Calibri" w:hAnsi="Calibri"/>
          <w:lang w:val="en-AU"/>
        </w:rPr>
        <w:t xml:space="preserve"> Urology Services in Midland).</w:t>
      </w:r>
    </w:p>
    <w:p w:rsidR="00D237C6" w:rsidRPr="007F67C6" w:rsidRDefault="00D237C6" w:rsidP="002D71FC">
      <w:pPr>
        <w:numPr>
          <w:ilvl w:val="1"/>
          <w:numId w:val="35"/>
        </w:numPr>
        <w:spacing w:after="160" w:line="259" w:lineRule="auto"/>
        <w:jc w:val="left"/>
        <w:rPr>
          <w:rFonts w:ascii="Calibri" w:hAnsi="Calibri"/>
          <w:lang w:val="en-AU"/>
        </w:rPr>
      </w:pPr>
      <w:r w:rsidRPr="007F67C6">
        <w:rPr>
          <w:rFonts w:ascii="Calibri" w:hAnsi="Calibri"/>
          <w:lang w:val="en-AU"/>
        </w:rPr>
        <w:lastRenderedPageBreak/>
        <w:t>Counted services where the cost is incomplete because some inputs are not provided directly by the DHB. This arises when one DHB (A) sees the patient for an assessment and another DHB (B) provides radiology, diagnostics ordered from that assessment. In some DHBs the amounts paid by DHB A to DHB B for the imaging is shown as a single “lump” of charges from other DHBs, with no automated way to identify which local patient events these radiology charges relate to.</w:t>
      </w:r>
    </w:p>
    <w:p w:rsidR="00D237C6" w:rsidRPr="00A80F4D" w:rsidRDefault="00D237C6" w:rsidP="002D71FC">
      <w:pPr>
        <w:pStyle w:val="Heading3"/>
        <w:numPr>
          <w:ilvl w:val="0"/>
          <w:numId w:val="35"/>
        </w:numPr>
        <w:rPr>
          <w:rFonts w:eastAsia="Calibri"/>
          <w:lang w:val="en-AU"/>
        </w:rPr>
      </w:pPr>
      <w:bookmarkStart w:id="51" w:name="_Toc530662773"/>
      <w:r w:rsidRPr="00A80F4D">
        <w:rPr>
          <w:rFonts w:eastAsia="Calibri"/>
          <w:lang w:val="en-AU"/>
        </w:rPr>
        <w:t>How to link and spread costs</w:t>
      </w:r>
      <w:bookmarkEnd w:id="51"/>
    </w:p>
    <w:p w:rsidR="003363BE" w:rsidRPr="003363BE" w:rsidRDefault="003363BE" w:rsidP="003363BE"/>
    <w:p w:rsidR="00D237C6" w:rsidRPr="007F67C6" w:rsidRDefault="00D237C6" w:rsidP="00A80F4D">
      <w:pPr>
        <w:pStyle w:val="ListParagraph"/>
        <w:spacing w:after="160" w:line="259" w:lineRule="auto"/>
        <w:ind w:left="792"/>
        <w:contextualSpacing/>
        <w:rPr>
          <w:rFonts w:ascii="Calibri" w:hAnsi="Calibri"/>
          <w:lang w:val="en-AU"/>
        </w:rPr>
      </w:pPr>
      <w:r w:rsidRPr="007F67C6">
        <w:rPr>
          <w:rFonts w:ascii="Calibri" w:hAnsi="Calibri"/>
          <w:u w:val="single"/>
          <w:lang w:val="en-AU"/>
        </w:rPr>
        <w:t>Linked costs</w:t>
      </w:r>
      <w:r w:rsidRPr="007F67C6">
        <w:rPr>
          <w:rFonts w:ascii="Calibri" w:hAnsi="Calibri"/>
          <w:lang w:val="en-AU"/>
        </w:rPr>
        <w:t xml:space="preserve"> – where a non-funded event has costs and can be directly linked to a </w:t>
      </w:r>
      <w:r w:rsidRPr="007F67C6">
        <w:rPr>
          <w:rFonts w:ascii="Calibri" w:hAnsi="Calibri"/>
          <w:b/>
          <w:i/>
          <w:lang w:val="en-AU"/>
        </w:rPr>
        <w:t>related</w:t>
      </w:r>
      <w:r w:rsidRPr="007F67C6">
        <w:rPr>
          <w:rFonts w:ascii="Calibri" w:hAnsi="Calibri"/>
          <w:b/>
          <w:lang w:val="en-AU"/>
        </w:rPr>
        <w:t xml:space="preserve"> </w:t>
      </w:r>
      <w:r w:rsidRPr="007F67C6">
        <w:rPr>
          <w:rFonts w:ascii="Calibri" w:hAnsi="Calibri"/>
          <w:lang w:val="en-AU"/>
        </w:rPr>
        <w:t>funded event for that patient NHI, the costs of the linked event (the child event) should simply be added to the “parent” funded event:</w:t>
      </w:r>
    </w:p>
    <w:p w:rsidR="003363BE" w:rsidRPr="007F67C6" w:rsidRDefault="003363BE" w:rsidP="003363BE">
      <w:pPr>
        <w:pStyle w:val="ListParagraph"/>
        <w:spacing w:after="160" w:line="259" w:lineRule="auto"/>
        <w:ind w:left="792"/>
        <w:contextualSpacing/>
        <w:rPr>
          <w:rFonts w:ascii="Calibri" w:hAnsi="Calibri"/>
          <w:lang w:val="en-AU"/>
        </w:rPr>
      </w:pPr>
    </w:p>
    <w:p w:rsidR="00D237C6" w:rsidRDefault="00D237C6" w:rsidP="00A80F4D">
      <w:pPr>
        <w:pStyle w:val="ListParagraph"/>
        <w:numPr>
          <w:ilvl w:val="2"/>
          <w:numId w:val="26"/>
        </w:numPr>
        <w:spacing w:after="160" w:line="259" w:lineRule="auto"/>
        <w:contextualSpacing/>
        <w:rPr>
          <w:rFonts w:ascii="Calibri" w:hAnsi="Calibri"/>
          <w:lang w:val="en-AU"/>
        </w:rPr>
      </w:pPr>
      <w:r w:rsidRPr="007F67C6">
        <w:rPr>
          <w:rFonts w:ascii="Calibri" w:hAnsi="Calibri"/>
          <w:lang w:val="en-AU"/>
        </w:rPr>
        <w:t>ED admitted events linked to the acute IP event.</w:t>
      </w:r>
    </w:p>
    <w:p w:rsidR="00A80F4D" w:rsidRPr="007F67C6" w:rsidRDefault="00A80F4D" w:rsidP="00A80F4D">
      <w:pPr>
        <w:pStyle w:val="ListParagraph"/>
        <w:spacing w:after="160" w:line="259" w:lineRule="auto"/>
        <w:ind w:left="1224"/>
        <w:contextualSpacing/>
        <w:rPr>
          <w:rFonts w:ascii="Calibri" w:hAnsi="Calibri"/>
          <w:lang w:val="en-AU"/>
        </w:rPr>
      </w:pPr>
    </w:p>
    <w:p w:rsidR="00D237C6" w:rsidRPr="007F67C6" w:rsidRDefault="00D237C6" w:rsidP="00A80F4D">
      <w:pPr>
        <w:pStyle w:val="ListParagraph"/>
        <w:numPr>
          <w:ilvl w:val="2"/>
          <w:numId w:val="26"/>
        </w:numPr>
        <w:spacing w:after="160" w:line="259" w:lineRule="auto"/>
        <w:contextualSpacing/>
        <w:rPr>
          <w:rFonts w:ascii="Calibri" w:hAnsi="Calibri"/>
          <w:lang w:val="en-AU"/>
        </w:rPr>
      </w:pPr>
      <w:r w:rsidRPr="007F67C6">
        <w:rPr>
          <w:rFonts w:ascii="Calibri" w:hAnsi="Calibri"/>
          <w:lang w:val="en-AU"/>
        </w:rPr>
        <w:t xml:space="preserve">Pre-assessment event linked to the inpatient event </w:t>
      </w:r>
      <w:r w:rsidRPr="007F67C6">
        <w:rPr>
          <w:rFonts w:ascii="Calibri" w:hAnsi="Calibri"/>
          <w:b/>
          <w:i/>
          <w:lang w:val="en-AU"/>
        </w:rPr>
        <w:t>if it occurs</w:t>
      </w:r>
      <w:r w:rsidRPr="007F67C6">
        <w:rPr>
          <w:rFonts w:ascii="Calibri" w:hAnsi="Calibri"/>
          <w:lang w:val="en-AU"/>
        </w:rPr>
        <w:t xml:space="preserve">. </w:t>
      </w:r>
      <w:r w:rsidRPr="007F67C6">
        <w:rPr>
          <w:rFonts w:ascii="Calibri" w:hAnsi="Calibri"/>
          <w:u w:val="single"/>
          <w:lang w:val="en-AU"/>
        </w:rPr>
        <w:t xml:space="preserve">Note </w:t>
      </w:r>
      <w:r w:rsidR="003363BE" w:rsidRPr="007F67C6">
        <w:rPr>
          <w:rFonts w:ascii="Calibri" w:hAnsi="Calibri"/>
          <w:u w:val="single"/>
          <w:lang w:val="en-AU"/>
        </w:rPr>
        <w:t>to consider</w:t>
      </w:r>
      <w:r w:rsidRPr="007F67C6">
        <w:rPr>
          <w:rFonts w:ascii="Calibri" w:hAnsi="Calibri"/>
          <w:u w:val="single"/>
          <w:lang w:val="en-AU"/>
        </w:rPr>
        <w:t>:</w:t>
      </w:r>
      <w:r w:rsidRPr="007F67C6">
        <w:rPr>
          <w:rFonts w:ascii="Calibri" w:hAnsi="Calibri"/>
          <w:lang w:val="en-AU"/>
        </w:rPr>
        <w:t xml:space="preserve"> the pre-assessment is “ordered” from the OP specialist assessment where it was determined that treatment is the best option for the patient – from a clinical workflow perspective is it more appropriately linked to the OP assessment or referral prioritisation process? What would be the impact on </w:t>
      </w:r>
      <w:proofErr w:type="spellStart"/>
      <w:r w:rsidRPr="007F67C6">
        <w:rPr>
          <w:rFonts w:ascii="Calibri" w:hAnsi="Calibri"/>
          <w:lang w:val="en-AU"/>
        </w:rPr>
        <w:t>casemix</w:t>
      </w:r>
      <w:proofErr w:type="spellEnd"/>
      <w:r w:rsidRPr="007F67C6">
        <w:rPr>
          <w:rFonts w:ascii="Calibri" w:hAnsi="Calibri"/>
          <w:lang w:val="en-AU"/>
        </w:rPr>
        <w:t xml:space="preserve"> and outpatient costs?</w:t>
      </w:r>
    </w:p>
    <w:p w:rsidR="00D237C6" w:rsidRDefault="00D237C6" w:rsidP="00A80F4D">
      <w:pPr>
        <w:pStyle w:val="ListParagraph"/>
        <w:numPr>
          <w:ilvl w:val="2"/>
          <w:numId w:val="26"/>
        </w:numPr>
        <w:spacing w:after="160" w:line="259" w:lineRule="auto"/>
        <w:contextualSpacing/>
        <w:rPr>
          <w:rFonts w:ascii="Calibri" w:hAnsi="Calibri"/>
          <w:lang w:val="en-AU"/>
        </w:rPr>
      </w:pPr>
      <w:r w:rsidRPr="007F67C6">
        <w:rPr>
          <w:rFonts w:ascii="Calibri" w:hAnsi="Calibri"/>
          <w:lang w:val="en-AU"/>
        </w:rPr>
        <w:t>Cancelled operation events are linked to the next subsequent elective admission for that procedure. Note that this admission may never occur.</w:t>
      </w:r>
    </w:p>
    <w:p w:rsidR="00A80F4D" w:rsidRPr="007F67C6" w:rsidRDefault="00A80F4D" w:rsidP="00A80F4D">
      <w:pPr>
        <w:pStyle w:val="ListParagraph"/>
        <w:spacing w:after="160" w:line="259" w:lineRule="auto"/>
        <w:ind w:left="1224"/>
        <w:contextualSpacing/>
        <w:rPr>
          <w:rFonts w:ascii="Calibri" w:hAnsi="Calibri"/>
          <w:lang w:val="en-AU"/>
        </w:rPr>
      </w:pPr>
    </w:p>
    <w:p w:rsidR="00D237C6" w:rsidRPr="007F67C6" w:rsidRDefault="00D237C6" w:rsidP="00A80F4D">
      <w:pPr>
        <w:pStyle w:val="ListParagraph"/>
        <w:numPr>
          <w:ilvl w:val="2"/>
          <w:numId w:val="26"/>
        </w:numPr>
        <w:spacing w:after="160" w:line="259" w:lineRule="auto"/>
        <w:contextualSpacing/>
        <w:rPr>
          <w:rFonts w:ascii="Calibri" w:hAnsi="Calibri"/>
          <w:lang w:val="en-AU"/>
        </w:rPr>
      </w:pPr>
      <w:r w:rsidRPr="007F67C6">
        <w:rPr>
          <w:rFonts w:ascii="Calibri" w:hAnsi="Calibri"/>
          <w:lang w:val="en-AU"/>
        </w:rPr>
        <w:t>DNA OP events are linked to the prior or next OP attendance for that patient in that Health specialty. Note that the patient may never attend.</w:t>
      </w:r>
    </w:p>
    <w:p w:rsidR="00D237C6" w:rsidRPr="007F67C6" w:rsidRDefault="00D237C6" w:rsidP="00D237C6">
      <w:pPr>
        <w:rPr>
          <w:rFonts w:ascii="Calibri" w:hAnsi="Calibri"/>
          <w:lang w:val="en-AU"/>
        </w:rPr>
      </w:pPr>
    </w:p>
    <w:p w:rsidR="00A80F4D" w:rsidRDefault="00D237C6" w:rsidP="00A80F4D">
      <w:pPr>
        <w:pStyle w:val="ListParagraph"/>
        <w:rPr>
          <w:rFonts w:ascii="Calibri" w:hAnsi="Calibri"/>
        </w:rPr>
      </w:pPr>
      <w:r w:rsidRPr="00A80F4D">
        <w:rPr>
          <w:rFonts w:ascii="Calibri" w:hAnsi="Calibri"/>
          <w:u w:val="single"/>
          <w:lang w:val="en-AU"/>
        </w:rPr>
        <w:t>Spread costs</w:t>
      </w:r>
      <w:r w:rsidR="007F67C6" w:rsidRPr="00A80F4D">
        <w:rPr>
          <w:rFonts w:ascii="Calibri" w:hAnsi="Calibri"/>
        </w:rPr>
        <w:t xml:space="preserve"> - </w:t>
      </w:r>
      <w:r w:rsidRPr="00A80F4D">
        <w:rPr>
          <w:rFonts w:ascii="Calibri" w:hAnsi="Calibri"/>
        </w:rPr>
        <w:t xml:space="preserve">where the non-funded event does not have a related funded event OR there is a lump of GL cost not identifiable to specific NHI events. </w:t>
      </w:r>
    </w:p>
    <w:p w:rsidR="00A80F4D" w:rsidRDefault="00A80F4D" w:rsidP="00A80F4D">
      <w:pPr>
        <w:pStyle w:val="ListParagraph"/>
        <w:rPr>
          <w:rFonts w:ascii="Calibri" w:hAnsi="Calibri"/>
        </w:rPr>
      </w:pPr>
    </w:p>
    <w:p w:rsidR="003363BE" w:rsidRDefault="00D237C6" w:rsidP="00A80F4D">
      <w:pPr>
        <w:pStyle w:val="ListParagraph"/>
        <w:rPr>
          <w:rFonts w:ascii="Calibri" w:hAnsi="Calibri"/>
        </w:rPr>
      </w:pPr>
      <w:r w:rsidRPr="00A80F4D">
        <w:rPr>
          <w:rFonts w:ascii="Calibri" w:hAnsi="Calibri"/>
        </w:rPr>
        <w:t>Examples include:</w:t>
      </w:r>
    </w:p>
    <w:p w:rsidR="00A80F4D" w:rsidRPr="007F67C6" w:rsidRDefault="00A80F4D" w:rsidP="00A80F4D">
      <w:pPr>
        <w:pStyle w:val="ListParagraph"/>
        <w:rPr>
          <w:rFonts w:ascii="Calibri" w:hAnsi="Calibri"/>
          <w:lang w:val="en-AU"/>
        </w:rPr>
      </w:pPr>
    </w:p>
    <w:p w:rsidR="00D23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Cancelled Operations, DNA and pre-assessments where there is no funded event.</w:t>
      </w:r>
    </w:p>
    <w:p w:rsidR="00A80F4D" w:rsidRPr="007F67C6" w:rsidRDefault="00A80F4D" w:rsidP="00A80F4D">
      <w:pPr>
        <w:pStyle w:val="ListParagraph"/>
        <w:spacing w:after="160" w:line="259" w:lineRule="auto"/>
        <w:ind w:left="1224"/>
        <w:contextualSpacing/>
        <w:rPr>
          <w:rFonts w:ascii="Calibri" w:hAnsi="Calibri"/>
          <w:lang w:val="en-AU"/>
        </w:rPr>
      </w:pP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 xml:space="preserve">GL charges from other DHBs or organisations where the charge is for a patient delivered service but the NHI is not available. Note that the nature of these service charges must be known and identified; preferably to PUCs or at least to service/specialty pools and patient settings. May include some outsourced services. </w:t>
      </w:r>
    </w:p>
    <w:p w:rsidR="00D237C6" w:rsidRPr="007F67C6" w:rsidRDefault="00D237C6" w:rsidP="00D237C6">
      <w:pPr>
        <w:pStyle w:val="ListParagraph"/>
        <w:ind w:left="1224"/>
        <w:rPr>
          <w:rFonts w:ascii="Calibri" w:hAnsi="Calibri"/>
          <w:lang w:val="en-AU"/>
        </w:rPr>
      </w:pPr>
    </w:p>
    <w:p w:rsidR="00D237C6" w:rsidRPr="007F67C6" w:rsidRDefault="00D237C6" w:rsidP="00A80F4D">
      <w:pPr>
        <w:pStyle w:val="ListParagraph"/>
        <w:spacing w:after="160" w:line="259" w:lineRule="auto"/>
        <w:ind w:left="792"/>
        <w:contextualSpacing/>
        <w:rPr>
          <w:rFonts w:ascii="Calibri" w:hAnsi="Calibri"/>
          <w:u w:val="single"/>
          <w:lang w:val="en-AU"/>
        </w:rPr>
      </w:pPr>
      <w:r w:rsidRPr="007F67C6">
        <w:rPr>
          <w:rFonts w:ascii="Calibri" w:hAnsi="Calibri"/>
          <w:u w:val="single"/>
          <w:lang w:val="en-AU"/>
        </w:rPr>
        <w:t>Basis of spread:</w:t>
      </w:r>
    </w:p>
    <w:p w:rsidR="003363BE" w:rsidRPr="007F67C6" w:rsidRDefault="003363BE" w:rsidP="003363BE">
      <w:pPr>
        <w:pStyle w:val="ListParagraph"/>
        <w:spacing w:after="160" w:line="259" w:lineRule="auto"/>
        <w:ind w:left="792"/>
        <w:contextualSpacing/>
        <w:rPr>
          <w:rFonts w:ascii="Calibri" w:hAnsi="Calibri"/>
          <w:u w:val="single"/>
          <w:lang w:val="en-AU"/>
        </w:rPr>
      </w:pPr>
    </w:p>
    <w:p w:rsidR="00D237C6" w:rsidRPr="007F67C6" w:rsidRDefault="00D237C6" w:rsidP="00A80F4D">
      <w:pPr>
        <w:pStyle w:val="ListParagraph"/>
        <w:spacing w:after="160" w:line="259" w:lineRule="auto"/>
        <w:ind w:left="1224"/>
        <w:contextualSpacing/>
        <w:rPr>
          <w:rFonts w:ascii="Calibri" w:hAnsi="Calibri"/>
          <w:lang w:val="en-AU"/>
        </w:rPr>
      </w:pPr>
      <w:r w:rsidRPr="007F67C6">
        <w:rPr>
          <w:rFonts w:ascii="Calibri" w:hAnsi="Calibri"/>
          <w:lang w:val="en-AU"/>
        </w:rPr>
        <w:t xml:space="preserve">Amalgamate all the spread costs for a specific PUC and identify these to CS7 cost pools. Spread to counted, funded events within the PUC on a pro-rata basis calculated on the following (for discussion). Note that pre-assessments and cancelled operations should </w:t>
      </w:r>
      <w:r w:rsidRPr="007F67C6">
        <w:rPr>
          <w:rFonts w:ascii="Calibri" w:hAnsi="Calibri"/>
          <w:lang w:val="en-AU"/>
        </w:rPr>
        <w:lastRenderedPageBreak/>
        <w:t xml:space="preserve">only be spread to elective inpatient </w:t>
      </w:r>
      <w:proofErr w:type="spellStart"/>
      <w:r w:rsidRPr="007F67C6">
        <w:rPr>
          <w:rFonts w:ascii="Calibri" w:hAnsi="Calibri"/>
          <w:lang w:val="en-AU"/>
        </w:rPr>
        <w:t>casemix</w:t>
      </w:r>
      <w:proofErr w:type="spellEnd"/>
      <w:r w:rsidRPr="007F67C6">
        <w:rPr>
          <w:rFonts w:ascii="Calibri" w:hAnsi="Calibri"/>
          <w:lang w:val="en-AU"/>
        </w:rPr>
        <w:t xml:space="preserve"> events in the same specialty. Spread on the basis of;</w:t>
      </w:r>
    </w:p>
    <w:p w:rsidR="003363BE" w:rsidRPr="007F67C6" w:rsidRDefault="003363BE" w:rsidP="003363BE">
      <w:pPr>
        <w:pStyle w:val="ListParagraph"/>
        <w:spacing w:after="160" w:line="259" w:lineRule="auto"/>
        <w:ind w:left="1224"/>
        <w:contextualSpacing/>
        <w:rPr>
          <w:rFonts w:ascii="Calibri" w:hAnsi="Calibri"/>
          <w:lang w:val="en-AU"/>
        </w:rPr>
      </w:pP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The total event cost for each CS7 group in the spread costs</w:t>
      </w: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The total event costs</w:t>
      </w: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The total event volumes (evenly spread)</w:t>
      </w:r>
    </w:p>
    <w:p w:rsidR="00D237C6" w:rsidRPr="007F67C6" w:rsidRDefault="00D237C6" w:rsidP="00D237C6">
      <w:pPr>
        <w:rPr>
          <w:rFonts w:ascii="Calibri" w:hAnsi="Calibri"/>
          <w:lang w:val="en-AU"/>
        </w:rPr>
      </w:pPr>
    </w:p>
    <w:p w:rsidR="00D237C6" w:rsidRPr="00A80F4D" w:rsidRDefault="00D237C6" w:rsidP="002D71FC">
      <w:pPr>
        <w:pStyle w:val="Heading3"/>
        <w:numPr>
          <w:ilvl w:val="0"/>
          <w:numId w:val="35"/>
        </w:numPr>
        <w:rPr>
          <w:rFonts w:eastAsia="Calibri"/>
          <w:lang w:val="en-AU"/>
        </w:rPr>
      </w:pPr>
      <w:bookmarkStart w:id="52" w:name="_Toc530662774"/>
      <w:r w:rsidRPr="00A80F4D">
        <w:rPr>
          <w:rFonts w:eastAsia="Calibri"/>
          <w:lang w:val="en-AU"/>
        </w:rPr>
        <w:t>Patient activity that can only be reported at summary PUC level</w:t>
      </w:r>
      <w:bookmarkEnd w:id="52"/>
    </w:p>
    <w:p w:rsidR="003363BE" w:rsidRPr="00A80F4D" w:rsidRDefault="003363BE" w:rsidP="00A80F4D">
      <w:pPr>
        <w:pStyle w:val="ListParagraph"/>
        <w:spacing w:after="160" w:line="259" w:lineRule="auto"/>
        <w:ind w:left="1224"/>
        <w:contextualSpacing/>
        <w:rPr>
          <w:rFonts w:ascii="Calibri" w:hAnsi="Calibri"/>
          <w:lang w:val="en-AU"/>
        </w:rPr>
      </w:pPr>
    </w:p>
    <w:p w:rsidR="00D23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Purchased services that are contracted at a service or program unit of measure.</w:t>
      </w:r>
    </w:p>
    <w:p w:rsidR="00D23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Purchased services that are counted on an input unit of measure basis such as FTEs for Mental Health</w:t>
      </w: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Purchased services that are contracted on a capacity basis such as available bed days and school enrolments.</w:t>
      </w: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Purchased services where the patient NHI is not available due to privacy concerns such as Sexual Health.</w:t>
      </w:r>
    </w:p>
    <w:p w:rsidR="00D237C6" w:rsidRPr="007F67C6" w:rsidRDefault="00D237C6" w:rsidP="00D237C6">
      <w:pPr>
        <w:pStyle w:val="ListParagraph"/>
        <w:ind w:left="792"/>
        <w:rPr>
          <w:rFonts w:ascii="Calibri" w:hAnsi="Calibri"/>
          <w:lang w:val="en-AU"/>
        </w:rPr>
      </w:pPr>
    </w:p>
    <w:p w:rsidR="00D237C6" w:rsidRDefault="00D237C6" w:rsidP="002D71FC">
      <w:pPr>
        <w:pStyle w:val="Heading3"/>
        <w:numPr>
          <w:ilvl w:val="0"/>
          <w:numId w:val="35"/>
        </w:numPr>
        <w:rPr>
          <w:rFonts w:eastAsia="Calibri"/>
          <w:lang w:val="en-AU"/>
        </w:rPr>
      </w:pPr>
      <w:bookmarkStart w:id="53" w:name="_Toc530662775"/>
      <w:r w:rsidRPr="00A80F4D">
        <w:rPr>
          <w:rFonts w:eastAsia="Calibri"/>
          <w:lang w:val="en-AU"/>
        </w:rPr>
        <w:t>Uncounted services</w:t>
      </w:r>
      <w:bookmarkEnd w:id="53"/>
      <w:r w:rsidRPr="00A80F4D">
        <w:rPr>
          <w:rFonts w:eastAsia="Calibri"/>
          <w:lang w:val="en-AU"/>
        </w:rPr>
        <w:t xml:space="preserve"> </w:t>
      </w:r>
    </w:p>
    <w:p w:rsidR="00A80F4D" w:rsidRPr="00A80F4D" w:rsidRDefault="00A80F4D" w:rsidP="00A80F4D">
      <w:pPr>
        <w:pStyle w:val="ListParagraph"/>
        <w:spacing w:after="160" w:line="259" w:lineRule="auto"/>
        <w:ind w:left="360"/>
        <w:contextualSpacing/>
        <w:rPr>
          <w:rFonts w:ascii="Calibri" w:eastAsia="Calibri" w:hAnsi="Calibri"/>
          <w:b/>
          <w:szCs w:val="22"/>
          <w:lang w:val="en-AU" w:eastAsia="en-US"/>
        </w:rPr>
      </w:pPr>
    </w:p>
    <w:p w:rsidR="00D237C6" w:rsidRPr="007F67C6" w:rsidRDefault="00D237C6" w:rsidP="00D237C6">
      <w:pPr>
        <w:pStyle w:val="ListParagraph"/>
        <w:ind w:left="792"/>
        <w:rPr>
          <w:rFonts w:ascii="Calibri" w:hAnsi="Calibri"/>
          <w:lang w:val="en-AU"/>
        </w:rPr>
      </w:pPr>
      <w:r w:rsidRPr="007F67C6">
        <w:rPr>
          <w:rFonts w:ascii="Calibri" w:hAnsi="Calibri"/>
          <w:lang w:val="en-AU"/>
        </w:rPr>
        <w:t>These should only occur;</w:t>
      </w:r>
    </w:p>
    <w:p w:rsidR="003363BE" w:rsidRPr="007F67C6" w:rsidRDefault="003363BE" w:rsidP="00D237C6">
      <w:pPr>
        <w:pStyle w:val="ListParagraph"/>
        <w:ind w:left="792"/>
        <w:rPr>
          <w:rFonts w:ascii="Calibri" w:hAnsi="Calibri"/>
          <w:lang w:val="en-AU"/>
        </w:rPr>
      </w:pPr>
    </w:p>
    <w:p w:rsidR="00D23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Where the DHB cannot measure events/costs using the PUDD national unit of measure OR the DHB Funder has contracted that PUC at a UOM that is different from the national measure.</w:t>
      </w:r>
    </w:p>
    <w:p w:rsidR="00A80F4D" w:rsidRPr="007F67C6" w:rsidRDefault="00A80F4D" w:rsidP="00A80F4D">
      <w:pPr>
        <w:pStyle w:val="ListParagraph"/>
        <w:spacing w:after="160" w:line="259" w:lineRule="auto"/>
        <w:ind w:left="1224"/>
        <w:contextualSpacing/>
        <w:rPr>
          <w:rFonts w:ascii="Calibri" w:hAnsi="Calibri"/>
          <w:lang w:val="en-AU"/>
        </w:rPr>
      </w:pPr>
    </w:p>
    <w:p w:rsidR="00A80F4D"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 xml:space="preserve">Where the DHB has not incurred the total cost of all components that are expected to constitute the funded service delivery, and is unable to adjust provider arm costs to reflect that. </w:t>
      </w:r>
    </w:p>
    <w:p w:rsidR="00A80F4D" w:rsidRDefault="00A80F4D" w:rsidP="00A80F4D">
      <w:pPr>
        <w:pStyle w:val="ListParagraph"/>
        <w:spacing w:after="160" w:line="259" w:lineRule="auto"/>
        <w:ind w:left="792"/>
        <w:contextualSpacing/>
        <w:rPr>
          <w:rFonts w:ascii="Calibri" w:hAnsi="Calibri"/>
          <w:lang w:val="en-AU"/>
        </w:rPr>
      </w:pPr>
    </w:p>
    <w:p w:rsidR="00A80F4D" w:rsidRDefault="00D237C6" w:rsidP="00A80F4D">
      <w:pPr>
        <w:pStyle w:val="ListParagraph"/>
        <w:spacing w:after="160" w:line="259" w:lineRule="auto"/>
        <w:ind w:left="792"/>
        <w:contextualSpacing/>
        <w:rPr>
          <w:rFonts w:ascii="Calibri" w:hAnsi="Calibri"/>
          <w:lang w:val="en-AU"/>
        </w:rPr>
      </w:pPr>
      <w:r w:rsidRPr="007F67C6">
        <w:rPr>
          <w:rFonts w:ascii="Calibri" w:hAnsi="Calibri"/>
          <w:lang w:val="en-AU"/>
        </w:rPr>
        <w:t>Examples:</w:t>
      </w:r>
    </w:p>
    <w:p w:rsidR="00A80F4D" w:rsidRDefault="00A80F4D" w:rsidP="00A80F4D">
      <w:pPr>
        <w:pStyle w:val="ListParagraph"/>
        <w:spacing w:after="160" w:line="259" w:lineRule="auto"/>
        <w:ind w:left="792"/>
        <w:contextualSpacing/>
        <w:rPr>
          <w:rFonts w:ascii="Calibri" w:hAnsi="Calibri"/>
          <w:lang w:val="en-AU"/>
        </w:rPr>
      </w:pPr>
    </w:p>
    <w:p w:rsidR="00D237C6" w:rsidRDefault="00D237C6" w:rsidP="00A80F4D">
      <w:pPr>
        <w:pStyle w:val="ListParagraph"/>
        <w:numPr>
          <w:ilvl w:val="2"/>
          <w:numId w:val="27"/>
        </w:numPr>
        <w:spacing w:after="160" w:line="259" w:lineRule="auto"/>
        <w:contextualSpacing/>
        <w:rPr>
          <w:rFonts w:ascii="Calibri" w:hAnsi="Calibri"/>
          <w:lang w:val="en-AU"/>
        </w:rPr>
      </w:pPr>
      <w:r w:rsidRPr="00A80F4D">
        <w:rPr>
          <w:rFonts w:ascii="Calibri" w:hAnsi="Calibri"/>
          <w:lang w:val="en-AU"/>
        </w:rPr>
        <w:t>The DHB Funder may contract an entire service provision separately. However for some services such as private laboratory, the amount of the contract that relates to Provider Arm is known and able to be brought into the costing system using totals from PVS – negative price adjuster to Provider revenue.</w:t>
      </w:r>
    </w:p>
    <w:p w:rsidR="00A80F4D" w:rsidRPr="00A80F4D" w:rsidRDefault="00A80F4D" w:rsidP="00A80F4D">
      <w:pPr>
        <w:pStyle w:val="ListParagraph"/>
        <w:spacing w:after="160" w:line="259" w:lineRule="auto"/>
        <w:ind w:left="1224"/>
        <w:contextualSpacing/>
        <w:rPr>
          <w:rFonts w:ascii="Calibri" w:hAnsi="Calibri"/>
          <w:lang w:val="en-AU"/>
        </w:rPr>
      </w:pPr>
    </w:p>
    <w:p w:rsidR="00D237C6" w:rsidRPr="007F67C6" w:rsidRDefault="00D237C6" w:rsidP="00A80F4D">
      <w:pPr>
        <w:pStyle w:val="ListParagraph"/>
        <w:numPr>
          <w:ilvl w:val="2"/>
          <w:numId w:val="27"/>
        </w:numPr>
        <w:spacing w:after="160" w:line="259" w:lineRule="auto"/>
        <w:contextualSpacing/>
        <w:rPr>
          <w:rFonts w:ascii="Calibri" w:hAnsi="Calibri"/>
          <w:lang w:val="en-AU"/>
        </w:rPr>
      </w:pPr>
      <w:r w:rsidRPr="007F67C6">
        <w:rPr>
          <w:rFonts w:ascii="Calibri" w:hAnsi="Calibri"/>
          <w:lang w:val="en-AU"/>
        </w:rPr>
        <w:t>Where the Provider subcontracts to another provider, if the total cost is not known the service is subsequently uncountable.</w:t>
      </w:r>
    </w:p>
    <w:p w:rsidR="003964B6" w:rsidRDefault="003964B6" w:rsidP="007650AA">
      <w:pPr>
        <w:pStyle w:val="Heading1"/>
        <w:jc w:val="left"/>
        <w:rPr>
          <w:rFonts w:ascii="Calibri" w:hAnsi="Calibri"/>
          <w:u w:val="single"/>
        </w:rPr>
      </w:pPr>
    </w:p>
    <w:p w:rsidR="007D2AC8" w:rsidRDefault="007D2AC8" w:rsidP="007D2AC8"/>
    <w:p w:rsidR="007D2AC8" w:rsidRPr="001841D8" w:rsidRDefault="001841D8" w:rsidP="004D6EA9">
      <w:pPr>
        <w:pStyle w:val="Heading1"/>
        <w:rPr>
          <w:rFonts w:asciiTheme="minorHAnsi" w:hAnsiTheme="minorHAnsi"/>
          <w:u w:val="single"/>
        </w:rPr>
      </w:pPr>
      <w:bookmarkStart w:id="54" w:name="_Toc530662776"/>
      <w:r>
        <w:rPr>
          <w:rFonts w:asciiTheme="minorHAnsi" w:hAnsiTheme="minorHAnsi"/>
          <w:u w:val="single"/>
        </w:rPr>
        <w:lastRenderedPageBreak/>
        <w:t xml:space="preserve">Guideline 11: </w:t>
      </w:r>
      <w:r w:rsidR="00315382">
        <w:rPr>
          <w:rFonts w:asciiTheme="minorHAnsi" w:hAnsiTheme="minorHAnsi"/>
          <w:u w:val="single"/>
        </w:rPr>
        <w:t xml:space="preserve">AMBULANCE / </w:t>
      </w:r>
      <w:r w:rsidR="007D2AC8" w:rsidRPr="001841D8">
        <w:rPr>
          <w:rFonts w:asciiTheme="minorHAnsi" w:hAnsiTheme="minorHAnsi"/>
          <w:u w:val="single"/>
        </w:rPr>
        <w:t>PATIENT TRANSPORT S</w:t>
      </w:r>
      <w:bookmarkEnd w:id="54"/>
      <w:r w:rsidR="00315382">
        <w:rPr>
          <w:rFonts w:asciiTheme="minorHAnsi" w:hAnsiTheme="minorHAnsi"/>
          <w:u w:val="single"/>
        </w:rPr>
        <w:t>ERVICES</w:t>
      </w:r>
    </w:p>
    <w:p w:rsidR="007D2AC8" w:rsidRPr="007D2AC8" w:rsidRDefault="007D2AC8" w:rsidP="007D2AC8">
      <w:pPr>
        <w:rPr>
          <w:b/>
          <w:sz w:val="32"/>
        </w:rPr>
      </w:pPr>
    </w:p>
    <w:p w:rsidR="007D2AC8" w:rsidRPr="007D2AC8" w:rsidRDefault="007D2AC8" w:rsidP="007D2AC8">
      <w:pPr>
        <w:numPr>
          <w:ilvl w:val="0"/>
          <w:numId w:val="32"/>
        </w:numPr>
        <w:jc w:val="left"/>
        <w:rPr>
          <w:rFonts w:ascii="Calibri" w:eastAsia="Calibri" w:hAnsi="Calibri"/>
        </w:rPr>
      </w:pPr>
      <w:r w:rsidRPr="007D2AC8">
        <w:rPr>
          <w:rFonts w:ascii="Calibri" w:eastAsia="Calibri" w:hAnsi="Calibri"/>
        </w:rPr>
        <w:t>There are several ways that patients are transported to and from healthcare facilities to receive treatment. Transport may be by road, air, other ambulance or health shuttle service, by public transport or by private car.  Broadly speaking these transport costs can be categorised as follows:</w:t>
      </w:r>
    </w:p>
    <w:p w:rsidR="007D2AC8" w:rsidRPr="007D2AC8" w:rsidRDefault="007D2AC8" w:rsidP="007D2AC8">
      <w:pPr>
        <w:jc w:val="left"/>
        <w:rPr>
          <w:rFonts w:ascii="Calibri" w:eastAsia="Calibri" w:hAnsi="Calibri"/>
        </w:rPr>
      </w:pPr>
    </w:p>
    <w:tbl>
      <w:tblPr>
        <w:tblStyle w:val="TableGrid1"/>
        <w:tblW w:w="5000" w:type="pct"/>
        <w:tblLook w:val="04A0" w:firstRow="1" w:lastRow="0" w:firstColumn="1" w:lastColumn="0" w:noHBand="0" w:noVBand="1"/>
      </w:tblPr>
      <w:tblGrid>
        <w:gridCol w:w="489"/>
        <w:gridCol w:w="4990"/>
        <w:gridCol w:w="4256"/>
      </w:tblGrid>
      <w:tr w:rsidR="007D2AC8" w:rsidRPr="007D2AC8" w:rsidTr="004D6EA9">
        <w:tc>
          <w:tcPr>
            <w:tcW w:w="251" w:type="pct"/>
          </w:tcPr>
          <w:p w:rsidR="007D2AC8" w:rsidRPr="007D2AC8" w:rsidRDefault="007D2AC8" w:rsidP="007D2AC8">
            <w:pPr>
              <w:jc w:val="left"/>
              <w:rPr>
                <w:rFonts w:ascii="Calibri" w:hAnsi="Calibri"/>
              </w:rPr>
            </w:pPr>
          </w:p>
        </w:tc>
        <w:tc>
          <w:tcPr>
            <w:tcW w:w="2563" w:type="pct"/>
          </w:tcPr>
          <w:p w:rsidR="007D2AC8" w:rsidRPr="007D2AC8" w:rsidRDefault="007D2AC8" w:rsidP="007D2AC8">
            <w:pPr>
              <w:jc w:val="left"/>
              <w:rPr>
                <w:rFonts w:ascii="Calibri" w:hAnsi="Calibri"/>
              </w:rPr>
            </w:pPr>
            <w:r w:rsidRPr="007D2AC8">
              <w:rPr>
                <w:rFonts w:ascii="Calibri" w:hAnsi="Calibri"/>
              </w:rPr>
              <w:t>Definition of transport cost</w:t>
            </w:r>
          </w:p>
        </w:tc>
        <w:tc>
          <w:tcPr>
            <w:tcW w:w="2186" w:type="pct"/>
          </w:tcPr>
          <w:p w:rsidR="007D2AC8" w:rsidRPr="007D2AC8" w:rsidRDefault="007D2AC8" w:rsidP="007D2AC8">
            <w:pPr>
              <w:jc w:val="left"/>
              <w:rPr>
                <w:rFonts w:ascii="Calibri" w:hAnsi="Calibri"/>
              </w:rPr>
            </w:pPr>
            <w:r w:rsidRPr="007D2AC8">
              <w:rPr>
                <w:rFonts w:ascii="Calibri" w:hAnsi="Calibri"/>
              </w:rPr>
              <w:t>Cost treatment</w:t>
            </w:r>
          </w:p>
        </w:tc>
      </w:tr>
      <w:tr w:rsidR="007D2AC8" w:rsidRPr="007D2AC8" w:rsidTr="004D6EA9">
        <w:tc>
          <w:tcPr>
            <w:tcW w:w="251" w:type="pct"/>
          </w:tcPr>
          <w:p w:rsidR="007D2AC8" w:rsidRPr="007D2AC8" w:rsidRDefault="007D2AC8" w:rsidP="007D2AC8">
            <w:pPr>
              <w:jc w:val="left"/>
              <w:rPr>
                <w:rFonts w:ascii="Calibri" w:hAnsi="Calibri"/>
              </w:rPr>
            </w:pPr>
            <w:r w:rsidRPr="007D2AC8">
              <w:rPr>
                <w:rFonts w:ascii="Calibri" w:hAnsi="Calibri"/>
              </w:rPr>
              <w:t>A</w:t>
            </w:r>
          </w:p>
        </w:tc>
        <w:tc>
          <w:tcPr>
            <w:tcW w:w="2563" w:type="pct"/>
          </w:tcPr>
          <w:p w:rsidR="007D2AC8" w:rsidRPr="007D2AC8" w:rsidRDefault="007D2AC8" w:rsidP="007D2AC8">
            <w:pPr>
              <w:jc w:val="left"/>
              <w:rPr>
                <w:rFonts w:ascii="Calibri" w:hAnsi="Calibri"/>
              </w:rPr>
            </w:pPr>
            <w:r w:rsidRPr="007D2AC8">
              <w:rPr>
                <w:rFonts w:ascii="Calibri" w:hAnsi="Calibri"/>
              </w:rPr>
              <w:t>Transporting acute patients from the place of the acute condition onset such as the accident site or person’s home to a hospital facility for treatment.</w:t>
            </w:r>
          </w:p>
        </w:tc>
        <w:tc>
          <w:tcPr>
            <w:tcW w:w="2186" w:type="pct"/>
          </w:tcPr>
          <w:p w:rsidR="007D2AC8" w:rsidRPr="007D2AC8" w:rsidRDefault="007D2AC8" w:rsidP="007D2AC8">
            <w:pPr>
              <w:jc w:val="left"/>
              <w:rPr>
                <w:rFonts w:ascii="Calibri" w:hAnsi="Calibri"/>
              </w:rPr>
            </w:pPr>
            <w:r w:rsidRPr="007D2AC8">
              <w:rPr>
                <w:rFonts w:ascii="Calibri" w:hAnsi="Calibri"/>
              </w:rPr>
              <w:t>Emergency transfers are excluded from inpatient costs. If these are incurred by a DHB they should be separately purchased. (Appendix 1)</w:t>
            </w:r>
          </w:p>
        </w:tc>
      </w:tr>
      <w:tr w:rsidR="007D2AC8" w:rsidRPr="007D2AC8" w:rsidTr="004D6EA9">
        <w:tc>
          <w:tcPr>
            <w:tcW w:w="251" w:type="pct"/>
          </w:tcPr>
          <w:p w:rsidR="007D2AC8" w:rsidRPr="007D2AC8" w:rsidRDefault="007D2AC8" w:rsidP="007D2AC8">
            <w:pPr>
              <w:jc w:val="left"/>
              <w:rPr>
                <w:rFonts w:ascii="Calibri" w:hAnsi="Calibri"/>
              </w:rPr>
            </w:pPr>
            <w:r w:rsidRPr="007D2AC8">
              <w:rPr>
                <w:rFonts w:ascii="Calibri" w:hAnsi="Calibri"/>
              </w:rPr>
              <w:t>B</w:t>
            </w:r>
          </w:p>
        </w:tc>
        <w:tc>
          <w:tcPr>
            <w:tcW w:w="2563" w:type="pct"/>
          </w:tcPr>
          <w:p w:rsidR="007D2AC8" w:rsidRPr="007D2AC8" w:rsidRDefault="007D2AC8" w:rsidP="007D2AC8">
            <w:pPr>
              <w:jc w:val="left"/>
              <w:rPr>
                <w:rFonts w:ascii="Calibri" w:hAnsi="Calibri"/>
              </w:rPr>
            </w:pPr>
            <w:r w:rsidRPr="007D2AC8">
              <w:rPr>
                <w:rFonts w:ascii="Calibri" w:hAnsi="Calibri"/>
              </w:rPr>
              <w:t xml:space="preserve">Inter hospital transport from one inpatient event to another where the initiating facility is in a different DHB region to the destination facility. </w:t>
            </w:r>
          </w:p>
        </w:tc>
        <w:tc>
          <w:tcPr>
            <w:tcW w:w="2186" w:type="pct"/>
          </w:tcPr>
          <w:p w:rsidR="007D2AC8" w:rsidRPr="007D2AC8" w:rsidRDefault="007D2AC8" w:rsidP="007D2AC8">
            <w:pPr>
              <w:jc w:val="left"/>
              <w:rPr>
                <w:rFonts w:ascii="Calibri" w:hAnsi="Calibri"/>
              </w:rPr>
            </w:pPr>
            <w:r w:rsidRPr="007D2AC8">
              <w:rPr>
                <w:rFonts w:ascii="Calibri" w:hAnsi="Calibri"/>
              </w:rPr>
              <w:t>Costs should be amalgamated into a separate line usually purchase unit TR0201 (Appendix 1).  Paid by DHB of domicile and part of NTA policy. Excluded from Inpatient event costs.</w:t>
            </w:r>
          </w:p>
        </w:tc>
      </w:tr>
      <w:tr w:rsidR="007D2AC8" w:rsidRPr="007D2AC8" w:rsidTr="004D6EA9">
        <w:tc>
          <w:tcPr>
            <w:tcW w:w="251" w:type="pct"/>
          </w:tcPr>
          <w:p w:rsidR="007D2AC8" w:rsidRPr="007D2AC8" w:rsidRDefault="007D2AC8" w:rsidP="007D2AC8">
            <w:pPr>
              <w:jc w:val="left"/>
              <w:rPr>
                <w:rFonts w:ascii="Calibri" w:hAnsi="Calibri"/>
              </w:rPr>
            </w:pPr>
            <w:r w:rsidRPr="007D2AC8">
              <w:rPr>
                <w:rFonts w:ascii="Calibri" w:hAnsi="Calibri"/>
              </w:rPr>
              <w:t>C</w:t>
            </w:r>
          </w:p>
        </w:tc>
        <w:tc>
          <w:tcPr>
            <w:tcW w:w="2563" w:type="pct"/>
          </w:tcPr>
          <w:p w:rsidR="007D2AC8" w:rsidRPr="007D2AC8" w:rsidRDefault="007D2AC8" w:rsidP="007D2AC8">
            <w:pPr>
              <w:jc w:val="left"/>
              <w:rPr>
                <w:rFonts w:ascii="Calibri" w:hAnsi="Calibri"/>
              </w:rPr>
            </w:pPr>
            <w:r w:rsidRPr="007D2AC8">
              <w:rPr>
                <w:rFonts w:ascii="Calibri" w:hAnsi="Calibri"/>
              </w:rPr>
              <w:t>Inter hospital transport from one inpatient event to another where the initiating facility is in the same DHB region as the destination facility.</w:t>
            </w:r>
          </w:p>
        </w:tc>
        <w:tc>
          <w:tcPr>
            <w:tcW w:w="2186" w:type="pct"/>
          </w:tcPr>
          <w:p w:rsidR="007D2AC8" w:rsidRPr="007D2AC8" w:rsidRDefault="007D2AC8" w:rsidP="007D2AC8">
            <w:pPr>
              <w:jc w:val="left"/>
              <w:rPr>
                <w:rFonts w:ascii="Calibri" w:hAnsi="Calibri"/>
              </w:rPr>
            </w:pPr>
            <w:r w:rsidRPr="007D2AC8">
              <w:rPr>
                <w:rFonts w:ascii="Calibri" w:hAnsi="Calibri"/>
              </w:rPr>
              <w:t>Costs should be amalgamated into a separate line and excluded from inpatient event costs. These will be reported as Uncounted Costs in the NCCP submission and should be identified as Intra DHB transport costs as there is no national purchase unit defined.</w:t>
            </w:r>
          </w:p>
        </w:tc>
      </w:tr>
      <w:tr w:rsidR="007D2AC8" w:rsidRPr="007D2AC8" w:rsidTr="004D6EA9">
        <w:tc>
          <w:tcPr>
            <w:tcW w:w="251" w:type="pct"/>
          </w:tcPr>
          <w:p w:rsidR="007D2AC8" w:rsidRPr="007D2AC8" w:rsidRDefault="007D2AC8" w:rsidP="007D2AC8">
            <w:pPr>
              <w:jc w:val="left"/>
              <w:rPr>
                <w:rFonts w:ascii="Calibri" w:hAnsi="Calibri"/>
              </w:rPr>
            </w:pPr>
            <w:r w:rsidRPr="007D2AC8">
              <w:rPr>
                <w:rFonts w:ascii="Calibri" w:hAnsi="Calibri"/>
              </w:rPr>
              <w:t>D</w:t>
            </w:r>
          </w:p>
        </w:tc>
        <w:tc>
          <w:tcPr>
            <w:tcW w:w="2563" w:type="pct"/>
          </w:tcPr>
          <w:p w:rsidR="007D2AC8" w:rsidRPr="007D2AC8" w:rsidRDefault="007D2AC8" w:rsidP="007D2AC8">
            <w:pPr>
              <w:jc w:val="left"/>
              <w:rPr>
                <w:rFonts w:ascii="Calibri" w:hAnsi="Calibri"/>
              </w:rPr>
            </w:pPr>
            <w:r w:rsidRPr="007D2AC8">
              <w:rPr>
                <w:rFonts w:ascii="Calibri" w:hAnsi="Calibri"/>
              </w:rPr>
              <w:t>Patient transport or transport subsidies that are given to patients to move from their place of residence to a distant healthcare facility. These facilities may be either within the same DHB or to another DHB and the transport cost may be paid as money or vouchers directly to a patient, or be in the form of “free transport shuttles” supplied by a DHB to transport patients to attend healthcare services.</w:t>
            </w:r>
          </w:p>
        </w:tc>
        <w:tc>
          <w:tcPr>
            <w:tcW w:w="2186" w:type="pct"/>
          </w:tcPr>
          <w:p w:rsidR="007D2AC8" w:rsidRPr="007D2AC8" w:rsidRDefault="007D2AC8" w:rsidP="007D2AC8">
            <w:pPr>
              <w:jc w:val="left"/>
              <w:rPr>
                <w:rFonts w:ascii="Calibri" w:hAnsi="Calibri"/>
              </w:rPr>
            </w:pPr>
            <w:r w:rsidRPr="007D2AC8">
              <w:rPr>
                <w:rFonts w:ascii="Calibri" w:hAnsi="Calibri"/>
              </w:rPr>
              <w:t>Costs should be identified and amalgamated into a separate line.  TR0101 is the Purchase Unit for these costs to be reported to NCCP. (Appendix 1)</w:t>
            </w:r>
          </w:p>
        </w:tc>
      </w:tr>
    </w:tbl>
    <w:p w:rsidR="007D2AC8" w:rsidRPr="007D2AC8" w:rsidRDefault="007D2AC8" w:rsidP="007D2AC8">
      <w:pPr>
        <w:jc w:val="left"/>
        <w:rPr>
          <w:rFonts w:ascii="Calibri" w:eastAsia="Calibri" w:hAnsi="Calibri"/>
        </w:rPr>
      </w:pPr>
    </w:p>
    <w:p w:rsidR="007D2AC8" w:rsidRPr="007D2AC8" w:rsidRDefault="007D2AC8" w:rsidP="007D2AC8">
      <w:pPr>
        <w:jc w:val="left"/>
        <w:rPr>
          <w:rFonts w:ascii="Calibri" w:eastAsia="Calibri" w:hAnsi="Calibri"/>
        </w:rPr>
      </w:pPr>
    </w:p>
    <w:p w:rsidR="007D2AC8" w:rsidRPr="007D2AC8" w:rsidRDefault="007D2AC8" w:rsidP="007D2AC8">
      <w:pPr>
        <w:numPr>
          <w:ilvl w:val="0"/>
          <w:numId w:val="32"/>
        </w:numPr>
        <w:jc w:val="left"/>
        <w:rPr>
          <w:rFonts w:ascii="Calibri" w:hAnsi="Calibri"/>
          <w:b/>
          <w:sz w:val="28"/>
          <w:szCs w:val="22"/>
          <w:lang w:eastAsia="en-NZ"/>
        </w:rPr>
      </w:pPr>
      <w:r w:rsidRPr="007D2AC8">
        <w:rPr>
          <w:rFonts w:ascii="Calibri" w:hAnsi="Calibri"/>
          <w:b/>
          <w:sz w:val="28"/>
          <w:szCs w:val="22"/>
          <w:lang w:eastAsia="en-NZ"/>
        </w:rPr>
        <w:t>Transport clinician Costs:</w:t>
      </w:r>
    </w:p>
    <w:p w:rsidR="007D2AC8" w:rsidRPr="007D2AC8" w:rsidRDefault="007D2AC8" w:rsidP="007D2AC8">
      <w:pPr>
        <w:jc w:val="left"/>
        <w:rPr>
          <w:rFonts w:ascii="Calibri" w:hAnsi="Calibri"/>
          <w:lang w:eastAsia="en-NZ"/>
        </w:rPr>
      </w:pPr>
      <w:r w:rsidRPr="007D2AC8">
        <w:rPr>
          <w:rFonts w:ascii="Calibri" w:hAnsi="Calibri"/>
          <w:lang w:eastAsia="en-NZ"/>
        </w:rPr>
        <w:t>As well as the actual transport costs, most ambulance transfers occurring between two hospital facilities incur the time cost of  clinicians, (nurse, midwife and/or doctor) from the initiating departure DHB, who accompany the patient in the air/road ambulance.  Recording of this transport cost is inconsistent across DHBs and may be recorded in the GL in a separate Responsibility/Cost Centre or, when it is not separately identified, included in the department where it is incurred.</w:t>
      </w:r>
    </w:p>
    <w:p w:rsidR="007D2AC8" w:rsidRPr="007D2AC8" w:rsidRDefault="007D2AC8" w:rsidP="007D2AC8">
      <w:pPr>
        <w:jc w:val="left"/>
        <w:rPr>
          <w:rFonts w:ascii="Calibri" w:hAnsi="Calibri"/>
          <w:lang w:eastAsia="en-NZ"/>
        </w:rPr>
      </w:pPr>
    </w:p>
    <w:p w:rsidR="007D2AC8" w:rsidRPr="007D2AC8" w:rsidRDefault="007D2AC8" w:rsidP="007D2AC8">
      <w:pPr>
        <w:jc w:val="left"/>
        <w:rPr>
          <w:rFonts w:ascii="Calibri" w:hAnsi="Calibri"/>
          <w:lang w:eastAsia="en-NZ"/>
        </w:rPr>
      </w:pPr>
      <w:r w:rsidRPr="007D2AC8">
        <w:rPr>
          <w:rFonts w:ascii="Calibri" w:hAnsi="Calibri"/>
          <w:lang w:eastAsia="en-NZ"/>
        </w:rPr>
        <w:t xml:space="preserve">Transport clinical or nursing cost </w:t>
      </w:r>
      <w:r w:rsidRPr="007D2AC8">
        <w:rPr>
          <w:rFonts w:ascii="Calibri" w:hAnsi="Calibri"/>
          <w:u w:val="single"/>
          <w:lang w:eastAsia="en-NZ"/>
        </w:rPr>
        <w:t>is included</w:t>
      </w:r>
      <w:r w:rsidRPr="007D2AC8">
        <w:rPr>
          <w:rFonts w:ascii="Calibri" w:hAnsi="Calibri"/>
          <w:lang w:eastAsia="en-NZ"/>
        </w:rPr>
        <w:t xml:space="preserve"> in the inpatient or Emergency Department event costs. </w:t>
      </w:r>
    </w:p>
    <w:p w:rsidR="007D2AC8" w:rsidRPr="007D2AC8" w:rsidRDefault="007D2AC8" w:rsidP="007D2AC8">
      <w:pPr>
        <w:jc w:val="left"/>
        <w:rPr>
          <w:rFonts w:ascii="Calibri" w:hAnsi="Calibri"/>
          <w:lang w:eastAsia="en-NZ"/>
        </w:rPr>
      </w:pPr>
      <w:r w:rsidRPr="007D2AC8">
        <w:rPr>
          <w:rFonts w:ascii="Calibri" w:hAnsi="Calibri"/>
          <w:lang w:eastAsia="en-NZ"/>
        </w:rPr>
        <w:t>Transport clinician costs are reported in the appropriate CS2 cost group for the clinician involved (usually nursing labour; DB).</w:t>
      </w:r>
    </w:p>
    <w:p w:rsidR="007D2AC8" w:rsidRPr="007D2AC8" w:rsidRDefault="007D2AC8" w:rsidP="007D2AC8">
      <w:pPr>
        <w:jc w:val="left"/>
        <w:rPr>
          <w:rFonts w:ascii="Calibri" w:hAnsi="Calibri"/>
          <w:lang w:eastAsia="en-NZ"/>
        </w:rPr>
      </w:pPr>
    </w:p>
    <w:p w:rsidR="007D2AC8" w:rsidRPr="007D2AC8" w:rsidRDefault="007D2AC8" w:rsidP="007D2AC8">
      <w:pPr>
        <w:jc w:val="left"/>
        <w:rPr>
          <w:rFonts w:ascii="Calibri" w:hAnsi="Calibri"/>
          <w:lang w:eastAsia="en-NZ"/>
        </w:rPr>
      </w:pPr>
      <w:r w:rsidRPr="007D2AC8">
        <w:rPr>
          <w:rFonts w:ascii="Calibri" w:hAnsi="Calibri"/>
          <w:lang w:eastAsia="en-NZ"/>
        </w:rPr>
        <w:lastRenderedPageBreak/>
        <w:t>The CS7 cost group for transport clinician cost relates to the GL Cost centre where those costs are recorded. This means that the CS7 group may be any of the following:</w:t>
      </w:r>
    </w:p>
    <w:p w:rsidR="007D2AC8" w:rsidRPr="007D2AC8" w:rsidRDefault="007D2AC8" w:rsidP="007D2AC8">
      <w:pPr>
        <w:jc w:val="left"/>
        <w:rPr>
          <w:rFonts w:ascii="Calibri" w:hAnsi="Calibri"/>
          <w:lang w:eastAsia="en-NZ"/>
        </w:rPr>
      </w:pPr>
    </w:p>
    <w:tbl>
      <w:tblPr>
        <w:tblW w:w="6580" w:type="dxa"/>
        <w:tblInd w:w="93" w:type="dxa"/>
        <w:tblLook w:val="04A0" w:firstRow="1" w:lastRow="0" w:firstColumn="1" w:lastColumn="0" w:noHBand="0" w:noVBand="1"/>
      </w:tblPr>
      <w:tblGrid>
        <w:gridCol w:w="1400"/>
        <w:gridCol w:w="3920"/>
        <w:gridCol w:w="1260"/>
      </w:tblGrid>
      <w:tr w:rsidR="007D2AC8" w:rsidRPr="007D2AC8" w:rsidTr="004D6EA9">
        <w:trPr>
          <w:trHeight w:val="6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 Schedule</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Cost Pool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NCCP Category</w:t>
            </w:r>
          </w:p>
        </w:tc>
      </w:tr>
      <w:tr w:rsidR="007D2AC8" w:rsidRPr="007D2AC8" w:rsidTr="004D6EA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CS7.7.2</w:t>
            </w:r>
          </w:p>
        </w:tc>
        <w:tc>
          <w:tcPr>
            <w:tcW w:w="3920" w:type="dxa"/>
            <w:tcBorders>
              <w:top w:val="nil"/>
              <w:left w:val="nil"/>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 xml:space="preserve">Ward cost </w:t>
            </w:r>
          </w:p>
        </w:tc>
        <w:tc>
          <w:tcPr>
            <w:tcW w:w="1260" w:type="dxa"/>
            <w:tcBorders>
              <w:top w:val="nil"/>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A010</w:t>
            </w:r>
          </w:p>
        </w:tc>
      </w:tr>
      <w:tr w:rsidR="007D2AC8" w:rsidRPr="007D2AC8" w:rsidTr="004D6EA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CS7.7.11</w:t>
            </w:r>
          </w:p>
        </w:tc>
        <w:tc>
          <w:tcPr>
            <w:tcW w:w="3920" w:type="dxa"/>
            <w:tcBorders>
              <w:top w:val="nil"/>
              <w:left w:val="nil"/>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Emergency Department</w:t>
            </w:r>
          </w:p>
        </w:tc>
        <w:tc>
          <w:tcPr>
            <w:tcW w:w="1260" w:type="dxa"/>
            <w:tcBorders>
              <w:top w:val="nil"/>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A110</w:t>
            </w:r>
          </w:p>
        </w:tc>
      </w:tr>
      <w:tr w:rsidR="007D2AC8" w:rsidRPr="007D2AC8" w:rsidTr="004D6EA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CS7.7.15a</w:t>
            </w:r>
          </w:p>
        </w:tc>
        <w:tc>
          <w:tcPr>
            <w:tcW w:w="3920" w:type="dxa"/>
            <w:tcBorders>
              <w:top w:val="nil"/>
              <w:left w:val="nil"/>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Obstetrics Delivery Suite</w:t>
            </w:r>
          </w:p>
        </w:tc>
        <w:tc>
          <w:tcPr>
            <w:tcW w:w="1260" w:type="dxa"/>
            <w:tcBorders>
              <w:top w:val="nil"/>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F010</w:t>
            </w:r>
          </w:p>
        </w:tc>
      </w:tr>
      <w:tr w:rsidR="007D2AC8" w:rsidRPr="007D2AC8" w:rsidTr="004D6EA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CS7.7.10</w:t>
            </w:r>
          </w:p>
        </w:tc>
        <w:tc>
          <w:tcPr>
            <w:tcW w:w="3920" w:type="dxa"/>
            <w:tcBorders>
              <w:top w:val="nil"/>
              <w:left w:val="nil"/>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 xml:space="preserve">Critical care (ICU and SCBU) </w:t>
            </w:r>
          </w:p>
        </w:tc>
        <w:tc>
          <w:tcPr>
            <w:tcW w:w="1260" w:type="dxa"/>
            <w:tcBorders>
              <w:top w:val="nil"/>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A100</w:t>
            </w:r>
          </w:p>
        </w:tc>
      </w:tr>
      <w:tr w:rsidR="007D2AC8" w:rsidRPr="007D2AC8" w:rsidTr="004D6EA9">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CS7.7. 16</w:t>
            </w:r>
          </w:p>
        </w:tc>
        <w:tc>
          <w:tcPr>
            <w:tcW w:w="3920" w:type="dxa"/>
            <w:tcBorders>
              <w:top w:val="nil"/>
              <w:left w:val="nil"/>
              <w:bottom w:val="single" w:sz="4" w:space="0" w:color="auto"/>
              <w:right w:val="single" w:sz="4" w:space="0" w:color="auto"/>
            </w:tcBorders>
            <w:shd w:val="clear" w:color="auto" w:fill="auto"/>
            <w:noWrap/>
            <w:vAlign w:val="center"/>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Other treatments</w:t>
            </w:r>
          </w:p>
        </w:tc>
        <w:tc>
          <w:tcPr>
            <w:tcW w:w="1260" w:type="dxa"/>
            <w:tcBorders>
              <w:top w:val="nil"/>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G010</w:t>
            </w:r>
          </w:p>
        </w:tc>
      </w:tr>
    </w:tbl>
    <w:p w:rsidR="007D2AC8" w:rsidRPr="007D2AC8" w:rsidRDefault="007D2AC8" w:rsidP="007D2AC8">
      <w:pPr>
        <w:jc w:val="left"/>
        <w:rPr>
          <w:rFonts w:ascii="Calibri" w:eastAsia="Calibri" w:hAnsi="Calibri"/>
        </w:rPr>
      </w:pPr>
    </w:p>
    <w:p w:rsidR="007D2AC8" w:rsidRPr="007D2AC8" w:rsidRDefault="007D2AC8" w:rsidP="007D2AC8">
      <w:pPr>
        <w:jc w:val="left"/>
        <w:rPr>
          <w:rFonts w:ascii="Calibri" w:eastAsia="Calibri" w:hAnsi="Calibri"/>
        </w:rPr>
      </w:pPr>
    </w:p>
    <w:p w:rsidR="007D2AC8" w:rsidRPr="007D2AC8" w:rsidRDefault="007D2AC8" w:rsidP="007D2AC8">
      <w:pPr>
        <w:jc w:val="left"/>
        <w:rPr>
          <w:rFonts w:ascii="Calibri" w:eastAsia="Calibri" w:hAnsi="Calibri"/>
          <w:b/>
          <w:u w:val="single"/>
        </w:rPr>
      </w:pPr>
      <w:r w:rsidRPr="007D2AC8">
        <w:rPr>
          <w:rFonts w:ascii="Calibri" w:eastAsia="Calibri" w:hAnsi="Calibri"/>
          <w:b/>
          <w:u w:val="single"/>
        </w:rPr>
        <w:t>Appendix 1:    Transport related purchase units (Purchase Unit Data Dictionary 2017/18)</w:t>
      </w:r>
    </w:p>
    <w:p w:rsidR="007D2AC8" w:rsidRPr="007D2AC8" w:rsidRDefault="007D2AC8" w:rsidP="007D2AC8">
      <w:pPr>
        <w:jc w:val="left"/>
        <w:rPr>
          <w:rFonts w:ascii="Calibri" w:eastAsia="Calibri" w:hAnsi="Calibri"/>
        </w:rPr>
      </w:pPr>
    </w:p>
    <w:tbl>
      <w:tblPr>
        <w:tblW w:w="5000" w:type="pct"/>
        <w:tblLook w:val="04A0" w:firstRow="1" w:lastRow="0" w:firstColumn="1" w:lastColumn="0" w:noHBand="0" w:noVBand="1"/>
      </w:tblPr>
      <w:tblGrid>
        <w:gridCol w:w="950"/>
        <w:gridCol w:w="2748"/>
        <w:gridCol w:w="5123"/>
        <w:gridCol w:w="914"/>
      </w:tblGrid>
      <w:tr w:rsidR="007D2AC8" w:rsidRPr="007D2AC8" w:rsidTr="004D6EA9">
        <w:trPr>
          <w:trHeight w:val="300"/>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PUC</w:t>
            </w:r>
          </w:p>
        </w:tc>
        <w:tc>
          <w:tcPr>
            <w:tcW w:w="1529" w:type="pct"/>
            <w:tcBorders>
              <w:top w:val="single" w:sz="4" w:space="0" w:color="auto"/>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Purchase Unit Name</w:t>
            </w:r>
          </w:p>
        </w:tc>
        <w:tc>
          <w:tcPr>
            <w:tcW w:w="2748" w:type="pct"/>
            <w:tcBorders>
              <w:top w:val="single" w:sz="4" w:space="0" w:color="auto"/>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Purchase Unit Definition</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7D2AC8" w:rsidRPr="007D2AC8" w:rsidRDefault="007D2AC8" w:rsidP="007D2AC8">
            <w:pPr>
              <w:rPr>
                <w:rFonts w:ascii="Calibri" w:hAnsi="Calibri"/>
                <w:color w:val="000000"/>
                <w:lang w:eastAsia="en-NZ"/>
              </w:rPr>
            </w:pPr>
            <w:r w:rsidRPr="007D2AC8">
              <w:rPr>
                <w:rFonts w:ascii="Calibri" w:hAnsi="Calibri"/>
                <w:color w:val="000000"/>
                <w:lang w:eastAsia="en-NZ"/>
              </w:rPr>
              <w:t>UOM</w:t>
            </w:r>
          </w:p>
        </w:tc>
      </w:tr>
      <w:tr w:rsidR="007D2AC8" w:rsidRPr="007D2AC8" w:rsidTr="004D6EA9">
        <w:trPr>
          <w:trHeight w:val="600"/>
        </w:trPr>
        <w:tc>
          <w:tcPr>
            <w:tcW w:w="361" w:type="pct"/>
            <w:tcBorders>
              <w:top w:val="nil"/>
              <w:left w:val="single" w:sz="4" w:space="0" w:color="auto"/>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TR0101</w:t>
            </w:r>
          </w:p>
        </w:tc>
        <w:tc>
          <w:tcPr>
            <w:tcW w:w="1529"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Patient Travel &amp; Accommodation Assistance</w:t>
            </w:r>
          </w:p>
        </w:tc>
        <w:tc>
          <w:tcPr>
            <w:tcW w:w="2748"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 xml:space="preserve">Implementation of the </w:t>
            </w:r>
            <w:proofErr w:type="spellStart"/>
            <w:r w:rsidRPr="007D2AC8">
              <w:rPr>
                <w:rFonts w:ascii="Calibri" w:hAnsi="Calibri"/>
                <w:lang w:eastAsia="en-NZ"/>
              </w:rPr>
              <w:t>MoH</w:t>
            </w:r>
            <w:proofErr w:type="spellEnd"/>
            <w:r w:rsidRPr="007D2AC8">
              <w:rPr>
                <w:rFonts w:ascii="Calibri" w:hAnsi="Calibri"/>
                <w:lang w:eastAsia="en-NZ"/>
              </w:rPr>
              <w:t xml:space="preserve"> patient travel and accommodation assistance policy.</w:t>
            </w:r>
          </w:p>
        </w:tc>
        <w:tc>
          <w:tcPr>
            <w:tcW w:w="361"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Service</w:t>
            </w:r>
          </w:p>
        </w:tc>
      </w:tr>
      <w:tr w:rsidR="007D2AC8" w:rsidRPr="007D2AC8" w:rsidTr="004D6EA9">
        <w:trPr>
          <w:trHeight w:val="765"/>
        </w:trPr>
        <w:tc>
          <w:tcPr>
            <w:tcW w:w="361" w:type="pct"/>
            <w:tcBorders>
              <w:top w:val="nil"/>
              <w:left w:val="single" w:sz="4" w:space="0" w:color="auto"/>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TR0201</w:t>
            </w:r>
          </w:p>
        </w:tc>
        <w:tc>
          <w:tcPr>
            <w:tcW w:w="1529"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Patient transport - non emergency and inpatient transfers</w:t>
            </w:r>
          </w:p>
        </w:tc>
        <w:tc>
          <w:tcPr>
            <w:tcW w:w="2748"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Transport of patients from one facility in a DHB to a facility in another DHB when their condition is such that ordinary modes of transport are unsuitable.</w:t>
            </w:r>
          </w:p>
        </w:tc>
        <w:tc>
          <w:tcPr>
            <w:tcW w:w="361"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Service</w:t>
            </w:r>
          </w:p>
        </w:tc>
      </w:tr>
      <w:tr w:rsidR="007D2AC8" w:rsidRPr="007D2AC8" w:rsidTr="004D6EA9">
        <w:trPr>
          <w:trHeight w:val="300"/>
        </w:trPr>
        <w:tc>
          <w:tcPr>
            <w:tcW w:w="361" w:type="pct"/>
            <w:tcBorders>
              <w:top w:val="nil"/>
              <w:left w:val="single" w:sz="4" w:space="0" w:color="auto"/>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TR0202</w:t>
            </w:r>
          </w:p>
        </w:tc>
        <w:tc>
          <w:tcPr>
            <w:tcW w:w="1529"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Road ambulance - emergency</w:t>
            </w:r>
          </w:p>
        </w:tc>
        <w:tc>
          <w:tcPr>
            <w:tcW w:w="2748"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Emergency road ambulance services for medical cases.</w:t>
            </w:r>
          </w:p>
        </w:tc>
        <w:tc>
          <w:tcPr>
            <w:tcW w:w="361"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Service</w:t>
            </w:r>
          </w:p>
        </w:tc>
      </w:tr>
      <w:tr w:rsidR="007D2AC8" w:rsidRPr="007D2AC8" w:rsidTr="004D6EA9">
        <w:trPr>
          <w:trHeight w:val="300"/>
        </w:trPr>
        <w:tc>
          <w:tcPr>
            <w:tcW w:w="361" w:type="pct"/>
            <w:tcBorders>
              <w:top w:val="nil"/>
              <w:left w:val="single" w:sz="4" w:space="0" w:color="auto"/>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TR0203</w:t>
            </w:r>
          </w:p>
        </w:tc>
        <w:tc>
          <w:tcPr>
            <w:tcW w:w="1529"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Air ambulance - emergency</w:t>
            </w:r>
          </w:p>
        </w:tc>
        <w:tc>
          <w:tcPr>
            <w:tcW w:w="2748"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Emergency air ambulance services for medical cases.</w:t>
            </w:r>
          </w:p>
        </w:tc>
        <w:tc>
          <w:tcPr>
            <w:tcW w:w="361"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Service</w:t>
            </w:r>
          </w:p>
        </w:tc>
      </w:tr>
      <w:tr w:rsidR="007D2AC8" w:rsidRPr="007D2AC8" w:rsidTr="004D6EA9">
        <w:trPr>
          <w:trHeight w:val="300"/>
        </w:trPr>
        <w:tc>
          <w:tcPr>
            <w:tcW w:w="361" w:type="pct"/>
            <w:tcBorders>
              <w:top w:val="nil"/>
              <w:left w:val="single" w:sz="4" w:space="0" w:color="auto"/>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TR0204</w:t>
            </w:r>
          </w:p>
        </w:tc>
        <w:tc>
          <w:tcPr>
            <w:tcW w:w="1529"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Water Ambulance - Emergency</w:t>
            </w:r>
          </w:p>
        </w:tc>
        <w:tc>
          <w:tcPr>
            <w:tcW w:w="2748"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Emergency water ambulance services for medical cases.</w:t>
            </w:r>
          </w:p>
        </w:tc>
        <w:tc>
          <w:tcPr>
            <w:tcW w:w="361" w:type="pct"/>
            <w:tcBorders>
              <w:top w:val="nil"/>
              <w:left w:val="nil"/>
              <w:bottom w:val="single" w:sz="4" w:space="0" w:color="auto"/>
              <w:right w:val="single" w:sz="4" w:space="0" w:color="auto"/>
            </w:tcBorders>
            <w:shd w:val="clear" w:color="auto" w:fill="auto"/>
            <w:hideMark/>
          </w:tcPr>
          <w:p w:rsidR="007D2AC8" w:rsidRPr="007D2AC8" w:rsidRDefault="007D2AC8" w:rsidP="007D2AC8">
            <w:pPr>
              <w:rPr>
                <w:rFonts w:ascii="Calibri" w:hAnsi="Calibri"/>
                <w:lang w:eastAsia="en-NZ"/>
              </w:rPr>
            </w:pPr>
            <w:r w:rsidRPr="007D2AC8">
              <w:rPr>
                <w:rFonts w:ascii="Calibri" w:hAnsi="Calibri"/>
                <w:lang w:eastAsia="en-NZ"/>
              </w:rPr>
              <w:t>Service</w:t>
            </w:r>
          </w:p>
        </w:tc>
      </w:tr>
    </w:tbl>
    <w:p w:rsidR="007D2AC8" w:rsidRPr="007D2AC8" w:rsidRDefault="007D2AC8" w:rsidP="007D2AC8">
      <w:pPr>
        <w:jc w:val="left"/>
        <w:rPr>
          <w:rFonts w:ascii="Calibri" w:eastAsia="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3B4772" w:rsidRDefault="007D2AC8" w:rsidP="0016678D">
      <w:pPr>
        <w:pStyle w:val="Heading1"/>
        <w:rPr>
          <w:rFonts w:ascii="Calibri" w:hAnsi="Calibri"/>
          <w:u w:val="single"/>
        </w:rPr>
      </w:pPr>
      <w:bookmarkStart w:id="55" w:name="_Toc530662777"/>
      <w:r w:rsidRPr="003B4772">
        <w:rPr>
          <w:rFonts w:ascii="Calibri" w:hAnsi="Calibri"/>
          <w:u w:val="single"/>
        </w:rPr>
        <w:lastRenderedPageBreak/>
        <w:t>Guideline 12</w:t>
      </w:r>
      <w:r w:rsidR="003B4772">
        <w:rPr>
          <w:rFonts w:ascii="Calibri" w:hAnsi="Calibri"/>
          <w:u w:val="single"/>
        </w:rPr>
        <w:t>:</w:t>
      </w:r>
      <w:r w:rsidRPr="003B4772">
        <w:rPr>
          <w:rFonts w:ascii="Calibri" w:hAnsi="Calibri"/>
          <w:u w:val="single"/>
        </w:rPr>
        <w:t xml:space="preserve"> AUDIT GUIDELINE FOR COSTING RENAL SERVICES</w:t>
      </w:r>
      <w:bookmarkEnd w:id="55"/>
    </w:p>
    <w:p w:rsidR="007D2AC8" w:rsidRPr="007D2AC8" w:rsidRDefault="007D2AC8" w:rsidP="007D2AC8">
      <w:pPr>
        <w:rPr>
          <w:rFonts w:ascii="Calibri" w:hAnsi="Calibri"/>
        </w:rPr>
      </w:pPr>
    </w:p>
    <w:p w:rsidR="007D2AC8" w:rsidRPr="007D2AC8" w:rsidRDefault="007D2AC8" w:rsidP="007D2AC8">
      <w:pPr>
        <w:keepNext/>
        <w:spacing w:before="240" w:after="60"/>
        <w:outlineLvl w:val="2"/>
        <w:rPr>
          <w:rFonts w:ascii="Calibri" w:hAnsi="Calibri" w:cs="Arial"/>
          <w:b/>
          <w:bCs/>
          <w:sz w:val="26"/>
          <w:szCs w:val="26"/>
        </w:rPr>
      </w:pPr>
      <w:r w:rsidRPr="007D2AC8">
        <w:rPr>
          <w:rFonts w:ascii="Calibri" w:hAnsi="Calibri" w:cs="Arial"/>
          <w:b/>
          <w:bCs/>
          <w:sz w:val="26"/>
          <w:szCs w:val="26"/>
        </w:rPr>
        <w:t>Background</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 xml:space="preserve">The Renal Purchase units (PU’s) were analysed by the common costing group for consistency and to agree a consistent counting approach.  </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There were some counting issues around a number of the Renal PU’s as there a number of different units of measure CWD, Attendance, Client, patient by month, service and project were being used.</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The group agreed that if the Unit of Measure for “Patient” was translated to read “Patient Month” and also if “Client” was changed to “Client Year” then this would help clarify the counting. Also noted that the UOM tab in the Data Dictionary be changed to reflect this.</w:t>
      </w:r>
    </w:p>
    <w:p w:rsidR="007D2AC8" w:rsidRPr="007D2AC8" w:rsidRDefault="007D2AC8" w:rsidP="007D2AC8">
      <w:pPr>
        <w:keepNext/>
        <w:spacing w:before="240" w:after="60"/>
        <w:outlineLvl w:val="2"/>
        <w:rPr>
          <w:rFonts w:ascii="Calibri" w:hAnsi="Calibri" w:cs="Arial"/>
          <w:b/>
          <w:bCs/>
          <w:sz w:val="26"/>
          <w:szCs w:val="26"/>
        </w:rPr>
      </w:pPr>
      <w:r w:rsidRPr="007D2AC8">
        <w:rPr>
          <w:rFonts w:ascii="Calibri" w:hAnsi="Calibri" w:cs="Arial"/>
          <w:b/>
          <w:bCs/>
          <w:sz w:val="26"/>
          <w:szCs w:val="26"/>
        </w:rPr>
        <w:t>Methodology</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The services represented by each PUC have associated cost characteristics that are unique to that service. The audit tests generally focus on checking to ensure that the costing results reflect the service attributes of each PUC. There are however, general checks that apply to all PUCs, these have been listed first.</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The checks are a guide that DHBs can use to audit their results, however, there may be differences in service delivery that result in a DHB allocating costs to a PUC that do not conform to one of the audit checks listed below. When differences occur it is recommend that DHBs investigate the results and ensure that there is a</w:t>
      </w:r>
      <w:r w:rsidRPr="007D2AC8">
        <w:rPr>
          <w:rFonts w:ascii="Calibri" w:hAnsi="Calibri"/>
          <w:lang w:val="en-GB"/>
        </w:rPr>
        <w:t xml:space="preserve"> legitimate</w:t>
      </w:r>
      <w:r w:rsidRPr="007D2AC8">
        <w:rPr>
          <w:rFonts w:ascii="Calibri" w:hAnsi="Calibri"/>
        </w:rPr>
        <w:t xml:space="preserve"> reason for the variance. </w:t>
      </w:r>
    </w:p>
    <w:p w:rsidR="007D2AC8" w:rsidRPr="007D2AC8" w:rsidRDefault="007D2AC8" w:rsidP="007D2AC8">
      <w:pPr>
        <w:rPr>
          <w:rFonts w:ascii="Calibri" w:hAnsi="Calibri"/>
          <w:u w:val="single"/>
        </w:rPr>
      </w:pPr>
    </w:p>
    <w:p w:rsidR="007D2AC8" w:rsidRPr="007D2AC8" w:rsidRDefault="007D2AC8" w:rsidP="007D2AC8">
      <w:pPr>
        <w:keepNext/>
        <w:spacing w:before="240" w:after="60"/>
        <w:outlineLvl w:val="2"/>
        <w:rPr>
          <w:rFonts w:ascii="Calibri" w:hAnsi="Calibri" w:cs="Arial"/>
          <w:b/>
          <w:bCs/>
          <w:sz w:val="26"/>
          <w:szCs w:val="26"/>
        </w:rPr>
      </w:pPr>
      <w:r w:rsidRPr="007D2AC8">
        <w:rPr>
          <w:rFonts w:ascii="Calibri" w:hAnsi="Calibri" w:cs="Arial"/>
          <w:b/>
          <w:bCs/>
          <w:sz w:val="26"/>
          <w:szCs w:val="26"/>
        </w:rPr>
        <w:t>General audit checks for renal services</w:t>
      </w:r>
    </w:p>
    <w:p w:rsidR="007D2AC8" w:rsidRPr="007D2AC8" w:rsidRDefault="007D2AC8" w:rsidP="007D2AC8">
      <w:pPr>
        <w:rPr>
          <w:rFonts w:ascii="Calibri" w:hAnsi="Calibri"/>
        </w:rPr>
      </w:pPr>
    </w:p>
    <w:p w:rsidR="007D2AC8" w:rsidRPr="007D2AC8" w:rsidRDefault="007D2AC8" w:rsidP="007D2AC8">
      <w:pPr>
        <w:rPr>
          <w:rFonts w:ascii="Calibri" w:hAnsi="Calibri"/>
          <w:u w:val="single"/>
        </w:rPr>
      </w:pPr>
      <w:r w:rsidRPr="007D2AC8">
        <w:rPr>
          <w:rFonts w:ascii="Calibri" w:hAnsi="Calibri"/>
          <w:u w:val="single"/>
        </w:rPr>
        <w:t>Volumes</w:t>
      </w:r>
    </w:p>
    <w:p w:rsidR="007D2AC8" w:rsidRPr="007D2AC8" w:rsidRDefault="007D2AC8" w:rsidP="007D2AC8">
      <w:pPr>
        <w:rPr>
          <w:rFonts w:ascii="Calibri" w:hAnsi="Calibri"/>
        </w:rPr>
      </w:pPr>
      <w:r w:rsidRPr="007D2AC8">
        <w:rPr>
          <w:rFonts w:ascii="Calibri" w:hAnsi="Calibri"/>
        </w:rPr>
        <w:t xml:space="preserve">Does the number of costed events match the volumes reported to the Ministry? If not, why? If costs are not spread over all the services provided i.e. episodes of care are incorrectly excluded then the results will be incorrect. </w:t>
      </w:r>
    </w:p>
    <w:p w:rsidR="007D2AC8" w:rsidRPr="007D2AC8" w:rsidRDefault="007D2AC8" w:rsidP="007D2AC8">
      <w:pPr>
        <w:rPr>
          <w:rFonts w:ascii="Calibri" w:hAnsi="Calibri"/>
        </w:rPr>
      </w:pPr>
    </w:p>
    <w:p w:rsidR="007D2AC8" w:rsidRPr="007D2AC8" w:rsidRDefault="007D2AC8" w:rsidP="007D2AC8">
      <w:pPr>
        <w:rPr>
          <w:rFonts w:ascii="Calibri" w:hAnsi="Calibri"/>
          <w:b/>
          <w:u w:val="single"/>
        </w:rPr>
      </w:pPr>
      <w:r w:rsidRPr="007D2AC8">
        <w:rPr>
          <w:rFonts w:ascii="Calibri" w:hAnsi="Calibri"/>
          <w:u w:val="single"/>
        </w:rPr>
        <w:t>Fluids</w:t>
      </w:r>
    </w:p>
    <w:p w:rsidR="007D2AC8" w:rsidRPr="007D2AC8" w:rsidRDefault="007D2AC8" w:rsidP="007D2AC8">
      <w:pPr>
        <w:rPr>
          <w:rFonts w:ascii="Calibri" w:hAnsi="Calibri"/>
          <w:u w:val="single"/>
        </w:rPr>
      </w:pPr>
      <w:r w:rsidRPr="007D2AC8">
        <w:rPr>
          <w:rFonts w:ascii="Calibri" w:hAnsi="Calibri"/>
        </w:rPr>
        <w:t>Please check that all dialysis events have an allocation of renal fluid costs.  If you provide the service within your DHB the renal fluids should be mapped to DH clinical supplies.  If your service is outsourced, these costs will appear in the DJ outsourced services.  Check the relativities of renal fluid costs between purchase units taking into consideration the differences in the units of measure. </w:t>
      </w:r>
      <w:r w:rsidRPr="007D2AC8">
        <w:rPr>
          <w:rFonts w:ascii="Calibri" w:hAnsi="Calibri"/>
          <w:u w:val="single"/>
        </w:rPr>
        <w:t xml:space="preserve"> </w:t>
      </w:r>
    </w:p>
    <w:p w:rsidR="007D2AC8" w:rsidRPr="007D2AC8" w:rsidRDefault="007D2AC8" w:rsidP="007D2AC8">
      <w:pPr>
        <w:rPr>
          <w:rFonts w:ascii="Calibri" w:hAnsi="Calibri"/>
          <w:u w:val="single"/>
        </w:rPr>
      </w:pPr>
    </w:p>
    <w:p w:rsidR="007D2AC8" w:rsidRPr="007D2AC8" w:rsidRDefault="007D2AC8" w:rsidP="007D2AC8">
      <w:pPr>
        <w:rPr>
          <w:rFonts w:ascii="Calibri" w:hAnsi="Calibri"/>
          <w:u w:val="single"/>
        </w:rPr>
      </w:pPr>
      <w:r w:rsidRPr="007D2AC8">
        <w:rPr>
          <w:rFonts w:ascii="Calibri" w:hAnsi="Calibri"/>
          <w:u w:val="single"/>
        </w:rPr>
        <w:t>Allocation of Doctor Costs</w:t>
      </w:r>
    </w:p>
    <w:p w:rsidR="007D2AC8" w:rsidRPr="007D2AC8" w:rsidRDefault="007D2AC8" w:rsidP="007D2AC8">
      <w:pPr>
        <w:rPr>
          <w:rFonts w:ascii="Calibri" w:hAnsi="Calibri"/>
        </w:rPr>
      </w:pPr>
      <w:r w:rsidRPr="007D2AC8">
        <w:rPr>
          <w:rFonts w:ascii="Calibri" w:hAnsi="Calibri"/>
        </w:rPr>
        <w:t xml:space="preserve">The total amount of Doctor time allocated to each PUC in the costing methodology, should approximately reconcile to an FTE allocation determined by the service as per the Doctors employment contracts. </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lastRenderedPageBreak/>
        <w:t>This audit check can be completed by mapping the RVUs used for costing the service to the renal PUCs and multiplying the RVU by the PUC volumes to get a total RVU Doctor weight for each PUC. The total Doctor FTEs in the service can then be allocated to each PUC in proportion to the PUC’s total RVU Doctor weight. The resulting Doctor FTE calculated under this methodology should then be compared to the allocation of Doctor time, by FTE, to each PUC according to the employment contracts.</w:t>
      </w:r>
    </w:p>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Below is an example of how the FTE allocation for costing can be compare to contracted FTEs.</w:t>
      </w:r>
    </w:p>
    <w:p w:rsidR="007D2AC8" w:rsidRPr="007D2AC8" w:rsidRDefault="007D2AC8" w:rsidP="007D2AC8">
      <w:pPr>
        <w:rPr>
          <w:rFonts w:ascii="Calibri" w:hAnsi="Calibri"/>
        </w:rPr>
      </w:pPr>
    </w:p>
    <w:tbl>
      <w:tblPr>
        <w:tblW w:w="10102" w:type="dxa"/>
        <w:tblInd w:w="-252" w:type="dxa"/>
        <w:tblLayout w:type="fixed"/>
        <w:tblLook w:val="0000" w:firstRow="0" w:lastRow="0" w:firstColumn="0" w:lastColumn="0" w:noHBand="0" w:noVBand="0"/>
      </w:tblPr>
      <w:tblGrid>
        <w:gridCol w:w="900"/>
        <w:gridCol w:w="1980"/>
        <w:gridCol w:w="1260"/>
        <w:gridCol w:w="720"/>
        <w:gridCol w:w="1080"/>
        <w:gridCol w:w="1260"/>
        <w:gridCol w:w="1080"/>
        <w:gridCol w:w="720"/>
        <w:gridCol w:w="1102"/>
      </w:tblGrid>
      <w:tr w:rsidR="007D2AC8" w:rsidRPr="007D2AC8" w:rsidTr="004D6EA9">
        <w:trPr>
          <w:trHeight w:val="58"/>
        </w:trPr>
        <w:tc>
          <w:tcPr>
            <w:tcW w:w="2880" w:type="dxa"/>
            <w:gridSpan w:val="2"/>
            <w:tcBorders>
              <w:top w:val="nil"/>
              <w:left w:val="nil"/>
              <w:bottom w:val="single" w:sz="4" w:space="0" w:color="auto"/>
              <w:right w:val="nil"/>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SMO FTE ANALYSIS</w:t>
            </w:r>
          </w:p>
        </w:tc>
        <w:tc>
          <w:tcPr>
            <w:tcW w:w="1260" w:type="dxa"/>
            <w:tcBorders>
              <w:top w:val="nil"/>
              <w:left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top w:val="nil"/>
              <w:left w:val="nil"/>
              <w:right w:val="nil"/>
            </w:tcBorders>
          </w:tcPr>
          <w:p w:rsidR="007D2AC8" w:rsidRPr="007D2AC8" w:rsidRDefault="007D2AC8" w:rsidP="007D2AC8">
            <w:pPr>
              <w:autoSpaceDE w:val="0"/>
              <w:autoSpaceDN w:val="0"/>
              <w:adjustRightInd w:val="0"/>
              <w:jc w:val="center"/>
              <w:rPr>
                <w:rFonts w:ascii="Calibri" w:hAnsi="Calibri" w:cs="Arial"/>
                <w:sz w:val="20"/>
                <w:szCs w:val="20"/>
              </w:rPr>
            </w:pPr>
          </w:p>
        </w:tc>
        <w:tc>
          <w:tcPr>
            <w:tcW w:w="1080" w:type="dxa"/>
            <w:tcBorders>
              <w:top w:val="nil"/>
              <w:left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260" w:type="dxa"/>
            <w:tcBorders>
              <w:top w:val="nil"/>
              <w:left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080" w:type="dxa"/>
            <w:tcBorders>
              <w:top w:val="nil"/>
              <w:left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top w:val="nil"/>
              <w:left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102" w:type="dxa"/>
            <w:tcBorders>
              <w:top w:val="nil"/>
              <w:left w:val="nil"/>
              <w:right w:val="nil"/>
            </w:tcBorders>
          </w:tcPr>
          <w:p w:rsidR="007D2AC8" w:rsidRPr="007D2AC8" w:rsidRDefault="007D2AC8" w:rsidP="007D2AC8">
            <w:pPr>
              <w:autoSpaceDE w:val="0"/>
              <w:autoSpaceDN w:val="0"/>
              <w:adjustRightInd w:val="0"/>
              <w:jc w:val="center"/>
              <w:rPr>
                <w:rFonts w:ascii="Calibri" w:hAnsi="Calibri" w:cs="Arial"/>
                <w:sz w:val="20"/>
                <w:szCs w:val="20"/>
              </w:rPr>
            </w:pPr>
          </w:p>
        </w:tc>
      </w:tr>
      <w:tr w:rsidR="007D2AC8" w:rsidRPr="007D2AC8" w:rsidTr="004D6EA9">
        <w:trPr>
          <w:trHeight w:val="58"/>
        </w:trPr>
        <w:tc>
          <w:tcPr>
            <w:tcW w:w="2880" w:type="dxa"/>
            <w:gridSpan w:val="2"/>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Radiation Oncology SMO</w:t>
            </w:r>
          </w:p>
        </w:tc>
        <w:tc>
          <w:tcPr>
            <w:tcW w:w="1260" w:type="dxa"/>
            <w:tcBorders>
              <w:left w:val="single" w:sz="4" w:space="0" w:color="auto"/>
              <w:bottom w:val="single" w:sz="6" w:space="0" w:color="auto"/>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left w:val="nil"/>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p>
        </w:tc>
        <w:tc>
          <w:tcPr>
            <w:tcW w:w="1080" w:type="dxa"/>
            <w:tcBorders>
              <w:left w:val="nil"/>
              <w:bottom w:val="single" w:sz="6" w:space="0" w:color="auto"/>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260" w:type="dxa"/>
            <w:tcBorders>
              <w:left w:val="nil"/>
              <w:bottom w:val="single" w:sz="6" w:space="0" w:color="auto"/>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080" w:type="dxa"/>
            <w:tcBorders>
              <w:left w:val="nil"/>
              <w:bottom w:val="single" w:sz="6" w:space="0" w:color="auto"/>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102" w:type="dxa"/>
            <w:tcBorders>
              <w:left w:val="nil"/>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p>
        </w:tc>
      </w:tr>
      <w:tr w:rsidR="007D2AC8" w:rsidRPr="007D2AC8" w:rsidTr="004D6EA9">
        <w:trPr>
          <w:trHeight w:val="58"/>
        </w:trPr>
        <w:tc>
          <w:tcPr>
            <w:tcW w:w="900" w:type="dxa"/>
            <w:tcBorders>
              <w:top w:val="single" w:sz="4"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PUC</w:t>
            </w:r>
          </w:p>
        </w:tc>
        <w:tc>
          <w:tcPr>
            <w:tcW w:w="1980" w:type="dxa"/>
            <w:tcBorders>
              <w:top w:val="single" w:sz="4"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 xml:space="preserve">12 </w:t>
            </w:r>
            <w:proofErr w:type="spellStart"/>
            <w:r w:rsidRPr="007D2AC8">
              <w:rPr>
                <w:rFonts w:ascii="Calibri" w:hAnsi="Calibri" w:cs="Arial"/>
                <w:b/>
                <w:bCs/>
                <w:sz w:val="20"/>
                <w:szCs w:val="20"/>
              </w:rPr>
              <w:t>MthVol</w:t>
            </w:r>
            <w:proofErr w:type="spellEnd"/>
          </w:p>
        </w:tc>
        <w:tc>
          <w:tcPr>
            <w:tcW w:w="72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RVU</w:t>
            </w: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Vol x RVU</w:t>
            </w: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Resource %</w:t>
            </w: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SMO FTEs</w:t>
            </w:r>
          </w:p>
        </w:tc>
        <w:tc>
          <w:tcPr>
            <w:tcW w:w="72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
        </w:tc>
        <w:tc>
          <w:tcPr>
            <w:tcW w:w="1102"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roofErr w:type="spellStart"/>
            <w:r w:rsidRPr="007D2AC8">
              <w:rPr>
                <w:rFonts w:ascii="Calibri" w:hAnsi="Calibri" w:cs="Arial"/>
                <w:b/>
                <w:bCs/>
                <w:sz w:val="20"/>
                <w:szCs w:val="20"/>
              </w:rPr>
              <w:t>ContFTEs</w:t>
            </w:r>
            <w:proofErr w:type="spellEnd"/>
          </w:p>
        </w:tc>
      </w:tr>
      <w:tr w:rsidR="007D2AC8" w:rsidRPr="007D2AC8" w:rsidTr="004D6EA9">
        <w:trPr>
          <w:trHeight w:val="58"/>
        </w:trPr>
        <w:tc>
          <w:tcPr>
            <w:tcW w:w="900" w:type="dxa"/>
            <w:tcBorders>
              <w:top w:val="single" w:sz="6" w:space="0" w:color="auto"/>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M50001</w:t>
            </w:r>
          </w:p>
        </w:tc>
        <w:tc>
          <w:tcPr>
            <w:tcW w:w="1980" w:type="dxa"/>
            <w:tcBorders>
              <w:top w:val="single" w:sz="6" w:space="0" w:color="auto"/>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CBUDAY-</w:t>
            </w:r>
            <w:proofErr w:type="spellStart"/>
            <w:r w:rsidRPr="007D2AC8">
              <w:rPr>
                <w:rFonts w:ascii="Calibri" w:hAnsi="Calibri" w:cs="Arial"/>
                <w:sz w:val="20"/>
                <w:szCs w:val="20"/>
              </w:rPr>
              <w:t>RadOnc</w:t>
            </w:r>
            <w:proofErr w:type="spellEnd"/>
          </w:p>
        </w:tc>
        <w:tc>
          <w:tcPr>
            <w:tcW w:w="1260" w:type="dxa"/>
            <w:tcBorders>
              <w:top w:val="single" w:sz="6" w:space="0" w:color="auto"/>
              <w:left w:val="single" w:sz="6" w:space="0" w:color="auto"/>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2,866</w:t>
            </w:r>
          </w:p>
        </w:tc>
        <w:tc>
          <w:tcPr>
            <w:tcW w:w="72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31.00</w:t>
            </w:r>
          </w:p>
        </w:tc>
        <w:tc>
          <w:tcPr>
            <w:tcW w:w="108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88,846</w:t>
            </w:r>
          </w:p>
        </w:tc>
        <w:tc>
          <w:tcPr>
            <w:tcW w:w="1260" w:type="dxa"/>
            <w:tcBorders>
              <w:top w:val="single" w:sz="6" w:space="0" w:color="auto"/>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17.41%</w:t>
            </w:r>
          </w:p>
        </w:tc>
        <w:tc>
          <w:tcPr>
            <w:tcW w:w="108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2.44</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Input</w:t>
            </w:r>
          </w:p>
        </w:tc>
        <w:tc>
          <w:tcPr>
            <w:tcW w:w="1102"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2.50</w:t>
            </w:r>
          </w:p>
        </w:tc>
      </w:tr>
      <w:tr w:rsidR="007D2AC8" w:rsidRPr="007D2AC8" w:rsidTr="004D6EA9">
        <w:trPr>
          <w:trHeight w:val="58"/>
        </w:trPr>
        <w:tc>
          <w:tcPr>
            <w:tcW w:w="90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M50002</w:t>
            </w:r>
          </w:p>
        </w:tc>
        <w:tc>
          <w:tcPr>
            <w:tcW w:w="198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OPT-RADONC-FSA</w:t>
            </w:r>
          </w:p>
        </w:tc>
        <w:tc>
          <w:tcPr>
            <w:tcW w:w="1260" w:type="dxa"/>
            <w:tcBorders>
              <w:top w:val="nil"/>
              <w:left w:val="single" w:sz="6" w:space="0" w:color="auto"/>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2,136</w:t>
            </w:r>
          </w:p>
        </w:tc>
        <w:tc>
          <w:tcPr>
            <w:tcW w:w="72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60.00</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128,160</w:t>
            </w:r>
          </w:p>
        </w:tc>
        <w:tc>
          <w:tcPr>
            <w:tcW w:w="126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25.11%</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3.53</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proofErr w:type="spellStart"/>
            <w:r w:rsidRPr="007D2AC8">
              <w:rPr>
                <w:rFonts w:ascii="Calibri" w:hAnsi="Calibri" w:cs="Arial"/>
                <w:sz w:val="20"/>
                <w:szCs w:val="20"/>
              </w:rPr>
              <w:t>Outpt</w:t>
            </w:r>
            <w:proofErr w:type="spellEnd"/>
          </w:p>
        </w:tc>
        <w:tc>
          <w:tcPr>
            <w:tcW w:w="1102"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3.50</w:t>
            </w:r>
          </w:p>
        </w:tc>
      </w:tr>
      <w:tr w:rsidR="007D2AC8" w:rsidRPr="007D2AC8" w:rsidTr="004D6EA9">
        <w:trPr>
          <w:trHeight w:val="58"/>
        </w:trPr>
        <w:tc>
          <w:tcPr>
            <w:tcW w:w="90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M50003</w:t>
            </w:r>
          </w:p>
        </w:tc>
        <w:tc>
          <w:tcPr>
            <w:tcW w:w="198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OPT-RADONC-FU</w:t>
            </w:r>
          </w:p>
        </w:tc>
        <w:tc>
          <w:tcPr>
            <w:tcW w:w="1260" w:type="dxa"/>
            <w:tcBorders>
              <w:top w:val="nil"/>
              <w:left w:val="single" w:sz="6" w:space="0" w:color="auto"/>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5,494</w:t>
            </w:r>
          </w:p>
        </w:tc>
        <w:tc>
          <w:tcPr>
            <w:tcW w:w="72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20.00</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109,880</w:t>
            </w:r>
          </w:p>
        </w:tc>
        <w:tc>
          <w:tcPr>
            <w:tcW w:w="126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21.53%</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3.03</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proofErr w:type="spellStart"/>
            <w:r w:rsidRPr="007D2AC8">
              <w:rPr>
                <w:rFonts w:ascii="Calibri" w:hAnsi="Calibri" w:cs="Arial"/>
                <w:sz w:val="20"/>
                <w:szCs w:val="20"/>
              </w:rPr>
              <w:t>Outpt</w:t>
            </w:r>
            <w:proofErr w:type="spellEnd"/>
          </w:p>
        </w:tc>
        <w:tc>
          <w:tcPr>
            <w:tcW w:w="1102"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3.00</w:t>
            </w:r>
          </w:p>
        </w:tc>
      </w:tr>
      <w:tr w:rsidR="007D2AC8" w:rsidRPr="007D2AC8" w:rsidTr="004D6EA9">
        <w:trPr>
          <w:trHeight w:val="58"/>
        </w:trPr>
        <w:tc>
          <w:tcPr>
            <w:tcW w:w="900" w:type="dxa"/>
            <w:tcBorders>
              <w:top w:val="nil"/>
              <w:left w:val="single" w:sz="6" w:space="0" w:color="auto"/>
              <w:bottom w:val="single" w:sz="4" w:space="0" w:color="auto"/>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M50005</w:t>
            </w:r>
          </w:p>
        </w:tc>
        <w:tc>
          <w:tcPr>
            <w:tcW w:w="1980" w:type="dxa"/>
            <w:tcBorders>
              <w:top w:val="nil"/>
              <w:left w:val="single" w:sz="6" w:space="0" w:color="auto"/>
              <w:bottom w:val="single" w:sz="4" w:space="0" w:color="auto"/>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OPT-RADONC-Radio</w:t>
            </w:r>
          </w:p>
        </w:tc>
        <w:tc>
          <w:tcPr>
            <w:tcW w:w="1260" w:type="dxa"/>
            <w:tcBorders>
              <w:top w:val="nil"/>
              <w:left w:val="single" w:sz="6" w:space="0" w:color="auto"/>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36,715</w:t>
            </w:r>
          </w:p>
        </w:tc>
        <w:tc>
          <w:tcPr>
            <w:tcW w:w="720" w:type="dxa"/>
            <w:tcBorders>
              <w:top w:val="nil"/>
              <w:left w:val="nil"/>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5.00</w:t>
            </w:r>
          </w:p>
        </w:tc>
        <w:tc>
          <w:tcPr>
            <w:tcW w:w="1080" w:type="dxa"/>
            <w:tcBorders>
              <w:top w:val="nil"/>
              <w:left w:val="nil"/>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183,575</w:t>
            </w:r>
          </w:p>
        </w:tc>
        <w:tc>
          <w:tcPr>
            <w:tcW w:w="1260" w:type="dxa"/>
            <w:tcBorders>
              <w:top w:val="nil"/>
              <w:left w:val="nil"/>
              <w:bottom w:val="single" w:sz="4" w:space="0" w:color="auto"/>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35.96%</w:t>
            </w:r>
          </w:p>
        </w:tc>
        <w:tc>
          <w:tcPr>
            <w:tcW w:w="1080" w:type="dxa"/>
            <w:tcBorders>
              <w:top w:val="nil"/>
              <w:left w:val="nil"/>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5.06</w:t>
            </w:r>
          </w:p>
        </w:tc>
        <w:tc>
          <w:tcPr>
            <w:tcW w:w="720" w:type="dxa"/>
            <w:tcBorders>
              <w:top w:val="nil"/>
              <w:left w:val="nil"/>
              <w:right w:val="nil"/>
            </w:tcBorders>
          </w:tcPr>
          <w:p w:rsidR="007D2AC8" w:rsidRPr="007D2AC8" w:rsidRDefault="007D2AC8" w:rsidP="007D2AC8">
            <w:pPr>
              <w:autoSpaceDE w:val="0"/>
              <w:autoSpaceDN w:val="0"/>
              <w:adjustRightInd w:val="0"/>
              <w:rPr>
                <w:rFonts w:ascii="Calibri" w:hAnsi="Calibri" w:cs="Arial"/>
                <w:sz w:val="20"/>
                <w:szCs w:val="20"/>
              </w:rPr>
            </w:pPr>
            <w:proofErr w:type="spellStart"/>
            <w:r w:rsidRPr="007D2AC8">
              <w:rPr>
                <w:rFonts w:ascii="Calibri" w:hAnsi="Calibri" w:cs="Arial"/>
                <w:sz w:val="20"/>
                <w:szCs w:val="20"/>
              </w:rPr>
              <w:t>Outpt</w:t>
            </w:r>
            <w:proofErr w:type="spellEnd"/>
          </w:p>
        </w:tc>
        <w:tc>
          <w:tcPr>
            <w:tcW w:w="1102" w:type="dxa"/>
            <w:tcBorders>
              <w:top w:val="nil"/>
              <w:left w:val="nil"/>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5.06</w:t>
            </w:r>
          </w:p>
        </w:tc>
      </w:tr>
      <w:tr w:rsidR="007D2AC8" w:rsidRPr="007D2AC8" w:rsidTr="004D6EA9">
        <w:trPr>
          <w:trHeight w:val="58"/>
        </w:trPr>
        <w:tc>
          <w:tcPr>
            <w:tcW w:w="900" w:type="dxa"/>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 xml:space="preserve">Total </w:t>
            </w:r>
          </w:p>
        </w:tc>
        <w:tc>
          <w:tcPr>
            <w:tcW w:w="1980" w:type="dxa"/>
            <w:tcBorders>
              <w:top w:val="single" w:sz="4" w:space="0" w:color="auto"/>
              <w:left w:val="single" w:sz="4" w:space="0" w:color="auto"/>
              <w:bottom w:val="single" w:sz="4" w:space="0" w:color="auto"/>
              <w:right w:val="single" w:sz="6"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47,211</w:t>
            </w:r>
          </w:p>
        </w:tc>
        <w:tc>
          <w:tcPr>
            <w:tcW w:w="720" w:type="dxa"/>
            <w:tcBorders>
              <w:top w:val="single" w:sz="4" w:space="0" w:color="auto"/>
              <w:left w:val="single" w:sz="6" w:space="0" w:color="auto"/>
              <w:bottom w:val="single" w:sz="4"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
        </w:tc>
        <w:tc>
          <w:tcPr>
            <w:tcW w:w="1080" w:type="dxa"/>
            <w:tcBorders>
              <w:top w:val="single" w:sz="4" w:space="0" w:color="auto"/>
              <w:left w:val="single" w:sz="6" w:space="0" w:color="auto"/>
              <w:bottom w:val="single" w:sz="4" w:space="0" w:color="auto"/>
              <w:right w:val="single" w:sz="4"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510,461</w:t>
            </w:r>
          </w:p>
        </w:tc>
        <w:tc>
          <w:tcPr>
            <w:tcW w:w="1260" w:type="dxa"/>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r w:rsidRPr="007D2AC8">
              <w:rPr>
                <w:rFonts w:ascii="Calibri" w:hAnsi="Calibri" w:cs="Arial"/>
                <w:b/>
                <w:bCs/>
                <w:sz w:val="20"/>
                <w:szCs w:val="20"/>
              </w:rPr>
              <w:t>100.00%</w:t>
            </w:r>
          </w:p>
        </w:tc>
        <w:tc>
          <w:tcPr>
            <w:tcW w:w="1080" w:type="dxa"/>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14.06</w:t>
            </w:r>
          </w:p>
        </w:tc>
        <w:tc>
          <w:tcPr>
            <w:tcW w:w="720" w:type="dxa"/>
            <w:tcBorders>
              <w:left w:val="single" w:sz="4" w:space="0" w:color="auto"/>
              <w:right w:val="single" w:sz="4"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p>
        </w:tc>
        <w:tc>
          <w:tcPr>
            <w:tcW w:w="1102" w:type="dxa"/>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jc w:val="center"/>
              <w:rPr>
                <w:rFonts w:ascii="Calibri" w:hAnsi="Calibri" w:cs="Arial"/>
                <w:b/>
                <w:sz w:val="20"/>
                <w:szCs w:val="20"/>
              </w:rPr>
            </w:pPr>
            <w:r w:rsidRPr="007D2AC8">
              <w:rPr>
                <w:rFonts w:ascii="Calibri" w:hAnsi="Calibri" w:cs="Arial"/>
                <w:b/>
                <w:sz w:val="20"/>
                <w:szCs w:val="20"/>
              </w:rPr>
              <w:t>14.06</w:t>
            </w:r>
          </w:p>
        </w:tc>
      </w:tr>
      <w:tr w:rsidR="007D2AC8" w:rsidRPr="007D2AC8" w:rsidTr="004D6EA9">
        <w:trPr>
          <w:trHeight w:val="58"/>
        </w:trPr>
        <w:tc>
          <w:tcPr>
            <w:tcW w:w="90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98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26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p>
        </w:tc>
        <w:tc>
          <w:tcPr>
            <w:tcW w:w="108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26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08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720" w:type="dxa"/>
            <w:tcBorders>
              <w:left w:val="nil"/>
              <w:bottom w:val="nil"/>
              <w:right w:val="nil"/>
            </w:tcBorders>
          </w:tcPr>
          <w:p w:rsidR="007D2AC8" w:rsidRPr="007D2AC8" w:rsidRDefault="007D2AC8" w:rsidP="007D2AC8">
            <w:pPr>
              <w:autoSpaceDE w:val="0"/>
              <w:autoSpaceDN w:val="0"/>
              <w:adjustRightInd w:val="0"/>
              <w:jc w:val="right"/>
              <w:rPr>
                <w:rFonts w:ascii="Calibri" w:hAnsi="Calibri" w:cs="Arial"/>
                <w:sz w:val="20"/>
                <w:szCs w:val="20"/>
              </w:rPr>
            </w:pPr>
          </w:p>
        </w:tc>
        <w:tc>
          <w:tcPr>
            <w:tcW w:w="1102" w:type="dxa"/>
            <w:tcBorders>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p>
        </w:tc>
      </w:tr>
      <w:tr w:rsidR="007D2AC8" w:rsidRPr="007D2AC8" w:rsidTr="004D6EA9">
        <w:trPr>
          <w:trHeight w:val="58"/>
        </w:trPr>
        <w:tc>
          <w:tcPr>
            <w:tcW w:w="2880" w:type="dxa"/>
            <w:gridSpan w:val="2"/>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Medical Oncology SMO</w:t>
            </w: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 xml:space="preserve">12 </w:t>
            </w:r>
            <w:proofErr w:type="spellStart"/>
            <w:r w:rsidRPr="007D2AC8">
              <w:rPr>
                <w:rFonts w:ascii="Calibri" w:hAnsi="Calibri" w:cs="Arial"/>
                <w:b/>
                <w:bCs/>
                <w:sz w:val="20"/>
                <w:szCs w:val="20"/>
              </w:rPr>
              <w:t>MthVol</w:t>
            </w:r>
            <w:proofErr w:type="spellEnd"/>
          </w:p>
        </w:tc>
        <w:tc>
          <w:tcPr>
            <w:tcW w:w="72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RVU</w:t>
            </w: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Vol x RVU</w:t>
            </w: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Resource %</w:t>
            </w: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SMO FTEs</w:t>
            </w:r>
          </w:p>
        </w:tc>
        <w:tc>
          <w:tcPr>
            <w:tcW w:w="72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
        </w:tc>
        <w:tc>
          <w:tcPr>
            <w:tcW w:w="1102"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roofErr w:type="spellStart"/>
            <w:r w:rsidRPr="007D2AC8">
              <w:rPr>
                <w:rFonts w:ascii="Calibri" w:hAnsi="Calibri" w:cs="Arial"/>
                <w:b/>
                <w:bCs/>
                <w:sz w:val="20"/>
                <w:szCs w:val="20"/>
              </w:rPr>
              <w:t>ContFTEs</w:t>
            </w:r>
            <w:proofErr w:type="spellEnd"/>
          </w:p>
        </w:tc>
      </w:tr>
      <w:tr w:rsidR="007D2AC8" w:rsidRPr="007D2AC8" w:rsidTr="004D6EA9">
        <w:trPr>
          <w:trHeight w:val="58"/>
        </w:trPr>
        <w:tc>
          <w:tcPr>
            <w:tcW w:w="900" w:type="dxa"/>
            <w:tcBorders>
              <w:top w:val="single" w:sz="6" w:space="0" w:color="auto"/>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M50001</w:t>
            </w:r>
          </w:p>
        </w:tc>
        <w:tc>
          <w:tcPr>
            <w:tcW w:w="1980" w:type="dxa"/>
            <w:tcBorders>
              <w:top w:val="single" w:sz="6" w:space="0" w:color="auto"/>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CBUDAY-</w:t>
            </w:r>
            <w:proofErr w:type="spellStart"/>
            <w:r w:rsidRPr="007D2AC8">
              <w:rPr>
                <w:rFonts w:ascii="Calibri" w:hAnsi="Calibri" w:cs="Arial"/>
                <w:sz w:val="20"/>
                <w:szCs w:val="20"/>
              </w:rPr>
              <w:t>MedOnc</w:t>
            </w:r>
            <w:proofErr w:type="spellEnd"/>
          </w:p>
        </w:tc>
        <w:tc>
          <w:tcPr>
            <w:tcW w:w="1260" w:type="dxa"/>
            <w:tcBorders>
              <w:top w:val="single" w:sz="6" w:space="0" w:color="auto"/>
              <w:left w:val="single" w:sz="6" w:space="0" w:color="auto"/>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6,196</w:t>
            </w:r>
          </w:p>
        </w:tc>
        <w:tc>
          <w:tcPr>
            <w:tcW w:w="72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10.00</w:t>
            </w:r>
          </w:p>
        </w:tc>
        <w:tc>
          <w:tcPr>
            <w:tcW w:w="108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61,960</w:t>
            </w:r>
          </w:p>
        </w:tc>
        <w:tc>
          <w:tcPr>
            <w:tcW w:w="1260" w:type="dxa"/>
            <w:tcBorders>
              <w:top w:val="single" w:sz="6" w:space="0" w:color="auto"/>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21.12%</w:t>
            </w:r>
          </w:p>
        </w:tc>
        <w:tc>
          <w:tcPr>
            <w:tcW w:w="1080"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3.27</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Input</w:t>
            </w:r>
          </w:p>
        </w:tc>
        <w:tc>
          <w:tcPr>
            <w:tcW w:w="1102" w:type="dxa"/>
            <w:tcBorders>
              <w:top w:val="single" w:sz="6" w:space="0" w:color="auto"/>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3.30</w:t>
            </w:r>
          </w:p>
        </w:tc>
      </w:tr>
      <w:tr w:rsidR="007D2AC8" w:rsidRPr="007D2AC8" w:rsidTr="004D6EA9">
        <w:trPr>
          <w:trHeight w:val="58"/>
        </w:trPr>
        <w:tc>
          <w:tcPr>
            <w:tcW w:w="90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M50002</w:t>
            </w:r>
          </w:p>
        </w:tc>
        <w:tc>
          <w:tcPr>
            <w:tcW w:w="1980" w:type="dxa"/>
            <w:tcBorders>
              <w:top w:val="nil"/>
              <w:left w:val="single" w:sz="6" w:space="0" w:color="auto"/>
              <w:bottom w:val="nil"/>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OPT-GLMEDONC-FSA</w:t>
            </w:r>
          </w:p>
        </w:tc>
        <w:tc>
          <w:tcPr>
            <w:tcW w:w="1260" w:type="dxa"/>
            <w:tcBorders>
              <w:top w:val="nil"/>
              <w:left w:val="single" w:sz="6" w:space="0" w:color="auto"/>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1,672</w:t>
            </w:r>
          </w:p>
        </w:tc>
        <w:tc>
          <w:tcPr>
            <w:tcW w:w="72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60.00</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100,320</w:t>
            </w:r>
          </w:p>
        </w:tc>
        <w:tc>
          <w:tcPr>
            <w:tcW w:w="126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34.19%</w:t>
            </w:r>
          </w:p>
        </w:tc>
        <w:tc>
          <w:tcPr>
            <w:tcW w:w="1080"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5.30</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proofErr w:type="spellStart"/>
            <w:r w:rsidRPr="007D2AC8">
              <w:rPr>
                <w:rFonts w:ascii="Calibri" w:hAnsi="Calibri" w:cs="Arial"/>
                <w:sz w:val="20"/>
                <w:szCs w:val="20"/>
              </w:rPr>
              <w:t>Outpt</w:t>
            </w:r>
            <w:proofErr w:type="spellEnd"/>
          </w:p>
        </w:tc>
        <w:tc>
          <w:tcPr>
            <w:tcW w:w="1102" w:type="dxa"/>
            <w:tcBorders>
              <w:top w:val="nil"/>
              <w:left w:val="nil"/>
              <w:bottom w:val="nil"/>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5.50</w:t>
            </w:r>
          </w:p>
        </w:tc>
      </w:tr>
      <w:tr w:rsidR="007D2AC8" w:rsidRPr="007D2AC8" w:rsidTr="004D6EA9">
        <w:trPr>
          <w:trHeight w:val="58"/>
        </w:trPr>
        <w:tc>
          <w:tcPr>
            <w:tcW w:w="900" w:type="dxa"/>
            <w:tcBorders>
              <w:top w:val="nil"/>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M50003</w:t>
            </w:r>
          </w:p>
        </w:tc>
        <w:tc>
          <w:tcPr>
            <w:tcW w:w="1980" w:type="dxa"/>
            <w:tcBorders>
              <w:top w:val="nil"/>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OPT-GLMEDONC-FU</w:t>
            </w:r>
          </w:p>
        </w:tc>
        <w:tc>
          <w:tcPr>
            <w:tcW w:w="1260" w:type="dxa"/>
            <w:tcBorders>
              <w:top w:val="nil"/>
              <w:left w:val="single" w:sz="6" w:space="0" w:color="auto"/>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6,557</w:t>
            </w:r>
          </w:p>
        </w:tc>
        <w:tc>
          <w:tcPr>
            <w:tcW w:w="720" w:type="dxa"/>
            <w:tcBorders>
              <w:top w:val="nil"/>
              <w:left w:val="nil"/>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20.00</w:t>
            </w:r>
          </w:p>
        </w:tc>
        <w:tc>
          <w:tcPr>
            <w:tcW w:w="1080" w:type="dxa"/>
            <w:tcBorders>
              <w:top w:val="nil"/>
              <w:left w:val="nil"/>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131,140</w:t>
            </w:r>
          </w:p>
        </w:tc>
        <w:tc>
          <w:tcPr>
            <w:tcW w:w="1260" w:type="dxa"/>
            <w:tcBorders>
              <w:top w:val="nil"/>
              <w:left w:val="nil"/>
              <w:bottom w:val="single" w:sz="6" w:space="0" w:color="auto"/>
              <w:right w:val="nil"/>
            </w:tcBorders>
          </w:tcPr>
          <w:p w:rsidR="007D2AC8" w:rsidRPr="007D2AC8" w:rsidRDefault="007D2AC8" w:rsidP="007D2AC8">
            <w:pPr>
              <w:autoSpaceDE w:val="0"/>
              <w:autoSpaceDN w:val="0"/>
              <w:adjustRightInd w:val="0"/>
              <w:rPr>
                <w:rFonts w:ascii="Calibri" w:hAnsi="Calibri" w:cs="Arial"/>
                <w:sz w:val="20"/>
                <w:szCs w:val="20"/>
              </w:rPr>
            </w:pPr>
            <w:r w:rsidRPr="007D2AC8">
              <w:rPr>
                <w:rFonts w:ascii="Calibri" w:hAnsi="Calibri" w:cs="Arial"/>
                <w:sz w:val="20"/>
                <w:szCs w:val="20"/>
              </w:rPr>
              <w:t>44.69%</w:t>
            </w:r>
          </w:p>
        </w:tc>
        <w:tc>
          <w:tcPr>
            <w:tcW w:w="1080" w:type="dxa"/>
            <w:tcBorders>
              <w:top w:val="nil"/>
              <w:left w:val="nil"/>
              <w:bottom w:val="single" w:sz="6"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6.93</w:t>
            </w:r>
          </w:p>
        </w:tc>
        <w:tc>
          <w:tcPr>
            <w:tcW w:w="720" w:type="dxa"/>
            <w:tcBorders>
              <w:top w:val="nil"/>
              <w:left w:val="nil"/>
              <w:bottom w:val="nil"/>
              <w:right w:val="nil"/>
            </w:tcBorders>
          </w:tcPr>
          <w:p w:rsidR="007D2AC8" w:rsidRPr="007D2AC8" w:rsidRDefault="007D2AC8" w:rsidP="007D2AC8">
            <w:pPr>
              <w:autoSpaceDE w:val="0"/>
              <w:autoSpaceDN w:val="0"/>
              <w:adjustRightInd w:val="0"/>
              <w:rPr>
                <w:rFonts w:ascii="Calibri" w:hAnsi="Calibri" w:cs="Arial"/>
                <w:sz w:val="20"/>
                <w:szCs w:val="20"/>
              </w:rPr>
            </w:pPr>
            <w:proofErr w:type="spellStart"/>
            <w:r w:rsidRPr="007D2AC8">
              <w:rPr>
                <w:rFonts w:ascii="Calibri" w:hAnsi="Calibri" w:cs="Arial"/>
                <w:sz w:val="20"/>
                <w:szCs w:val="20"/>
              </w:rPr>
              <w:t>Outpt</w:t>
            </w:r>
            <w:proofErr w:type="spellEnd"/>
          </w:p>
        </w:tc>
        <w:tc>
          <w:tcPr>
            <w:tcW w:w="1102" w:type="dxa"/>
            <w:tcBorders>
              <w:top w:val="nil"/>
              <w:left w:val="nil"/>
              <w:bottom w:val="single" w:sz="4" w:space="0" w:color="auto"/>
              <w:right w:val="nil"/>
            </w:tcBorders>
          </w:tcPr>
          <w:p w:rsidR="007D2AC8" w:rsidRPr="007D2AC8" w:rsidRDefault="007D2AC8" w:rsidP="007D2AC8">
            <w:pPr>
              <w:autoSpaceDE w:val="0"/>
              <w:autoSpaceDN w:val="0"/>
              <w:adjustRightInd w:val="0"/>
              <w:jc w:val="center"/>
              <w:rPr>
                <w:rFonts w:ascii="Calibri" w:hAnsi="Calibri" w:cs="Arial"/>
                <w:sz w:val="20"/>
                <w:szCs w:val="20"/>
              </w:rPr>
            </w:pPr>
            <w:r w:rsidRPr="007D2AC8">
              <w:rPr>
                <w:rFonts w:ascii="Calibri" w:hAnsi="Calibri" w:cs="Arial"/>
                <w:sz w:val="20"/>
                <w:szCs w:val="20"/>
              </w:rPr>
              <w:t>6.70</w:t>
            </w:r>
          </w:p>
        </w:tc>
      </w:tr>
      <w:tr w:rsidR="007D2AC8" w:rsidRPr="007D2AC8" w:rsidTr="004D6EA9">
        <w:trPr>
          <w:trHeight w:val="58"/>
        </w:trPr>
        <w:tc>
          <w:tcPr>
            <w:tcW w:w="90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rPr>
                <w:rFonts w:ascii="Calibri" w:hAnsi="Calibri" w:cs="Arial"/>
                <w:b/>
                <w:bCs/>
                <w:sz w:val="20"/>
                <w:szCs w:val="20"/>
              </w:rPr>
            </w:pPr>
            <w:r w:rsidRPr="007D2AC8">
              <w:rPr>
                <w:rFonts w:ascii="Calibri" w:hAnsi="Calibri" w:cs="Arial"/>
                <w:b/>
                <w:bCs/>
                <w:sz w:val="20"/>
                <w:szCs w:val="20"/>
              </w:rPr>
              <w:t xml:space="preserve">Total </w:t>
            </w:r>
          </w:p>
        </w:tc>
        <w:tc>
          <w:tcPr>
            <w:tcW w:w="19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14,425</w:t>
            </w:r>
          </w:p>
        </w:tc>
        <w:tc>
          <w:tcPr>
            <w:tcW w:w="72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293,420</w:t>
            </w:r>
          </w:p>
        </w:tc>
        <w:tc>
          <w:tcPr>
            <w:tcW w:w="126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r w:rsidRPr="007D2AC8">
              <w:rPr>
                <w:rFonts w:ascii="Calibri" w:hAnsi="Calibri" w:cs="Arial"/>
                <w:b/>
                <w:bCs/>
                <w:sz w:val="20"/>
                <w:szCs w:val="20"/>
              </w:rPr>
              <w:t>100.00%</w:t>
            </w:r>
          </w:p>
        </w:tc>
        <w:tc>
          <w:tcPr>
            <w:tcW w:w="1080" w:type="dxa"/>
            <w:tcBorders>
              <w:top w:val="single" w:sz="6" w:space="0" w:color="auto"/>
              <w:left w:val="single" w:sz="6" w:space="0" w:color="auto"/>
              <w:bottom w:val="single" w:sz="6" w:space="0" w:color="auto"/>
              <w:right w:val="single" w:sz="6" w:space="0" w:color="auto"/>
            </w:tcBorders>
          </w:tcPr>
          <w:p w:rsidR="007D2AC8" w:rsidRPr="007D2AC8" w:rsidRDefault="007D2AC8" w:rsidP="007D2AC8">
            <w:pPr>
              <w:autoSpaceDE w:val="0"/>
              <w:autoSpaceDN w:val="0"/>
              <w:adjustRightInd w:val="0"/>
              <w:jc w:val="center"/>
              <w:rPr>
                <w:rFonts w:ascii="Calibri" w:hAnsi="Calibri" w:cs="Arial"/>
                <w:b/>
                <w:bCs/>
                <w:sz w:val="20"/>
                <w:szCs w:val="20"/>
              </w:rPr>
            </w:pPr>
            <w:r w:rsidRPr="007D2AC8">
              <w:rPr>
                <w:rFonts w:ascii="Calibri" w:hAnsi="Calibri" w:cs="Arial"/>
                <w:b/>
                <w:bCs/>
                <w:sz w:val="20"/>
                <w:szCs w:val="20"/>
              </w:rPr>
              <w:t>15.5</w:t>
            </w:r>
          </w:p>
        </w:tc>
        <w:tc>
          <w:tcPr>
            <w:tcW w:w="720" w:type="dxa"/>
            <w:tcBorders>
              <w:top w:val="nil"/>
              <w:left w:val="single" w:sz="6" w:space="0" w:color="auto"/>
              <w:bottom w:val="nil"/>
              <w:right w:val="single" w:sz="4" w:space="0" w:color="auto"/>
            </w:tcBorders>
          </w:tcPr>
          <w:p w:rsidR="007D2AC8" w:rsidRPr="007D2AC8" w:rsidRDefault="007D2AC8" w:rsidP="007D2AC8">
            <w:pPr>
              <w:autoSpaceDE w:val="0"/>
              <w:autoSpaceDN w:val="0"/>
              <w:adjustRightInd w:val="0"/>
              <w:jc w:val="right"/>
              <w:rPr>
                <w:rFonts w:ascii="Calibri" w:hAnsi="Calibri" w:cs="Arial"/>
                <w:b/>
                <w:bCs/>
                <w:sz w:val="20"/>
                <w:szCs w:val="20"/>
              </w:rPr>
            </w:pPr>
          </w:p>
        </w:tc>
        <w:tc>
          <w:tcPr>
            <w:tcW w:w="1102" w:type="dxa"/>
            <w:tcBorders>
              <w:top w:val="single" w:sz="4" w:space="0" w:color="auto"/>
              <w:left w:val="single" w:sz="4" w:space="0" w:color="auto"/>
              <w:bottom w:val="single" w:sz="4" w:space="0" w:color="auto"/>
              <w:right w:val="single" w:sz="4" w:space="0" w:color="auto"/>
            </w:tcBorders>
          </w:tcPr>
          <w:p w:rsidR="007D2AC8" w:rsidRPr="007D2AC8" w:rsidRDefault="007D2AC8" w:rsidP="007D2AC8">
            <w:pPr>
              <w:autoSpaceDE w:val="0"/>
              <w:autoSpaceDN w:val="0"/>
              <w:adjustRightInd w:val="0"/>
              <w:jc w:val="center"/>
              <w:rPr>
                <w:rFonts w:ascii="Calibri" w:hAnsi="Calibri" w:cs="Arial"/>
                <w:b/>
                <w:sz w:val="20"/>
                <w:szCs w:val="20"/>
              </w:rPr>
            </w:pPr>
            <w:r w:rsidRPr="007D2AC8">
              <w:rPr>
                <w:rFonts w:ascii="Calibri" w:hAnsi="Calibri" w:cs="Arial"/>
                <w:b/>
                <w:sz w:val="20"/>
                <w:szCs w:val="20"/>
              </w:rPr>
              <w:t>15.5</w:t>
            </w:r>
          </w:p>
        </w:tc>
      </w:tr>
    </w:tbl>
    <w:p w:rsidR="007D2AC8" w:rsidRPr="007D2AC8" w:rsidRDefault="007D2AC8" w:rsidP="007D2AC8">
      <w:pPr>
        <w:rPr>
          <w:rFonts w:ascii="Calibri" w:hAnsi="Calibri"/>
        </w:rPr>
      </w:pPr>
    </w:p>
    <w:p w:rsidR="007D2AC8" w:rsidRPr="007D2AC8" w:rsidRDefault="007D2AC8" w:rsidP="007D2AC8">
      <w:pPr>
        <w:rPr>
          <w:rFonts w:ascii="Calibri" w:hAnsi="Calibri"/>
        </w:rPr>
      </w:pPr>
      <w:r w:rsidRPr="007D2AC8">
        <w:rPr>
          <w:rFonts w:ascii="Calibri" w:hAnsi="Calibri"/>
        </w:rPr>
        <w:t xml:space="preserve">The contracted </w:t>
      </w:r>
      <w:proofErr w:type="spellStart"/>
      <w:r w:rsidRPr="007D2AC8">
        <w:rPr>
          <w:rFonts w:ascii="Calibri" w:hAnsi="Calibri"/>
        </w:rPr>
        <w:t>fte</w:t>
      </w:r>
      <w:proofErr w:type="spellEnd"/>
      <w:r w:rsidRPr="007D2AC8">
        <w:rPr>
          <w:rFonts w:ascii="Calibri" w:hAnsi="Calibri"/>
        </w:rPr>
        <w:t xml:space="preserve"> figure e.g. 14.06 is prorated over the PUCs based on the resource percentages, e.g. 2.44 for M50001 was determined by multiplying 17.41% by 14.06.</w:t>
      </w:r>
    </w:p>
    <w:p w:rsidR="007D2AC8" w:rsidRPr="007D2AC8" w:rsidRDefault="007D2AC8" w:rsidP="007D2AC8">
      <w:pPr>
        <w:rPr>
          <w:rFonts w:ascii="Calibri" w:hAnsi="Calibri"/>
          <w:color w:val="808080"/>
        </w:rPr>
      </w:pPr>
    </w:p>
    <w:p w:rsidR="007D2AC8" w:rsidRPr="007D2AC8" w:rsidRDefault="007D2AC8" w:rsidP="007D2AC8">
      <w:pPr>
        <w:keepNext/>
        <w:spacing w:before="240" w:after="60"/>
        <w:outlineLvl w:val="2"/>
        <w:rPr>
          <w:rFonts w:ascii="Calibri" w:hAnsi="Calibri" w:cs="Arial"/>
          <w:b/>
          <w:bCs/>
          <w:sz w:val="26"/>
          <w:szCs w:val="26"/>
        </w:rPr>
      </w:pPr>
      <w:r w:rsidRPr="007D2AC8">
        <w:rPr>
          <w:rFonts w:ascii="Calibri" w:hAnsi="Calibri" w:cs="Arial"/>
          <w:b/>
          <w:bCs/>
          <w:sz w:val="26"/>
          <w:szCs w:val="26"/>
        </w:rPr>
        <w:t>1) Renal specific audit checks by PUC</w:t>
      </w:r>
    </w:p>
    <w:p w:rsidR="007D2AC8" w:rsidRPr="007D2AC8" w:rsidRDefault="007D2AC8" w:rsidP="007D2AC8">
      <w:pPr>
        <w:jc w:val="left"/>
        <w:rPr>
          <w:rFonts w:ascii="Calibri" w:hAnsi="Calibri"/>
        </w:rPr>
      </w:pPr>
      <w:r w:rsidRPr="007D2AC8">
        <w:rPr>
          <w:rFonts w:ascii="Calibri" w:hAnsi="Calibri"/>
        </w:rPr>
        <w:t>Refer to standards for treatment of overheads</w:t>
      </w:r>
    </w:p>
    <w:tbl>
      <w:tblPr>
        <w:tblW w:w="8855" w:type="dxa"/>
        <w:tblInd w:w="93" w:type="dxa"/>
        <w:tblLook w:val="04A0" w:firstRow="1" w:lastRow="0" w:firstColumn="1" w:lastColumn="0" w:noHBand="0" w:noVBand="1"/>
      </w:tblPr>
      <w:tblGrid>
        <w:gridCol w:w="8855"/>
      </w:tblGrid>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p>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M60001 - Renal Medicine - Inpatient Services (</w:t>
            </w:r>
            <w:proofErr w:type="spellStart"/>
            <w:r w:rsidRPr="007D2AC8">
              <w:rPr>
                <w:rFonts w:ascii="Calibri" w:hAnsi="Calibri" w:cs="Arial"/>
                <w:b/>
                <w:sz w:val="22"/>
                <w:szCs w:val="22"/>
                <w:lang w:eastAsia="en-NZ"/>
              </w:rPr>
              <w:t>Caseweights</w:t>
            </w:r>
            <w:proofErr w:type="spellEnd"/>
            <w:r w:rsidRPr="007D2AC8">
              <w:rPr>
                <w:rFonts w:ascii="Calibri" w:hAnsi="Calibri" w:cs="Arial"/>
                <w:b/>
                <w:sz w:val="22"/>
                <w:szCs w:val="22"/>
                <w:lang w:eastAsia="en-NZ"/>
              </w:rPr>
              <w:t xml:space="preserve">) </w:t>
            </w:r>
          </w:p>
          <w:p w:rsidR="007D2AC8" w:rsidRPr="007D2AC8" w:rsidRDefault="007D2AC8" w:rsidP="007D2AC8">
            <w:pPr>
              <w:jc w:val="left"/>
              <w:rPr>
                <w:rFonts w:ascii="Calibri" w:hAnsi="Calibri"/>
              </w:rPr>
            </w:pPr>
            <w:r w:rsidRPr="007D2AC8">
              <w:rPr>
                <w:rFonts w:ascii="Calibri" w:hAnsi="Calibri"/>
              </w:rPr>
              <w:t xml:space="preserve">The cost of this PUC should be dominated by CS7 category A010 Ward Costs and A030 Medical &amp; Surgical Officer </w:t>
            </w:r>
          </w:p>
          <w:p w:rsidR="007D2AC8" w:rsidRPr="007D2AC8" w:rsidRDefault="007D2AC8" w:rsidP="007D2AC8">
            <w:pPr>
              <w:jc w:val="left"/>
              <w:rPr>
                <w:rFonts w:ascii="Calibri" w:hAnsi="Calibri" w:cs="Arial"/>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M60002- Renal Medicine - 1st attendance (Attendance)</w:t>
            </w:r>
          </w:p>
          <w:p w:rsidR="007D2AC8" w:rsidRPr="007D2AC8" w:rsidRDefault="007D2AC8" w:rsidP="007D2AC8">
            <w:pPr>
              <w:ind w:right="-1049"/>
              <w:jc w:val="left"/>
              <w:rPr>
                <w:rFonts w:ascii="Calibri" w:hAnsi="Calibri" w:cs="Arial"/>
                <w:i/>
                <w:sz w:val="22"/>
                <w:szCs w:val="22"/>
              </w:rPr>
            </w:pPr>
            <w:r w:rsidRPr="007D2AC8">
              <w:rPr>
                <w:rFonts w:ascii="Calibri" w:hAnsi="Calibri" w:cs="Arial"/>
                <w:i/>
                <w:sz w:val="22"/>
                <w:szCs w:val="22"/>
              </w:rPr>
              <w:t>First attendance to nephrologist or medical officer at registrar level or above or nurse practitioner for specialist assessment.</w:t>
            </w:r>
          </w:p>
          <w:p w:rsidR="007D2AC8" w:rsidRPr="007D2AC8" w:rsidRDefault="007D2AC8" w:rsidP="007D2AC8">
            <w:pPr>
              <w:jc w:val="left"/>
              <w:rPr>
                <w:rFonts w:ascii="Calibri" w:hAnsi="Calibri"/>
              </w:rPr>
            </w:pPr>
            <w:r w:rsidRPr="007D2AC8">
              <w:rPr>
                <w:rFonts w:ascii="Calibri" w:hAnsi="Calibri"/>
              </w:rPr>
              <w:t>The cost of this PUC should be dominated by A030 Medical &amp; Surgical Officer and A040 Laboratory</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M60003 - Renal Medicine - Subsequent attendance (Attendance)</w:t>
            </w:r>
          </w:p>
          <w:p w:rsidR="007D2AC8" w:rsidRPr="007D2AC8" w:rsidRDefault="007D2AC8" w:rsidP="007D2AC8">
            <w:pPr>
              <w:ind w:right="-624"/>
              <w:jc w:val="left"/>
              <w:rPr>
                <w:rFonts w:ascii="Calibri" w:hAnsi="Calibri" w:cs="Arial"/>
                <w:i/>
                <w:sz w:val="22"/>
                <w:szCs w:val="22"/>
                <w:lang w:eastAsia="en-NZ"/>
              </w:rPr>
            </w:pPr>
            <w:r w:rsidRPr="007D2AC8">
              <w:rPr>
                <w:rFonts w:ascii="Calibri" w:hAnsi="Calibri" w:cs="Arial"/>
                <w:i/>
                <w:sz w:val="22"/>
                <w:szCs w:val="22"/>
                <w:lang w:eastAsia="en-NZ"/>
              </w:rPr>
              <w:t>Follow-up attendances to nephrologist or medical officer at registrar level or above or nurse practitioner.  Excludes dialysis.</w:t>
            </w:r>
          </w:p>
          <w:p w:rsidR="007D2AC8" w:rsidRPr="007D2AC8" w:rsidRDefault="007D2AC8" w:rsidP="007D2AC8">
            <w:pPr>
              <w:jc w:val="left"/>
              <w:rPr>
                <w:rFonts w:ascii="Calibri" w:hAnsi="Calibri"/>
              </w:rPr>
            </w:pPr>
            <w:r w:rsidRPr="007D2AC8">
              <w:rPr>
                <w:rFonts w:ascii="Calibri" w:hAnsi="Calibri"/>
              </w:rPr>
              <w:t>The cost of this PUC should be dominated by A030 Medical &amp; Surgical Officer and A040 Laboratory</w:t>
            </w:r>
          </w:p>
          <w:p w:rsidR="007D2AC8" w:rsidRPr="007D2AC8" w:rsidRDefault="007D2AC8" w:rsidP="007D2AC8">
            <w:pPr>
              <w:jc w:val="left"/>
              <w:rPr>
                <w:rFonts w:ascii="Calibri" w:hAnsi="Calibri"/>
              </w:rPr>
            </w:pPr>
            <w:r w:rsidRPr="007D2AC8">
              <w:rPr>
                <w:rFonts w:ascii="Calibri" w:hAnsi="Calibri"/>
              </w:rPr>
              <w:t>There should be only a small amount of</w:t>
            </w:r>
            <w:r w:rsidRPr="007D2AC8">
              <w:t xml:space="preserve"> </w:t>
            </w:r>
            <w:r w:rsidRPr="007D2AC8">
              <w:rPr>
                <w:rFonts w:ascii="Calibri" w:hAnsi="Calibri"/>
              </w:rPr>
              <w:t>A090 Pharmacy</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p>
          <w:p w:rsidR="007D2AC8" w:rsidRPr="007D2AC8" w:rsidRDefault="007D2AC8" w:rsidP="007D2AC8">
            <w:pPr>
              <w:jc w:val="left"/>
              <w:rPr>
                <w:rFonts w:ascii="Calibri" w:hAnsi="Calibri" w:cs="Arial"/>
                <w:b/>
                <w:sz w:val="22"/>
                <w:szCs w:val="22"/>
                <w:lang w:eastAsia="en-NZ"/>
              </w:rPr>
            </w:pPr>
          </w:p>
          <w:p w:rsidR="007D2AC8" w:rsidRPr="007D2AC8" w:rsidRDefault="007D2AC8" w:rsidP="007D2AC8">
            <w:pPr>
              <w:jc w:val="left"/>
              <w:rPr>
                <w:rFonts w:ascii="Calibri" w:hAnsi="Calibri" w:cs="Arial"/>
                <w:b/>
                <w:sz w:val="22"/>
                <w:szCs w:val="22"/>
                <w:lang w:eastAsia="en-NZ"/>
              </w:rPr>
            </w:pPr>
          </w:p>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lastRenderedPageBreak/>
              <w:t>M60004 - Renal Medicine - Recurrent home based CAPD (Patient Month)</w:t>
            </w:r>
          </w:p>
          <w:p w:rsidR="007D2AC8" w:rsidRPr="007D2AC8" w:rsidRDefault="007D2AC8" w:rsidP="007D2AC8">
            <w:pPr>
              <w:jc w:val="left"/>
              <w:rPr>
                <w:rFonts w:ascii="Calibri" w:hAnsi="Calibri" w:cs="Arial"/>
                <w:i/>
                <w:sz w:val="22"/>
                <w:szCs w:val="22"/>
                <w:lang w:eastAsia="en-NZ"/>
              </w:rPr>
            </w:pPr>
            <w:r w:rsidRPr="007D2AC8">
              <w:rPr>
                <w:rFonts w:ascii="Calibri" w:hAnsi="Calibri" w:cs="Arial"/>
                <w:i/>
                <w:sz w:val="22"/>
                <w:szCs w:val="22"/>
                <w:lang w:eastAsia="en-NZ"/>
              </w:rPr>
              <w:t>Programme of home-based treatment for patients requiring long term continuous ambulatory peritoneal dialysis - treatment component only.  Includes patient/family support and monitoring, ongoing equipment required including repair and maintenance.</w:t>
            </w:r>
          </w:p>
          <w:p w:rsidR="007D2AC8" w:rsidRPr="007D2AC8" w:rsidRDefault="007D2AC8" w:rsidP="007D2AC8">
            <w:pPr>
              <w:jc w:val="left"/>
              <w:rPr>
                <w:rFonts w:ascii="Calibri" w:hAnsi="Calibri"/>
              </w:rPr>
            </w:pPr>
            <w:r w:rsidRPr="007D2AC8">
              <w:rPr>
                <w:rFonts w:ascii="Calibri" w:hAnsi="Calibri"/>
              </w:rPr>
              <w:t>The cost of this PUC should be dominated by CS2 DH Clinical Supplies (Renal Fluids).  Some DHBs outsource the supplies and equipment and therefore costs will appear under CS2 DJ Outsourced Clinical Services.  CS7 B030 Community Domiciliary Services if it is community Renal.  Staff costs will typically comprise of CS2 DO Allied Health Technician Labour and DB Nursing Labour.  SMO and RMO costs are excluded from this PUC.</w:t>
            </w:r>
          </w:p>
          <w:p w:rsidR="007D2AC8" w:rsidRPr="007D2AC8" w:rsidRDefault="007D2AC8" w:rsidP="007D2AC8">
            <w:pPr>
              <w:jc w:val="left"/>
              <w:rPr>
                <w:rFonts w:ascii="Calibri" w:hAnsi="Calibri"/>
              </w:rPr>
            </w:pPr>
            <w:r w:rsidRPr="007D2AC8">
              <w:rPr>
                <w:rFonts w:ascii="Calibri" w:hAnsi="Calibri"/>
              </w:rPr>
              <w:t xml:space="preserve">A090 Pharmacy and </w:t>
            </w:r>
            <w:r w:rsidRPr="007D2AC8">
              <w:rPr>
                <w:rFonts w:ascii="Calibri" w:hAnsi="Calibri"/>
                <w:color w:val="000000"/>
              </w:rPr>
              <w:t>A040 Laboratory costs may map to this PUC.</w:t>
            </w:r>
          </w:p>
          <w:p w:rsidR="007D2AC8" w:rsidRPr="007D2AC8" w:rsidRDefault="007D2AC8" w:rsidP="007D2AC8">
            <w:pPr>
              <w:jc w:val="left"/>
              <w:rPr>
                <w:rFonts w:ascii="Calibri" w:hAnsi="Calibri"/>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lastRenderedPageBreak/>
              <w:t>M60005 - Renal Medicine - CAPD Training (Client)</w:t>
            </w:r>
          </w:p>
          <w:p w:rsidR="007D2AC8" w:rsidRPr="007D2AC8" w:rsidRDefault="007D2AC8" w:rsidP="007D2AC8">
            <w:pPr>
              <w:jc w:val="left"/>
              <w:rPr>
                <w:rFonts w:ascii="Calibri" w:hAnsi="Calibri"/>
                <w:i/>
              </w:rPr>
            </w:pPr>
            <w:r w:rsidRPr="007D2AC8">
              <w:rPr>
                <w:rFonts w:ascii="Calibri" w:hAnsi="Calibri"/>
                <w:i/>
              </w:rPr>
              <w:t>Initial training and education of patients in self-management of continuous ambulatory peritoneal dialysis in their home.  Includes patient/family education, initial equipment required, home modifications.</w:t>
            </w:r>
          </w:p>
          <w:p w:rsidR="007D2AC8" w:rsidRPr="007D2AC8" w:rsidRDefault="007D2AC8" w:rsidP="007D2AC8">
            <w:pPr>
              <w:jc w:val="left"/>
              <w:rPr>
                <w:rFonts w:ascii="Calibri" w:hAnsi="Calibri"/>
              </w:rPr>
            </w:pPr>
            <w:r w:rsidRPr="007D2AC8">
              <w:rPr>
                <w:rFonts w:ascii="Calibri" w:hAnsi="Calibri"/>
              </w:rPr>
              <w:t>This PUC only includes costs over and above the normal monthly renal treatment costs.</w:t>
            </w:r>
          </w:p>
          <w:p w:rsidR="007D2AC8" w:rsidRPr="007D2AC8" w:rsidRDefault="007D2AC8" w:rsidP="007D2AC8">
            <w:pPr>
              <w:jc w:val="left"/>
              <w:rPr>
                <w:rFonts w:ascii="Calibri" w:hAnsi="Calibri"/>
              </w:rPr>
            </w:pPr>
            <w:r w:rsidRPr="007D2AC8">
              <w:rPr>
                <w:rFonts w:ascii="Calibri" w:hAnsi="Calibri"/>
              </w:rPr>
              <w:t>The cost of this PUC should be dominated by personnel, fluid, and machines specifically for training.  Both CS2 DB Nursing Labour and DO Allied Health Technician Labour are potentially included.</w:t>
            </w:r>
          </w:p>
          <w:p w:rsidR="007D2AC8" w:rsidRPr="007D2AC8" w:rsidRDefault="007D2AC8" w:rsidP="007D2AC8">
            <w:pPr>
              <w:jc w:val="left"/>
              <w:rPr>
                <w:rFonts w:ascii="Calibri" w:hAnsi="Calibri"/>
              </w:rPr>
            </w:pPr>
            <w:r w:rsidRPr="007D2AC8">
              <w:rPr>
                <w:rFonts w:ascii="Calibri" w:hAnsi="Calibri"/>
              </w:rPr>
              <w:t xml:space="preserve">There should be no A090 Pharmacy and </w:t>
            </w:r>
            <w:r w:rsidRPr="007D2AC8">
              <w:rPr>
                <w:rFonts w:ascii="Calibri" w:hAnsi="Calibri"/>
                <w:color w:val="000000"/>
              </w:rPr>
              <w:t>A040 Laboratory costs.  These instead should be allocated to the FSA/FU or the monthly PUC.</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M60006 - Renal Medicine - Recurrent home based Haemodialysis (Patient Month)</w:t>
            </w:r>
          </w:p>
          <w:p w:rsidR="007D2AC8" w:rsidRPr="007D2AC8" w:rsidRDefault="007D2AC8" w:rsidP="007D2AC8">
            <w:pPr>
              <w:jc w:val="left"/>
              <w:rPr>
                <w:rFonts w:ascii="Calibri" w:hAnsi="Calibri"/>
                <w:i/>
              </w:rPr>
            </w:pPr>
            <w:r w:rsidRPr="007D2AC8">
              <w:rPr>
                <w:rFonts w:ascii="Calibri" w:hAnsi="Calibri"/>
                <w:i/>
              </w:rPr>
              <w:t>Programme of home-based treatment for patients requiring long term haemodialysis - treatment component only. Includes patient/family support and monitoring, ongoing equipment required including repair and maintenance. Payment is based on a monthly count of patients.</w:t>
            </w:r>
          </w:p>
          <w:p w:rsidR="007D2AC8" w:rsidRPr="007D2AC8" w:rsidRDefault="007D2AC8" w:rsidP="007D2AC8">
            <w:pPr>
              <w:jc w:val="left"/>
              <w:rPr>
                <w:rFonts w:ascii="Calibri" w:hAnsi="Calibri"/>
              </w:rPr>
            </w:pPr>
            <w:r w:rsidRPr="007D2AC8">
              <w:rPr>
                <w:rFonts w:ascii="Calibri" w:hAnsi="Calibri"/>
              </w:rPr>
              <w:t xml:space="preserve">The cost of this PUC should be dominated by CS2 DH Clinical Supplies (Renal Fluids).  Some DHBs outsource the supplies and equipment and therefore costs will appear under CS2 DJ Outsourced Clinical Services.  CS7 B030 Community Domiciliary Services if it is community Renal.  Staff costs will typically comprise of CS2 DO Allied Health Technician Labour and DB Nursing Labour. SMO and RMO costs are excluded from this PUC. </w:t>
            </w:r>
          </w:p>
          <w:p w:rsidR="007D2AC8" w:rsidRPr="007D2AC8" w:rsidRDefault="007D2AC8" w:rsidP="007D2AC8">
            <w:pPr>
              <w:jc w:val="left"/>
              <w:rPr>
                <w:rFonts w:ascii="Calibri" w:hAnsi="Calibri"/>
              </w:rPr>
            </w:pPr>
            <w:r w:rsidRPr="007D2AC8">
              <w:rPr>
                <w:rFonts w:ascii="Calibri" w:hAnsi="Calibri"/>
              </w:rPr>
              <w:t xml:space="preserve">A090 Pharmacy and </w:t>
            </w:r>
            <w:r w:rsidRPr="007D2AC8">
              <w:rPr>
                <w:rFonts w:ascii="Calibri" w:hAnsi="Calibri"/>
                <w:color w:val="000000"/>
              </w:rPr>
              <w:t>A040 Laboratory costs may map to this PUC.</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M60007 - Renal Medicine - Haemodialysis Training (Client)</w:t>
            </w:r>
          </w:p>
          <w:p w:rsidR="007D2AC8" w:rsidRPr="007D2AC8" w:rsidRDefault="007D2AC8" w:rsidP="007D2AC8">
            <w:pPr>
              <w:jc w:val="left"/>
              <w:rPr>
                <w:rFonts w:ascii="Calibri" w:hAnsi="Calibri"/>
                <w:i/>
              </w:rPr>
            </w:pPr>
            <w:r w:rsidRPr="007D2AC8">
              <w:rPr>
                <w:rFonts w:ascii="Calibri" w:hAnsi="Calibri"/>
                <w:i/>
              </w:rPr>
              <w:t>Initial training and education of patients in self-management of haemodialysis in their home. Includes patient/family education, initial equipment required, home modifications.</w:t>
            </w:r>
          </w:p>
          <w:p w:rsidR="007D2AC8" w:rsidRPr="007D2AC8" w:rsidRDefault="007D2AC8" w:rsidP="007D2AC8">
            <w:pPr>
              <w:jc w:val="left"/>
              <w:rPr>
                <w:rFonts w:ascii="Calibri" w:hAnsi="Calibri"/>
              </w:rPr>
            </w:pPr>
            <w:r w:rsidRPr="007D2AC8">
              <w:rPr>
                <w:rFonts w:ascii="Calibri" w:hAnsi="Calibri"/>
              </w:rPr>
              <w:t>This PUC only includes costs over and above the normal monthly renal treatment costs.</w:t>
            </w:r>
          </w:p>
          <w:p w:rsidR="007D2AC8" w:rsidRPr="007D2AC8" w:rsidRDefault="007D2AC8" w:rsidP="007D2AC8">
            <w:pPr>
              <w:jc w:val="left"/>
              <w:rPr>
                <w:rFonts w:ascii="Calibri" w:hAnsi="Calibri"/>
              </w:rPr>
            </w:pPr>
            <w:r w:rsidRPr="007D2AC8">
              <w:rPr>
                <w:rFonts w:ascii="Calibri" w:hAnsi="Calibri"/>
              </w:rPr>
              <w:t>The cost of this PUC should be dominated by personnel, fluid, and machines specifically for training.  Both CS2 DB Nursing Labour and DO Allied Health Technician Labour are potentially included.</w:t>
            </w:r>
          </w:p>
          <w:p w:rsidR="007D2AC8" w:rsidRPr="007D2AC8" w:rsidRDefault="007D2AC8" w:rsidP="007D2AC8">
            <w:pPr>
              <w:jc w:val="left"/>
              <w:rPr>
                <w:rFonts w:ascii="Calibri" w:hAnsi="Calibri"/>
              </w:rPr>
            </w:pPr>
            <w:r w:rsidRPr="007D2AC8">
              <w:rPr>
                <w:rFonts w:ascii="Calibri" w:hAnsi="Calibri"/>
              </w:rPr>
              <w:t xml:space="preserve">There should be no A090 Pharmacy and </w:t>
            </w:r>
            <w:r w:rsidRPr="007D2AC8">
              <w:rPr>
                <w:rFonts w:ascii="Calibri" w:hAnsi="Calibri"/>
                <w:color w:val="000000"/>
              </w:rPr>
              <w:t>A040 Laboratory costs.  These instead should be allocated to the FSA/FU or the monthly PUC.</w:t>
            </w:r>
          </w:p>
          <w:p w:rsidR="007D2AC8" w:rsidRDefault="007D2AC8" w:rsidP="007D2AC8">
            <w:pPr>
              <w:jc w:val="left"/>
              <w:rPr>
                <w:rFonts w:ascii="Calibri" w:hAnsi="Calibri" w:cs="Arial"/>
                <w:b/>
                <w:sz w:val="22"/>
                <w:szCs w:val="22"/>
                <w:lang w:eastAsia="en-NZ"/>
              </w:rPr>
            </w:pPr>
          </w:p>
          <w:p w:rsidR="00CF1238" w:rsidRDefault="00CF1238" w:rsidP="007D2AC8">
            <w:pPr>
              <w:jc w:val="left"/>
              <w:rPr>
                <w:rFonts w:ascii="Calibri" w:hAnsi="Calibri" w:cs="Arial"/>
                <w:b/>
                <w:sz w:val="22"/>
                <w:szCs w:val="22"/>
                <w:lang w:eastAsia="en-NZ"/>
              </w:rPr>
            </w:pPr>
          </w:p>
          <w:p w:rsidR="00CF1238" w:rsidRPr="007D2AC8" w:rsidRDefault="00CF123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lastRenderedPageBreak/>
              <w:t>M60008 - Renal Medicine - In centre Haemodialysis (Attendance)</w:t>
            </w:r>
          </w:p>
          <w:p w:rsidR="007D2AC8" w:rsidRPr="007D2AC8" w:rsidRDefault="007D2AC8" w:rsidP="007D2AC8">
            <w:pPr>
              <w:jc w:val="left"/>
              <w:rPr>
                <w:rFonts w:ascii="Calibri" w:hAnsi="Calibri"/>
                <w:i/>
              </w:rPr>
            </w:pPr>
            <w:r w:rsidRPr="007D2AC8">
              <w:rPr>
                <w:rFonts w:ascii="Calibri" w:hAnsi="Calibri"/>
                <w:i/>
              </w:rPr>
              <w:t>Centre-based treatment for patients requiring long term haemodialysis. Includes all dialysis treatments prior to or during home haemodialysis or peritoneal dialysis training and all treatments of home haemodialysis patients undertaken at an In-centre facility.</w:t>
            </w:r>
          </w:p>
          <w:p w:rsidR="007D2AC8" w:rsidRPr="007D2AC8" w:rsidRDefault="007D2AC8" w:rsidP="007D2AC8">
            <w:pPr>
              <w:jc w:val="left"/>
              <w:rPr>
                <w:rFonts w:ascii="Calibri" w:hAnsi="Calibri"/>
              </w:rPr>
            </w:pPr>
            <w:r w:rsidRPr="007D2AC8">
              <w:rPr>
                <w:rFonts w:ascii="Calibri" w:hAnsi="Calibri"/>
              </w:rPr>
              <w:t xml:space="preserve">The cost of this PUC should be dominated by CS2 DB Nursing Labour, DO Allied Health Technician Labour.  CS2 DH Clinical Supplies (Renal Fluids, Equipment Depreciation and R&amp;M).  If the service is Outsourced then the CS2 costs will be under DJ Outsourced Services.  Facility costs should be higher than the Home Dialysis PUCs.  A030 Medical &amp; Surgical Officer should represent dedicated resourcing of RMO/SMO within the </w:t>
            </w:r>
            <w:proofErr w:type="spellStart"/>
            <w:r w:rsidRPr="007D2AC8">
              <w:rPr>
                <w:rFonts w:ascii="Calibri" w:hAnsi="Calibri"/>
              </w:rPr>
              <w:t>incentre</w:t>
            </w:r>
            <w:proofErr w:type="spellEnd"/>
            <w:r w:rsidRPr="007D2AC8">
              <w:rPr>
                <w:rFonts w:ascii="Calibri" w:hAnsi="Calibri"/>
              </w:rPr>
              <w:t>.</w:t>
            </w:r>
          </w:p>
          <w:p w:rsidR="007D2AC8" w:rsidRPr="007D2AC8" w:rsidRDefault="007D2AC8" w:rsidP="007D2AC8">
            <w:pPr>
              <w:jc w:val="left"/>
              <w:rPr>
                <w:rFonts w:ascii="Calibri" w:hAnsi="Calibri"/>
              </w:rPr>
            </w:pPr>
            <w:r w:rsidRPr="007D2AC8">
              <w:rPr>
                <w:rFonts w:ascii="Calibri" w:hAnsi="Calibri"/>
              </w:rPr>
              <w:t xml:space="preserve">A090 Pharmacy and </w:t>
            </w:r>
            <w:r w:rsidRPr="007D2AC8">
              <w:rPr>
                <w:rFonts w:ascii="Calibri" w:hAnsi="Calibri"/>
                <w:color w:val="000000"/>
              </w:rPr>
              <w:t>A040 Laboratory costs may map to this PUC.</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M60009 - Renal Medicine - In centre self-managed dialysis (Attendance)</w:t>
            </w:r>
          </w:p>
          <w:p w:rsidR="007D2AC8" w:rsidRPr="007D2AC8" w:rsidRDefault="007D2AC8" w:rsidP="007D2AC8">
            <w:pPr>
              <w:jc w:val="left"/>
              <w:rPr>
                <w:rFonts w:ascii="Calibri" w:hAnsi="Calibri"/>
                <w:i/>
              </w:rPr>
            </w:pPr>
            <w:r w:rsidRPr="007D2AC8">
              <w:rPr>
                <w:rFonts w:ascii="Calibri" w:hAnsi="Calibri"/>
                <w:i/>
              </w:rPr>
              <w:t>Centre-based self-managed dialysis treatment for patients requiring long term haemodialysis. Includes all monitoring, supplies and clinical services received during the dialysis treatment.</w:t>
            </w:r>
          </w:p>
          <w:p w:rsidR="007D2AC8" w:rsidRPr="007D2AC8" w:rsidRDefault="007D2AC8" w:rsidP="007D2AC8">
            <w:pPr>
              <w:jc w:val="left"/>
              <w:rPr>
                <w:rFonts w:ascii="Calibri" w:hAnsi="Calibri"/>
              </w:rPr>
            </w:pPr>
            <w:r w:rsidRPr="007D2AC8">
              <w:rPr>
                <w:rFonts w:ascii="Calibri" w:hAnsi="Calibri"/>
              </w:rPr>
              <w:t>The cost of this PUC should be dominated by DO Allied Health Technician Labour.  CS2 DH Clinical Supplies (Renal Fluids, Equipment Depreciation and R&amp;M).  If the service is Outsourced then the CS2 costs will be under DJ Outsourced Services.  Facility costs should be higher than the Home Dialysis PUCs.  A030 Medical &amp; Surgical Officer is not expected for these patients.</w:t>
            </w:r>
          </w:p>
          <w:p w:rsidR="007D2AC8" w:rsidRPr="007D2AC8" w:rsidRDefault="007D2AC8" w:rsidP="007D2AC8">
            <w:pPr>
              <w:jc w:val="left"/>
              <w:rPr>
                <w:rFonts w:ascii="Calibri" w:hAnsi="Calibri"/>
                <w:color w:val="000000"/>
              </w:rPr>
            </w:pPr>
            <w:r w:rsidRPr="007D2AC8">
              <w:rPr>
                <w:rFonts w:ascii="Calibri" w:hAnsi="Calibri"/>
              </w:rPr>
              <w:t xml:space="preserve">A090 Pharmacy and </w:t>
            </w:r>
            <w:r w:rsidRPr="007D2AC8">
              <w:rPr>
                <w:rFonts w:ascii="Calibri" w:hAnsi="Calibri"/>
                <w:color w:val="000000"/>
              </w:rPr>
              <w:t>A040 Laboratory costs may map to this PUC.</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M60010 - Renal Medicine - in centre self-managed dialysis training (Client)</w:t>
            </w:r>
          </w:p>
          <w:p w:rsidR="007D2AC8" w:rsidRPr="007D2AC8" w:rsidRDefault="007D2AC8" w:rsidP="007D2AC8">
            <w:pPr>
              <w:jc w:val="left"/>
              <w:rPr>
                <w:rFonts w:ascii="Calibri" w:hAnsi="Calibri"/>
                <w:i/>
              </w:rPr>
            </w:pPr>
            <w:r w:rsidRPr="007D2AC8">
              <w:rPr>
                <w:rFonts w:ascii="Calibri" w:hAnsi="Calibri"/>
                <w:i/>
              </w:rPr>
              <w:t>New clients undertaking in centre self-managed renal dialysis training.</w:t>
            </w:r>
          </w:p>
          <w:p w:rsidR="007D2AC8" w:rsidRPr="007D2AC8" w:rsidRDefault="007D2AC8" w:rsidP="007D2AC8">
            <w:pPr>
              <w:jc w:val="left"/>
              <w:rPr>
                <w:rFonts w:ascii="Calibri" w:hAnsi="Calibri"/>
              </w:rPr>
            </w:pPr>
            <w:r w:rsidRPr="007D2AC8">
              <w:rPr>
                <w:rFonts w:ascii="Calibri" w:hAnsi="Calibri"/>
              </w:rPr>
              <w:t>This PUC only includes costs over and above the normal renal treatment costs.</w:t>
            </w:r>
          </w:p>
          <w:p w:rsidR="007D2AC8" w:rsidRPr="007D2AC8" w:rsidRDefault="007D2AC8" w:rsidP="007D2AC8">
            <w:pPr>
              <w:jc w:val="left"/>
              <w:rPr>
                <w:rFonts w:ascii="Calibri" w:hAnsi="Calibri"/>
              </w:rPr>
            </w:pPr>
            <w:r w:rsidRPr="007D2AC8">
              <w:rPr>
                <w:rFonts w:ascii="Calibri" w:hAnsi="Calibri"/>
              </w:rPr>
              <w:t>The cost of this PUC should be dominated by personnel, fluid, and machines specifically for training.  Both CS2 DB Nursing Labour and DO Allied Health Technician Labour are potentially included.</w:t>
            </w:r>
          </w:p>
          <w:p w:rsidR="007D2AC8" w:rsidRPr="007D2AC8" w:rsidRDefault="007D2AC8" w:rsidP="007D2AC8">
            <w:pPr>
              <w:jc w:val="left"/>
              <w:rPr>
                <w:rFonts w:ascii="Calibri" w:hAnsi="Calibri"/>
              </w:rPr>
            </w:pPr>
            <w:r w:rsidRPr="007D2AC8">
              <w:rPr>
                <w:rFonts w:ascii="Calibri" w:hAnsi="Calibri"/>
              </w:rPr>
              <w:t xml:space="preserve">There should be no A090 Pharmacy and </w:t>
            </w:r>
            <w:r w:rsidRPr="007D2AC8">
              <w:rPr>
                <w:rFonts w:ascii="Calibri" w:hAnsi="Calibri"/>
                <w:color w:val="000000"/>
              </w:rPr>
              <w:t>A040 Laboratory costs.  These instead should be allocated to the FSA/FU or PUC M60009.</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M60011 - Pre-renal Replacement Therapy Programme (Service)</w:t>
            </w:r>
          </w:p>
          <w:p w:rsidR="007D2AC8" w:rsidRPr="007D2AC8" w:rsidRDefault="007D2AC8" w:rsidP="007D2AC8">
            <w:pPr>
              <w:jc w:val="left"/>
              <w:rPr>
                <w:rFonts w:ascii="Calibri" w:hAnsi="Calibri"/>
                <w:i/>
              </w:rPr>
            </w:pPr>
            <w:r w:rsidRPr="007D2AC8">
              <w:rPr>
                <w:rFonts w:ascii="Calibri" w:hAnsi="Calibri"/>
                <w:i/>
              </w:rPr>
              <w:t>Dedicated outpatient services for newly diagnosed Chronic Renal Failure patients to provide a basic level of education at an early stage for all newly diagnosed patients, to identify and resolve at an early stage any social problems which may influence modality choice and to commence dietary intervention at an early stage in order to control symptoms, prevent malnutrition and maintain renal function.  This will be provided by a specialist multidisciplinary team, from a dedicated base facility.</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M60012 - Renal Medicine - In centre Dialysis project (Service)</w:t>
            </w:r>
          </w:p>
          <w:p w:rsidR="007D2AC8" w:rsidRPr="007D2AC8" w:rsidRDefault="007D2AC8" w:rsidP="007D2AC8">
            <w:pPr>
              <w:jc w:val="left"/>
              <w:rPr>
                <w:rFonts w:ascii="Calibri" w:hAnsi="Calibri"/>
                <w:i/>
              </w:rPr>
            </w:pPr>
            <w:r w:rsidRPr="007D2AC8">
              <w:rPr>
                <w:rFonts w:ascii="Calibri" w:hAnsi="Calibri"/>
                <w:i/>
              </w:rPr>
              <w:t>Funding for Set up costs to deliver Renal Medicine Dialysis Projects</w:t>
            </w:r>
          </w:p>
          <w:p w:rsidR="007D2AC8" w:rsidRPr="007D2AC8" w:rsidRDefault="007D2AC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t>M60014 - CAPD Registry (Service)</w:t>
            </w:r>
          </w:p>
          <w:p w:rsidR="007D2AC8" w:rsidRPr="007D2AC8" w:rsidRDefault="007D2AC8" w:rsidP="007D2AC8">
            <w:pPr>
              <w:jc w:val="left"/>
              <w:rPr>
                <w:rFonts w:ascii="Calibri" w:hAnsi="Calibri"/>
                <w:i/>
              </w:rPr>
            </w:pPr>
            <w:r w:rsidRPr="007D2AC8">
              <w:rPr>
                <w:rFonts w:ascii="Calibri" w:hAnsi="Calibri"/>
                <w:i/>
              </w:rPr>
              <w:t>Funds to maintain CAPD registry for national ESRD/CAPD clients</w:t>
            </w:r>
          </w:p>
          <w:p w:rsidR="007D2AC8" w:rsidRDefault="007D2AC8" w:rsidP="007D2AC8">
            <w:pPr>
              <w:jc w:val="left"/>
              <w:rPr>
                <w:rFonts w:ascii="Calibri" w:hAnsi="Calibri" w:cs="Arial"/>
                <w:b/>
                <w:sz w:val="22"/>
                <w:szCs w:val="22"/>
                <w:lang w:eastAsia="en-NZ"/>
              </w:rPr>
            </w:pPr>
          </w:p>
          <w:p w:rsidR="00CF1238" w:rsidRDefault="00CF1238" w:rsidP="007D2AC8">
            <w:pPr>
              <w:jc w:val="left"/>
              <w:rPr>
                <w:rFonts w:ascii="Calibri" w:hAnsi="Calibri" w:cs="Arial"/>
                <w:b/>
                <w:sz w:val="22"/>
                <w:szCs w:val="22"/>
                <w:lang w:eastAsia="en-NZ"/>
              </w:rPr>
            </w:pPr>
          </w:p>
          <w:p w:rsidR="00CF1238" w:rsidRDefault="00CF1238" w:rsidP="007D2AC8">
            <w:pPr>
              <w:jc w:val="left"/>
              <w:rPr>
                <w:rFonts w:ascii="Calibri" w:hAnsi="Calibri" w:cs="Arial"/>
                <w:b/>
                <w:sz w:val="22"/>
                <w:szCs w:val="22"/>
                <w:lang w:eastAsia="en-NZ"/>
              </w:rPr>
            </w:pPr>
          </w:p>
          <w:p w:rsidR="00CF1238" w:rsidRPr="007D2AC8" w:rsidRDefault="00CF1238" w:rsidP="007D2AC8">
            <w:pPr>
              <w:jc w:val="left"/>
              <w:rPr>
                <w:rFonts w:ascii="Calibri" w:hAnsi="Calibri" w:cs="Arial"/>
                <w:b/>
                <w:sz w:val="22"/>
                <w:szCs w:val="22"/>
                <w:lang w:eastAsia="en-NZ"/>
              </w:rPr>
            </w:pPr>
          </w:p>
        </w:tc>
      </w:tr>
      <w:tr w:rsidR="007D2AC8" w:rsidRPr="007D2AC8" w:rsidTr="004D6EA9">
        <w:trPr>
          <w:trHeight w:val="301"/>
        </w:trPr>
        <w:tc>
          <w:tcPr>
            <w:tcW w:w="8855" w:type="dxa"/>
            <w:tcBorders>
              <w:top w:val="nil"/>
              <w:left w:val="nil"/>
              <w:bottom w:val="nil"/>
              <w:right w:val="nil"/>
            </w:tcBorders>
            <w:shd w:val="clear" w:color="auto" w:fill="auto"/>
            <w:noWrap/>
            <w:hideMark/>
          </w:tcPr>
          <w:p w:rsidR="007D2AC8" w:rsidRPr="007D2AC8" w:rsidRDefault="007D2AC8" w:rsidP="007D2AC8">
            <w:pPr>
              <w:jc w:val="left"/>
              <w:rPr>
                <w:rFonts w:ascii="Calibri" w:hAnsi="Calibri" w:cs="Arial"/>
                <w:b/>
                <w:sz w:val="22"/>
                <w:szCs w:val="22"/>
                <w:lang w:eastAsia="en-NZ"/>
              </w:rPr>
            </w:pPr>
            <w:r w:rsidRPr="007D2AC8">
              <w:rPr>
                <w:rFonts w:ascii="Calibri" w:hAnsi="Calibri" w:cs="Arial"/>
                <w:b/>
                <w:sz w:val="22"/>
                <w:szCs w:val="22"/>
                <w:lang w:eastAsia="en-NZ"/>
              </w:rPr>
              <w:lastRenderedPageBreak/>
              <w:t>M60015 - Automated Peritoneal Dialysis (APD) (Patient Month)</w:t>
            </w:r>
          </w:p>
          <w:p w:rsidR="007D2AC8" w:rsidRPr="007D2AC8" w:rsidRDefault="007D2AC8" w:rsidP="007D2AC8">
            <w:pPr>
              <w:jc w:val="left"/>
              <w:rPr>
                <w:rFonts w:ascii="Calibri" w:hAnsi="Calibri"/>
                <w:i/>
              </w:rPr>
            </w:pPr>
            <w:r w:rsidRPr="007D2AC8">
              <w:rPr>
                <w:rFonts w:ascii="Calibri" w:hAnsi="Calibri"/>
                <w:i/>
              </w:rPr>
              <w:t>Programme of home based treatment for patients using long term Automated Peritoneal Dialysis - treatment component only. Includes patient/family support and monitoring, ongoing equipment required including repair and maintenance.</w:t>
            </w:r>
          </w:p>
          <w:p w:rsidR="007D2AC8" w:rsidRPr="007D2AC8" w:rsidRDefault="007D2AC8" w:rsidP="007D2AC8">
            <w:pPr>
              <w:jc w:val="left"/>
              <w:rPr>
                <w:rFonts w:ascii="Calibri" w:hAnsi="Calibri"/>
                <w:color w:val="000000"/>
              </w:rPr>
            </w:pPr>
            <w:r w:rsidRPr="007D2AC8">
              <w:rPr>
                <w:rFonts w:ascii="Calibri" w:hAnsi="Calibri"/>
                <w:color w:val="000000"/>
              </w:rPr>
              <w:t>The cost of this PUC should be dominated by CS2 DH Clinical Supplies (Renal Fluids).  Some DHBs outsource the supplies and equipment and therefore costs will appear under CS2 DJ Outsourced Clinical Services.  CS7 B030 Community Domiciliary Services if it is community Renal.  Staff costs will typically comprise of CS2 DO Allied Health Technician Labour and DB Nursing Labour.  SMO and RMO costs are excluded from this PUC.  A090 Pharmacy and A040 Laboratory costs may map to this PUC.</w:t>
            </w:r>
          </w:p>
        </w:tc>
      </w:tr>
    </w:tbl>
    <w:p w:rsidR="007D2AC8" w:rsidRPr="007D2AC8" w:rsidRDefault="007D2AC8" w:rsidP="007D2AC8">
      <w:pPr>
        <w:spacing w:line="360" w:lineRule="auto"/>
        <w:rPr>
          <w:rFonts w:ascii="Calibri" w:hAnsi="Calibri"/>
        </w:rPr>
      </w:pPr>
    </w:p>
    <w:p w:rsidR="007D2AC8" w:rsidRPr="007D2AC8" w:rsidRDefault="007D2AC8" w:rsidP="007D2AC8">
      <w:pPr>
        <w:spacing w:line="360" w:lineRule="auto"/>
        <w:rPr>
          <w:rFonts w:ascii="Calibri" w:hAnsi="Calibri"/>
        </w:rPr>
      </w:pPr>
    </w:p>
    <w:p w:rsidR="007D2AC8" w:rsidRPr="007D2AC8" w:rsidRDefault="007D2AC8" w:rsidP="007D2AC8"/>
    <w:sectPr w:rsidR="007D2AC8" w:rsidRPr="007D2AC8" w:rsidSect="00E52CE4">
      <w:pgSz w:w="11906" w:h="16838"/>
      <w:pgMar w:top="1440" w:right="1259" w:bottom="1258"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B7" w:rsidRDefault="004F74B7">
      <w:r>
        <w:separator/>
      </w:r>
    </w:p>
  </w:endnote>
  <w:endnote w:type="continuationSeparator" w:id="0">
    <w:p w:rsidR="004F74B7" w:rsidRDefault="004F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7" w:rsidRDefault="004F74B7" w:rsidP="006D1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4B7" w:rsidRDefault="004F74B7" w:rsidP="00124F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7" w:rsidRDefault="004F74B7" w:rsidP="006D1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42D">
      <w:rPr>
        <w:rStyle w:val="PageNumber"/>
        <w:noProof/>
      </w:rPr>
      <w:t>20</w:t>
    </w:r>
    <w:r>
      <w:rPr>
        <w:rStyle w:val="PageNumber"/>
      </w:rPr>
      <w:fldChar w:fldCharType="end"/>
    </w:r>
  </w:p>
  <w:p w:rsidR="004F74B7" w:rsidRPr="00125B10" w:rsidRDefault="004F74B7" w:rsidP="00124FAF">
    <w:pPr>
      <w:pStyle w:val="Footer"/>
      <w:tabs>
        <w:tab w:val="clear" w:pos="8640"/>
        <w:tab w:val="right" w:pos="8280"/>
      </w:tabs>
      <w:ind w:right="360"/>
      <w:rPr>
        <w:i/>
        <w:color w:val="999999"/>
        <w:sz w:val="16"/>
        <w:szCs w:val="16"/>
      </w:rPr>
    </w:pPr>
    <w:r>
      <w:rPr>
        <w:i/>
        <w:color w:val="999999"/>
        <w:sz w:val="16"/>
        <w:szCs w:val="16"/>
      </w:rPr>
      <w:t>DHB Costing Guidelines Version 8 September</w:t>
    </w:r>
    <w:r w:rsidRPr="00125B10">
      <w:rPr>
        <w:i/>
        <w:color w:val="999999"/>
        <w:sz w:val="16"/>
        <w:szCs w:val="16"/>
      </w:rPr>
      <w:t xml:space="preserve"> 201</w:t>
    </w:r>
    <w:r>
      <w:rPr>
        <w:i/>
        <w:color w:val="999999"/>
        <w:sz w:val="16"/>
        <w:szCs w:val="16"/>
      </w:rPr>
      <w:t>8</w:t>
    </w:r>
    <w:r w:rsidRPr="00125B10">
      <w:rPr>
        <w:i/>
        <w:color w:val="999999"/>
        <w:sz w:val="16"/>
        <w:szCs w:val="16"/>
      </w:rPr>
      <w:tab/>
    </w:r>
    <w:r w:rsidRPr="00125B10">
      <w:rPr>
        <w:i/>
        <w:color w:val="999999"/>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B7" w:rsidRDefault="004F74B7">
    <w:pPr>
      <w:pStyle w:val="Footer"/>
      <w:tabs>
        <w:tab w:val="clear" w:pos="8640"/>
        <w:tab w:val="right" w:pos="8280"/>
      </w:tabs>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B7" w:rsidRDefault="004F74B7">
      <w:r>
        <w:separator/>
      </w:r>
    </w:p>
  </w:footnote>
  <w:footnote w:type="continuationSeparator" w:id="0">
    <w:p w:rsidR="004F74B7" w:rsidRDefault="004F7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021"/>
    <w:multiLevelType w:val="hybridMultilevel"/>
    <w:tmpl w:val="7272E0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4C36C4B"/>
    <w:multiLevelType w:val="hybridMultilevel"/>
    <w:tmpl w:val="9ACE3F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62865D0"/>
    <w:multiLevelType w:val="hybridMultilevel"/>
    <w:tmpl w:val="53208970"/>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91B7653"/>
    <w:multiLevelType w:val="hybridMultilevel"/>
    <w:tmpl w:val="30AC9D7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95A763E"/>
    <w:multiLevelType w:val="multilevel"/>
    <w:tmpl w:val="E66AEB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2D463B"/>
    <w:multiLevelType w:val="hybridMultilevel"/>
    <w:tmpl w:val="6CB4A2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7F512C"/>
    <w:multiLevelType w:val="hybridMultilevel"/>
    <w:tmpl w:val="E7AE935E"/>
    <w:lvl w:ilvl="0" w:tplc="45202C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DC55CB"/>
    <w:multiLevelType w:val="hybridMultilevel"/>
    <w:tmpl w:val="36E0B4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1CF87F1E"/>
    <w:multiLevelType w:val="hybridMultilevel"/>
    <w:tmpl w:val="0BD8DC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22BE16EB"/>
    <w:multiLevelType w:val="multilevel"/>
    <w:tmpl w:val="30AC9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ED0BD3"/>
    <w:multiLevelType w:val="hybridMultilevel"/>
    <w:tmpl w:val="394A5A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47B4024"/>
    <w:multiLevelType w:val="multilevel"/>
    <w:tmpl w:val="AFB8B096"/>
    <w:lvl w:ilvl="0">
      <w:start w:val="3"/>
      <w:numFmt w:val="decimal"/>
      <w:lvlText w:val="%1"/>
      <w:lvlJc w:val="left"/>
      <w:pPr>
        <w:ind w:left="360" w:hanging="360"/>
      </w:pPr>
      <w:rPr>
        <w:rFonts w:hint="default"/>
        <w:u w:val="single"/>
      </w:rPr>
    </w:lvl>
    <w:lvl w:ilvl="1">
      <w:start w:val="2"/>
      <w:numFmt w:val="decimal"/>
      <w:lvlText w:val="%1.%2"/>
      <w:lvlJc w:val="left"/>
      <w:pPr>
        <w:ind w:left="1152" w:hanging="360"/>
      </w:pPr>
      <w:rPr>
        <w:rFonts w:hint="default"/>
        <w:u w:val="single"/>
      </w:rPr>
    </w:lvl>
    <w:lvl w:ilvl="2">
      <w:start w:val="1"/>
      <w:numFmt w:val="decimal"/>
      <w:lvlText w:val="%1.%2.%3"/>
      <w:lvlJc w:val="left"/>
      <w:pPr>
        <w:ind w:left="2304" w:hanging="720"/>
      </w:pPr>
      <w:rPr>
        <w:rFonts w:hint="default"/>
        <w:u w:val="single"/>
      </w:rPr>
    </w:lvl>
    <w:lvl w:ilvl="3">
      <w:start w:val="1"/>
      <w:numFmt w:val="decimal"/>
      <w:lvlText w:val="%1.%2.%3.%4"/>
      <w:lvlJc w:val="left"/>
      <w:pPr>
        <w:ind w:left="3096" w:hanging="720"/>
      </w:pPr>
      <w:rPr>
        <w:rFonts w:hint="default"/>
        <w:u w:val="single"/>
      </w:rPr>
    </w:lvl>
    <w:lvl w:ilvl="4">
      <w:start w:val="1"/>
      <w:numFmt w:val="decimal"/>
      <w:lvlText w:val="%1.%2.%3.%4.%5"/>
      <w:lvlJc w:val="left"/>
      <w:pPr>
        <w:ind w:left="4248"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92" w:hanging="1440"/>
      </w:pPr>
      <w:rPr>
        <w:rFonts w:hint="default"/>
        <w:u w:val="single"/>
      </w:rPr>
    </w:lvl>
    <w:lvl w:ilvl="7">
      <w:start w:val="1"/>
      <w:numFmt w:val="decimal"/>
      <w:lvlText w:val="%1.%2.%3.%4.%5.%6.%7.%8"/>
      <w:lvlJc w:val="left"/>
      <w:pPr>
        <w:ind w:left="6984" w:hanging="1440"/>
      </w:pPr>
      <w:rPr>
        <w:rFonts w:hint="default"/>
        <w:u w:val="single"/>
      </w:rPr>
    </w:lvl>
    <w:lvl w:ilvl="8">
      <w:start w:val="1"/>
      <w:numFmt w:val="decimal"/>
      <w:lvlText w:val="%1.%2.%3.%4.%5.%6.%7.%8.%9"/>
      <w:lvlJc w:val="left"/>
      <w:pPr>
        <w:ind w:left="8136" w:hanging="1800"/>
      </w:pPr>
      <w:rPr>
        <w:rFonts w:hint="default"/>
        <w:u w:val="single"/>
      </w:rPr>
    </w:lvl>
  </w:abstractNum>
  <w:abstractNum w:abstractNumId="12">
    <w:nsid w:val="35E72611"/>
    <w:multiLevelType w:val="hybridMultilevel"/>
    <w:tmpl w:val="01BE4BA0"/>
    <w:lvl w:ilvl="0" w:tplc="541623BE">
      <w:start w:val="1"/>
      <w:numFmt w:val="bullet"/>
      <w:lvlText w:val=""/>
      <w:lvlJc w:val="left"/>
      <w:pPr>
        <w:tabs>
          <w:tab w:val="num" w:pos="1134"/>
        </w:tabs>
        <w:ind w:left="1134" w:hanging="283"/>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E1925"/>
    <w:multiLevelType w:val="hybridMultilevel"/>
    <w:tmpl w:val="11845B82"/>
    <w:lvl w:ilvl="0" w:tplc="F2A661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FB55503"/>
    <w:multiLevelType w:val="hybridMultilevel"/>
    <w:tmpl w:val="4A5881AC"/>
    <w:lvl w:ilvl="0" w:tplc="63566676">
      <w:start w:val="1"/>
      <w:numFmt w:val="decimal"/>
      <w:lvlText w:val="%1."/>
      <w:lvlJc w:val="left"/>
      <w:pPr>
        <w:ind w:left="720" w:hanging="360"/>
      </w:pPr>
      <w:rPr>
        <w:rFonts w:ascii="Calibri" w:hAnsi="Calibri" w:cs="Arial" w:hint="default"/>
        <w:b/>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40E0AC3"/>
    <w:multiLevelType w:val="hybridMultilevel"/>
    <w:tmpl w:val="C6B6F0FA"/>
    <w:lvl w:ilvl="0" w:tplc="3A542D92">
      <w:start w:val="3"/>
      <w:numFmt w:val="bullet"/>
      <w:lvlText w:val="-"/>
      <w:lvlJc w:val="left"/>
      <w:pPr>
        <w:ind w:left="360" w:hanging="360"/>
      </w:pPr>
      <w:rPr>
        <w:rFonts w:ascii="Times New Roman" w:eastAsia="Times New Roman"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95F740C"/>
    <w:multiLevelType w:val="hybridMultilevel"/>
    <w:tmpl w:val="7BDAFC2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4E2E7DD5"/>
    <w:multiLevelType w:val="hybridMultilevel"/>
    <w:tmpl w:val="6A0015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08E20F7"/>
    <w:multiLevelType w:val="hybridMultilevel"/>
    <w:tmpl w:val="A37AEB8A"/>
    <w:lvl w:ilvl="0" w:tplc="541623BE">
      <w:start w:val="1"/>
      <w:numFmt w:val="bullet"/>
      <w:lvlText w:val=""/>
      <w:lvlJc w:val="left"/>
      <w:pPr>
        <w:tabs>
          <w:tab w:val="num" w:pos="1134"/>
        </w:tabs>
        <w:ind w:left="1134" w:hanging="283"/>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8099E"/>
    <w:multiLevelType w:val="hybridMultilevel"/>
    <w:tmpl w:val="808C09C4"/>
    <w:lvl w:ilvl="0" w:tplc="1409000F">
      <w:start w:val="1"/>
      <w:numFmt w:val="decimal"/>
      <w:lvlText w:val="%1."/>
      <w:lvlJc w:val="left"/>
      <w:pPr>
        <w:ind w:left="780" w:hanging="360"/>
      </w:pPr>
      <w:rPr>
        <w:rFonts w:hint="default"/>
      </w:rPr>
    </w:lvl>
    <w:lvl w:ilvl="1" w:tplc="14090001">
      <w:start w:val="1"/>
      <w:numFmt w:val="bullet"/>
      <w:lvlText w:val=""/>
      <w:lvlJc w:val="left"/>
      <w:pPr>
        <w:ind w:left="1500" w:hanging="360"/>
      </w:pPr>
      <w:rPr>
        <w:rFonts w:ascii="Symbol" w:hAnsi="Symbol" w:hint="default"/>
      </w:r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0">
    <w:nsid w:val="58FE430E"/>
    <w:multiLevelType w:val="multilevel"/>
    <w:tmpl w:val="12BC11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F673C6"/>
    <w:multiLevelType w:val="hybridMultilevel"/>
    <w:tmpl w:val="8780A5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C3F1B10"/>
    <w:multiLevelType w:val="hybridMultilevel"/>
    <w:tmpl w:val="888AC0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C7545D8"/>
    <w:multiLevelType w:val="hybridMultilevel"/>
    <w:tmpl w:val="51CC591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4D639D8"/>
    <w:multiLevelType w:val="multilevel"/>
    <w:tmpl w:val="E66AEB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A5190B"/>
    <w:multiLevelType w:val="hybridMultilevel"/>
    <w:tmpl w:val="F202C8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68B53D2F"/>
    <w:multiLevelType w:val="hybridMultilevel"/>
    <w:tmpl w:val="CB5E69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6D995577"/>
    <w:multiLevelType w:val="hybridMultilevel"/>
    <w:tmpl w:val="FC5A940E"/>
    <w:lvl w:ilvl="0" w:tplc="541623BE">
      <w:start w:val="1"/>
      <w:numFmt w:val="bullet"/>
      <w:lvlText w:val=""/>
      <w:lvlJc w:val="left"/>
      <w:pPr>
        <w:tabs>
          <w:tab w:val="num" w:pos="1134"/>
        </w:tabs>
        <w:ind w:left="1134" w:hanging="283"/>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A603DB"/>
    <w:multiLevelType w:val="multilevel"/>
    <w:tmpl w:val="12BC11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1B63F3"/>
    <w:multiLevelType w:val="hybridMultilevel"/>
    <w:tmpl w:val="486A6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13C5DBB"/>
    <w:multiLevelType w:val="multilevel"/>
    <w:tmpl w:val="12BC11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296E84"/>
    <w:multiLevelType w:val="hybridMultilevel"/>
    <w:tmpl w:val="299CCC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4564E7A"/>
    <w:multiLevelType w:val="multilevel"/>
    <w:tmpl w:val="E66AEB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8327D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9F1C32"/>
    <w:multiLevelType w:val="multilevel"/>
    <w:tmpl w:val="C2A84CEA"/>
    <w:lvl w:ilvl="0">
      <w:start w:val="3"/>
      <w:numFmt w:val="decimal"/>
      <w:lvlText w:val="%1"/>
      <w:lvlJc w:val="left"/>
      <w:pPr>
        <w:ind w:left="420" w:hanging="420"/>
      </w:pPr>
      <w:rPr>
        <w:rFonts w:hint="default"/>
        <w:u w:val="single"/>
      </w:rPr>
    </w:lvl>
    <w:lvl w:ilvl="1">
      <w:start w:val="3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nsid w:val="7CCE2BEE"/>
    <w:multiLevelType w:val="hybridMultilevel"/>
    <w:tmpl w:val="669CE24A"/>
    <w:lvl w:ilvl="0" w:tplc="541623BE">
      <w:start w:val="1"/>
      <w:numFmt w:val="bullet"/>
      <w:lvlText w:val=""/>
      <w:lvlJc w:val="left"/>
      <w:pPr>
        <w:tabs>
          <w:tab w:val="num" w:pos="1134"/>
        </w:tabs>
        <w:ind w:left="1134" w:hanging="283"/>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4A1437"/>
    <w:multiLevelType w:val="hybridMultilevel"/>
    <w:tmpl w:val="D23247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35"/>
  </w:num>
  <w:num w:numId="3">
    <w:abstractNumId w:val="12"/>
  </w:num>
  <w:num w:numId="4">
    <w:abstractNumId w:val="27"/>
  </w:num>
  <w:num w:numId="5">
    <w:abstractNumId w:val="18"/>
  </w:num>
  <w:num w:numId="6">
    <w:abstractNumId w:val="6"/>
  </w:num>
  <w:num w:numId="7">
    <w:abstractNumId w:val="26"/>
  </w:num>
  <w:num w:numId="8">
    <w:abstractNumId w:val="7"/>
  </w:num>
  <w:num w:numId="9">
    <w:abstractNumId w:val="2"/>
  </w:num>
  <w:num w:numId="10">
    <w:abstractNumId w:val="29"/>
  </w:num>
  <w:num w:numId="11">
    <w:abstractNumId w:val="36"/>
  </w:num>
  <w:num w:numId="12">
    <w:abstractNumId w:val="19"/>
  </w:num>
  <w:num w:numId="13">
    <w:abstractNumId w:val="15"/>
  </w:num>
  <w:num w:numId="14">
    <w:abstractNumId w:val="8"/>
  </w:num>
  <w:num w:numId="15">
    <w:abstractNumId w:val="0"/>
  </w:num>
  <w:num w:numId="16">
    <w:abstractNumId w:val="17"/>
  </w:num>
  <w:num w:numId="17">
    <w:abstractNumId w:val="16"/>
  </w:num>
  <w:num w:numId="18">
    <w:abstractNumId w:val="25"/>
  </w:num>
  <w:num w:numId="19">
    <w:abstractNumId w:val="33"/>
  </w:num>
  <w:num w:numId="20">
    <w:abstractNumId w:val="14"/>
  </w:num>
  <w:num w:numId="21">
    <w:abstractNumId w:val="23"/>
  </w:num>
  <w:num w:numId="22">
    <w:abstractNumId w:val="21"/>
  </w:num>
  <w:num w:numId="23">
    <w:abstractNumId w:val="5"/>
  </w:num>
  <w:num w:numId="24">
    <w:abstractNumId w:val="11"/>
  </w:num>
  <w:num w:numId="25">
    <w:abstractNumId w:val="34"/>
  </w:num>
  <w:num w:numId="26">
    <w:abstractNumId w:val="32"/>
  </w:num>
  <w:num w:numId="27">
    <w:abstractNumId w:val="24"/>
  </w:num>
  <w:num w:numId="28">
    <w:abstractNumId w:val="4"/>
  </w:num>
  <w:num w:numId="29">
    <w:abstractNumId w:val="30"/>
  </w:num>
  <w:num w:numId="30">
    <w:abstractNumId w:val="20"/>
  </w:num>
  <w:num w:numId="31">
    <w:abstractNumId w:val="28"/>
  </w:num>
  <w:num w:numId="32">
    <w:abstractNumId w:val="22"/>
  </w:num>
  <w:num w:numId="33">
    <w:abstractNumId w:val="10"/>
  </w:num>
  <w:num w:numId="34">
    <w:abstractNumId w:val="13"/>
  </w:num>
  <w:num w:numId="35">
    <w:abstractNumId w:val="3"/>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A2"/>
    <w:rsid w:val="0000283B"/>
    <w:rsid w:val="0001258B"/>
    <w:rsid w:val="00020E02"/>
    <w:rsid w:val="00021592"/>
    <w:rsid w:val="00026F15"/>
    <w:rsid w:val="00036299"/>
    <w:rsid w:val="0004583B"/>
    <w:rsid w:val="0005022D"/>
    <w:rsid w:val="0005251B"/>
    <w:rsid w:val="0006523F"/>
    <w:rsid w:val="00081B8B"/>
    <w:rsid w:val="0009476F"/>
    <w:rsid w:val="0009516C"/>
    <w:rsid w:val="000B5016"/>
    <w:rsid w:val="000B58B8"/>
    <w:rsid w:val="000E7B08"/>
    <w:rsid w:val="000F6A92"/>
    <w:rsid w:val="00101EF6"/>
    <w:rsid w:val="0010319A"/>
    <w:rsid w:val="00106AD1"/>
    <w:rsid w:val="00116D9C"/>
    <w:rsid w:val="00122021"/>
    <w:rsid w:val="00122195"/>
    <w:rsid w:val="00124FAF"/>
    <w:rsid w:val="00125B10"/>
    <w:rsid w:val="001440A3"/>
    <w:rsid w:val="001540FD"/>
    <w:rsid w:val="0016678D"/>
    <w:rsid w:val="001708B4"/>
    <w:rsid w:val="001838C5"/>
    <w:rsid w:val="001841D8"/>
    <w:rsid w:val="00184C7B"/>
    <w:rsid w:val="001A15A2"/>
    <w:rsid w:val="001B2BA1"/>
    <w:rsid w:val="001B4A66"/>
    <w:rsid w:val="001B6975"/>
    <w:rsid w:val="001D4819"/>
    <w:rsid w:val="001D4D08"/>
    <w:rsid w:val="001D583D"/>
    <w:rsid w:val="001D7F81"/>
    <w:rsid w:val="001E6D57"/>
    <w:rsid w:val="001F00DF"/>
    <w:rsid w:val="001F4CCB"/>
    <w:rsid w:val="002142EB"/>
    <w:rsid w:val="00226CB7"/>
    <w:rsid w:val="002337FA"/>
    <w:rsid w:val="002433BF"/>
    <w:rsid w:val="00247797"/>
    <w:rsid w:val="002510A3"/>
    <w:rsid w:val="00266DBC"/>
    <w:rsid w:val="00283D45"/>
    <w:rsid w:val="002B1602"/>
    <w:rsid w:val="002C038A"/>
    <w:rsid w:val="002D71FC"/>
    <w:rsid w:val="00311A2E"/>
    <w:rsid w:val="00313615"/>
    <w:rsid w:val="00315382"/>
    <w:rsid w:val="00316630"/>
    <w:rsid w:val="003363BE"/>
    <w:rsid w:val="00354F36"/>
    <w:rsid w:val="00360292"/>
    <w:rsid w:val="00367FA1"/>
    <w:rsid w:val="00373EC0"/>
    <w:rsid w:val="00376E87"/>
    <w:rsid w:val="003908D1"/>
    <w:rsid w:val="003964B6"/>
    <w:rsid w:val="00396DF2"/>
    <w:rsid w:val="003B4772"/>
    <w:rsid w:val="003C625A"/>
    <w:rsid w:val="003E531F"/>
    <w:rsid w:val="003F7AF9"/>
    <w:rsid w:val="00404910"/>
    <w:rsid w:val="00406108"/>
    <w:rsid w:val="00427DF8"/>
    <w:rsid w:val="00442189"/>
    <w:rsid w:val="00445B5D"/>
    <w:rsid w:val="0045262E"/>
    <w:rsid w:val="00483103"/>
    <w:rsid w:val="004846D8"/>
    <w:rsid w:val="004B4944"/>
    <w:rsid w:val="004D6EA9"/>
    <w:rsid w:val="004F1578"/>
    <w:rsid w:val="004F525D"/>
    <w:rsid w:val="004F74B7"/>
    <w:rsid w:val="00500D9F"/>
    <w:rsid w:val="00504886"/>
    <w:rsid w:val="005078BB"/>
    <w:rsid w:val="00515A9A"/>
    <w:rsid w:val="00521E3B"/>
    <w:rsid w:val="0053343D"/>
    <w:rsid w:val="00541A25"/>
    <w:rsid w:val="005823A8"/>
    <w:rsid w:val="005A6B2A"/>
    <w:rsid w:val="005B3FF6"/>
    <w:rsid w:val="005B442D"/>
    <w:rsid w:val="005D0F9E"/>
    <w:rsid w:val="005E0AB4"/>
    <w:rsid w:val="005E53D8"/>
    <w:rsid w:val="00603C3A"/>
    <w:rsid w:val="00606B13"/>
    <w:rsid w:val="00627B0E"/>
    <w:rsid w:val="00657A40"/>
    <w:rsid w:val="00663746"/>
    <w:rsid w:val="00666AB7"/>
    <w:rsid w:val="00694F99"/>
    <w:rsid w:val="006A301A"/>
    <w:rsid w:val="006D1B3E"/>
    <w:rsid w:val="006D4162"/>
    <w:rsid w:val="006D57FF"/>
    <w:rsid w:val="007057A7"/>
    <w:rsid w:val="00713908"/>
    <w:rsid w:val="00722C37"/>
    <w:rsid w:val="0072571A"/>
    <w:rsid w:val="0073266B"/>
    <w:rsid w:val="007339EE"/>
    <w:rsid w:val="00743B03"/>
    <w:rsid w:val="00745BD6"/>
    <w:rsid w:val="007537EA"/>
    <w:rsid w:val="00754BD4"/>
    <w:rsid w:val="007650AA"/>
    <w:rsid w:val="00772F9C"/>
    <w:rsid w:val="0079267E"/>
    <w:rsid w:val="00793C91"/>
    <w:rsid w:val="007B0C26"/>
    <w:rsid w:val="007B297F"/>
    <w:rsid w:val="007B2C04"/>
    <w:rsid w:val="007C21E5"/>
    <w:rsid w:val="007C3D5D"/>
    <w:rsid w:val="007D2AC8"/>
    <w:rsid w:val="007D7190"/>
    <w:rsid w:val="007D78BC"/>
    <w:rsid w:val="007E2A82"/>
    <w:rsid w:val="007F67C6"/>
    <w:rsid w:val="00811D4D"/>
    <w:rsid w:val="008179E7"/>
    <w:rsid w:val="00817C50"/>
    <w:rsid w:val="0082133A"/>
    <w:rsid w:val="00832BE3"/>
    <w:rsid w:val="00842968"/>
    <w:rsid w:val="008640FB"/>
    <w:rsid w:val="008675C7"/>
    <w:rsid w:val="0087486A"/>
    <w:rsid w:val="00882141"/>
    <w:rsid w:val="00885664"/>
    <w:rsid w:val="008A5E1F"/>
    <w:rsid w:val="008B049B"/>
    <w:rsid w:val="008B57A3"/>
    <w:rsid w:val="008C0B1F"/>
    <w:rsid w:val="008C5636"/>
    <w:rsid w:val="008D1FFF"/>
    <w:rsid w:val="008F55FA"/>
    <w:rsid w:val="008F70BF"/>
    <w:rsid w:val="00904F0F"/>
    <w:rsid w:val="009070A8"/>
    <w:rsid w:val="0091164E"/>
    <w:rsid w:val="00953882"/>
    <w:rsid w:val="009922A0"/>
    <w:rsid w:val="0099780B"/>
    <w:rsid w:val="009C78B0"/>
    <w:rsid w:val="009C7F48"/>
    <w:rsid w:val="009D00AD"/>
    <w:rsid w:val="009D0708"/>
    <w:rsid w:val="009D5F59"/>
    <w:rsid w:val="009E0D91"/>
    <w:rsid w:val="00A02CDD"/>
    <w:rsid w:val="00A15A0C"/>
    <w:rsid w:val="00A5226A"/>
    <w:rsid w:val="00A578E1"/>
    <w:rsid w:val="00A63641"/>
    <w:rsid w:val="00A739A7"/>
    <w:rsid w:val="00A80F4D"/>
    <w:rsid w:val="00A92891"/>
    <w:rsid w:val="00A9640C"/>
    <w:rsid w:val="00AA6659"/>
    <w:rsid w:val="00AA74E7"/>
    <w:rsid w:val="00AA7D66"/>
    <w:rsid w:val="00AB1069"/>
    <w:rsid w:val="00AB79C6"/>
    <w:rsid w:val="00AC0FD1"/>
    <w:rsid w:val="00AC6652"/>
    <w:rsid w:val="00AD2D43"/>
    <w:rsid w:val="00AE199F"/>
    <w:rsid w:val="00AE4D1E"/>
    <w:rsid w:val="00AF3A25"/>
    <w:rsid w:val="00B14F78"/>
    <w:rsid w:val="00B20A00"/>
    <w:rsid w:val="00B21793"/>
    <w:rsid w:val="00B30AAC"/>
    <w:rsid w:val="00B3118D"/>
    <w:rsid w:val="00B42E45"/>
    <w:rsid w:val="00B66746"/>
    <w:rsid w:val="00B7104F"/>
    <w:rsid w:val="00B80E5E"/>
    <w:rsid w:val="00B8234B"/>
    <w:rsid w:val="00BA6192"/>
    <w:rsid w:val="00BB155F"/>
    <w:rsid w:val="00BB52FD"/>
    <w:rsid w:val="00BC2852"/>
    <w:rsid w:val="00C03BBA"/>
    <w:rsid w:val="00C047B8"/>
    <w:rsid w:val="00C05388"/>
    <w:rsid w:val="00C3587C"/>
    <w:rsid w:val="00C36A69"/>
    <w:rsid w:val="00C41EB4"/>
    <w:rsid w:val="00C47A7B"/>
    <w:rsid w:val="00C631BC"/>
    <w:rsid w:val="00C667FE"/>
    <w:rsid w:val="00C76AC2"/>
    <w:rsid w:val="00CB4D7F"/>
    <w:rsid w:val="00CC6FBC"/>
    <w:rsid w:val="00CE0CBB"/>
    <w:rsid w:val="00CE6632"/>
    <w:rsid w:val="00CE6651"/>
    <w:rsid w:val="00CF1238"/>
    <w:rsid w:val="00CF6177"/>
    <w:rsid w:val="00CF723A"/>
    <w:rsid w:val="00D15287"/>
    <w:rsid w:val="00D17328"/>
    <w:rsid w:val="00D2058D"/>
    <w:rsid w:val="00D237C6"/>
    <w:rsid w:val="00D3630E"/>
    <w:rsid w:val="00D4526F"/>
    <w:rsid w:val="00D541A7"/>
    <w:rsid w:val="00D66462"/>
    <w:rsid w:val="00D677CA"/>
    <w:rsid w:val="00D71AAB"/>
    <w:rsid w:val="00D80001"/>
    <w:rsid w:val="00D83BE6"/>
    <w:rsid w:val="00D9354D"/>
    <w:rsid w:val="00DE62F8"/>
    <w:rsid w:val="00DF07C0"/>
    <w:rsid w:val="00E14998"/>
    <w:rsid w:val="00E37146"/>
    <w:rsid w:val="00E4708C"/>
    <w:rsid w:val="00E50FE1"/>
    <w:rsid w:val="00E52CE4"/>
    <w:rsid w:val="00E725D4"/>
    <w:rsid w:val="00EB1DE7"/>
    <w:rsid w:val="00EB27D4"/>
    <w:rsid w:val="00EB2FC3"/>
    <w:rsid w:val="00EC1E54"/>
    <w:rsid w:val="00EC4163"/>
    <w:rsid w:val="00EF1B93"/>
    <w:rsid w:val="00F038B5"/>
    <w:rsid w:val="00F17797"/>
    <w:rsid w:val="00F211F8"/>
    <w:rsid w:val="00F23536"/>
    <w:rsid w:val="00F243DE"/>
    <w:rsid w:val="00F330C3"/>
    <w:rsid w:val="00F36ED6"/>
    <w:rsid w:val="00F37A64"/>
    <w:rsid w:val="00F479EB"/>
    <w:rsid w:val="00F60289"/>
    <w:rsid w:val="00F84BAD"/>
    <w:rsid w:val="00F95C24"/>
    <w:rsid w:val="00FC3708"/>
    <w:rsid w:val="00FC47A6"/>
    <w:rsid w:val="00FE18B4"/>
    <w:rsid w:val="00FF7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9B7856AC-9517-4276-9598-ACF81351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A2"/>
    <w:pPr>
      <w:jc w:val="both"/>
    </w:pPr>
    <w:rPr>
      <w:rFonts w:ascii="Times New Roman Mäori" w:hAnsi="Times New Roman Mäori"/>
      <w:sz w:val="24"/>
      <w:szCs w:val="24"/>
      <w:lang w:eastAsia="en-US"/>
    </w:rPr>
  </w:style>
  <w:style w:type="paragraph" w:styleId="Heading1">
    <w:name w:val="heading 1"/>
    <w:basedOn w:val="Normal"/>
    <w:next w:val="Normal"/>
    <w:link w:val="Heading1Char"/>
    <w:uiPriority w:val="99"/>
    <w:qFormat/>
    <w:rsid w:val="001B69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69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363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3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803AB"/>
    <w:rPr>
      <w:rFonts w:ascii="Cambria" w:eastAsia="Times New Roman" w:hAnsi="Cambria" w:cs="Times New Roman"/>
      <w:b/>
      <w:bCs/>
      <w:i/>
      <w:iCs/>
      <w:sz w:val="28"/>
      <w:szCs w:val="28"/>
      <w:lang w:eastAsia="en-US"/>
    </w:rPr>
  </w:style>
  <w:style w:type="character" w:customStyle="1" w:styleId="Heading3Char">
    <w:name w:val="Heading 3 Char"/>
    <w:link w:val="Heading3"/>
    <w:uiPriority w:val="99"/>
    <w:locked/>
    <w:rsid w:val="0073266B"/>
    <w:rPr>
      <w:rFonts w:ascii="Arial" w:hAnsi="Arial"/>
      <w:b/>
      <w:sz w:val="26"/>
      <w:lang w:val="en-NZ" w:eastAsia="en-US"/>
    </w:rPr>
  </w:style>
  <w:style w:type="paragraph" w:styleId="TOC1">
    <w:name w:val="toc 1"/>
    <w:basedOn w:val="Normal"/>
    <w:next w:val="Normal"/>
    <w:autoRedefine/>
    <w:uiPriority w:val="39"/>
    <w:rsid w:val="008D1FFF"/>
    <w:pPr>
      <w:tabs>
        <w:tab w:val="right" w:leader="dot" w:pos="9360"/>
      </w:tabs>
      <w:ind w:left="180" w:right="70" w:hanging="180"/>
      <w:jc w:val="left"/>
    </w:pPr>
    <w:rPr>
      <w:rFonts w:ascii="Times New Roman" w:hAnsi="Times New Roman"/>
      <w:noProof/>
      <w:szCs w:val="48"/>
    </w:rPr>
  </w:style>
  <w:style w:type="character" w:styleId="PageNumber">
    <w:name w:val="page number"/>
    <w:uiPriority w:val="99"/>
    <w:rsid w:val="001A15A2"/>
    <w:rPr>
      <w:rFonts w:cs="Times New Roman"/>
    </w:rPr>
  </w:style>
  <w:style w:type="paragraph" w:styleId="Footer">
    <w:name w:val="footer"/>
    <w:basedOn w:val="Normal"/>
    <w:link w:val="FooterChar"/>
    <w:uiPriority w:val="99"/>
    <w:rsid w:val="001A15A2"/>
    <w:pPr>
      <w:tabs>
        <w:tab w:val="center" w:pos="4320"/>
        <w:tab w:val="right" w:pos="8640"/>
      </w:tabs>
      <w:jc w:val="left"/>
    </w:pPr>
    <w:rPr>
      <w:rFonts w:ascii="Times New Roman" w:hAnsi="Times New Roman"/>
      <w:sz w:val="22"/>
      <w:szCs w:val="20"/>
    </w:rPr>
  </w:style>
  <w:style w:type="character" w:customStyle="1" w:styleId="FooterChar">
    <w:name w:val="Footer Char"/>
    <w:link w:val="Footer"/>
    <w:uiPriority w:val="99"/>
    <w:semiHidden/>
    <w:rsid w:val="008803AB"/>
    <w:rPr>
      <w:rFonts w:ascii="Times New Roman Mäori" w:hAnsi="Times New Roman Mäori"/>
      <w:sz w:val="24"/>
      <w:szCs w:val="24"/>
      <w:lang w:eastAsia="en-US"/>
    </w:rPr>
  </w:style>
  <w:style w:type="paragraph" w:styleId="TOC2">
    <w:name w:val="toc 2"/>
    <w:basedOn w:val="Normal"/>
    <w:next w:val="Normal"/>
    <w:autoRedefine/>
    <w:uiPriority w:val="39"/>
    <w:rsid w:val="008D1FFF"/>
    <w:pPr>
      <w:tabs>
        <w:tab w:val="right" w:leader="dot" w:pos="9360"/>
      </w:tabs>
      <w:ind w:left="240"/>
    </w:pPr>
  </w:style>
  <w:style w:type="paragraph" w:customStyle="1" w:styleId="xl22">
    <w:name w:val="xl22"/>
    <w:basedOn w:val="Normal"/>
    <w:uiPriority w:val="99"/>
    <w:rsid w:val="006D57FF"/>
    <w:pPr>
      <w:spacing w:before="100" w:beforeAutospacing="1" w:after="100" w:afterAutospacing="1"/>
      <w:jc w:val="left"/>
    </w:pPr>
    <w:rPr>
      <w:rFonts w:ascii="Arial" w:hAnsi="Arial" w:cs="Arial"/>
      <w:b/>
      <w:bCs/>
      <w:lang w:val="en-US"/>
    </w:rPr>
  </w:style>
  <w:style w:type="paragraph" w:customStyle="1" w:styleId="xl23">
    <w:name w:val="xl23"/>
    <w:basedOn w:val="Normal"/>
    <w:uiPriority w:val="99"/>
    <w:rsid w:val="006D57FF"/>
    <w:pPr>
      <w:spacing w:before="100" w:beforeAutospacing="1" w:after="100" w:afterAutospacing="1"/>
      <w:jc w:val="center"/>
    </w:pPr>
    <w:rPr>
      <w:rFonts w:ascii="Times New Roman" w:hAnsi="Times New Roman"/>
      <w:lang w:val="en-US"/>
    </w:rPr>
  </w:style>
  <w:style w:type="paragraph" w:customStyle="1" w:styleId="xl24">
    <w:name w:val="xl24"/>
    <w:basedOn w:val="Normal"/>
    <w:uiPriority w:val="99"/>
    <w:rsid w:val="006D57FF"/>
    <w:pPr>
      <w:spacing w:before="100" w:beforeAutospacing="1" w:after="100" w:afterAutospacing="1"/>
      <w:jc w:val="left"/>
    </w:pPr>
    <w:rPr>
      <w:rFonts w:ascii="Arial" w:hAnsi="Arial" w:cs="Arial"/>
      <w:b/>
      <w:bCs/>
      <w:u w:val="single"/>
      <w:lang w:val="en-US"/>
    </w:rPr>
  </w:style>
  <w:style w:type="paragraph" w:customStyle="1" w:styleId="xl25">
    <w:name w:val="xl25"/>
    <w:basedOn w:val="Normal"/>
    <w:uiPriority w:val="99"/>
    <w:rsid w:val="006D57F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26">
    <w:name w:val="xl26"/>
    <w:basedOn w:val="Normal"/>
    <w:uiPriority w:val="99"/>
    <w:rsid w:val="006D57FF"/>
    <w:pPr>
      <w:pBdr>
        <w:bottom w:val="single" w:sz="8" w:space="0" w:color="auto"/>
      </w:pBdr>
      <w:spacing w:before="100" w:beforeAutospacing="1" w:after="100" w:afterAutospacing="1"/>
      <w:jc w:val="center"/>
    </w:pPr>
    <w:rPr>
      <w:rFonts w:ascii="Times New Roman" w:hAnsi="Times New Roman"/>
      <w:lang w:val="en-US"/>
    </w:rPr>
  </w:style>
  <w:style w:type="paragraph" w:customStyle="1" w:styleId="xl27">
    <w:name w:val="xl27"/>
    <w:basedOn w:val="Normal"/>
    <w:uiPriority w:val="99"/>
    <w:rsid w:val="006D57FF"/>
    <w:pPr>
      <w:pBdr>
        <w:bottom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28">
    <w:name w:val="xl28"/>
    <w:basedOn w:val="Normal"/>
    <w:uiPriority w:val="99"/>
    <w:rsid w:val="006D57FF"/>
    <w:pPr>
      <w:spacing w:before="100" w:beforeAutospacing="1" w:after="100" w:afterAutospacing="1"/>
      <w:jc w:val="center"/>
    </w:pPr>
    <w:rPr>
      <w:rFonts w:ascii="Times New Roman" w:hAnsi="Times New Roman"/>
      <w:lang w:val="en-US"/>
    </w:rPr>
  </w:style>
  <w:style w:type="paragraph" w:customStyle="1" w:styleId="xl29">
    <w:name w:val="xl29"/>
    <w:basedOn w:val="Normal"/>
    <w:uiPriority w:val="99"/>
    <w:rsid w:val="006D57FF"/>
    <w:pPr>
      <w:spacing w:before="100" w:beforeAutospacing="1" w:after="100" w:afterAutospacing="1"/>
      <w:jc w:val="left"/>
    </w:pPr>
    <w:rPr>
      <w:rFonts w:ascii="Times New Roman" w:hAnsi="Times New Roman"/>
      <w:lang w:val="en-US"/>
    </w:rPr>
  </w:style>
  <w:style w:type="paragraph" w:customStyle="1" w:styleId="xl30">
    <w:name w:val="xl30"/>
    <w:basedOn w:val="Normal"/>
    <w:uiPriority w:val="99"/>
    <w:rsid w:val="006D57FF"/>
    <w:pPr>
      <w:spacing w:before="100" w:beforeAutospacing="1" w:after="100" w:afterAutospacing="1"/>
      <w:jc w:val="left"/>
    </w:pPr>
    <w:rPr>
      <w:rFonts w:ascii="Tahoma" w:hAnsi="Tahoma" w:cs="Tahoma"/>
      <w:lang w:val="en-US"/>
    </w:rPr>
  </w:style>
  <w:style w:type="paragraph" w:customStyle="1" w:styleId="xl31">
    <w:name w:val="xl31"/>
    <w:basedOn w:val="Normal"/>
    <w:uiPriority w:val="99"/>
    <w:rsid w:val="006D57FF"/>
    <w:pPr>
      <w:spacing w:before="100" w:beforeAutospacing="1" w:after="100" w:afterAutospacing="1"/>
      <w:jc w:val="left"/>
    </w:pPr>
    <w:rPr>
      <w:rFonts w:ascii="Tahoma" w:hAnsi="Tahoma" w:cs="Tahoma"/>
      <w:lang w:val="en-US"/>
    </w:rPr>
  </w:style>
  <w:style w:type="paragraph" w:customStyle="1" w:styleId="xl33">
    <w:name w:val="xl33"/>
    <w:basedOn w:val="Normal"/>
    <w:uiPriority w:val="99"/>
    <w:rsid w:val="006D57F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34">
    <w:name w:val="xl34"/>
    <w:basedOn w:val="Normal"/>
    <w:uiPriority w:val="99"/>
    <w:rsid w:val="006D57FF"/>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35">
    <w:name w:val="xl35"/>
    <w:basedOn w:val="Normal"/>
    <w:uiPriority w:val="99"/>
    <w:rsid w:val="006D57F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US"/>
    </w:rPr>
  </w:style>
  <w:style w:type="paragraph" w:styleId="Header">
    <w:name w:val="header"/>
    <w:basedOn w:val="Normal"/>
    <w:link w:val="HeaderChar"/>
    <w:uiPriority w:val="99"/>
    <w:rsid w:val="000E7B08"/>
    <w:pPr>
      <w:tabs>
        <w:tab w:val="center" w:pos="4153"/>
        <w:tab w:val="right" w:pos="8306"/>
      </w:tabs>
    </w:pPr>
  </w:style>
  <w:style w:type="character" w:customStyle="1" w:styleId="HeaderChar">
    <w:name w:val="Header Char"/>
    <w:link w:val="Header"/>
    <w:uiPriority w:val="99"/>
    <w:semiHidden/>
    <w:rsid w:val="008803AB"/>
    <w:rPr>
      <w:rFonts w:ascii="Times New Roman Mäori" w:hAnsi="Times New Roman Mäori"/>
      <w:sz w:val="24"/>
      <w:szCs w:val="24"/>
      <w:lang w:eastAsia="en-US"/>
    </w:rPr>
  </w:style>
  <w:style w:type="paragraph" w:styleId="BalloonText">
    <w:name w:val="Balloon Text"/>
    <w:basedOn w:val="Normal"/>
    <w:link w:val="BalloonTextChar"/>
    <w:uiPriority w:val="99"/>
    <w:semiHidden/>
    <w:rsid w:val="00483103"/>
    <w:rPr>
      <w:rFonts w:ascii="Tahoma" w:hAnsi="Tahoma" w:cs="Tahoma"/>
      <w:sz w:val="16"/>
      <w:szCs w:val="16"/>
    </w:rPr>
  </w:style>
  <w:style w:type="character" w:customStyle="1" w:styleId="BalloonTextChar">
    <w:name w:val="Balloon Text Char"/>
    <w:link w:val="BalloonText"/>
    <w:uiPriority w:val="99"/>
    <w:semiHidden/>
    <w:rsid w:val="008803AB"/>
    <w:rPr>
      <w:sz w:val="0"/>
      <w:szCs w:val="0"/>
      <w:lang w:eastAsia="en-US"/>
    </w:rPr>
  </w:style>
  <w:style w:type="paragraph" w:styleId="ListParagraph">
    <w:name w:val="List Paragraph"/>
    <w:basedOn w:val="Normal"/>
    <w:uiPriority w:val="34"/>
    <w:qFormat/>
    <w:rsid w:val="00EB1DE7"/>
    <w:pPr>
      <w:ind w:left="720"/>
      <w:jc w:val="left"/>
    </w:pPr>
    <w:rPr>
      <w:rFonts w:ascii="Times New Roman" w:hAnsi="Times New Roman"/>
      <w:lang w:val="en-GB" w:eastAsia="en-GB"/>
    </w:rPr>
  </w:style>
  <w:style w:type="table" w:customStyle="1" w:styleId="TableGrid1">
    <w:name w:val="Table Grid1"/>
    <w:basedOn w:val="TableNormal"/>
    <w:next w:val="TableGrid"/>
    <w:uiPriority w:val="59"/>
    <w:rsid w:val="007D2A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D2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8061">
      <w:bodyDiv w:val="1"/>
      <w:marLeft w:val="0"/>
      <w:marRight w:val="0"/>
      <w:marTop w:val="0"/>
      <w:marBottom w:val="0"/>
      <w:divBdr>
        <w:top w:val="none" w:sz="0" w:space="0" w:color="auto"/>
        <w:left w:val="none" w:sz="0" w:space="0" w:color="auto"/>
        <w:bottom w:val="none" w:sz="0" w:space="0" w:color="auto"/>
        <w:right w:val="none" w:sz="0" w:space="0" w:color="auto"/>
      </w:divBdr>
    </w:div>
    <w:div w:id="957644489">
      <w:bodyDiv w:val="1"/>
      <w:marLeft w:val="0"/>
      <w:marRight w:val="0"/>
      <w:marTop w:val="0"/>
      <w:marBottom w:val="0"/>
      <w:divBdr>
        <w:top w:val="none" w:sz="0" w:space="0" w:color="auto"/>
        <w:left w:val="none" w:sz="0" w:space="0" w:color="auto"/>
        <w:bottom w:val="none" w:sz="0" w:space="0" w:color="auto"/>
        <w:right w:val="none" w:sz="0" w:space="0" w:color="auto"/>
      </w:divBdr>
    </w:div>
    <w:div w:id="1421441323">
      <w:marLeft w:val="0"/>
      <w:marRight w:val="0"/>
      <w:marTop w:val="0"/>
      <w:marBottom w:val="0"/>
      <w:divBdr>
        <w:top w:val="none" w:sz="0" w:space="0" w:color="auto"/>
        <w:left w:val="none" w:sz="0" w:space="0" w:color="auto"/>
        <w:bottom w:val="none" w:sz="0" w:space="0" w:color="auto"/>
        <w:right w:val="none" w:sz="0" w:space="0" w:color="auto"/>
      </w:divBdr>
    </w:div>
    <w:div w:id="19278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C4D2-5BCC-4C9F-AEA2-E01B8CD1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5D37DDA3</Template>
  <TotalTime>1</TotalTime>
  <Pages>43</Pages>
  <Words>11745</Words>
  <Characters>60261</Characters>
  <Application>Microsoft Office Word</Application>
  <DocSecurity>0</DocSecurity>
  <Lines>502</Lines>
  <Paragraphs>143</Paragraphs>
  <ScaleCrop>false</ScaleCrop>
  <HeadingPairs>
    <vt:vector size="2" baseType="variant">
      <vt:variant>
        <vt:lpstr>Title</vt:lpstr>
      </vt:variant>
      <vt:variant>
        <vt:i4>1</vt:i4>
      </vt:variant>
    </vt:vector>
  </HeadingPairs>
  <TitlesOfParts>
    <vt:vector size="1" baseType="lpstr">
      <vt:lpstr>DHB Costing Guidelines</vt:lpstr>
    </vt:vector>
  </TitlesOfParts>
  <Company>Auckland District Health Board</Company>
  <LinksUpToDate>false</LinksUpToDate>
  <CharactersWithSpaces>71863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DHB Costing Guidelines</dc:title>
  <dc:creator>Auckland Healthcare Services</dc:creator>
  <cp:lastModifiedBy>Anika de Mul</cp:lastModifiedBy>
  <cp:revision>2</cp:revision>
  <cp:lastPrinted>2017-05-25T23:22:00Z</cp:lastPrinted>
  <dcterms:created xsi:type="dcterms:W3CDTF">2019-08-15T03:22:00Z</dcterms:created>
  <dcterms:modified xsi:type="dcterms:W3CDTF">2019-08-15T03:22:00Z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