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C4E3" w14:textId="5397A443" w:rsidR="00A0616F" w:rsidRDefault="00A0616F"/>
    <w:tbl>
      <w:tblPr>
        <w:tblW w:w="0" w:type="auto"/>
        <w:tblLook w:val="01E0" w:firstRow="1" w:lastRow="1" w:firstColumn="1" w:lastColumn="1" w:noHBand="0" w:noVBand="0"/>
      </w:tblPr>
      <w:tblGrid>
        <w:gridCol w:w="4798"/>
        <w:gridCol w:w="5056"/>
      </w:tblGrid>
      <w:tr w:rsidR="00C55E12" w:rsidRPr="009F2C20" w14:paraId="61297A78" w14:textId="77777777" w:rsidTr="00547A87">
        <w:tc>
          <w:tcPr>
            <w:tcW w:w="4798" w:type="dxa"/>
          </w:tcPr>
          <w:p w14:paraId="4853E5F0" w14:textId="77777777" w:rsidR="00C55E12" w:rsidRPr="009F2C20" w:rsidRDefault="00C55E12" w:rsidP="00547A87">
            <w:pPr>
              <w:rPr>
                <w:rFonts w:cs="Arial"/>
                <w:b/>
                <w:color w:val="000000"/>
                <w:sz w:val="40"/>
                <w:szCs w:val="40"/>
              </w:rPr>
            </w:pPr>
            <w:r>
              <w:rPr>
                <w:noProof/>
              </w:rPr>
              <w:drawing>
                <wp:inline distT="0" distB="0" distL="0" distR="0" wp14:anchorId="316F7C7A" wp14:editId="1D072EE9">
                  <wp:extent cx="1903090" cy="927116"/>
                  <wp:effectExtent l="0" t="0" r="2540" b="6350"/>
                  <wp:docPr id="2"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650" cy="925927"/>
                          </a:xfrm>
                          <a:prstGeom prst="rect">
                            <a:avLst/>
                          </a:prstGeom>
                          <a:noFill/>
                          <a:ln>
                            <a:noFill/>
                          </a:ln>
                        </pic:spPr>
                      </pic:pic>
                    </a:graphicData>
                  </a:graphic>
                </wp:inline>
              </w:drawing>
            </w:r>
          </w:p>
        </w:tc>
        <w:tc>
          <w:tcPr>
            <w:tcW w:w="5056" w:type="dxa"/>
          </w:tcPr>
          <w:p w14:paraId="55A8F390" w14:textId="3DBCFE9F" w:rsidR="00C55E12" w:rsidRPr="009F2C20" w:rsidRDefault="00C55E12" w:rsidP="00547A87">
            <w:pPr>
              <w:ind w:left="2682"/>
              <w:rPr>
                <w:rFonts w:cs="Arial"/>
                <w:b/>
                <w:color w:val="000000"/>
                <w:sz w:val="40"/>
                <w:szCs w:val="40"/>
              </w:rPr>
            </w:pPr>
          </w:p>
          <w:p w14:paraId="4D94D12D" w14:textId="58AD1583" w:rsidR="00C55E12" w:rsidRPr="009F2C20" w:rsidRDefault="00C55E12" w:rsidP="00547A87">
            <w:pPr>
              <w:ind w:left="242"/>
              <w:rPr>
                <w:rFonts w:cs="Arial"/>
                <w:b/>
                <w:color w:val="000000"/>
                <w:szCs w:val="22"/>
              </w:rPr>
            </w:pPr>
            <w:r>
              <w:rPr>
                <w:rFonts w:cs="Arial"/>
                <w:bCs/>
                <w:sz w:val="36"/>
              </w:rPr>
              <w:t>All District Health Boards</w:t>
            </w:r>
          </w:p>
        </w:tc>
      </w:tr>
    </w:tbl>
    <w:p w14:paraId="0F92F793" w14:textId="43107DFB" w:rsidR="00A66FA9" w:rsidRPr="009F2C20" w:rsidRDefault="00A66FA9" w:rsidP="00547A87">
      <w:pPr>
        <w:spacing w:before="3120"/>
        <w:jc w:val="center"/>
        <w:rPr>
          <w:rFonts w:cs="Arial"/>
          <w:b/>
          <w:color w:val="000000"/>
          <w:sz w:val="40"/>
          <w:szCs w:val="40"/>
        </w:rPr>
      </w:pPr>
    </w:p>
    <w:p w14:paraId="7C3D6931" w14:textId="7A3A9D0F" w:rsidR="00C55E12" w:rsidRPr="009F2C20" w:rsidRDefault="00C55E12" w:rsidP="00C55E12">
      <w:pPr>
        <w:pBdr>
          <w:top w:val="single" w:sz="4" w:space="1" w:color="auto"/>
          <w:bottom w:val="single" w:sz="4" w:space="1" w:color="auto"/>
        </w:pBdr>
        <w:jc w:val="center"/>
        <w:rPr>
          <w:rFonts w:cs="Arial"/>
          <w:b/>
          <w:color w:val="000000"/>
          <w:sz w:val="40"/>
          <w:szCs w:val="40"/>
        </w:rPr>
      </w:pPr>
      <w:r w:rsidRPr="009F2C20">
        <w:rPr>
          <w:rFonts w:cs="Arial"/>
          <w:b/>
          <w:color w:val="000000"/>
          <w:sz w:val="36"/>
          <w:szCs w:val="36"/>
        </w:rPr>
        <w:t>Common Counting Standards</w:t>
      </w:r>
    </w:p>
    <w:p w14:paraId="5AF9888A" w14:textId="77777777" w:rsidR="00C55E12" w:rsidRDefault="00C55E12" w:rsidP="00C55E12">
      <w:pPr>
        <w:jc w:val="center"/>
        <w:rPr>
          <w:rFonts w:cs="Arial"/>
          <w:b/>
          <w:color w:val="000000"/>
          <w:sz w:val="40"/>
          <w:szCs w:val="40"/>
        </w:rPr>
      </w:pPr>
    </w:p>
    <w:p w14:paraId="31F80D32" w14:textId="3691E43E" w:rsidR="00547A87" w:rsidRPr="009F2C20" w:rsidRDefault="00547A87" w:rsidP="00547A87">
      <w:pPr>
        <w:spacing w:before="2520"/>
        <w:jc w:val="center"/>
        <w:rPr>
          <w:rFonts w:cs="Arial"/>
          <w:b/>
          <w:color w:val="000000"/>
          <w:sz w:val="40"/>
          <w:szCs w:val="40"/>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tblGrid>
      <w:tr w:rsidR="00C55E12" w:rsidRPr="009F2C20" w14:paraId="7FFCA28A" w14:textId="77777777" w:rsidTr="00547A87">
        <w:tc>
          <w:tcPr>
            <w:tcW w:w="2520" w:type="dxa"/>
            <w:shd w:val="clear" w:color="auto" w:fill="D9D9D9"/>
          </w:tcPr>
          <w:p w14:paraId="141F02B2" w14:textId="77777777" w:rsidR="00C55E12" w:rsidRPr="009F2C20" w:rsidRDefault="00C55E12" w:rsidP="00547A87">
            <w:pPr>
              <w:rPr>
                <w:rFonts w:cs="Arial"/>
                <w:b/>
                <w:color w:val="000000"/>
                <w:szCs w:val="22"/>
              </w:rPr>
            </w:pPr>
            <w:r w:rsidRPr="009F2C20">
              <w:rPr>
                <w:rFonts w:cs="Arial"/>
                <w:b/>
                <w:color w:val="000000"/>
                <w:szCs w:val="22"/>
              </w:rPr>
              <w:t>Prepared by</w:t>
            </w:r>
          </w:p>
        </w:tc>
        <w:tc>
          <w:tcPr>
            <w:tcW w:w="3240" w:type="dxa"/>
          </w:tcPr>
          <w:p w14:paraId="04B71DBE" w14:textId="21F837AD" w:rsidR="00C55E12" w:rsidRPr="009F2C20" w:rsidRDefault="00E32043" w:rsidP="00547A87">
            <w:pPr>
              <w:rPr>
                <w:rFonts w:cs="Arial"/>
                <w:color w:val="000000"/>
                <w:szCs w:val="22"/>
              </w:rPr>
            </w:pPr>
            <w:r>
              <w:rPr>
                <w:rFonts w:cs="Arial"/>
                <w:color w:val="000000"/>
                <w:szCs w:val="22"/>
              </w:rPr>
              <w:t>Planning and Accountability team</w:t>
            </w:r>
            <w:r w:rsidR="00C55E12">
              <w:rPr>
                <w:rFonts w:cs="Arial"/>
                <w:color w:val="000000"/>
                <w:szCs w:val="22"/>
              </w:rPr>
              <w:t xml:space="preserve"> Ministry of Health</w:t>
            </w:r>
          </w:p>
        </w:tc>
      </w:tr>
      <w:tr w:rsidR="00C55E12" w:rsidRPr="009F2C20" w14:paraId="1A0063AC" w14:textId="77777777" w:rsidTr="00547A87">
        <w:trPr>
          <w:trHeight w:val="255"/>
        </w:trPr>
        <w:tc>
          <w:tcPr>
            <w:tcW w:w="2520" w:type="dxa"/>
            <w:shd w:val="clear" w:color="auto" w:fill="D9D9D9"/>
          </w:tcPr>
          <w:p w14:paraId="19F481E5" w14:textId="77777777" w:rsidR="00C55E12" w:rsidRPr="009F2C20" w:rsidRDefault="00C55E12" w:rsidP="00547A87">
            <w:pPr>
              <w:rPr>
                <w:rFonts w:cs="Arial"/>
                <w:b/>
                <w:color w:val="000000"/>
                <w:szCs w:val="22"/>
              </w:rPr>
            </w:pPr>
            <w:r>
              <w:rPr>
                <w:rFonts w:cs="Arial"/>
                <w:b/>
                <w:color w:val="000000"/>
                <w:szCs w:val="22"/>
              </w:rPr>
              <w:t xml:space="preserve">Updated </w:t>
            </w:r>
          </w:p>
        </w:tc>
        <w:tc>
          <w:tcPr>
            <w:tcW w:w="3240" w:type="dxa"/>
          </w:tcPr>
          <w:p w14:paraId="5427E81C" w14:textId="7FF460C1" w:rsidR="00C55E12" w:rsidRPr="009F2C20" w:rsidRDefault="00E32043" w:rsidP="00547A87">
            <w:pPr>
              <w:rPr>
                <w:rFonts w:cs="Arial"/>
                <w:color w:val="000000"/>
                <w:szCs w:val="22"/>
              </w:rPr>
            </w:pPr>
            <w:r>
              <w:rPr>
                <w:rFonts w:cs="Arial"/>
                <w:color w:val="000000"/>
                <w:szCs w:val="22"/>
              </w:rPr>
              <w:t>March</w:t>
            </w:r>
            <w:r w:rsidR="008E1218">
              <w:rPr>
                <w:rFonts w:cs="Arial"/>
                <w:color w:val="000000"/>
                <w:szCs w:val="22"/>
              </w:rPr>
              <w:t xml:space="preserve"> </w:t>
            </w:r>
            <w:r w:rsidR="0036636A">
              <w:rPr>
                <w:rFonts w:cs="Arial"/>
                <w:color w:val="000000"/>
                <w:szCs w:val="22"/>
              </w:rPr>
              <w:t>202</w:t>
            </w:r>
            <w:r>
              <w:rPr>
                <w:rFonts w:cs="Arial"/>
                <w:color w:val="000000"/>
                <w:szCs w:val="22"/>
              </w:rPr>
              <w:t>1</w:t>
            </w:r>
          </w:p>
        </w:tc>
      </w:tr>
      <w:tr w:rsidR="0036636A" w:rsidRPr="009F2C20" w14:paraId="27CA38E1" w14:textId="77777777" w:rsidTr="00547A87">
        <w:trPr>
          <w:trHeight w:val="255"/>
        </w:trPr>
        <w:tc>
          <w:tcPr>
            <w:tcW w:w="2520" w:type="dxa"/>
            <w:shd w:val="clear" w:color="auto" w:fill="D9D9D9"/>
          </w:tcPr>
          <w:p w14:paraId="6A822464" w14:textId="338A639C" w:rsidR="0036636A" w:rsidRDefault="00730486" w:rsidP="00547A87">
            <w:pPr>
              <w:rPr>
                <w:rFonts w:cs="Arial"/>
                <w:b/>
                <w:color w:val="000000"/>
                <w:szCs w:val="22"/>
              </w:rPr>
            </w:pPr>
            <w:r>
              <w:rPr>
                <w:rFonts w:cs="Arial"/>
                <w:b/>
                <w:color w:val="000000"/>
                <w:szCs w:val="22"/>
              </w:rPr>
              <w:t>Applicable from</w:t>
            </w:r>
          </w:p>
        </w:tc>
        <w:tc>
          <w:tcPr>
            <w:tcW w:w="3240" w:type="dxa"/>
          </w:tcPr>
          <w:p w14:paraId="1DBAF15D" w14:textId="56C7F7D8" w:rsidR="0036636A" w:rsidDel="00DE53F8" w:rsidRDefault="000A1171" w:rsidP="00547A87">
            <w:pPr>
              <w:rPr>
                <w:rFonts w:cs="Arial"/>
                <w:color w:val="000000"/>
                <w:szCs w:val="22"/>
              </w:rPr>
            </w:pPr>
            <w:r>
              <w:rPr>
                <w:rFonts w:cs="Arial"/>
                <w:color w:val="000000"/>
                <w:szCs w:val="22"/>
              </w:rPr>
              <w:t>1 July 2020</w:t>
            </w:r>
          </w:p>
        </w:tc>
      </w:tr>
      <w:tr w:rsidR="00C55E12" w:rsidRPr="009F2C20" w14:paraId="2D97B20A" w14:textId="77777777" w:rsidTr="00547A87">
        <w:tc>
          <w:tcPr>
            <w:tcW w:w="2520" w:type="dxa"/>
            <w:shd w:val="clear" w:color="auto" w:fill="D9D9D9"/>
          </w:tcPr>
          <w:p w14:paraId="1BFC8DBC" w14:textId="77777777" w:rsidR="00C55E12" w:rsidRPr="009F2C20" w:rsidRDefault="00C55E12" w:rsidP="00547A87">
            <w:pPr>
              <w:rPr>
                <w:rFonts w:cs="Arial"/>
                <w:b/>
                <w:color w:val="000000"/>
                <w:szCs w:val="22"/>
              </w:rPr>
            </w:pPr>
          </w:p>
        </w:tc>
        <w:tc>
          <w:tcPr>
            <w:tcW w:w="3240" w:type="dxa"/>
          </w:tcPr>
          <w:p w14:paraId="42D62D61" w14:textId="5BF264EC" w:rsidR="00C55E12" w:rsidRPr="009F2C20" w:rsidRDefault="00C55E12" w:rsidP="00547A87">
            <w:pPr>
              <w:rPr>
                <w:rFonts w:cs="Arial"/>
                <w:color w:val="000000"/>
                <w:szCs w:val="22"/>
              </w:rPr>
            </w:pPr>
            <w:r>
              <w:rPr>
                <w:rFonts w:cs="Arial"/>
                <w:color w:val="000000"/>
                <w:szCs w:val="22"/>
              </w:rPr>
              <w:t xml:space="preserve">First published January 2013 </w:t>
            </w:r>
          </w:p>
        </w:tc>
      </w:tr>
      <w:tr w:rsidR="00C55E12" w:rsidRPr="009F2C20" w14:paraId="7F9D8CD1" w14:textId="77777777" w:rsidTr="008B3C19">
        <w:trPr>
          <w:trHeight w:val="58"/>
        </w:trPr>
        <w:tc>
          <w:tcPr>
            <w:tcW w:w="2520" w:type="dxa"/>
            <w:shd w:val="clear" w:color="auto" w:fill="D9D9D9"/>
          </w:tcPr>
          <w:p w14:paraId="2F95EE45" w14:textId="77777777" w:rsidR="00C55E12" w:rsidRPr="009F2C20" w:rsidRDefault="00C55E12" w:rsidP="00547A87">
            <w:pPr>
              <w:rPr>
                <w:rFonts w:cs="Arial"/>
                <w:b/>
                <w:color w:val="000000"/>
                <w:szCs w:val="22"/>
              </w:rPr>
            </w:pPr>
            <w:r>
              <w:rPr>
                <w:rFonts w:cs="Arial"/>
                <w:b/>
                <w:color w:val="000000"/>
                <w:szCs w:val="22"/>
              </w:rPr>
              <w:t xml:space="preserve">Version </w:t>
            </w:r>
          </w:p>
        </w:tc>
        <w:tc>
          <w:tcPr>
            <w:tcW w:w="3240" w:type="dxa"/>
          </w:tcPr>
          <w:p w14:paraId="25E28F3B" w14:textId="60A89927" w:rsidR="00C55E12" w:rsidRDefault="002A7773" w:rsidP="00547A87">
            <w:pPr>
              <w:rPr>
                <w:rFonts w:cs="Arial"/>
                <w:color w:val="000000"/>
                <w:szCs w:val="22"/>
              </w:rPr>
            </w:pPr>
            <w:r>
              <w:rPr>
                <w:rFonts w:cs="Arial"/>
                <w:color w:val="000000"/>
                <w:szCs w:val="22"/>
              </w:rPr>
              <w:t>v1.</w:t>
            </w:r>
            <w:r w:rsidR="00CD127F">
              <w:rPr>
                <w:rFonts w:cs="Arial"/>
                <w:color w:val="000000"/>
                <w:szCs w:val="22"/>
              </w:rPr>
              <w:t>1</w:t>
            </w:r>
            <w:r w:rsidR="00154D4E">
              <w:rPr>
                <w:rFonts w:cs="Arial"/>
                <w:color w:val="000000"/>
                <w:szCs w:val="22"/>
              </w:rPr>
              <w:t>a</w:t>
            </w:r>
            <w:r w:rsidR="00E32043">
              <w:rPr>
                <w:rFonts w:cs="Arial"/>
                <w:color w:val="000000"/>
                <w:szCs w:val="22"/>
              </w:rPr>
              <w:t xml:space="preserve"> </w:t>
            </w:r>
          </w:p>
        </w:tc>
      </w:tr>
    </w:tbl>
    <w:p w14:paraId="5A302B94" w14:textId="77777777" w:rsidR="00C55E12" w:rsidRPr="009F2C20" w:rsidRDefault="00C55E12" w:rsidP="00C55E12">
      <w:pPr>
        <w:jc w:val="center"/>
        <w:rPr>
          <w:rFonts w:cs="Arial"/>
          <w:color w:val="000000"/>
          <w:sz w:val="28"/>
          <w:szCs w:val="28"/>
        </w:rPr>
      </w:pPr>
    </w:p>
    <w:p w14:paraId="0504BE23" w14:textId="77777777" w:rsidR="00C55E12" w:rsidRDefault="00C55E12" w:rsidP="00C55E12">
      <w:pPr>
        <w:tabs>
          <w:tab w:val="left" w:pos="6120"/>
        </w:tabs>
        <w:rPr>
          <w:rFonts w:cs="Arial"/>
          <w:b/>
          <w:color w:val="000000"/>
          <w:sz w:val="28"/>
          <w:szCs w:val="28"/>
        </w:rPr>
      </w:pPr>
      <w:r>
        <w:rPr>
          <w:rFonts w:cs="Arial"/>
          <w:b/>
          <w:color w:val="000000"/>
          <w:sz w:val="28"/>
          <w:szCs w:val="28"/>
        </w:rPr>
        <w:br w:type="page"/>
      </w:r>
    </w:p>
    <w:p w14:paraId="21FEF160" w14:textId="77777777" w:rsidR="00C55E12" w:rsidRDefault="00C55E12" w:rsidP="00C55E12">
      <w:pPr>
        <w:rPr>
          <w:rFonts w:cs="Arial"/>
          <w:b/>
          <w:color w:val="000000"/>
          <w:szCs w:val="22"/>
          <w:u w:val="single"/>
        </w:rPr>
      </w:pPr>
      <w:r w:rsidRPr="00D12BFF">
        <w:rPr>
          <w:rFonts w:cs="Arial"/>
          <w:b/>
          <w:color w:val="000000"/>
          <w:szCs w:val="22"/>
          <w:u w:val="single"/>
        </w:rPr>
        <w:lastRenderedPageBreak/>
        <w:t>Contents</w:t>
      </w:r>
    </w:p>
    <w:p w14:paraId="080A35FF" w14:textId="4F99127F" w:rsidR="00054713" w:rsidRDefault="00C55E12">
      <w:pPr>
        <w:pStyle w:val="TOC2"/>
        <w:tabs>
          <w:tab w:val="left" w:pos="660"/>
          <w:tab w:val="right" w:pos="10456"/>
        </w:tabs>
        <w:rPr>
          <w:rFonts w:eastAsiaTheme="minorEastAsia" w:cstheme="minorBidi"/>
          <w:i w:val="0"/>
          <w:iCs w:val="0"/>
          <w:noProof/>
          <w:sz w:val="22"/>
          <w:szCs w:val="22"/>
        </w:rPr>
      </w:pPr>
      <w:r w:rsidRPr="00B9635D">
        <w:rPr>
          <w:rFonts w:ascii="Arial" w:hAnsi="Arial" w:cs="Arial"/>
          <w:bCs/>
          <w:color w:val="000000"/>
          <w:u w:val="single"/>
        </w:rPr>
        <w:fldChar w:fldCharType="begin"/>
      </w:r>
      <w:r w:rsidRPr="00B9635D">
        <w:rPr>
          <w:rFonts w:ascii="Arial" w:hAnsi="Arial" w:cs="Arial"/>
          <w:bCs/>
          <w:color w:val="000000"/>
          <w:u w:val="single"/>
        </w:rPr>
        <w:instrText xml:space="preserve"> TOC \h \z \t "Heading 1,2,Heading 2,3,Heading 3,4,Subtitle,1" </w:instrText>
      </w:r>
      <w:r w:rsidRPr="00B9635D">
        <w:rPr>
          <w:rFonts w:ascii="Arial" w:hAnsi="Arial" w:cs="Arial"/>
          <w:bCs/>
          <w:color w:val="000000"/>
          <w:u w:val="single"/>
        </w:rPr>
        <w:fldChar w:fldCharType="separate"/>
      </w:r>
      <w:hyperlink w:anchor="_Toc66194514" w:history="1">
        <w:r w:rsidR="00054713" w:rsidRPr="008578A0">
          <w:rPr>
            <w:rStyle w:val="Hyperlink"/>
            <w:noProof/>
          </w:rPr>
          <w:t>1</w:t>
        </w:r>
        <w:r w:rsidR="00054713">
          <w:rPr>
            <w:rFonts w:eastAsiaTheme="minorEastAsia" w:cstheme="minorBidi"/>
            <w:i w:val="0"/>
            <w:iCs w:val="0"/>
            <w:noProof/>
            <w:sz w:val="22"/>
            <w:szCs w:val="22"/>
          </w:rPr>
          <w:tab/>
        </w:r>
        <w:r w:rsidR="00054713" w:rsidRPr="008578A0">
          <w:rPr>
            <w:rStyle w:val="Hyperlink"/>
            <w:noProof/>
          </w:rPr>
          <w:t>Introduction</w:t>
        </w:r>
        <w:r w:rsidR="00054713">
          <w:rPr>
            <w:noProof/>
            <w:webHidden/>
          </w:rPr>
          <w:tab/>
        </w:r>
        <w:r w:rsidR="00054713">
          <w:rPr>
            <w:noProof/>
            <w:webHidden/>
          </w:rPr>
          <w:fldChar w:fldCharType="begin"/>
        </w:r>
        <w:r w:rsidR="00054713">
          <w:rPr>
            <w:noProof/>
            <w:webHidden/>
          </w:rPr>
          <w:instrText xml:space="preserve"> PAGEREF _Toc66194514 \h </w:instrText>
        </w:r>
        <w:r w:rsidR="00054713">
          <w:rPr>
            <w:noProof/>
            <w:webHidden/>
          </w:rPr>
        </w:r>
        <w:r w:rsidR="00054713">
          <w:rPr>
            <w:noProof/>
            <w:webHidden/>
          </w:rPr>
          <w:fldChar w:fldCharType="separate"/>
        </w:r>
        <w:r w:rsidR="008D47F3">
          <w:rPr>
            <w:noProof/>
            <w:webHidden/>
          </w:rPr>
          <w:t>5</w:t>
        </w:r>
        <w:r w:rsidR="00054713">
          <w:rPr>
            <w:noProof/>
            <w:webHidden/>
          </w:rPr>
          <w:fldChar w:fldCharType="end"/>
        </w:r>
      </w:hyperlink>
    </w:p>
    <w:p w14:paraId="0AC62DAA" w14:textId="10FF25BF" w:rsidR="00054713" w:rsidRDefault="008B5063">
      <w:pPr>
        <w:pStyle w:val="TOC3"/>
        <w:tabs>
          <w:tab w:val="right" w:pos="10456"/>
        </w:tabs>
        <w:rPr>
          <w:rFonts w:eastAsiaTheme="minorEastAsia" w:cstheme="minorBidi"/>
          <w:noProof/>
          <w:sz w:val="22"/>
          <w:szCs w:val="22"/>
        </w:rPr>
      </w:pPr>
      <w:hyperlink w:anchor="_Toc66194515" w:history="1">
        <w:r w:rsidR="00054713" w:rsidRPr="008578A0">
          <w:rPr>
            <w:rStyle w:val="Hyperlink"/>
            <w:noProof/>
          </w:rPr>
          <w:t>Purpose of the Common Counting Standards</w:t>
        </w:r>
        <w:r w:rsidR="00054713">
          <w:rPr>
            <w:noProof/>
            <w:webHidden/>
          </w:rPr>
          <w:tab/>
        </w:r>
        <w:r w:rsidR="00054713">
          <w:rPr>
            <w:noProof/>
            <w:webHidden/>
          </w:rPr>
          <w:fldChar w:fldCharType="begin"/>
        </w:r>
        <w:r w:rsidR="00054713">
          <w:rPr>
            <w:noProof/>
            <w:webHidden/>
          </w:rPr>
          <w:instrText xml:space="preserve"> PAGEREF _Toc66194515 \h </w:instrText>
        </w:r>
        <w:r w:rsidR="00054713">
          <w:rPr>
            <w:noProof/>
            <w:webHidden/>
          </w:rPr>
        </w:r>
        <w:r w:rsidR="00054713">
          <w:rPr>
            <w:noProof/>
            <w:webHidden/>
          </w:rPr>
          <w:fldChar w:fldCharType="separate"/>
        </w:r>
        <w:r w:rsidR="008D47F3">
          <w:rPr>
            <w:noProof/>
            <w:webHidden/>
          </w:rPr>
          <w:t>5</w:t>
        </w:r>
        <w:r w:rsidR="00054713">
          <w:rPr>
            <w:noProof/>
            <w:webHidden/>
          </w:rPr>
          <w:fldChar w:fldCharType="end"/>
        </w:r>
      </w:hyperlink>
    </w:p>
    <w:p w14:paraId="6FD284CF" w14:textId="6FF2E512" w:rsidR="00054713" w:rsidRDefault="008B5063">
      <w:pPr>
        <w:pStyle w:val="TOC3"/>
        <w:tabs>
          <w:tab w:val="right" w:pos="10456"/>
        </w:tabs>
        <w:rPr>
          <w:rFonts w:eastAsiaTheme="minorEastAsia" w:cstheme="minorBidi"/>
          <w:noProof/>
          <w:sz w:val="22"/>
          <w:szCs w:val="22"/>
        </w:rPr>
      </w:pPr>
      <w:hyperlink w:anchor="_Toc66194516" w:history="1">
        <w:r w:rsidR="00054713" w:rsidRPr="008578A0">
          <w:rPr>
            <w:rStyle w:val="Hyperlink"/>
            <w:noProof/>
          </w:rPr>
          <w:t>Linkages of the standards to health sector documents, collections and systems.</w:t>
        </w:r>
        <w:r w:rsidR="00054713">
          <w:rPr>
            <w:noProof/>
            <w:webHidden/>
          </w:rPr>
          <w:tab/>
        </w:r>
        <w:r w:rsidR="00054713">
          <w:rPr>
            <w:noProof/>
            <w:webHidden/>
          </w:rPr>
          <w:fldChar w:fldCharType="begin"/>
        </w:r>
        <w:r w:rsidR="00054713">
          <w:rPr>
            <w:noProof/>
            <w:webHidden/>
          </w:rPr>
          <w:instrText xml:space="preserve"> PAGEREF _Toc66194516 \h </w:instrText>
        </w:r>
        <w:r w:rsidR="00054713">
          <w:rPr>
            <w:noProof/>
            <w:webHidden/>
          </w:rPr>
        </w:r>
        <w:r w:rsidR="00054713">
          <w:rPr>
            <w:noProof/>
            <w:webHidden/>
          </w:rPr>
          <w:fldChar w:fldCharType="separate"/>
        </w:r>
        <w:r w:rsidR="008D47F3">
          <w:rPr>
            <w:noProof/>
            <w:webHidden/>
          </w:rPr>
          <w:t>7</w:t>
        </w:r>
        <w:r w:rsidR="00054713">
          <w:rPr>
            <w:noProof/>
            <w:webHidden/>
          </w:rPr>
          <w:fldChar w:fldCharType="end"/>
        </w:r>
      </w:hyperlink>
    </w:p>
    <w:p w14:paraId="7A3DDFEC" w14:textId="5729CC1D" w:rsidR="00054713" w:rsidRDefault="008B5063">
      <w:pPr>
        <w:pStyle w:val="TOC2"/>
        <w:tabs>
          <w:tab w:val="left" w:pos="660"/>
          <w:tab w:val="right" w:pos="10456"/>
        </w:tabs>
        <w:rPr>
          <w:rFonts w:eastAsiaTheme="minorEastAsia" w:cstheme="minorBidi"/>
          <w:i w:val="0"/>
          <w:iCs w:val="0"/>
          <w:noProof/>
          <w:sz w:val="22"/>
          <w:szCs w:val="22"/>
        </w:rPr>
      </w:pPr>
      <w:hyperlink w:anchor="_Toc66194517" w:history="1">
        <w:r w:rsidR="00054713" w:rsidRPr="008578A0">
          <w:rPr>
            <w:rStyle w:val="Hyperlink"/>
            <w:noProof/>
          </w:rPr>
          <w:t>2</w:t>
        </w:r>
        <w:r w:rsidR="00054713">
          <w:rPr>
            <w:rFonts w:eastAsiaTheme="minorEastAsia" w:cstheme="minorBidi"/>
            <w:i w:val="0"/>
            <w:iCs w:val="0"/>
            <w:noProof/>
            <w:sz w:val="22"/>
            <w:szCs w:val="22"/>
          </w:rPr>
          <w:tab/>
        </w:r>
        <w:r w:rsidR="00054713" w:rsidRPr="008578A0">
          <w:rPr>
            <w:rStyle w:val="Hyperlink"/>
            <w:noProof/>
          </w:rPr>
          <w:t>General Counting Standards</w:t>
        </w:r>
        <w:r w:rsidR="00054713">
          <w:rPr>
            <w:noProof/>
            <w:webHidden/>
          </w:rPr>
          <w:tab/>
        </w:r>
        <w:r w:rsidR="00054713">
          <w:rPr>
            <w:noProof/>
            <w:webHidden/>
          </w:rPr>
          <w:fldChar w:fldCharType="begin"/>
        </w:r>
        <w:r w:rsidR="00054713">
          <w:rPr>
            <w:noProof/>
            <w:webHidden/>
          </w:rPr>
          <w:instrText xml:space="preserve"> PAGEREF _Toc66194517 \h </w:instrText>
        </w:r>
        <w:r w:rsidR="00054713">
          <w:rPr>
            <w:noProof/>
            <w:webHidden/>
          </w:rPr>
        </w:r>
        <w:r w:rsidR="00054713">
          <w:rPr>
            <w:noProof/>
            <w:webHidden/>
          </w:rPr>
          <w:fldChar w:fldCharType="separate"/>
        </w:r>
        <w:r w:rsidR="008D47F3">
          <w:rPr>
            <w:noProof/>
            <w:webHidden/>
          </w:rPr>
          <w:t>8</w:t>
        </w:r>
        <w:r w:rsidR="00054713">
          <w:rPr>
            <w:noProof/>
            <w:webHidden/>
          </w:rPr>
          <w:fldChar w:fldCharType="end"/>
        </w:r>
      </w:hyperlink>
    </w:p>
    <w:p w14:paraId="32C46223" w14:textId="019777FC" w:rsidR="00054713" w:rsidRDefault="008B5063">
      <w:pPr>
        <w:pStyle w:val="TOC2"/>
        <w:tabs>
          <w:tab w:val="left" w:pos="660"/>
          <w:tab w:val="right" w:pos="10456"/>
        </w:tabs>
        <w:rPr>
          <w:rFonts w:eastAsiaTheme="minorEastAsia" w:cstheme="minorBidi"/>
          <w:i w:val="0"/>
          <w:iCs w:val="0"/>
          <w:noProof/>
          <w:sz w:val="22"/>
          <w:szCs w:val="22"/>
        </w:rPr>
      </w:pPr>
      <w:hyperlink w:anchor="_Toc66194518" w:history="1">
        <w:r w:rsidR="00054713" w:rsidRPr="008578A0">
          <w:rPr>
            <w:rStyle w:val="Hyperlink"/>
            <w:noProof/>
          </w:rPr>
          <w:t>3</w:t>
        </w:r>
        <w:r w:rsidR="00054713">
          <w:rPr>
            <w:rFonts w:eastAsiaTheme="minorEastAsia" w:cstheme="minorBidi"/>
            <w:i w:val="0"/>
            <w:iCs w:val="0"/>
            <w:noProof/>
            <w:sz w:val="22"/>
            <w:szCs w:val="22"/>
          </w:rPr>
          <w:tab/>
        </w:r>
        <w:r w:rsidR="00054713" w:rsidRPr="008578A0">
          <w:rPr>
            <w:rStyle w:val="Hyperlink"/>
            <w:noProof/>
          </w:rPr>
          <w:t>Admission</w:t>
        </w:r>
        <w:r w:rsidR="00054713">
          <w:rPr>
            <w:noProof/>
            <w:webHidden/>
          </w:rPr>
          <w:tab/>
        </w:r>
        <w:r w:rsidR="00054713">
          <w:rPr>
            <w:noProof/>
            <w:webHidden/>
          </w:rPr>
          <w:fldChar w:fldCharType="begin"/>
        </w:r>
        <w:r w:rsidR="00054713">
          <w:rPr>
            <w:noProof/>
            <w:webHidden/>
          </w:rPr>
          <w:instrText xml:space="preserve"> PAGEREF _Toc66194518 \h </w:instrText>
        </w:r>
        <w:r w:rsidR="00054713">
          <w:rPr>
            <w:noProof/>
            <w:webHidden/>
          </w:rPr>
        </w:r>
        <w:r w:rsidR="00054713">
          <w:rPr>
            <w:noProof/>
            <w:webHidden/>
          </w:rPr>
          <w:fldChar w:fldCharType="separate"/>
        </w:r>
        <w:r w:rsidR="008D47F3">
          <w:rPr>
            <w:noProof/>
            <w:webHidden/>
          </w:rPr>
          <w:t>11</w:t>
        </w:r>
        <w:r w:rsidR="00054713">
          <w:rPr>
            <w:noProof/>
            <w:webHidden/>
          </w:rPr>
          <w:fldChar w:fldCharType="end"/>
        </w:r>
      </w:hyperlink>
    </w:p>
    <w:p w14:paraId="32F5A6DE" w14:textId="55C322A1" w:rsidR="00054713" w:rsidRDefault="008B5063">
      <w:pPr>
        <w:pStyle w:val="TOC3"/>
        <w:tabs>
          <w:tab w:val="right" w:pos="10456"/>
        </w:tabs>
        <w:rPr>
          <w:rFonts w:eastAsiaTheme="minorEastAsia" w:cstheme="minorBidi"/>
          <w:noProof/>
          <w:sz w:val="22"/>
          <w:szCs w:val="22"/>
        </w:rPr>
      </w:pPr>
      <w:hyperlink w:anchor="_Toc66194519" w:history="1">
        <w:r w:rsidR="00054713" w:rsidRPr="008578A0">
          <w:rPr>
            <w:rStyle w:val="Hyperlink"/>
            <w:noProof/>
          </w:rPr>
          <w:t>Admission Definition</w:t>
        </w:r>
        <w:r w:rsidR="00054713">
          <w:rPr>
            <w:noProof/>
            <w:webHidden/>
          </w:rPr>
          <w:tab/>
        </w:r>
        <w:r w:rsidR="00054713">
          <w:rPr>
            <w:noProof/>
            <w:webHidden/>
          </w:rPr>
          <w:fldChar w:fldCharType="begin"/>
        </w:r>
        <w:r w:rsidR="00054713">
          <w:rPr>
            <w:noProof/>
            <w:webHidden/>
          </w:rPr>
          <w:instrText xml:space="preserve"> PAGEREF _Toc66194519 \h </w:instrText>
        </w:r>
        <w:r w:rsidR="00054713">
          <w:rPr>
            <w:noProof/>
            <w:webHidden/>
          </w:rPr>
        </w:r>
        <w:r w:rsidR="00054713">
          <w:rPr>
            <w:noProof/>
            <w:webHidden/>
          </w:rPr>
          <w:fldChar w:fldCharType="separate"/>
        </w:r>
        <w:r w:rsidR="008D47F3">
          <w:rPr>
            <w:noProof/>
            <w:webHidden/>
          </w:rPr>
          <w:t>11</w:t>
        </w:r>
        <w:r w:rsidR="00054713">
          <w:rPr>
            <w:noProof/>
            <w:webHidden/>
          </w:rPr>
          <w:fldChar w:fldCharType="end"/>
        </w:r>
      </w:hyperlink>
    </w:p>
    <w:p w14:paraId="150F5770" w14:textId="3890C0B0" w:rsidR="00054713" w:rsidRDefault="008B5063">
      <w:pPr>
        <w:pStyle w:val="TOC3"/>
        <w:tabs>
          <w:tab w:val="right" w:pos="10456"/>
        </w:tabs>
        <w:rPr>
          <w:rFonts w:eastAsiaTheme="minorEastAsia" w:cstheme="minorBidi"/>
          <w:noProof/>
          <w:sz w:val="22"/>
          <w:szCs w:val="22"/>
        </w:rPr>
      </w:pPr>
      <w:hyperlink w:anchor="_Toc66194520" w:history="1">
        <w:r w:rsidR="00054713" w:rsidRPr="008578A0">
          <w:rPr>
            <w:rStyle w:val="Hyperlink"/>
            <w:noProof/>
          </w:rPr>
          <w:t>Admission Rules</w:t>
        </w:r>
        <w:r w:rsidR="00054713">
          <w:rPr>
            <w:noProof/>
            <w:webHidden/>
          </w:rPr>
          <w:tab/>
        </w:r>
        <w:r w:rsidR="00054713">
          <w:rPr>
            <w:noProof/>
            <w:webHidden/>
          </w:rPr>
          <w:fldChar w:fldCharType="begin"/>
        </w:r>
        <w:r w:rsidR="00054713">
          <w:rPr>
            <w:noProof/>
            <w:webHidden/>
          </w:rPr>
          <w:instrText xml:space="preserve"> PAGEREF _Toc66194520 \h </w:instrText>
        </w:r>
        <w:r w:rsidR="00054713">
          <w:rPr>
            <w:noProof/>
            <w:webHidden/>
          </w:rPr>
        </w:r>
        <w:r w:rsidR="00054713">
          <w:rPr>
            <w:noProof/>
            <w:webHidden/>
          </w:rPr>
          <w:fldChar w:fldCharType="separate"/>
        </w:r>
        <w:r w:rsidR="008D47F3">
          <w:rPr>
            <w:noProof/>
            <w:webHidden/>
          </w:rPr>
          <w:t>11</w:t>
        </w:r>
        <w:r w:rsidR="00054713">
          <w:rPr>
            <w:noProof/>
            <w:webHidden/>
          </w:rPr>
          <w:fldChar w:fldCharType="end"/>
        </w:r>
      </w:hyperlink>
    </w:p>
    <w:p w14:paraId="089A0D6D" w14:textId="510AE731" w:rsidR="00054713" w:rsidRDefault="008B5063">
      <w:pPr>
        <w:pStyle w:val="TOC3"/>
        <w:tabs>
          <w:tab w:val="right" w:pos="10456"/>
        </w:tabs>
        <w:rPr>
          <w:rFonts w:eastAsiaTheme="minorEastAsia" w:cstheme="minorBidi"/>
          <w:noProof/>
          <w:sz w:val="22"/>
          <w:szCs w:val="22"/>
        </w:rPr>
      </w:pPr>
      <w:hyperlink w:anchor="_Toc66194521" w:history="1">
        <w:r w:rsidR="00054713" w:rsidRPr="008578A0">
          <w:rPr>
            <w:rStyle w:val="Hyperlink"/>
            <w:noProof/>
          </w:rPr>
          <w:t>Admission Types</w:t>
        </w:r>
        <w:r w:rsidR="00054713">
          <w:rPr>
            <w:noProof/>
            <w:webHidden/>
          </w:rPr>
          <w:tab/>
        </w:r>
        <w:r w:rsidR="00054713">
          <w:rPr>
            <w:noProof/>
            <w:webHidden/>
          </w:rPr>
          <w:fldChar w:fldCharType="begin"/>
        </w:r>
        <w:r w:rsidR="00054713">
          <w:rPr>
            <w:noProof/>
            <w:webHidden/>
          </w:rPr>
          <w:instrText xml:space="preserve"> PAGEREF _Toc66194521 \h </w:instrText>
        </w:r>
        <w:r w:rsidR="00054713">
          <w:rPr>
            <w:noProof/>
            <w:webHidden/>
          </w:rPr>
        </w:r>
        <w:r w:rsidR="00054713">
          <w:rPr>
            <w:noProof/>
            <w:webHidden/>
          </w:rPr>
          <w:fldChar w:fldCharType="separate"/>
        </w:r>
        <w:r w:rsidR="008D47F3">
          <w:rPr>
            <w:noProof/>
            <w:webHidden/>
          </w:rPr>
          <w:t>11</w:t>
        </w:r>
        <w:r w:rsidR="00054713">
          <w:rPr>
            <w:noProof/>
            <w:webHidden/>
          </w:rPr>
          <w:fldChar w:fldCharType="end"/>
        </w:r>
      </w:hyperlink>
    </w:p>
    <w:p w14:paraId="1901C8BF" w14:textId="76BC1E2E" w:rsidR="00054713" w:rsidRDefault="008B5063">
      <w:pPr>
        <w:pStyle w:val="TOC3"/>
        <w:tabs>
          <w:tab w:val="right" w:pos="10456"/>
        </w:tabs>
        <w:rPr>
          <w:rFonts w:eastAsiaTheme="minorEastAsia" w:cstheme="minorBidi"/>
          <w:noProof/>
          <w:sz w:val="22"/>
          <w:szCs w:val="22"/>
        </w:rPr>
      </w:pPr>
      <w:hyperlink w:anchor="_Toc66194522" w:history="1">
        <w:r w:rsidR="00054713" w:rsidRPr="008578A0">
          <w:rPr>
            <w:rStyle w:val="Hyperlink"/>
            <w:noProof/>
          </w:rPr>
          <w:t>Admitted Events PUC Allocation</w:t>
        </w:r>
        <w:r w:rsidR="00054713">
          <w:rPr>
            <w:noProof/>
            <w:webHidden/>
          </w:rPr>
          <w:tab/>
        </w:r>
        <w:r w:rsidR="00054713">
          <w:rPr>
            <w:noProof/>
            <w:webHidden/>
          </w:rPr>
          <w:fldChar w:fldCharType="begin"/>
        </w:r>
        <w:r w:rsidR="00054713">
          <w:rPr>
            <w:noProof/>
            <w:webHidden/>
          </w:rPr>
          <w:instrText xml:space="preserve"> PAGEREF _Toc66194522 \h </w:instrText>
        </w:r>
        <w:r w:rsidR="00054713">
          <w:rPr>
            <w:noProof/>
            <w:webHidden/>
          </w:rPr>
        </w:r>
        <w:r w:rsidR="00054713">
          <w:rPr>
            <w:noProof/>
            <w:webHidden/>
          </w:rPr>
          <w:fldChar w:fldCharType="separate"/>
        </w:r>
        <w:r w:rsidR="008D47F3">
          <w:rPr>
            <w:noProof/>
            <w:webHidden/>
          </w:rPr>
          <w:t>12</w:t>
        </w:r>
        <w:r w:rsidR="00054713">
          <w:rPr>
            <w:noProof/>
            <w:webHidden/>
          </w:rPr>
          <w:fldChar w:fldCharType="end"/>
        </w:r>
      </w:hyperlink>
    </w:p>
    <w:p w14:paraId="747EF910" w14:textId="618E969A" w:rsidR="00054713" w:rsidRDefault="008B5063">
      <w:pPr>
        <w:pStyle w:val="TOC3"/>
        <w:tabs>
          <w:tab w:val="right" w:pos="10456"/>
        </w:tabs>
        <w:rPr>
          <w:rFonts w:eastAsiaTheme="minorEastAsia" w:cstheme="minorBidi"/>
          <w:noProof/>
          <w:sz w:val="22"/>
          <w:szCs w:val="22"/>
        </w:rPr>
      </w:pPr>
      <w:hyperlink w:anchor="_Toc66194523" w:history="1">
        <w:r w:rsidR="00054713" w:rsidRPr="008578A0">
          <w:rPr>
            <w:rStyle w:val="Hyperlink"/>
            <w:noProof/>
          </w:rPr>
          <w:t>Non-Admitted Events</w:t>
        </w:r>
        <w:r w:rsidR="00054713">
          <w:rPr>
            <w:noProof/>
            <w:webHidden/>
          </w:rPr>
          <w:tab/>
        </w:r>
        <w:r w:rsidR="00054713">
          <w:rPr>
            <w:noProof/>
            <w:webHidden/>
          </w:rPr>
          <w:fldChar w:fldCharType="begin"/>
        </w:r>
        <w:r w:rsidR="00054713">
          <w:rPr>
            <w:noProof/>
            <w:webHidden/>
          </w:rPr>
          <w:instrText xml:space="preserve"> PAGEREF _Toc66194523 \h </w:instrText>
        </w:r>
        <w:r w:rsidR="00054713">
          <w:rPr>
            <w:noProof/>
            <w:webHidden/>
          </w:rPr>
        </w:r>
        <w:r w:rsidR="00054713">
          <w:rPr>
            <w:noProof/>
            <w:webHidden/>
          </w:rPr>
          <w:fldChar w:fldCharType="separate"/>
        </w:r>
        <w:r w:rsidR="008D47F3">
          <w:rPr>
            <w:noProof/>
            <w:webHidden/>
          </w:rPr>
          <w:t>12</w:t>
        </w:r>
        <w:r w:rsidR="00054713">
          <w:rPr>
            <w:noProof/>
            <w:webHidden/>
          </w:rPr>
          <w:fldChar w:fldCharType="end"/>
        </w:r>
      </w:hyperlink>
    </w:p>
    <w:p w14:paraId="4625C510" w14:textId="140F3015" w:rsidR="00054713" w:rsidRDefault="008B5063">
      <w:pPr>
        <w:pStyle w:val="TOC2"/>
        <w:tabs>
          <w:tab w:val="right" w:pos="10456"/>
        </w:tabs>
        <w:rPr>
          <w:rFonts w:eastAsiaTheme="minorEastAsia" w:cstheme="minorBidi"/>
          <w:i w:val="0"/>
          <w:iCs w:val="0"/>
          <w:noProof/>
          <w:sz w:val="22"/>
          <w:szCs w:val="22"/>
        </w:rPr>
      </w:pPr>
      <w:hyperlink w:anchor="_Toc66194524" w:history="1">
        <w:r w:rsidR="00054713" w:rsidRPr="008578A0">
          <w:rPr>
            <w:rStyle w:val="Hyperlink"/>
            <w:noProof/>
          </w:rPr>
          <w:t>Admitted and/or non-admitted Events</w:t>
        </w:r>
        <w:r w:rsidR="00054713">
          <w:rPr>
            <w:noProof/>
            <w:webHidden/>
          </w:rPr>
          <w:tab/>
        </w:r>
        <w:r w:rsidR="00054713">
          <w:rPr>
            <w:noProof/>
            <w:webHidden/>
          </w:rPr>
          <w:fldChar w:fldCharType="begin"/>
        </w:r>
        <w:r w:rsidR="00054713">
          <w:rPr>
            <w:noProof/>
            <w:webHidden/>
          </w:rPr>
          <w:instrText xml:space="preserve"> PAGEREF _Toc66194524 \h </w:instrText>
        </w:r>
        <w:r w:rsidR="00054713">
          <w:rPr>
            <w:noProof/>
            <w:webHidden/>
          </w:rPr>
        </w:r>
        <w:r w:rsidR="00054713">
          <w:rPr>
            <w:noProof/>
            <w:webHidden/>
          </w:rPr>
          <w:fldChar w:fldCharType="separate"/>
        </w:r>
        <w:r w:rsidR="008D47F3">
          <w:rPr>
            <w:noProof/>
            <w:webHidden/>
          </w:rPr>
          <w:t>12</w:t>
        </w:r>
        <w:r w:rsidR="00054713">
          <w:rPr>
            <w:noProof/>
            <w:webHidden/>
          </w:rPr>
          <w:fldChar w:fldCharType="end"/>
        </w:r>
      </w:hyperlink>
    </w:p>
    <w:p w14:paraId="3205C02B" w14:textId="122E6DEC" w:rsidR="00054713" w:rsidRDefault="008B5063">
      <w:pPr>
        <w:pStyle w:val="TOC2"/>
        <w:tabs>
          <w:tab w:val="left" w:pos="660"/>
          <w:tab w:val="right" w:pos="10456"/>
        </w:tabs>
        <w:rPr>
          <w:rFonts w:eastAsiaTheme="minorEastAsia" w:cstheme="minorBidi"/>
          <w:i w:val="0"/>
          <w:iCs w:val="0"/>
          <w:noProof/>
          <w:sz w:val="22"/>
          <w:szCs w:val="22"/>
        </w:rPr>
      </w:pPr>
      <w:hyperlink w:anchor="_Toc66194525" w:history="1">
        <w:r w:rsidR="00054713" w:rsidRPr="008578A0">
          <w:rPr>
            <w:rStyle w:val="Hyperlink"/>
            <w:noProof/>
          </w:rPr>
          <w:t>4</w:t>
        </w:r>
        <w:r w:rsidR="00054713">
          <w:rPr>
            <w:rFonts w:eastAsiaTheme="minorEastAsia" w:cstheme="minorBidi"/>
            <w:i w:val="0"/>
            <w:iCs w:val="0"/>
            <w:noProof/>
            <w:sz w:val="22"/>
            <w:szCs w:val="22"/>
          </w:rPr>
          <w:tab/>
        </w:r>
        <w:r w:rsidR="00054713" w:rsidRPr="008578A0">
          <w:rPr>
            <w:rStyle w:val="Hyperlink"/>
            <w:noProof/>
          </w:rPr>
          <w:t>Acute Assessment Unit (AAU) Events</w:t>
        </w:r>
        <w:r w:rsidR="00054713">
          <w:rPr>
            <w:noProof/>
            <w:webHidden/>
          </w:rPr>
          <w:tab/>
        </w:r>
        <w:r w:rsidR="00054713">
          <w:rPr>
            <w:noProof/>
            <w:webHidden/>
          </w:rPr>
          <w:fldChar w:fldCharType="begin"/>
        </w:r>
        <w:r w:rsidR="00054713">
          <w:rPr>
            <w:noProof/>
            <w:webHidden/>
          </w:rPr>
          <w:instrText xml:space="preserve"> PAGEREF _Toc66194525 \h </w:instrText>
        </w:r>
        <w:r w:rsidR="00054713">
          <w:rPr>
            <w:noProof/>
            <w:webHidden/>
          </w:rPr>
        </w:r>
        <w:r w:rsidR="00054713">
          <w:rPr>
            <w:noProof/>
            <w:webHidden/>
          </w:rPr>
          <w:fldChar w:fldCharType="separate"/>
        </w:r>
        <w:r w:rsidR="008D47F3">
          <w:rPr>
            <w:noProof/>
            <w:webHidden/>
          </w:rPr>
          <w:t>12</w:t>
        </w:r>
        <w:r w:rsidR="00054713">
          <w:rPr>
            <w:noProof/>
            <w:webHidden/>
          </w:rPr>
          <w:fldChar w:fldCharType="end"/>
        </w:r>
      </w:hyperlink>
    </w:p>
    <w:p w14:paraId="21AA04CB" w14:textId="7D76915D" w:rsidR="00054713" w:rsidRDefault="008B5063">
      <w:pPr>
        <w:pStyle w:val="TOC3"/>
        <w:tabs>
          <w:tab w:val="right" w:pos="10456"/>
        </w:tabs>
        <w:rPr>
          <w:rFonts w:eastAsiaTheme="minorEastAsia" w:cstheme="minorBidi"/>
          <w:noProof/>
          <w:sz w:val="22"/>
          <w:szCs w:val="22"/>
        </w:rPr>
      </w:pPr>
      <w:hyperlink w:anchor="_Toc66194526" w:history="1">
        <w:r w:rsidR="00054713" w:rsidRPr="008578A0">
          <w:rPr>
            <w:rStyle w:val="Hyperlink"/>
            <w:noProof/>
          </w:rPr>
          <w:t>AAU Events Definition</w:t>
        </w:r>
        <w:r w:rsidR="00054713">
          <w:rPr>
            <w:noProof/>
            <w:webHidden/>
          </w:rPr>
          <w:tab/>
        </w:r>
        <w:r w:rsidR="00054713">
          <w:rPr>
            <w:noProof/>
            <w:webHidden/>
          </w:rPr>
          <w:fldChar w:fldCharType="begin"/>
        </w:r>
        <w:r w:rsidR="00054713">
          <w:rPr>
            <w:noProof/>
            <w:webHidden/>
          </w:rPr>
          <w:instrText xml:space="preserve"> PAGEREF _Toc66194526 \h </w:instrText>
        </w:r>
        <w:r w:rsidR="00054713">
          <w:rPr>
            <w:noProof/>
            <w:webHidden/>
          </w:rPr>
        </w:r>
        <w:r w:rsidR="00054713">
          <w:rPr>
            <w:noProof/>
            <w:webHidden/>
          </w:rPr>
          <w:fldChar w:fldCharType="separate"/>
        </w:r>
        <w:r w:rsidR="008D47F3">
          <w:rPr>
            <w:noProof/>
            <w:webHidden/>
          </w:rPr>
          <w:t>12</w:t>
        </w:r>
        <w:r w:rsidR="00054713">
          <w:rPr>
            <w:noProof/>
            <w:webHidden/>
          </w:rPr>
          <w:fldChar w:fldCharType="end"/>
        </w:r>
      </w:hyperlink>
    </w:p>
    <w:p w14:paraId="1286AB0D" w14:textId="2DD10547" w:rsidR="00054713" w:rsidRDefault="008B5063">
      <w:pPr>
        <w:pStyle w:val="TOC3"/>
        <w:tabs>
          <w:tab w:val="right" w:pos="10456"/>
        </w:tabs>
        <w:rPr>
          <w:rFonts w:eastAsiaTheme="minorEastAsia" w:cstheme="minorBidi"/>
          <w:noProof/>
          <w:sz w:val="22"/>
          <w:szCs w:val="22"/>
        </w:rPr>
      </w:pPr>
      <w:hyperlink w:anchor="_Toc66194527" w:history="1">
        <w:r w:rsidR="00054713" w:rsidRPr="008578A0">
          <w:rPr>
            <w:rStyle w:val="Hyperlink"/>
            <w:noProof/>
          </w:rPr>
          <w:t>AAU Events Rules</w:t>
        </w:r>
        <w:r w:rsidR="00054713">
          <w:rPr>
            <w:noProof/>
            <w:webHidden/>
          </w:rPr>
          <w:tab/>
        </w:r>
        <w:r w:rsidR="00054713">
          <w:rPr>
            <w:noProof/>
            <w:webHidden/>
          </w:rPr>
          <w:fldChar w:fldCharType="begin"/>
        </w:r>
        <w:r w:rsidR="00054713">
          <w:rPr>
            <w:noProof/>
            <w:webHidden/>
          </w:rPr>
          <w:instrText xml:space="preserve"> PAGEREF _Toc66194527 \h </w:instrText>
        </w:r>
        <w:r w:rsidR="00054713">
          <w:rPr>
            <w:noProof/>
            <w:webHidden/>
          </w:rPr>
        </w:r>
        <w:r w:rsidR="00054713">
          <w:rPr>
            <w:noProof/>
            <w:webHidden/>
          </w:rPr>
          <w:fldChar w:fldCharType="separate"/>
        </w:r>
        <w:r w:rsidR="008D47F3">
          <w:rPr>
            <w:noProof/>
            <w:webHidden/>
          </w:rPr>
          <w:t>12</w:t>
        </w:r>
        <w:r w:rsidR="00054713">
          <w:rPr>
            <w:noProof/>
            <w:webHidden/>
          </w:rPr>
          <w:fldChar w:fldCharType="end"/>
        </w:r>
      </w:hyperlink>
    </w:p>
    <w:p w14:paraId="535CDA41" w14:textId="7012BC2C" w:rsidR="00054713" w:rsidRDefault="008B5063">
      <w:pPr>
        <w:pStyle w:val="TOC3"/>
        <w:tabs>
          <w:tab w:val="right" w:pos="10456"/>
        </w:tabs>
        <w:rPr>
          <w:rFonts w:eastAsiaTheme="minorEastAsia" w:cstheme="minorBidi"/>
          <w:noProof/>
          <w:sz w:val="22"/>
          <w:szCs w:val="22"/>
        </w:rPr>
      </w:pPr>
      <w:hyperlink w:anchor="_Toc66194528" w:history="1">
        <w:r w:rsidR="00054713" w:rsidRPr="008578A0">
          <w:rPr>
            <w:rStyle w:val="Hyperlink"/>
            <w:noProof/>
          </w:rPr>
          <w:t>AAU Events Purchase Unit Allocation</w:t>
        </w:r>
        <w:r w:rsidR="00054713">
          <w:rPr>
            <w:noProof/>
            <w:webHidden/>
          </w:rPr>
          <w:tab/>
        </w:r>
        <w:r w:rsidR="00054713">
          <w:rPr>
            <w:noProof/>
            <w:webHidden/>
          </w:rPr>
          <w:fldChar w:fldCharType="begin"/>
        </w:r>
        <w:r w:rsidR="00054713">
          <w:rPr>
            <w:noProof/>
            <w:webHidden/>
          </w:rPr>
          <w:instrText xml:space="preserve"> PAGEREF _Toc66194528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2C2DC2DC" w14:textId="70BCBD2F" w:rsidR="00054713" w:rsidRDefault="008B5063">
      <w:pPr>
        <w:pStyle w:val="TOC2"/>
        <w:tabs>
          <w:tab w:val="left" w:pos="660"/>
          <w:tab w:val="right" w:pos="10456"/>
        </w:tabs>
        <w:rPr>
          <w:rFonts w:eastAsiaTheme="minorEastAsia" w:cstheme="minorBidi"/>
          <w:i w:val="0"/>
          <w:iCs w:val="0"/>
          <w:noProof/>
          <w:sz w:val="22"/>
          <w:szCs w:val="22"/>
        </w:rPr>
      </w:pPr>
      <w:hyperlink w:anchor="_Toc66194529" w:history="1">
        <w:r w:rsidR="00054713" w:rsidRPr="008578A0">
          <w:rPr>
            <w:rStyle w:val="Hyperlink"/>
            <w:noProof/>
          </w:rPr>
          <w:t>5</w:t>
        </w:r>
        <w:r w:rsidR="00054713">
          <w:rPr>
            <w:rFonts w:eastAsiaTheme="minorEastAsia" w:cstheme="minorBidi"/>
            <w:i w:val="0"/>
            <w:iCs w:val="0"/>
            <w:noProof/>
            <w:sz w:val="22"/>
            <w:szCs w:val="22"/>
          </w:rPr>
          <w:tab/>
        </w:r>
        <w:r w:rsidR="00054713" w:rsidRPr="008578A0">
          <w:rPr>
            <w:rStyle w:val="Hyperlink"/>
            <w:noProof/>
          </w:rPr>
          <w:t>Procedures and Diagnostic Events</w:t>
        </w:r>
        <w:r w:rsidR="00054713">
          <w:rPr>
            <w:noProof/>
            <w:webHidden/>
          </w:rPr>
          <w:tab/>
        </w:r>
        <w:r w:rsidR="00054713">
          <w:rPr>
            <w:noProof/>
            <w:webHidden/>
          </w:rPr>
          <w:fldChar w:fldCharType="begin"/>
        </w:r>
        <w:r w:rsidR="00054713">
          <w:rPr>
            <w:noProof/>
            <w:webHidden/>
          </w:rPr>
          <w:instrText xml:space="preserve"> PAGEREF _Toc66194529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72994431" w14:textId="49F17728" w:rsidR="00054713" w:rsidRDefault="008B5063">
      <w:pPr>
        <w:pStyle w:val="TOC3"/>
        <w:tabs>
          <w:tab w:val="right" w:pos="10456"/>
        </w:tabs>
        <w:rPr>
          <w:rFonts w:eastAsiaTheme="minorEastAsia" w:cstheme="minorBidi"/>
          <w:noProof/>
          <w:sz w:val="22"/>
          <w:szCs w:val="22"/>
        </w:rPr>
      </w:pPr>
      <w:hyperlink w:anchor="_Toc66194530" w:history="1">
        <w:r w:rsidR="00054713" w:rsidRPr="008578A0">
          <w:rPr>
            <w:rStyle w:val="Hyperlink"/>
            <w:noProof/>
          </w:rPr>
          <w:t>Procedures and Diagnostic Events Definition</w:t>
        </w:r>
        <w:r w:rsidR="00054713">
          <w:rPr>
            <w:noProof/>
            <w:webHidden/>
          </w:rPr>
          <w:tab/>
        </w:r>
        <w:r w:rsidR="00054713">
          <w:rPr>
            <w:noProof/>
            <w:webHidden/>
          </w:rPr>
          <w:fldChar w:fldCharType="begin"/>
        </w:r>
        <w:r w:rsidR="00054713">
          <w:rPr>
            <w:noProof/>
            <w:webHidden/>
          </w:rPr>
          <w:instrText xml:space="preserve"> PAGEREF _Toc66194530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7CD9F692" w14:textId="5B3E009F" w:rsidR="00054713" w:rsidRDefault="008B5063">
      <w:pPr>
        <w:pStyle w:val="TOC3"/>
        <w:tabs>
          <w:tab w:val="right" w:pos="10456"/>
        </w:tabs>
        <w:rPr>
          <w:rFonts w:eastAsiaTheme="minorEastAsia" w:cstheme="minorBidi"/>
          <w:noProof/>
          <w:sz w:val="22"/>
          <w:szCs w:val="22"/>
        </w:rPr>
      </w:pPr>
      <w:hyperlink w:anchor="_Toc66194531" w:history="1">
        <w:r w:rsidR="00054713" w:rsidRPr="008578A0">
          <w:rPr>
            <w:rStyle w:val="Hyperlink"/>
            <w:noProof/>
          </w:rPr>
          <w:t>Procedures and Diagnostic Events Rules</w:t>
        </w:r>
        <w:r w:rsidR="00054713">
          <w:rPr>
            <w:noProof/>
            <w:webHidden/>
          </w:rPr>
          <w:tab/>
        </w:r>
        <w:r w:rsidR="00054713">
          <w:rPr>
            <w:noProof/>
            <w:webHidden/>
          </w:rPr>
          <w:fldChar w:fldCharType="begin"/>
        </w:r>
        <w:r w:rsidR="00054713">
          <w:rPr>
            <w:noProof/>
            <w:webHidden/>
          </w:rPr>
          <w:instrText xml:space="preserve"> PAGEREF _Toc66194531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50D53919" w14:textId="524BA4B2" w:rsidR="00054713" w:rsidRDefault="008B5063">
      <w:pPr>
        <w:pStyle w:val="TOC3"/>
        <w:tabs>
          <w:tab w:val="right" w:pos="10456"/>
        </w:tabs>
        <w:rPr>
          <w:rFonts w:eastAsiaTheme="minorEastAsia" w:cstheme="minorBidi"/>
          <w:noProof/>
          <w:sz w:val="22"/>
          <w:szCs w:val="22"/>
        </w:rPr>
      </w:pPr>
      <w:hyperlink w:anchor="_Toc66194532" w:history="1">
        <w:r w:rsidR="00054713" w:rsidRPr="008578A0">
          <w:rPr>
            <w:rStyle w:val="Hyperlink"/>
            <w:noProof/>
          </w:rPr>
          <w:t>Procedures and Diagnostic Events Purchase Unit Allocation</w:t>
        </w:r>
        <w:r w:rsidR="00054713">
          <w:rPr>
            <w:noProof/>
            <w:webHidden/>
          </w:rPr>
          <w:tab/>
        </w:r>
        <w:r w:rsidR="00054713">
          <w:rPr>
            <w:noProof/>
            <w:webHidden/>
          </w:rPr>
          <w:fldChar w:fldCharType="begin"/>
        </w:r>
        <w:r w:rsidR="00054713">
          <w:rPr>
            <w:noProof/>
            <w:webHidden/>
          </w:rPr>
          <w:instrText xml:space="preserve"> PAGEREF _Toc66194532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1EFC49E1" w14:textId="281115F3" w:rsidR="00054713" w:rsidRDefault="008B5063">
      <w:pPr>
        <w:pStyle w:val="TOC2"/>
        <w:tabs>
          <w:tab w:val="left" w:pos="660"/>
          <w:tab w:val="right" w:pos="10456"/>
        </w:tabs>
        <w:rPr>
          <w:rFonts w:eastAsiaTheme="minorEastAsia" w:cstheme="minorBidi"/>
          <w:i w:val="0"/>
          <w:iCs w:val="0"/>
          <w:noProof/>
          <w:sz w:val="22"/>
          <w:szCs w:val="22"/>
        </w:rPr>
      </w:pPr>
      <w:hyperlink w:anchor="_Toc66194533" w:history="1">
        <w:r w:rsidR="00054713" w:rsidRPr="008578A0">
          <w:rPr>
            <w:rStyle w:val="Hyperlink"/>
            <w:noProof/>
          </w:rPr>
          <w:t>6</w:t>
        </w:r>
        <w:r w:rsidR="00054713">
          <w:rPr>
            <w:rFonts w:eastAsiaTheme="minorEastAsia" w:cstheme="minorBidi"/>
            <w:i w:val="0"/>
            <w:iCs w:val="0"/>
            <w:noProof/>
            <w:sz w:val="22"/>
            <w:szCs w:val="22"/>
          </w:rPr>
          <w:tab/>
        </w:r>
        <w:r w:rsidR="00054713" w:rsidRPr="008578A0">
          <w:rPr>
            <w:rStyle w:val="Hyperlink"/>
            <w:noProof/>
          </w:rPr>
          <w:t>Emergency Department (ED) Attendances</w:t>
        </w:r>
        <w:r w:rsidR="00054713">
          <w:rPr>
            <w:noProof/>
            <w:webHidden/>
          </w:rPr>
          <w:tab/>
        </w:r>
        <w:r w:rsidR="00054713">
          <w:rPr>
            <w:noProof/>
            <w:webHidden/>
          </w:rPr>
          <w:fldChar w:fldCharType="begin"/>
        </w:r>
        <w:r w:rsidR="00054713">
          <w:rPr>
            <w:noProof/>
            <w:webHidden/>
          </w:rPr>
          <w:instrText xml:space="preserve"> PAGEREF _Toc66194533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4FAAEF64" w14:textId="080DCC2E" w:rsidR="00054713" w:rsidRDefault="008B5063">
      <w:pPr>
        <w:pStyle w:val="TOC3"/>
        <w:tabs>
          <w:tab w:val="right" w:pos="10456"/>
        </w:tabs>
        <w:rPr>
          <w:rFonts w:eastAsiaTheme="minorEastAsia" w:cstheme="minorBidi"/>
          <w:noProof/>
          <w:sz w:val="22"/>
          <w:szCs w:val="22"/>
        </w:rPr>
      </w:pPr>
      <w:hyperlink w:anchor="_Toc66194534" w:history="1">
        <w:r w:rsidR="00054713" w:rsidRPr="008578A0">
          <w:rPr>
            <w:rStyle w:val="Hyperlink"/>
            <w:noProof/>
          </w:rPr>
          <w:t>Emergency Department Attendance Definition</w:t>
        </w:r>
        <w:r w:rsidR="00054713">
          <w:rPr>
            <w:noProof/>
            <w:webHidden/>
          </w:rPr>
          <w:tab/>
        </w:r>
        <w:r w:rsidR="00054713">
          <w:rPr>
            <w:noProof/>
            <w:webHidden/>
          </w:rPr>
          <w:fldChar w:fldCharType="begin"/>
        </w:r>
        <w:r w:rsidR="00054713">
          <w:rPr>
            <w:noProof/>
            <w:webHidden/>
          </w:rPr>
          <w:instrText xml:space="preserve"> PAGEREF _Toc66194534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6BAEA113" w14:textId="0F087490" w:rsidR="00054713" w:rsidRDefault="008B5063">
      <w:pPr>
        <w:pStyle w:val="TOC3"/>
        <w:tabs>
          <w:tab w:val="right" w:pos="10456"/>
        </w:tabs>
        <w:rPr>
          <w:rFonts w:eastAsiaTheme="minorEastAsia" w:cstheme="minorBidi"/>
          <w:noProof/>
          <w:sz w:val="22"/>
          <w:szCs w:val="22"/>
        </w:rPr>
      </w:pPr>
      <w:hyperlink w:anchor="_Toc66194535" w:history="1">
        <w:r w:rsidR="00054713" w:rsidRPr="008578A0">
          <w:rPr>
            <w:rStyle w:val="Hyperlink"/>
            <w:noProof/>
          </w:rPr>
          <w:t>Emergency Department Attendances Rules</w:t>
        </w:r>
        <w:r w:rsidR="00054713">
          <w:rPr>
            <w:noProof/>
            <w:webHidden/>
          </w:rPr>
          <w:tab/>
        </w:r>
        <w:r w:rsidR="00054713">
          <w:rPr>
            <w:noProof/>
            <w:webHidden/>
          </w:rPr>
          <w:fldChar w:fldCharType="begin"/>
        </w:r>
        <w:r w:rsidR="00054713">
          <w:rPr>
            <w:noProof/>
            <w:webHidden/>
          </w:rPr>
          <w:instrText xml:space="preserve"> PAGEREF _Toc66194535 \h </w:instrText>
        </w:r>
        <w:r w:rsidR="00054713">
          <w:rPr>
            <w:noProof/>
            <w:webHidden/>
          </w:rPr>
        </w:r>
        <w:r w:rsidR="00054713">
          <w:rPr>
            <w:noProof/>
            <w:webHidden/>
          </w:rPr>
          <w:fldChar w:fldCharType="separate"/>
        </w:r>
        <w:r w:rsidR="008D47F3">
          <w:rPr>
            <w:noProof/>
            <w:webHidden/>
          </w:rPr>
          <w:t>13</w:t>
        </w:r>
        <w:r w:rsidR="00054713">
          <w:rPr>
            <w:noProof/>
            <w:webHidden/>
          </w:rPr>
          <w:fldChar w:fldCharType="end"/>
        </w:r>
      </w:hyperlink>
    </w:p>
    <w:p w14:paraId="25663643" w14:textId="255BAB74" w:rsidR="00054713" w:rsidRDefault="008B5063">
      <w:pPr>
        <w:pStyle w:val="TOC3"/>
        <w:tabs>
          <w:tab w:val="right" w:pos="10456"/>
        </w:tabs>
        <w:rPr>
          <w:rFonts w:eastAsiaTheme="minorEastAsia" w:cstheme="minorBidi"/>
          <w:noProof/>
          <w:sz w:val="22"/>
          <w:szCs w:val="22"/>
        </w:rPr>
      </w:pPr>
      <w:hyperlink w:anchor="_Toc66194536" w:history="1">
        <w:r w:rsidR="00054713" w:rsidRPr="008578A0">
          <w:rPr>
            <w:rStyle w:val="Hyperlink"/>
            <w:noProof/>
          </w:rPr>
          <w:t>Emergency Department Attendances PU Allocation</w:t>
        </w:r>
        <w:r w:rsidR="00054713">
          <w:rPr>
            <w:noProof/>
            <w:webHidden/>
          </w:rPr>
          <w:tab/>
        </w:r>
        <w:r w:rsidR="00054713">
          <w:rPr>
            <w:noProof/>
            <w:webHidden/>
          </w:rPr>
          <w:fldChar w:fldCharType="begin"/>
        </w:r>
        <w:r w:rsidR="00054713">
          <w:rPr>
            <w:noProof/>
            <w:webHidden/>
          </w:rPr>
          <w:instrText xml:space="preserve"> PAGEREF _Toc66194536 \h </w:instrText>
        </w:r>
        <w:r w:rsidR="00054713">
          <w:rPr>
            <w:noProof/>
            <w:webHidden/>
          </w:rPr>
        </w:r>
        <w:r w:rsidR="00054713">
          <w:rPr>
            <w:noProof/>
            <w:webHidden/>
          </w:rPr>
          <w:fldChar w:fldCharType="separate"/>
        </w:r>
        <w:r w:rsidR="008D47F3">
          <w:rPr>
            <w:noProof/>
            <w:webHidden/>
          </w:rPr>
          <w:t>14</w:t>
        </w:r>
        <w:r w:rsidR="00054713">
          <w:rPr>
            <w:noProof/>
            <w:webHidden/>
          </w:rPr>
          <w:fldChar w:fldCharType="end"/>
        </w:r>
      </w:hyperlink>
    </w:p>
    <w:p w14:paraId="5D3C7298" w14:textId="0470D72D" w:rsidR="00054713" w:rsidRDefault="008B5063">
      <w:pPr>
        <w:pStyle w:val="TOC2"/>
        <w:tabs>
          <w:tab w:val="right" w:pos="10456"/>
        </w:tabs>
        <w:rPr>
          <w:rFonts w:eastAsiaTheme="minorEastAsia" w:cstheme="minorBidi"/>
          <w:i w:val="0"/>
          <w:iCs w:val="0"/>
          <w:noProof/>
          <w:sz w:val="22"/>
          <w:szCs w:val="22"/>
        </w:rPr>
      </w:pPr>
      <w:hyperlink w:anchor="_Toc66194537" w:history="1">
        <w:r w:rsidR="00054713" w:rsidRPr="008578A0">
          <w:rPr>
            <w:rStyle w:val="Hyperlink"/>
            <w:noProof/>
          </w:rPr>
          <w:t>Non-Admitted Events</w:t>
        </w:r>
        <w:r w:rsidR="00054713">
          <w:rPr>
            <w:noProof/>
            <w:webHidden/>
          </w:rPr>
          <w:tab/>
        </w:r>
        <w:r w:rsidR="00054713">
          <w:rPr>
            <w:noProof/>
            <w:webHidden/>
          </w:rPr>
          <w:fldChar w:fldCharType="begin"/>
        </w:r>
        <w:r w:rsidR="00054713">
          <w:rPr>
            <w:noProof/>
            <w:webHidden/>
          </w:rPr>
          <w:instrText xml:space="preserve"> PAGEREF _Toc66194537 \h </w:instrText>
        </w:r>
        <w:r w:rsidR="00054713">
          <w:rPr>
            <w:noProof/>
            <w:webHidden/>
          </w:rPr>
        </w:r>
        <w:r w:rsidR="00054713">
          <w:rPr>
            <w:noProof/>
            <w:webHidden/>
          </w:rPr>
          <w:fldChar w:fldCharType="separate"/>
        </w:r>
        <w:r w:rsidR="008D47F3">
          <w:rPr>
            <w:noProof/>
            <w:webHidden/>
          </w:rPr>
          <w:t>14</w:t>
        </w:r>
        <w:r w:rsidR="00054713">
          <w:rPr>
            <w:noProof/>
            <w:webHidden/>
          </w:rPr>
          <w:fldChar w:fldCharType="end"/>
        </w:r>
      </w:hyperlink>
    </w:p>
    <w:p w14:paraId="73050B48" w14:textId="08F18558" w:rsidR="00054713" w:rsidRDefault="008B5063">
      <w:pPr>
        <w:pStyle w:val="TOC2"/>
        <w:tabs>
          <w:tab w:val="left" w:pos="660"/>
          <w:tab w:val="right" w:pos="10456"/>
        </w:tabs>
        <w:rPr>
          <w:rFonts w:eastAsiaTheme="minorEastAsia" w:cstheme="minorBidi"/>
          <w:i w:val="0"/>
          <w:iCs w:val="0"/>
          <w:noProof/>
          <w:sz w:val="22"/>
          <w:szCs w:val="22"/>
        </w:rPr>
      </w:pPr>
      <w:hyperlink w:anchor="_Toc66194538" w:history="1">
        <w:r w:rsidR="00054713" w:rsidRPr="008578A0">
          <w:rPr>
            <w:rStyle w:val="Hyperlink"/>
            <w:noProof/>
          </w:rPr>
          <w:t>7</w:t>
        </w:r>
        <w:r w:rsidR="00054713">
          <w:rPr>
            <w:rFonts w:eastAsiaTheme="minorEastAsia" w:cstheme="minorBidi"/>
            <w:i w:val="0"/>
            <w:iCs w:val="0"/>
            <w:noProof/>
            <w:sz w:val="22"/>
            <w:szCs w:val="22"/>
          </w:rPr>
          <w:tab/>
        </w:r>
        <w:r w:rsidR="00054713" w:rsidRPr="008578A0">
          <w:rPr>
            <w:rStyle w:val="Hyperlink"/>
            <w:noProof/>
          </w:rPr>
          <w:t>First Specialist Assessment (FSA)</w:t>
        </w:r>
        <w:r w:rsidR="00054713">
          <w:rPr>
            <w:noProof/>
            <w:webHidden/>
          </w:rPr>
          <w:tab/>
        </w:r>
        <w:r w:rsidR="00054713">
          <w:rPr>
            <w:noProof/>
            <w:webHidden/>
          </w:rPr>
          <w:fldChar w:fldCharType="begin"/>
        </w:r>
        <w:r w:rsidR="00054713">
          <w:rPr>
            <w:noProof/>
            <w:webHidden/>
          </w:rPr>
          <w:instrText xml:space="preserve"> PAGEREF _Toc66194538 \h </w:instrText>
        </w:r>
        <w:r w:rsidR="00054713">
          <w:rPr>
            <w:noProof/>
            <w:webHidden/>
          </w:rPr>
        </w:r>
        <w:r w:rsidR="00054713">
          <w:rPr>
            <w:noProof/>
            <w:webHidden/>
          </w:rPr>
          <w:fldChar w:fldCharType="separate"/>
        </w:r>
        <w:r w:rsidR="008D47F3">
          <w:rPr>
            <w:noProof/>
            <w:webHidden/>
          </w:rPr>
          <w:t>14</w:t>
        </w:r>
        <w:r w:rsidR="00054713">
          <w:rPr>
            <w:noProof/>
            <w:webHidden/>
          </w:rPr>
          <w:fldChar w:fldCharType="end"/>
        </w:r>
      </w:hyperlink>
    </w:p>
    <w:p w14:paraId="238EAFBC" w14:textId="5C1DBEAB" w:rsidR="00054713" w:rsidRDefault="008B5063">
      <w:pPr>
        <w:pStyle w:val="TOC3"/>
        <w:tabs>
          <w:tab w:val="right" w:pos="10456"/>
        </w:tabs>
        <w:rPr>
          <w:rFonts w:eastAsiaTheme="minorEastAsia" w:cstheme="minorBidi"/>
          <w:noProof/>
          <w:sz w:val="22"/>
          <w:szCs w:val="22"/>
        </w:rPr>
      </w:pPr>
      <w:hyperlink w:anchor="_Toc66194539" w:history="1">
        <w:r w:rsidR="00054713" w:rsidRPr="008578A0">
          <w:rPr>
            <w:rStyle w:val="Hyperlink"/>
            <w:noProof/>
          </w:rPr>
          <w:t>First Specialist Assessment Definition</w:t>
        </w:r>
        <w:r w:rsidR="00054713">
          <w:rPr>
            <w:noProof/>
            <w:webHidden/>
          </w:rPr>
          <w:tab/>
        </w:r>
        <w:r w:rsidR="00054713">
          <w:rPr>
            <w:noProof/>
            <w:webHidden/>
          </w:rPr>
          <w:fldChar w:fldCharType="begin"/>
        </w:r>
        <w:r w:rsidR="00054713">
          <w:rPr>
            <w:noProof/>
            <w:webHidden/>
          </w:rPr>
          <w:instrText xml:space="preserve"> PAGEREF _Toc66194539 \h </w:instrText>
        </w:r>
        <w:r w:rsidR="00054713">
          <w:rPr>
            <w:noProof/>
            <w:webHidden/>
          </w:rPr>
        </w:r>
        <w:r w:rsidR="00054713">
          <w:rPr>
            <w:noProof/>
            <w:webHidden/>
          </w:rPr>
          <w:fldChar w:fldCharType="separate"/>
        </w:r>
        <w:r w:rsidR="008D47F3">
          <w:rPr>
            <w:noProof/>
            <w:webHidden/>
          </w:rPr>
          <w:t>14</w:t>
        </w:r>
        <w:r w:rsidR="00054713">
          <w:rPr>
            <w:noProof/>
            <w:webHidden/>
          </w:rPr>
          <w:fldChar w:fldCharType="end"/>
        </w:r>
      </w:hyperlink>
    </w:p>
    <w:p w14:paraId="33F88C66" w14:textId="3CA4654B" w:rsidR="00054713" w:rsidRDefault="008B5063">
      <w:pPr>
        <w:pStyle w:val="TOC3"/>
        <w:tabs>
          <w:tab w:val="right" w:pos="10456"/>
        </w:tabs>
        <w:rPr>
          <w:rFonts w:eastAsiaTheme="minorEastAsia" w:cstheme="minorBidi"/>
          <w:noProof/>
          <w:sz w:val="22"/>
          <w:szCs w:val="22"/>
        </w:rPr>
      </w:pPr>
      <w:hyperlink w:anchor="_Toc66194540" w:history="1">
        <w:r w:rsidR="00054713" w:rsidRPr="008578A0">
          <w:rPr>
            <w:rStyle w:val="Hyperlink"/>
            <w:noProof/>
          </w:rPr>
          <w:t>First Specialist Assessment Rules</w:t>
        </w:r>
        <w:r w:rsidR="00054713">
          <w:rPr>
            <w:noProof/>
            <w:webHidden/>
          </w:rPr>
          <w:tab/>
        </w:r>
        <w:r w:rsidR="00054713">
          <w:rPr>
            <w:noProof/>
            <w:webHidden/>
          </w:rPr>
          <w:fldChar w:fldCharType="begin"/>
        </w:r>
        <w:r w:rsidR="00054713">
          <w:rPr>
            <w:noProof/>
            <w:webHidden/>
          </w:rPr>
          <w:instrText xml:space="preserve"> PAGEREF _Toc66194540 \h </w:instrText>
        </w:r>
        <w:r w:rsidR="00054713">
          <w:rPr>
            <w:noProof/>
            <w:webHidden/>
          </w:rPr>
        </w:r>
        <w:r w:rsidR="00054713">
          <w:rPr>
            <w:noProof/>
            <w:webHidden/>
          </w:rPr>
          <w:fldChar w:fldCharType="separate"/>
        </w:r>
        <w:r w:rsidR="008D47F3">
          <w:rPr>
            <w:noProof/>
            <w:webHidden/>
          </w:rPr>
          <w:t>14</w:t>
        </w:r>
        <w:r w:rsidR="00054713">
          <w:rPr>
            <w:noProof/>
            <w:webHidden/>
          </w:rPr>
          <w:fldChar w:fldCharType="end"/>
        </w:r>
      </w:hyperlink>
    </w:p>
    <w:p w14:paraId="612EFB5F" w14:textId="5BD65190" w:rsidR="00054713" w:rsidRDefault="008B5063">
      <w:pPr>
        <w:pStyle w:val="TOC3"/>
        <w:tabs>
          <w:tab w:val="right" w:pos="10456"/>
        </w:tabs>
        <w:rPr>
          <w:rFonts w:eastAsiaTheme="minorEastAsia" w:cstheme="minorBidi"/>
          <w:noProof/>
          <w:sz w:val="22"/>
          <w:szCs w:val="22"/>
        </w:rPr>
      </w:pPr>
      <w:hyperlink w:anchor="_Toc66194541" w:history="1">
        <w:r w:rsidR="00054713" w:rsidRPr="008578A0">
          <w:rPr>
            <w:rStyle w:val="Hyperlink"/>
            <w:noProof/>
          </w:rPr>
          <w:t>First Specialist Assessment Purchase Unit Allocation</w:t>
        </w:r>
        <w:r w:rsidR="00054713">
          <w:rPr>
            <w:noProof/>
            <w:webHidden/>
          </w:rPr>
          <w:tab/>
        </w:r>
        <w:r w:rsidR="00054713">
          <w:rPr>
            <w:noProof/>
            <w:webHidden/>
          </w:rPr>
          <w:fldChar w:fldCharType="begin"/>
        </w:r>
        <w:r w:rsidR="00054713">
          <w:rPr>
            <w:noProof/>
            <w:webHidden/>
          </w:rPr>
          <w:instrText xml:space="preserve"> PAGEREF _Toc66194541 \h </w:instrText>
        </w:r>
        <w:r w:rsidR="00054713">
          <w:rPr>
            <w:noProof/>
            <w:webHidden/>
          </w:rPr>
        </w:r>
        <w:r w:rsidR="00054713">
          <w:rPr>
            <w:noProof/>
            <w:webHidden/>
          </w:rPr>
          <w:fldChar w:fldCharType="separate"/>
        </w:r>
        <w:r w:rsidR="008D47F3">
          <w:rPr>
            <w:noProof/>
            <w:webHidden/>
          </w:rPr>
          <w:t>14</w:t>
        </w:r>
        <w:r w:rsidR="00054713">
          <w:rPr>
            <w:noProof/>
            <w:webHidden/>
          </w:rPr>
          <w:fldChar w:fldCharType="end"/>
        </w:r>
      </w:hyperlink>
    </w:p>
    <w:p w14:paraId="626E4EF1" w14:textId="563D8160" w:rsidR="00054713" w:rsidRDefault="008B5063">
      <w:pPr>
        <w:pStyle w:val="TOC2"/>
        <w:tabs>
          <w:tab w:val="left" w:pos="660"/>
          <w:tab w:val="right" w:pos="10456"/>
        </w:tabs>
        <w:rPr>
          <w:rFonts w:eastAsiaTheme="minorEastAsia" w:cstheme="minorBidi"/>
          <w:i w:val="0"/>
          <w:iCs w:val="0"/>
          <w:noProof/>
          <w:sz w:val="22"/>
          <w:szCs w:val="22"/>
        </w:rPr>
      </w:pPr>
      <w:hyperlink w:anchor="_Toc66194542" w:history="1">
        <w:r w:rsidR="00054713" w:rsidRPr="008578A0">
          <w:rPr>
            <w:rStyle w:val="Hyperlink"/>
            <w:noProof/>
          </w:rPr>
          <w:t>8</w:t>
        </w:r>
        <w:r w:rsidR="00054713">
          <w:rPr>
            <w:rFonts w:eastAsiaTheme="minorEastAsia" w:cstheme="minorBidi"/>
            <w:i w:val="0"/>
            <w:iCs w:val="0"/>
            <w:noProof/>
            <w:sz w:val="22"/>
            <w:szCs w:val="22"/>
          </w:rPr>
          <w:tab/>
        </w:r>
        <w:r w:rsidR="00054713" w:rsidRPr="008578A0">
          <w:rPr>
            <w:rStyle w:val="Hyperlink"/>
            <w:noProof/>
          </w:rPr>
          <w:t>Non-contact First Specialist Assessment (FSA)</w:t>
        </w:r>
        <w:r w:rsidR="00054713">
          <w:rPr>
            <w:noProof/>
            <w:webHidden/>
          </w:rPr>
          <w:tab/>
        </w:r>
        <w:r w:rsidR="00054713">
          <w:rPr>
            <w:noProof/>
            <w:webHidden/>
          </w:rPr>
          <w:fldChar w:fldCharType="begin"/>
        </w:r>
        <w:r w:rsidR="00054713">
          <w:rPr>
            <w:noProof/>
            <w:webHidden/>
          </w:rPr>
          <w:instrText xml:space="preserve"> PAGEREF _Toc66194542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3CD74ED0" w14:textId="5CEF4DFA" w:rsidR="00054713" w:rsidRDefault="008B5063">
      <w:pPr>
        <w:pStyle w:val="TOC3"/>
        <w:tabs>
          <w:tab w:val="right" w:pos="10456"/>
        </w:tabs>
        <w:rPr>
          <w:rFonts w:eastAsiaTheme="minorEastAsia" w:cstheme="minorBidi"/>
          <w:noProof/>
          <w:sz w:val="22"/>
          <w:szCs w:val="22"/>
        </w:rPr>
      </w:pPr>
      <w:hyperlink w:anchor="_Toc66194543" w:history="1">
        <w:r w:rsidR="00054713" w:rsidRPr="008578A0">
          <w:rPr>
            <w:rStyle w:val="Hyperlink"/>
            <w:noProof/>
          </w:rPr>
          <w:t>Non-contact First Specialist Assessment Definition</w:t>
        </w:r>
        <w:r w:rsidR="00054713">
          <w:rPr>
            <w:noProof/>
            <w:webHidden/>
          </w:rPr>
          <w:tab/>
        </w:r>
        <w:r w:rsidR="00054713">
          <w:rPr>
            <w:noProof/>
            <w:webHidden/>
          </w:rPr>
          <w:fldChar w:fldCharType="begin"/>
        </w:r>
        <w:r w:rsidR="00054713">
          <w:rPr>
            <w:noProof/>
            <w:webHidden/>
          </w:rPr>
          <w:instrText xml:space="preserve"> PAGEREF _Toc66194543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2AF7648B" w14:textId="0F033C4A" w:rsidR="00054713" w:rsidRDefault="008B5063">
      <w:pPr>
        <w:pStyle w:val="TOC3"/>
        <w:tabs>
          <w:tab w:val="right" w:pos="10456"/>
        </w:tabs>
        <w:rPr>
          <w:rFonts w:eastAsiaTheme="minorEastAsia" w:cstheme="minorBidi"/>
          <w:noProof/>
          <w:sz w:val="22"/>
          <w:szCs w:val="22"/>
        </w:rPr>
      </w:pPr>
      <w:hyperlink w:anchor="_Toc66194544" w:history="1">
        <w:r w:rsidR="00054713" w:rsidRPr="008578A0">
          <w:rPr>
            <w:rStyle w:val="Hyperlink"/>
            <w:noProof/>
          </w:rPr>
          <w:t>Non-contact First Specialist Assessment Rules</w:t>
        </w:r>
        <w:r w:rsidR="00054713">
          <w:rPr>
            <w:noProof/>
            <w:webHidden/>
          </w:rPr>
          <w:tab/>
        </w:r>
        <w:r w:rsidR="00054713">
          <w:rPr>
            <w:noProof/>
            <w:webHidden/>
          </w:rPr>
          <w:fldChar w:fldCharType="begin"/>
        </w:r>
        <w:r w:rsidR="00054713">
          <w:rPr>
            <w:noProof/>
            <w:webHidden/>
          </w:rPr>
          <w:instrText xml:space="preserve"> PAGEREF _Toc66194544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6FD9004F" w14:textId="6B579BAE" w:rsidR="00054713" w:rsidRDefault="008B5063">
      <w:pPr>
        <w:pStyle w:val="TOC3"/>
        <w:tabs>
          <w:tab w:val="right" w:pos="10456"/>
        </w:tabs>
        <w:rPr>
          <w:rFonts w:eastAsiaTheme="minorEastAsia" w:cstheme="minorBidi"/>
          <w:noProof/>
          <w:sz w:val="22"/>
          <w:szCs w:val="22"/>
        </w:rPr>
      </w:pPr>
      <w:hyperlink w:anchor="_Toc66194545" w:history="1">
        <w:r w:rsidR="00054713" w:rsidRPr="008578A0">
          <w:rPr>
            <w:rStyle w:val="Hyperlink"/>
            <w:noProof/>
          </w:rPr>
          <w:t>Non-contact First Specialist Assessment Purchase Unit Allocation</w:t>
        </w:r>
        <w:r w:rsidR="00054713">
          <w:rPr>
            <w:noProof/>
            <w:webHidden/>
          </w:rPr>
          <w:tab/>
        </w:r>
        <w:r w:rsidR="00054713">
          <w:rPr>
            <w:noProof/>
            <w:webHidden/>
          </w:rPr>
          <w:fldChar w:fldCharType="begin"/>
        </w:r>
        <w:r w:rsidR="00054713">
          <w:rPr>
            <w:noProof/>
            <w:webHidden/>
          </w:rPr>
          <w:instrText xml:space="preserve"> PAGEREF _Toc66194545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72EDD267" w14:textId="5A61C76A" w:rsidR="00054713" w:rsidRDefault="008B5063">
      <w:pPr>
        <w:pStyle w:val="TOC2"/>
        <w:tabs>
          <w:tab w:val="left" w:pos="660"/>
          <w:tab w:val="right" w:pos="10456"/>
        </w:tabs>
        <w:rPr>
          <w:rFonts w:eastAsiaTheme="minorEastAsia" w:cstheme="minorBidi"/>
          <w:i w:val="0"/>
          <w:iCs w:val="0"/>
          <w:noProof/>
          <w:sz w:val="22"/>
          <w:szCs w:val="22"/>
        </w:rPr>
      </w:pPr>
      <w:hyperlink w:anchor="_Toc66194546" w:history="1">
        <w:r w:rsidR="00054713" w:rsidRPr="008578A0">
          <w:rPr>
            <w:rStyle w:val="Hyperlink"/>
            <w:noProof/>
          </w:rPr>
          <w:t>9</w:t>
        </w:r>
        <w:r w:rsidR="00054713">
          <w:rPr>
            <w:rFonts w:eastAsiaTheme="minorEastAsia" w:cstheme="minorBidi"/>
            <w:i w:val="0"/>
            <w:iCs w:val="0"/>
            <w:noProof/>
            <w:sz w:val="22"/>
            <w:szCs w:val="22"/>
          </w:rPr>
          <w:tab/>
        </w:r>
        <w:r w:rsidR="00054713" w:rsidRPr="008578A0">
          <w:rPr>
            <w:rStyle w:val="Hyperlink"/>
            <w:noProof/>
          </w:rPr>
          <w:t>Specialist Follow Up Assessment</w:t>
        </w:r>
        <w:r w:rsidR="00054713">
          <w:rPr>
            <w:noProof/>
            <w:webHidden/>
          </w:rPr>
          <w:tab/>
        </w:r>
        <w:r w:rsidR="00054713">
          <w:rPr>
            <w:noProof/>
            <w:webHidden/>
          </w:rPr>
          <w:fldChar w:fldCharType="begin"/>
        </w:r>
        <w:r w:rsidR="00054713">
          <w:rPr>
            <w:noProof/>
            <w:webHidden/>
          </w:rPr>
          <w:instrText xml:space="preserve"> PAGEREF _Toc66194546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28ADB56D" w14:textId="5BDFE7F0" w:rsidR="00054713" w:rsidRDefault="008B5063">
      <w:pPr>
        <w:pStyle w:val="TOC3"/>
        <w:tabs>
          <w:tab w:val="right" w:pos="10456"/>
        </w:tabs>
        <w:rPr>
          <w:rFonts w:eastAsiaTheme="minorEastAsia" w:cstheme="minorBidi"/>
          <w:noProof/>
          <w:sz w:val="22"/>
          <w:szCs w:val="22"/>
        </w:rPr>
      </w:pPr>
      <w:hyperlink w:anchor="_Toc66194547" w:history="1">
        <w:r w:rsidR="00054713" w:rsidRPr="008578A0">
          <w:rPr>
            <w:rStyle w:val="Hyperlink"/>
            <w:noProof/>
          </w:rPr>
          <w:t>Specialist Follow Up Definition</w:t>
        </w:r>
        <w:r w:rsidR="00054713">
          <w:rPr>
            <w:noProof/>
            <w:webHidden/>
          </w:rPr>
          <w:tab/>
        </w:r>
        <w:r w:rsidR="00054713">
          <w:rPr>
            <w:noProof/>
            <w:webHidden/>
          </w:rPr>
          <w:fldChar w:fldCharType="begin"/>
        </w:r>
        <w:r w:rsidR="00054713">
          <w:rPr>
            <w:noProof/>
            <w:webHidden/>
          </w:rPr>
          <w:instrText xml:space="preserve"> PAGEREF _Toc66194547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2B15E1C1" w14:textId="05691BBC" w:rsidR="00054713" w:rsidRDefault="008B5063">
      <w:pPr>
        <w:pStyle w:val="TOC3"/>
        <w:tabs>
          <w:tab w:val="right" w:pos="10456"/>
        </w:tabs>
        <w:rPr>
          <w:rFonts w:eastAsiaTheme="minorEastAsia" w:cstheme="minorBidi"/>
          <w:noProof/>
          <w:sz w:val="22"/>
          <w:szCs w:val="22"/>
        </w:rPr>
      </w:pPr>
      <w:hyperlink w:anchor="_Toc66194548" w:history="1">
        <w:r w:rsidR="00054713" w:rsidRPr="008578A0">
          <w:rPr>
            <w:rStyle w:val="Hyperlink"/>
            <w:noProof/>
          </w:rPr>
          <w:t>Specialist Follow Up Rules</w:t>
        </w:r>
        <w:r w:rsidR="00054713">
          <w:rPr>
            <w:noProof/>
            <w:webHidden/>
          </w:rPr>
          <w:tab/>
        </w:r>
        <w:r w:rsidR="00054713">
          <w:rPr>
            <w:noProof/>
            <w:webHidden/>
          </w:rPr>
          <w:fldChar w:fldCharType="begin"/>
        </w:r>
        <w:r w:rsidR="00054713">
          <w:rPr>
            <w:noProof/>
            <w:webHidden/>
          </w:rPr>
          <w:instrText xml:space="preserve"> PAGEREF _Toc66194548 \h </w:instrText>
        </w:r>
        <w:r w:rsidR="00054713">
          <w:rPr>
            <w:noProof/>
            <w:webHidden/>
          </w:rPr>
        </w:r>
        <w:r w:rsidR="00054713">
          <w:rPr>
            <w:noProof/>
            <w:webHidden/>
          </w:rPr>
          <w:fldChar w:fldCharType="separate"/>
        </w:r>
        <w:r w:rsidR="008D47F3">
          <w:rPr>
            <w:noProof/>
            <w:webHidden/>
          </w:rPr>
          <w:t>15</w:t>
        </w:r>
        <w:r w:rsidR="00054713">
          <w:rPr>
            <w:noProof/>
            <w:webHidden/>
          </w:rPr>
          <w:fldChar w:fldCharType="end"/>
        </w:r>
      </w:hyperlink>
    </w:p>
    <w:p w14:paraId="018263B6" w14:textId="07537673" w:rsidR="00054713" w:rsidRDefault="008B5063">
      <w:pPr>
        <w:pStyle w:val="TOC3"/>
        <w:tabs>
          <w:tab w:val="right" w:pos="10456"/>
        </w:tabs>
        <w:rPr>
          <w:rFonts w:eastAsiaTheme="minorEastAsia" w:cstheme="minorBidi"/>
          <w:noProof/>
          <w:sz w:val="22"/>
          <w:szCs w:val="22"/>
        </w:rPr>
      </w:pPr>
      <w:hyperlink w:anchor="_Toc66194549" w:history="1">
        <w:r w:rsidR="00054713" w:rsidRPr="008578A0">
          <w:rPr>
            <w:rStyle w:val="Hyperlink"/>
            <w:noProof/>
          </w:rPr>
          <w:t>Specialist Follow Up Purchase Unit Allocation</w:t>
        </w:r>
        <w:r w:rsidR="00054713">
          <w:rPr>
            <w:noProof/>
            <w:webHidden/>
          </w:rPr>
          <w:tab/>
        </w:r>
        <w:r w:rsidR="00054713">
          <w:rPr>
            <w:noProof/>
            <w:webHidden/>
          </w:rPr>
          <w:fldChar w:fldCharType="begin"/>
        </w:r>
        <w:r w:rsidR="00054713">
          <w:rPr>
            <w:noProof/>
            <w:webHidden/>
          </w:rPr>
          <w:instrText xml:space="preserve"> PAGEREF _Toc66194549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0237F23F" w14:textId="511B7101" w:rsidR="00054713" w:rsidRDefault="008B5063">
      <w:pPr>
        <w:pStyle w:val="TOC2"/>
        <w:tabs>
          <w:tab w:val="right" w:pos="10456"/>
        </w:tabs>
        <w:rPr>
          <w:rFonts w:eastAsiaTheme="minorEastAsia" w:cstheme="minorBidi"/>
          <w:i w:val="0"/>
          <w:iCs w:val="0"/>
          <w:noProof/>
          <w:sz w:val="22"/>
          <w:szCs w:val="22"/>
        </w:rPr>
      </w:pPr>
      <w:hyperlink w:anchor="_Toc66194550" w:history="1">
        <w:r w:rsidR="00054713" w:rsidRPr="008578A0">
          <w:rPr>
            <w:rStyle w:val="Hyperlink"/>
            <w:noProof/>
          </w:rPr>
          <w:t>Non-Contact Follow Up Assessment</w:t>
        </w:r>
        <w:r w:rsidR="00054713">
          <w:rPr>
            <w:noProof/>
            <w:webHidden/>
          </w:rPr>
          <w:tab/>
        </w:r>
        <w:r w:rsidR="00054713">
          <w:rPr>
            <w:noProof/>
            <w:webHidden/>
          </w:rPr>
          <w:fldChar w:fldCharType="begin"/>
        </w:r>
        <w:r w:rsidR="00054713">
          <w:rPr>
            <w:noProof/>
            <w:webHidden/>
          </w:rPr>
          <w:instrText xml:space="preserve"> PAGEREF _Toc66194550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3755060C" w14:textId="20866A5F" w:rsidR="00054713" w:rsidRDefault="008B5063">
      <w:pPr>
        <w:pStyle w:val="TOC3"/>
        <w:tabs>
          <w:tab w:val="right" w:pos="10456"/>
        </w:tabs>
        <w:rPr>
          <w:rFonts w:eastAsiaTheme="minorEastAsia" w:cstheme="minorBidi"/>
          <w:noProof/>
          <w:sz w:val="22"/>
          <w:szCs w:val="22"/>
        </w:rPr>
      </w:pPr>
      <w:hyperlink w:anchor="_Toc66194551" w:history="1">
        <w:r w:rsidR="00054713" w:rsidRPr="008578A0">
          <w:rPr>
            <w:rStyle w:val="Hyperlink"/>
            <w:noProof/>
          </w:rPr>
          <w:t>Non-Contact Follow Up Definition</w:t>
        </w:r>
        <w:r w:rsidR="00054713">
          <w:rPr>
            <w:noProof/>
            <w:webHidden/>
          </w:rPr>
          <w:tab/>
        </w:r>
        <w:r w:rsidR="00054713">
          <w:rPr>
            <w:noProof/>
            <w:webHidden/>
          </w:rPr>
          <w:fldChar w:fldCharType="begin"/>
        </w:r>
        <w:r w:rsidR="00054713">
          <w:rPr>
            <w:noProof/>
            <w:webHidden/>
          </w:rPr>
          <w:instrText xml:space="preserve"> PAGEREF _Toc66194551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53D5D14F" w14:textId="4FE1C157" w:rsidR="00054713" w:rsidRDefault="008B5063">
      <w:pPr>
        <w:pStyle w:val="TOC3"/>
        <w:tabs>
          <w:tab w:val="right" w:pos="10456"/>
        </w:tabs>
        <w:rPr>
          <w:rFonts w:eastAsiaTheme="minorEastAsia" w:cstheme="minorBidi"/>
          <w:noProof/>
          <w:sz w:val="22"/>
          <w:szCs w:val="22"/>
        </w:rPr>
      </w:pPr>
      <w:hyperlink w:anchor="_Toc66194552" w:history="1">
        <w:r w:rsidR="00054713" w:rsidRPr="008578A0">
          <w:rPr>
            <w:rStyle w:val="Hyperlink"/>
            <w:noProof/>
          </w:rPr>
          <w:t>Non-Contact Follow Up Rules</w:t>
        </w:r>
        <w:r w:rsidR="00054713">
          <w:rPr>
            <w:noProof/>
            <w:webHidden/>
          </w:rPr>
          <w:tab/>
        </w:r>
        <w:r w:rsidR="00054713">
          <w:rPr>
            <w:noProof/>
            <w:webHidden/>
          </w:rPr>
          <w:fldChar w:fldCharType="begin"/>
        </w:r>
        <w:r w:rsidR="00054713">
          <w:rPr>
            <w:noProof/>
            <w:webHidden/>
          </w:rPr>
          <w:instrText xml:space="preserve"> PAGEREF _Toc66194552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4CCBB836" w14:textId="2DCCA8E6" w:rsidR="00054713" w:rsidRDefault="008B5063">
      <w:pPr>
        <w:pStyle w:val="TOC3"/>
        <w:tabs>
          <w:tab w:val="right" w:pos="10456"/>
        </w:tabs>
        <w:rPr>
          <w:rFonts w:eastAsiaTheme="minorEastAsia" w:cstheme="minorBidi"/>
          <w:noProof/>
          <w:sz w:val="22"/>
          <w:szCs w:val="22"/>
        </w:rPr>
      </w:pPr>
      <w:hyperlink w:anchor="_Toc66194553" w:history="1">
        <w:r w:rsidR="00054713" w:rsidRPr="008578A0">
          <w:rPr>
            <w:rStyle w:val="Hyperlink"/>
            <w:noProof/>
          </w:rPr>
          <w:t>Non-Contact Follow Up Purchase Unit Code Allocation</w:t>
        </w:r>
        <w:r w:rsidR="00054713">
          <w:rPr>
            <w:noProof/>
            <w:webHidden/>
          </w:rPr>
          <w:tab/>
        </w:r>
        <w:r w:rsidR="00054713">
          <w:rPr>
            <w:noProof/>
            <w:webHidden/>
          </w:rPr>
          <w:fldChar w:fldCharType="begin"/>
        </w:r>
        <w:r w:rsidR="00054713">
          <w:rPr>
            <w:noProof/>
            <w:webHidden/>
          </w:rPr>
          <w:instrText xml:space="preserve"> PAGEREF _Toc66194553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3E66DAC4" w14:textId="641EEAFC" w:rsidR="00054713" w:rsidRDefault="008B5063">
      <w:pPr>
        <w:pStyle w:val="TOC2"/>
        <w:tabs>
          <w:tab w:val="left" w:pos="660"/>
          <w:tab w:val="right" w:pos="10456"/>
        </w:tabs>
        <w:rPr>
          <w:rFonts w:eastAsiaTheme="minorEastAsia" w:cstheme="minorBidi"/>
          <w:i w:val="0"/>
          <w:iCs w:val="0"/>
          <w:noProof/>
          <w:sz w:val="22"/>
          <w:szCs w:val="22"/>
        </w:rPr>
      </w:pPr>
      <w:hyperlink w:anchor="_Toc66194554" w:history="1">
        <w:r w:rsidR="00054713" w:rsidRPr="008578A0">
          <w:rPr>
            <w:rStyle w:val="Hyperlink"/>
            <w:noProof/>
          </w:rPr>
          <w:t>10</w:t>
        </w:r>
        <w:r w:rsidR="00054713">
          <w:rPr>
            <w:rFonts w:eastAsiaTheme="minorEastAsia" w:cstheme="minorBidi"/>
            <w:i w:val="0"/>
            <w:iCs w:val="0"/>
            <w:noProof/>
            <w:sz w:val="22"/>
            <w:szCs w:val="22"/>
          </w:rPr>
          <w:tab/>
        </w:r>
        <w:r w:rsidR="00054713" w:rsidRPr="008578A0">
          <w:rPr>
            <w:rStyle w:val="Hyperlink"/>
            <w:noProof/>
          </w:rPr>
          <w:t>Inter-disciplinary Clinics</w:t>
        </w:r>
        <w:r w:rsidR="00054713">
          <w:rPr>
            <w:noProof/>
            <w:webHidden/>
          </w:rPr>
          <w:tab/>
        </w:r>
        <w:r w:rsidR="00054713">
          <w:rPr>
            <w:noProof/>
            <w:webHidden/>
          </w:rPr>
          <w:fldChar w:fldCharType="begin"/>
        </w:r>
        <w:r w:rsidR="00054713">
          <w:rPr>
            <w:noProof/>
            <w:webHidden/>
          </w:rPr>
          <w:instrText xml:space="preserve"> PAGEREF _Toc66194554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0AE3614E" w14:textId="0A1B6DDB" w:rsidR="00054713" w:rsidRDefault="008B5063">
      <w:pPr>
        <w:pStyle w:val="TOC3"/>
        <w:tabs>
          <w:tab w:val="right" w:pos="10456"/>
        </w:tabs>
        <w:rPr>
          <w:rFonts w:eastAsiaTheme="minorEastAsia" w:cstheme="minorBidi"/>
          <w:noProof/>
          <w:sz w:val="22"/>
          <w:szCs w:val="22"/>
        </w:rPr>
      </w:pPr>
      <w:hyperlink w:anchor="_Toc66194555" w:history="1">
        <w:r w:rsidR="00054713" w:rsidRPr="008578A0">
          <w:rPr>
            <w:rStyle w:val="Hyperlink"/>
            <w:noProof/>
          </w:rPr>
          <w:t>Inter-disciplinary Clinics Definition</w:t>
        </w:r>
        <w:r w:rsidR="00054713">
          <w:rPr>
            <w:noProof/>
            <w:webHidden/>
          </w:rPr>
          <w:tab/>
        </w:r>
        <w:r w:rsidR="00054713">
          <w:rPr>
            <w:noProof/>
            <w:webHidden/>
          </w:rPr>
          <w:fldChar w:fldCharType="begin"/>
        </w:r>
        <w:r w:rsidR="00054713">
          <w:rPr>
            <w:noProof/>
            <w:webHidden/>
          </w:rPr>
          <w:instrText xml:space="preserve"> PAGEREF _Toc66194555 \h </w:instrText>
        </w:r>
        <w:r w:rsidR="00054713">
          <w:rPr>
            <w:noProof/>
            <w:webHidden/>
          </w:rPr>
        </w:r>
        <w:r w:rsidR="00054713">
          <w:rPr>
            <w:noProof/>
            <w:webHidden/>
          </w:rPr>
          <w:fldChar w:fldCharType="separate"/>
        </w:r>
        <w:r w:rsidR="008D47F3">
          <w:rPr>
            <w:noProof/>
            <w:webHidden/>
          </w:rPr>
          <w:t>16</w:t>
        </w:r>
        <w:r w:rsidR="00054713">
          <w:rPr>
            <w:noProof/>
            <w:webHidden/>
          </w:rPr>
          <w:fldChar w:fldCharType="end"/>
        </w:r>
      </w:hyperlink>
    </w:p>
    <w:p w14:paraId="5018A77B" w14:textId="4136EFD6" w:rsidR="00054713" w:rsidRDefault="008B5063">
      <w:pPr>
        <w:pStyle w:val="TOC3"/>
        <w:tabs>
          <w:tab w:val="right" w:pos="10456"/>
        </w:tabs>
        <w:rPr>
          <w:rFonts w:eastAsiaTheme="minorEastAsia" w:cstheme="minorBidi"/>
          <w:noProof/>
          <w:sz w:val="22"/>
          <w:szCs w:val="22"/>
        </w:rPr>
      </w:pPr>
      <w:hyperlink w:anchor="_Toc66194556" w:history="1">
        <w:r w:rsidR="00054713" w:rsidRPr="008578A0">
          <w:rPr>
            <w:rStyle w:val="Hyperlink"/>
            <w:noProof/>
          </w:rPr>
          <w:t>Inter-disciplinary Clinics Rules</w:t>
        </w:r>
        <w:r w:rsidR="00054713">
          <w:rPr>
            <w:noProof/>
            <w:webHidden/>
          </w:rPr>
          <w:tab/>
        </w:r>
        <w:r w:rsidR="00054713">
          <w:rPr>
            <w:noProof/>
            <w:webHidden/>
          </w:rPr>
          <w:fldChar w:fldCharType="begin"/>
        </w:r>
        <w:r w:rsidR="00054713">
          <w:rPr>
            <w:noProof/>
            <w:webHidden/>
          </w:rPr>
          <w:instrText xml:space="preserve"> PAGEREF _Toc66194556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5CDDF1B9" w14:textId="35FA0DAF" w:rsidR="00054713" w:rsidRDefault="008B5063">
      <w:pPr>
        <w:pStyle w:val="TOC3"/>
        <w:tabs>
          <w:tab w:val="right" w:pos="10456"/>
        </w:tabs>
        <w:rPr>
          <w:rFonts w:eastAsiaTheme="minorEastAsia" w:cstheme="minorBidi"/>
          <w:noProof/>
          <w:sz w:val="22"/>
          <w:szCs w:val="22"/>
        </w:rPr>
      </w:pPr>
      <w:hyperlink w:anchor="_Toc66194557" w:history="1">
        <w:r w:rsidR="00054713" w:rsidRPr="008578A0">
          <w:rPr>
            <w:rStyle w:val="Hyperlink"/>
            <w:noProof/>
          </w:rPr>
          <w:t>Inter-disciplinary Clinics Purchase Unit Allocation</w:t>
        </w:r>
        <w:r w:rsidR="00054713">
          <w:rPr>
            <w:noProof/>
            <w:webHidden/>
          </w:rPr>
          <w:tab/>
        </w:r>
        <w:r w:rsidR="00054713">
          <w:rPr>
            <w:noProof/>
            <w:webHidden/>
          </w:rPr>
          <w:fldChar w:fldCharType="begin"/>
        </w:r>
        <w:r w:rsidR="00054713">
          <w:rPr>
            <w:noProof/>
            <w:webHidden/>
          </w:rPr>
          <w:instrText xml:space="preserve"> PAGEREF _Toc66194557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498F3075" w14:textId="75D14762" w:rsidR="00054713" w:rsidRDefault="008B5063">
      <w:pPr>
        <w:pStyle w:val="TOC2"/>
        <w:tabs>
          <w:tab w:val="left" w:pos="660"/>
          <w:tab w:val="right" w:pos="10456"/>
        </w:tabs>
        <w:rPr>
          <w:rFonts w:eastAsiaTheme="minorEastAsia" w:cstheme="minorBidi"/>
          <w:i w:val="0"/>
          <w:iCs w:val="0"/>
          <w:noProof/>
          <w:sz w:val="22"/>
          <w:szCs w:val="22"/>
        </w:rPr>
      </w:pPr>
      <w:hyperlink w:anchor="_Toc66194558" w:history="1">
        <w:r w:rsidR="00054713" w:rsidRPr="008578A0">
          <w:rPr>
            <w:rStyle w:val="Hyperlink"/>
            <w:noProof/>
          </w:rPr>
          <w:t>11</w:t>
        </w:r>
        <w:r w:rsidR="00054713">
          <w:rPr>
            <w:rFonts w:eastAsiaTheme="minorEastAsia" w:cstheme="minorBidi"/>
            <w:i w:val="0"/>
            <w:iCs w:val="0"/>
            <w:noProof/>
            <w:sz w:val="22"/>
            <w:szCs w:val="22"/>
          </w:rPr>
          <w:tab/>
        </w:r>
        <w:r w:rsidR="00054713" w:rsidRPr="008578A0">
          <w:rPr>
            <w:rStyle w:val="Hyperlink"/>
            <w:noProof/>
          </w:rPr>
          <w:t>Pre-admission</w:t>
        </w:r>
        <w:r w:rsidR="00054713">
          <w:rPr>
            <w:noProof/>
            <w:webHidden/>
          </w:rPr>
          <w:tab/>
        </w:r>
        <w:r w:rsidR="00054713">
          <w:rPr>
            <w:noProof/>
            <w:webHidden/>
          </w:rPr>
          <w:fldChar w:fldCharType="begin"/>
        </w:r>
        <w:r w:rsidR="00054713">
          <w:rPr>
            <w:noProof/>
            <w:webHidden/>
          </w:rPr>
          <w:instrText xml:space="preserve"> PAGEREF _Toc66194558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1542C1B6" w14:textId="0A1E578A" w:rsidR="00054713" w:rsidRDefault="008B5063">
      <w:pPr>
        <w:pStyle w:val="TOC3"/>
        <w:tabs>
          <w:tab w:val="right" w:pos="10456"/>
        </w:tabs>
        <w:rPr>
          <w:rFonts w:eastAsiaTheme="minorEastAsia" w:cstheme="minorBidi"/>
          <w:noProof/>
          <w:sz w:val="22"/>
          <w:szCs w:val="22"/>
        </w:rPr>
      </w:pPr>
      <w:hyperlink w:anchor="_Toc66194559" w:history="1">
        <w:r w:rsidR="00054713" w:rsidRPr="008578A0">
          <w:rPr>
            <w:rStyle w:val="Hyperlink"/>
            <w:noProof/>
          </w:rPr>
          <w:t>Pre-admission Definition</w:t>
        </w:r>
        <w:r w:rsidR="00054713">
          <w:rPr>
            <w:noProof/>
            <w:webHidden/>
          </w:rPr>
          <w:tab/>
        </w:r>
        <w:r w:rsidR="00054713">
          <w:rPr>
            <w:noProof/>
            <w:webHidden/>
          </w:rPr>
          <w:fldChar w:fldCharType="begin"/>
        </w:r>
        <w:r w:rsidR="00054713">
          <w:rPr>
            <w:noProof/>
            <w:webHidden/>
          </w:rPr>
          <w:instrText xml:space="preserve"> PAGEREF _Toc66194559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3D0E285A" w14:textId="29451A8A" w:rsidR="00054713" w:rsidRDefault="008B5063">
      <w:pPr>
        <w:pStyle w:val="TOC3"/>
        <w:tabs>
          <w:tab w:val="right" w:pos="10456"/>
        </w:tabs>
        <w:rPr>
          <w:rFonts w:eastAsiaTheme="minorEastAsia" w:cstheme="minorBidi"/>
          <w:noProof/>
          <w:sz w:val="22"/>
          <w:szCs w:val="22"/>
        </w:rPr>
      </w:pPr>
      <w:hyperlink w:anchor="_Toc66194560" w:history="1">
        <w:r w:rsidR="00054713" w:rsidRPr="008578A0">
          <w:rPr>
            <w:rStyle w:val="Hyperlink"/>
            <w:noProof/>
          </w:rPr>
          <w:t>Pre-admission Rules</w:t>
        </w:r>
        <w:r w:rsidR="00054713">
          <w:rPr>
            <w:noProof/>
            <w:webHidden/>
          </w:rPr>
          <w:tab/>
        </w:r>
        <w:r w:rsidR="00054713">
          <w:rPr>
            <w:noProof/>
            <w:webHidden/>
          </w:rPr>
          <w:fldChar w:fldCharType="begin"/>
        </w:r>
        <w:r w:rsidR="00054713">
          <w:rPr>
            <w:noProof/>
            <w:webHidden/>
          </w:rPr>
          <w:instrText xml:space="preserve"> PAGEREF _Toc66194560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632ED83D" w14:textId="3E73BE72" w:rsidR="00054713" w:rsidRDefault="008B5063">
      <w:pPr>
        <w:pStyle w:val="TOC3"/>
        <w:tabs>
          <w:tab w:val="right" w:pos="10456"/>
        </w:tabs>
        <w:rPr>
          <w:rFonts w:eastAsiaTheme="minorEastAsia" w:cstheme="minorBidi"/>
          <w:noProof/>
          <w:sz w:val="22"/>
          <w:szCs w:val="22"/>
        </w:rPr>
      </w:pPr>
      <w:hyperlink w:anchor="_Toc66194561" w:history="1">
        <w:r w:rsidR="00054713" w:rsidRPr="008578A0">
          <w:rPr>
            <w:rStyle w:val="Hyperlink"/>
            <w:noProof/>
          </w:rPr>
          <w:t>Pre-admission Purchase Unit Allocation</w:t>
        </w:r>
        <w:r w:rsidR="00054713">
          <w:rPr>
            <w:noProof/>
            <w:webHidden/>
          </w:rPr>
          <w:tab/>
        </w:r>
        <w:r w:rsidR="00054713">
          <w:rPr>
            <w:noProof/>
            <w:webHidden/>
          </w:rPr>
          <w:fldChar w:fldCharType="begin"/>
        </w:r>
        <w:r w:rsidR="00054713">
          <w:rPr>
            <w:noProof/>
            <w:webHidden/>
          </w:rPr>
          <w:instrText xml:space="preserve"> PAGEREF _Toc66194561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172A8A4F" w14:textId="228B67D3" w:rsidR="00054713" w:rsidRDefault="008B5063">
      <w:pPr>
        <w:pStyle w:val="TOC2"/>
        <w:tabs>
          <w:tab w:val="left" w:pos="660"/>
          <w:tab w:val="right" w:pos="10456"/>
        </w:tabs>
        <w:rPr>
          <w:rFonts w:eastAsiaTheme="minorEastAsia" w:cstheme="minorBidi"/>
          <w:i w:val="0"/>
          <w:iCs w:val="0"/>
          <w:noProof/>
          <w:sz w:val="22"/>
          <w:szCs w:val="22"/>
        </w:rPr>
      </w:pPr>
      <w:hyperlink w:anchor="_Toc66194562" w:history="1">
        <w:r w:rsidR="00054713" w:rsidRPr="008578A0">
          <w:rPr>
            <w:rStyle w:val="Hyperlink"/>
            <w:noProof/>
          </w:rPr>
          <w:t>12</w:t>
        </w:r>
        <w:r w:rsidR="00054713">
          <w:rPr>
            <w:rFonts w:eastAsiaTheme="minorEastAsia" w:cstheme="minorBidi"/>
            <w:i w:val="0"/>
            <w:iCs w:val="0"/>
            <w:noProof/>
            <w:sz w:val="22"/>
            <w:szCs w:val="22"/>
          </w:rPr>
          <w:tab/>
        </w:r>
        <w:r w:rsidR="00054713" w:rsidRPr="008578A0">
          <w:rPr>
            <w:rStyle w:val="Hyperlink"/>
            <w:noProof/>
          </w:rPr>
          <w:t>Allied Health Services</w:t>
        </w:r>
        <w:r w:rsidR="00054713">
          <w:rPr>
            <w:noProof/>
            <w:webHidden/>
          </w:rPr>
          <w:tab/>
        </w:r>
        <w:r w:rsidR="00054713">
          <w:rPr>
            <w:noProof/>
            <w:webHidden/>
          </w:rPr>
          <w:fldChar w:fldCharType="begin"/>
        </w:r>
        <w:r w:rsidR="00054713">
          <w:rPr>
            <w:noProof/>
            <w:webHidden/>
          </w:rPr>
          <w:instrText xml:space="preserve"> PAGEREF _Toc66194562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5608ACA0" w14:textId="74EFC8F7" w:rsidR="00054713" w:rsidRDefault="008B5063">
      <w:pPr>
        <w:pStyle w:val="TOC3"/>
        <w:tabs>
          <w:tab w:val="right" w:pos="10456"/>
        </w:tabs>
        <w:rPr>
          <w:rFonts w:eastAsiaTheme="minorEastAsia" w:cstheme="minorBidi"/>
          <w:noProof/>
          <w:sz w:val="22"/>
          <w:szCs w:val="22"/>
        </w:rPr>
      </w:pPr>
      <w:hyperlink w:anchor="_Toc66194563" w:history="1">
        <w:r w:rsidR="00054713" w:rsidRPr="008578A0">
          <w:rPr>
            <w:rStyle w:val="Hyperlink"/>
            <w:noProof/>
          </w:rPr>
          <w:t>Allied Health Services Definition</w:t>
        </w:r>
        <w:r w:rsidR="00054713">
          <w:rPr>
            <w:noProof/>
            <w:webHidden/>
          </w:rPr>
          <w:tab/>
        </w:r>
        <w:r w:rsidR="00054713">
          <w:rPr>
            <w:noProof/>
            <w:webHidden/>
          </w:rPr>
          <w:fldChar w:fldCharType="begin"/>
        </w:r>
        <w:r w:rsidR="00054713">
          <w:rPr>
            <w:noProof/>
            <w:webHidden/>
          </w:rPr>
          <w:instrText xml:space="preserve"> PAGEREF _Toc66194563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25D34B3F" w14:textId="73EE2D48" w:rsidR="00054713" w:rsidRDefault="008B5063">
      <w:pPr>
        <w:pStyle w:val="TOC3"/>
        <w:tabs>
          <w:tab w:val="right" w:pos="10456"/>
        </w:tabs>
        <w:rPr>
          <w:rFonts w:eastAsiaTheme="minorEastAsia" w:cstheme="minorBidi"/>
          <w:noProof/>
          <w:sz w:val="22"/>
          <w:szCs w:val="22"/>
        </w:rPr>
      </w:pPr>
      <w:hyperlink w:anchor="_Toc66194564" w:history="1">
        <w:r w:rsidR="00054713" w:rsidRPr="008578A0">
          <w:rPr>
            <w:rStyle w:val="Hyperlink"/>
            <w:noProof/>
          </w:rPr>
          <w:t>Allied Health services include the following</w:t>
        </w:r>
        <w:r w:rsidR="00054713">
          <w:rPr>
            <w:noProof/>
            <w:webHidden/>
          </w:rPr>
          <w:tab/>
        </w:r>
        <w:r w:rsidR="00054713">
          <w:rPr>
            <w:noProof/>
            <w:webHidden/>
          </w:rPr>
          <w:fldChar w:fldCharType="begin"/>
        </w:r>
        <w:r w:rsidR="00054713">
          <w:rPr>
            <w:noProof/>
            <w:webHidden/>
          </w:rPr>
          <w:instrText xml:space="preserve"> PAGEREF _Toc66194564 \h </w:instrText>
        </w:r>
        <w:r w:rsidR="00054713">
          <w:rPr>
            <w:noProof/>
            <w:webHidden/>
          </w:rPr>
        </w:r>
        <w:r w:rsidR="00054713">
          <w:rPr>
            <w:noProof/>
            <w:webHidden/>
          </w:rPr>
          <w:fldChar w:fldCharType="separate"/>
        </w:r>
        <w:r w:rsidR="008D47F3">
          <w:rPr>
            <w:noProof/>
            <w:webHidden/>
          </w:rPr>
          <w:t>17</w:t>
        </w:r>
        <w:r w:rsidR="00054713">
          <w:rPr>
            <w:noProof/>
            <w:webHidden/>
          </w:rPr>
          <w:fldChar w:fldCharType="end"/>
        </w:r>
      </w:hyperlink>
    </w:p>
    <w:p w14:paraId="35FA708D" w14:textId="67F5D49F" w:rsidR="00054713" w:rsidRDefault="008B5063">
      <w:pPr>
        <w:pStyle w:val="TOC3"/>
        <w:tabs>
          <w:tab w:val="right" w:pos="10456"/>
        </w:tabs>
        <w:rPr>
          <w:rFonts w:eastAsiaTheme="minorEastAsia" w:cstheme="minorBidi"/>
          <w:noProof/>
          <w:sz w:val="22"/>
          <w:szCs w:val="22"/>
        </w:rPr>
      </w:pPr>
      <w:hyperlink w:anchor="_Toc66194565" w:history="1">
        <w:r w:rsidR="00054713" w:rsidRPr="008578A0">
          <w:rPr>
            <w:rStyle w:val="Hyperlink"/>
            <w:noProof/>
          </w:rPr>
          <w:t>Allied Health Services Rules</w:t>
        </w:r>
        <w:r w:rsidR="00054713">
          <w:rPr>
            <w:noProof/>
            <w:webHidden/>
          </w:rPr>
          <w:tab/>
        </w:r>
        <w:r w:rsidR="00054713">
          <w:rPr>
            <w:noProof/>
            <w:webHidden/>
          </w:rPr>
          <w:fldChar w:fldCharType="begin"/>
        </w:r>
        <w:r w:rsidR="00054713">
          <w:rPr>
            <w:noProof/>
            <w:webHidden/>
          </w:rPr>
          <w:instrText xml:space="preserve"> PAGEREF _Toc66194565 \h </w:instrText>
        </w:r>
        <w:r w:rsidR="00054713">
          <w:rPr>
            <w:noProof/>
            <w:webHidden/>
          </w:rPr>
        </w:r>
        <w:r w:rsidR="00054713">
          <w:rPr>
            <w:noProof/>
            <w:webHidden/>
          </w:rPr>
          <w:fldChar w:fldCharType="separate"/>
        </w:r>
        <w:r w:rsidR="008D47F3">
          <w:rPr>
            <w:noProof/>
            <w:webHidden/>
          </w:rPr>
          <w:t>18</w:t>
        </w:r>
        <w:r w:rsidR="00054713">
          <w:rPr>
            <w:noProof/>
            <w:webHidden/>
          </w:rPr>
          <w:fldChar w:fldCharType="end"/>
        </w:r>
      </w:hyperlink>
    </w:p>
    <w:p w14:paraId="63BCA1B2" w14:textId="36862642" w:rsidR="00054713" w:rsidRDefault="008B5063">
      <w:pPr>
        <w:pStyle w:val="TOC3"/>
        <w:tabs>
          <w:tab w:val="right" w:pos="10456"/>
        </w:tabs>
        <w:rPr>
          <w:rFonts w:eastAsiaTheme="minorEastAsia" w:cstheme="minorBidi"/>
          <w:noProof/>
          <w:sz w:val="22"/>
          <w:szCs w:val="22"/>
        </w:rPr>
      </w:pPr>
      <w:hyperlink w:anchor="_Toc66194566" w:history="1">
        <w:r w:rsidR="00054713" w:rsidRPr="008578A0">
          <w:rPr>
            <w:rStyle w:val="Hyperlink"/>
            <w:noProof/>
          </w:rPr>
          <w:t>Allied Health Services Purchase Unit Allocation</w:t>
        </w:r>
        <w:r w:rsidR="00054713">
          <w:rPr>
            <w:noProof/>
            <w:webHidden/>
          </w:rPr>
          <w:tab/>
        </w:r>
        <w:r w:rsidR="00054713">
          <w:rPr>
            <w:noProof/>
            <w:webHidden/>
          </w:rPr>
          <w:fldChar w:fldCharType="begin"/>
        </w:r>
        <w:r w:rsidR="00054713">
          <w:rPr>
            <w:noProof/>
            <w:webHidden/>
          </w:rPr>
          <w:instrText xml:space="preserve"> PAGEREF _Toc66194566 \h </w:instrText>
        </w:r>
        <w:r w:rsidR="00054713">
          <w:rPr>
            <w:noProof/>
            <w:webHidden/>
          </w:rPr>
        </w:r>
        <w:r w:rsidR="00054713">
          <w:rPr>
            <w:noProof/>
            <w:webHidden/>
          </w:rPr>
          <w:fldChar w:fldCharType="separate"/>
        </w:r>
        <w:r w:rsidR="008D47F3">
          <w:rPr>
            <w:noProof/>
            <w:webHidden/>
          </w:rPr>
          <w:t>18</w:t>
        </w:r>
        <w:r w:rsidR="00054713">
          <w:rPr>
            <w:noProof/>
            <w:webHidden/>
          </w:rPr>
          <w:fldChar w:fldCharType="end"/>
        </w:r>
      </w:hyperlink>
    </w:p>
    <w:p w14:paraId="569406A6" w14:textId="06B07929" w:rsidR="00054713" w:rsidRDefault="008B5063">
      <w:pPr>
        <w:pStyle w:val="TOC2"/>
        <w:tabs>
          <w:tab w:val="left" w:pos="660"/>
          <w:tab w:val="right" w:pos="10456"/>
        </w:tabs>
        <w:rPr>
          <w:rFonts w:eastAsiaTheme="minorEastAsia" w:cstheme="minorBidi"/>
          <w:i w:val="0"/>
          <w:iCs w:val="0"/>
          <w:noProof/>
          <w:sz w:val="22"/>
          <w:szCs w:val="22"/>
        </w:rPr>
      </w:pPr>
      <w:hyperlink w:anchor="_Toc66194567" w:history="1">
        <w:r w:rsidR="00054713" w:rsidRPr="008578A0">
          <w:rPr>
            <w:rStyle w:val="Hyperlink"/>
            <w:noProof/>
          </w:rPr>
          <w:t>13</w:t>
        </w:r>
        <w:r w:rsidR="00054713">
          <w:rPr>
            <w:rFonts w:eastAsiaTheme="minorEastAsia" w:cstheme="minorBidi"/>
            <w:i w:val="0"/>
            <w:iCs w:val="0"/>
            <w:noProof/>
            <w:sz w:val="22"/>
            <w:szCs w:val="22"/>
          </w:rPr>
          <w:tab/>
        </w:r>
        <w:r w:rsidR="00054713" w:rsidRPr="008578A0">
          <w:rPr>
            <w:rStyle w:val="Hyperlink"/>
            <w:noProof/>
          </w:rPr>
          <w:t>Nurse Led Outpatient Clinic</w:t>
        </w:r>
        <w:r w:rsidR="00054713">
          <w:rPr>
            <w:noProof/>
            <w:webHidden/>
          </w:rPr>
          <w:tab/>
        </w:r>
        <w:r w:rsidR="00054713">
          <w:rPr>
            <w:noProof/>
            <w:webHidden/>
          </w:rPr>
          <w:fldChar w:fldCharType="begin"/>
        </w:r>
        <w:r w:rsidR="00054713">
          <w:rPr>
            <w:noProof/>
            <w:webHidden/>
          </w:rPr>
          <w:instrText xml:space="preserve"> PAGEREF _Toc66194567 \h </w:instrText>
        </w:r>
        <w:r w:rsidR="00054713">
          <w:rPr>
            <w:noProof/>
            <w:webHidden/>
          </w:rPr>
        </w:r>
        <w:r w:rsidR="00054713">
          <w:rPr>
            <w:noProof/>
            <w:webHidden/>
          </w:rPr>
          <w:fldChar w:fldCharType="separate"/>
        </w:r>
        <w:r w:rsidR="008D47F3">
          <w:rPr>
            <w:noProof/>
            <w:webHidden/>
          </w:rPr>
          <w:t>18</w:t>
        </w:r>
        <w:r w:rsidR="00054713">
          <w:rPr>
            <w:noProof/>
            <w:webHidden/>
          </w:rPr>
          <w:fldChar w:fldCharType="end"/>
        </w:r>
      </w:hyperlink>
    </w:p>
    <w:p w14:paraId="07CFF81B" w14:textId="0EBF1D7D" w:rsidR="00054713" w:rsidRDefault="008B5063">
      <w:pPr>
        <w:pStyle w:val="TOC3"/>
        <w:tabs>
          <w:tab w:val="right" w:pos="10456"/>
        </w:tabs>
        <w:rPr>
          <w:rFonts w:eastAsiaTheme="minorEastAsia" w:cstheme="minorBidi"/>
          <w:noProof/>
          <w:sz w:val="22"/>
          <w:szCs w:val="22"/>
        </w:rPr>
      </w:pPr>
      <w:hyperlink w:anchor="_Toc66194568" w:history="1">
        <w:r w:rsidR="00054713" w:rsidRPr="008578A0">
          <w:rPr>
            <w:rStyle w:val="Hyperlink"/>
            <w:noProof/>
          </w:rPr>
          <w:t>Nurse Led Outpatient Clinic Definition</w:t>
        </w:r>
        <w:r w:rsidR="00054713">
          <w:rPr>
            <w:noProof/>
            <w:webHidden/>
          </w:rPr>
          <w:tab/>
        </w:r>
        <w:r w:rsidR="00054713">
          <w:rPr>
            <w:noProof/>
            <w:webHidden/>
          </w:rPr>
          <w:fldChar w:fldCharType="begin"/>
        </w:r>
        <w:r w:rsidR="00054713">
          <w:rPr>
            <w:noProof/>
            <w:webHidden/>
          </w:rPr>
          <w:instrText xml:space="preserve"> PAGEREF _Toc66194568 \h </w:instrText>
        </w:r>
        <w:r w:rsidR="00054713">
          <w:rPr>
            <w:noProof/>
            <w:webHidden/>
          </w:rPr>
        </w:r>
        <w:r w:rsidR="00054713">
          <w:rPr>
            <w:noProof/>
            <w:webHidden/>
          </w:rPr>
          <w:fldChar w:fldCharType="separate"/>
        </w:r>
        <w:r w:rsidR="008D47F3">
          <w:rPr>
            <w:noProof/>
            <w:webHidden/>
          </w:rPr>
          <w:t>18</w:t>
        </w:r>
        <w:r w:rsidR="00054713">
          <w:rPr>
            <w:noProof/>
            <w:webHidden/>
          </w:rPr>
          <w:fldChar w:fldCharType="end"/>
        </w:r>
      </w:hyperlink>
    </w:p>
    <w:p w14:paraId="506DE991" w14:textId="6EFFF5A9" w:rsidR="00054713" w:rsidRDefault="008B5063">
      <w:pPr>
        <w:pStyle w:val="TOC3"/>
        <w:tabs>
          <w:tab w:val="right" w:pos="10456"/>
        </w:tabs>
        <w:rPr>
          <w:rFonts w:eastAsiaTheme="minorEastAsia" w:cstheme="minorBidi"/>
          <w:noProof/>
          <w:sz w:val="22"/>
          <w:szCs w:val="22"/>
        </w:rPr>
      </w:pPr>
      <w:hyperlink w:anchor="_Toc66194569" w:history="1">
        <w:r w:rsidR="00054713" w:rsidRPr="008578A0">
          <w:rPr>
            <w:rStyle w:val="Hyperlink"/>
            <w:noProof/>
          </w:rPr>
          <w:t>Nurse Led Outpatient Clinic Rules</w:t>
        </w:r>
        <w:r w:rsidR="00054713">
          <w:rPr>
            <w:noProof/>
            <w:webHidden/>
          </w:rPr>
          <w:tab/>
        </w:r>
        <w:r w:rsidR="00054713">
          <w:rPr>
            <w:noProof/>
            <w:webHidden/>
          </w:rPr>
          <w:fldChar w:fldCharType="begin"/>
        </w:r>
        <w:r w:rsidR="00054713">
          <w:rPr>
            <w:noProof/>
            <w:webHidden/>
          </w:rPr>
          <w:instrText xml:space="preserve"> PAGEREF _Toc66194569 \h </w:instrText>
        </w:r>
        <w:r w:rsidR="00054713">
          <w:rPr>
            <w:noProof/>
            <w:webHidden/>
          </w:rPr>
        </w:r>
        <w:r w:rsidR="00054713">
          <w:rPr>
            <w:noProof/>
            <w:webHidden/>
          </w:rPr>
          <w:fldChar w:fldCharType="separate"/>
        </w:r>
        <w:r w:rsidR="008D47F3">
          <w:rPr>
            <w:noProof/>
            <w:webHidden/>
          </w:rPr>
          <w:t>18</w:t>
        </w:r>
        <w:r w:rsidR="00054713">
          <w:rPr>
            <w:noProof/>
            <w:webHidden/>
          </w:rPr>
          <w:fldChar w:fldCharType="end"/>
        </w:r>
      </w:hyperlink>
    </w:p>
    <w:p w14:paraId="23A63DA3" w14:textId="10C77417" w:rsidR="00054713" w:rsidRDefault="008B5063">
      <w:pPr>
        <w:pStyle w:val="TOC3"/>
        <w:tabs>
          <w:tab w:val="right" w:pos="10456"/>
        </w:tabs>
        <w:rPr>
          <w:rFonts w:eastAsiaTheme="minorEastAsia" w:cstheme="minorBidi"/>
          <w:noProof/>
          <w:sz w:val="22"/>
          <w:szCs w:val="22"/>
        </w:rPr>
      </w:pPr>
      <w:hyperlink w:anchor="_Toc66194570" w:history="1">
        <w:r w:rsidR="00054713" w:rsidRPr="008578A0">
          <w:rPr>
            <w:rStyle w:val="Hyperlink"/>
            <w:noProof/>
          </w:rPr>
          <w:t>Nurse Led Outpatient Clinic Purchase Unit Allocation</w:t>
        </w:r>
        <w:r w:rsidR="00054713">
          <w:rPr>
            <w:noProof/>
            <w:webHidden/>
          </w:rPr>
          <w:tab/>
        </w:r>
        <w:r w:rsidR="00054713">
          <w:rPr>
            <w:noProof/>
            <w:webHidden/>
          </w:rPr>
          <w:fldChar w:fldCharType="begin"/>
        </w:r>
        <w:r w:rsidR="00054713">
          <w:rPr>
            <w:noProof/>
            <w:webHidden/>
          </w:rPr>
          <w:instrText xml:space="preserve"> PAGEREF _Toc66194570 \h </w:instrText>
        </w:r>
        <w:r w:rsidR="00054713">
          <w:rPr>
            <w:noProof/>
            <w:webHidden/>
          </w:rPr>
        </w:r>
        <w:r w:rsidR="00054713">
          <w:rPr>
            <w:noProof/>
            <w:webHidden/>
          </w:rPr>
          <w:fldChar w:fldCharType="separate"/>
        </w:r>
        <w:r w:rsidR="008D47F3">
          <w:rPr>
            <w:noProof/>
            <w:webHidden/>
          </w:rPr>
          <w:t>18</w:t>
        </w:r>
        <w:r w:rsidR="00054713">
          <w:rPr>
            <w:noProof/>
            <w:webHidden/>
          </w:rPr>
          <w:fldChar w:fldCharType="end"/>
        </w:r>
      </w:hyperlink>
    </w:p>
    <w:p w14:paraId="3B976783" w14:textId="4FFCB415" w:rsidR="00054713" w:rsidRDefault="008B5063">
      <w:pPr>
        <w:pStyle w:val="TOC2"/>
        <w:tabs>
          <w:tab w:val="left" w:pos="660"/>
          <w:tab w:val="right" w:pos="10456"/>
        </w:tabs>
        <w:rPr>
          <w:rFonts w:eastAsiaTheme="minorEastAsia" w:cstheme="minorBidi"/>
          <w:i w:val="0"/>
          <w:iCs w:val="0"/>
          <w:noProof/>
          <w:sz w:val="22"/>
          <w:szCs w:val="22"/>
        </w:rPr>
      </w:pPr>
      <w:hyperlink w:anchor="_Toc66194571" w:history="1">
        <w:r w:rsidR="00054713" w:rsidRPr="008578A0">
          <w:rPr>
            <w:rStyle w:val="Hyperlink"/>
            <w:noProof/>
          </w:rPr>
          <w:t>14</w:t>
        </w:r>
        <w:r w:rsidR="00054713">
          <w:rPr>
            <w:rFonts w:eastAsiaTheme="minorEastAsia" w:cstheme="minorBidi"/>
            <w:i w:val="0"/>
            <w:iCs w:val="0"/>
            <w:noProof/>
            <w:sz w:val="22"/>
            <w:szCs w:val="22"/>
          </w:rPr>
          <w:tab/>
        </w:r>
        <w:r w:rsidR="00054713" w:rsidRPr="008578A0">
          <w:rPr>
            <w:rStyle w:val="Hyperlink"/>
            <w:noProof/>
          </w:rPr>
          <w:t>Antenatal &amp; Postnatal Consultations</w:t>
        </w:r>
        <w:r w:rsidR="00054713">
          <w:rPr>
            <w:noProof/>
            <w:webHidden/>
          </w:rPr>
          <w:tab/>
        </w:r>
        <w:r w:rsidR="00054713">
          <w:rPr>
            <w:noProof/>
            <w:webHidden/>
          </w:rPr>
          <w:fldChar w:fldCharType="begin"/>
        </w:r>
        <w:r w:rsidR="00054713">
          <w:rPr>
            <w:noProof/>
            <w:webHidden/>
          </w:rPr>
          <w:instrText xml:space="preserve"> PAGEREF _Toc66194571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3A6AE980" w14:textId="7C4EEAA8" w:rsidR="00054713" w:rsidRDefault="008B5063">
      <w:pPr>
        <w:pStyle w:val="TOC3"/>
        <w:tabs>
          <w:tab w:val="right" w:pos="10456"/>
        </w:tabs>
        <w:rPr>
          <w:rFonts w:eastAsiaTheme="minorEastAsia" w:cstheme="minorBidi"/>
          <w:noProof/>
          <w:sz w:val="22"/>
          <w:szCs w:val="22"/>
        </w:rPr>
      </w:pPr>
      <w:hyperlink w:anchor="_Toc66194572" w:history="1">
        <w:r w:rsidR="00054713" w:rsidRPr="008578A0">
          <w:rPr>
            <w:rStyle w:val="Hyperlink"/>
            <w:noProof/>
          </w:rPr>
          <w:t>Antenatal and Postnatal Consultations Definition</w:t>
        </w:r>
        <w:r w:rsidR="00054713">
          <w:rPr>
            <w:noProof/>
            <w:webHidden/>
          </w:rPr>
          <w:tab/>
        </w:r>
        <w:r w:rsidR="00054713">
          <w:rPr>
            <w:noProof/>
            <w:webHidden/>
          </w:rPr>
          <w:fldChar w:fldCharType="begin"/>
        </w:r>
        <w:r w:rsidR="00054713">
          <w:rPr>
            <w:noProof/>
            <w:webHidden/>
          </w:rPr>
          <w:instrText xml:space="preserve"> PAGEREF _Toc66194572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328CB655" w14:textId="13BBF52B" w:rsidR="00054713" w:rsidRDefault="008B5063">
      <w:pPr>
        <w:pStyle w:val="TOC3"/>
        <w:tabs>
          <w:tab w:val="right" w:pos="10456"/>
        </w:tabs>
        <w:rPr>
          <w:rFonts w:eastAsiaTheme="minorEastAsia" w:cstheme="minorBidi"/>
          <w:noProof/>
          <w:sz w:val="22"/>
          <w:szCs w:val="22"/>
        </w:rPr>
      </w:pPr>
      <w:hyperlink w:anchor="_Toc66194573" w:history="1">
        <w:r w:rsidR="00054713" w:rsidRPr="008578A0">
          <w:rPr>
            <w:rStyle w:val="Hyperlink"/>
            <w:noProof/>
          </w:rPr>
          <w:t>Antenatal and Postnatal Consultations Rules</w:t>
        </w:r>
        <w:r w:rsidR="00054713">
          <w:rPr>
            <w:noProof/>
            <w:webHidden/>
          </w:rPr>
          <w:tab/>
        </w:r>
        <w:r w:rsidR="00054713">
          <w:rPr>
            <w:noProof/>
            <w:webHidden/>
          </w:rPr>
          <w:fldChar w:fldCharType="begin"/>
        </w:r>
        <w:r w:rsidR="00054713">
          <w:rPr>
            <w:noProof/>
            <w:webHidden/>
          </w:rPr>
          <w:instrText xml:space="preserve"> PAGEREF _Toc66194573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5B3BA4C2" w14:textId="59A63455" w:rsidR="00054713" w:rsidRDefault="008B5063">
      <w:pPr>
        <w:pStyle w:val="TOC3"/>
        <w:tabs>
          <w:tab w:val="right" w:pos="10456"/>
        </w:tabs>
        <w:rPr>
          <w:rFonts w:eastAsiaTheme="minorEastAsia" w:cstheme="minorBidi"/>
          <w:noProof/>
          <w:sz w:val="22"/>
          <w:szCs w:val="22"/>
        </w:rPr>
      </w:pPr>
      <w:hyperlink w:anchor="_Toc66194574" w:history="1">
        <w:r w:rsidR="00054713" w:rsidRPr="008578A0">
          <w:rPr>
            <w:rStyle w:val="Hyperlink"/>
            <w:noProof/>
          </w:rPr>
          <w:t>Antenatal &amp; Postnatal Consultations Purchase Unit Allocation</w:t>
        </w:r>
        <w:r w:rsidR="00054713">
          <w:rPr>
            <w:noProof/>
            <w:webHidden/>
          </w:rPr>
          <w:tab/>
        </w:r>
        <w:r w:rsidR="00054713">
          <w:rPr>
            <w:noProof/>
            <w:webHidden/>
          </w:rPr>
          <w:fldChar w:fldCharType="begin"/>
        </w:r>
        <w:r w:rsidR="00054713">
          <w:rPr>
            <w:noProof/>
            <w:webHidden/>
          </w:rPr>
          <w:instrText xml:space="preserve"> PAGEREF _Toc66194574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1A2C8411" w14:textId="27F04499" w:rsidR="00054713" w:rsidRDefault="008B5063">
      <w:pPr>
        <w:pStyle w:val="TOC2"/>
        <w:tabs>
          <w:tab w:val="left" w:pos="660"/>
          <w:tab w:val="right" w:pos="10456"/>
        </w:tabs>
        <w:rPr>
          <w:rFonts w:eastAsiaTheme="minorEastAsia" w:cstheme="minorBidi"/>
          <w:i w:val="0"/>
          <w:iCs w:val="0"/>
          <w:noProof/>
          <w:sz w:val="22"/>
          <w:szCs w:val="22"/>
        </w:rPr>
      </w:pPr>
      <w:hyperlink w:anchor="_Toc66194575" w:history="1">
        <w:r w:rsidR="00054713" w:rsidRPr="008578A0">
          <w:rPr>
            <w:rStyle w:val="Hyperlink"/>
            <w:noProof/>
          </w:rPr>
          <w:t>15</w:t>
        </w:r>
        <w:r w:rsidR="00054713">
          <w:rPr>
            <w:rFonts w:eastAsiaTheme="minorEastAsia" w:cstheme="minorBidi"/>
            <w:i w:val="0"/>
            <w:iCs w:val="0"/>
            <w:noProof/>
            <w:sz w:val="22"/>
            <w:szCs w:val="22"/>
          </w:rPr>
          <w:tab/>
        </w:r>
        <w:r w:rsidR="00054713" w:rsidRPr="008578A0">
          <w:rPr>
            <w:rStyle w:val="Hyperlink"/>
            <w:noProof/>
          </w:rPr>
          <w:t>Community Referred Tests</w:t>
        </w:r>
        <w:r w:rsidR="00054713">
          <w:rPr>
            <w:noProof/>
            <w:webHidden/>
          </w:rPr>
          <w:tab/>
        </w:r>
        <w:r w:rsidR="00054713">
          <w:rPr>
            <w:noProof/>
            <w:webHidden/>
          </w:rPr>
          <w:fldChar w:fldCharType="begin"/>
        </w:r>
        <w:r w:rsidR="00054713">
          <w:rPr>
            <w:noProof/>
            <w:webHidden/>
          </w:rPr>
          <w:instrText xml:space="preserve"> PAGEREF _Toc66194575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38D32EA2" w14:textId="3DC24F76" w:rsidR="00054713" w:rsidRDefault="008B5063">
      <w:pPr>
        <w:pStyle w:val="TOC3"/>
        <w:tabs>
          <w:tab w:val="right" w:pos="10456"/>
        </w:tabs>
        <w:rPr>
          <w:rFonts w:eastAsiaTheme="minorEastAsia" w:cstheme="minorBidi"/>
          <w:noProof/>
          <w:sz w:val="22"/>
          <w:szCs w:val="22"/>
        </w:rPr>
      </w:pPr>
      <w:hyperlink w:anchor="_Toc66194576" w:history="1">
        <w:r w:rsidR="00054713" w:rsidRPr="008578A0">
          <w:rPr>
            <w:rStyle w:val="Hyperlink"/>
            <w:noProof/>
          </w:rPr>
          <w:t>Community Referred Tests Definition</w:t>
        </w:r>
        <w:r w:rsidR="00054713">
          <w:rPr>
            <w:noProof/>
            <w:webHidden/>
          </w:rPr>
          <w:tab/>
        </w:r>
        <w:r w:rsidR="00054713">
          <w:rPr>
            <w:noProof/>
            <w:webHidden/>
          </w:rPr>
          <w:fldChar w:fldCharType="begin"/>
        </w:r>
        <w:r w:rsidR="00054713">
          <w:rPr>
            <w:noProof/>
            <w:webHidden/>
          </w:rPr>
          <w:instrText xml:space="preserve"> PAGEREF _Toc66194576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18B0C802" w14:textId="6177933C" w:rsidR="00054713" w:rsidRDefault="008B5063">
      <w:pPr>
        <w:pStyle w:val="TOC3"/>
        <w:tabs>
          <w:tab w:val="right" w:pos="10456"/>
        </w:tabs>
        <w:rPr>
          <w:rFonts w:eastAsiaTheme="minorEastAsia" w:cstheme="minorBidi"/>
          <w:noProof/>
          <w:sz w:val="22"/>
          <w:szCs w:val="22"/>
        </w:rPr>
      </w:pPr>
      <w:hyperlink w:anchor="_Toc66194577" w:history="1">
        <w:r w:rsidR="00054713" w:rsidRPr="008578A0">
          <w:rPr>
            <w:rStyle w:val="Hyperlink"/>
            <w:noProof/>
          </w:rPr>
          <w:t>Community Referred Tests Rules.</w:t>
        </w:r>
        <w:r w:rsidR="00054713">
          <w:rPr>
            <w:noProof/>
            <w:webHidden/>
          </w:rPr>
          <w:tab/>
        </w:r>
        <w:r w:rsidR="00054713">
          <w:rPr>
            <w:noProof/>
            <w:webHidden/>
          </w:rPr>
          <w:fldChar w:fldCharType="begin"/>
        </w:r>
        <w:r w:rsidR="00054713">
          <w:rPr>
            <w:noProof/>
            <w:webHidden/>
          </w:rPr>
          <w:instrText xml:space="preserve"> PAGEREF _Toc66194577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50F5AF52" w14:textId="2B95C2D2" w:rsidR="00054713" w:rsidRDefault="008B5063">
      <w:pPr>
        <w:pStyle w:val="TOC3"/>
        <w:tabs>
          <w:tab w:val="right" w:pos="10456"/>
        </w:tabs>
        <w:rPr>
          <w:rFonts w:eastAsiaTheme="minorEastAsia" w:cstheme="minorBidi"/>
          <w:noProof/>
          <w:sz w:val="22"/>
          <w:szCs w:val="22"/>
        </w:rPr>
      </w:pPr>
      <w:hyperlink w:anchor="_Toc66194578" w:history="1">
        <w:r w:rsidR="00054713" w:rsidRPr="008578A0">
          <w:rPr>
            <w:rStyle w:val="Hyperlink"/>
            <w:noProof/>
          </w:rPr>
          <w:t>Community Referred Tests Purchase Unit Allocation</w:t>
        </w:r>
        <w:r w:rsidR="00054713">
          <w:rPr>
            <w:noProof/>
            <w:webHidden/>
          </w:rPr>
          <w:tab/>
        </w:r>
        <w:r w:rsidR="00054713">
          <w:rPr>
            <w:noProof/>
            <w:webHidden/>
          </w:rPr>
          <w:fldChar w:fldCharType="begin"/>
        </w:r>
        <w:r w:rsidR="00054713">
          <w:rPr>
            <w:noProof/>
            <w:webHidden/>
          </w:rPr>
          <w:instrText xml:space="preserve"> PAGEREF _Toc66194578 \h </w:instrText>
        </w:r>
        <w:r w:rsidR="00054713">
          <w:rPr>
            <w:noProof/>
            <w:webHidden/>
          </w:rPr>
        </w:r>
        <w:r w:rsidR="00054713">
          <w:rPr>
            <w:noProof/>
            <w:webHidden/>
          </w:rPr>
          <w:fldChar w:fldCharType="separate"/>
        </w:r>
        <w:r w:rsidR="008D47F3">
          <w:rPr>
            <w:noProof/>
            <w:webHidden/>
          </w:rPr>
          <w:t>19</w:t>
        </w:r>
        <w:r w:rsidR="00054713">
          <w:rPr>
            <w:noProof/>
            <w:webHidden/>
          </w:rPr>
          <w:fldChar w:fldCharType="end"/>
        </w:r>
      </w:hyperlink>
    </w:p>
    <w:p w14:paraId="7C53B846" w14:textId="10F3D008" w:rsidR="00054713" w:rsidRDefault="008B5063">
      <w:pPr>
        <w:pStyle w:val="TOC2"/>
        <w:tabs>
          <w:tab w:val="right" w:pos="10456"/>
        </w:tabs>
        <w:rPr>
          <w:rFonts w:eastAsiaTheme="minorEastAsia" w:cstheme="minorBidi"/>
          <w:i w:val="0"/>
          <w:iCs w:val="0"/>
          <w:noProof/>
          <w:sz w:val="22"/>
          <w:szCs w:val="22"/>
        </w:rPr>
      </w:pPr>
      <w:hyperlink w:anchor="_Toc66194579" w:history="1">
        <w:r w:rsidR="00054713" w:rsidRPr="008578A0">
          <w:rPr>
            <w:rStyle w:val="Hyperlink"/>
            <w:noProof/>
          </w:rPr>
          <w:t>Other (non-completed) events</w:t>
        </w:r>
        <w:r w:rsidR="00054713">
          <w:rPr>
            <w:noProof/>
            <w:webHidden/>
          </w:rPr>
          <w:tab/>
        </w:r>
        <w:r w:rsidR="00054713">
          <w:rPr>
            <w:noProof/>
            <w:webHidden/>
          </w:rPr>
          <w:fldChar w:fldCharType="begin"/>
        </w:r>
        <w:r w:rsidR="00054713">
          <w:rPr>
            <w:noProof/>
            <w:webHidden/>
          </w:rPr>
          <w:instrText xml:space="preserve"> PAGEREF _Toc66194579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32D14D51" w14:textId="003BD46A" w:rsidR="00054713" w:rsidRDefault="008B5063">
      <w:pPr>
        <w:pStyle w:val="TOC2"/>
        <w:tabs>
          <w:tab w:val="left" w:pos="660"/>
          <w:tab w:val="right" w:pos="10456"/>
        </w:tabs>
        <w:rPr>
          <w:rFonts w:eastAsiaTheme="minorEastAsia" w:cstheme="minorBidi"/>
          <w:i w:val="0"/>
          <w:iCs w:val="0"/>
          <w:noProof/>
          <w:sz w:val="22"/>
          <w:szCs w:val="22"/>
        </w:rPr>
      </w:pPr>
      <w:hyperlink w:anchor="_Toc66194580" w:history="1">
        <w:r w:rsidR="00054713" w:rsidRPr="008578A0">
          <w:rPr>
            <w:rStyle w:val="Hyperlink"/>
            <w:noProof/>
          </w:rPr>
          <w:t>16</w:t>
        </w:r>
        <w:r w:rsidR="00054713">
          <w:rPr>
            <w:rFonts w:eastAsiaTheme="minorEastAsia" w:cstheme="minorBidi"/>
            <w:i w:val="0"/>
            <w:iCs w:val="0"/>
            <w:noProof/>
            <w:sz w:val="22"/>
            <w:szCs w:val="22"/>
          </w:rPr>
          <w:tab/>
        </w:r>
        <w:r w:rsidR="00054713" w:rsidRPr="008578A0">
          <w:rPr>
            <w:rStyle w:val="Hyperlink"/>
            <w:noProof/>
          </w:rPr>
          <w:t>Did Not Attend (DNA)</w:t>
        </w:r>
        <w:r w:rsidR="00054713">
          <w:rPr>
            <w:noProof/>
            <w:webHidden/>
          </w:rPr>
          <w:tab/>
        </w:r>
        <w:r w:rsidR="00054713">
          <w:rPr>
            <w:noProof/>
            <w:webHidden/>
          </w:rPr>
          <w:fldChar w:fldCharType="begin"/>
        </w:r>
        <w:r w:rsidR="00054713">
          <w:rPr>
            <w:noProof/>
            <w:webHidden/>
          </w:rPr>
          <w:instrText xml:space="preserve"> PAGEREF _Toc66194580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228FE7E1" w14:textId="39022C4A" w:rsidR="00054713" w:rsidRDefault="008B5063">
      <w:pPr>
        <w:pStyle w:val="TOC3"/>
        <w:tabs>
          <w:tab w:val="right" w:pos="10456"/>
        </w:tabs>
        <w:rPr>
          <w:rFonts w:eastAsiaTheme="minorEastAsia" w:cstheme="minorBidi"/>
          <w:noProof/>
          <w:sz w:val="22"/>
          <w:szCs w:val="22"/>
        </w:rPr>
      </w:pPr>
      <w:hyperlink w:anchor="_Toc66194581" w:history="1">
        <w:r w:rsidR="00054713" w:rsidRPr="008578A0">
          <w:rPr>
            <w:rStyle w:val="Hyperlink"/>
            <w:noProof/>
          </w:rPr>
          <w:t>Did Not Attend Definition</w:t>
        </w:r>
        <w:r w:rsidR="00054713">
          <w:rPr>
            <w:noProof/>
            <w:webHidden/>
          </w:rPr>
          <w:tab/>
        </w:r>
        <w:r w:rsidR="00054713">
          <w:rPr>
            <w:noProof/>
            <w:webHidden/>
          </w:rPr>
          <w:fldChar w:fldCharType="begin"/>
        </w:r>
        <w:r w:rsidR="00054713">
          <w:rPr>
            <w:noProof/>
            <w:webHidden/>
          </w:rPr>
          <w:instrText xml:space="preserve"> PAGEREF _Toc66194581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05BF7936" w14:textId="32234980" w:rsidR="00054713" w:rsidRDefault="008B5063">
      <w:pPr>
        <w:pStyle w:val="TOC3"/>
        <w:tabs>
          <w:tab w:val="right" w:pos="10456"/>
        </w:tabs>
        <w:rPr>
          <w:rFonts w:eastAsiaTheme="minorEastAsia" w:cstheme="minorBidi"/>
          <w:noProof/>
          <w:sz w:val="22"/>
          <w:szCs w:val="22"/>
        </w:rPr>
      </w:pPr>
      <w:hyperlink w:anchor="_Toc66194582" w:history="1">
        <w:r w:rsidR="00054713" w:rsidRPr="008578A0">
          <w:rPr>
            <w:rStyle w:val="Hyperlink"/>
            <w:noProof/>
          </w:rPr>
          <w:t>Did Not Attend Rules</w:t>
        </w:r>
        <w:r w:rsidR="00054713">
          <w:rPr>
            <w:noProof/>
            <w:webHidden/>
          </w:rPr>
          <w:tab/>
        </w:r>
        <w:r w:rsidR="00054713">
          <w:rPr>
            <w:noProof/>
            <w:webHidden/>
          </w:rPr>
          <w:fldChar w:fldCharType="begin"/>
        </w:r>
        <w:r w:rsidR="00054713">
          <w:rPr>
            <w:noProof/>
            <w:webHidden/>
          </w:rPr>
          <w:instrText xml:space="preserve"> PAGEREF _Toc66194582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1D99B142" w14:textId="15EE1228" w:rsidR="00054713" w:rsidRDefault="008B5063">
      <w:pPr>
        <w:pStyle w:val="TOC3"/>
        <w:tabs>
          <w:tab w:val="right" w:pos="10456"/>
        </w:tabs>
        <w:rPr>
          <w:rFonts w:eastAsiaTheme="minorEastAsia" w:cstheme="minorBidi"/>
          <w:noProof/>
          <w:sz w:val="22"/>
          <w:szCs w:val="22"/>
        </w:rPr>
      </w:pPr>
      <w:hyperlink w:anchor="_Toc66194583" w:history="1">
        <w:r w:rsidR="00054713" w:rsidRPr="008578A0">
          <w:rPr>
            <w:rStyle w:val="Hyperlink"/>
            <w:noProof/>
          </w:rPr>
          <w:t>Did Not Attend Purchase Unit Allocation</w:t>
        </w:r>
        <w:r w:rsidR="00054713">
          <w:rPr>
            <w:noProof/>
            <w:webHidden/>
          </w:rPr>
          <w:tab/>
        </w:r>
        <w:r w:rsidR="00054713">
          <w:rPr>
            <w:noProof/>
            <w:webHidden/>
          </w:rPr>
          <w:fldChar w:fldCharType="begin"/>
        </w:r>
        <w:r w:rsidR="00054713">
          <w:rPr>
            <w:noProof/>
            <w:webHidden/>
          </w:rPr>
          <w:instrText xml:space="preserve"> PAGEREF _Toc66194583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2C320400" w14:textId="1F579776" w:rsidR="00054713" w:rsidRDefault="008B5063">
      <w:pPr>
        <w:pStyle w:val="TOC2"/>
        <w:tabs>
          <w:tab w:val="left" w:pos="660"/>
          <w:tab w:val="right" w:pos="10456"/>
        </w:tabs>
        <w:rPr>
          <w:rFonts w:eastAsiaTheme="minorEastAsia" w:cstheme="minorBidi"/>
          <w:i w:val="0"/>
          <w:iCs w:val="0"/>
          <w:noProof/>
          <w:sz w:val="22"/>
          <w:szCs w:val="22"/>
        </w:rPr>
      </w:pPr>
      <w:hyperlink w:anchor="_Toc66194584" w:history="1">
        <w:r w:rsidR="00054713" w:rsidRPr="008578A0">
          <w:rPr>
            <w:rStyle w:val="Hyperlink"/>
            <w:noProof/>
          </w:rPr>
          <w:t>17</w:t>
        </w:r>
        <w:r w:rsidR="00054713">
          <w:rPr>
            <w:rFonts w:eastAsiaTheme="minorEastAsia" w:cstheme="minorBidi"/>
            <w:i w:val="0"/>
            <w:iCs w:val="0"/>
            <w:noProof/>
            <w:sz w:val="22"/>
            <w:szCs w:val="22"/>
          </w:rPr>
          <w:tab/>
        </w:r>
        <w:r w:rsidR="00054713" w:rsidRPr="008578A0">
          <w:rPr>
            <w:rStyle w:val="Hyperlink"/>
            <w:noProof/>
          </w:rPr>
          <w:t>Did Not Wait (DNW)</w:t>
        </w:r>
        <w:r w:rsidR="00054713">
          <w:rPr>
            <w:noProof/>
            <w:webHidden/>
          </w:rPr>
          <w:tab/>
        </w:r>
        <w:r w:rsidR="00054713">
          <w:rPr>
            <w:noProof/>
            <w:webHidden/>
          </w:rPr>
          <w:fldChar w:fldCharType="begin"/>
        </w:r>
        <w:r w:rsidR="00054713">
          <w:rPr>
            <w:noProof/>
            <w:webHidden/>
          </w:rPr>
          <w:instrText xml:space="preserve"> PAGEREF _Toc66194584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15D0315F" w14:textId="6BC15328" w:rsidR="00054713" w:rsidRDefault="008B5063">
      <w:pPr>
        <w:pStyle w:val="TOC3"/>
        <w:tabs>
          <w:tab w:val="right" w:pos="10456"/>
        </w:tabs>
        <w:rPr>
          <w:rFonts w:eastAsiaTheme="minorEastAsia" w:cstheme="minorBidi"/>
          <w:noProof/>
          <w:sz w:val="22"/>
          <w:szCs w:val="22"/>
        </w:rPr>
      </w:pPr>
      <w:hyperlink w:anchor="_Toc66194585" w:history="1">
        <w:r w:rsidR="00054713" w:rsidRPr="008578A0">
          <w:rPr>
            <w:rStyle w:val="Hyperlink"/>
            <w:noProof/>
          </w:rPr>
          <w:t>Did Not Wait Definition</w:t>
        </w:r>
        <w:r w:rsidR="00054713">
          <w:rPr>
            <w:noProof/>
            <w:webHidden/>
          </w:rPr>
          <w:tab/>
        </w:r>
        <w:r w:rsidR="00054713">
          <w:rPr>
            <w:noProof/>
            <w:webHidden/>
          </w:rPr>
          <w:fldChar w:fldCharType="begin"/>
        </w:r>
        <w:r w:rsidR="00054713">
          <w:rPr>
            <w:noProof/>
            <w:webHidden/>
          </w:rPr>
          <w:instrText xml:space="preserve"> PAGEREF _Toc66194585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6F02B3EB" w14:textId="044A7541" w:rsidR="00054713" w:rsidRDefault="008B5063">
      <w:pPr>
        <w:pStyle w:val="TOC3"/>
        <w:tabs>
          <w:tab w:val="right" w:pos="10456"/>
        </w:tabs>
        <w:rPr>
          <w:rFonts w:eastAsiaTheme="minorEastAsia" w:cstheme="minorBidi"/>
          <w:noProof/>
          <w:sz w:val="22"/>
          <w:szCs w:val="22"/>
        </w:rPr>
      </w:pPr>
      <w:hyperlink w:anchor="_Toc66194586" w:history="1">
        <w:r w:rsidR="00054713" w:rsidRPr="008578A0">
          <w:rPr>
            <w:rStyle w:val="Hyperlink"/>
            <w:noProof/>
          </w:rPr>
          <w:t>Did Not Wait Rules.</w:t>
        </w:r>
        <w:r w:rsidR="00054713">
          <w:rPr>
            <w:noProof/>
            <w:webHidden/>
          </w:rPr>
          <w:tab/>
        </w:r>
        <w:r w:rsidR="00054713">
          <w:rPr>
            <w:noProof/>
            <w:webHidden/>
          </w:rPr>
          <w:fldChar w:fldCharType="begin"/>
        </w:r>
        <w:r w:rsidR="00054713">
          <w:rPr>
            <w:noProof/>
            <w:webHidden/>
          </w:rPr>
          <w:instrText xml:space="preserve"> PAGEREF _Toc66194586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55BD373B" w14:textId="6AB7184C" w:rsidR="00054713" w:rsidRDefault="008B5063">
      <w:pPr>
        <w:pStyle w:val="TOC3"/>
        <w:tabs>
          <w:tab w:val="right" w:pos="10456"/>
        </w:tabs>
        <w:rPr>
          <w:rFonts w:eastAsiaTheme="minorEastAsia" w:cstheme="minorBidi"/>
          <w:noProof/>
          <w:sz w:val="22"/>
          <w:szCs w:val="22"/>
        </w:rPr>
      </w:pPr>
      <w:hyperlink w:anchor="_Toc66194587" w:history="1">
        <w:r w:rsidR="00054713" w:rsidRPr="008578A0">
          <w:rPr>
            <w:rStyle w:val="Hyperlink"/>
            <w:noProof/>
          </w:rPr>
          <w:t>Did Not Wait Purchase Unit Allocation</w:t>
        </w:r>
        <w:r w:rsidR="00054713">
          <w:rPr>
            <w:noProof/>
            <w:webHidden/>
          </w:rPr>
          <w:tab/>
        </w:r>
        <w:r w:rsidR="00054713">
          <w:rPr>
            <w:noProof/>
            <w:webHidden/>
          </w:rPr>
          <w:fldChar w:fldCharType="begin"/>
        </w:r>
        <w:r w:rsidR="00054713">
          <w:rPr>
            <w:noProof/>
            <w:webHidden/>
          </w:rPr>
          <w:instrText xml:space="preserve"> PAGEREF _Toc66194587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56FCABD2" w14:textId="6FDD901D" w:rsidR="00054713" w:rsidRDefault="008B5063">
      <w:pPr>
        <w:pStyle w:val="TOC2"/>
        <w:tabs>
          <w:tab w:val="left" w:pos="660"/>
          <w:tab w:val="right" w:pos="10456"/>
        </w:tabs>
        <w:rPr>
          <w:rFonts w:eastAsiaTheme="minorEastAsia" w:cstheme="minorBidi"/>
          <w:i w:val="0"/>
          <w:iCs w:val="0"/>
          <w:noProof/>
          <w:sz w:val="22"/>
          <w:szCs w:val="22"/>
        </w:rPr>
      </w:pPr>
      <w:hyperlink w:anchor="_Toc66194588" w:history="1">
        <w:r w:rsidR="00054713" w:rsidRPr="008578A0">
          <w:rPr>
            <w:rStyle w:val="Hyperlink"/>
            <w:noProof/>
          </w:rPr>
          <w:t>18</w:t>
        </w:r>
        <w:r w:rsidR="00054713">
          <w:rPr>
            <w:rFonts w:eastAsiaTheme="minorEastAsia" w:cstheme="minorBidi"/>
            <w:i w:val="0"/>
            <w:iCs w:val="0"/>
            <w:noProof/>
            <w:sz w:val="22"/>
            <w:szCs w:val="22"/>
          </w:rPr>
          <w:tab/>
        </w:r>
        <w:r w:rsidR="00054713" w:rsidRPr="008578A0">
          <w:rPr>
            <w:rStyle w:val="Hyperlink"/>
            <w:noProof/>
          </w:rPr>
          <w:t>Abandoned</w:t>
        </w:r>
        <w:r w:rsidR="00054713">
          <w:rPr>
            <w:noProof/>
            <w:webHidden/>
          </w:rPr>
          <w:tab/>
        </w:r>
        <w:r w:rsidR="00054713">
          <w:rPr>
            <w:noProof/>
            <w:webHidden/>
          </w:rPr>
          <w:fldChar w:fldCharType="begin"/>
        </w:r>
        <w:r w:rsidR="00054713">
          <w:rPr>
            <w:noProof/>
            <w:webHidden/>
          </w:rPr>
          <w:instrText xml:space="preserve"> PAGEREF _Toc66194588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36588BE1" w14:textId="5742E0A7" w:rsidR="00054713" w:rsidRDefault="008B5063">
      <w:pPr>
        <w:pStyle w:val="TOC3"/>
        <w:tabs>
          <w:tab w:val="right" w:pos="10456"/>
        </w:tabs>
        <w:rPr>
          <w:rFonts w:eastAsiaTheme="minorEastAsia" w:cstheme="minorBidi"/>
          <w:noProof/>
          <w:sz w:val="22"/>
          <w:szCs w:val="22"/>
        </w:rPr>
      </w:pPr>
      <w:hyperlink w:anchor="_Toc66194589" w:history="1">
        <w:r w:rsidR="00054713" w:rsidRPr="008578A0">
          <w:rPr>
            <w:rStyle w:val="Hyperlink"/>
            <w:noProof/>
          </w:rPr>
          <w:t>Abandoned definition</w:t>
        </w:r>
        <w:r w:rsidR="00054713">
          <w:rPr>
            <w:noProof/>
            <w:webHidden/>
          </w:rPr>
          <w:tab/>
        </w:r>
        <w:r w:rsidR="00054713">
          <w:rPr>
            <w:noProof/>
            <w:webHidden/>
          </w:rPr>
          <w:fldChar w:fldCharType="begin"/>
        </w:r>
        <w:r w:rsidR="00054713">
          <w:rPr>
            <w:noProof/>
            <w:webHidden/>
          </w:rPr>
          <w:instrText xml:space="preserve"> PAGEREF _Toc66194589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7DFB027D" w14:textId="1D490744" w:rsidR="00054713" w:rsidRDefault="008B5063">
      <w:pPr>
        <w:pStyle w:val="TOC3"/>
        <w:tabs>
          <w:tab w:val="right" w:pos="10456"/>
        </w:tabs>
        <w:rPr>
          <w:rFonts w:eastAsiaTheme="minorEastAsia" w:cstheme="minorBidi"/>
          <w:noProof/>
          <w:sz w:val="22"/>
          <w:szCs w:val="22"/>
        </w:rPr>
      </w:pPr>
      <w:hyperlink w:anchor="_Toc66194590" w:history="1">
        <w:r w:rsidR="00054713" w:rsidRPr="008578A0">
          <w:rPr>
            <w:rStyle w:val="Hyperlink"/>
            <w:noProof/>
          </w:rPr>
          <w:t>Abandoned Rule</w:t>
        </w:r>
        <w:r w:rsidR="00054713">
          <w:rPr>
            <w:noProof/>
            <w:webHidden/>
          </w:rPr>
          <w:tab/>
        </w:r>
        <w:r w:rsidR="00054713">
          <w:rPr>
            <w:noProof/>
            <w:webHidden/>
          </w:rPr>
          <w:fldChar w:fldCharType="begin"/>
        </w:r>
        <w:r w:rsidR="00054713">
          <w:rPr>
            <w:noProof/>
            <w:webHidden/>
          </w:rPr>
          <w:instrText xml:space="preserve"> PAGEREF _Toc66194590 \h </w:instrText>
        </w:r>
        <w:r w:rsidR="00054713">
          <w:rPr>
            <w:noProof/>
            <w:webHidden/>
          </w:rPr>
        </w:r>
        <w:r w:rsidR="00054713">
          <w:rPr>
            <w:noProof/>
            <w:webHidden/>
          </w:rPr>
          <w:fldChar w:fldCharType="separate"/>
        </w:r>
        <w:r w:rsidR="008D47F3">
          <w:rPr>
            <w:noProof/>
            <w:webHidden/>
          </w:rPr>
          <w:t>20</w:t>
        </w:r>
        <w:r w:rsidR="00054713">
          <w:rPr>
            <w:noProof/>
            <w:webHidden/>
          </w:rPr>
          <w:fldChar w:fldCharType="end"/>
        </w:r>
      </w:hyperlink>
    </w:p>
    <w:p w14:paraId="219B67C1" w14:textId="7DEE3924" w:rsidR="00054713" w:rsidRDefault="008B5063">
      <w:pPr>
        <w:pStyle w:val="TOC2"/>
        <w:tabs>
          <w:tab w:val="right" w:pos="10456"/>
        </w:tabs>
        <w:rPr>
          <w:rFonts w:eastAsiaTheme="minorEastAsia" w:cstheme="minorBidi"/>
          <w:i w:val="0"/>
          <w:iCs w:val="0"/>
          <w:noProof/>
          <w:sz w:val="22"/>
          <w:szCs w:val="22"/>
        </w:rPr>
      </w:pPr>
      <w:hyperlink w:anchor="_Toc66194591" w:history="1">
        <w:r w:rsidR="00054713" w:rsidRPr="008578A0">
          <w:rPr>
            <w:rStyle w:val="Hyperlink"/>
            <w:noProof/>
          </w:rPr>
          <w:t>Appendix 1 - Unit of Measure Definitions</w:t>
        </w:r>
        <w:r w:rsidR="00054713">
          <w:rPr>
            <w:noProof/>
            <w:webHidden/>
          </w:rPr>
          <w:tab/>
        </w:r>
        <w:r w:rsidR="00054713">
          <w:rPr>
            <w:noProof/>
            <w:webHidden/>
          </w:rPr>
          <w:fldChar w:fldCharType="begin"/>
        </w:r>
        <w:r w:rsidR="00054713">
          <w:rPr>
            <w:noProof/>
            <w:webHidden/>
          </w:rPr>
          <w:instrText xml:space="preserve"> PAGEREF _Toc66194591 \h </w:instrText>
        </w:r>
        <w:r w:rsidR="00054713">
          <w:rPr>
            <w:noProof/>
            <w:webHidden/>
          </w:rPr>
        </w:r>
        <w:r w:rsidR="00054713">
          <w:rPr>
            <w:noProof/>
            <w:webHidden/>
          </w:rPr>
          <w:fldChar w:fldCharType="separate"/>
        </w:r>
        <w:r w:rsidR="008D47F3">
          <w:rPr>
            <w:noProof/>
            <w:webHidden/>
          </w:rPr>
          <w:t>21</w:t>
        </w:r>
        <w:r w:rsidR="00054713">
          <w:rPr>
            <w:noProof/>
            <w:webHidden/>
          </w:rPr>
          <w:fldChar w:fldCharType="end"/>
        </w:r>
      </w:hyperlink>
    </w:p>
    <w:p w14:paraId="61E811C8" w14:textId="726E3347" w:rsidR="00054713" w:rsidRDefault="008B5063">
      <w:pPr>
        <w:pStyle w:val="TOC2"/>
        <w:tabs>
          <w:tab w:val="right" w:pos="10456"/>
        </w:tabs>
        <w:rPr>
          <w:rFonts w:eastAsiaTheme="minorEastAsia" w:cstheme="minorBidi"/>
          <w:i w:val="0"/>
          <w:iCs w:val="0"/>
          <w:noProof/>
          <w:sz w:val="22"/>
          <w:szCs w:val="22"/>
        </w:rPr>
      </w:pPr>
      <w:hyperlink w:anchor="_Toc66194592" w:history="1">
        <w:r w:rsidR="00054713" w:rsidRPr="008578A0">
          <w:rPr>
            <w:rStyle w:val="Hyperlink"/>
            <w:noProof/>
          </w:rPr>
          <w:t>Appendix 2 Reporting Mode of Delivery</w:t>
        </w:r>
        <w:r w:rsidR="00054713">
          <w:rPr>
            <w:noProof/>
            <w:webHidden/>
          </w:rPr>
          <w:tab/>
        </w:r>
        <w:r w:rsidR="00054713">
          <w:rPr>
            <w:noProof/>
            <w:webHidden/>
          </w:rPr>
          <w:fldChar w:fldCharType="begin"/>
        </w:r>
        <w:r w:rsidR="00054713">
          <w:rPr>
            <w:noProof/>
            <w:webHidden/>
          </w:rPr>
          <w:instrText xml:space="preserve"> PAGEREF _Toc66194592 \h </w:instrText>
        </w:r>
        <w:r w:rsidR="00054713">
          <w:rPr>
            <w:noProof/>
            <w:webHidden/>
          </w:rPr>
        </w:r>
        <w:r w:rsidR="00054713">
          <w:rPr>
            <w:noProof/>
            <w:webHidden/>
          </w:rPr>
          <w:fldChar w:fldCharType="separate"/>
        </w:r>
        <w:r w:rsidR="008D47F3">
          <w:rPr>
            <w:noProof/>
            <w:webHidden/>
          </w:rPr>
          <w:t>24</w:t>
        </w:r>
        <w:r w:rsidR="00054713">
          <w:rPr>
            <w:noProof/>
            <w:webHidden/>
          </w:rPr>
          <w:fldChar w:fldCharType="end"/>
        </w:r>
      </w:hyperlink>
    </w:p>
    <w:p w14:paraId="540B4DAB" w14:textId="1EFF081D" w:rsidR="00C55E12" w:rsidRDefault="00C55E12" w:rsidP="00C55E12">
      <w:pPr>
        <w:tabs>
          <w:tab w:val="left" w:pos="6120"/>
        </w:tabs>
        <w:rPr>
          <w:rFonts w:asciiTheme="minorHAnsi" w:hAnsiTheme="minorHAnsi" w:cs="Arial"/>
          <w:bCs/>
          <w:color w:val="000000"/>
          <w:sz w:val="20"/>
          <w:szCs w:val="20"/>
          <w:u w:val="single"/>
        </w:rPr>
      </w:pPr>
      <w:r w:rsidRPr="00B9635D">
        <w:rPr>
          <w:rFonts w:cs="Arial"/>
          <w:bCs/>
          <w:color w:val="000000"/>
          <w:sz w:val="20"/>
          <w:szCs w:val="20"/>
          <w:u w:val="single"/>
        </w:rPr>
        <w:fldChar w:fldCharType="end"/>
      </w:r>
    </w:p>
    <w:p w14:paraId="0FFBD8BE" w14:textId="77777777" w:rsidR="00DE53F8" w:rsidRDefault="00DE53F8" w:rsidP="00C55E12"/>
    <w:p w14:paraId="36FFE920" w14:textId="77777777" w:rsidR="00DE53F8" w:rsidRDefault="00DE53F8">
      <w:pPr>
        <w:spacing w:after="160" w:line="259" w:lineRule="auto"/>
        <w:rPr>
          <w:b/>
        </w:rPr>
      </w:pPr>
      <w:r>
        <w:rPr>
          <w:b/>
        </w:rPr>
        <w:br w:type="page"/>
      </w:r>
    </w:p>
    <w:p w14:paraId="6AAC51E1" w14:textId="4BB6985C" w:rsidR="00CB6DBF" w:rsidRPr="005022EF" w:rsidRDefault="00CB6DBF" w:rsidP="00C55E12">
      <w:pPr>
        <w:rPr>
          <w:b/>
        </w:rPr>
      </w:pPr>
      <w:r w:rsidRPr="005022EF">
        <w:rPr>
          <w:b/>
        </w:rPr>
        <w:lastRenderedPageBreak/>
        <w:t>Change Log</w:t>
      </w:r>
    </w:p>
    <w:p w14:paraId="129F3317" w14:textId="77777777" w:rsidR="00DE53F8" w:rsidRDefault="00DE53F8" w:rsidP="00C55E12"/>
    <w:p w14:paraId="3B15E639" w14:textId="6670E30D" w:rsidR="001814F5" w:rsidRPr="001814F5" w:rsidRDefault="001814F5" w:rsidP="00DE53F8">
      <w:pPr>
        <w:rPr>
          <w:b/>
        </w:rPr>
      </w:pPr>
      <w:r w:rsidRPr="001814F5">
        <w:rPr>
          <w:b/>
        </w:rPr>
        <w:t>Version 1.1</w:t>
      </w:r>
      <w:r w:rsidR="00CD127F">
        <w:rPr>
          <w:b/>
        </w:rPr>
        <w:t>a</w:t>
      </w:r>
    </w:p>
    <w:p w14:paraId="3B43DA8D" w14:textId="13C348E2" w:rsidR="00686CC7" w:rsidRDefault="00CB6DBF" w:rsidP="00DE53F8">
      <w:r>
        <w:t>V1.1</w:t>
      </w:r>
      <w:r w:rsidR="00CD127F">
        <w:t>a</w:t>
      </w:r>
      <w:r>
        <w:t xml:space="preserve"> </w:t>
      </w:r>
      <w:r w:rsidR="0047710D">
        <w:t xml:space="preserve">Includes updates to the Telehealth counting rules </w:t>
      </w:r>
      <w:r w:rsidR="008F611F">
        <w:t>following the COVID-19 response,</w:t>
      </w:r>
      <w:r>
        <w:t xml:space="preserve"> an administrative update to align the counting standards with the National collect</w:t>
      </w:r>
      <w:r w:rsidR="00DE53F8">
        <w:t>ion rules, specifically those for</w:t>
      </w:r>
      <w:r>
        <w:t xml:space="preserve"> admission.</w:t>
      </w:r>
      <w:r w:rsidR="00D264B7">
        <w:t xml:space="preserve"> </w:t>
      </w:r>
    </w:p>
    <w:p w14:paraId="32EFB7AF" w14:textId="6F5216DC" w:rsidR="0072383E" w:rsidRDefault="0072383E" w:rsidP="00DE53F8">
      <w:r>
        <w:t>Changes have been made to</w:t>
      </w:r>
      <w:r w:rsidR="00DE53F8">
        <w:t xml:space="preserve"> sections</w:t>
      </w:r>
      <w:r w:rsidR="002545A6">
        <w:t>, for telehealth</w:t>
      </w:r>
      <w:r>
        <w:t>:</w:t>
      </w:r>
    </w:p>
    <w:p w14:paraId="0D9AD02A" w14:textId="637AEF2F" w:rsidR="000E6DEE" w:rsidRDefault="007C2FBE">
      <w:pPr>
        <w:ind w:firstLine="720"/>
      </w:pPr>
      <w:r>
        <w:t>2 l) Telehealth</w:t>
      </w:r>
      <w:r w:rsidR="000E6DEE">
        <w:t xml:space="preserve"> </w:t>
      </w:r>
      <w:r w:rsidR="00CA132F">
        <w:t>general rules</w:t>
      </w:r>
    </w:p>
    <w:p w14:paraId="5D0DADC6" w14:textId="10E47D2F" w:rsidR="00CA132F" w:rsidRDefault="000E6DEE">
      <w:pPr>
        <w:ind w:firstLine="720"/>
      </w:pPr>
      <w:r>
        <w:t>7</w:t>
      </w:r>
      <w:r w:rsidR="00127FC3">
        <w:t xml:space="preserve"> </w:t>
      </w:r>
      <w:r>
        <w:t>&amp;</w:t>
      </w:r>
      <w:r w:rsidR="00127FC3">
        <w:t xml:space="preserve"> </w:t>
      </w:r>
      <w:r>
        <w:t>9</w:t>
      </w:r>
      <w:r w:rsidR="00CA132F">
        <w:t xml:space="preserve"> FSA and FU</w:t>
      </w:r>
    </w:p>
    <w:p w14:paraId="0B669793" w14:textId="736E8EEA" w:rsidR="002545A6" w:rsidRDefault="00CA132F">
      <w:pPr>
        <w:ind w:firstLine="720"/>
      </w:pPr>
      <w:r>
        <w:t>8 &amp; 10 non-contact FSA and FU</w:t>
      </w:r>
      <w:r w:rsidR="007C2FBE">
        <w:t xml:space="preserve"> </w:t>
      </w:r>
    </w:p>
    <w:p w14:paraId="4791141B" w14:textId="1FA127E8" w:rsidR="00686CC7" w:rsidRDefault="00686CC7">
      <w:pPr>
        <w:ind w:firstLine="720"/>
      </w:pPr>
      <w:r>
        <w:t>Appendix 1 Unit of measure “contact”</w:t>
      </w:r>
      <w:r w:rsidR="00D76ACB">
        <w:t xml:space="preserve"> </w:t>
      </w:r>
    </w:p>
    <w:p w14:paraId="788F48FC" w14:textId="35242AF7" w:rsidR="002545A6" w:rsidRDefault="00127FC3">
      <w:pPr>
        <w:ind w:firstLine="720"/>
      </w:pPr>
      <w:r>
        <w:t>Appendix 2 Reporting Mode of Delivery</w:t>
      </w:r>
      <w:r w:rsidR="003B40D2">
        <w:t xml:space="preserve"> and examples</w:t>
      </w:r>
      <w:r>
        <w:t xml:space="preserve"> </w:t>
      </w:r>
    </w:p>
    <w:p w14:paraId="16C3B74D" w14:textId="77777777" w:rsidR="00127FC3" w:rsidRDefault="00127FC3">
      <w:pPr>
        <w:ind w:firstLine="720"/>
      </w:pPr>
    </w:p>
    <w:p w14:paraId="7542E431" w14:textId="08E6F1E5" w:rsidR="00FB314F" w:rsidRDefault="00FB314F" w:rsidP="005022EF">
      <w:r>
        <w:t>For alignment with National Collection rules:</w:t>
      </w:r>
    </w:p>
    <w:p w14:paraId="5A38ECCB" w14:textId="79D196B3" w:rsidR="0072383E" w:rsidRDefault="0072383E" w:rsidP="005022EF">
      <w:pPr>
        <w:ind w:firstLine="720"/>
      </w:pPr>
      <w:r>
        <w:t>1 Expanded the introduction</w:t>
      </w:r>
    </w:p>
    <w:p w14:paraId="28E229FE" w14:textId="77777777" w:rsidR="0072383E" w:rsidRDefault="0072383E" w:rsidP="005022EF">
      <w:pPr>
        <w:ind w:firstLine="720"/>
      </w:pPr>
      <w:r>
        <w:t>2 a) aligned with NMDS</w:t>
      </w:r>
    </w:p>
    <w:p w14:paraId="476515CD" w14:textId="7230FEEE" w:rsidR="00801650" w:rsidRDefault="0072383E" w:rsidP="005022EF">
      <w:pPr>
        <w:ind w:firstLine="720"/>
      </w:pPr>
      <w:r>
        <w:t>2 f) expanded to include NBRS and NPF</w:t>
      </w:r>
      <w:r w:rsidR="00691579">
        <w:t xml:space="preserve"> </w:t>
      </w:r>
    </w:p>
    <w:p w14:paraId="4A238205" w14:textId="77777777" w:rsidR="0072383E" w:rsidRDefault="0072383E" w:rsidP="005022EF">
      <w:pPr>
        <w:ind w:firstLine="720"/>
      </w:pPr>
      <w:r>
        <w:t xml:space="preserve">3 Alignment with National Collections rules, and clarification </w:t>
      </w:r>
    </w:p>
    <w:p w14:paraId="65B758BA" w14:textId="77777777" w:rsidR="00DE53F8" w:rsidRDefault="0072383E" w:rsidP="005022EF">
      <w:pPr>
        <w:ind w:firstLine="720"/>
      </w:pPr>
      <w:r>
        <w:t>4 Update of health practitioner</w:t>
      </w:r>
      <w:r w:rsidR="00DE53F8">
        <w:t>s</w:t>
      </w:r>
      <w:r>
        <w:t xml:space="preserve"> involved</w:t>
      </w:r>
      <w:r w:rsidR="00DE53F8">
        <w:t xml:space="preserve"> in AAU</w:t>
      </w:r>
    </w:p>
    <w:p w14:paraId="50AF6C37" w14:textId="0A9BBF89" w:rsidR="00C55E12" w:rsidRDefault="00DE53F8" w:rsidP="005022EF">
      <w:pPr>
        <w:ind w:firstLine="720"/>
      </w:pPr>
      <w:r>
        <w:t>6 ED attendance counting rules aligned with National Collection rules</w:t>
      </w:r>
      <w:r w:rsidR="00C55E12">
        <w:br w:type="page"/>
      </w:r>
    </w:p>
    <w:p w14:paraId="74D764AD" w14:textId="77777777" w:rsidR="00C55E12" w:rsidRPr="002414AA" w:rsidRDefault="00C55E12" w:rsidP="00C55E12">
      <w:pPr>
        <w:pStyle w:val="Heading1"/>
      </w:pPr>
      <w:bookmarkStart w:id="0" w:name="_Toc340052525"/>
      <w:bookmarkStart w:id="1" w:name="_Toc66194514"/>
      <w:r w:rsidRPr="002414AA">
        <w:lastRenderedPageBreak/>
        <w:t>Introduction</w:t>
      </w:r>
      <w:bookmarkEnd w:id="0"/>
      <w:bookmarkEnd w:id="1"/>
    </w:p>
    <w:p w14:paraId="063E33DE" w14:textId="77777777" w:rsidR="00C55E12" w:rsidRPr="00A643F4" w:rsidRDefault="00C55E12" w:rsidP="00C55E12">
      <w:pPr>
        <w:pStyle w:val="Heading2"/>
      </w:pPr>
      <w:bookmarkStart w:id="2" w:name="_Toc340052526"/>
      <w:bookmarkStart w:id="3" w:name="_Toc66194515"/>
      <w:r w:rsidRPr="000B1432">
        <w:t>Purpose</w:t>
      </w:r>
      <w:r w:rsidRPr="00A643F4">
        <w:t xml:space="preserve"> of the </w:t>
      </w:r>
      <w:r>
        <w:t xml:space="preserve">Common Counting </w:t>
      </w:r>
      <w:r w:rsidRPr="00A643F4">
        <w:t>Standards</w:t>
      </w:r>
      <w:bookmarkEnd w:id="2"/>
      <w:bookmarkEnd w:id="3"/>
    </w:p>
    <w:p w14:paraId="1B58783C" w14:textId="0D1B1510" w:rsidR="00C55E12" w:rsidRDefault="00C55E12" w:rsidP="00547A87">
      <w:pPr>
        <w:spacing w:before="120"/>
      </w:pPr>
      <w:r w:rsidRPr="009F2C20">
        <w:t xml:space="preserve">The </w:t>
      </w:r>
      <w:r w:rsidR="004E030D">
        <w:t>c</w:t>
      </w:r>
      <w:r w:rsidRPr="009F2C20">
        <w:t xml:space="preserve">ommon </w:t>
      </w:r>
      <w:r w:rsidR="004E030D">
        <w:t>c</w:t>
      </w:r>
      <w:r w:rsidRPr="009F2C20">
        <w:t>oun</w:t>
      </w:r>
      <w:r>
        <w:t xml:space="preserve">ting </w:t>
      </w:r>
      <w:r w:rsidR="0036636A">
        <w:t>standards</w:t>
      </w:r>
      <w:r>
        <w:t xml:space="preserve"> (the Standards) 2013/14 were </w:t>
      </w:r>
      <w:r w:rsidR="0036636A">
        <w:t>developed</w:t>
      </w:r>
      <w:r>
        <w:t xml:space="preserve"> by</w:t>
      </w:r>
      <w:r w:rsidRPr="009F2C20">
        <w:t xml:space="preserve"> the </w:t>
      </w:r>
      <w:r w:rsidR="004E030D">
        <w:t>c</w:t>
      </w:r>
      <w:r w:rsidRPr="009F2C20">
        <w:t xml:space="preserve">ommon </w:t>
      </w:r>
      <w:r w:rsidR="004E030D">
        <w:t>c</w:t>
      </w:r>
      <w:r w:rsidRPr="009F2C20">
        <w:t xml:space="preserve">ounting </w:t>
      </w:r>
      <w:r w:rsidR="004E030D">
        <w:t>t</w:t>
      </w:r>
      <w:r w:rsidRPr="009F2C20">
        <w:t xml:space="preserve">echnical </w:t>
      </w:r>
      <w:r w:rsidR="004E030D">
        <w:t>a</w:t>
      </w:r>
      <w:r w:rsidRPr="009F2C20">
        <w:t xml:space="preserve">dvisory </w:t>
      </w:r>
      <w:r w:rsidR="004E030D">
        <w:t>g</w:t>
      </w:r>
      <w:r w:rsidRPr="009F2C20">
        <w:t>roup</w:t>
      </w:r>
      <w:r>
        <w:rPr>
          <w:rStyle w:val="FootnoteReference"/>
          <w:rFonts w:eastAsiaTheme="majorEastAsia"/>
        </w:rPr>
        <w:footnoteReference w:id="2"/>
      </w:r>
      <w:r>
        <w:t xml:space="preserve"> </w:t>
      </w:r>
      <w:r w:rsidRPr="009F2C20">
        <w:t xml:space="preserve">(CCTAG) </w:t>
      </w:r>
      <w:r w:rsidR="0036636A">
        <w:t xml:space="preserve">at the request of </w:t>
      </w:r>
      <w:r>
        <w:t>the Ministry of Health</w:t>
      </w:r>
      <w:r w:rsidRPr="009F2C20">
        <w:t xml:space="preserve"> for use in the New Zealand public health and disability sector</w:t>
      </w:r>
      <w:r w:rsidR="008F7F5C">
        <w:t>.</w:t>
      </w:r>
    </w:p>
    <w:p w14:paraId="7BBCEF0E" w14:textId="2E0A77E6" w:rsidR="00C55E12" w:rsidRDefault="00C55E12" w:rsidP="00547A87">
      <w:pPr>
        <w:spacing w:before="120"/>
      </w:pPr>
      <w:r w:rsidRPr="00911825">
        <w:t>The</w:t>
      </w:r>
      <w:r>
        <w:t>se</w:t>
      </w:r>
      <w:r w:rsidRPr="00911825">
        <w:t xml:space="preserve"> Standards are a mandatory</w:t>
      </w:r>
      <w:r w:rsidR="008F7F5C">
        <w:t xml:space="preserve"> </w:t>
      </w:r>
      <w:r w:rsidRPr="00911825">
        <w:t xml:space="preserve">component </w:t>
      </w:r>
      <w:r>
        <w:t>of</w:t>
      </w:r>
      <w:r w:rsidRPr="00911825">
        <w:t xml:space="preserve"> the </w:t>
      </w:r>
      <w:r w:rsidR="008D0EDD">
        <w:t>n</w:t>
      </w:r>
      <w:r>
        <w:t xml:space="preserve">ationwide </w:t>
      </w:r>
      <w:r w:rsidR="008D0EDD">
        <w:t>s</w:t>
      </w:r>
      <w:r>
        <w:t xml:space="preserve">ervice </w:t>
      </w:r>
      <w:r w:rsidR="008D0EDD">
        <w:t>f</w:t>
      </w:r>
      <w:r>
        <w:t xml:space="preserve">ramework </w:t>
      </w:r>
      <w:r w:rsidR="008D0EDD">
        <w:t xml:space="preserve">that is </w:t>
      </w:r>
      <w:r>
        <w:t xml:space="preserve">described in the </w:t>
      </w:r>
      <w:r w:rsidR="008D0EDD">
        <w:t>crown funding agreement’s o</w:t>
      </w:r>
      <w:r w:rsidRPr="00911825">
        <w:t>pe</w:t>
      </w:r>
      <w:r>
        <w:t xml:space="preserve">rational </w:t>
      </w:r>
      <w:r w:rsidR="008D0EDD">
        <w:t>p</w:t>
      </w:r>
      <w:r>
        <w:t xml:space="preserve">olicy </w:t>
      </w:r>
      <w:r w:rsidR="008D0EDD">
        <w:t>f</w:t>
      </w:r>
      <w:r>
        <w:t>ramework</w:t>
      </w:r>
      <w:r>
        <w:rPr>
          <w:rStyle w:val="FootnoteReference"/>
          <w:rFonts w:eastAsiaTheme="majorEastAsia"/>
        </w:rPr>
        <w:footnoteReference w:id="3"/>
      </w:r>
      <w:r>
        <w:t xml:space="preserve"> (OPF). The Standards</w:t>
      </w:r>
      <w:r w:rsidRPr="009F2C20">
        <w:t xml:space="preserve"> </w:t>
      </w:r>
      <w:r>
        <w:t xml:space="preserve">align where relevant, to the </w:t>
      </w:r>
      <w:r w:rsidRPr="00DA3C07">
        <w:rPr>
          <w:iCs/>
        </w:rPr>
        <w:t>current version</w:t>
      </w:r>
      <w:r w:rsidRPr="004973E7">
        <w:t xml:space="preserve"> of the </w:t>
      </w:r>
      <w:r w:rsidR="004E030D" w:rsidRPr="004E030D">
        <w:t>national collection</w:t>
      </w:r>
      <w:r w:rsidR="004E030D">
        <w:t>s’</w:t>
      </w:r>
      <w:r w:rsidR="004E030D" w:rsidRPr="004E030D">
        <w:t xml:space="preserve"> </w:t>
      </w:r>
      <w:r w:rsidR="008D0EDD">
        <w:t>d</w:t>
      </w:r>
      <w:r w:rsidRPr="004973E7">
        <w:t xml:space="preserve">ata </w:t>
      </w:r>
      <w:r w:rsidR="008D0EDD">
        <w:t>d</w:t>
      </w:r>
      <w:r w:rsidRPr="004973E7">
        <w:t>ictionar</w:t>
      </w:r>
      <w:r w:rsidR="004E030D">
        <w:t>ies</w:t>
      </w:r>
      <w:r w:rsidRPr="004973E7">
        <w:t xml:space="preserve"> or </w:t>
      </w:r>
      <w:r w:rsidR="008D0EDD">
        <w:t>c</w:t>
      </w:r>
      <w:r w:rsidRPr="004973E7">
        <w:t xml:space="preserve">ode </w:t>
      </w:r>
      <w:r w:rsidR="008D0EDD">
        <w:t>s</w:t>
      </w:r>
      <w:r w:rsidRPr="004973E7">
        <w:t>et/</w:t>
      </w:r>
      <w:r w:rsidR="008D0EDD">
        <w:t>d</w:t>
      </w:r>
      <w:r w:rsidRPr="004973E7">
        <w:t xml:space="preserve">ata </w:t>
      </w:r>
      <w:r w:rsidR="008D0EDD">
        <w:t>s</w:t>
      </w:r>
      <w:r w:rsidRPr="004973E7">
        <w:t xml:space="preserve">et </w:t>
      </w:r>
      <w:r w:rsidR="004E030D">
        <w:t xml:space="preserve">that </w:t>
      </w:r>
      <w:r w:rsidRPr="004973E7">
        <w:t>published for each national collection</w:t>
      </w:r>
      <w:r w:rsidR="004E030D">
        <w:t>. This</w:t>
      </w:r>
      <w:r w:rsidRPr="004973E7">
        <w:t xml:space="preserve"> </w:t>
      </w:r>
      <w:r w:rsidR="004E030D" w:rsidRPr="004973E7">
        <w:t>ensure</w:t>
      </w:r>
      <w:r w:rsidR="004E030D">
        <w:t xml:space="preserve">s </w:t>
      </w:r>
      <w:r w:rsidRPr="004973E7">
        <w:t xml:space="preserve">all data definitions </w:t>
      </w:r>
      <w:r w:rsidR="004E030D">
        <w:t xml:space="preserve">that are </w:t>
      </w:r>
      <w:r w:rsidRPr="004973E7">
        <w:t>used directly correspond with the national stan</w:t>
      </w:r>
      <w:r>
        <w:t xml:space="preserve">dard data definitions issued by the Ministry. </w:t>
      </w:r>
    </w:p>
    <w:p w14:paraId="1A2BE493" w14:textId="2A567103" w:rsidR="00C55E12" w:rsidRPr="009F2C20" w:rsidRDefault="00C55E12" w:rsidP="00547A87">
      <w:pPr>
        <w:spacing w:before="120"/>
      </w:pPr>
      <w:r>
        <w:t xml:space="preserve">The Standards are used to support consistency of counting </w:t>
      </w:r>
      <w:r w:rsidR="002A7773">
        <w:t xml:space="preserve">of mostly </w:t>
      </w:r>
      <w:r>
        <w:t>hospital service activity and describe</w:t>
      </w:r>
      <w:r w:rsidRPr="009F2C20">
        <w:t xml:space="preserve"> how health activity </w:t>
      </w:r>
      <w:r>
        <w:t>is</w:t>
      </w:r>
      <w:r w:rsidRPr="009F2C20">
        <w:t xml:space="preserve"> defined</w:t>
      </w:r>
      <w:r>
        <w:t>,</w:t>
      </w:r>
      <w:r w:rsidRPr="009F2C20">
        <w:t xml:space="preserve"> </w:t>
      </w:r>
      <w:proofErr w:type="gramStart"/>
      <w:r w:rsidRPr="009F2C20">
        <w:t>measured</w:t>
      </w:r>
      <w:proofErr w:type="gramEnd"/>
      <w:r w:rsidRPr="009F2C20">
        <w:t xml:space="preserve"> and counted to support the planning of health and disability services</w:t>
      </w:r>
      <w:r>
        <w:t>. The</w:t>
      </w:r>
      <w:r w:rsidRPr="009F2C20">
        <w:t xml:space="preserve"> Standards </w:t>
      </w:r>
      <w:r>
        <w:t>support</w:t>
      </w:r>
      <w:r w:rsidRPr="009F2C20">
        <w:t xml:space="preserve"> funding and costing decisions</w:t>
      </w:r>
      <w:r>
        <w:t xml:space="preserve"> and they </w:t>
      </w:r>
      <w:r w:rsidRPr="009F2C20">
        <w:t>contribute towards a s</w:t>
      </w:r>
      <w:r>
        <w:t xml:space="preserve">ound platform from which DHB </w:t>
      </w:r>
      <w:r w:rsidR="008D0EDD">
        <w:t>i</w:t>
      </w:r>
      <w:r>
        <w:t>nter-</w:t>
      </w:r>
      <w:r w:rsidR="008D0EDD">
        <w:t>d</w:t>
      </w:r>
      <w:r w:rsidRPr="009F2C20">
        <w:t xml:space="preserve">istrict </w:t>
      </w:r>
      <w:r w:rsidR="008D0EDD">
        <w:t>f</w:t>
      </w:r>
      <w:r w:rsidRPr="009F2C20">
        <w:t>low (IDF) pricing can be derived.</w:t>
      </w:r>
      <w:r>
        <w:t xml:space="preserve"> </w:t>
      </w:r>
      <w:r w:rsidRPr="009F2C20">
        <w:t xml:space="preserve">They </w:t>
      </w:r>
      <w:r>
        <w:t>provide</w:t>
      </w:r>
      <w:r w:rsidRPr="009F2C20">
        <w:t xml:space="preserve"> </w:t>
      </w:r>
      <w:r>
        <w:t xml:space="preserve">examples and </w:t>
      </w:r>
      <w:r w:rsidRPr="009F2C20">
        <w:t>clear business rules for a consistent approach when using e</w:t>
      </w:r>
      <w:r>
        <w:t xml:space="preserve">xisting purchase unit codes (PUCs) </w:t>
      </w:r>
      <w:r w:rsidRPr="009F2C20">
        <w:t>from the Pu</w:t>
      </w:r>
      <w:r>
        <w:t xml:space="preserve">rchase Unit Data Dictionary (PUDD), </w:t>
      </w:r>
      <w:r w:rsidRPr="009F2C20">
        <w:t xml:space="preserve">and </w:t>
      </w:r>
      <w:r>
        <w:t xml:space="preserve">when </w:t>
      </w:r>
      <w:r w:rsidRPr="009F2C20">
        <w:t>de</w:t>
      </w:r>
      <w:r>
        <w:t>veloping new PUCs.</w:t>
      </w:r>
    </w:p>
    <w:p w14:paraId="20EC91E1" w14:textId="77777777" w:rsidR="00C55E12" w:rsidRPr="009F2C20" w:rsidRDefault="00C55E12" w:rsidP="00547A87">
      <w:pPr>
        <w:spacing w:before="120"/>
      </w:pPr>
      <w:r>
        <w:t>The main objectives of the S</w:t>
      </w:r>
      <w:r w:rsidRPr="009F2C20">
        <w:t>tandards are to:</w:t>
      </w:r>
    </w:p>
    <w:p w14:paraId="2EA51A3D" w14:textId="77777777" w:rsidR="00C55E12" w:rsidRPr="000B1432" w:rsidRDefault="00C55E12" w:rsidP="00C55E12">
      <w:pPr>
        <w:pStyle w:val="BulletNormal"/>
        <w:rPr>
          <w:rStyle w:val="Strong"/>
          <w:b w:val="0"/>
        </w:rPr>
      </w:pPr>
      <w:r w:rsidRPr="000B1432">
        <w:rPr>
          <w:rStyle w:val="Strong"/>
          <w:b w:val="0"/>
        </w:rPr>
        <w:t xml:space="preserve">ensure that similar health activities can be </w:t>
      </w:r>
      <w:r>
        <w:rPr>
          <w:rStyle w:val="Strong"/>
          <w:b w:val="0"/>
        </w:rPr>
        <w:t>consistently</w:t>
      </w:r>
      <w:r w:rsidRPr="000B1432">
        <w:rPr>
          <w:rStyle w:val="Strong"/>
          <w:b w:val="0"/>
        </w:rPr>
        <w:t xml:space="preserve"> counted and compared across the health sector</w:t>
      </w:r>
      <w:r>
        <w:rPr>
          <w:rStyle w:val="Strong"/>
          <w:b w:val="0"/>
        </w:rPr>
        <w:t xml:space="preserve"> to support benchmarking</w:t>
      </w:r>
    </w:p>
    <w:p w14:paraId="0EEC642A" w14:textId="77777777" w:rsidR="00C55E12" w:rsidRPr="000B1432" w:rsidRDefault="00C55E12" w:rsidP="00C55E12">
      <w:pPr>
        <w:pStyle w:val="BulletNormal"/>
        <w:rPr>
          <w:rStyle w:val="Strong"/>
          <w:b w:val="0"/>
        </w:rPr>
      </w:pPr>
      <w:r>
        <w:rPr>
          <w:rStyle w:val="Strong"/>
          <w:b w:val="0"/>
        </w:rPr>
        <w:t xml:space="preserve">clarify and </w:t>
      </w:r>
      <w:r w:rsidRPr="000B1432">
        <w:rPr>
          <w:rStyle w:val="Strong"/>
          <w:b w:val="0"/>
        </w:rPr>
        <w:t xml:space="preserve">consolidate the definitions for each set of counting rules within each visit type </w:t>
      </w:r>
    </w:p>
    <w:p w14:paraId="1DCB561C" w14:textId="77777777" w:rsidR="00C55E12" w:rsidRPr="00B9117C" w:rsidRDefault="00C55E12" w:rsidP="00C55E12">
      <w:pPr>
        <w:pStyle w:val="BulletNormal"/>
      </w:pPr>
      <w:r w:rsidRPr="009F2C20">
        <w:t xml:space="preserve">consistent differentiation of service measurement to </w:t>
      </w:r>
      <w:r>
        <w:t>support</w:t>
      </w:r>
      <w:r w:rsidRPr="009F2C20">
        <w:t xml:space="preserve"> thor</w:t>
      </w:r>
      <w:r>
        <w:t>ough analysis across the sector</w:t>
      </w:r>
    </w:p>
    <w:p w14:paraId="1CB32227" w14:textId="77777777" w:rsidR="00C55E12" w:rsidRPr="005E4D0A" w:rsidRDefault="00C55E12" w:rsidP="00C55E12">
      <w:pPr>
        <w:pStyle w:val="BulletNormal"/>
        <w:numPr>
          <w:ilvl w:val="0"/>
          <w:numId w:val="0"/>
        </w:numPr>
        <w:rPr>
          <w:bCs/>
        </w:rPr>
      </w:pPr>
      <w:r>
        <w:rPr>
          <w:bCs/>
        </w:rPr>
        <w:t>The Standards support:</w:t>
      </w:r>
    </w:p>
    <w:p w14:paraId="1F31EB91" w14:textId="77777777" w:rsidR="00C55E12" w:rsidRPr="005E4D0A" w:rsidRDefault="00C55E12" w:rsidP="00C55E12">
      <w:pPr>
        <w:pStyle w:val="BulletNormal"/>
        <w:rPr>
          <w:bCs/>
        </w:rPr>
      </w:pPr>
      <w:r w:rsidRPr="009F2C20">
        <w:t>integrated service management</w:t>
      </w:r>
    </w:p>
    <w:p w14:paraId="5926D265" w14:textId="77777777" w:rsidR="00C55E12" w:rsidRPr="005E4D0A" w:rsidRDefault="00C55E12" w:rsidP="00C55E12">
      <w:pPr>
        <w:pStyle w:val="BulletNormal"/>
        <w:rPr>
          <w:bCs/>
        </w:rPr>
      </w:pPr>
      <w:r w:rsidRPr="009F2C20">
        <w:t>regionalisation of services</w:t>
      </w:r>
    </w:p>
    <w:p w14:paraId="416259CA" w14:textId="513A47B8" w:rsidR="00C55E12" w:rsidRPr="009F2C20" w:rsidRDefault="00C55E12" w:rsidP="00C55E12">
      <w:pPr>
        <w:pStyle w:val="BulletNormal"/>
      </w:pPr>
      <w:r w:rsidRPr="009F2C20">
        <w:t>improv</w:t>
      </w:r>
      <w:r>
        <w:t>ing</w:t>
      </w:r>
      <w:r w:rsidRPr="009F2C20">
        <w:t xml:space="preserve"> the link betwe</w:t>
      </w:r>
      <w:r>
        <w:t>en non-financial information (e</w:t>
      </w:r>
      <w:r w:rsidRPr="009F2C20">
        <w:t>g</w:t>
      </w:r>
      <w:r>
        <w:t>,</w:t>
      </w:r>
      <w:r w:rsidRPr="009F2C20">
        <w:t xml:space="preserve"> service code definitions) and financial information </w:t>
      </w:r>
      <w:r w:rsidR="004E030D">
        <w:t>such as</w:t>
      </w:r>
      <w:r w:rsidRPr="009F2C20">
        <w:t xml:space="preserve"> costing systems and pricing of health and disability services</w:t>
      </w:r>
      <w:r w:rsidR="004E030D">
        <w:t>.</w:t>
      </w:r>
    </w:p>
    <w:p w14:paraId="3638A38E" w14:textId="781B6CF1" w:rsidR="00C55E12" w:rsidRDefault="00C55E12" w:rsidP="00C55E12">
      <w:r w:rsidRPr="009F2C20">
        <w:t xml:space="preserve">There are some areas of the </w:t>
      </w:r>
      <w:r w:rsidR="004E030D">
        <w:t>S</w:t>
      </w:r>
      <w:r w:rsidRPr="009F2C20">
        <w:t>tandards that need further work to achieve an agreed consistent approach.</w:t>
      </w:r>
      <w:r>
        <w:t xml:space="preserve"> </w:t>
      </w:r>
    </w:p>
    <w:p w14:paraId="14C91FA7" w14:textId="77777777" w:rsidR="00C55E12" w:rsidRDefault="00C55E12" w:rsidP="00C55E12">
      <w:pPr>
        <w:sectPr w:rsidR="00C55E12" w:rsidSect="00C55E12">
          <w:footerReference w:type="even" r:id="rId9"/>
          <w:footerReference w:type="default" r:id="rId10"/>
          <w:pgSz w:w="11906" w:h="16838"/>
          <w:pgMar w:top="720" w:right="720" w:bottom="720" w:left="720" w:header="709" w:footer="709" w:gutter="0"/>
          <w:cols w:space="708"/>
          <w:titlePg/>
          <w:docGrid w:linePitch="360"/>
        </w:sectPr>
      </w:pPr>
    </w:p>
    <w:tbl>
      <w:tblPr>
        <w:tblpPr w:leftFromText="180" w:rightFromText="180" w:vertAnchor="text" w:tblpY="-107"/>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712"/>
        <w:gridCol w:w="4961"/>
      </w:tblGrid>
      <w:tr w:rsidR="00CD035D" w:rsidRPr="00E7396C" w14:paraId="4B22F8D5" w14:textId="77777777" w:rsidTr="00CD035D">
        <w:trPr>
          <w:cantSplit/>
          <w:tblHeader/>
        </w:trPr>
        <w:tc>
          <w:tcPr>
            <w:tcW w:w="3240" w:type="dxa"/>
            <w:shd w:val="clear" w:color="auto" w:fill="E6E6E6"/>
          </w:tcPr>
          <w:p w14:paraId="2415415A" w14:textId="77777777" w:rsidR="00CD035D" w:rsidRPr="006D5EC6" w:rsidRDefault="00CD035D" w:rsidP="00CD035D">
            <w:pPr>
              <w:autoSpaceDE w:val="0"/>
              <w:autoSpaceDN w:val="0"/>
              <w:adjustRightInd w:val="0"/>
              <w:spacing w:before="120" w:line="240" w:lineRule="atLeast"/>
              <w:rPr>
                <w:rFonts w:cs="Arial"/>
                <w:b/>
                <w:iCs/>
                <w:color w:val="000000"/>
                <w:szCs w:val="22"/>
              </w:rPr>
            </w:pPr>
            <w:bookmarkStart w:id="4" w:name="_Toc340052527"/>
            <w:r>
              <w:rPr>
                <w:rFonts w:cs="Arial"/>
                <w:b/>
                <w:iCs/>
                <w:color w:val="000000"/>
                <w:szCs w:val="22"/>
              </w:rPr>
              <w:lastRenderedPageBreak/>
              <w:t>Document/Collections</w:t>
            </w:r>
            <w:r w:rsidRPr="006D5EC6">
              <w:rPr>
                <w:rFonts w:cs="Arial"/>
                <w:b/>
                <w:iCs/>
                <w:color w:val="000000"/>
                <w:szCs w:val="22"/>
              </w:rPr>
              <w:t xml:space="preserve"> </w:t>
            </w:r>
          </w:p>
        </w:tc>
        <w:tc>
          <w:tcPr>
            <w:tcW w:w="6712" w:type="dxa"/>
            <w:shd w:val="clear" w:color="auto" w:fill="E6E6E6"/>
          </w:tcPr>
          <w:p w14:paraId="5E78D51D" w14:textId="052539C4" w:rsidR="00CD035D" w:rsidRPr="006D5EC6" w:rsidRDefault="00CD035D" w:rsidP="00CD035D">
            <w:pPr>
              <w:autoSpaceDE w:val="0"/>
              <w:autoSpaceDN w:val="0"/>
              <w:adjustRightInd w:val="0"/>
              <w:spacing w:before="120" w:line="240" w:lineRule="atLeast"/>
              <w:rPr>
                <w:rFonts w:cs="Arial"/>
                <w:b/>
                <w:iCs/>
                <w:color w:val="000000"/>
                <w:szCs w:val="22"/>
              </w:rPr>
            </w:pPr>
            <w:r>
              <w:rPr>
                <w:rFonts w:cs="Arial"/>
                <w:b/>
                <w:iCs/>
                <w:color w:val="000000"/>
                <w:szCs w:val="22"/>
              </w:rPr>
              <w:t>Purpose</w:t>
            </w:r>
          </w:p>
        </w:tc>
        <w:tc>
          <w:tcPr>
            <w:tcW w:w="4961" w:type="dxa"/>
            <w:shd w:val="clear" w:color="auto" w:fill="E6E6E6"/>
          </w:tcPr>
          <w:p w14:paraId="5C9494F2" w14:textId="77777777" w:rsidR="00CD035D" w:rsidRPr="00E7396C" w:rsidRDefault="00CD035D" w:rsidP="00CD035D">
            <w:pPr>
              <w:autoSpaceDE w:val="0"/>
              <w:autoSpaceDN w:val="0"/>
              <w:adjustRightInd w:val="0"/>
              <w:spacing w:before="120" w:line="240" w:lineRule="atLeast"/>
              <w:rPr>
                <w:rFonts w:cs="Arial"/>
                <w:b/>
                <w:iCs/>
                <w:color w:val="000000"/>
                <w:szCs w:val="22"/>
              </w:rPr>
            </w:pPr>
            <w:r>
              <w:rPr>
                <w:rFonts w:cs="Arial"/>
                <w:b/>
                <w:iCs/>
                <w:color w:val="000000"/>
                <w:szCs w:val="22"/>
              </w:rPr>
              <w:t>Document link</w:t>
            </w:r>
          </w:p>
        </w:tc>
      </w:tr>
      <w:tr w:rsidR="00CD035D" w:rsidRPr="00E7396C" w14:paraId="2AC661EB" w14:textId="77777777" w:rsidTr="00CD035D">
        <w:trPr>
          <w:cantSplit/>
        </w:trPr>
        <w:tc>
          <w:tcPr>
            <w:tcW w:w="3240" w:type="dxa"/>
          </w:tcPr>
          <w:p w14:paraId="17B0D2F5" w14:textId="7B962096" w:rsidR="00CD035D" w:rsidRPr="001825B5" w:rsidRDefault="00CD035D" w:rsidP="00CD035D">
            <w:pPr>
              <w:spacing w:before="20" w:after="20"/>
              <w:rPr>
                <w:szCs w:val="22"/>
              </w:rPr>
            </w:pPr>
            <w:r w:rsidRPr="007327B8">
              <w:rPr>
                <w:szCs w:val="22"/>
              </w:rPr>
              <w:t xml:space="preserve">Common </w:t>
            </w:r>
            <w:r>
              <w:rPr>
                <w:szCs w:val="22"/>
              </w:rPr>
              <w:t>c</w:t>
            </w:r>
            <w:r w:rsidRPr="007327B8">
              <w:rPr>
                <w:szCs w:val="22"/>
              </w:rPr>
              <w:t xml:space="preserve">osting </w:t>
            </w:r>
            <w:r>
              <w:rPr>
                <w:szCs w:val="22"/>
              </w:rPr>
              <w:t>guidelines</w:t>
            </w:r>
          </w:p>
        </w:tc>
        <w:tc>
          <w:tcPr>
            <w:tcW w:w="6712" w:type="dxa"/>
          </w:tcPr>
          <w:p w14:paraId="7599B0BB" w14:textId="13506B72" w:rsidR="00CD035D" w:rsidRPr="001825B5" w:rsidRDefault="00CD035D" w:rsidP="00CD035D">
            <w:pPr>
              <w:spacing w:before="20" w:after="20"/>
              <w:rPr>
                <w:szCs w:val="22"/>
              </w:rPr>
            </w:pPr>
            <w:r>
              <w:rPr>
                <w:szCs w:val="22"/>
              </w:rPr>
              <w:t>Provides information on products that DHBs choose to allocate costs to patients’ events, the type of costs that are allocated to each product.</w:t>
            </w:r>
          </w:p>
        </w:tc>
        <w:tc>
          <w:tcPr>
            <w:tcW w:w="4961" w:type="dxa"/>
          </w:tcPr>
          <w:p w14:paraId="241DEAD3" w14:textId="0F36A186" w:rsidR="00CD035D" w:rsidRPr="001825B5" w:rsidRDefault="008B5063" w:rsidP="00CD035D">
            <w:pPr>
              <w:spacing w:before="20" w:after="20"/>
              <w:rPr>
                <w:szCs w:val="22"/>
              </w:rPr>
            </w:pPr>
            <w:hyperlink r:id="rId11" w:history="1">
              <w:r w:rsidR="00CD035D" w:rsidRPr="00072050">
                <w:rPr>
                  <w:rStyle w:val="Hyperlink"/>
                </w:rPr>
                <w:t>nsfl.health.govt.nz/accountability/financial-standards-and-guidelines</w:t>
              </w:r>
            </w:hyperlink>
            <w:r w:rsidR="00CD035D" w:rsidRPr="001825B5">
              <w:rPr>
                <w:szCs w:val="22"/>
              </w:rPr>
              <w:t xml:space="preserve"> </w:t>
            </w:r>
          </w:p>
        </w:tc>
      </w:tr>
      <w:tr w:rsidR="00CD035D" w:rsidRPr="00E7396C" w14:paraId="48531089" w14:textId="77777777" w:rsidTr="00CD035D">
        <w:trPr>
          <w:cantSplit/>
        </w:trPr>
        <w:tc>
          <w:tcPr>
            <w:tcW w:w="3240" w:type="dxa"/>
          </w:tcPr>
          <w:p w14:paraId="17A72FDE" w14:textId="3B6C8A2F" w:rsidR="00CD035D" w:rsidRPr="00E7396C" w:rsidRDefault="00CD035D" w:rsidP="00CD035D">
            <w:pPr>
              <w:spacing w:before="20" w:after="20"/>
              <w:rPr>
                <w:szCs w:val="22"/>
              </w:rPr>
            </w:pPr>
            <w:r w:rsidRPr="007327B8">
              <w:rPr>
                <w:szCs w:val="22"/>
              </w:rPr>
              <w:t xml:space="preserve">Common </w:t>
            </w:r>
            <w:r>
              <w:rPr>
                <w:szCs w:val="22"/>
              </w:rPr>
              <w:t>c</w:t>
            </w:r>
            <w:r w:rsidRPr="007327B8">
              <w:rPr>
                <w:szCs w:val="22"/>
              </w:rPr>
              <w:t xml:space="preserve">hart of </w:t>
            </w:r>
            <w:r>
              <w:rPr>
                <w:szCs w:val="22"/>
              </w:rPr>
              <w:t>a</w:t>
            </w:r>
            <w:r w:rsidRPr="001825B5">
              <w:rPr>
                <w:szCs w:val="22"/>
              </w:rPr>
              <w:t>ccounts (</w:t>
            </w:r>
            <w:proofErr w:type="spellStart"/>
            <w:r w:rsidRPr="001825B5">
              <w:rPr>
                <w:szCs w:val="22"/>
              </w:rPr>
              <w:t>CCoA</w:t>
            </w:r>
            <w:proofErr w:type="spellEnd"/>
            <w:r w:rsidRPr="001825B5">
              <w:rPr>
                <w:szCs w:val="22"/>
              </w:rPr>
              <w:t xml:space="preserve">) </w:t>
            </w:r>
          </w:p>
        </w:tc>
        <w:tc>
          <w:tcPr>
            <w:tcW w:w="6712" w:type="dxa"/>
          </w:tcPr>
          <w:p w14:paraId="03E413AC" w14:textId="4DFE01D1" w:rsidR="00CD035D" w:rsidRPr="001825B5" w:rsidRDefault="00CD035D" w:rsidP="00CD035D">
            <w:pPr>
              <w:spacing w:before="20" w:after="20"/>
              <w:rPr>
                <w:szCs w:val="22"/>
              </w:rPr>
            </w:pPr>
            <w:r>
              <w:rPr>
                <w:szCs w:val="22"/>
              </w:rPr>
              <w:t>Provides a</w:t>
            </w:r>
            <w:r w:rsidRPr="00E7396C">
              <w:rPr>
                <w:szCs w:val="22"/>
              </w:rPr>
              <w:t xml:space="preserve"> nationally consistent coding system for recording financial transactions by DHBs and the Ministry.</w:t>
            </w:r>
            <w:r w:rsidRPr="001825B5">
              <w:rPr>
                <w:szCs w:val="22"/>
              </w:rPr>
              <w:t xml:space="preserve"> </w:t>
            </w:r>
            <w:r>
              <w:rPr>
                <w:szCs w:val="22"/>
              </w:rPr>
              <w:t>E</w:t>
            </w:r>
            <w:r w:rsidRPr="001825B5">
              <w:rPr>
                <w:szCs w:val="22"/>
              </w:rPr>
              <w:t xml:space="preserve">ach </w:t>
            </w:r>
            <w:r>
              <w:rPr>
                <w:szCs w:val="22"/>
              </w:rPr>
              <w:t>purchase unit code (</w:t>
            </w:r>
            <w:r w:rsidRPr="001825B5">
              <w:rPr>
                <w:szCs w:val="22"/>
              </w:rPr>
              <w:t>PUC</w:t>
            </w:r>
            <w:r>
              <w:rPr>
                <w:szCs w:val="22"/>
              </w:rPr>
              <w:t>)</w:t>
            </w:r>
            <w:r w:rsidRPr="001825B5">
              <w:rPr>
                <w:szCs w:val="22"/>
              </w:rPr>
              <w:t xml:space="preserve"> </w:t>
            </w:r>
            <w:r>
              <w:rPr>
                <w:szCs w:val="22"/>
              </w:rPr>
              <w:t xml:space="preserve">is linked </w:t>
            </w:r>
            <w:r w:rsidRPr="001825B5">
              <w:rPr>
                <w:szCs w:val="22"/>
              </w:rPr>
              <w:t xml:space="preserve">to a </w:t>
            </w:r>
            <w:r>
              <w:rPr>
                <w:szCs w:val="22"/>
              </w:rPr>
              <w:t>General Ledger (GL)</w:t>
            </w:r>
            <w:r w:rsidRPr="001825B5">
              <w:rPr>
                <w:szCs w:val="22"/>
              </w:rPr>
              <w:t xml:space="preserve"> code</w:t>
            </w:r>
            <w:r>
              <w:rPr>
                <w:szCs w:val="22"/>
              </w:rPr>
              <w:t xml:space="preserve"> (also known as natural account code)</w:t>
            </w:r>
            <w:r w:rsidRPr="001825B5">
              <w:rPr>
                <w:szCs w:val="22"/>
              </w:rPr>
              <w:t>.</w:t>
            </w:r>
          </w:p>
        </w:tc>
        <w:tc>
          <w:tcPr>
            <w:tcW w:w="4961" w:type="dxa"/>
          </w:tcPr>
          <w:p w14:paraId="5FD34D8D" w14:textId="0106E4A6" w:rsidR="00CD035D" w:rsidRPr="005E4D0A" w:rsidRDefault="008B5063" w:rsidP="00CD035D">
            <w:pPr>
              <w:spacing w:before="20" w:after="20"/>
              <w:rPr>
                <w:szCs w:val="22"/>
              </w:rPr>
            </w:pPr>
            <w:hyperlink r:id="rId12" w:history="1">
              <w:r w:rsidR="00CD035D" w:rsidRPr="00072050">
                <w:rPr>
                  <w:rStyle w:val="Hyperlink"/>
                </w:rPr>
                <w:t>nsfl.health.govt.nz/accountability/financial-standards-and-guidelines</w:t>
              </w:r>
            </w:hyperlink>
            <w:r w:rsidR="00CD035D" w:rsidRPr="00972861" w:rsidDel="00972861">
              <w:t xml:space="preserve"> </w:t>
            </w:r>
          </w:p>
        </w:tc>
      </w:tr>
      <w:tr w:rsidR="00CD035D" w:rsidRPr="00E7396C" w14:paraId="6CFFAFFA" w14:textId="77777777" w:rsidTr="00CD035D">
        <w:trPr>
          <w:cantSplit/>
        </w:trPr>
        <w:tc>
          <w:tcPr>
            <w:tcW w:w="3240" w:type="dxa"/>
          </w:tcPr>
          <w:p w14:paraId="35AE2A57" w14:textId="77777777" w:rsidR="00CD035D" w:rsidRPr="00E7396C" w:rsidRDefault="00CD035D" w:rsidP="00CD035D">
            <w:pPr>
              <w:spacing w:before="20" w:after="20"/>
              <w:rPr>
                <w:szCs w:val="22"/>
              </w:rPr>
            </w:pPr>
            <w:r w:rsidRPr="007327B8">
              <w:rPr>
                <w:szCs w:val="22"/>
              </w:rPr>
              <w:t xml:space="preserve">New Zealand Casemix Framework for Publicly Funded Hospitals </w:t>
            </w:r>
          </w:p>
        </w:tc>
        <w:tc>
          <w:tcPr>
            <w:tcW w:w="6712" w:type="dxa"/>
          </w:tcPr>
          <w:p w14:paraId="759B2BE3" w14:textId="22BF1155" w:rsidR="00CD035D" w:rsidRPr="001825B5" w:rsidRDefault="00CD035D" w:rsidP="00CD035D">
            <w:pPr>
              <w:spacing w:before="20" w:after="20"/>
              <w:rPr>
                <w:szCs w:val="22"/>
              </w:rPr>
            </w:pPr>
            <w:r>
              <w:rPr>
                <w:szCs w:val="22"/>
              </w:rPr>
              <w:t>Provides</w:t>
            </w:r>
            <w:r w:rsidRPr="00E7396C">
              <w:rPr>
                <w:szCs w:val="22"/>
              </w:rPr>
              <w:t xml:space="preserve"> definitions for inclusion of hospital events in </w:t>
            </w:r>
            <w:r>
              <w:rPr>
                <w:szCs w:val="22"/>
              </w:rPr>
              <w:t>C</w:t>
            </w:r>
            <w:r w:rsidRPr="00E7396C">
              <w:rPr>
                <w:szCs w:val="22"/>
              </w:rPr>
              <w:t>asemix funding related to the calculation of cost weights and assignment of these e</w:t>
            </w:r>
            <w:r w:rsidRPr="007327B8">
              <w:rPr>
                <w:szCs w:val="22"/>
              </w:rPr>
              <w:t xml:space="preserve">vents to </w:t>
            </w:r>
            <w:r>
              <w:rPr>
                <w:szCs w:val="22"/>
              </w:rPr>
              <w:t>PUCs</w:t>
            </w:r>
            <w:r w:rsidRPr="001825B5">
              <w:rPr>
                <w:szCs w:val="22"/>
              </w:rPr>
              <w:t xml:space="preserve">. </w:t>
            </w:r>
            <w:r>
              <w:rPr>
                <w:szCs w:val="22"/>
              </w:rPr>
              <w:t xml:space="preserve">The </w:t>
            </w:r>
            <w:r w:rsidRPr="001825B5">
              <w:rPr>
                <w:szCs w:val="22"/>
              </w:rPr>
              <w:t>Standards are aligned with Casemix exclusions and funding for hospital events.</w:t>
            </w:r>
          </w:p>
        </w:tc>
        <w:tc>
          <w:tcPr>
            <w:tcW w:w="4961" w:type="dxa"/>
          </w:tcPr>
          <w:p w14:paraId="5CEF8CF6" w14:textId="1708A87E" w:rsidR="00CD035D" w:rsidRPr="001825B5" w:rsidRDefault="008B5063" w:rsidP="00CD035D">
            <w:pPr>
              <w:spacing w:before="20" w:after="20"/>
              <w:rPr>
                <w:szCs w:val="22"/>
              </w:rPr>
            </w:pPr>
            <w:hyperlink r:id="rId13" w:history="1">
              <w:r w:rsidR="00CD035D" w:rsidRPr="004E030D">
                <w:rPr>
                  <w:rStyle w:val="Hyperlink"/>
                </w:rPr>
                <w:t>www.health.govt.nz/nz-health-statistics/data-references/weighted-inlier-equivalent-separations</w:t>
              </w:r>
            </w:hyperlink>
            <w:r w:rsidR="00CD035D" w:rsidRPr="007C5D07">
              <w:t xml:space="preserve"> </w:t>
            </w:r>
          </w:p>
        </w:tc>
      </w:tr>
      <w:tr w:rsidR="00CD035D" w:rsidRPr="00E7396C" w14:paraId="3825B172" w14:textId="77777777" w:rsidTr="00CD035D">
        <w:trPr>
          <w:cantSplit/>
          <w:trHeight w:val="1690"/>
        </w:trPr>
        <w:tc>
          <w:tcPr>
            <w:tcW w:w="3240" w:type="dxa"/>
          </w:tcPr>
          <w:p w14:paraId="280EF844" w14:textId="66ADA946" w:rsidR="00CD035D" w:rsidRPr="00E7396C" w:rsidRDefault="00CD035D" w:rsidP="00CD035D">
            <w:pPr>
              <w:spacing w:before="20" w:after="20"/>
              <w:rPr>
                <w:szCs w:val="22"/>
              </w:rPr>
            </w:pPr>
            <w:r w:rsidRPr="007327B8">
              <w:rPr>
                <w:szCs w:val="22"/>
              </w:rPr>
              <w:t xml:space="preserve">Purchase </w:t>
            </w:r>
            <w:r>
              <w:rPr>
                <w:szCs w:val="22"/>
              </w:rPr>
              <w:t>u</w:t>
            </w:r>
            <w:r w:rsidRPr="007327B8">
              <w:rPr>
                <w:szCs w:val="22"/>
              </w:rPr>
              <w:t xml:space="preserve">nit </w:t>
            </w:r>
            <w:r>
              <w:rPr>
                <w:szCs w:val="22"/>
              </w:rPr>
              <w:t>d</w:t>
            </w:r>
            <w:r w:rsidRPr="007327B8">
              <w:rPr>
                <w:szCs w:val="22"/>
              </w:rPr>
              <w:t xml:space="preserve">ata </w:t>
            </w:r>
            <w:r>
              <w:rPr>
                <w:szCs w:val="22"/>
              </w:rPr>
              <w:t>d</w:t>
            </w:r>
            <w:r w:rsidRPr="007327B8">
              <w:rPr>
                <w:szCs w:val="22"/>
              </w:rPr>
              <w:t>ictionary (</w:t>
            </w:r>
            <w:r>
              <w:rPr>
                <w:szCs w:val="22"/>
              </w:rPr>
              <w:t>PUDD</w:t>
            </w:r>
            <w:r w:rsidRPr="001825B5">
              <w:rPr>
                <w:szCs w:val="22"/>
              </w:rPr>
              <w:t xml:space="preserve">) </w:t>
            </w:r>
          </w:p>
        </w:tc>
        <w:tc>
          <w:tcPr>
            <w:tcW w:w="6712" w:type="dxa"/>
          </w:tcPr>
          <w:p w14:paraId="615718A6" w14:textId="4D25F53D" w:rsidR="00CD035D" w:rsidRPr="001825B5" w:rsidRDefault="00CD035D" w:rsidP="00CD035D">
            <w:pPr>
              <w:spacing w:before="20" w:after="20"/>
              <w:rPr>
                <w:szCs w:val="22"/>
              </w:rPr>
            </w:pPr>
            <w:r>
              <w:rPr>
                <w:szCs w:val="22"/>
              </w:rPr>
              <w:t>The PUDD is a spreadsheet (updated twice a year) that contains PUCs for counting or purchasing services, mapping tables, definitions for units of measure and links to nationwide service specifications. Appropriate</w:t>
            </w:r>
            <w:r w:rsidRPr="00E7396C">
              <w:rPr>
                <w:szCs w:val="22"/>
              </w:rPr>
              <w:t xml:space="preserve"> definitions are allocated to </w:t>
            </w:r>
            <w:r>
              <w:rPr>
                <w:szCs w:val="22"/>
              </w:rPr>
              <w:t>PUCs</w:t>
            </w:r>
            <w:r w:rsidRPr="001825B5">
              <w:rPr>
                <w:szCs w:val="22"/>
              </w:rPr>
              <w:t xml:space="preserve"> </w:t>
            </w:r>
            <w:r>
              <w:rPr>
                <w:szCs w:val="22"/>
              </w:rPr>
              <w:t>to</w:t>
            </w:r>
            <w:r w:rsidRPr="001825B5">
              <w:rPr>
                <w:szCs w:val="22"/>
              </w:rPr>
              <w:t xml:space="preserve"> </w:t>
            </w:r>
            <w:r>
              <w:rPr>
                <w:szCs w:val="22"/>
              </w:rPr>
              <w:t>support the correct and consistent use of</w:t>
            </w:r>
            <w:r w:rsidRPr="001825B5">
              <w:rPr>
                <w:szCs w:val="22"/>
              </w:rPr>
              <w:t xml:space="preserve"> the </w:t>
            </w:r>
            <w:r>
              <w:rPr>
                <w:szCs w:val="22"/>
              </w:rPr>
              <w:t>PU codes</w:t>
            </w:r>
            <w:r w:rsidRPr="001825B5">
              <w:rPr>
                <w:szCs w:val="22"/>
              </w:rPr>
              <w:t xml:space="preserve"> </w:t>
            </w:r>
            <w:r>
              <w:rPr>
                <w:szCs w:val="22"/>
              </w:rPr>
              <w:t>for costing analysis and service planning</w:t>
            </w:r>
            <w:r w:rsidRPr="001825B5">
              <w:rPr>
                <w:szCs w:val="22"/>
              </w:rPr>
              <w:t>.</w:t>
            </w:r>
          </w:p>
        </w:tc>
        <w:tc>
          <w:tcPr>
            <w:tcW w:w="4961" w:type="dxa"/>
          </w:tcPr>
          <w:p w14:paraId="6559913D" w14:textId="443DF2B6" w:rsidR="00CD035D" w:rsidRPr="005E4D0A" w:rsidRDefault="008B5063" w:rsidP="00CD035D">
            <w:pPr>
              <w:spacing w:before="20" w:after="20"/>
              <w:ind w:right="-108"/>
              <w:rPr>
                <w:szCs w:val="22"/>
              </w:rPr>
            </w:pPr>
            <w:hyperlink r:id="rId14" w:history="1">
              <w:r w:rsidR="00CD035D" w:rsidRPr="00556CBB">
                <w:rPr>
                  <w:rStyle w:val="Hyperlink"/>
                </w:rPr>
                <w:t>nsfl.health.govt.nz/purchase-units</w:t>
              </w:r>
            </w:hyperlink>
          </w:p>
        </w:tc>
      </w:tr>
      <w:tr w:rsidR="00CD035D" w:rsidRPr="00E7396C" w14:paraId="38EA436F" w14:textId="77777777" w:rsidTr="00CD035D">
        <w:trPr>
          <w:cantSplit/>
        </w:trPr>
        <w:tc>
          <w:tcPr>
            <w:tcW w:w="3240" w:type="dxa"/>
          </w:tcPr>
          <w:p w14:paraId="1915258D" w14:textId="77777777" w:rsidR="00CD035D" w:rsidRPr="001825B5" w:rsidRDefault="00CD035D" w:rsidP="00CD035D">
            <w:pPr>
              <w:spacing w:before="20" w:after="20"/>
              <w:rPr>
                <w:szCs w:val="22"/>
              </w:rPr>
            </w:pPr>
            <w:r w:rsidRPr="00FC0BF7">
              <w:rPr>
                <w:szCs w:val="22"/>
              </w:rPr>
              <w:t>Guide to Purchase Units and Purchase Unit Data Dictionary</w:t>
            </w:r>
            <w:r>
              <w:rPr>
                <w:szCs w:val="22"/>
              </w:rPr>
              <w:t xml:space="preserve"> and </w:t>
            </w:r>
            <w:r w:rsidRPr="00FC0BF7">
              <w:rPr>
                <w:szCs w:val="22"/>
              </w:rPr>
              <w:t xml:space="preserve">Purchase Unit Request </w:t>
            </w:r>
            <w:r>
              <w:rPr>
                <w:szCs w:val="22"/>
              </w:rPr>
              <w:t>Template</w:t>
            </w:r>
          </w:p>
        </w:tc>
        <w:tc>
          <w:tcPr>
            <w:tcW w:w="6712" w:type="dxa"/>
          </w:tcPr>
          <w:p w14:paraId="5B4E6278" w14:textId="2AB7D559" w:rsidR="00CD035D" w:rsidRPr="005E4D0A" w:rsidRDefault="00CD035D" w:rsidP="00CD035D">
            <w:pPr>
              <w:spacing w:before="20" w:after="20"/>
              <w:rPr>
                <w:szCs w:val="22"/>
              </w:rPr>
            </w:pPr>
            <w:r>
              <w:rPr>
                <w:szCs w:val="22"/>
              </w:rPr>
              <w:t xml:space="preserve">The guide and template </w:t>
            </w:r>
            <w:proofErr w:type="gramStart"/>
            <w:r w:rsidRPr="005E4D0A">
              <w:rPr>
                <w:szCs w:val="22"/>
              </w:rPr>
              <w:t>assist</w:t>
            </w:r>
            <w:r>
              <w:rPr>
                <w:szCs w:val="22"/>
              </w:rPr>
              <w:t>s</w:t>
            </w:r>
            <w:proofErr w:type="gramEnd"/>
            <w:r w:rsidRPr="005E4D0A">
              <w:rPr>
                <w:szCs w:val="22"/>
              </w:rPr>
              <w:t xml:space="preserve"> users </w:t>
            </w:r>
            <w:r w:rsidRPr="002414AA">
              <w:rPr>
                <w:szCs w:val="22"/>
              </w:rPr>
              <w:t xml:space="preserve">when requesting new </w:t>
            </w:r>
            <w:r>
              <w:rPr>
                <w:szCs w:val="22"/>
              </w:rPr>
              <w:t>PUCs</w:t>
            </w:r>
            <w:r w:rsidRPr="001825B5">
              <w:rPr>
                <w:szCs w:val="22"/>
              </w:rPr>
              <w:t xml:space="preserve"> </w:t>
            </w:r>
            <w:r>
              <w:rPr>
                <w:szCs w:val="22"/>
              </w:rPr>
              <w:t>or proposing</w:t>
            </w:r>
            <w:r w:rsidRPr="001825B5">
              <w:rPr>
                <w:szCs w:val="22"/>
              </w:rPr>
              <w:t xml:space="preserve"> changes to existing PUCs in line with the agreed Standards and d</w:t>
            </w:r>
            <w:r w:rsidRPr="005E4D0A">
              <w:rPr>
                <w:szCs w:val="22"/>
              </w:rPr>
              <w:t>efinitions.</w:t>
            </w:r>
          </w:p>
        </w:tc>
        <w:tc>
          <w:tcPr>
            <w:tcW w:w="4961" w:type="dxa"/>
          </w:tcPr>
          <w:p w14:paraId="69248409" w14:textId="6980852E" w:rsidR="00CD035D" w:rsidRPr="005E4D0A" w:rsidRDefault="008B5063" w:rsidP="00CD035D">
            <w:pPr>
              <w:spacing w:before="20" w:after="20"/>
              <w:rPr>
                <w:szCs w:val="22"/>
              </w:rPr>
            </w:pPr>
            <w:hyperlink r:id="rId15" w:history="1">
              <w:r w:rsidR="00CD035D" w:rsidRPr="00072050">
                <w:rPr>
                  <w:rStyle w:val="Hyperlink"/>
                </w:rPr>
                <w:t>nsfl.health.govt.nz/purchase-units</w:t>
              </w:r>
            </w:hyperlink>
            <w:r w:rsidR="00CD035D" w:rsidRPr="00972861" w:rsidDel="00972861">
              <w:t xml:space="preserve"> </w:t>
            </w:r>
          </w:p>
        </w:tc>
      </w:tr>
      <w:tr w:rsidR="00CD035D" w:rsidRPr="00E7396C" w14:paraId="28388230" w14:textId="77777777" w:rsidTr="00CD035D">
        <w:trPr>
          <w:cantSplit/>
        </w:trPr>
        <w:tc>
          <w:tcPr>
            <w:tcW w:w="3240" w:type="dxa"/>
          </w:tcPr>
          <w:p w14:paraId="0E29BDF6" w14:textId="77777777" w:rsidR="00CD035D" w:rsidRPr="00E7396C" w:rsidRDefault="00CD035D" w:rsidP="00CD035D">
            <w:pPr>
              <w:spacing w:before="20" w:after="20"/>
              <w:rPr>
                <w:szCs w:val="22"/>
              </w:rPr>
            </w:pPr>
            <w:r w:rsidRPr="007327B8">
              <w:rPr>
                <w:szCs w:val="22"/>
              </w:rPr>
              <w:t xml:space="preserve">National Minimum Dataset (NMDS) </w:t>
            </w:r>
            <w:r w:rsidRPr="001825B5">
              <w:rPr>
                <w:szCs w:val="22"/>
              </w:rPr>
              <w:t>– data dictionary of National Collections</w:t>
            </w:r>
          </w:p>
        </w:tc>
        <w:tc>
          <w:tcPr>
            <w:tcW w:w="6712" w:type="dxa"/>
          </w:tcPr>
          <w:p w14:paraId="72694887" w14:textId="77777777" w:rsidR="00CD035D" w:rsidRPr="001825B5" w:rsidRDefault="00CD035D" w:rsidP="00CD035D">
            <w:pPr>
              <w:spacing w:before="20" w:after="20"/>
              <w:rPr>
                <w:szCs w:val="22"/>
              </w:rPr>
            </w:pPr>
            <w:r w:rsidRPr="00E7396C">
              <w:rPr>
                <w:szCs w:val="22"/>
              </w:rPr>
              <w:t xml:space="preserve">Linking inpatient </w:t>
            </w:r>
            <w:r>
              <w:rPr>
                <w:szCs w:val="22"/>
              </w:rPr>
              <w:t>PUCs</w:t>
            </w:r>
            <w:r w:rsidRPr="007327B8">
              <w:rPr>
                <w:szCs w:val="22"/>
              </w:rPr>
              <w:t xml:space="preserve"> into NMDS through the </w:t>
            </w:r>
            <w:r>
              <w:rPr>
                <w:szCs w:val="22"/>
              </w:rPr>
              <w:t xml:space="preserve">national collections </w:t>
            </w:r>
            <w:r w:rsidRPr="001825B5">
              <w:rPr>
                <w:szCs w:val="22"/>
              </w:rPr>
              <w:t>data dictionary to ensure consistent and accurate data collection of inpatient events</w:t>
            </w:r>
            <w:r>
              <w:rPr>
                <w:szCs w:val="22"/>
              </w:rPr>
              <w:t>.</w:t>
            </w:r>
          </w:p>
        </w:tc>
        <w:tc>
          <w:tcPr>
            <w:tcW w:w="4961" w:type="dxa"/>
          </w:tcPr>
          <w:p w14:paraId="4C104BCB" w14:textId="02822B5A" w:rsidR="00CD035D" w:rsidRPr="001825B5" w:rsidRDefault="008B5063" w:rsidP="00CD035D">
            <w:pPr>
              <w:spacing w:before="20" w:after="20"/>
              <w:rPr>
                <w:szCs w:val="22"/>
              </w:rPr>
            </w:pPr>
            <w:hyperlink r:id="rId16" w:history="1">
              <w:r w:rsidR="00CD035D" w:rsidRPr="004E030D">
                <w:rPr>
                  <w:rStyle w:val="Hyperlink"/>
                  <w:szCs w:val="22"/>
                </w:rPr>
                <w:t>www.health.govt.nz/publication/national-minimum-dataset-hospital-events-data-mart-data-dictionary</w:t>
              </w:r>
            </w:hyperlink>
          </w:p>
        </w:tc>
      </w:tr>
      <w:tr w:rsidR="00CD035D" w:rsidRPr="00E7396C" w14:paraId="4D75FB5A" w14:textId="77777777" w:rsidTr="00CD035D">
        <w:trPr>
          <w:cantSplit/>
        </w:trPr>
        <w:tc>
          <w:tcPr>
            <w:tcW w:w="3240" w:type="dxa"/>
          </w:tcPr>
          <w:p w14:paraId="1AE7444E" w14:textId="77777777" w:rsidR="00CD035D" w:rsidRPr="00E7396C" w:rsidRDefault="00CD035D" w:rsidP="00CD035D">
            <w:pPr>
              <w:spacing w:before="20" w:after="20"/>
              <w:rPr>
                <w:szCs w:val="22"/>
              </w:rPr>
            </w:pPr>
            <w:r w:rsidRPr="007327B8">
              <w:rPr>
                <w:szCs w:val="22"/>
              </w:rPr>
              <w:t>National Non-admitted Patient C</w:t>
            </w:r>
            <w:r w:rsidRPr="001825B5">
              <w:rPr>
                <w:szCs w:val="22"/>
              </w:rPr>
              <w:t xml:space="preserve">ollection (NNPAC) Data Mart of National Collections </w:t>
            </w:r>
          </w:p>
        </w:tc>
        <w:tc>
          <w:tcPr>
            <w:tcW w:w="6712" w:type="dxa"/>
          </w:tcPr>
          <w:p w14:paraId="35342826" w14:textId="77777777" w:rsidR="00CD035D" w:rsidRPr="001825B5" w:rsidRDefault="00CD035D" w:rsidP="00CD035D">
            <w:pPr>
              <w:spacing w:before="20" w:after="20"/>
              <w:rPr>
                <w:szCs w:val="22"/>
              </w:rPr>
            </w:pPr>
            <w:r w:rsidRPr="00E7396C">
              <w:rPr>
                <w:szCs w:val="22"/>
              </w:rPr>
              <w:t xml:space="preserve">Linking outpatient </w:t>
            </w:r>
            <w:r>
              <w:rPr>
                <w:szCs w:val="22"/>
              </w:rPr>
              <w:t>PUCs</w:t>
            </w:r>
            <w:r w:rsidRPr="007327B8">
              <w:rPr>
                <w:szCs w:val="22"/>
              </w:rPr>
              <w:t xml:space="preserve"> into NNPAC to ensure consistent and accurate data collection of outpatient non-admitted patient events.</w:t>
            </w:r>
          </w:p>
        </w:tc>
        <w:tc>
          <w:tcPr>
            <w:tcW w:w="4961" w:type="dxa"/>
          </w:tcPr>
          <w:p w14:paraId="2CF4FC0B" w14:textId="56C5D5EA" w:rsidR="00CD035D" w:rsidRPr="001825B5" w:rsidRDefault="008B5063" w:rsidP="00CD035D">
            <w:pPr>
              <w:spacing w:before="20" w:after="20"/>
              <w:rPr>
                <w:szCs w:val="22"/>
              </w:rPr>
            </w:pPr>
            <w:hyperlink r:id="rId17" w:history="1">
              <w:r w:rsidR="00CD035D" w:rsidRPr="004E030D">
                <w:rPr>
                  <w:rStyle w:val="Hyperlink"/>
                  <w:szCs w:val="22"/>
                </w:rPr>
                <w:t>www.health.govt.nz/publication/national-non-admitted-patient-collection-data-mart-data-dictiona</w:t>
              </w:r>
              <w:r w:rsidR="00CD035D" w:rsidRPr="00462EFE">
                <w:rPr>
                  <w:rStyle w:val="Hyperlink"/>
                  <w:szCs w:val="22"/>
                </w:rPr>
                <w:t>ry</w:t>
              </w:r>
            </w:hyperlink>
          </w:p>
        </w:tc>
      </w:tr>
      <w:tr w:rsidR="00CD035D" w:rsidRPr="00E7396C" w14:paraId="1FFDFD3B" w14:textId="77777777" w:rsidTr="00CD035D">
        <w:trPr>
          <w:cantSplit/>
        </w:trPr>
        <w:tc>
          <w:tcPr>
            <w:tcW w:w="3240" w:type="dxa"/>
          </w:tcPr>
          <w:p w14:paraId="42387EDE" w14:textId="77777777" w:rsidR="00CD035D" w:rsidRPr="007327B8" w:rsidRDefault="00CD035D" w:rsidP="00CD035D">
            <w:pPr>
              <w:spacing w:before="20" w:after="20"/>
              <w:rPr>
                <w:szCs w:val="22"/>
              </w:rPr>
            </w:pPr>
            <w:r>
              <w:rPr>
                <w:szCs w:val="22"/>
              </w:rPr>
              <w:t>Appendix B National Collections Glossary</w:t>
            </w:r>
          </w:p>
        </w:tc>
        <w:tc>
          <w:tcPr>
            <w:tcW w:w="6712" w:type="dxa"/>
          </w:tcPr>
          <w:p w14:paraId="0C67D5F4" w14:textId="77777777" w:rsidR="00CD035D" w:rsidRPr="00E7396C" w:rsidRDefault="00CD035D" w:rsidP="00CD035D">
            <w:pPr>
              <w:spacing w:before="20" w:after="20"/>
              <w:rPr>
                <w:szCs w:val="22"/>
              </w:rPr>
            </w:pPr>
            <w:r>
              <w:rPr>
                <w:szCs w:val="22"/>
              </w:rPr>
              <w:t xml:space="preserve">Provides definitions for concepts that span national collections to ensure consistency of counting for reporting. </w:t>
            </w:r>
          </w:p>
        </w:tc>
        <w:tc>
          <w:tcPr>
            <w:tcW w:w="4961" w:type="dxa"/>
          </w:tcPr>
          <w:p w14:paraId="0687BA2D" w14:textId="7EAC5104" w:rsidR="00CD035D" w:rsidRDefault="00CD035D" w:rsidP="00CD035D">
            <w:pPr>
              <w:spacing w:before="20" w:after="20"/>
            </w:pPr>
            <w:r w:rsidRPr="00C46000">
              <w:t>www.health.govt.nz/nz-health-statistics/data-references/appendix-b-national-collections-glossary</w:t>
            </w:r>
          </w:p>
        </w:tc>
      </w:tr>
      <w:tr w:rsidR="00CD035D" w:rsidRPr="00E7396C" w14:paraId="3DDDDD78" w14:textId="77777777" w:rsidTr="00CD035D">
        <w:trPr>
          <w:cantSplit/>
        </w:trPr>
        <w:tc>
          <w:tcPr>
            <w:tcW w:w="3240" w:type="dxa"/>
          </w:tcPr>
          <w:p w14:paraId="6DE892B4" w14:textId="77777777" w:rsidR="00CD035D" w:rsidRPr="00E7396C" w:rsidRDefault="00CD035D" w:rsidP="00CD035D">
            <w:pPr>
              <w:spacing w:before="20" w:after="20"/>
              <w:rPr>
                <w:szCs w:val="22"/>
              </w:rPr>
            </w:pPr>
            <w:r w:rsidRPr="007327B8">
              <w:rPr>
                <w:szCs w:val="22"/>
              </w:rPr>
              <w:t xml:space="preserve">Programme for the Integration of Mental Health Data (PRIMHD) </w:t>
            </w:r>
          </w:p>
        </w:tc>
        <w:tc>
          <w:tcPr>
            <w:tcW w:w="6712" w:type="dxa"/>
          </w:tcPr>
          <w:p w14:paraId="0E50EE2B" w14:textId="77777777" w:rsidR="00CD035D" w:rsidRPr="001825B5" w:rsidRDefault="00CD035D" w:rsidP="00CD035D">
            <w:pPr>
              <w:spacing w:before="20" w:after="20"/>
              <w:rPr>
                <w:szCs w:val="22"/>
              </w:rPr>
            </w:pPr>
            <w:r>
              <w:rPr>
                <w:szCs w:val="22"/>
              </w:rPr>
              <w:t>A Ministry data warehouse of national collection of mental health and addiction service information of activity and outcomes data for health consumers. Mental Health and Addiction PUCs are in the PUDD.</w:t>
            </w:r>
          </w:p>
        </w:tc>
        <w:tc>
          <w:tcPr>
            <w:tcW w:w="4961" w:type="dxa"/>
          </w:tcPr>
          <w:p w14:paraId="51CD94F4" w14:textId="33AD0396" w:rsidR="00CD035D" w:rsidRDefault="008B5063" w:rsidP="00CD035D">
            <w:pPr>
              <w:spacing w:before="20" w:after="20"/>
            </w:pPr>
            <w:hyperlink r:id="rId18" w:history="1">
              <w:r w:rsidR="00CD035D" w:rsidRPr="00072050">
                <w:rPr>
                  <w:rStyle w:val="Hyperlink"/>
                </w:rPr>
                <w:t>nsfl.health.govt.nz/service-specifications/current-service-specifications/mental-health-services-specifications</w:t>
              </w:r>
            </w:hyperlink>
            <w:r w:rsidR="00CD035D" w:rsidRPr="00972861" w:rsidDel="00972861">
              <w:t xml:space="preserve"> </w:t>
            </w:r>
          </w:p>
          <w:p w14:paraId="56D82A5C" w14:textId="77777777" w:rsidR="00CD035D" w:rsidRPr="006D5EC6" w:rsidRDefault="00CD035D" w:rsidP="00CD035D">
            <w:pPr>
              <w:spacing w:before="20" w:after="20"/>
              <w:rPr>
                <w:rFonts w:cs="Arial"/>
                <w:iCs/>
                <w:color w:val="0000FF"/>
                <w:szCs w:val="22"/>
                <w:u w:val="single"/>
              </w:rPr>
            </w:pPr>
            <w:r>
              <w:rPr>
                <w:szCs w:val="22"/>
              </w:rPr>
              <w:t>(</w:t>
            </w:r>
            <w:proofErr w:type="gramStart"/>
            <w:r w:rsidRPr="007327B8">
              <w:rPr>
                <w:szCs w:val="22"/>
              </w:rPr>
              <w:t>includes</w:t>
            </w:r>
            <w:proofErr w:type="gramEnd"/>
            <w:r w:rsidRPr="007327B8">
              <w:rPr>
                <w:szCs w:val="22"/>
              </w:rPr>
              <w:t xml:space="preserve"> definitions and reporting requirements in the Reference Material sect</w:t>
            </w:r>
            <w:r w:rsidRPr="001825B5">
              <w:rPr>
                <w:szCs w:val="22"/>
              </w:rPr>
              <w:t>ion</w:t>
            </w:r>
            <w:r>
              <w:rPr>
                <w:szCs w:val="22"/>
              </w:rPr>
              <w:t>)</w:t>
            </w:r>
          </w:p>
        </w:tc>
      </w:tr>
      <w:tr w:rsidR="00CD035D" w:rsidRPr="00E7396C" w14:paraId="4A42F105" w14:textId="77777777" w:rsidTr="00CD035D">
        <w:trPr>
          <w:cantSplit/>
        </w:trPr>
        <w:tc>
          <w:tcPr>
            <w:tcW w:w="3240" w:type="dxa"/>
          </w:tcPr>
          <w:p w14:paraId="03861A77" w14:textId="77777777" w:rsidR="00CD035D" w:rsidRPr="001825B5" w:rsidRDefault="00CD035D" w:rsidP="00CD035D">
            <w:pPr>
              <w:spacing w:before="20" w:after="20"/>
              <w:rPr>
                <w:szCs w:val="22"/>
              </w:rPr>
            </w:pPr>
            <w:r w:rsidRPr="007327B8">
              <w:rPr>
                <w:szCs w:val="22"/>
              </w:rPr>
              <w:lastRenderedPageBreak/>
              <w:t>Contract Management System (</w:t>
            </w:r>
            <w:smartTag w:uri="urn:schemas-microsoft-com:office:smarttags" w:element="stockticker">
              <w:r w:rsidRPr="007327B8">
                <w:rPr>
                  <w:szCs w:val="22"/>
                </w:rPr>
                <w:t>CMS</w:t>
              </w:r>
              <w:r>
                <w:rPr>
                  <w:szCs w:val="22"/>
                </w:rPr>
                <w:t>)</w:t>
              </w:r>
            </w:smartTag>
          </w:p>
        </w:tc>
        <w:tc>
          <w:tcPr>
            <w:tcW w:w="6712" w:type="dxa"/>
          </w:tcPr>
          <w:p w14:paraId="4AB200DA" w14:textId="77777777" w:rsidR="00CD035D" w:rsidRPr="00E7396C" w:rsidRDefault="00CD035D" w:rsidP="00CD035D">
            <w:pPr>
              <w:spacing w:before="20" w:after="20"/>
              <w:rPr>
                <w:szCs w:val="22"/>
              </w:rPr>
            </w:pPr>
            <w:r w:rsidRPr="001825B5">
              <w:rPr>
                <w:szCs w:val="22"/>
              </w:rPr>
              <w:t xml:space="preserve">All </w:t>
            </w:r>
            <w:r>
              <w:rPr>
                <w:szCs w:val="22"/>
              </w:rPr>
              <w:t xml:space="preserve">PUCs, active and inactive are contained in CMS, also codes are used in </w:t>
            </w:r>
            <w:r w:rsidRPr="001825B5">
              <w:rPr>
                <w:szCs w:val="22"/>
              </w:rPr>
              <w:t>Client Claims Processing System (CCPS)</w:t>
            </w:r>
            <w:r>
              <w:rPr>
                <w:szCs w:val="22"/>
              </w:rPr>
              <w:t xml:space="preserve">, Proclaim, </w:t>
            </w:r>
            <w:proofErr w:type="spellStart"/>
            <w:r>
              <w:rPr>
                <w:szCs w:val="22"/>
              </w:rPr>
              <w:t>PharmHouse</w:t>
            </w:r>
            <w:proofErr w:type="spellEnd"/>
            <w:r>
              <w:rPr>
                <w:szCs w:val="22"/>
              </w:rPr>
              <w:t xml:space="preserve"> (</w:t>
            </w:r>
            <w:r w:rsidRPr="001825B5">
              <w:rPr>
                <w:szCs w:val="22"/>
              </w:rPr>
              <w:t>for contracting purposes</w:t>
            </w:r>
            <w:r>
              <w:rPr>
                <w:szCs w:val="22"/>
              </w:rPr>
              <w:t>).</w:t>
            </w:r>
          </w:p>
        </w:tc>
        <w:tc>
          <w:tcPr>
            <w:tcW w:w="4961" w:type="dxa"/>
          </w:tcPr>
          <w:p w14:paraId="29D778D3" w14:textId="77777777" w:rsidR="00CD035D" w:rsidRPr="00E7396C" w:rsidRDefault="00CD035D" w:rsidP="00CD035D">
            <w:pPr>
              <w:spacing w:before="20" w:after="20"/>
              <w:rPr>
                <w:szCs w:val="22"/>
              </w:rPr>
            </w:pPr>
          </w:p>
        </w:tc>
      </w:tr>
    </w:tbl>
    <w:p w14:paraId="02CFF3A2" w14:textId="77777777" w:rsidR="00C55E12" w:rsidRPr="00A643F4" w:rsidRDefault="00C55E12" w:rsidP="00C55E12">
      <w:pPr>
        <w:pStyle w:val="Heading2"/>
      </w:pPr>
      <w:bookmarkStart w:id="5" w:name="_Toc66194516"/>
      <w:r w:rsidRPr="00A643F4">
        <w:t xml:space="preserve">Linkages of the </w:t>
      </w:r>
      <w:r>
        <w:t>s</w:t>
      </w:r>
      <w:r w:rsidRPr="00A643F4">
        <w:t>tandards to health sector documents, collections and systems.</w:t>
      </w:r>
      <w:bookmarkEnd w:id="4"/>
      <w:bookmarkEnd w:id="5"/>
    </w:p>
    <w:p w14:paraId="7EC23689" w14:textId="77777777" w:rsidR="00C55E12" w:rsidRPr="009F2C20" w:rsidRDefault="00C55E12" w:rsidP="00C55E12">
      <w:pPr>
        <w:spacing w:after="100" w:afterAutospacing="1"/>
      </w:pPr>
      <w:r w:rsidRPr="009F2C20">
        <w:t xml:space="preserve">To ensure national consistency in counting, funding, planning of health and disability services, pricing and data collection, the </w:t>
      </w:r>
      <w:r>
        <w:t>s</w:t>
      </w:r>
      <w:r w:rsidRPr="009F2C20">
        <w:t>tandards are linked</w:t>
      </w:r>
      <w:r>
        <w:t xml:space="preserve"> with</w:t>
      </w:r>
      <w:r w:rsidRPr="009F2C20">
        <w:t xml:space="preserve"> the following doc</w:t>
      </w:r>
      <w:r>
        <w:t>uments, collections and systems.</w:t>
      </w:r>
    </w:p>
    <w:p w14:paraId="535D80E8" w14:textId="77777777" w:rsidR="00C55E12" w:rsidRPr="009F2C20" w:rsidRDefault="00C55E12" w:rsidP="00C55E12">
      <w:pPr>
        <w:rPr>
          <w:rFonts w:cs="Arial"/>
          <w:color w:val="000000"/>
          <w:szCs w:val="22"/>
        </w:rPr>
        <w:sectPr w:rsidR="00C55E12" w:rsidRPr="009F2C20" w:rsidSect="00547A87">
          <w:pgSz w:w="16838" w:h="11906" w:orient="landscape"/>
          <w:pgMar w:top="720" w:right="720" w:bottom="720" w:left="720" w:header="709" w:footer="709" w:gutter="0"/>
          <w:cols w:space="708"/>
          <w:titlePg/>
          <w:docGrid w:linePitch="360"/>
        </w:sectPr>
      </w:pPr>
    </w:p>
    <w:p w14:paraId="45273785" w14:textId="77777777" w:rsidR="00C55E12" w:rsidRPr="002414AA" w:rsidRDefault="00C55E12" w:rsidP="00C55E12">
      <w:pPr>
        <w:pStyle w:val="Heading1"/>
      </w:pPr>
      <w:bookmarkStart w:id="6" w:name="_Toc340052528"/>
      <w:bookmarkStart w:id="7" w:name="_Toc66194517"/>
      <w:r w:rsidRPr="002414AA">
        <w:lastRenderedPageBreak/>
        <w:t>General Counting Standards</w:t>
      </w:r>
      <w:bookmarkEnd w:id="6"/>
      <w:bookmarkEnd w:id="7"/>
    </w:p>
    <w:p w14:paraId="0C89D118" w14:textId="77777777" w:rsidR="00C55E12" w:rsidRDefault="00C55E12" w:rsidP="00C55E12"/>
    <w:p w14:paraId="1E274F27" w14:textId="77777777" w:rsidR="00C55E12" w:rsidRPr="009F2C20" w:rsidRDefault="00C55E12" w:rsidP="00C55E12">
      <w:r w:rsidRPr="009F2C20">
        <w:t>The following general counting standards apply</w:t>
      </w:r>
      <w:r>
        <w:t>.</w:t>
      </w:r>
    </w:p>
    <w:p w14:paraId="65143EF1" w14:textId="77777777" w:rsidR="00C55E12" w:rsidRPr="009F2C20" w:rsidRDefault="00C55E12" w:rsidP="00C55E12">
      <w:pPr>
        <w:pStyle w:val="Letterlist"/>
      </w:pPr>
      <w:r w:rsidRPr="009F2C20">
        <w:t xml:space="preserve">Where there is a general standard and a specific standard related to the same area, the specific standard takes precedence. </w:t>
      </w:r>
      <w:r>
        <w:t>Example:</w:t>
      </w:r>
    </w:p>
    <w:p w14:paraId="54BF9118" w14:textId="12833F89" w:rsidR="00C55E12" w:rsidRPr="009F2C20" w:rsidRDefault="00C55E12" w:rsidP="00C55E12">
      <w:pPr>
        <w:pStyle w:val="Letterlist"/>
        <w:numPr>
          <w:ilvl w:val="0"/>
          <w:numId w:val="0"/>
        </w:numPr>
        <w:ind w:left="540"/>
        <w:rPr>
          <w:i/>
        </w:rPr>
      </w:pPr>
      <w:r w:rsidRPr="009F2C20">
        <w:rPr>
          <w:i/>
        </w:rPr>
        <w:t xml:space="preserve">General Standard: all patients </w:t>
      </w:r>
      <w:r>
        <w:rPr>
          <w:i/>
        </w:rPr>
        <w:t>who are treated in a hospital for</w:t>
      </w:r>
      <w:r w:rsidRPr="009F2C20">
        <w:rPr>
          <w:i/>
        </w:rPr>
        <w:t xml:space="preserve"> </w:t>
      </w:r>
      <w:r>
        <w:rPr>
          <w:i/>
        </w:rPr>
        <w:t>three</w:t>
      </w:r>
      <w:r w:rsidRPr="009F2C20">
        <w:rPr>
          <w:i/>
        </w:rPr>
        <w:t xml:space="preserve"> hours </w:t>
      </w:r>
      <w:r>
        <w:rPr>
          <w:i/>
        </w:rPr>
        <w:t xml:space="preserve">or more </w:t>
      </w:r>
      <w:r w:rsidRPr="009F2C20">
        <w:rPr>
          <w:i/>
        </w:rPr>
        <w:t xml:space="preserve">should be admitted and </w:t>
      </w:r>
      <w:r>
        <w:rPr>
          <w:i/>
        </w:rPr>
        <w:t xml:space="preserve">reported to the </w:t>
      </w:r>
      <w:r w:rsidRPr="009F2C20">
        <w:rPr>
          <w:i/>
        </w:rPr>
        <w:t>NMDS</w:t>
      </w:r>
      <w:r w:rsidR="00472589">
        <w:rPr>
          <w:i/>
        </w:rPr>
        <w:t>.</w:t>
      </w:r>
    </w:p>
    <w:p w14:paraId="542E34FD" w14:textId="0A9AD62A" w:rsidR="00C55E12" w:rsidRPr="009F2C20" w:rsidRDefault="00C55E12" w:rsidP="00C55E12">
      <w:pPr>
        <w:pStyle w:val="Letterlist"/>
        <w:numPr>
          <w:ilvl w:val="0"/>
          <w:numId w:val="0"/>
        </w:numPr>
        <w:ind w:left="540"/>
        <w:rPr>
          <w:i/>
        </w:rPr>
      </w:pPr>
      <w:r w:rsidRPr="009F2C20">
        <w:rPr>
          <w:i/>
        </w:rPr>
        <w:t xml:space="preserve">Specific Standard: even though in-centre dialysis patients stay for </w:t>
      </w:r>
      <w:r>
        <w:rPr>
          <w:i/>
        </w:rPr>
        <w:t>three</w:t>
      </w:r>
      <w:r w:rsidRPr="009F2C20">
        <w:rPr>
          <w:i/>
        </w:rPr>
        <w:t xml:space="preserve"> hours</w:t>
      </w:r>
      <w:r>
        <w:rPr>
          <w:i/>
        </w:rPr>
        <w:t xml:space="preserve"> or more</w:t>
      </w:r>
      <w:r w:rsidRPr="009F2C20">
        <w:rPr>
          <w:i/>
        </w:rPr>
        <w:t>, they are not required to be admitted</w:t>
      </w:r>
      <w:r>
        <w:rPr>
          <w:i/>
        </w:rPr>
        <w:t xml:space="preserve"> </w:t>
      </w:r>
      <w:r w:rsidR="00DA3957">
        <w:rPr>
          <w:i/>
        </w:rPr>
        <w:t xml:space="preserve">or reported to the NMDS. In-centre dialysis treatments are generally recurrent same day events that are not casemix funded. Due to these events being recurrent the additional clinical coding is resource intensive and does not add value to the patient or the national record.  In-centre dialysis events should be reported to NNPAC. </w:t>
      </w:r>
    </w:p>
    <w:p w14:paraId="0BB39DA3" w14:textId="04677551" w:rsidR="00C55E12" w:rsidRPr="009F2C20" w:rsidRDefault="00C55E12" w:rsidP="00C55E12">
      <w:pPr>
        <w:pStyle w:val="Letterlist"/>
      </w:pPr>
      <w:r>
        <w:t>F</w:t>
      </w:r>
      <w:r w:rsidRPr="009F2C20">
        <w:t>or admitted events</w:t>
      </w:r>
      <w:r>
        <w:t>:</w:t>
      </w:r>
      <w:r w:rsidRPr="009F2C20">
        <w:t xml:space="preserve"> The standards need to be read in conjunction with the </w:t>
      </w:r>
      <w:r w:rsidRPr="009F2C20">
        <w:rPr>
          <w:i/>
        </w:rPr>
        <w:t>New Zealand Casemix Framework for Publicly Funded Hospitals, including WIES</w:t>
      </w:r>
      <w:r>
        <w:rPr>
          <w:i/>
        </w:rPr>
        <w:t xml:space="preserve"> </w:t>
      </w:r>
      <w:r w:rsidRPr="009F2C20">
        <w:rPr>
          <w:i/>
        </w:rPr>
        <w:t xml:space="preserve">methodology and casemix </w:t>
      </w:r>
      <w:r w:rsidR="00472589">
        <w:rPr>
          <w:i/>
        </w:rPr>
        <w:t>PUC</w:t>
      </w:r>
      <w:r w:rsidRPr="009F2C20">
        <w:rPr>
          <w:i/>
        </w:rPr>
        <w:t xml:space="preserve"> allocation</w:t>
      </w:r>
      <w:r>
        <w:rPr>
          <w:i/>
        </w:rPr>
        <w:t xml:space="preserve"> for the current financial year</w:t>
      </w:r>
      <w:r w:rsidRPr="009F2C20">
        <w:t>.</w:t>
      </w:r>
      <w:r>
        <w:t xml:space="preserve"> </w:t>
      </w:r>
      <w:r w:rsidRPr="009F2C20">
        <w:t>This provides detailed rules for counting admitted events.</w:t>
      </w:r>
    </w:p>
    <w:p w14:paraId="04B333E3" w14:textId="77777777" w:rsidR="00C55E12" w:rsidRPr="009F2C20" w:rsidRDefault="00C55E12" w:rsidP="00C55E12">
      <w:pPr>
        <w:pStyle w:val="Letterlist"/>
      </w:pPr>
      <w:r w:rsidRPr="009F2C20">
        <w:t>Counted events should be related to a patient and be able to be counted within the DHB’s systems as a</w:t>
      </w:r>
      <w:r>
        <w:t>n</w:t>
      </w:r>
      <w:r w:rsidRPr="009F2C20">
        <w:t xml:space="preserve"> unique event</w:t>
      </w:r>
      <w:r>
        <w:t>.</w:t>
      </w:r>
    </w:p>
    <w:p w14:paraId="69DA2B62" w14:textId="487582AD" w:rsidR="00C55E12" w:rsidRPr="009F2C20" w:rsidRDefault="00C55E12" w:rsidP="00C55E12">
      <w:pPr>
        <w:pStyle w:val="Letterlist"/>
      </w:pPr>
      <w:r w:rsidRPr="009F2C20">
        <w:t xml:space="preserve">Funded events should be output based, although there are exceptions such as temporary and </w:t>
      </w:r>
      <w:r w:rsidR="00472589">
        <w:t>f</w:t>
      </w:r>
      <w:r>
        <w:t xml:space="preserve">ull </w:t>
      </w:r>
      <w:r w:rsidR="00472589">
        <w:t>t</w:t>
      </w:r>
      <w:r>
        <w:t xml:space="preserve">ime </w:t>
      </w:r>
      <w:r w:rsidR="00472589">
        <w:t>e</w:t>
      </w:r>
      <w:r w:rsidRPr="00921696">
        <w:t>quivalent</w:t>
      </w:r>
      <w:r>
        <w:t xml:space="preserve"> (FTE)</w:t>
      </w:r>
      <w:r w:rsidRPr="009F2C20">
        <w:t xml:space="preserve"> based </w:t>
      </w:r>
      <w:r>
        <w:t>PUCs.</w:t>
      </w:r>
    </w:p>
    <w:p w14:paraId="71BF36F9" w14:textId="01E2EA63" w:rsidR="00C55E12" w:rsidRDefault="00C55E12" w:rsidP="00C55E12">
      <w:pPr>
        <w:pStyle w:val="Letterlist"/>
      </w:pPr>
      <w:r>
        <w:t>All patient-</w:t>
      </w:r>
      <w:r w:rsidRPr="009F2C20">
        <w:t xml:space="preserve">related events should be able to be mapped to a </w:t>
      </w:r>
      <w:r>
        <w:t>PUC</w:t>
      </w:r>
      <w:r w:rsidRPr="009F2C20">
        <w:t xml:space="preserve">, thus submitted to a national collection even if </w:t>
      </w:r>
      <w:r w:rsidR="002A7773">
        <w:t xml:space="preserve">the activity </w:t>
      </w:r>
      <w:r w:rsidRPr="009F2C20">
        <w:t xml:space="preserve"> is not specifically </w:t>
      </w:r>
      <w:r w:rsidR="00CB32A5">
        <w:t>d</w:t>
      </w:r>
      <w:r w:rsidR="002D3E9F">
        <w:t>e</w:t>
      </w:r>
      <w:r w:rsidR="00CB32A5">
        <w:t xml:space="preserve">scribed </w:t>
      </w:r>
      <w:r>
        <w:t>under this PUC</w:t>
      </w:r>
      <w:r w:rsidR="00BD766E">
        <w:t xml:space="preserve">, for example </w:t>
      </w:r>
      <w:r w:rsidR="00E80A89">
        <w:t>consumables used</w:t>
      </w:r>
      <w:r w:rsidR="00DD5302">
        <w:t xml:space="preserve"> for diagnosis</w:t>
      </w:r>
      <w:r w:rsidRPr="009F2C20">
        <w:t>.</w:t>
      </w:r>
      <w:r>
        <w:t xml:space="preserve"> </w:t>
      </w:r>
    </w:p>
    <w:p w14:paraId="4FACEFA2" w14:textId="794687C4" w:rsidR="00C55E12" w:rsidRPr="006E3555" w:rsidRDefault="00C55E12" w:rsidP="00C55E12">
      <w:pPr>
        <w:pStyle w:val="Letterlist"/>
      </w:pPr>
      <w:r w:rsidRPr="006E3555">
        <w:t xml:space="preserve">As a general rule an event must only </w:t>
      </w:r>
      <w:r>
        <w:t>be reported</w:t>
      </w:r>
      <w:r w:rsidRPr="006E3555">
        <w:t xml:space="preserve"> to one nati</w:t>
      </w:r>
      <w:r>
        <w:t>onal data collection system (eg,</w:t>
      </w:r>
      <w:r w:rsidRPr="006E3555">
        <w:t xml:space="preserve"> NMDS or NNPAC), however there is flexibili</w:t>
      </w:r>
      <w:r>
        <w:t>ty to report a PUC</w:t>
      </w:r>
      <w:r w:rsidRPr="006E3555">
        <w:t xml:space="preserve"> to more than one collection system.</w:t>
      </w:r>
      <w:r>
        <w:t xml:space="preserve"> </w:t>
      </w:r>
      <w:r w:rsidRPr="006E3555">
        <w:t>The data collection</w:t>
      </w:r>
      <w:r>
        <w:t xml:space="preserve"> and payment systems that PUCs can</w:t>
      </w:r>
      <w:r w:rsidRPr="006E3555">
        <w:t xml:space="preserve"> submitted </w:t>
      </w:r>
      <w:r>
        <w:t xml:space="preserve">to </w:t>
      </w:r>
      <w:r w:rsidRPr="006E3555">
        <w:t xml:space="preserve">includes, but </w:t>
      </w:r>
      <w:r>
        <w:t>is not limited to, the following</w:t>
      </w:r>
      <w:r w:rsidR="00472589">
        <w:t>:</w:t>
      </w:r>
    </w:p>
    <w:p w14:paraId="3871F963" w14:textId="77777777" w:rsidR="00C55E12" w:rsidRPr="009F2C20" w:rsidRDefault="00C55E12" w:rsidP="00C55E12">
      <w:pPr>
        <w:pStyle w:val="BulletNormal"/>
      </w:pPr>
      <w:r>
        <w:t>National Minimum Dataset (</w:t>
      </w:r>
      <w:r w:rsidRPr="009F2C20">
        <w:t>NMDS</w:t>
      </w:r>
      <w:r>
        <w:t>)</w:t>
      </w:r>
      <w:r w:rsidRPr="009F2C20">
        <w:t xml:space="preserve"> for inpatient events</w:t>
      </w:r>
    </w:p>
    <w:p w14:paraId="07791526" w14:textId="77777777" w:rsidR="00C55E12" w:rsidRPr="009F2C20" w:rsidRDefault="00C55E12" w:rsidP="00C55E12">
      <w:pPr>
        <w:pStyle w:val="BulletNormal"/>
      </w:pPr>
      <w:r>
        <w:t>National Non-admitted Patient Collection (NNPAC) for out</w:t>
      </w:r>
      <w:r w:rsidRPr="009F2C20">
        <w:t>patient events</w:t>
      </w:r>
    </w:p>
    <w:p w14:paraId="4B2CFF89" w14:textId="21D36610" w:rsidR="00C55E12" w:rsidRPr="009F2C20" w:rsidRDefault="00C55E12" w:rsidP="00C55E12">
      <w:pPr>
        <w:pStyle w:val="BulletNormal"/>
      </w:pPr>
      <w:r>
        <w:t>Contract Management System</w:t>
      </w:r>
      <w:r w:rsidRPr="009F2C20">
        <w:t xml:space="preserve"> </w:t>
      </w:r>
      <w:r>
        <w:t>(</w:t>
      </w:r>
      <w:r w:rsidRPr="009F2C20">
        <w:t>CMS</w:t>
      </w:r>
      <w:r>
        <w:t xml:space="preserve">) </w:t>
      </w:r>
      <w:r w:rsidRPr="009F2C20">
        <w:t xml:space="preserve">for payments between Ministry/DHB and </w:t>
      </w:r>
      <w:r>
        <w:t>NGO</w:t>
      </w:r>
      <w:r w:rsidRPr="009F2C20">
        <w:t xml:space="preserve"> providers</w:t>
      </w:r>
    </w:p>
    <w:p w14:paraId="18541578" w14:textId="77777777" w:rsidR="00C55E12" w:rsidRPr="009F2C20" w:rsidRDefault="00C55E12" w:rsidP="00C55E12">
      <w:pPr>
        <w:pStyle w:val="BulletNormal"/>
      </w:pPr>
      <w:r w:rsidRPr="009F2C20">
        <w:t>Client Claims Processing System (CCPS)</w:t>
      </w:r>
    </w:p>
    <w:p w14:paraId="6CC8693E" w14:textId="77777777" w:rsidR="00C55E12" w:rsidRPr="009F2C20" w:rsidRDefault="00C55E12" w:rsidP="00C55E12">
      <w:pPr>
        <w:pStyle w:val="BulletNormal"/>
      </w:pPr>
      <w:r w:rsidRPr="009F2C20">
        <w:t xml:space="preserve">Programme for the Integration of Mental Health Data (PRIMHD) applied only to mental health </w:t>
      </w:r>
      <w:r>
        <w:t xml:space="preserve">and addiction </w:t>
      </w:r>
      <w:r w:rsidRPr="009F2C20">
        <w:t>PUCs</w:t>
      </w:r>
    </w:p>
    <w:p w14:paraId="5F7A68C1" w14:textId="77777777" w:rsidR="00C55E12" w:rsidRDefault="00C55E12" w:rsidP="00C55E12">
      <w:pPr>
        <w:pStyle w:val="BulletNormal"/>
      </w:pPr>
      <w:r w:rsidRPr="009F2C20">
        <w:t xml:space="preserve">National Immunisation Register </w:t>
      </w:r>
      <w:r>
        <w:t>(NIR) for all</w:t>
      </w:r>
      <w:r w:rsidRPr="009F2C20">
        <w:t xml:space="preserve"> immunisation </w:t>
      </w:r>
      <w:r>
        <w:t>enrolments and events of children born since 2005</w:t>
      </w:r>
    </w:p>
    <w:p w14:paraId="7611B06B" w14:textId="77777777" w:rsidR="00C55E12" w:rsidRDefault="00C55E12" w:rsidP="00C55E12">
      <w:pPr>
        <w:pStyle w:val="BulletNormal"/>
      </w:pPr>
      <w:r>
        <w:t>National Booking Reporting System (NBRS) provides information about patients waiting for treatment</w:t>
      </w:r>
    </w:p>
    <w:p w14:paraId="1FA9DFD3" w14:textId="77777777" w:rsidR="00C55E12" w:rsidRPr="009F2C20" w:rsidRDefault="00C55E12" w:rsidP="00C55E12">
      <w:pPr>
        <w:pStyle w:val="BulletNormal"/>
      </w:pPr>
      <w:r>
        <w:t>National Patient Flow (NPF) provides information on the outcome of referrals from primary care to secondary care and the time it takes patients to access care.</w:t>
      </w:r>
    </w:p>
    <w:p w14:paraId="52FC6B4E" w14:textId="3D4E604E" w:rsidR="00C55E12" w:rsidRDefault="00C55E12" w:rsidP="00C55E12">
      <w:pPr>
        <w:pStyle w:val="Letterlist"/>
      </w:pPr>
      <w:r>
        <w:t xml:space="preserve">One patient may have </w:t>
      </w:r>
      <w:r w:rsidRPr="009F2C20">
        <w:t>multiple events o</w:t>
      </w:r>
      <w:r>
        <w:t>n</w:t>
      </w:r>
      <w:r w:rsidRPr="009F2C20">
        <w:t xml:space="preserve"> the same day</w:t>
      </w:r>
      <w:r>
        <w:t xml:space="preserve"> across </w:t>
      </w:r>
      <w:r w:rsidRPr="009F2C20">
        <w:t>a number of DHB</w:t>
      </w:r>
      <w:r w:rsidR="00D15A55">
        <w:t xml:space="preserve"> services</w:t>
      </w:r>
      <w:r w:rsidRPr="009F2C20">
        <w:t>.</w:t>
      </w:r>
      <w:r>
        <w:t xml:space="preserve"> </w:t>
      </w:r>
      <w:r w:rsidRPr="009F2C20">
        <w:t xml:space="preserve">If the event is </w:t>
      </w:r>
      <w:r w:rsidR="00D15A55" w:rsidRPr="00C54318">
        <w:rPr>
          <w:rStyle w:val="tgc"/>
          <w:color w:val="auto"/>
          <w:lang w:val="en-AU"/>
        </w:rPr>
        <w:t>weighted</w:t>
      </w:r>
      <w:r w:rsidRPr="00C54318">
        <w:rPr>
          <w:rStyle w:val="tgc"/>
          <w:color w:val="auto"/>
          <w:lang w:val="en-AU"/>
        </w:rPr>
        <w:t xml:space="preserve"> </w:t>
      </w:r>
      <w:r w:rsidR="00D15A55">
        <w:rPr>
          <w:rStyle w:val="tgc"/>
          <w:color w:val="auto"/>
          <w:lang w:val="en-AU"/>
        </w:rPr>
        <w:t>i</w:t>
      </w:r>
      <w:r w:rsidRPr="00C54318">
        <w:rPr>
          <w:rStyle w:val="tgc"/>
          <w:color w:val="auto"/>
          <w:lang w:val="en-AU"/>
        </w:rPr>
        <w:t xml:space="preserve">nlier </w:t>
      </w:r>
      <w:r w:rsidR="00D15A55">
        <w:rPr>
          <w:rStyle w:val="tgc"/>
          <w:color w:val="auto"/>
          <w:lang w:val="en-AU"/>
        </w:rPr>
        <w:t>e</w:t>
      </w:r>
      <w:r w:rsidRPr="00C54318">
        <w:rPr>
          <w:rStyle w:val="tgc"/>
          <w:color w:val="auto"/>
          <w:lang w:val="en-AU"/>
        </w:rPr>
        <w:t xml:space="preserve">quivalent </w:t>
      </w:r>
      <w:r w:rsidR="00D15A55">
        <w:rPr>
          <w:rStyle w:val="tgc"/>
          <w:color w:val="auto"/>
          <w:lang w:val="en-AU"/>
        </w:rPr>
        <w:t>s</w:t>
      </w:r>
      <w:r w:rsidRPr="00C54318">
        <w:rPr>
          <w:rStyle w:val="tgc"/>
          <w:color w:val="auto"/>
          <w:lang w:val="en-AU"/>
        </w:rPr>
        <w:t>eparation</w:t>
      </w:r>
      <w:r w:rsidRPr="00C54318">
        <w:rPr>
          <w:color w:val="auto"/>
        </w:rPr>
        <w:t xml:space="preserve"> (WIES) </w:t>
      </w:r>
      <w:r w:rsidRPr="009F2C20">
        <w:t xml:space="preserve">funded then only </w:t>
      </w:r>
      <w:r w:rsidRPr="009F2C20">
        <w:lastRenderedPageBreak/>
        <w:t>one event (the admitted event) is counted for funding purposes.</w:t>
      </w:r>
      <w:r>
        <w:t xml:space="preserve"> </w:t>
      </w:r>
      <w:r w:rsidRPr="009F2C20">
        <w:t>DHBs may have established internal systems that allow recognition of the multiple inputs into an inpatient stay but for national counting purposes</w:t>
      </w:r>
      <w:r w:rsidR="00D15A55">
        <w:t>,</w:t>
      </w:r>
      <w:r w:rsidRPr="009F2C20">
        <w:t xml:space="preserve"> these are not recognised as separate events.</w:t>
      </w:r>
    </w:p>
    <w:p w14:paraId="38AD7E61" w14:textId="77777777" w:rsidR="00C55E12" w:rsidRPr="009F2C20" w:rsidRDefault="00C55E12" w:rsidP="00C55E12">
      <w:r w:rsidRPr="009F2C20">
        <w:t xml:space="preserve">However, where at least </w:t>
      </w:r>
      <w:r w:rsidRPr="009F2C20">
        <w:rPr>
          <w:b/>
          <w:bCs/>
        </w:rPr>
        <w:t>one</w:t>
      </w:r>
      <w:r w:rsidRPr="009F2C20">
        <w:t xml:space="preserve"> of the events is an admitted event</w:t>
      </w:r>
      <w:r>
        <w:t>,</w:t>
      </w:r>
      <w:r w:rsidRPr="009F2C20">
        <w:t xml:space="preserve"> multiple events can be counted in the follow</w:t>
      </w:r>
      <w:r>
        <w:t>ing circumstances.</w:t>
      </w:r>
    </w:p>
    <w:p w14:paraId="72D6306B" w14:textId="4A2BBF66" w:rsidR="00C55E12" w:rsidRPr="00C142E4" w:rsidRDefault="00C55E12" w:rsidP="00C55E12">
      <w:pPr>
        <w:pStyle w:val="BulletNormal"/>
      </w:pPr>
      <w:r w:rsidRPr="00C142E4">
        <w:t>Where the admission is not WIES</w:t>
      </w:r>
      <w:r>
        <w:t xml:space="preserve"> </w:t>
      </w:r>
      <w:r w:rsidRPr="00C142E4">
        <w:t xml:space="preserve">funded and a pre-booked event </w:t>
      </w:r>
      <w:r w:rsidR="00D15A55">
        <w:t xml:space="preserve">that is </w:t>
      </w:r>
      <w:r w:rsidRPr="00C142E4">
        <w:t xml:space="preserve">not related to the primary cause of admission occurs during the admission, </w:t>
      </w:r>
      <w:r w:rsidR="00D15A55">
        <w:t>For example when a</w:t>
      </w:r>
      <w:r w:rsidRPr="00C142E4">
        <w:t xml:space="preserve"> patient is admitted for </w:t>
      </w:r>
      <w:r w:rsidR="00D15A55">
        <w:t>a</w:t>
      </w:r>
      <w:r w:rsidRPr="00C142E4">
        <w:t>ssessment</w:t>
      </w:r>
      <w:r>
        <w:t>,</w:t>
      </w:r>
      <w:r w:rsidRPr="00C142E4">
        <w:t xml:space="preserve"> </w:t>
      </w:r>
      <w:r w:rsidR="00D15A55">
        <w:t>t</w:t>
      </w:r>
      <w:r w:rsidRPr="00C142E4">
        <w:t xml:space="preserve">reatment and </w:t>
      </w:r>
      <w:r w:rsidR="00D15A55">
        <w:t>r</w:t>
      </w:r>
      <w:r w:rsidRPr="00C142E4">
        <w:t xml:space="preserve">ehabilitation </w:t>
      </w:r>
      <w:r>
        <w:t xml:space="preserve">(AT&amp;R) </w:t>
      </w:r>
      <w:r w:rsidRPr="00C142E4">
        <w:t xml:space="preserve">and </w:t>
      </w:r>
      <w:r>
        <w:t xml:space="preserve">also </w:t>
      </w:r>
      <w:r w:rsidRPr="00C142E4">
        <w:t xml:space="preserve">has a pre-booked ophthalmology </w:t>
      </w:r>
      <w:r>
        <w:t xml:space="preserve">outpatient </w:t>
      </w:r>
      <w:r w:rsidRPr="00C142E4">
        <w:t>appoint</w:t>
      </w:r>
      <w:r>
        <w:t>ment.</w:t>
      </w:r>
    </w:p>
    <w:p w14:paraId="1E0C6944" w14:textId="56124F10" w:rsidR="00C55E12" w:rsidRPr="00C142E4" w:rsidRDefault="00C55E12" w:rsidP="00C55E12">
      <w:pPr>
        <w:pStyle w:val="BulletNormal"/>
      </w:pPr>
      <w:r w:rsidRPr="00C142E4">
        <w:t>Where a patient is booked for an outpatient visit (a planned event) and is admitted following that outpatient visit</w:t>
      </w:r>
      <w:r w:rsidR="00D15A55">
        <w:t>. For example</w:t>
      </w:r>
      <w:r w:rsidR="003927FB">
        <w:t>,</w:t>
      </w:r>
      <w:r w:rsidR="00D15A55">
        <w:t xml:space="preserve"> when a </w:t>
      </w:r>
      <w:r w:rsidRPr="00C142E4">
        <w:t>patient is booked for an orthopaedic follow up and during the course of that follow up, the decision is made to admit the pat</w:t>
      </w:r>
      <w:r>
        <w:t>ient.</w:t>
      </w:r>
    </w:p>
    <w:p w14:paraId="4CC1CF7F" w14:textId="1390635E" w:rsidR="007A2425" w:rsidRDefault="00C55E12" w:rsidP="0012786C">
      <w:pPr>
        <w:pStyle w:val="BulletNormal"/>
      </w:pPr>
      <w:r w:rsidRPr="00C142E4">
        <w:t xml:space="preserve">Where an outpatient </w:t>
      </w:r>
      <w:r>
        <w:t>visit</w:t>
      </w:r>
      <w:r w:rsidRPr="00C142E4">
        <w:t xml:space="preserve"> occurs after</w:t>
      </w:r>
      <w:r>
        <w:t xml:space="preserve"> an inpatient </w:t>
      </w:r>
      <w:r w:rsidRPr="00C142E4">
        <w:t>discharge, regardless of the specialty</w:t>
      </w:r>
      <w:r w:rsidR="00D15A55">
        <w:t>. For example</w:t>
      </w:r>
      <w:r w:rsidR="003927FB">
        <w:t>,</w:t>
      </w:r>
      <w:r w:rsidR="00D15A55">
        <w:t xml:space="preserve"> when</w:t>
      </w:r>
      <w:r w:rsidRPr="00C142E4">
        <w:t xml:space="preserve"> a patient is discharged from cardiology and has a pre-booked renal follow up on the same day</w:t>
      </w:r>
      <w:r>
        <w:t>.</w:t>
      </w:r>
      <w:r w:rsidR="00D15A55">
        <w:t xml:space="preserve"> </w:t>
      </w:r>
    </w:p>
    <w:p w14:paraId="18928204" w14:textId="77777777" w:rsidR="00685498" w:rsidRDefault="00C55E12" w:rsidP="0012786C">
      <w:pPr>
        <w:pStyle w:val="BulletNormal"/>
      </w:pPr>
      <w:r w:rsidRPr="009F2C20">
        <w:t>Transfers between facilities where the patients are admitted are always treated as separate events regardless of whether they occur on the same day</w:t>
      </w:r>
      <w:r w:rsidR="00D15A55">
        <w:t>. For example</w:t>
      </w:r>
      <w:r w:rsidR="003927FB">
        <w:t>,</w:t>
      </w:r>
      <w:r w:rsidRPr="009F2C20">
        <w:t xml:space="preserve"> a </w:t>
      </w:r>
      <w:r w:rsidR="003927FB">
        <w:t xml:space="preserve">patient </w:t>
      </w:r>
      <w:r w:rsidRPr="009F2C20">
        <w:t>transfer from Whakatane Hospital to Tauranga Hospital.</w:t>
      </w:r>
      <w:r>
        <w:t xml:space="preserve"> </w:t>
      </w:r>
    </w:p>
    <w:p w14:paraId="73265CDC" w14:textId="019A53EE" w:rsidR="00C55E12" w:rsidRPr="009F2C20" w:rsidRDefault="00C55E12" w:rsidP="0012786C">
      <w:pPr>
        <w:pStyle w:val="BulletNormal"/>
      </w:pPr>
      <w:r w:rsidRPr="009F2C20">
        <w:t>Statistical discharges between major service groups are always treated as separate events</w:t>
      </w:r>
      <w:r>
        <w:t xml:space="preserve"> (</w:t>
      </w:r>
      <w:r w:rsidRPr="009F2C20">
        <w:t>eg</w:t>
      </w:r>
      <w:r>
        <w:t>,</w:t>
      </w:r>
      <w:r w:rsidRPr="009F2C20">
        <w:t xml:space="preserve"> between surgical and rehabilitation</w:t>
      </w:r>
      <w:r>
        <w:t>).</w:t>
      </w:r>
    </w:p>
    <w:p w14:paraId="2A88496E" w14:textId="5C6AD44A" w:rsidR="00C55E12" w:rsidRDefault="00C55E12" w:rsidP="00C55E12">
      <w:pPr>
        <w:pStyle w:val="Letterlist"/>
      </w:pPr>
      <w:r w:rsidRPr="00653A7A">
        <w:t xml:space="preserve">Where there are multiple events and </w:t>
      </w:r>
      <w:r w:rsidRPr="00653A7A">
        <w:rPr>
          <w:b/>
        </w:rPr>
        <w:t>no admission</w:t>
      </w:r>
      <w:r w:rsidRPr="00653A7A">
        <w:t xml:space="preserve"> occurs each</w:t>
      </w:r>
      <w:r>
        <w:t xml:space="preserve"> event should be counted</w:t>
      </w:r>
      <w:r w:rsidR="00D15A55">
        <w:t>. For example</w:t>
      </w:r>
      <w:r>
        <w:t>, a</w:t>
      </w:r>
      <w:r w:rsidRPr="00653A7A">
        <w:t xml:space="preserve"> </w:t>
      </w:r>
      <w:r>
        <w:t xml:space="preserve">first specialist assessment (FSA) or </w:t>
      </w:r>
      <w:r w:rsidRPr="00653A7A">
        <w:t>follow up and a procedure if they a</w:t>
      </w:r>
      <w:r>
        <w:t>re pre-booked as separate events</w:t>
      </w:r>
      <w:r w:rsidRPr="00653A7A">
        <w:t>.</w:t>
      </w:r>
      <w:r>
        <w:t xml:space="preserve"> </w:t>
      </w:r>
      <w:r w:rsidRPr="00653A7A">
        <w:t>However, you cannot count more than one FSA for the same person on the same day in the same specialty in the same DHB.</w:t>
      </w:r>
      <w:r>
        <w:t xml:space="preserve"> </w:t>
      </w:r>
      <w:r w:rsidRPr="00653A7A">
        <w:t xml:space="preserve">The NNPAC team has developed a list of </w:t>
      </w:r>
      <w:r>
        <w:t>PUCs</w:t>
      </w:r>
      <w:r w:rsidRPr="00653A7A">
        <w:t xml:space="preserve"> that allow multiple </w:t>
      </w:r>
      <w:r>
        <w:t>events to be collected.</w:t>
      </w:r>
    </w:p>
    <w:p w14:paraId="4975BA35" w14:textId="095EF3AD" w:rsidR="00C55E12" w:rsidRDefault="00C55E12" w:rsidP="00C55E12">
      <w:pPr>
        <w:pStyle w:val="Letterlist"/>
      </w:pPr>
      <w:r w:rsidRPr="00B115EA">
        <w:t xml:space="preserve">The allocation of </w:t>
      </w:r>
      <w:r w:rsidR="00D15A55">
        <w:t>h</w:t>
      </w:r>
      <w:r w:rsidRPr="00B115EA">
        <w:t xml:space="preserve">ealth </w:t>
      </w:r>
      <w:r w:rsidR="00D15A55">
        <w:t>s</w:t>
      </w:r>
      <w:r w:rsidRPr="00B115EA">
        <w:t xml:space="preserve">pecialty </w:t>
      </w:r>
      <w:r w:rsidR="00D15A55">
        <w:t>c</w:t>
      </w:r>
      <w:r w:rsidRPr="00B115EA">
        <w:t>ode</w:t>
      </w:r>
      <w:r>
        <w:t>s</w:t>
      </w:r>
      <w:r>
        <w:rPr>
          <w:rStyle w:val="FootnoteReference"/>
          <w:rFonts w:eastAsiaTheme="majorEastAsia"/>
        </w:rPr>
        <w:footnoteReference w:id="4"/>
      </w:r>
      <w:r w:rsidRPr="00B115EA">
        <w:t xml:space="preserve"> (HSC</w:t>
      </w:r>
      <w:r>
        <w:t>s</w:t>
      </w:r>
      <w:r w:rsidRPr="00B115EA">
        <w:t xml:space="preserve">) for both inpatient and outpatient events is dependent on the specialty for which the treating </w:t>
      </w:r>
      <w:r w:rsidRPr="00453C97">
        <w:t>clinician</w:t>
      </w:r>
      <w:r w:rsidRPr="00B115EA">
        <w:t xml:space="preserve"> is employed to perform those events.</w:t>
      </w:r>
      <w:r>
        <w:t xml:space="preserve"> </w:t>
      </w:r>
      <w:r w:rsidRPr="00B115EA">
        <w:t>E</w:t>
      </w:r>
      <w:r>
        <w:t xml:space="preserve">mergency </w:t>
      </w:r>
      <w:r w:rsidRPr="00B115EA">
        <w:t>D</w:t>
      </w:r>
      <w:r>
        <w:t>epartment (ED)</w:t>
      </w:r>
      <w:r w:rsidRPr="00B115EA">
        <w:t xml:space="preserve"> admitted patients discharged by a specialist who is not an </w:t>
      </w:r>
      <w:r>
        <w:t>e</w:t>
      </w:r>
      <w:r w:rsidRPr="00B115EA">
        <w:t xml:space="preserve">mergency </w:t>
      </w:r>
      <w:r>
        <w:t>s</w:t>
      </w:r>
      <w:r w:rsidRPr="00B115EA">
        <w:t xml:space="preserve">pecialist should be </w:t>
      </w:r>
      <w:r>
        <w:t xml:space="preserve">assigned </w:t>
      </w:r>
      <w:r w:rsidRPr="00B115EA">
        <w:t>to the specialty of the discharging specialist.</w:t>
      </w:r>
      <w:r>
        <w:t xml:space="preserve"> </w:t>
      </w:r>
      <w:r w:rsidR="00D15A55">
        <w:t>For example if</w:t>
      </w:r>
      <w:r w:rsidRPr="00B115EA">
        <w:t xml:space="preserve"> </w:t>
      </w:r>
      <w:r>
        <w:t>a patient is</w:t>
      </w:r>
      <w:r w:rsidRPr="00B115EA">
        <w:t xml:space="preserve"> discharged by an </w:t>
      </w:r>
      <w:r>
        <w:t>o</w:t>
      </w:r>
      <w:r w:rsidRPr="00B115EA">
        <w:t>phthalmologist then</w:t>
      </w:r>
      <w:r>
        <w:t xml:space="preserve"> use HSC</w:t>
      </w:r>
      <w:r w:rsidRPr="00B115EA">
        <w:t xml:space="preserve"> S40</w:t>
      </w:r>
      <w:r>
        <w:t xml:space="preserve"> </w:t>
      </w:r>
      <w:r w:rsidRPr="007529A4">
        <w:rPr>
          <w:i/>
        </w:rPr>
        <w:t>Ophthalmology</w:t>
      </w:r>
      <w:r w:rsidRPr="00B115EA">
        <w:t>.</w:t>
      </w:r>
      <w:r>
        <w:t xml:space="preserve"> PUC</w:t>
      </w:r>
      <w:r w:rsidRPr="00B115EA">
        <w:t xml:space="preserve"> allocation for inpatient events is based on the </w:t>
      </w:r>
      <w:r>
        <w:t>HSC</w:t>
      </w:r>
      <w:r w:rsidRPr="00B115EA">
        <w:t xml:space="preserve"> allocated, but this may not be the case for outpatients where other factors such as diagnostics and infrastructure may have a greater input into the cost of the service.</w:t>
      </w:r>
      <w:r>
        <w:t xml:space="preserve"> </w:t>
      </w:r>
      <w:r w:rsidRPr="00B115EA">
        <w:t xml:space="preserve">The </w:t>
      </w:r>
      <w:r>
        <w:t>PUC</w:t>
      </w:r>
      <w:r w:rsidRPr="00B115EA">
        <w:t xml:space="preserve"> is usually allocated on the clinic code</w:t>
      </w:r>
      <w:r>
        <w:t>,</w:t>
      </w:r>
      <w:r w:rsidRPr="00B115EA">
        <w:t xml:space="preserve"> which</w:t>
      </w:r>
      <w:r>
        <w:t xml:space="preserve"> could be different to the HSC.</w:t>
      </w:r>
    </w:p>
    <w:p w14:paraId="58CC816D" w14:textId="10C80A9A" w:rsidR="00005203" w:rsidRDefault="003D6099" w:rsidP="00C55E12">
      <w:pPr>
        <w:pStyle w:val="Letterlist"/>
      </w:pPr>
      <w:r>
        <w:t xml:space="preserve">All outpatient activity must be reported with Mode of Delivery (See appendix 2 for </w:t>
      </w:r>
      <w:r w:rsidR="009A7B8D">
        <w:t>definitions and examples</w:t>
      </w:r>
      <w:r w:rsidR="00B76C28">
        <w:t>.</w:t>
      </w:r>
      <w:r w:rsidR="009A7B8D">
        <w:t>)</w:t>
      </w:r>
    </w:p>
    <w:p w14:paraId="44755467" w14:textId="3575EE94" w:rsidR="00C55E12" w:rsidRPr="009F2C20" w:rsidRDefault="00C7414F" w:rsidP="00C55E12">
      <w:pPr>
        <w:pStyle w:val="Letterlist"/>
      </w:pPr>
      <w:r w:rsidRPr="00C7414F">
        <w:t>Laboratory, radiology, cardiology and other diagnostic tests that have been generated from either an inpatient or outpatient event are not counted separately but should be an input into the event they are referred from (eg, a biopsy is part of a dermatology visit) unless there is a specific PUC, such as PET scans or scopes or when the diagnostic test is referred from a GP or private specialist (see chapter 15 Community referred tests).</w:t>
      </w:r>
    </w:p>
    <w:p w14:paraId="715EAC7E" w14:textId="2AFAF9DB" w:rsidR="00A248BF" w:rsidRDefault="003552E4" w:rsidP="00A248BF">
      <w:pPr>
        <w:pStyle w:val="Letterlist"/>
        <w:autoSpaceDE w:val="0"/>
        <w:autoSpaceDN w:val="0"/>
        <w:adjustRightInd w:val="0"/>
      </w:pPr>
      <w:r w:rsidRPr="001D5632">
        <w:lastRenderedPageBreak/>
        <w:t xml:space="preserve">Telehealth is the use of information and communication technologies to deliver health care when patients and care providers are not in the same physical location. For example, illnesses can be diagnosed and treatment provided via secure video conference. To be effective, telehealth relies on fast broadband internet services. Healthcare related education, research and evaluation can also take place using </w:t>
      </w:r>
      <w:r w:rsidRPr="004E5443">
        <w:t>telehealth facilities.</w:t>
      </w:r>
    </w:p>
    <w:p w14:paraId="1E6B65A7" w14:textId="7010CF3B" w:rsidR="000F3E4E" w:rsidRDefault="000F3E4E" w:rsidP="000F3E4E">
      <w:pPr>
        <w:pStyle w:val="Letterlist"/>
        <w:numPr>
          <w:ilvl w:val="0"/>
          <w:numId w:val="0"/>
        </w:numPr>
        <w:ind w:left="540"/>
      </w:pPr>
      <w:r w:rsidRPr="00CF7A91">
        <w:t>Treatment provide</w:t>
      </w:r>
      <w:r>
        <w:t>d</w:t>
      </w:r>
      <w:r w:rsidRPr="00CF7A91">
        <w:t xml:space="preserve"> to a patient in another location should, so far as is possible, meet the same stand</w:t>
      </w:r>
      <w:r>
        <w:t>ard of care provided in a</w:t>
      </w:r>
      <w:r w:rsidR="00BD7AB1">
        <w:t>n</w:t>
      </w:r>
      <w:r>
        <w:t xml:space="preserve"> in-person</w:t>
      </w:r>
      <w:r w:rsidRPr="00CF7A91">
        <w:t xml:space="preserve"> consultation. This includes standards relating to patient selection, identification, cultural competence, assessment</w:t>
      </w:r>
      <w:r>
        <w:t xml:space="preserve">, diagnosis, consent and follow </w:t>
      </w:r>
      <w:r w:rsidRPr="00CF7A91">
        <w:t xml:space="preserve">up. If, because of the limits of technology, </w:t>
      </w:r>
      <w:r>
        <w:t>the service is</w:t>
      </w:r>
      <w:r w:rsidRPr="00CF7A91">
        <w:t xml:space="preserve"> unable to</w:t>
      </w:r>
      <w:r>
        <w:t xml:space="preserve"> be</w:t>
      </w:r>
      <w:r w:rsidRPr="00CF7A91">
        <w:t xml:space="preserve"> provide</w:t>
      </w:r>
      <w:r>
        <w:t>d to the same standard as an in-person</w:t>
      </w:r>
      <w:r w:rsidRPr="00CF7A91">
        <w:t xml:space="preserve"> consultation then </w:t>
      </w:r>
      <w:r>
        <w:t>the patient</w:t>
      </w:r>
      <w:r w:rsidRPr="00CF7A91">
        <w:t xml:space="preserve"> must </w:t>
      </w:r>
      <w:r>
        <w:t xml:space="preserve">be </w:t>
      </w:r>
      <w:r w:rsidRPr="00CF7A91">
        <w:t>advise</w:t>
      </w:r>
      <w:r>
        <w:t>d of this. Refer to ‘Statement on telehealth’ of the Medical Council of New Zealand</w:t>
      </w:r>
      <w:r>
        <w:rPr>
          <w:rStyle w:val="FootnoteReference"/>
        </w:rPr>
        <w:footnoteReference w:id="5"/>
      </w:r>
    </w:p>
    <w:p w14:paraId="57D318A3" w14:textId="2EF4EE71" w:rsidR="00AD38E8" w:rsidRPr="000637A1" w:rsidRDefault="008B644C" w:rsidP="000907CC">
      <w:pPr>
        <w:pStyle w:val="Letterlist"/>
        <w:numPr>
          <w:ilvl w:val="0"/>
          <w:numId w:val="0"/>
        </w:numPr>
        <w:ind w:left="539"/>
      </w:pPr>
      <w:r w:rsidRPr="00A248BF">
        <w:t>The NZ Telehealth Forum and resource centre provides links to regulations, standards</w:t>
      </w:r>
      <w:r w:rsidR="009D36E9">
        <w:t xml:space="preserve"> </w:t>
      </w:r>
      <w:r w:rsidRPr="00A248BF">
        <w:t>and guidelines.</w:t>
      </w:r>
      <w:r w:rsidR="000140C3">
        <w:t xml:space="preserve"> </w:t>
      </w:r>
      <w:r w:rsidR="00273B3B">
        <w:t>Guidelines or B</w:t>
      </w:r>
      <w:r w:rsidR="00FF2D5B">
        <w:t>est Pract</w:t>
      </w:r>
      <w:r w:rsidR="00BF3F8F">
        <w:t>ice</w:t>
      </w:r>
      <w:r w:rsidR="00FF2D5B">
        <w:t xml:space="preserve"> guidance </w:t>
      </w:r>
      <w:r w:rsidR="00E43AC6">
        <w:t xml:space="preserve">for telehealth </w:t>
      </w:r>
      <w:r w:rsidR="00FF2D5B">
        <w:t xml:space="preserve">from the practitioner’s </w:t>
      </w:r>
      <w:r w:rsidR="00A1481C">
        <w:t>registering body or professional association a</w:t>
      </w:r>
      <w:r w:rsidR="00E43AC6">
        <w:t>p</w:t>
      </w:r>
      <w:r w:rsidR="00A1481C">
        <w:t>ply.</w:t>
      </w:r>
      <w:r w:rsidR="00FF2D5B">
        <w:t xml:space="preserve"> </w:t>
      </w:r>
      <w:r w:rsidR="000726B0" w:rsidRPr="00AD132A">
        <w:t xml:space="preserve">See for more detail on requirements for provision on telehealth: Statement on Telehealth, Medical Council of New Zealand, </w:t>
      </w:r>
      <w:r w:rsidR="000726B0">
        <w:t>March 2020. For Allied Health service as best practise guide for telehealth is available</w:t>
      </w:r>
      <w:r w:rsidR="000170CA">
        <w:rPr>
          <w:rStyle w:val="FootnoteReference"/>
        </w:rPr>
        <w:footnoteReference w:id="6"/>
      </w:r>
      <w:r w:rsidR="000726B0">
        <w:t>:</w:t>
      </w:r>
      <w:r w:rsidR="001A4B31" w:rsidRPr="000637A1">
        <w:t xml:space="preserve">As per the </w:t>
      </w:r>
      <w:r w:rsidR="003D48C9" w:rsidRPr="000637A1">
        <w:t>E</w:t>
      </w:r>
      <w:r w:rsidR="001A4B31" w:rsidRPr="000637A1">
        <w:t xml:space="preserve">ligibility </w:t>
      </w:r>
      <w:r w:rsidR="003D48C9" w:rsidRPr="000637A1">
        <w:t>Direction</w:t>
      </w:r>
      <w:r w:rsidR="00760373">
        <w:rPr>
          <w:rStyle w:val="FootnoteReference"/>
        </w:rPr>
        <w:footnoteReference w:id="7"/>
      </w:r>
      <w:r w:rsidR="00F40D3D">
        <w:t>,</w:t>
      </w:r>
      <w:r w:rsidR="001A4B31" w:rsidRPr="000637A1">
        <w:t xml:space="preserve"> publicly funded </w:t>
      </w:r>
      <w:r w:rsidR="004F4EE9" w:rsidRPr="000637A1">
        <w:t xml:space="preserve">services provided by </w:t>
      </w:r>
      <w:r w:rsidR="001A4B31" w:rsidRPr="000637A1">
        <w:t>telehealth</w:t>
      </w:r>
      <w:r w:rsidR="00AD6FDF" w:rsidRPr="000637A1">
        <w:t xml:space="preserve"> </w:t>
      </w:r>
      <w:r w:rsidR="004F4EE9" w:rsidRPr="000637A1">
        <w:t>are</w:t>
      </w:r>
      <w:r w:rsidR="00AD6FDF" w:rsidRPr="000637A1">
        <w:t xml:space="preserve"> only available to eligible people who are in New Zealand</w:t>
      </w:r>
      <w:r w:rsidR="006529F1" w:rsidRPr="000637A1">
        <w:t xml:space="preserve"> at the time they receive services</w:t>
      </w:r>
      <w:r w:rsidR="00AD6FDF" w:rsidRPr="000637A1">
        <w:t xml:space="preserve">. </w:t>
      </w:r>
    </w:p>
    <w:p w14:paraId="6F88941E" w14:textId="056C1F0D" w:rsidR="0032051B" w:rsidRPr="00ED2B24" w:rsidRDefault="0032051B" w:rsidP="00824AEE">
      <w:pPr>
        <w:pStyle w:val="Letterlist"/>
        <w:numPr>
          <w:ilvl w:val="2"/>
          <w:numId w:val="5"/>
        </w:numPr>
        <w:ind w:left="964" w:hanging="181"/>
      </w:pPr>
      <w:r w:rsidRPr="000637A1">
        <w:t xml:space="preserve">Telehealth can be provided by telephone, however increasing the use of video </w:t>
      </w:r>
      <w:r w:rsidRPr="00F201D1">
        <w:t xml:space="preserve">conference for mode of delivery is recommended. </w:t>
      </w:r>
      <w:r w:rsidR="00186DAF">
        <w:t xml:space="preserve"> </w:t>
      </w:r>
      <w:r w:rsidRPr="000726B0">
        <w:t xml:space="preserve">If telehealth is provided by telephone (voice only) telehealth standards apply. When reporting </w:t>
      </w:r>
      <w:r w:rsidRPr="005A4E5F">
        <w:t>telehealth consultations DHBs must report the mode of delivery</w:t>
      </w:r>
      <w:r w:rsidRPr="00ED2B24">
        <w:t xml:space="preserve"> (See appendix</w:t>
      </w:r>
      <w:r w:rsidR="00ED2B24">
        <w:t xml:space="preserve"> 2</w:t>
      </w:r>
      <w:r w:rsidRPr="00ED2B24">
        <w:t>).</w:t>
      </w:r>
    </w:p>
    <w:p w14:paraId="2C92CF4D" w14:textId="16992E9D" w:rsidR="004A1D46" w:rsidRPr="0038650E" w:rsidRDefault="0032051B" w:rsidP="00824AEE">
      <w:pPr>
        <w:pStyle w:val="Letterlist"/>
        <w:numPr>
          <w:ilvl w:val="2"/>
          <w:numId w:val="5"/>
        </w:numPr>
        <w:ind w:left="964" w:hanging="181"/>
      </w:pPr>
      <w:r w:rsidRPr="00FB22EE">
        <w:t xml:space="preserve">Explicitly excluded from </w:t>
      </w:r>
      <w:r w:rsidR="00452D2F">
        <w:t xml:space="preserve">counting </w:t>
      </w:r>
      <w:r w:rsidR="0057613D">
        <w:t xml:space="preserve">and </w:t>
      </w:r>
      <w:r w:rsidRPr="00FB22EE">
        <w:t>reporting to NNPA</w:t>
      </w:r>
      <w:r w:rsidRPr="00691579">
        <w:t xml:space="preserve">C </w:t>
      </w:r>
      <w:r w:rsidRPr="003B40D2">
        <w:t xml:space="preserve">are </w:t>
      </w:r>
      <w:r w:rsidRPr="00531534">
        <w:t>communications</w:t>
      </w:r>
      <w:r w:rsidRPr="00E21576">
        <w:t xml:space="preserve"> </w:t>
      </w:r>
      <w:r w:rsidRPr="00686CC7">
        <w:t xml:space="preserve">between </w:t>
      </w:r>
      <w:r w:rsidRPr="00D76ACB">
        <w:t xml:space="preserve">practitioner and client or between practitioners </w:t>
      </w:r>
      <w:r w:rsidRPr="00005203">
        <w:t xml:space="preserve">where the sole purpose of the contact is provision of supplies or </w:t>
      </w:r>
      <w:r w:rsidRPr="00452D2F">
        <w:t>consumables, reporting of results</w:t>
      </w:r>
      <w:r w:rsidR="00C01174">
        <w:t xml:space="preserve"> of diagnostic tests</w:t>
      </w:r>
      <w:r w:rsidRPr="00C01174">
        <w:t>, advise on treatment without a change to the plan of care of the client. DHBs can record this activity locally</w:t>
      </w:r>
      <w:r w:rsidR="0038650E">
        <w:t xml:space="preserve"> if agreed </w:t>
      </w:r>
      <w:r w:rsidR="00C0475F">
        <w:t>with the funder</w:t>
      </w:r>
      <w:r w:rsidRPr="0038650E">
        <w:t>.</w:t>
      </w:r>
    </w:p>
    <w:p w14:paraId="5779CC26" w14:textId="54B1BD6B" w:rsidR="001A4B31" w:rsidRPr="000637A1" w:rsidRDefault="004A1D46" w:rsidP="00824AEE">
      <w:pPr>
        <w:pStyle w:val="Letterlist"/>
        <w:numPr>
          <w:ilvl w:val="2"/>
          <w:numId w:val="5"/>
        </w:numPr>
        <w:ind w:left="964" w:hanging="181"/>
      </w:pPr>
      <w:r w:rsidRPr="008B3C19">
        <w:t xml:space="preserve">email consultations are excluded from counting </w:t>
      </w:r>
      <w:r w:rsidR="0057613D">
        <w:t>and reporting to NNPAC</w:t>
      </w:r>
      <w:r w:rsidRPr="008B3C19">
        <w:t xml:space="preserve"> but could be re</w:t>
      </w:r>
      <w:r w:rsidR="0057613D">
        <w:t xml:space="preserve">corded </w:t>
      </w:r>
      <w:r w:rsidRPr="008B3C19">
        <w:t xml:space="preserve">locally if agreed </w:t>
      </w:r>
      <w:r w:rsidR="00C0475F">
        <w:t>with</w:t>
      </w:r>
      <w:r w:rsidRPr="008B3C19">
        <w:t xml:space="preserve"> the </w:t>
      </w:r>
      <w:r w:rsidR="00BC6CFF">
        <w:t xml:space="preserve">DHB </w:t>
      </w:r>
      <w:r w:rsidRPr="008B3C19">
        <w:t>funder</w:t>
      </w:r>
      <w:r w:rsidR="00186DAF">
        <w:t>.</w:t>
      </w:r>
    </w:p>
    <w:p w14:paraId="3965CC6C" w14:textId="43EEE57B" w:rsidR="0019058E" w:rsidRDefault="0019058E">
      <w:pPr>
        <w:spacing w:after="160" w:line="259" w:lineRule="auto"/>
        <w:rPr>
          <w:rFonts w:cs="Arial"/>
          <w:b/>
          <w:bCs/>
          <w:kern w:val="32"/>
          <w:sz w:val="28"/>
          <w:szCs w:val="32"/>
        </w:rPr>
      </w:pPr>
      <w:r>
        <w:br w:type="page"/>
      </w:r>
    </w:p>
    <w:p w14:paraId="7E5A7313" w14:textId="77777777" w:rsidR="00C55E12" w:rsidRPr="002414AA" w:rsidRDefault="00C55E12" w:rsidP="00C55E12">
      <w:pPr>
        <w:pStyle w:val="Heading1"/>
      </w:pPr>
      <w:bookmarkStart w:id="8" w:name="_Toc56410627"/>
      <w:bookmarkStart w:id="9" w:name="_Toc56410628"/>
      <w:bookmarkStart w:id="10" w:name="_Toc56410629"/>
      <w:bookmarkStart w:id="11" w:name="_Toc340740728"/>
      <w:bookmarkStart w:id="12" w:name="_Toc340740871"/>
      <w:bookmarkStart w:id="13" w:name="_Toc340743959"/>
      <w:bookmarkStart w:id="14" w:name="_Toc369874046"/>
      <w:bookmarkStart w:id="15" w:name="_Toc66194518"/>
      <w:bookmarkEnd w:id="8"/>
      <w:bookmarkEnd w:id="9"/>
      <w:bookmarkEnd w:id="10"/>
      <w:bookmarkEnd w:id="11"/>
      <w:bookmarkEnd w:id="12"/>
      <w:bookmarkEnd w:id="13"/>
      <w:bookmarkEnd w:id="14"/>
      <w:r w:rsidRPr="002414AA">
        <w:lastRenderedPageBreak/>
        <w:t>Admission</w:t>
      </w:r>
      <w:bookmarkEnd w:id="15"/>
    </w:p>
    <w:p w14:paraId="6EFD8DAB" w14:textId="77777777" w:rsidR="00C55E12" w:rsidRPr="009F2C20" w:rsidRDefault="00C55E12" w:rsidP="00C55E12">
      <w:pPr>
        <w:pStyle w:val="Heading2"/>
      </w:pPr>
      <w:bookmarkStart w:id="16" w:name="_Toc340052530"/>
      <w:bookmarkStart w:id="17" w:name="_Toc66194519"/>
      <w:r w:rsidRPr="009F2C20">
        <w:t>Admission Definition</w:t>
      </w:r>
      <w:bookmarkEnd w:id="16"/>
      <w:bookmarkEnd w:id="17"/>
    </w:p>
    <w:p w14:paraId="0455921D" w14:textId="54D225DF" w:rsidR="000F6ACA" w:rsidRDefault="00C55E12" w:rsidP="00C55E12">
      <w:r w:rsidRPr="009F2C20">
        <w:t>A patient is defined as an inpatient if they are admitted to a healthcare facility.</w:t>
      </w:r>
      <w:r>
        <w:t xml:space="preserve"> </w:t>
      </w:r>
      <w:r w:rsidRPr="002C08B0">
        <w:t xml:space="preserve">For the purposes of the national collections, healthcare users who </w:t>
      </w:r>
      <w:r>
        <w:t>receive assessment and/or treatment</w:t>
      </w:r>
      <w:r w:rsidRPr="002C08B0">
        <w:t xml:space="preserve"> for</w:t>
      </w:r>
      <w:r>
        <w:t xml:space="preserve"> three hours or</w:t>
      </w:r>
      <w:r w:rsidRPr="002C08B0">
        <w:t xml:space="preserve"> more</w:t>
      </w:r>
      <w:r>
        <w:t xml:space="preserve">, </w:t>
      </w:r>
      <w:r w:rsidRPr="002C08B0">
        <w:rPr>
          <w:lang w:eastAsia="en-GB"/>
        </w:rPr>
        <w:t xml:space="preserve">who have a general anaesthetic </w:t>
      </w:r>
      <w:r>
        <w:t>are</w:t>
      </w:r>
      <w:r w:rsidRPr="002C08B0">
        <w:t xml:space="preserve"> admitted.</w:t>
      </w:r>
      <w:r w:rsidRPr="002C08B0">
        <w:rPr>
          <w:lang w:eastAsia="en-GB"/>
        </w:rPr>
        <w:t xml:space="preserve"> This also applies to healthcare users of </w:t>
      </w:r>
      <w:r>
        <w:rPr>
          <w:lang w:eastAsia="en-GB"/>
        </w:rPr>
        <w:t>Emergency Departments (EDs)</w:t>
      </w:r>
      <w:r w:rsidRPr="002C08B0">
        <w:rPr>
          <w:lang w:eastAsia="en-GB"/>
        </w:rPr>
        <w:t>.</w:t>
      </w:r>
      <w:r>
        <w:rPr>
          <w:lang w:eastAsia="en-GB"/>
        </w:rPr>
        <w:t xml:space="preserve"> </w:t>
      </w:r>
      <w:r w:rsidRPr="002C08B0">
        <w:t xml:space="preserve">When calculating the three hours, exclude waiting time in a waiting room, exclude triage and use only the duration of </w:t>
      </w:r>
      <w:r>
        <w:t>assessment/</w:t>
      </w:r>
      <w:r w:rsidRPr="002C08B0">
        <w:t xml:space="preserve">treatment. If part of the </w:t>
      </w:r>
      <w:r>
        <w:t>assessment/</w:t>
      </w:r>
      <w:r w:rsidRPr="002C08B0">
        <w:t xml:space="preserve">treatment </w:t>
      </w:r>
      <w:r>
        <w:t xml:space="preserve">includes </w:t>
      </w:r>
      <w:r w:rsidRPr="002C08B0">
        <w:t xml:space="preserve">observation, then this time contributes to the </w:t>
      </w:r>
      <w:r>
        <w:t>three</w:t>
      </w:r>
      <w:r w:rsidRPr="002C08B0">
        <w:t xml:space="preserve"> hours.</w:t>
      </w:r>
      <w:r>
        <w:t xml:space="preserve"> </w:t>
      </w:r>
    </w:p>
    <w:p w14:paraId="1030DD5F" w14:textId="1D03BAE0" w:rsidR="00C55E12" w:rsidRDefault="00C55E12" w:rsidP="00CC77AB">
      <w:pPr>
        <w:spacing w:before="120"/>
      </w:pPr>
      <w:r>
        <w:t>Assessment/treatment</w:t>
      </w:r>
      <w:r w:rsidRPr="002C08B0">
        <w:t xml:space="preserve"> is clinical </w:t>
      </w:r>
      <w:r>
        <w:t xml:space="preserve">assessment, </w:t>
      </w:r>
      <w:r w:rsidRPr="002C08B0">
        <w:t>treatment</w:t>
      </w:r>
      <w:r>
        <w:t>, therapy, advice, diagnostic or investigatory procedures</w:t>
      </w:r>
      <w:r w:rsidRPr="002C08B0">
        <w:t xml:space="preserve"> from a nurse</w:t>
      </w:r>
      <w:r>
        <w:t xml:space="preserve"> (excluding triage nurse), </w:t>
      </w:r>
      <w:r w:rsidR="00CC77AB">
        <w:t>N</w:t>
      </w:r>
      <w:r>
        <w:t xml:space="preserve">urse </w:t>
      </w:r>
      <w:r w:rsidR="00CC77AB">
        <w:t>P</w:t>
      </w:r>
      <w:r>
        <w:t>ractitioner,</w:t>
      </w:r>
      <w:r w:rsidRPr="002C08B0">
        <w:t xml:space="preserve"> docto</w:t>
      </w:r>
      <w:r>
        <w:t>r or other health professional.</w:t>
      </w:r>
    </w:p>
    <w:p w14:paraId="3DA94FEA" w14:textId="77777777" w:rsidR="00C55E12" w:rsidRPr="00F525BE" w:rsidRDefault="00C55E12" w:rsidP="00C55E12">
      <w:pPr>
        <w:pStyle w:val="Heading2"/>
        <w:rPr>
          <w:rFonts w:cs="Arial"/>
          <w:color w:val="000000"/>
          <w:sz w:val="20"/>
          <w:szCs w:val="20"/>
        </w:rPr>
      </w:pPr>
      <w:bookmarkStart w:id="18" w:name="_Toc340052531"/>
      <w:bookmarkStart w:id="19" w:name="_Toc66194520"/>
      <w:r w:rsidRPr="009F2C20">
        <w:t>Admission Rules</w:t>
      </w:r>
      <w:bookmarkEnd w:id="18"/>
      <w:bookmarkEnd w:id="19"/>
    </w:p>
    <w:p w14:paraId="236BAC03" w14:textId="2713FDB7" w:rsidR="00C55E12" w:rsidRPr="00C718CB" w:rsidRDefault="00C55E12" w:rsidP="00C55E12">
      <w:pPr>
        <w:pStyle w:val="BulletNormal"/>
      </w:pPr>
      <w:r w:rsidRPr="00C718CB">
        <w:t xml:space="preserve">Patients who receive assessment/treatment for three hours or more, </w:t>
      </w:r>
      <w:r w:rsidR="00C718CB" w:rsidRPr="00C718CB">
        <w:rPr>
          <w:b/>
          <w:u w:val="single"/>
        </w:rPr>
        <w:t>o</w:t>
      </w:r>
      <w:r w:rsidRPr="00C718CB">
        <w:rPr>
          <w:b/>
          <w:u w:val="single"/>
        </w:rPr>
        <w:t>r have</w:t>
      </w:r>
      <w:r w:rsidRPr="00C718CB">
        <w:t xml:space="preserve"> a general anaesthetic </w:t>
      </w:r>
      <w:r w:rsidRPr="00C718CB">
        <w:rPr>
          <w:b/>
        </w:rPr>
        <w:t>must</w:t>
      </w:r>
      <w:r w:rsidRPr="00C718CB">
        <w:t xml:space="preserve"> be admitted. </w:t>
      </w:r>
    </w:p>
    <w:p w14:paraId="74B2A70F" w14:textId="4DEA370E" w:rsidR="00C55E12" w:rsidRPr="00C718CB" w:rsidRDefault="00C55E12" w:rsidP="00C55E12">
      <w:pPr>
        <w:pStyle w:val="BulletNormal"/>
      </w:pPr>
      <w:r w:rsidRPr="00C718CB">
        <w:t xml:space="preserve">Patients who receive treatment for less than three hours, </w:t>
      </w:r>
      <w:r w:rsidRPr="00C718CB">
        <w:rPr>
          <w:b/>
          <w:u w:val="single"/>
        </w:rPr>
        <w:t xml:space="preserve"> </w:t>
      </w:r>
      <w:r w:rsidR="00C718CB">
        <w:rPr>
          <w:b/>
          <w:u w:val="single"/>
        </w:rPr>
        <w:t xml:space="preserve">and </w:t>
      </w:r>
      <w:r w:rsidRPr="00C718CB">
        <w:rPr>
          <w:b/>
          <w:u w:val="single"/>
        </w:rPr>
        <w:t>do not have</w:t>
      </w:r>
      <w:r w:rsidRPr="00C718CB">
        <w:t xml:space="preserve"> a general anaesthetic </w:t>
      </w:r>
      <w:r w:rsidR="00EC7655">
        <w:t>and d</w:t>
      </w:r>
      <w:r w:rsidR="008A3477">
        <w:t>id</w:t>
      </w:r>
      <w:r w:rsidR="00EC7655">
        <w:t xml:space="preserve"> not</w:t>
      </w:r>
      <w:r w:rsidR="008A3477">
        <w:t xml:space="preserve"> </w:t>
      </w:r>
      <w:r w:rsidR="00EC7655">
        <w:t>d</w:t>
      </w:r>
      <w:r w:rsidR="008A3477">
        <w:t xml:space="preserve">ie in ED </w:t>
      </w:r>
      <w:r w:rsidR="008A3477">
        <w:rPr>
          <w:b/>
        </w:rPr>
        <w:t xml:space="preserve"> should</w:t>
      </w:r>
      <w:r w:rsidRPr="00C718CB">
        <w:rPr>
          <w:b/>
        </w:rPr>
        <w:t xml:space="preserve"> not</w:t>
      </w:r>
      <w:r w:rsidRPr="00C718CB">
        <w:t xml:space="preserve">  be admitted</w:t>
      </w:r>
      <w:r w:rsidR="008A3477">
        <w:t>, the attendance should be reported to NNPAC</w:t>
      </w:r>
      <w:r w:rsidRPr="00C718CB">
        <w:t>.</w:t>
      </w:r>
    </w:p>
    <w:p w14:paraId="04BFDE98" w14:textId="4AEC292E" w:rsidR="00C55E12" w:rsidRDefault="00C55E12" w:rsidP="00C55E12">
      <w:pPr>
        <w:pStyle w:val="BulletNormal"/>
      </w:pPr>
      <w:r w:rsidRPr="009F2C20">
        <w:t xml:space="preserve">Start time for an admission includes </w:t>
      </w:r>
      <w:r>
        <w:t>ED</w:t>
      </w:r>
      <w:r w:rsidRPr="009F2C20">
        <w:t xml:space="preserve"> activity, from the time the patient is seen by a </w:t>
      </w:r>
      <w:r>
        <w:t xml:space="preserve">nurse (excluding triage nurse), nurse </w:t>
      </w:r>
      <w:r w:rsidRPr="0030257C">
        <w:t>practitioner</w:t>
      </w:r>
      <w:r>
        <w:t xml:space="preserve">, </w:t>
      </w:r>
      <w:r w:rsidR="00D264B7">
        <w:t xml:space="preserve">clinician </w:t>
      </w:r>
      <w:r>
        <w:t>or other health professional.  Start time for an inpatient admission should be the same as the NNPAC datetime of first contact in ED</w:t>
      </w:r>
    </w:p>
    <w:p w14:paraId="4FCB0F4F" w14:textId="75E76711" w:rsidR="00C55E12" w:rsidRPr="009F2C20" w:rsidRDefault="00C55E12" w:rsidP="00C55E12">
      <w:pPr>
        <w:pStyle w:val="BulletNormal"/>
      </w:pPr>
      <w:r w:rsidRPr="009F2C20">
        <w:t>Transfers within the same facility but between wards are included in the same admission except where transfer results in a statistical discharge between major service groups</w:t>
      </w:r>
      <w:r w:rsidR="00222DBA">
        <w:t xml:space="preserve"> such as</w:t>
      </w:r>
      <w:r w:rsidR="000F6ACA">
        <w:t xml:space="preserve"> </w:t>
      </w:r>
      <w:r>
        <w:t>mental health</w:t>
      </w:r>
      <w:r w:rsidRPr="009F2C20">
        <w:t>.</w:t>
      </w:r>
    </w:p>
    <w:p w14:paraId="3C173C57" w14:textId="77777777" w:rsidR="00C55E12" w:rsidRPr="009F2C20" w:rsidRDefault="00C55E12" w:rsidP="00C55E12">
      <w:pPr>
        <w:pStyle w:val="Heading2"/>
      </w:pPr>
      <w:bookmarkStart w:id="20" w:name="_Toc340052532"/>
      <w:bookmarkStart w:id="21" w:name="_Toc66194521"/>
      <w:r w:rsidRPr="009F2C20">
        <w:t>Admission Types</w:t>
      </w:r>
      <w:bookmarkEnd w:id="20"/>
      <w:bookmarkEnd w:id="21"/>
    </w:p>
    <w:p w14:paraId="1D6DC1D4" w14:textId="60F4ABDE" w:rsidR="00425972" w:rsidRDefault="00C55E12" w:rsidP="00FC33B3">
      <w:pPr>
        <w:pStyle w:val="Letterlist"/>
        <w:numPr>
          <w:ilvl w:val="7"/>
          <w:numId w:val="7"/>
        </w:numPr>
        <w:rPr>
          <w:lang w:eastAsia="en-GB"/>
        </w:rPr>
      </w:pPr>
      <w:r w:rsidRPr="00425972">
        <w:rPr>
          <w:b/>
          <w:lang w:eastAsia="en-GB"/>
        </w:rPr>
        <w:t>Acute Admission</w:t>
      </w:r>
      <w:r w:rsidRPr="009F2C20">
        <w:rPr>
          <w:lang w:eastAsia="en-GB"/>
        </w:rPr>
        <w:t xml:space="preserve"> - An unplanned admission on the day of presentation at the admitting healthcare facility.</w:t>
      </w:r>
      <w:r>
        <w:rPr>
          <w:lang w:eastAsia="en-GB"/>
        </w:rPr>
        <w:t xml:space="preserve"> </w:t>
      </w:r>
      <w:r w:rsidRPr="009F2C20">
        <w:rPr>
          <w:lang w:eastAsia="en-GB"/>
        </w:rPr>
        <w:t xml:space="preserve">Admission may have been from the </w:t>
      </w:r>
      <w:r>
        <w:rPr>
          <w:lang w:eastAsia="en-GB"/>
        </w:rPr>
        <w:t>e</w:t>
      </w:r>
      <w:r w:rsidRPr="009F2C20">
        <w:rPr>
          <w:lang w:eastAsia="en-GB"/>
        </w:rPr>
        <w:t xml:space="preserve">mergency or </w:t>
      </w:r>
      <w:r>
        <w:rPr>
          <w:lang w:eastAsia="en-GB"/>
        </w:rPr>
        <w:t>o</w:t>
      </w:r>
      <w:r w:rsidRPr="009F2C20">
        <w:rPr>
          <w:lang w:eastAsia="en-GB"/>
        </w:rPr>
        <w:t xml:space="preserve">utpatient </w:t>
      </w:r>
      <w:r>
        <w:rPr>
          <w:lang w:eastAsia="en-GB"/>
        </w:rPr>
        <w:t>d</w:t>
      </w:r>
      <w:r w:rsidRPr="009F2C20">
        <w:rPr>
          <w:lang w:eastAsia="en-GB"/>
        </w:rPr>
        <w:t>epartments of the healthcare facility or a transfer from another facility</w:t>
      </w:r>
      <w:r>
        <w:rPr>
          <w:lang w:eastAsia="en-GB"/>
        </w:rPr>
        <w:t>.</w:t>
      </w:r>
      <w:r w:rsidR="000F6ACA">
        <w:rPr>
          <w:lang w:eastAsia="en-GB"/>
        </w:rPr>
        <w:t xml:space="preserve"> For example,</w:t>
      </w:r>
      <w:r w:rsidR="00F71ABF">
        <w:rPr>
          <w:lang w:eastAsia="en-GB"/>
        </w:rPr>
        <w:t xml:space="preserve"> the hospital has </w:t>
      </w:r>
      <w:r w:rsidR="00C718CB">
        <w:rPr>
          <w:lang w:eastAsia="en-GB"/>
        </w:rPr>
        <w:t xml:space="preserve">less than 24 </w:t>
      </w:r>
      <w:proofErr w:type="spellStart"/>
      <w:r w:rsidR="00C718CB">
        <w:rPr>
          <w:lang w:eastAsia="en-GB"/>
        </w:rPr>
        <w:t>hours notice</w:t>
      </w:r>
      <w:proofErr w:type="spellEnd"/>
      <w:r w:rsidR="00C718CB">
        <w:rPr>
          <w:lang w:eastAsia="en-GB"/>
        </w:rPr>
        <w:t xml:space="preserve"> that the patient is arriving and will be admitted.</w:t>
      </w:r>
    </w:p>
    <w:p w14:paraId="49BEB4BC" w14:textId="231FED28" w:rsidR="00425972" w:rsidRPr="009F2C20" w:rsidRDefault="00C55E12" w:rsidP="00FC33B3">
      <w:pPr>
        <w:pStyle w:val="Letterlist"/>
        <w:numPr>
          <w:ilvl w:val="7"/>
          <w:numId w:val="7"/>
        </w:numPr>
      </w:pPr>
      <w:r w:rsidRPr="00425972">
        <w:rPr>
          <w:b/>
        </w:rPr>
        <w:t>Arranged Admission</w:t>
      </w:r>
      <w:r w:rsidRPr="009F2C20">
        <w:t xml:space="preserve"> -</w:t>
      </w:r>
      <w:r>
        <w:t xml:space="preserve"> A planned admission where</w:t>
      </w:r>
      <w:r w:rsidRPr="00F36B85">
        <w:t xml:space="preserve"> the admission date is less than seven days after the date the decision was made by the specialist that this admission was necessary; or the admission relates to normal maternity cases of 37 to 42 weeks gestation delivered during the event. These maternity patients will have been booked into the admitting facility</w:t>
      </w:r>
      <w:r>
        <w:t xml:space="preserve"> (national collections).</w:t>
      </w:r>
      <w:r w:rsidR="00C718CB" w:rsidRPr="00C718CB">
        <w:t xml:space="preserve"> </w:t>
      </w:r>
      <w:r w:rsidR="00C718CB">
        <w:t xml:space="preserve">For example, the hospital has between 24 hours and 7 </w:t>
      </w:r>
      <w:proofErr w:type="spellStart"/>
      <w:r w:rsidR="00C718CB">
        <w:t>days notice</w:t>
      </w:r>
      <w:proofErr w:type="spellEnd"/>
      <w:r w:rsidR="00C718CB">
        <w:t xml:space="preserve"> that the patient is arriving and will be admitted</w:t>
      </w:r>
      <w:r w:rsidR="00425972">
        <w:t>.</w:t>
      </w:r>
    </w:p>
    <w:p w14:paraId="1CCE706A" w14:textId="6B5EA0A3" w:rsidR="00C55E12" w:rsidRDefault="00C55E12" w:rsidP="00FC33B3">
      <w:pPr>
        <w:pStyle w:val="Letterlist"/>
        <w:numPr>
          <w:ilvl w:val="7"/>
          <w:numId w:val="7"/>
        </w:numPr>
      </w:pPr>
      <w:r w:rsidRPr="00C718CB">
        <w:rPr>
          <w:b/>
          <w:lang w:eastAsia="en-GB"/>
        </w:rPr>
        <w:t>Elective Admission</w:t>
      </w:r>
      <w:r w:rsidRPr="00F36B85">
        <w:rPr>
          <w:lang w:eastAsia="en-GB"/>
        </w:rPr>
        <w:t xml:space="preserve"> </w:t>
      </w:r>
      <w:r w:rsidRPr="009F2C20">
        <w:rPr>
          <w:lang w:eastAsia="en-GB"/>
        </w:rPr>
        <w:t xml:space="preserve">- Elective admission </w:t>
      </w:r>
      <w:r w:rsidRPr="009F2C20">
        <w:t>is a planned admission where the admission date is seven or more days after the date the decision was made by the specialist that this admission was necessary.</w:t>
      </w:r>
      <w:r w:rsidR="00F71ABF">
        <w:t xml:space="preserve"> </w:t>
      </w:r>
      <w:r w:rsidR="00C718CB">
        <w:t>For example, the hospital has 7 days or more notice of when the patient will arrive and be admitted.</w:t>
      </w:r>
    </w:p>
    <w:p w14:paraId="36BB4F80" w14:textId="33C61570" w:rsidR="00C55E12" w:rsidRPr="001031E3" w:rsidRDefault="00C55E12" w:rsidP="00C55E12">
      <w:pPr>
        <w:tabs>
          <w:tab w:val="left" w:pos="90"/>
        </w:tabs>
        <w:autoSpaceDE w:val="0"/>
        <w:autoSpaceDN w:val="0"/>
        <w:adjustRightInd w:val="0"/>
        <w:spacing w:before="120"/>
        <w:ind w:left="180"/>
        <w:rPr>
          <w:rFonts w:cs="Arial"/>
          <w:color w:val="000000"/>
          <w:szCs w:val="18"/>
        </w:rPr>
      </w:pPr>
      <w:r w:rsidRPr="00C35C08">
        <w:rPr>
          <w:rFonts w:cs="Arial"/>
          <w:b/>
          <w:bCs/>
          <w:color w:val="000000"/>
          <w:szCs w:val="18"/>
        </w:rPr>
        <w:t>Inter-hospital transfers</w:t>
      </w:r>
      <w:r w:rsidRPr="001031E3">
        <w:rPr>
          <w:rFonts w:cs="Arial"/>
          <w:color w:val="000000"/>
          <w:szCs w:val="18"/>
        </w:rPr>
        <w:t xml:space="preserve"> are generally </w:t>
      </w:r>
      <w:r w:rsidR="00042CE7">
        <w:rPr>
          <w:rFonts w:cs="Arial"/>
          <w:color w:val="000000"/>
          <w:szCs w:val="18"/>
        </w:rPr>
        <w:t>organised</w:t>
      </w:r>
      <w:r w:rsidRPr="001031E3">
        <w:rPr>
          <w:rFonts w:cs="Arial"/>
          <w:color w:val="000000"/>
          <w:szCs w:val="18"/>
        </w:rPr>
        <w:t xml:space="preserve"> to facilitate the on-going care or treatment of a patient. Some examples are identified below. </w:t>
      </w:r>
    </w:p>
    <w:p w14:paraId="4AE5B5CB" w14:textId="51313BA9" w:rsidR="00C55E12" w:rsidRPr="00927E07" w:rsidRDefault="00C55E12" w:rsidP="00927E07">
      <w:pPr>
        <w:pStyle w:val="ListParagraph"/>
        <w:numPr>
          <w:ilvl w:val="0"/>
          <w:numId w:val="10"/>
        </w:numPr>
        <w:autoSpaceDE w:val="0"/>
        <w:autoSpaceDN w:val="0"/>
        <w:adjustRightInd w:val="0"/>
        <w:rPr>
          <w:rFonts w:cs="Arial"/>
          <w:color w:val="000000"/>
          <w:szCs w:val="18"/>
        </w:rPr>
      </w:pPr>
      <w:r w:rsidRPr="00927E07">
        <w:rPr>
          <w:rFonts w:cs="Arial"/>
          <w:color w:val="000000"/>
          <w:szCs w:val="18"/>
        </w:rPr>
        <w:t>An acute admission for a patient requiring more complex treatment</w:t>
      </w:r>
      <w:r w:rsidR="00BC6CFF">
        <w:rPr>
          <w:rFonts w:cs="Arial"/>
          <w:color w:val="000000"/>
          <w:szCs w:val="18"/>
        </w:rPr>
        <w:t>.</w:t>
      </w:r>
      <w:r w:rsidRPr="00927E07">
        <w:rPr>
          <w:rFonts w:cs="Arial"/>
          <w:color w:val="000000"/>
          <w:szCs w:val="18"/>
        </w:rPr>
        <w:t xml:space="preserve"> </w:t>
      </w:r>
      <w:r w:rsidR="000F6ACA" w:rsidRPr="00927E07">
        <w:rPr>
          <w:rFonts w:cs="Arial"/>
          <w:color w:val="000000"/>
          <w:szCs w:val="18"/>
        </w:rPr>
        <w:t xml:space="preserve">For example, </w:t>
      </w:r>
      <w:r w:rsidRPr="00927E07">
        <w:rPr>
          <w:rFonts w:cs="Arial"/>
          <w:color w:val="000000"/>
          <w:szCs w:val="18"/>
        </w:rPr>
        <w:t xml:space="preserve">a patient with acute coronary syndrome, being transferred to a cardiac </w:t>
      </w:r>
      <w:proofErr w:type="spellStart"/>
      <w:r w:rsidRPr="00927E07">
        <w:rPr>
          <w:rFonts w:cs="Arial"/>
          <w:color w:val="000000"/>
          <w:szCs w:val="18"/>
        </w:rPr>
        <w:t>centre</w:t>
      </w:r>
      <w:proofErr w:type="spellEnd"/>
      <w:r w:rsidRPr="00927E07">
        <w:rPr>
          <w:rFonts w:cs="Arial"/>
          <w:color w:val="000000"/>
          <w:szCs w:val="18"/>
        </w:rPr>
        <w:t xml:space="preserve"> for angiogram or surgery</w:t>
      </w:r>
    </w:p>
    <w:p w14:paraId="697C13D8" w14:textId="68CA914B" w:rsidR="00C55E12" w:rsidRPr="00927E07" w:rsidRDefault="00C55E12" w:rsidP="00927E07">
      <w:pPr>
        <w:pStyle w:val="ListParagraph"/>
        <w:numPr>
          <w:ilvl w:val="0"/>
          <w:numId w:val="10"/>
        </w:numPr>
        <w:autoSpaceDE w:val="0"/>
        <w:autoSpaceDN w:val="0"/>
        <w:adjustRightInd w:val="0"/>
        <w:rPr>
          <w:rFonts w:cs="Arial"/>
          <w:color w:val="000000"/>
          <w:szCs w:val="18"/>
        </w:rPr>
      </w:pPr>
      <w:r w:rsidRPr="00927E07">
        <w:rPr>
          <w:rFonts w:cs="Arial"/>
          <w:color w:val="000000"/>
          <w:szCs w:val="18"/>
        </w:rPr>
        <w:lastRenderedPageBreak/>
        <w:t>A transfer for an elective patient who experiences a complication post operatively, that requires treatment in another facility</w:t>
      </w:r>
      <w:r w:rsidR="003E4716" w:rsidRPr="00927E07">
        <w:rPr>
          <w:rFonts w:cs="Arial"/>
          <w:color w:val="000000"/>
          <w:szCs w:val="18"/>
        </w:rPr>
        <w:t>. For example,</w:t>
      </w:r>
      <w:r w:rsidRPr="00927E07">
        <w:rPr>
          <w:rFonts w:cs="Arial"/>
          <w:color w:val="000000"/>
          <w:szCs w:val="18"/>
        </w:rPr>
        <w:t xml:space="preserve"> a patient undergoing surgery who experiences vascular damage intra-operatively</w:t>
      </w:r>
    </w:p>
    <w:p w14:paraId="58124346" w14:textId="3E34CE5A" w:rsidR="00C55E12" w:rsidRPr="00927E07" w:rsidRDefault="00C55E12" w:rsidP="00927E07">
      <w:pPr>
        <w:pStyle w:val="ListParagraph"/>
        <w:numPr>
          <w:ilvl w:val="0"/>
          <w:numId w:val="10"/>
        </w:numPr>
        <w:autoSpaceDE w:val="0"/>
        <w:autoSpaceDN w:val="0"/>
        <w:adjustRightInd w:val="0"/>
        <w:rPr>
          <w:rFonts w:cs="Arial"/>
          <w:color w:val="000000"/>
          <w:szCs w:val="18"/>
        </w:rPr>
      </w:pPr>
      <w:r w:rsidRPr="00927E07">
        <w:rPr>
          <w:rFonts w:cs="Arial"/>
          <w:color w:val="000000"/>
          <w:szCs w:val="18"/>
        </w:rPr>
        <w:t>An acute trauma patient requiring tertiary treatment</w:t>
      </w:r>
      <w:r w:rsidR="003E4716" w:rsidRPr="00927E07">
        <w:rPr>
          <w:rFonts w:cs="Arial"/>
          <w:color w:val="000000"/>
          <w:szCs w:val="18"/>
        </w:rPr>
        <w:t>. For example,</w:t>
      </w:r>
      <w:r w:rsidRPr="00927E07">
        <w:rPr>
          <w:rFonts w:cs="Arial"/>
          <w:color w:val="000000"/>
          <w:szCs w:val="18"/>
        </w:rPr>
        <w:t xml:space="preserve"> a patient with head or chest injuries </w:t>
      </w:r>
      <w:proofErr w:type="spellStart"/>
      <w:r w:rsidRPr="00927E07">
        <w:rPr>
          <w:rFonts w:cs="Arial"/>
          <w:color w:val="000000"/>
          <w:szCs w:val="18"/>
        </w:rPr>
        <w:t>stabilised</w:t>
      </w:r>
      <w:proofErr w:type="spellEnd"/>
      <w:r w:rsidRPr="00927E07">
        <w:rPr>
          <w:rFonts w:cs="Arial"/>
          <w:color w:val="000000"/>
          <w:szCs w:val="18"/>
        </w:rPr>
        <w:t xml:space="preserve"> in one facility and transferred to a neurosurgery or cardiothoracic </w:t>
      </w:r>
      <w:proofErr w:type="spellStart"/>
      <w:r w:rsidRPr="00927E07">
        <w:rPr>
          <w:rFonts w:cs="Arial"/>
          <w:color w:val="000000"/>
          <w:szCs w:val="18"/>
        </w:rPr>
        <w:t>centre</w:t>
      </w:r>
      <w:proofErr w:type="spellEnd"/>
      <w:r w:rsidRPr="00927E07">
        <w:rPr>
          <w:rFonts w:cs="Arial"/>
          <w:color w:val="000000"/>
          <w:szCs w:val="18"/>
        </w:rPr>
        <w:t>.</w:t>
      </w:r>
    </w:p>
    <w:p w14:paraId="4FABAD4B" w14:textId="77777777" w:rsidR="00C55E12" w:rsidRPr="001031E3" w:rsidRDefault="00C55E12" w:rsidP="00C55E12">
      <w:pPr>
        <w:autoSpaceDE w:val="0"/>
        <w:autoSpaceDN w:val="0"/>
        <w:adjustRightInd w:val="0"/>
        <w:rPr>
          <w:rFonts w:cs="Arial"/>
          <w:color w:val="000000"/>
          <w:szCs w:val="18"/>
        </w:rPr>
      </w:pPr>
    </w:p>
    <w:p w14:paraId="0824006C" w14:textId="0157BCDA" w:rsidR="00C55E12" w:rsidRPr="001031E3" w:rsidRDefault="00C55E12" w:rsidP="00C55E12">
      <w:pPr>
        <w:autoSpaceDE w:val="0"/>
        <w:autoSpaceDN w:val="0"/>
        <w:adjustRightInd w:val="0"/>
        <w:ind w:left="180"/>
        <w:rPr>
          <w:rFonts w:cs="Arial"/>
          <w:color w:val="000000"/>
          <w:szCs w:val="18"/>
        </w:rPr>
      </w:pPr>
      <w:r w:rsidRPr="001031E3">
        <w:rPr>
          <w:rFonts w:cs="Arial"/>
          <w:color w:val="000000"/>
          <w:szCs w:val="18"/>
        </w:rPr>
        <w:t>In the</w:t>
      </w:r>
      <w:r w:rsidR="003E4716">
        <w:rPr>
          <w:rFonts w:cs="Arial"/>
          <w:color w:val="000000"/>
          <w:szCs w:val="18"/>
        </w:rPr>
        <w:t xml:space="preserve"> </w:t>
      </w:r>
      <w:r w:rsidR="00C718CB">
        <w:rPr>
          <w:rFonts w:cs="Arial"/>
          <w:color w:val="000000"/>
          <w:szCs w:val="18"/>
        </w:rPr>
        <w:t xml:space="preserve">above </w:t>
      </w:r>
      <w:r w:rsidRPr="001031E3">
        <w:rPr>
          <w:rFonts w:cs="Arial"/>
          <w:color w:val="000000"/>
          <w:szCs w:val="18"/>
        </w:rPr>
        <w:t xml:space="preserve">circumstances, the </w:t>
      </w:r>
      <w:r w:rsidR="00C718CB">
        <w:rPr>
          <w:rFonts w:cs="Arial"/>
          <w:color w:val="000000"/>
          <w:szCs w:val="18"/>
        </w:rPr>
        <w:t xml:space="preserve">inter-hospital transfer </w:t>
      </w:r>
      <w:r w:rsidRPr="001031E3">
        <w:rPr>
          <w:rFonts w:cs="Arial"/>
          <w:color w:val="000000"/>
          <w:szCs w:val="18"/>
        </w:rPr>
        <w:t>steps are generally</w:t>
      </w:r>
      <w:r w:rsidR="00C718CB">
        <w:rPr>
          <w:rFonts w:cs="Arial"/>
          <w:color w:val="000000"/>
          <w:szCs w:val="18"/>
        </w:rPr>
        <w:t xml:space="preserve"> as follows</w:t>
      </w:r>
      <w:r w:rsidRPr="001031E3">
        <w:rPr>
          <w:rFonts w:cs="Arial"/>
          <w:color w:val="000000"/>
          <w:szCs w:val="18"/>
        </w:rPr>
        <w:t>:</w:t>
      </w:r>
    </w:p>
    <w:p w14:paraId="6830F178" w14:textId="7C2C62D1" w:rsidR="00C55E12" w:rsidRPr="00927E07" w:rsidRDefault="00C55E12" w:rsidP="003E4716">
      <w:pPr>
        <w:pStyle w:val="ListParagraph"/>
        <w:numPr>
          <w:ilvl w:val="0"/>
          <w:numId w:val="11"/>
        </w:numPr>
        <w:autoSpaceDE w:val="0"/>
        <w:autoSpaceDN w:val="0"/>
        <w:adjustRightInd w:val="0"/>
        <w:rPr>
          <w:rFonts w:cs="Arial"/>
          <w:color w:val="000000"/>
          <w:szCs w:val="18"/>
        </w:rPr>
      </w:pPr>
      <w:r w:rsidRPr="00927E07">
        <w:rPr>
          <w:rFonts w:cs="Arial"/>
          <w:color w:val="000000"/>
          <w:szCs w:val="18"/>
        </w:rPr>
        <w:t>A decision is made to seek treatment at another facility</w:t>
      </w:r>
      <w:r w:rsidR="003E4716" w:rsidRPr="00927E07">
        <w:rPr>
          <w:rFonts w:cs="Arial"/>
          <w:color w:val="000000"/>
          <w:szCs w:val="18"/>
        </w:rPr>
        <w:t>.</w:t>
      </w:r>
    </w:p>
    <w:p w14:paraId="38AC7850" w14:textId="2202F336" w:rsidR="00C55E12" w:rsidRPr="00927E07" w:rsidRDefault="00C55E12" w:rsidP="003E4716">
      <w:pPr>
        <w:pStyle w:val="ListParagraph"/>
        <w:numPr>
          <w:ilvl w:val="0"/>
          <w:numId w:val="11"/>
        </w:numPr>
        <w:autoSpaceDE w:val="0"/>
        <w:autoSpaceDN w:val="0"/>
        <w:adjustRightInd w:val="0"/>
        <w:rPr>
          <w:rFonts w:cs="Arial"/>
          <w:color w:val="000000"/>
          <w:szCs w:val="18"/>
        </w:rPr>
      </w:pPr>
      <w:r w:rsidRPr="00927E07">
        <w:rPr>
          <w:rFonts w:cs="Arial"/>
          <w:color w:val="000000"/>
          <w:szCs w:val="18"/>
        </w:rPr>
        <w:t>The receiving hospital is contacted to agree to receive the patient (clinician to clinician transfer of care)</w:t>
      </w:r>
      <w:r w:rsidR="003E4716" w:rsidRPr="00927E07">
        <w:rPr>
          <w:rFonts w:cs="Arial"/>
          <w:color w:val="000000"/>
          <w:szCs w:val="18"/>
        </w:rPr>
        <w:t>.</w:t>
      </w:r>
    </w:p>
    <w:p w14:paraId="4B90683C" w14:textId="0ADD1FF3" w:rsidR="00C55E12" w:rsidRDefault="00C55E12" w:rsidP="003E4716">
      <w:pPr>
        <w:pStyle w:val="ListParagraph"/>
        <w:numPr>
          <w:ilvl w:val="0"/>
          <w:numId w:val="11"/>
        </w:numPr>
        <w:autoSpaceDE w:val="0"/>
        <w:autoSpaceDN w:val="0"/>
        <w:adjustRightInd w:val="0"/>
        <w:rPr>
          <w:rFonts w:cs="Arial"/>
          <w:color w:val="000000"/>
          <w:szCs w:val="18"/>
        </w:rPr>
      </w:pPr>
      <w:r w:rsidRPr="00927E07">
        <w:rPr>
          <w:rFonts w:cs="Arial"/>
          <w:color w:val="000000"/>
          <w:szCs w:val="18"/>
        </w:rPr>
        <w:t>The receiving hospital confirms the transfer based on patient stability and bed availability - this would generally be expected to occur within a few days.</w:t>
      </w:r>
    </w:p>
    <w:p w14:paraId="64373CA1" w14:textId="14A54F25" w:rsidR="00503DB2" w:rsidRPr="00FC33B3" w:rsidRDefault="00503DB2" w:rsidP="003E4716">
      <w:pPr>
        <w:pStyle w:val="ListParagraph"/>
        <w:numPr>
          <w:ilvl w:val="0"/>
          <w:numId w:val="11"/>
        </w:numPr>
        <w:autoSpaceDE w:val="0"/>
        <w:autoSpaceDN w:val="0"/>
        <w:adjustRightInd w:val="0"/>
        <w:rPr>
          <w:rFonts w:cs="Arial"/>
          <w:szCs w:val="18"/>
        </w:rPr>
      </w:pPr>
      <w:r w:rsidRPr="00FC33B3">
        <w:rPr>
          <w:rFonts w:eastAsiaTheme="minorHAnsi" w:cs="Arial"/>
        </w:rPr>
        <w:t xml:space="preserve">The patient may be transferred back to the initial (referring) hospital (or another hospital) when they are well enough.   </w:t>
      </w:r>
    </w:p>
    <w:p w14:paraId="36FA5AFA" w14:textId="77777777" w:rsidR="00C55E12" w:rsidRPr="001031E3" w:rsidRDefault="00C55E12" w:rsidP="00C55E12">
      <w:pPr>
        <w:autoSpaceDE w:val="0"/>
        <w:autoSpaceDN w:val="0"/>
        <w:adjustRightInd w:val="0"/>
        <w:ind w:left="180"/>
        <w:rPr>
          <w:rFonts w:cs="Arial"/>
          <w:color w:val="000000"/>
          <w:szCs w:val="18"/>
        </w:rPr>
      </w:pPr>
      <w:r w:rsidRPr="001031E3">
        <w:rPr>
          <w:rFonts w:cs="Arial"/>
          <w:color w:val="000000"/>
          <w:szCs w:val="18"/>
        </w:rPr>
        <w:t xml:space="preserve">It is unlikely that a patient will be held in the referring hospital for more than seven days </w:t>
      </w:r>
      <w:r w:rsidRPr="001031E3">
        <w:rPr>
          <w:rFonts w:cs="Arial"/>
          <w:b/>
          <w:bCs/>
          <w:color w:val="000000"/>
          <w:szCs w:val="18"/>
        </w:rPr>
        <w:t>unless</w:t>
      </w:r>
      <w:r w:rsidRPr="001031E3">
        <w:rPr>
          <w:rFonts w:cs="Arial"/>
          <w:color w:val="000000"/>
          <w:szCs w:val="18"/>
        </w:rPr>
        <w:t xml:space="preserve"> the receiving hospital has insufficient capacity to accept the patient earlier.  </w:t>
      </w:r>
    </w:p>
    <w:p w14:paraId="511D4C0E" w14:textId="77777777" w:rsidR="00A737F3" w:rsidRDefault="00C55E12" w:rsidP="00C55E12">
      <w:pPr>
        <w:pStyle w:val="Letterlist"/>
        <w:numPr>
          <w:ilvl w:val="0"/>
          <w:numId w:val="0"/>
        </w:numPr>
        <w:ind w:left="180"/>
        <w:rPr>
          <w:szCs w:val="18"/>
        </w:rPr>
      </w:pPr>
      <w:r w:rsidRPr="001031E3">
        <w:rPr>
          <w:szCs w:val="18"/>
        </w:rPr>
        <w:t>The principle</w:t>
      </w:r>
      <w:r w:rsidR="00DD3A33">
        <w:rPr>
          <w:szCs w:val="18"/>
        </w:rPr>
        <w:t>s</w:t>
      </w:r>
      <w:r w:rsidRPr="001031E3">
        <w:rPr>
          <w:szCs w:val="18"/>
        </w:rPr>
        <w:t xml:space="preserve"> to apply </w:t>
      </w:r>
      <w:r w:rsidR="00DD3A33">
        <w:rPr>
          <w:szCs w:val="18"/>
        </w:rPr>
        <w:t>are</w:t>
      </w:r>
      <w:r w:rsidR="00A737F3">
        <w:rPr>
          <w:szCs w:val="18"/>
        </w:rPr>
        <w:t>:</w:t>
      </w:r>
    </w:p>
    <w:p w14:paraId="1852EA73" w14:textId="7209A08F" w:rsidR="00C55E12" w:rsidRDefault="00A737F3" w:rsidP="00C55E12">
      <w:pPr>
        <w:pStyle w:val="Letterlist"/>
        <w:numPr>
          <w:ilvl w:val="0"/>
          <w:numId w:val="0"/>
        </w:numPr>
        <w:ind w:left="180"/>
        <w:rPr>
          <w:szCs w:val="18"/>
        </w:rPr>
      </w:pPr>
      <w:r>
        <w:rPr>
          <w:szCs w:val="18"/>
        </w:rPr>
        <w:t>(a)</w:t>
      </w:r>
      <w:r w:rsidR="00DD3A33">
        <w:rPr>
          <w:szCs w:val="18"/>
        </w:rPr>
        <w:t xml:space="preserve"> </w:t>
      </w:r>
      <w:r w:rsidR="00C55E12" w:rsidRPr="001031E3">
        <w:rPr>
          <w:szCs w:val="18"/>
        </w:rPr>
        <w:t xml:space="preserve">if an inter-hospital transfer is for the urgent treatment of a patient, and in clinically optimal circumstances, the transfer would occur within a timeframe of less than seven days, then the transfer will be </w:t>
      </w:r>
      <w:r w:rsidR="00DD3A33">
        <w:rPr>
          <w:szCs w:val="18"/>
        </w:rPr>
        <w:t xml:space="preserve">an </w:t>
      </w:r>
      <w:r w:rsidR="00C55E12" w:rsidRPr="001031E3">
        <w:rPr>
          <w:szCs w:val="18"/>
        </w:rPr>
        <w:t>‘arranged</w:t>
      </w:r>
      <w:r w:rsidR="00DD3A33">
        <w:rPr>
          <w:szCs w:val="18"/>
        </w:rPr>
        <w:t xml:space="preserve"> admission</w:t>
      </w:r>
      <w:r w:rsidR="00C55E12" w:rsidRPr="001031E3">
        <w:rPr>
          <w:szCs w:val="18"/>
        </w:rPr>
        <w:t>’, regardless of whether this takes longer than seven days</w:t>
      </w:r>
      <w:r w:rsidR="00C55E12">
        <w:rPr>
          <w:szCs w:val="18"/>
        </w:rPr>
        <w:t>.</w:t>
      </w:r>
    </w:p>
    <w:p w14:paraId="0C969D31" w14:textId="77777777" w:rsidR="00202C80" w:rsidRPr="00FC33B3" w:rsidRDefault="00202C80" w:rsidP="00202C80">
      <w:pPr>
        <w:autoSpaceDE w:val="0"/>
        <w:autoSpaceDN w:val="0"/>
        <w:adjustRightInd w:val="0"/>
        <w:spacing w:before="120" w:after="240"/>
        <w:ind w:left="180"/>
        <w:rPr>
          <w:rFonts w:eastAsiaTheme="minorHAnsi" w:cs="Arial"/>
          <w:szCs w:val="22"/>
          <w:lang w:eastAsia="en-US"/>
        </w:rPr>
      </w:pPr>
      <w:r w:rsidRPr="00FC33B3">
        <w:rPr>
          <w:rFonts w:eastAsiaTheme="minorHAnsi" w:cs="Arial"/>
          <w:szCs w:val="22"/>
          <w:lang w:eastAsia="en-US"/>
        </w:rPr>
        <w:t>(b) Where a patient is transferred from ED at hospital 1 to the ED at hospital 2 - both NMDS events should be reported as an AC- acute admission.</w:t>
      </w:r>
    </w:p>
    <w:p w14:paraId="6062BEA1" w14:textId="0919194D" w:rsidR="00202C80" w:rsidRPr="00FC33B3" w:rsidRDefault="00202C80" w:rsidP="00202C80">
      <w:pPr>
        <w:pStyle w:val="Letterlist"/>
        <w:numPr>
          <w:ilvl w:val="0"/>
          <w:numId w:val="0"/>
        </w:numPr>
        <w:ind w:left="180"/>
        <w:rPr>
          <w:color w:val="auto"/>
          <w:sz w:val="28"/>
        </w:rPr>
      </w:pPr>
      <w:r w:rsidRPr="00FC33B3">
        <w:rPr>
          <w:rFonts w:eastAsiaTheme="minorHAnsi"/>
          <w:color w:val="auto"/>
          <w:szCs w:val="22"/>
          <w:lang w:eastAsia="en-US"/>
        </w:rPr>
        <w:t>(c) Where the patient is being transferred back to their local DHB hospital for continuing care this will be reported as an AA - Arranged Admission.</w:t>
      </w:r>
    </w:p>
    <w:p w14:paraId="3FF90230" w14:textId="0BCE5ACF" w:rsidR="00C55E12" w:rsidRPr="009F2C20" w:rsidRDefault="00C55E12" w:rsidP="00C55E12">
      <w:pPr>
        <w:pStyle w:val="Heading2"/>
      </w:pPr>
      <w:bookmarkStart w:id="22" w:name="_Toc340052533"/>
      <w:bookmarkStart w:id="23" w:name="_Toc66194522"/>
      <w:r w:rsidRPr="009F2C20">
        <w:t xml:space="preserve">Admitted Events </w:t>
      </w:r>
      <w:r w:rsidR="003E4716">
        <w:t>PUC</w:t>
      </w:r>
      <w:r w:rsidRPr="009F2C20">
        <w:t xml:space="preserve"> Allocation</w:t>
      </w:r>
      <w:bookmarkEnd w:id="22"/>
      <w:bookmarkEnd w:id="23"/>
    </w:p>
    <w:p w14:paraId="4ED5BF0F" w14:textId="69EFBCDF" w:rsidR="00C55E12" w:rsidRDefault="003E4716" w:rsidP="00C55E12">
      <w:r>
        <w:t>PUC</w:t>
      </w:r>
      <w:r w:rsidR="00C55E12" w:rsidRPr="009F2C20">
        <w:t xml:space="preserve"> allocation </w:t>
      </w:r>
      <w:r w:rsidR="00C55E12">
        <w:t xml:space="preserve">for admitted patients </w:t>
      </w:r>
      <w:r w:rsidR="00C55E12" w:rsidRPr="009F2C20">
        <w:t>is determined by the New Zealand Casemix Framework</w:t>
      </w:r>
      <w:r w:rsidR="00C55E12">
        <w:t>.</w:t>
      </w:r>
      <w:r w:rsidR="00C55E12" w:rsidRPr="009F2C20">
        <w:t xml:space="preserve"> </w:t>
      </w:r>
    </w:p>
    <w:p w14:paraId="790F7132" w14:textId="77777777" w:rsidR="00C55E12" w:rsidRPr="007C7BDF" w:rsidRDefault="00C55E12" w:rsidP="00C55E12">
      <w:pPr>
        <w:pStyle w:val="Heading2"/>
      </w:pPr>
      <w:bookmarkStart w:id="24" w:name="_Toc66194523"/>
      <w:r w:rsidRPr="007C7BDF">
        <w:t>Non-Admitted Events</w:t>
      </w:r>
      <w:bookmarkEnd w:id="24"/>
      <w:r w:rsidRPr="007C7BDF">
        <w:t xml:space="preserve"> </w:t>
      </w:r>
    </w:p>
    <w:p w14:paraId="607687B1" w14:textId="77777777" w:rsidR="00C55E12" w:rsidRPr="009F2C20" w:rsidRDefault="00C55E12" w:rsidP="00C55E12">
      <w:r w:rsidRPr="009F2C20">
        <w:t>If a patient does not meet the guidelines for admission they are treated as non-admitted patients</w:t>
      </w:r>
      <w:r>
        <w:t>.</w:t>
      </w:r>
    </w:p>
    <w:p w14:paraId="3E408D4F" w14:textId="77777777" w:rsidR="00C55E12" w:rsidRPr="000749FC" w:rsidRDefault="00C55E12" w:rsidP="00C55E12">
      <w:pPr>
        <w:pStyle w:val="Heading1"/>
        <w:numPr>
          <w:ilvl w:val="0"/>
          <w:numId w:val="0"/>
        </w:numPr>
        <w:ind w:left="567" w:hanging="567"/>
      </w:pPr>
      <w:bookmarkStart w:id="25" w:name="_Toc66194524"/>
      <w:bookmarkStart w:id="26" w:name="_Toc340052534"/>
      <w:r w:rsidRPr="00C7713B">
        <w:t xml:space="preserve">Admitted </w:t>
      </w:r>
      <w:r w:rsidRPr="006D5EC6">
        <w:t>and/</w:t>
      </w:r>
      <w:r w:rsidRPr="00C7713B">
        <w:t>or non-admitted E</w:t>
      </w:r>
      <w:r w:rsidRPr="000749FC">
        <w:t>vents</w:t>
      </w:r>
      <w:bookmarkEnd w:id="25"/>
    </w:p>
    <w:p w14:paraId="4D79DAC7" w14:textId="77777777" w:rsidR="00C55E12" w:rsidRPr="002414AA" w:rsidRDefault="00C55E12" w:rsidP="00C55E12">
      <w:pPr>
        <w:pStyle w:val="Heading1"/>
      </w:pPr>
      <w:bookmarkStart w:id="27" w:name="_Toc369874054"/>
      <w:bookmarkStart w:id="28" w:name="_Toc66194525"/>
      <w:bookmarkEnd w:id="27"/>
      <w:r w:rsidRPr="002414AA">
        <w:t>Acute Assessment Unit (AAU) Events</w:t>
      </w:r>
      <w:bookmarkEnd w:id="26"/>
      <w:bookmarkEnd w:id="28"/>
    </w:p>
    <w:p w14:paraId="56CADE48" w14:textId="77777777" w:rsidR="00C55E12" w:rsidRPr="009F2C20" w:rsidRDefault="00C55E12" w:rsidP="00C55E12">
      <w:pPr>
        <w:pStyle w:val="Heading2"/>
      </w:pPr>
      <w:bookmarkStart w:id="29" w:name="_Toc340052535"/>
      <w:bookmarkStart w:id="30" w:name="_Toc66194526"/>
      <w:r w:rsidRPr="009F2C20">
        <w:t xml:space="preserve">AAU </w:t>
      </w:r>
      <w:r w:rsidRPr="002414AA">
        <w:t>E</w:t>
      </w:r>
      <w:r w:rsidRPr="002414AA">
        <w:rPr>
          <w:rStyle w:val="Heading2Char"/>
          <w:b/>
          <w:bCs/>
          <w:iCs/>
        </w:rPr>
        <w:t>v</w:t>
      </w:r>
      <w:r w:rsidRPr="002414AA">
        <w:t>ents</w:t>
      </w:r>
      <w:r w:rsidRPr="009F2C20">
        <w:t xml:space="preserve"> Definition</w:t>
      </w:r>
      <w:bookmarkEnd w:id="29"/>
      <w:bookmarkEnd w:id="30"/>
    </w:p>
    <w:p w14:paraId="3FBE4FC4" w14:textId="7661908C" w:rsidR="00C55E12" w:rsidRPr="009F2C20" w:rsidRDefault="00C55E12" w:rsidP="00C55E12">
      <w:r w:rsidRPr="009F2C20">
        <w:t xml:space="preserve">An acute assessment event is where the assessment is conducted by a </w:t>
      </w:r>
      <w:r>
        <w:t xml:space="preserve">nurse, (excluding triage nurse), </w:t>
      </w:r>
      <w:r w:rsidRPr="0030257C">
        <w:rPr>
          <w:rFonts w:cs="Arial"/>
          <w:color w:val="000000"/>
        </w:rPr>
        <w:t>nurse practitioner</w:t>
      </w:r>
      <w:r>
        <w:rPr>
          <w:rFonts w:cs="Arial"/>
          <w:color w:val="000000"/>
        </w:rPr>
        <w:t>,</w:t>
      </w:r>
      <w:r>
        <w:t xml:space="preserve"> clinician or other health professional </w:t>
      </w:r>
      <w:r w:rsidRPr="009F2C20">
        <w:t xml:space="preserve">in a designated </w:t>
      </w:r>
      <w:r>
        <w:t xml:space="preserve">AAU. A </w:t>
      </w:r>
      <w:r w:rsidRPr="009F2C20">
        <w:t xml:space="preserve">designated </w:t>
      </w:r>
      <w:r>
        <w:t>AAU</w:t>
      </w:r>
      <w:r w:rsidRPr="009F2C20">
        <w:t xml:space="preserve"> is agreed with the DHB Funder.</w:t>
      </w:r>
    </w:p>
    <w:p w14:paraId="0306E35B" w14:textId="77777777" w:rsidR="00C55E12" w:rsidRPr="009F2C20" w:rsidRDefault="00C55E12" w:rsidP="00C55E12">
      <w:pPr>
        <w:pStyle w:val="Heading2"/>
      </w:pPr>
      <w:bookmarkStart w:id="31" w:name="_Toc340052536"/>
      <w:bookmarkStart w:id="32" w:name="_Toc66194527"/>
      <w:r w:rsidRPr="009F2C20">
        <w:t xml:space="preserve">AAU </w:t>
      </w:r>
      <w:r w:rsidRPr="002414AA">
        <w:t>Events</w:t>
      </w:r>
      <w:r w:rsidRPr="009F2C20">
        <w:t xml:space="preserve"> Rules</w:t>
      </w:r>
      <w:bookmarkEnd w:id="31"/>
      <w:bookmarkEnd w:id="32"/>
    </w:p>
    <w:p w14:paraId="3A4CC2AC" w14:textId="77777777" w:rsidR="00C55E12" w:rsidRPr="009F2C20" w:rsidRDefault="00C55E12" w:rsidP="00C55E12">
      <w:pPr>
        <w:pStyle w:val="BulletNormal"/>
      </w:pPr>
      <w:r>
        <w:t>E</w:t>
      </w:r>
      <w:r w:rsidRPr="009F2C20">
        <w:t xml:space="preserve">xcludes </w:t>
      </w:r>
      <w:r>
        <w:t>ED attendances.</w:t>
      </w:r>
    </w:p>
    <w:p w14:paraId="2DD50533" w14:textId="77777777" w:rsidR="00C55E12" w:rsidRPr="009F2C20" w:rsidRDefault="00C55E12" w:rsidP="00C55E12">
      <w:pPr>
        <w:pStyle w:val="BulletNormal"/>
      </w:pPr>
      <w:r w:rsidRPr="009F2C20">
        <w:lastRenderedPageBreak/>
        <w:t>Patients may be admitted if they meet the admission rules described above.</w:t>
      </w:r>
    </w:p>
    <w:p w14:paraId="60352F4C" w14:textId="77777777" w:rsidR="00C55E12" w:rsidRPr="009F2C20" w:rsidRDefault="00C55E12" w:rsidP="00C55E12">
      <w:pPr>
        <w:pStyle w:val="Heading2"/>
      </w:pPr>
      <w:bookmarkStart w:id="33" w:name="_Toc340052537"/>
      <w:bookmarkStart w:id="34" w:name="_Toc66194528"/>
      <w:r w:rsidRPr="009F2C20">
        <w:t>AAU Events Purchase Unit Allocation</w:t>
      </w:r>
      <w:bookmarkEnd w:id="33"/>
      <w:bookmarkEnd w:id="34"/>
    </w:p>
    <w:p w14:paraId="7364522B" w14:textId="2A1482B4" w:rsidR="00C55E12" w:rsidRPr="009F2C20" w:rsidRDefault="00C55E12" w:rsidP="00C55E12">
      <w:pPr>
        <w:pStyle w:val="BulletNormal"/>
      </w:pPr>
      <w:r w:rsidRPr="009F2C20">
        <w:t>Non</w:t>
      </w:r>
      <w:r>
        <w:t>-</w:t>
      </w:r>
      <w:r w:rsidRPr="009F2C20">
        <w:t>admitted patients in AAU are counted under PU</w:t>
      </w:r>
      <w:r>
        <w:t>C</w:t>
      </w:r>
      <w:r w:rsidRPr="009F2C20">
        <w:t xml:space="preserve"> MS02019</w:t>
      </w:r>
      <w:r>
        <w:t xml:space="preserve"> = </w:t>
      </w:r>
      <w:r w:rsidRPr="0037017B">
        <w:t xml:space="preserve">Acute Assessment Unit attendance (less than </w:t>
      </w:r>
      <w:r>
        <w:t>three</w:t>
      </w:r>
      <w:r w:rsidRPr="0037017B">
        <w:t xml:space="preserve"> hours)</w:t>
      </w:r>
      <w:r w:rsidRPr="009F2C20">
        <w:t xml:space="preserve">. </w:t>
      </w:r>
    </w:p>
    <w:p w14:paraId="6AB13A79" w14:textId="77777777" w:rsidR="00C55E12" w:rsidRPr="009F2C20" w:rsidRDefault="00C55E12" w:rsidP="00C55E12">
      <w:pPr>
        <w:pStyle w:val="BulletNormal"/>
      </w:pPr>
      <w:r w:rsidRPr="009F2C20">
        <w:t>The</w:t>
      </w:r>
      <w:r>
        <w:t xml:space="preserve"> PUC</w:t>
      </w:r>
      <w:r w:rsidRPr="009F2C20">
        <w:t xml:space="preserve"> allocation for admitted patients is </w:t>
      </w:r>
      <w:bookmarkStart w:id="35" w:name="OLE_LINK1"/>
      <w:bookmarkStart w:id="36" w:name="OLE_LINK2"/>
      <w:r>
        <w:t>determined by the NZ Casemix Framework document</w:t>
      </w:r>
      <w:bookmarkEnd w:id="35"/>
      <w:bookmarkEnd w:id="36"/>
      <w:r>
        <w:t>.</w:t>
      </w:r>
    </w:p>
    <w:p w14:paraId="2C1D21BB" w14:textId="6FE6FEEA" w:rsidR="00C55E12" w:rsidRPr="00C142E4" w:rsidRDefault="00C55E12" w:rsidP="00C55E12">
      <w:pPr>
        <w:pStyle w:val="BulletNormal"/>
        <w:spacing w:before="0"/>
      </w:pPr>
      <w:r>
        <w:t>Where there is no designated AAU and</w:t>
      </w:r>
      <w:r w:rsidRPr="009F2C20">
        <w:t xml:space="preserve"> patients present acutely</w:t>
      </w:r>
      <w:r>
        <w:t>,</w:t>
      </w:r>
      <w:r w:rsidRPr="009F2C20">
        <w:t xml:space="preserve"> the </w:t>
      </w:r>
      <w:r>
        <w:t>PUC</w:t>
      </w:r>
      <w:r w:rsidRPr="009F2C20">
        <w:t xml:space="preserve"> allocation is dependent on </w:t>
      </w:r>
      <w:r>
        <w:t xml:space="preserve">the service </w:t>
      </w:r>
      <w:r w:rsidRPr="009F2C20">
        <w:t>specialty</w:t>
      </w:r>
      <w:r w:rsidR="003E4716">
        <w:t>.</w:t>
      </w:r>
      <w:r>
        <w:t xml:space="preserve"> </w:t>
      </w:r>
      <w:r w:rsidR="003E4716">
        <w:t>For example</w:t>
      </w:r>
      <w:r>
        <w:t>, a</w:t>
      </w:r>
      <w:r w:rsidRPr="009F2C20">
        <w:t xml:space="preserve">cute eye clinics are counted as ophthalmology FSA or </w:t>
      </w:r>
      <w:r>
        <w:t>follow up).</w:t>
      </w:r>
      <w:r w:rsidRPr="009F2C20">
        <w:t xml:space="preserve"> </w:t>
      </w:r>
    </w:p>
    <w:p w14:paraId="74A3BA61" w14:textId="77777777" w:rsidR="00C55E12" w:rsidRPr="002414AA" w:rsidRDefault="00C55E12" w:rsidP="00C55E12">
      <w:pPr>
        <w:pStyle w:val="Heading1"/>
      </w:pPr>
      <w:bookmarkStart w:id="37" w:name="_Toc340052538"/>
      <w:bookmarkStart w:id="38" w:name="_Toc66194529"/>
      <w:r w:rsidRPr="002414AA">
        <w:t>Procedures and Diagnostic Events</w:t>
      </w:r>
      <w:bookmarkEnd w:id="37"/>
      <w:bookmarkEnd w:id="38"/>
    </w:p>
    <w:p w14:paraId="483204F6" w14:textId="77777777" w:rsidR="00C55E12" w:rsidRPr="009F2C20" w:rsidRDefault="00C55E12" w:rsidP="00C55E12">
      <w:pPr>
        <w:pStyle w:val="Heading2"/>
      </w:pPr>
      <w:bookmarkStart w:id="39" w:name="_Toc340052539"/>
      <w:bookmarkStart w:id="40" w:name="_Toc66194530"/>
      <w:r w:rsidRPr="009F2C20">
        <w:t>Procedures and Diagnostic Events Definition</w:t>
      </w:r>
      <w:bookmarkEnd w:id="39"/>
      <w:bookmarkEnd w:id="40"/>
    </w:p>
    <w:p w14:paraId="41F53698" w14:textId="77777777" w:rsidR="00C55E12" w:rsidRDefault="00C55E12" w:rsidP="00C55E12">
      <w:r>
        <w:t>A procedure is a</w:t>
      </w:r>
      <w:r w:rsidRPr="007327B8">
        <w:t xml:space="preserve"> discrete therapeutic or diagnostic intervention. </w:t>
      </w:r>
      <w:r w:rsidRPr="009F2C20">
        <w:t>Procedural and diagnostic activity occurs in many admitted and non-admitted events.</w:t>
      </w:r>
      <w:r>
        <w:t xml:space="preserve"> </w:t>
      </w:r>
      <w:r w:rsidRPr="009F2C20">
        <w:t>However, there is a subset of activity that is counted under speci</w:t>
      </w:r>
      <w:r w:rsidRPr="00240B93">
        <w:t>fic</w:t>
      </w:r>
      <w:r w:rsidRPr="009F2C20">
        <w:rPr>
          <w:b/>
        </w:rPr>
        <w:t xml:space="preserve"> </w:t>
      </w:r>
      <w:r w:rsidRPr="0077047D">
        <w:t xml:space="preserve">procedural </w:t>
      </w:r>
      <w:r>
        <w:t>PUC</w:t>
      </w:r>
      <w:r w:rsidRPr="0077047D">
        <w:t>s.</w:t>
      </w:r>
    </w:p>
    <w:p w14:paraId="773C4E44" w14:textId="77777777" w:rsidR="00C55E12" w:rsidRPr="009F2C20" w:rsidRDefault="00C55E12" w:rsidP="00C55E12">
      <w:pPr>
        <w:pStyle w:val="Heading2"/>
      </w:pPr>
      <w:bookmarkStart w:id="41" w:name="_Toc340052540"/>
      <w:bookmarkStart w:id="42" w:name="_Toc66194531"/>
      <w:r w:rsidRPr="009F2C20">
        <w:t>Procedures and Diagnostic Events Rules</w:t>
      </w:r>
      <w:bookmarkEnd w:id="41"/>
      <w:bookmarkEnd w:id="42"/>
    </w:p>
    <w:p w14:paraId="5F9379DE" w14:textId="77777777" w:rsidR="00C55E12" w:rsidRPr="006E3555" w:rsidRDefault="00C55E12" w:rsidP="00C55E12">
      <w:r w:rsidRPr="006E3555">
        <w:t xml:space="preserve">A procedure that is identified in the </w:t>
      </w:r>
      <w:r>
        <w:t>Casemix F</w:t>
      </w:r>
      <w:r w:rsidRPr="006E3555">
        <w:t xml:space="preserve">ramework document </w:t>
      </w:r>
      <w:r>
        <w:t>should</w:t>
      </w:r>
      <w:r w:rsidRPr="006E3555">
        <w:t xml:space="preserve"> be admitted</w:t>
      </w:r>
      <w:r>
        <w:t xml:space="preserve"> when they meet the admission rules</w:t>
      </w:r>
      <w:r w:rsidRPr="006E3555">
        <w:t>, but it is up to the DHB whether or not</w:t>
      </w:r>
      <w:r>
        <w:t xml:space="preserve"> they admit procedural events.</w:t>
      </w:r>
    </w:p>
    <w:p w14:paraId="37B71A88" w14:textId="77777777" w:rsidR="00C55E12" w:rsidRPr="009F2C20" w:rsidRDefault="00C55E12" w:rsidP="00C55E12">
      <w:pPr>
        <w:pStyle w:val="Heading2"/>
      </w:pPr>
      <w:bookmarkStart w:id="43" w:name="_Toc340052541"/>
      <w:bookmarkStart w:id="44" w:name="_Toc66194532"/>
      <w:r w:rsidRPr="009F2C20">
        <w:t>Procedures and Diagnostic Events Purchase Unit Allocation</w:t>
      </w:r>
      <w:bookmarkEnd w:id="43"/>
      <w:bookmarkEnd w:id="44"/>
    </w:p>
    <w:p w14:paraId="0681A7EE" w14:textId="77777777" w:rsidR="00C55E12" w:rsidRPr="009F2C20" w:rsidRDefault="00C55E12" w:rsidP="00C55E12">
      <w:pPr>
        <w:pStyle w:val="BulletNormal"/>
      </w:pPr>
      <w:r w:rsidRPr="009F2C20">
        <w:t xml:space="preserve">The allocation of </w:t>
      </w:r>
      <w:r>
        <w:t>PUCs</w:t>
      </w:r>
      <w:r w:rsidRPr="009F2C20">
        <w:t xml:space="preserve"> for the majority of procedures is defined in the </w:t>
      </w:r>
      <w:r>
        <w:t>NZ C</w:t>
      </w:r>
      <w:r w:rsidRPr="009F2C20">
        <w:t xml:space="preserve">asemix </w:t>
      </w:r>
      <w:r>
        <w:t>F</w:t>
      </w:r>
      <w:r w:rsidRPr="009F2C20">
        <w:t>ramework document.</w:t>
      </w:r>
      <w:r>
        <w:t xml:space="preserve"> </w:t>
      </w:r>
      <w:r w:rsidRPr="009F2C20">
        <w:t>However, there are a small number of minor procedures</w:t>
      </w:r>
      <w:r>
        <w:t xml:space="preserve"> that are counted under special</w:t>
      </w:r>
      <w:r w:rsidRPr="009F2C20">
        <w:t xml:space="preserve">ty specific </w:t>
      </w:r>
      <w:r>
        <w:t>PUCs</w:t>
      </w:r>
      <w:r w:rsidRPr="009F2C20">
        <w:t xml:space="preserve"> if the patient is not admitted (refer to the </w:t>
      </w:r>
      <w:r>
        <w:t>PUDD).</w:t>
      </w:r>
    </w:p>
    <w:p w14:paraId="371404BE" w14:textId="17F33BC7" w:rsidR="00C55E12" w:rsidRDefault="00C55E12" w:rsidP="00C55E12">
      <w:pPr>
        <w:pStyle w:val="BulletNormal"/>
      </w:pPr>
      <w:r w:rsidRPr="009F2C20">
        <w:t>Where ther</w:t>
      </w:r>
      <w:r>
        <w:t>e is a generic</w:t>
      </w:r>
      <w:r w:rsidR="003C2420">
        <w:t>,</w:t>
      </w:r>
      <w:r>
        <w:t xml:space="preserve"> non-special</w:t>
      </w:r>
      <w:r w:rsidRPr="009F2C20">
        <w:t xml:space="preserve">ty derived procedural </w:t>
      </w:r>
      <w:r>
        <w:t>PUC</w:t>
      </w:r>
      <w:r w:rsidRPr="009F2C20">
        <w:t>, this should be us</w:t>
      </w:r>
      <w:r>
        <w:t>ed in preference to the special</w:t>
      </w:r>
      <w:r w:rsidRPr="009F2C20">
        <w:t xml:space="preserve">ty derived </w:t>
      </w:r>
      <w:r>
        <w:t>PUCs</w:t>
      </w:r>
      <w:r w:rsidRPr="009F2C20">
        <w:t xml:space="preserve"> </w:t>
      </w:r>
    </w:p>
    <w:p w14:paraId="1606B81B" w14:textId="1E62BC94" w:rsidR="00C55E12" w:rsidRDefault="00C55E12" w:rsidP="00C55E12">
      <w:pPr>
        <w:pStyle w:val="BulletNormal"/>
      </w:pPr>
      <w:r>
        <w:t xml:space="preserve">When counting procedures, </w:t>
      </w:r>
      <w:r w:rsidRPr="00CD2F54">
        <w:t xml:space="preserve">the default is to count the event, not the number of procedures performed </w:t>
      </w:r>
      <w:r w:rsidRPr="003C3CDF">
        <w:t>during that event</w:t>
      </w:r>
      <w:r w:rsidR="003C2420">
        <w:t>. For example</w:t>
      </w:r>
      <w:r>
        <w:t>, the skin lesion PUC definition allows multiple skin lesions to be counted under one event. There may be instances where the PUC specifically allows for multiple counts. This would be identified in the PUC definition and unit of measure.</w:t>
      </w:r>
      <w:bookmarkStart w:id="45" w:name="_Toc340052543"/>
    </w:p>
    <w:p w14:paraId="1AD19770" w14:textId="77777777" w:rsidR="00C55E12" w:rsidRPr="002414AA" w:rsidRDefault="00C55E12" w:rsidP="00C55E12">
      <w:pPr>
        <w:pStyle w:val="Heading1"/>
      </w:pPr>
      <w:bookmarkStart w:id="46" w:name="_Toc66194533"/>
      <w:r w:rsidRPr="002414AA">
        <w:t>Emergency Department (ED) Attendances</w:t>
      </w:r>
      <w:bookmarkEnd w:id="45"/>
      <w:bookmarkEnd w:id="46"/>
      <w:r w:rsidRPr="002414AA">
        <w:t xml:space="preserve"> </w:t>
      </w:r>
    </w:p>
    <w:p w14:paraId="75AB5CEE" w14:textId="77777777" w:rsidR="00C55E12" w:rsidRPr="009F2C20" w:rsidRDefault="00C55E12" w:rsidP="00C55E12">
      <w:pPr>
        <w:pStyle w:val="Heading2"/>
      </w:pPr>
      <w:bookmarkStart w:id="47" w:name="_Toc340052544"/>
      <w:bookmarkStart w:id="48" w:name="_Toc66194534"/>
      <w:r w:rsidRPr="009F2C20">
        <w:t>Emergency Department Attendance Definition</w:t>
      </w:r>
      <w:bookmarkEnd w:id="47"/>
      <w:bookmarkEnd w:id="48"/>
    </w:p>
    <w:p w14:paraId="4A190DF9" w14:textId="331BCA9D" w:rsidR="00C55E12" w:rsidRPr="009F2C20" w:rsidRDefault="00C55E12" w:rsidP="00C55E12">
      <w:r w:rsidRPr="009F2C20">
        <w:t>A</w:t>
      </w:r>
      <w:r>
        <w:t xml:space="preserve"> healthcare user attends</w:t>
      </w:r>
      <w:r w:rsidRPr="009F2C20">
        <w:t xml:space="preserve"> an </w:t>
      </w:r>
      <w:r>
        <w:t>ED</w:t>
      </w:r>
      <w:r w:rsidRPr="009F2C20">
        <w:t xml:space="preserve"> </w:t>
      </w:r>
      <w:r>
        <w:t>and</w:t>
      </w:r>
      <w:r w:rsidRPr="009F2C20">
        <w:t xml:space="preserve"> is assessed by a </w:t>
      </w:r>
      <w:r>
        <w:t xml:space="preserve">nurse (includes triage nurse), nurse practitioner, clinician or other health professional. </w:t>
      </w:r>
      <w:r w:rsidRPr="009F2C20">
        <w:t>The healthcare user receives treatment, therapy, advice, diagnostic or investigatory procedures.</w:t>
      </w:r>
    </w:p>
    <w:p w14:paraId="3E39D882" w14:textId="77777777" w:rsidR="00C55E12" w:rsidRPr="009F2C20" w:rsidRDefault="00C55E12" w:rsidP="00C55E12">
      <w:pPr>
        <w:pStyle w:val="Heading2"/>
      </w:pPr>
      <w:bookmarkStart w:id="49" w:name="_Toc340052545"/>
      <w:bookmarkStart w:id="50" w:name="_Toc66194535"/>
      <w:r w:rsidRPr="009F2C20">
        <w:t>Emergency Department Attendances Rules</w:t>
      </w:r>
      <w:bookmarkEnd w:id="49"/>
      <w:bookmarkEnd w:id="50"/>
    </w:p>
    <w:p w14:paraId="782F8F49" w14:textId="6F61704D" w:rsidR="00C55E12" w:rsidRPr="009F2C20" w:rsidRDefault="00C55E12" w:rsidP="00C55E12">
      <w:pPr>
        <w:pStyle w:val="BulletNormal"/>
      </w:pPr>
      <w:r w:rsidRPr="009F2C20">
        <w:t xml:space="preserve">Patients receiving treatment for </w:t>
      </w:r>
      <w:r>
        <w:t>three</w:t>
      </w:r>
      <w:r w:rsidRPr="009F2C20">
        <w:t xml:space="preserve"> hours </w:t>
      </w:r>
      <w:r>
        <w:t xml:space="preserve">or more </w:t>
      </w:r>
      <w:r w:rsidRPr="009F2C20">
        <w:t xml:space="preserve">within </w:t>
      </w:r>
      <w:r>
        <w:t xml:space="preserve">an </w:t>
      </w:r>
      <w:r w:rsidRPr="009F2C20">
        <w:t>ED must be admitted</w:t>
      </w:r>
      <w:r w:rsidRPr="009443FF">
        <w:rPr>
          <w:szCs w:val="22"/>
        </w:rPr>
        <w:t>. When calculating the three hours, exclude waiting time in a waiting room, exclude triage</w:t>
      </w:r>
      <w:r w:rsidR="007F1F44">
        <w:rPr>
          <w:szCs w:val="22"/>
        </w:rPr>
        <w:t xml:space="preserve"> (or time prior to triage)</w:t>
      </w:r>
      <w:r w:rsidRPr="009443FF">
        <w:rPr>
          <w:szCs w:val="22"/>
        </w:rPr>
        <w:t xml:space="preserve"> and use only the duration from commencement of assessment and</w:t>
      </w:r>
      <w:r>
        <w:rPr>
          <w:szCs w:val="22"/>
        </w:rPr>
        <w:t>/or</w:t>
      </w:r>
      <w:r w:rsidRPr="009443FF">
        <w:rPr>
          <w:szCs w:val="22"/>
        </w:rPr>
        <w:t xml:space="preserve"> treatment by </w:t>
      </w:r>
      <w:r w:rsidRPr="00A24704">
        <w:rPr>
          <w:szCs w:val="22"/>
        </w:rPr>
        <w:t>a nurse (excluding triage nurse), nurse practitioner, clinician or other health professiona</w:t>
      </w:r>
      <w:r>
        <w:rPr>
          <w:szCs w:val="22"/>
        </w:rPr>
        <w:t>l</w:t>
      </w:r>
      <w:r w:rsidRPr="00A24704">
        <w:rPr>
          <w:szCs w:val="22"/>
        </w:rPr>
        <w:t>.</w:t>
      </w:r>
      <w:r w:rsidRPr="009F2C20">
        <w:t xml:space="preserve"> </w:t>
      </w:r>
      <w:r w:rsidR="009D73CF">
        <w:t xml:space="preserve">Time in the waiting room prior </w:t>
      </w:r>
      <w:r w:rsidR="008260D5">
        <w:t xml:space="preserve">to triage is also excluded. </w:t>
      </w:r>
      <w:r w:rsidRPr="009F2C20">
        <w:t>Events where no treatment occurs in the ED are not counted as an ED attendance</w:t>
      </w:r>
      <w:r>
        <w:t>. This activity is reported as ED00002 (triage only)</w:t>
      </w:r>
      <w:r w:rsidRPr="009F2C20">
        <w:t>.</w:t>
      </w:r>
    </w:p>
    <w:p w14:paraId="5398EEE3" w14:textId="77777777" w:rsidR="00C55E12" w:rsidRPr="009F2C20" w:rsidRDefault="00C55E12" w:rsidP="00C55E12">
      <w:pPr>
        <w:pStyle w:val="Heading2"/>
      </w:pPr>
      <w:bookmarkStart w:id="51" w:name="_Toc340052546"/>
      <w:bookmarkStart w:id="52" w:name="_Toc66194536"/>
      <w:r w:rsidRPr="009F2C20">
        <w:lastRenderedPageBreak/>
        <w:t xml:space="preserve">Emergency Department Attendances </w:t>
      </w:r>
      <w:r>
        <w:t>PU</w:t>
      </w:r>
      <w:r w:rsidRPr="009F2C20">
        <w:t xml:space="preserve"> Allocation</w:t>
      </w:r>
      <w:bookmarkEnd w:id="51"/>
      <w:bookmarkEnd w:id="52"/>
    </w:p>
    <w:p w14:paraId="2D114E9C" w14:textId="0D2CD087" w:rsidR="00C55E12" w:rsidRPr="009F2C20" w:rsidRDefault="00C55E12" w:rsidP="00C55E12">
      <w:pPr>
        <w:pStyle w:val="BulletNormal"/>
        <w:rPr>
          <w:b/>
        </w:rPr>
      </w:pPr>
      <w:r w:rsidRPr="009F2C20">
        <w:t>Non</w:t>
      </w:r>
      <w:r>
        <w:t>-</w:t>
      </w:r>
      <w:r w:rsidRPr="009F2C20">
        <w:t>admitted events are allocated</w:t>
      </w:r>
      <w:r>
        <w:t xml:space="preserve"> to a standard ED PU</w:t>
      </w:r>
      <w:r w:rsidR="008C12B0">
        <w:t>C</w:t>
      </w:r>
      <w:r>
        <w:t xml:space="preserve">. </w:t>
      </w:r>
    </w:p>
    <w:p w14:paraId="0C018FD7" w14:textId="27B33B3E" w:rsidR="00C55E12" w:rsidRPr="00AD35A7" w:rsidRDefault="00D264B7" w:rsidP="00C55E12">
      <w:pPr>
        <w:pStyle w:val="BulletNormal"/>
        <w:rPr>
          <w:b/>
        </w:rPr>
      </w:pPr>
      <w:r>
        <w:t>ED attendances where the p</w:t>
      </w:r>
      <w:r w:rsidR="00C55E12" w:rsidRPr="009F2C20">
        <w:t>atient</w:t>
      </w:r>
      <w:r>
        <w:t xml:space="preserve"> is</w:t>
      </w:r>
      <w:r w:rsidR="00C55E12" w:rsidRPr="009F2C20">
        <w:t xml:space="preserve"> subsequently admitted to </w:t>
      </w:r>
      <w:r>
        <w:t>the same</w:t>
      </w:r>
      <w:r w:rsidRPr="009F2C20">
        <w:t xml:space="preserve"> </w:t>
      </w:r>
      <w:r w:rsidR="00C55E12" w:rsidRPr="009F2C20">
        <w:t xml:space="preserve">hospital are to be counted under the </w:t>
      </w:r>
      <w:r w:rsidR="00C55E12">
        <w:t>‘</w:t>
      </w:r>
      <w:r w:rsidR="00C55E12" w:rsidRPr="009F2C20">
        <w:t>counting only</w:t>
      </w:r>
      <w:r w:rsidR="00C55E12">
        <w:t>’</w:t>
      </w:r>
      <w:r w:rsidR="00C55E12" w:rsidRPr="009F2C20">
        <w:t xml:space="preserve"> ED </w:t>
      </w:r>
      <w:r w:rsidR="00C55E12">
        <w:t>PUC</w:t>
      </w:r>
      <w:r w:rsidR="00C55E12" w:rsidRPr="009F2C20">
        <w:t xml:space="preserve"> ending in an "A"</w:t>
      </w:r>
      <w:r>
        <w:t>.</w:t>
      </w:r>
      <w:r w:rsidR="00C55E12" w:rsidRPr="009F2C20">
        <w:t xml:space="preserve"> </w:t>
      </w:r>
      <w:r>
        <w:t>The admission is counted under the appropriate</w:t>
      </w:r>
      <w:r w:rsidR="00C55E12" w:rsidRPr="009F2C20">
        <w:t xml:space="preserve">  inpatient </w:t>
      </w:r>
      <w:r>
        <w:t>event</w:t>
      </w:r>
      <w:r w:rsidR="00C55E12" w:rsidRPr="009F2C20">
        <w:t>.</w:t>
      </w:r>
      <w:r w:rsidR="00C55E12">
        <w:t xml:space="preserve"> </w:t>
      </w:r>
    </w:p>
    <w:p w14:paraId="4604253E" w14:textId="155426A1" w:rsidR="000B5C0D" w:rsidRPr="00AD35A7" w:rsidRDefault="00C55E12" w:rsidP="00C55E12">
      <w:pPr>
        <w:pStyle w:val="BulletNormal"/>
        <w:rPr>
          <w:b/>
        </w:rPr>
      </w:pPr>
      <w:r w:rsidRPr="009F2C20">
        <w:t xml:space="preserve">All the costs for </w:t>
      </w:r>
      <w:r w:rsidR="00D264B7">
        <w:rPr>
          <w:rFonts w:eastAsiaTheme="minorHAnsi"/>
          <w:szCs w:val="22"/>
          <w:lang w:eastAsia="en-US"/>
        </w:rPr>
        <w:t>the events ED attendance and subsequent admission</w:t>
      </w:r>
      <w:r w:rsidRPr="009F2C20">
        <w:t xml:space="preserve"> should be attached to the inpatient </w:t>
      </w:r>
      <w:r w:rsidR="00D264B7">
        <w:t>event</w:t>
      </w:r>
      <w:r w:rsidR="00D264B7" w:rsidRPr="009F2C20">
        <w:t xml:space="preserve"> </w:t>
      </w:r>
      <w:r w:rsidR="003C2420">
        <w:t>that</w:t>
      </w:r>
      <w:r w:rsidRPr="009F2C20">
        <w:t xml:space="preserve"> will be the only one funded.</w:t>
      </w:r>
      <w:r>
        <w:t xml:space="preserve"> </w:t>
      </w:r>
    </w:p>
    <w:p w14:paraId="32F7E46D" w14:textId="386E5E61" w:rsidR="00C55E12" w:rsidRPr="00AC7DA3" w:rsidRDefault="00C55E12" w:rsidP="00C55E12">
      <w:pPr>
        <w:pStyle w:val="BulletNormal"/>
        <w:rPr>
          <w:b/>
        </w:rPr>
      </w:pPr>
      <w:r w:rsidRPr="009F2C20">
        <w:t xml:space="preserve">The different levels of </w:t>
      </w:r>
      <w:r>
        <w:t>ED</w:t>
      </w:r>
      <w:r w:rsidRPr="009F2C20">
        <w:t xml:space="preserve"> </w:t>
      </w:r>
      <w:r w:rsidR="003C2420">
        <w:t>service provision is</w:t>
      </w:r>
      <w:r w:rsidRPr="009F2C20">
        <w:t xml:space="preserve"> defined in the </w:t>
      </w:r>
      <w:r w:rsidR="003C2420" w:rsidRPr="003C2420">
        <w:t xml:space="preserve">nationwide </w:t>
      </w:r>
      <w:r w:rsidR="003C2420">
        <w:t xml:space="preserve">Tier two </w:t>
      </w:r>
      <w:r>
        <w:t>Emergency Department service specification.</w:t>
      </w:r>
    </w:p>
    <w:p w14:paraId="6B0301B6" w14:textId="77777777" w:rsidR="00C55E12" w:rsidRPr="00C7713B" w:rsidRDefault="00C55E12" w:rsidP="00C55E12">
      <w:pPr>
        <w:pStyle w:val="Heading1"/>
        <w:numPr>
          <w:ilvl w:val="0"/>
          <w:numId w:val="0"/>
        </w:numPr>
        <w:ind w:left="567" w:hanging="567"/>
      </w:pPr>
      <w:bookmarkStart w:id="53" w:name="_Toc66194537"/>
      <w:bookmarkStart w:id="54" w:name="_Toc340052547"/>
      <w:r w:rsidRPr="00C7713B">
        <w:t>Non-Admitted Events</w:t>
      </w:r>
      <w:bookmarkEnd w:id="53"/>
    </w:p>
    <w:p w14:paraId="6D659455" w14:textId="77777777" w:rsidR="00C55E12" w:rsidRPr="002414AA" w:rsidRDefault="00C55E12" w:rsidP="00C55E12">
      <w:pPr>
        <w:pStyle w:val="Heading1"/>
      </w:pPr>
      <w:bookmarkStart w:id="55" w:name="_Toc369874068"/>
      <w:bookmarkStart w:id="56" w:name="_Toc340743980"/>
      <w:bookmarkStart w:id="57" w:name="_Toc369874069"/>
      <w:bookmarkStart w:id="58" w:name="_Toc340052548"/>
      <w:bookmarkStart w:id="59" w:name="_Toc66194538"/>
      <w:bookmarkEnd w:id="54"/>
      <w:bookmarkEnd w:id="55"/>
      <w:bookmarkEnd w:id="56"/>
      <w:bookmarkEnd w:id="57"/>
      <w:r w:rsidRPr="002414AA">
        <w:t>First Specialist Assessment (FSA)</w:t>
      </w:r>
      <w:bookmarkEnd w:id="58"/>
      <w:bookmarkEnd w:id="59"/>
    </w:p>
    <w:p w14:paraId="6CF86C66" w14:textId="77777777" w:rsidR="00C55E12" w:rsidRPr="009F2C20" w:rsidRDefault="00C55E12" w:rsidP="00C55E12">
      <w:pPr>
        <w:pStyle w:val="Heading2"/>
      </w:pPr>
      <w:bookmarkStart w:id="60" w:name="_Toc340052549"/>
      <w:bookmarkStart w:id="61" w:name="_Toc66194539"/>
      <w:r w:rsidRPr="00C142E4">
        <w:t>First</w:t>
      </w:r>
      <w:r w:rsidRPr="009F2C20">
        <w:t xml:space="preserve"> Specialist Assessment Definition</w:t>
      </w:r>
      <w:bookmarkEnd w:id="60"/>
      <w:bookmarkEnd w:id="61"/>
    </w:p>
    <w:p w14:paraId="11637813" w14:textId="17CD6E8B" w:rsidR="00C55E12" w:rsidRPr="002C08B0" w:rsidRDefault="00C55E12" w:rsidP="00C55E12">
      <w:r>
        <w:t>An FSA is a patient’s first assessment</w:t>
      </w:r>
      <w:r w:rsidRPr="002C08B0">
        <w:t xml:space="preserve"> by a </w:t>
      </w:r>
      <w:r w:rsidRPr="0030257C">
        <w:rPr>
          <w:rFonts w:cs="Arial"/>
          <w:color w:val="000000"/>
        </w:rPr>
        <w:t>registered medical practitioner of registrar level or above, or a registered nurse practitioner</w:t>
      </w:r>
      <w:r>
        <w:t xml:space="preserve"> for a particular referral (or </w:t>
      </w:r>
      <w:r w:rsidRPr="002C08B0">
        <w:t>with a self-referral, for a discrete episode).</w:t>
      </w:r>
      <w:r>
        <w:t xml:space="preserve"> </w:t>
      </w:r>
      <w:r w:rsidRPr="002C08B0">
        <w:t xml:space="preserve">The healthcare user receives treatment, therapy, advice, diagnostic or investigatory procedures within </w:t>
      </w:r>
      <w:r>
        <w:t>three</w:t>
      </w:r>
      <w:r w:rsidRPr="002C08B0">
        <w:t xml:space="preserve"> hours of the start of the consultation. </w:t>
      </w:r>
      <w:r w:rsidR="003C2420">
        <w:t>The s</w:t>
      </w:r>
      <w:r w:rsidRPr="002C08B0">
        <w:t>ervice is provided in ward and/or designated outpatient clinic</w:t>
      </w:r>
      <w:r>
        <w:t xml:space="preserve"> or by telehealth</w:t>
      </w:r>
      <w:r w:rsidRPr="002C08B0">
        <w:t>.</w:t>
      </w:r>
      <w:r>
        <w:t xml:space="preserve"> </w:t>
      </w:r>
      <w:r w:rsidRPr="002C08B0">
        <w:t xml:space="preserve">Excludes </w:t>
      </w:r>
      <w:r>
        <w:t>ED</w:t>
      </w:r>
      <w:r w:rsidRPr="002C08B0">
        <w:t xml:space="preserve"> and outpatient attendance</w:t>
      </w:r>
      <w:r>
        <w:t>s</w:t>
      </w:r>
      <w:r w:rsidRPr="002C08B0">
        <w:t xml:space="preserve"> for pre-admission assessment/screening</w:t>
      </w:r>
      <w:r>
        <w:t xml:space="preserve"> </w:t>
      </w:r>
      <w:sdt>
        <w:sdtPr>
          <w:id w:val="-892501782"/>
          <w:citation/>
        </w:sdtPr>
        <w:sdtEndPr/>
        <w:sdtContent>
          <w:r>
            <w:fldChar w:fldCharType="begin"/>
          </w:r>
          <w:r>
            <w:instrText xml:space="preserve">CITATION GlossaryNatColl \l 5129 </w:instrText>
          </w:r>
          <w:r>
            <w:fldChar w:fldCharType="separate"/>
          </w:r>
          <w:r>
            <w:rPr>
              <w:noProof/>
            </w:rPr>
            <w:t>(National Collections)</w:t>
          </w:r>
          <w:r>
            <w:fldChar w:fldCharType="end"/>
          </w:r>
        </w:sdtContent>
      </w:sdt>
      <w:r w:rsidRPr="002C08B0">
        <w:t>.</w:t>
      </w:r>
    </w:p>
    <w:p w14:paraId="30021D7C" w14:textId="77777777" w:rsidR="00C55E12" w:rsidRPr="009F2C20" w:rsidRDefault="00C55E12" w:rsidP="00C55E12">
      <w:pPr>
        <w:pStyle w:val="Heading2"/>
      </w:pPr>
      <w:bookmarkStart w:id="62" w:name="_Toc340052550"/>
      <w:bookmarkStart w:id="63" w:name="_Toc66194540"/>
      <w:r w:rsidRPr="009F2C20">
        <w:t>First Specialist Assessment Rules</w:t>
      </w:r>
      <w:bookmarkEnd w:id="62"/>
      <w:bookmarkEnd w:id="63"/>
    </w:p>
    <w:p w14:paraId="5C31FACF" w14:textId="3E209FDA" w:rsidR="00C55E12" w:rsidRPr="009F2C20" w:rsidRDefault="00C55E12" w:rsidP="00C55E12">
      <w:pPr>
        <w:pStyle w:val="BulletNormal"/>
      </w:pPr>
      <w:r w:rsidRPr="009F2C20">
        <w:t xml:space="preserve">The event should be less than </w:t>
      </w:r>
      <w:r>
        <w:t>three</w:t>
      </w:r>
      <w:r w:rsidRPr="009F2C20">
        <w:t xml:space="preserve"> hours from the start of the consultation</w:t>
      </w:r>
      <w:r w:rsidR="003C2420">
        <w:t>.</w:t>
      </w:r>
    </w:p>
    <w:p w14:paraId="046FAC19" w14:textId="065FEE70" w:rsidR="00C55E12" w:rsidRPr="009F2C20" w:rsidRDefault="00C55E12" w:rsidP="00C55E12">
      <w:pPr>
        <w:pStyle w:val="BulletNormal"/>
      </w:pPr>
      <w:r w:rsidRPr="009F2C20">
        <w:t>The service can be provided in the ward if the patient is not admitted</w:t>
      </w:r>
      <w:r>
        <w:t xml:space="preserve">. </w:t>
      </w:r>
      <w:r w:rsidRPr="009F2C20">
        <w:t xml:space="preserve">However, if the intent is to treat them for </w:t>
      </w:r>
      <w:r>
        <w:t>three</w:t>
      </w:r>
      <w:r w:rsidRPr="009F2C20">
        <w:t xml:space="preserve"> hours</w:t>
      </w:r>
      <w:r>
        <w:t xml:space="preserve"> or more</w:t>
      </w:r>
      <w:r w:rsidRPr="009F2C20">
        <w:t>, the admission rule is applied</w:t>
      </w:r>
      <w:r w:rsidR="003C2420">
        <w:t>.</w:t>
      </w:r>
    </w:p>
    <w:p w14:paraId="4B29E6D7" w14:textId="39E817DB" w:rsidR="00C55E12" w:rsidRPr="009F2C20" w:rsidRDefault="00C55E12" w:rsidP="00C55E12">
      <w:pPr>
        <w:pStyle w:val="BulletNormal"/>
      </w:pPr>
      <w:r w:rsidRPr="009F2C20">
        <w:t>Excludes E</w:t>
      </w:r>
      <w:r>
        <w:t xml:space="preserve">D </w:t>
      </w:r>
      <w:r w:rsidRPr="009F2C20">
        <w:t>attendances and outpatient attendance for pre-admission assessment/screening</w:t>
      </w:r>
      <w:r w:rsidR="003C2420">
        <w:t>.</w:t>
      </w:r>
    </w:p>
    <w:p w14:paraId="2189A2F2" w14:textId="17E80919" w:rsidR="00C55E12" w:rsidRPr="009F2C20" w:rsidRDefault="00C55E12" w:rsidP="00C55E12">
      <w:pPr>
        <w:pStyle w:val="BulletNormal"/>
      </w:pPr>
      <w:r w:rsidRPr="009F2C20">
        <w:t>Acute events outside of an acute assessment unit or ED are to be treated as an FSA</w:t>
      </w:r>
      <w:r w:rsidR="003C2420">
        <w:t>.</w:t>
      </w:r>
    </w:p>
    <w:p w14:paraId="383CD36A" w14:textId="3BB1C412" w:rsidR="00C55E12" w:rsidRPr="009F2C20" w:rsidRDefault="00C55E12" w:rsidP="00C55E12">
      <w:pPr>
        <w:pStyle w:val="BulletNormal"/>
      </w:pPr>
      <w:r w:rsidRPr="009F2C20">
        <w:t>An FSA cannot be generated from a prior inpatient admission in the same specialty in the same DHB</w:t>
      </w:r>
      <w:r w:rsidR="003C2420">
        <w:t>.</w:t>
      </w:r>
    </w:p>
    <w:p w14:paraId="10875783" w14:textId="2DBBC506" w:rsidR="00C55E12" w:rsidRPr="009F2C20" w:rsidRDefault="00C55E12" w:rsidP="00C55E12">
      <w:pPr>
        <w:pStyle w:val="BulletNormal"/>
      </w:pPr>
      <w:r w:rsidRPr="009F2C20">
        <w:t xml:space="preserve">An FSA can be generated from a prior inpatient admission in a different </w:t>
      </w:r>
      <w:r>
        <w:t>special</w:t>
      </w:r>
      <w:r w:rsidRPr="009F2C20">
        <w:t>ty in the same DHB</w:t>
      </w:r>
      <w:r w:rsidR="003C2420">
        <w:t>.</w:t>
      </w:r>
    </w:p>
    <w:p w14:paraId="3334F370" w14:textId="178252E5" w:rsidR="00C55E12" w:rsidRPr="00466072" w:rsidRDefault="00C55E12" w:rsidP="00C55E12">
      <w:pPr>
        <w:pStyle w:val="BulletNormal"/>
      </w:pPr>
      <w:r w:rsidRPr="009F2C20">
        <w:t xml:space="preserve">If it is a new referral to the DHB, regardless of whether the patient has been seen in another location as part of an outreach clinic or an inpatient consultation, then it can be counted as </w:t>
      </w:r>
      <w:r>
        <w:t xml:space="preserve">an </w:t>
      </w:r>
      <w:r w:rsidRPr="009F2C20">
        <w:t>FSA</w:t>
      </w:r>
      <w:r w:rsidR="003C2420">
        <w:t>.</w:t>
      </w:r>
    </w:p>
    <w:p w14:paraId="116BE808" w14:textId="19260F0B" w:rsidR="00C55E12" w:rsidRDefault="00C55E12" w:rsidP="00C55E12">
      <w:pPr>
        <w:pStyle w:val="BulletNormal"/>
      </w:pPr>
      <w:r w:rsidRPr="006D71EE">
        <w:t>A</w:t>
      </w:r>
      <w:r>
        <w:t>n</w:t>
      </w:r>
      <w:r w:rsidRPr="006D71EE">
        <w:t xml:space="preserve"> FSA may be delivered by tele</w:t>
      </w:r>
      <w:r>
        <w:t>health.</w:t>
      </w:r>
    </w:p>
    <w:p w14:paraId="641BCC18" w14:textId="47B17479" w:rsidR="001D04E9" w:rsidRPr="006D71EE" w:rsidRDefault="001D04E9" w:rsidP="00C55E12">
      <w:pPr>
        <w:pStyle w:val="BulletNormal"/>
      </w:pPr>
      <w:r w:rsidRPr="001D04E9">
        <w:t>The patient is present either in person or via telehealth during the assessment</w:t>
      </w:r>
      <w:r w:rsidR="000112C2">
        <w:t>.</w:t>
      </w:r>
    </w:p>
    <w:p w14:paraId="73B1344C" w14:textId="77777777" w:rsidR="00C55E12" w:rsidRPr="009F2C20" w:rsidRDefault="00C55E12" w:rsidP="00C55E12">
      <w:pPr>
        <w:pStyle w:val="Heading2"/>
      </w:pPr>
      <w:bookmarkStart w:id="64" w:name="_Toc340052551"/>
      <w:bookmarkStart w:id="65" w:name="_Toc66194541"/>
      <w:r w:rsidRPr="009F2C20">
        <w:t>First Specialist Assessment Purchase Unit Allocation</w:t>
      </w:r>
      <w:bookmarkEnd w:id="64"/>
      <w:bookmarkEnd w:id="65"/>
    </w:p>
    <w:p w14:paraId="70304D0E" w14:textId="294AF038" w:rsidR="00C55E12" w:rsidRPr="00C142E4" w:rsidRDefault="00C55E12" w:rsidP="00C55E12">
      <w:pPr>
        <w:rPr>
          <w:sz w:val="20"/>
        </w:rPr>
      </w:pPr>
      <w:r>
        <w:t>PUC</w:t>
      </w:r>
      <w:r w:rsidRPr="00B115EA">
        <w:t xml:space="preserve"> allocation for outpatient </w:t>
      </w:r>
      <w:r>
        <w:t>FSAs</w:t>
      </w:r>
      <w:r w:rsidRPr="00B115EA">
        <w:t xml:space="preserve"> are based on the specialty of the clinic the patient is attending.</w:t>
      </w:r>
      <w:r>
        <w:t xml:space="preserve"> </w:t>
      </w:r>
      <w:r w:rsidRPr="00B115EA">
        <w:t>This is because there may be diagnostic tests or infrastructure requirements that are specific between clinics.</w:t>
      </w:r>
      <w:r>
        <w:t xml:space="preserve"> </w:t>
      </w:r>
      <w:r w:rsidRPr="00B115EA">
        <w:t xml:space="preserve">The </w:t>
      </w:r>
      <w:r>
        <w:t>HSC</w:t>
      </w:r>
      <w:r w:rsidRPr="00B115EA">
        <w:t xml:space="preserve"> is allocated based on the specialty for which the treating clinician is employed to perform those events, so </w:t>
      </w:r>
      <w:r w:rsidR="003C2420">
        <w:t>it</w:t>
      </w:r>
      <w:r w:rsidRPr="00B115EA">
        <w:t xml:space="preserve"> could be different to the specialty of the </w:t>
      </w:r>
      <w:r>
        <w:t>PUC</w:t>
      </w:r>
      <w:r w:rsidR="003C2420">
        <w:t>. For example</w:t>
      </w:r>
      <w:r>
        <w:t xml:space="preserve">, </w:t>
      </w:r>
      <w:r w:rsidRPr="00B115EA">
        <w:t xml:space="preserve">a </w:t>
      </w:r>
      <w:r>
        <w:t>g</w:t>
      </w:r>
      <w:r w:rsidRPr="00B115EA">
        <w:t xml:space="preserve">eneralist </w:t>
      </w:r>
      <w:r w:rsidR="003C2420">
        <w:t xml:space="preserve">physician </w:t>
      </w:r>
      <w:r w:rsidRPr="00B115EA">
        <w:t>who provid</w:t>
      </w:r>
      <w:r>
        <w:t>es</w:t>
      </w:r>
      <w:r w:rsidRPr="00B115EA">
        <w:t xml:space="preserve"> </w:t>
      </w:r>
      <w:r>
        <w:t>c</w:t>
      </w:r>
      <w:r w:rsidRPr="00B115EA">
        <w:t>ardio</w:t>
      </w:r>
      <w:r>
        <w:t>logy clinics in some small DHBs.</w:t>
      </w:r>
      <w:r w:rsidR="0012504D">
        <w:t xml:space="preserve"> See </w:t>
      </w:r>
      <w:r w:rsidR="0012504D" w:rsidRPr="002E46B2">
        <w:t xml:space="preserve">appendix </w:t>
      </w:r>
      <w:r w:rsidR="00DC1396" w:rsidRPr="00AD35A7">
        <w:t>2</w:t>
      </w:r>
      <w:r w:rsidR="0012504D" w:rsidRPr="002E46B2">
        <w:t xml:space="preserve"> for rules</w:t>
      </w:r>
      <w:r w:rsidR="0012504D">
        <w:t xml:space="preserve"> on reporting mode of delivery of an assessment,</w:t>
      </w:r>
      <w:r w:rsidR="002E46B2">
        <w:t xml:space="preserve"> such as</w:t>
      </w:r>
      <w:r w:rsidR="0012504D">
        <w:t xml:space="preserve"> when </w:t>
      </w:r>
      <w:r w:rsidR="002E46B2">
        <w:t xml:space="preserve">an </w:t>
      </w:r>
      <w:r w:rsidR="0012504D">
        <w:t>assessment is delivered using telehealth.</w:t>
      </w:r>
    </w:p>
    <w:p w14:paraId="0808FF43" w14:textId="77777777" w:rsidR="00C55E12" w:rsidRPr="002414AA" w:rsidRDefault="00C55E12" w:rsidP="00C55E12">
      <w:pPr>
        <w:pStyle w:val="Heading1"/>
      </w:pPr>
      <w:bookmarkStart w:id="66" w:name="_Toc340052552"/>
      <w:bookmarkStart w:id="67" w:name="_Toc66194542"/>
      <w:r w:rsidRPr="002414AA">
        <w:lastRenderedPageBreak/>
        <w:t>Non-contact First Specialist Assessment (FSA)</w:t>
      </w:r>
      <w:bookmarkEnd w:id="66"/>
      <w:bookmarkEnd w:id="67"/>
    </w:p>
    <w:p w14:paraId="5C35537A" w14:textId="77777777" w:rsidR="00C55E12" w:rsidRPr="009F2C20" w:rsidRDefault="00C55E12" w:rsidP="00C55E12">
      <w:pPr>
        <w:pStyle w:val="Heading2"/>
      </w:pPr>
      <w:bookmarkStart w:id="68" w:name="_Toc340052553"/>
      <w:bookmarkStart w:id="69" w:name="_Toc66194543"/>
      <w:r w:rsidRPr="009F2C20">
        <w:t>Non-contact First Specialist Assessment Definition</w:t>
      </w:r>
      <w:bookmarkEnd w:id="68"/>
      <w:bookmarkEnd w:id="69"/>
    </w:p>
    <w:p w14:paraId="04D05A9F" w14:textId="1B1B9658" w:rsidR="00C55E12" w:rsidRPr="002C08B0" w:rsidRDefault="00C55E12" w:rsidP="00C55E12">
      <w:r w:rsidRPr="00105942">
        <w:t xml:space="preserve">A review is undertaken of patient records and any diagnostic test results by a </w:t>
      </w:r>
      <w:r w:rsidRPr="0030257C">
        <w:rPr>
          <w:rFonts w:cs="Arial"/>
          <w:color w:val="000000"/>
        </w:rPr>
        <w:t>registered medical practitioner of registrar level or above, or a registered nurse practitioner</w:t>
      </w:r>
      <w:r w:rsidRPr="002C08B0">
        <w:t>.</w:t>
      </w:r>
      <w:r w:rsidR="004540DB" w:rsidRPr="004540DB">
        <w:rPr>
          <w:rFonts w:eastAsiaTheme="minorHAnsi" w:cs="Arial"/>
          <w:iCs/>
          <w:color w:val="004080"/>
          <w:szCs w:val="22"/>
          <w:lang w:eastAsia="en-US"/>
        </w:rPr>
        <w:t xml:space="preserve"> </w:t>
      </w:r>
      <w:r w:rsidRPr="002C08B0">
        <w:t>A written plan of care is developed for the patient and provision of that plan and other necessary advice is sent to the referring clinician and the patient.</w:t>
      </w:r>
      <w:r>
        <w:t xml:space="preserve"> </w:t>
      </w:r>
      <w:r w:rsidRPr="002C08B0">
        <w:t>The non</w:t>
      </w:r>
      <w:r>
        <w:t>-</w:t>
      </w:r>
      <w:r w:rsidRPr="002C08B0">
        <w:t>contact FSA does not include the triaging of referral letters.</w:t>
      </w:r>
      <w:r>
        <w:t xml:space="preserve"> </w:t>
      </w:r>
      <w:r w:rsidRPr="002C08B0">
        <w:t xml:space="preserve">The patient </w:t>
      </w:r>
      <w:r w:rsidR="00AE4D6C">
        <w:t>must</w:t>
      </w:r>
      <w:r w:rsidR="00AE4D6C" w:rsidRPr="002C08B0">
        <w:t xml:space="preserve"> </w:t>
      </w:r>
      <w:r w:rsidRPr="002C08B0">
        <w:t xml:space="preserve">not be present during the </w:t>
      </w:r>
      <w:r w:rsidR="00AE4D6C">
        <w:t>non-contact FSA</w:t>
      </w:r>
      <w:r w:rsidRPr="002C08B0">
        <w:t>.</w:t>
      </w:r>
    </w:p>
    <w:p w14:paraId="48313D6F" w14:textId="6C7D1421" w:rsidR="00C55E12" w:rsidRPr="009F2C20" w:rsidRDefault="00C55E12" w:rsidP="00C55E12">
      <w:pPr>
        <w:pStyle w:val="Heading2"/>
      </w:pPr>
      <w:bookmarkStart w:id="70" w:name="_Toc340052554"/>
      <w:bookmarkStart w:id="71" w:name="_Toc66194544"/>
      <w:r w:rsidRPr="009F2C20">
        <w:t>Non-contact First Specialist Assessment Rules</w:t>
      </w:r>
      <w:bookmarkEnd w:id="70"/>
      <w:bookmarkEnd w:id="71"/>
    </w:p>
    <w:p w14:paraId="66C1931E" w14:textId="23451D65" w:rsidR="006F48C6" w:rsidRPr="00AE4D6C" w:rsidRDefault="006F48C6" w:rsidP="00C718CB">
      <w:pPr>
        <w:pStyle w:val="BulletNormal"/>
        <w:rPr>
          <w:b/>
        </w:rPr>
      </w:pPr>
      <w:r w:rsidRPr="009F2C20">
        <w:t xml:space="preserve">The patient is not present during the </w:t>
      </w:r>
      <w:r w:rsidR="00AE4D6C">
        <w:t xml:space="preserve">review </w:t>
      </w:r>
      <w:r w:rsidR="00AE4D6C" w:rsidRPr="003C2420">
        <w:t>of patient records and any diagnostic test results</w:t>
      </w:r>
      <w:r w:rsidR="00AE4D6C">
        <w:t>.</w:t>
      </w:r>
    </w:p>
    <w:p w14:paraId="240EA397" w14:textId="2D8566BD" w:rsidR="00C55E12" w:rsidRPr="00AE4D6C" w:rsidRDefault="00C55E12" w:rsidP="00C55E12">
      <w:pPr>
        <w:pStyle w:val="BulletNormal"/>
        <w:rPr>
          <w:b/>
        </w:rPr>
      </w:pPr>
      <w:r w:rsidRPr="00844341">
        <w:t xml:space="preserve">A written plan of care is required and </w:t>
      </w:r>
      <w:r w:rsidR="005F6A28">
        <w:t>must</w:t>
      </w:r>
      <w:r w:rsidR="005F6A28" w:rsidRPr="00844341">
        <w:t xml:space="preserve"> </w:t>
      </w:r>
      <w:r w:rsidRPr="00844341">
        <w:t>be able to be audited</w:t>
      </w:r>
      <w:r>
        <w:t xml:space="preserve">. </w:t>
      </w:r>
      <w:r w:rsidRPr="00844341">
        <w:t xml:space="preserve">This </w:t>
      </w:r>
      <w:proofErr w:type="spellStart"/>
      <w:r w:rsidR="005F6A28">
        <w:t>plan</w:t>
      </w:r>
      <w:r w:rsidRPr="00844341">
        <w:t>discharges</w:t>
      </w:r>
      <w:proofErr w:type="spellEnd"/>
      <w:r w:rsidRPr="00844341">
        <w:t xml:space="preserve"> the patient back to the original referrer.</w:t>
      </w:r>
    </w:p>
    <w:p w14:paraId="43ED08B0" w14:textId="549BCF2F" w:rsidR="006F48C6" w:rsidRPr="00844341" w:rsidRDefault="006F48C6" w:rsidP="00C55E12">
      <w:pPr>
        <w:pStyle w:val="BulletNormal"/>
        <w:rPr>
          <w:b/>
        </w:rPr>
      </w:pPr>
      <w:r>
        <w:t xml:space="preserve">If the written plan of care is not completed and a patient is required to come in for an </w:t>
      </w:r>
      <w:r w:rsidR="00FB22EE">
        <w:t>in-person</w:t>
      </w:r>
      <w:r w:rsidR="005F6A28" w:rsidRPr="005F6A28">
        <w:t xml:space="preserve"> </w:t>
      </w:r>
      <w:r w:rsidR="005F6A28">
        <w:t>assessment</w:t>
      </w:r>
      <w:r>
        <w:t>, then the non-contact FSA should not be counted.</w:t>
      </w:r>
    </w:p>
    <w:p w14:paraId="75D38D25" w14:textId="6A6BD439" w:rsidR="00C55E12" w:rsidRPr="009F2C20" w:rsidRDefault="00C55E12" w:rsidP="00C55E12">
      <w:pPr>
        <w:pStyle w:val="BulletNormal"/>
        <w:rPr>
          <w:b/>
        </w:rPr>
      </w:pPr>
      <w:r w:rsidRPr="009F2C20">
        <w:t>Triage of referrals cannot be counted as a non</w:t>
      </w:r>
      <w:r>
        <w:t>-</w:t>
      </w:r>
      <w:r w:rsidRPr="009F2C20">
        <w:t>contact FSA</w:t>
      </w:r>
      <w:r w:rsidR="003C2420">
        <w:t>.</w:t>
      </w:r>
    </w:p>
    <w:p w14:paraId="4FDAB129" w14:textId="2999BDB8" w:rsidR="00C55E12" w:rsidRPr="009F2C20" w:rsidRDefault="00C55E12" w:rsidP="00C55E12">
      <w:pPr>
        <w:pStyle w:val="BulletNormal"/>
        <w:rPr>
          <w:b/>
        </w:rPr>
      </w:pPr>
      <w:r w:rsidRPr="009F2C20">
        <w:t>A non</w:t>
      </w:r>
      <w:r>
        <w:t>-</w:t>
      </w:r>
      <w:r w:rsidRPr="009F2C20">
        <w:t xml:space="preserve">contact FSA can </w:t>
      </w:r>
      <w:r w:rsidR="0012504D">
        <w:t>be referred from</w:t>
      </w:r>
      <w:r w:rsidR="0012504D" w:rsidRPr="009F2C20">
        <w:t xml:space="preserve"> </w:t>
      </w:r>
      <w:r w:rsidRPr="009F2C20">
        <w:t>internal referrals from</w:t>
      </w:r>
      <w:r>
        <w:t xml:space="preserve"> another special</w:t>
      </w:r>
      <w:r w:rsidRPr="009F2C20">
        <w:t>ty within the same D</w:t>
      </w:r>
      <w:r>
        <w:t>HB, or between the same special</w:t>
      </w:r>
      <w:r w:rsidRPr="009F2C20">
        <w:t xml:space="preserve">ty </w:t>
      </w:r>
      <w:r>
        <w:t>in</w:t>
      </w:r>
      <w:r w:rsidRPr="009F2C20">
        <w:t xml:space="preserve"> different DHBs</w:t>
      </w:r>
      <w:r w:rsidR="003C2420">
        <w:t>.</w:t>
      </w:r>
    </w:p>
    <w:p w14:paraId="13CB6151" w14:textId="479F6F8F" w:rsidR="00C55E12" w:rsidRPr="003C2420" w:rsidRDefault="00C55E12" w:rsidP="00C55E12">
      <w:pPr>
        <w:pStyle w:val="BulletNormal"/>
        <w:rPr>
          <w:b/>
        </w:rPr>
      </w:pPr>
      <w:r w:rsidRPr="00CB45C4">
        <w:t>A non</w:t>
      </w:r>
      <w:r>
        <w:t>-</w:t>
      </w:r>
      <w:r w:rsidRPr="00CB45C4">
        <w:t>contact FSA c</w:t>
      </w:r>
      <w:r>
        <w:t>annot be generated after a</w:t>
      </w:r>
      <w:r w:rsidRPr="00CB45C4">
        <w:t xml:space="preserve"> FSA </w:t>
      </w:r>
      <w:r w:rsidR="003C2420" w:rsidRPr="003C2420">
        <w:t>has occurred</w:t>
      </w:r>
      <w:r w:rsidR="003C2420">
        <w:t xml:space="preserve"> </w:t>
      </w:r>
      <w:r w:rsidR="00652F41">
        <w:t>with the patient present (</w:t>
      </w:r>
      <w:r w:rsidR="00FB22EE">
        <w:t>in-person</w:t>
      </w:r>
      <w:r w:rsidR="00652F41">
        <w:t xml:space="preserve"> or via telehealth)</w:t>
      </w:r>
      <w:r w:rsidR="003C2420">
        <w:t xml:space="preserve"> </w:t>
      </w:r>
      <w:r>
        <w:t>for the same condition with the same health practitioner</w:t>
      </w:r>
      <w:r w:rsidR="003C2420">
        <w:t>.</w:t>
      </w:r>
      <w:r>
        <w:t xml:space="preserve"> </w:t>
      </w:r>
    </w:p>
    <w:p w14:paraId="7C6117B8" w14:textId="244DA618" w:rsidR="00C55E12" w:rsidRPr="00A56208" w:rsidRDefault="00C55E12" w:rsidP="00C55E12">
      <w:pPr>
        <w:pStyle w:val="BulletNormal"/>
        <w:rPr>
          <w:b/>
        </w:rPr>
      </w:pPr>
      <w:r>
        <w:t xml:space="preserve">Any subsequent </w:t>
      </w:r>
      <w:r w:rsidR="003C2420">
        <w:t xml:space="preserve">patient </w:t>
      </w:r>
      <w:r>
        <w:t>contact should be treated as a new referral whe</w:t>
      </w:r>
      <w:r w:rsidR="003C2420">
        <w:t>n</w:t>
      </w:r>
      <w:r>
        <w:t xml:space="preserve"> the patient’s condition has changed. </w:t>
      </w:r>
    </w:p>
    <w:p w14:paraId="33D7EFFF" w14:textId="51E9B17F" w:rsidR="00C55E12" w:rsidRPr="00A56208" w:rsidRDefault="003C2420" w:rsidP="00C55E12">
      <w:pPr>
        <w:pStyle w:val="BulletNormal"/>
      </w:pPr>
      <w:r>
        <w:t>A</w:t>
      </w:r>
      <w:r w:rsidR="00C55E12" w:rsidRPr="00A56208">
        <w:t xml:space="preserve"> follow up</w:t>
      </w:r>
      <w:r w:rsidR="00D60393">
        <w:t>, with the patient present,</w:t>
      </w:r>
      <w:r w:rsidR="00C55E12" w:rsidRPr="00A56208">
        <w:t xml:space="preserve"> can occur where a subsequent appointment is deemed necessary and relates to the original referral</w:t>
      </w:r>
      <w:r>
        <w:t>.</w:t>
      </w:r>
    </w:p>
    <w:p w14:paraId="7E1ED0BD" w14:textId="77777777" w:rsidR="00C55E12" w:rsidRPr="009F2C20" w:rsidRDefault="00C55E12" w:rsidP="00C55E12">
      <w:pPr>
        <w:pStyle w:val="Heading2"/>
      </w:pPr>
      <w:bookmarkStart w:id="72" w:name="_Toc340052555"/>
      <w:bookmarkStart w:id="73" w:name="_Toc66194545"/>
      <w:r w:rsidRPr="00DC1396">
        <w:t>Non-</w:t>
      </w:r>
      <w:r>
        <w:t xml:space="preserve">contact </w:t>
      </w:r>
      <w:r w:rsidRPr="009F2C20">
        <w:t>First Specialist Assessment Purchase Unit Allocation</w:t>
      </w:r>
      <w:bookmarkEnd w:id="72"/>
      <w:bookmarkEnd w:id="73"/>
    </w:p>
    <w:p w14:paraId="7343F458" w14:textId="22548DD0" w:rsidR="006A0F39" w:rsidRDefault="00C55E12" w:rsidP="00C55E12">
      <w:r>
        <w:t>PUC</w:t>
      </w:r>
      <w:r w:rsidRPr="009F2C20">
        <w:t xml:space="preserve"> allocation </w:t>
      </w:r>
      <w:r>
        <w:t>for non-contact FSAs: M00010 (</w:t>
      </w:r>
      <w:r w:rsidRPr="00E10698">
        <w:t>Medical non</w:t>
      </w:r>
      <w:r>
        <w:t>-</w:t>
      </w:r>
      <w:r w:rsidRPr="00E10698">
        <w:t>contact First Specialist Assessment - Any health specialty</w:t>
      </w:r>
      <w:r>
        <w:t>) and S00011 (Surgical non-</w:t>
      </w:r>
      <w:r w:rsidRPr="00E10698">
        <w:t>contact First Specialist Assessment - Any health specialty</w:t>
      </w:r>
      <w:r>
        <w:t>)</w:t>
      </w:r>
      <w:r w:rsidR="00751AE8">
        <w:t>.</w:t>
      </w:r>
      <w:r w:rsidR="00C9754E">
        <w:t xml:space="preserve"> These PU </w:t>
      </w:r>
      <w:r w:rsidR="00460EE2">
        <w:t xml:space="preserve">codes are to </w:t>
      </w:r>
      <w:r w:rsidR="0012504D">
        <w:t xml:space="preserve">be reported </w:t>
      </w:r>
      <w:r w:rsidR="00100870">
        <w:t xml:space="preserve">to NNPAC </w:t>
      </w:r>
      <w:r w:rsidR="0012504D">
        <w:t xml:space="preserve">with the health specialty code </w:t>
      </w:r>
      <w:r w:rsidR="00282ADC">
        <w:t>as well as with the Mode of Delivery code 7 (non-contact)</w:t>
      </w:r>
      <w:r>
        <w:t>.</w:t>
      </w:r>
    </w:p>
    <w:p w14:paraId="0B91EC0D" w14:textId="77777777" w:rsidR="006A0F39" w:rsidRDefault="006A0F39" w:rsidP="00C55E12"/>
    <w:p w14:paraId="1348D100" w14:textId="77777777" w:rsidR="00C55E12" w:rsidRPr="002414AA" w:rsidRDefault="00C55E12" w:rsidP="00C55E12">
      <w:pPr>
        <w:pStyle w:val="Heading1"/>
      </w:pPr>
      <w:bookmarkStart w:id="74" w:name="_Toc56410658"/>
      <w:bookmarkStart w:id="75" w:name="_Toc369874078"/>
      <w:bookmarkStart w:id="76" w:name="_Toc340052556"/>
      <w:bookmarkStart w:id="77" w:name="_Toc66194546"/>
      <w:bookmarkEnd w:id="74"/>
      <w:bookmarkEnd w:id="75"/>
      <w:r>
        <w:t>Specialist Follow U</w:t>
      </w:r>
      <w:r w:rsidRPr="002414AA">
        <w:t xml:space="preserve">p </w:t>
      </w:r>
      <w:bookmarkEnd w:id="76"/>
      <w:r>
        <w:t>Assessment</w:t>
      </w:r>
      <w:bookmarkEnd w:id="77"/>
    </w:p>
    <w:p w14:paraId="6B86AA5D" w14:textId="77777777" w:rsidR="00C55E12" w:rsidRPr="009F2C20" w:rsidRDefault="00C55E12" w:rsidP="00C55E12">
      <w:pPr>
        <w:pStyle w:val="Heading2"/>
      </w:pPr>
      <w:bookmarkStart w:id="78" w:name="_Toc340052557"/>
      <w:bookmarkStart w:id="79" w:name="_Toc340234138"/>
      <w:bookmarkStart w:id="80" w:name="_Toc66194547"/>
      <w:r>
        <w:t>Specialist Follow U</w:t>
      </w:r>
      <w:r w:rsidRPr="009F2C20">
        <w:t>p Definition</w:t>
      </w:r>
      <w:bookmarkEnd w:id="78"/>
      <w:bookmarkEnd w:id="79"/>
      <w:bookmarkEnd w:id="80"/>
    </w:p>
    <w:p w14:paraId="2842A8EC" w14:textId="1738F0F5" w:rsidR="00C55E12" w:rsidRPr="002C08B0" w:rsidRDefault="00C55E12" w:rsidP="00C55E12">
      <w:r>
        <w:t>A follow up is a s</w:t>
      </w:r>
      <w:r w:rsidRPr="002C08B0">
        <w:t xml:space="preserve">ubsequent </w:t>
      </w:r>
      <w:r>
        <w:t>patient</w:t>
      </w:r>
      <w:r w:rsidRPr="002C08B0">
        <w:t xml:space="preserve"> consultation </w:t>
      </w:r>
      <w:r>
        <w:t>with a</w:t>
      </w:r>
      <w:r w:rsidRPr="002C08B0">
        <w:t xml:space="preserve"> </w:t>
      </w:r>
      <w:r w:rsidRPr="0030257C">
        <w:rPr>
          <w:rFonts w:cs="Arial"/>
          <w:color w:val="000000"/>
        </w:rPr>
        <w:t>registered medical practitioner of registrar level or above, or a registered nurse practitioner</w:t>
      </w:r>
      <w:r>
        <w:rPr>
          <w:rFonts w:cs="Arial"/>
          <w:color w:val="000000"/>
        </w:rPr>
        <w:t>,</w:t>
      </w:r>
      <w:r w:rsidRPr="002C08B0">
        <w:t xml:space="preserve"> for the same condition in the same specialty.</w:t>
      </w:r>
      <w:r>
        <w:t xml:space="preserve"> </w:t>
      </w:r>
      <w:r w:rsidRPr="002C08B0">
        <w:t xml:space="preserve">The </w:t>
      </w:r>
      <w:r>
        <w:t>patient</w:t>
      </w:r>
      <w:r w:rsidRPr="002C08B0">
        <w:t xml:space="preserve"> receives treatment, therapy, advice, diagnostic or investigatory procedures, is not admitted, d</w:t>
      </w:r>
      <w:r>
        <w:t xml:space="preserve">oes </w:t>
      </w:r>
      <w:r w:rsidRPr="002C08B0">
        <w:t xml:space="preserve">not receive a general anaesthetic and the specialist’s intent is that they will </w:t>
      </w:r>
      <w:r>
        <w:t>finish</w:t>
      </w:r>
      <w:r w:rsidRPr="002C08B0">
        <w:t xml:space="preserve"> </w:t>
      </w:r>
      <w:r>
        <w:t xml:space="preserve">the consultation </w:t>
      </w:r>
      <w:r w:rsidRPr="002C08B0">
        <w:t xml:space="preserve">within </w:t>
      </w:r>
      <w:r>
        <w:t>three</w:t>
      </w:r>
      <w:r w:rsidRPr="002C08B0">
        <w:t xml:space="preserve"> hours</w:t>
      </w:r>
      <w:r>
        <w:t>.</w:t>
      </w:r>
    </w:p>
    <w:p w14:paraId="20573862" w14:textId="77777777" w:rsidR="00C55E12" w:rsidRPr="009F2C20" w:rsidRDefault="00C55E12" w:rsidP="00C55E12">
      <w:pPr>
        <w:pStyle w:val="Heading2"/>
      </w:pPr>
      <w:bookmarkStart w:id="81" w:name="_Toc340052558"/>
      <w:bookmarkStart w:id="82" w:name="_Toc66194548"/>
      <w:r>
        <w:t>Specialist Follow U</w:t>
      </w:r>
      <w:r w:rsidRPr="009F2C20">
        <w:t>p Rules</w:t>
      </w:r>
      <w:bookmarkEnd w:id="81"/>
      <w:bookmarkEnd w:id="82"/>
    </w:p>
    <w:p w14:paraId="4D1AC87D" w14:textId="4AE42FAF" w:rsidR="00C55E12" w:rsidRPr="009F2C20" w:rsidRDefault="00C55E12" w:rsidP="00C55E12">
      <w:pPr>
        <w:pStyle w:val="BulletNormal"/>
      </w:pPr>
      <w:r w:rsidRPr="009F2C20">
        <w:t xml:space="preserve">The event should be less than </w:t>
      </w:r>
      <w:r>
        <w:t>three</w:t>
      </w:r>
      <w:r w:rsidRPr="009F2C20">
        <w:t xml:space="preserve"> hours from the start of the consultation</w:t>
      </w:r>
      <w:r w:rsidR="0017709F">
        <w:t>.</w:t>
      </w:r>
      <w:r w:rsidRPr="009F2C20">
        <w:t xml:space="preserve"> </w:t>
      </w:r>
    </w:p>
    <w:p w14:paraId="178A48CA" w14:textId="08649F1E" w:rsidR="00C55E12" w:rsidRPr="009F2C20" w:rsidRDefault="00C55E12" w:rsidP="00C55E12">
      <w:pPr>
        <w:pStyle w:val="BulletNormal"/>
      </w:pPr>
      <w:r w:rsidRPr="009F2C20">
        <w:t>The service can be provided in the ward if the patient is not admitted</w:t>
      </w:r>
      <w:r>
        <w:t xml:space="preserve">. </w:t>
      </w:r>
      <w:r w:rsidRPr="009F2C20">
        <w:t>However</w:t>
      </w:r>
      <w:r>
        <w:t>,</w:t>
      </w:r>
      <w:r w:rsidRPr="009F2C20">
        <w:t xml:space="preserve"> if the intent is to treat them for </w:t>
      </w:r>
      <w:r>
        <w:t>three</w:t>
      </w:r>
      <w:r w:rsidRPr="009F2C20">
        <w:t xml:space="preserve"> hours</w:t>
      </w:r>
      <w:r>
        <w:t xml:space="preserve"> or more</w:t>
      </w:r>
      <w:r w:rsidRPr="009F2C20">
        <w:t>, the admission rule is applied</w:t>
      </w:r>
      <w:r w:rsidR="0017709F">
        <w:t>.</w:t>
      </w:r>
    </w:p>
    <w:p w14:paraId="2F173E02" w14:textId="1A63FD87" w:rsidR="00C55E12" w:rsidRPr="009F2C20" w:rsidRDefault="00C55E12" w:rsidP="00C55E12">
      <w:pPr>
        <w:pStyle w:val="BulletNormal"/>
      </w:pPr>
      <w:r>
        <w:lastRenderedPageBreak/>
        <w:t>Subsequent presentations following an a</w:t>
      </w:r>
      <w:r w:rsidRPr="009F2C20">
        <w:t xml:space="preserve">cute event outside of an acute assessment unit or ED are to be treated as a </w:t>
      </w:r>
      <w:r>
        <w:t>follow up</w:t>
      </w:r>
      <w:r w:rsidR="0017709F">
        <w:t>.</w:t>
      </w:r>
    </w:p>
    <w:p w14:paraId="29B2974A" w14:textId="0901DC2B" w:rsidR="00C55E12" w:rsidRDefault="00C55E12" w:rsidP="00C55E12">
      <w:pPr>
        <w:pStyle w:val="BulletNormal"/>
      </w:pPr>
      <w:r w:rsidRPr="00B115EA">
        <w:t>Includes post-discharge events from the prior inpatien</w:t>
      </w:r>
      <w:r>
        <w:t>t admission in the same special</w:t>
      </w:r>
      <w:r w:rsidRPr="00B115EA">
        <w:t>ty eve</w:t>
      </w:r>
      <w:r>
        <w:t>n though an</w:t>
      </w:r>
      <w:r w:rsidRPr="00B115EA">
        <w:t xml:space="preserve"> FSA may not have occurred</w:t>
      </w:r>
      <w:r w:rsidR="0017709F">
        <w:t>.</w:t>
      </w:r>
    </w:p>
    <w:p w14:paraId="4362AD14" w14:textId="7DCE28B6" w:rsidR="00C55E12" w:rsidRDefault="00C55E12" w:rsidP="00C55E12">
      <w:pPr>
        <w:pStyle w:val="BulletNormal"/>
      </w:pPr>
      <w:r w:rsidRPr="00B1188E">
        <w:t xml:space="preserve">A </w:t>
      </w:r>
      <w:r>
        <w:t>follow up</w:t>
      </w:r>
      <w:r w:rsidRPr="00B1188E">
        <w:t xml:space="preserve"> may be delivered by </w:t>
      </w:r>
      <w:r>
        <w:t>t</w:t>
      </w:r>
      <w:r w:rsidRPr="00B1188E">
        <w:t>ele</w:t>
      </w:r>
      <w:r>
        <w:t>health</w:t>
      </w:r>
      <w:r w:rsidR="0017709F">
        <w:t>.</w:t>
      </w:r>
      <w:r w:rsidR="0012504D">
        <w:t xml:space="preserve"> </w:t>
      </w:r>
    </w:p>
    <w:p w14:paraId="3B969EC6" w14:textId="77777777" w:rsidR="00C55E12" w:rsidRDefault="00C55E12" w:rsidP="00C55E12">
      <w:pPr>
        <w:pStyle w:val="BulletNormal"/>
      </w:pPr>
      <w:r>
        <w:t>Where a patient is transferred from one specialist to another specialist within the same DHB for the same condition, this is counted as a follow up and not an FSA.</w:t>
      </w:r>
    </w:p>
    <w:p w14:paraId="1C55E8D9" w14:textId="77777777" w:rsidR="00C55E12" w:rsidRPr="00B1188E" w:rsidRDefault="00C55E12" w:rsidP="00C55E12">
      <w:pPr>
        <w:pStyle w:val="BulletNormal"/>
        <w:rPr>
          <w:bCs/>
          <w:sz w:val="20"/>
          <w:szCs w:val="20"/>
        </w:rPr>
      </w:pPr>
      <w:r w:rsidRPr="009F2C20">
        <w:t xml:space="preserve">Excludes </w:t>
      </w:r>
      <w:r>
        <w:t>ED</w:t>
      </w:r>
      <w:r w:rsidRPr="009F2C20">
        <w:t xml:space="preserve"> attendances and outpatient attendance for pre-admission assessment/screening</w:t>
      </w:r>
      <w:r>
        <w:t>.</w:t>
      </w:r>
    </w:p>
    <w:p w14:paraId="26D29B49" w14:textId="77777777" w:rsidR="00C55E12" w:rsidRPr="009F2C20" w:rsidRDefault="00C55E12" w:rsidP="00C55E12">
      <w:pPr>
        <w:pStyle w:val="Heading2"/>
      </w:pPr>
      <w:bookmarkStart w:id="83" w:name="_Toc340052559"/>
      <w:bookmarkStart w:id="84" w:name="_Toc66194549"/>
      <w:r>
        <w:t>Specialist Follow U</w:t>
      </w:r>
      <w:r w:rsidRPr="009F2C20">
        <w:t>p Purchase Unit Allocation</w:t>
      </w:r>
      <w:bookmarkEnd w:id="83"/>
      <w:bookmarkEnd w:id="84"/>
    </w:p>
    <w:p w14:paraId="789BF9D0" w14:textId="6FE70650" w:rsidR="00C55E12" w:rsidRDefault="0017709F" w:rsidP="00C55E12">
      <w:r>
        <w:t xml:space="preserve">The </w:t>
      </w:r>
      <w:r w:rsidR="00C55E12">
        <w:t>PUC</w:t>
      </w:r>
      <w:r w:rsidR="00C55E12" w:rsidRPr="00B115EA">
        <w:t xml:space="preserve"> allocation f</w:t>
      </w:r>
      <w:r w:rsidR="00C55E12">
        <w:t xml:space="preserve">or outpatient specialist follow </w:t>
      </w:r>
      <w:r w:rsidR="00C55E12" w:rsidRPr="00B115EA">
        <w:t>up</w:t>
      </w:r>
      <w:r>
        <w:t xml:space="preserve"> is</w:t>
      </w:r>
      <w:r w:rsidR="00C55E12" w:rsidRPr="00B115EA">
        <w:t xml:space="preserve"> based on the specialty of the clinic which the patient is attending.</w:t>
      </w:r>
      <w:r w:rsidR="00C55E12">
        <w:t xml:space="preserve"> </w:t>
      </w:r>
      <w:r w:rsidR="00C55E12" w:rsidRPr="00B115EA">
        <w:t>This is because there may be diagnostic tests or infrastructure requirements that are specific between clinics.</w:t>
      </w:r>
      <w:r w:rsidR="00C55E12">
        <w:t xml:space="preserve"> </w:t>
      </w:r>
      <w:r w:rsidR="00C55E12" w:rsidRPr="00B115EA">
        <w:t xml:space="preserve">The </w:t>
      </w:r>
      <w:r w:rsidR="00C55E12">
        <w:t>HSC</w:t>
      </w:r>
      <w:r w:rsidR="00C55E12" w:rsidRPr="00B115EA">
        <w:t xml:space="preserve"> is allocated based on the specialty for which the treating clinician is employed to perform those events, so therefore could be different to the specialty of the PUC</w:t>
      </w:r>
      <w:r w:rsidR="00C55E12">
        <w:t xml:space="preserve"> </w:t>
      </w:r>
      <w:r>
        <w:t>such as</w:t>
      </w:r>
      <w:r w:rsidR="00C55E12">
        <w:t>,</w:t>
      </w:r>
      <w:r w:rsidR="00C55E12" w:rsidRPr="00B115EA">
        <w:t xml:space="preserve"> a </w:t>
      </w:r>
      <w:r>
        <w:t>g</w:t>
      </w:r>
      <w:r w:rsidR="00C55E12" w:rsidRPr="00B115EA">
        <w:t xml:space="preserve">eneralist </w:t>
      </w:r>
      <w:r>
        <w:t xml:space="preserve">physician </w:t>
      </w:r>
      <w:r w:rsidR="00C55E12" w:rsidRPr="00B115EA">
        <w:t>who is providing Cardiology clinics in some small DHBs.</w:t>
      </w:r>
      <w:r w:rsidR="0012504D">
        <w:t xml:space="preserve"> See Appendix </w:t>
      </w:r>
      <w:r w:rsidR="008969D4">
        <w:t>2</w:t>
      </w:r>
      <w:r w:rsidR="0012504D">
        <w:t xml:space="preserve"> for reporting of telehealth activity</w:t>
      </w:r>
      <w:r>
        <w:t>.</w:t>
      </w:r>
    </w:p>
    <w:p w14:paraId="12CB868B" w14:textId="77777777" w:rsidR="00C55E12" w:rsidRPr="002D767B" w:rsidRDefault="00C55E12" w:rsidP="00C55E12">
      <w:pPr>
        <w:pStyle w:val="Heading1"/>
        <w:numPr>
          <w:ilvl w:val="0"/>
          <w:numId w:val="0"/>
        </w:numPr>
        <w:ind w:left="567" w:hanging="567"/>
      </w:pPr>
      <w:bookmarkStart w:id="85" w:name="_Toc424803301"/>
      <w:bookmarkStart w:id="86" w:name="_Toc66194550"/>
      <w:r w:rsidRPr="002D767B">
        <w:t>Non-Contact Follow Up</w:t>
      </w:r>
      <w:bookmarkEnd w:id="85"/>
      <w:r w:rsidRPr="002D767B">
        <w:t xml:space="preserve"> </w:t>
      </w:r>
      <w:r>
        <w:t>Assessment</w:t>
      </w:r>
      <w:bookmarkEnd w:id="86"/>
    </w:p>
    <w:p w14:paraId="24F53E37" w14:textId="77777777" w:rsidR="00C55E12" w:rsidRPr="00862158" w:rsidRDefault="00C55E12" w:rsidP="00C55E12">
      <w:pPr>
        <w:pStyle w:val="Heading2"/>
      </w:pPr>
      <w:bookmarkStart w:id="87" w:name="_Toc424803302"/>
      <w:bookmarkStart w:id="88" w:name="_Toc66194551"/>
      <w:r w:rsidRPr="00862158">
        <w:t>Non-Contact Follow Up Definition</w:t>
      </w:r>
      <w:bookmarkEnd w:id="87"/>
      <w:bookmarkEnd w:id="88"/>
    </w:p>
    <w:p w14:paraId="6F6094E7" w14:textId="30E5812F" w:rsidR="00C55E12" w:rsidRPr="00862158" w:rsidRDefault="00C55E12" w:rsidP="00C55E12">
      <w:r w:rsidRPr="00862158">
        <w:t>A review is undertaken of patient records and any other relevant diagnostic, radiology, laboratory or physiological assessment results</w:t>
      </w:r>
      <w:r w:rsidR="0017709F" w:rsidRPr="0017709F">
        <w:t xml:space="preserve"> by a registered medical practitioner of registrar level or above, or a registered nurse practitioner</w:t>
      </w:r>
      <w:r w:rsidRPr="00862158">
        <w:t xml:space="preserve">. The patient should not be present during this follow up.  A written plan of care is developed for the patient and the plan and other necessary advice is sent to patient and, if appropriate, the referrer.  Further diagnostics are only to be included in the plan if ordered by the DHB providing the non-contact follow up.  A non-contact follow up can take place in both medical and surgical specialties. </w:t>
      </w:r>
    </w:p>
    <w:p w14:paraId="673D4259" w14:textId="77777777" w:rsidR="00C55E12" w:rsidRPr="00862158" w:rsidRDefault="00C55E12" w:rsidP="00C55E12">
      <w:pPr>
        <w:pStyle w:val="Heading2"/>
      </w:pPr>
      <w:bookmarkStart w:id="89" w:name="_Toc424803303"/>
      <w:bookmarkStart w:id="90" w:name="_Toc66194552"/>
      <w:r w:rsidRPr="00862158">
        <w:t>Non-Contact Follow Up Rules</w:t>
      </w:r>
      <w:bookmarkEnd w:id="89"/>
      <w:bookmarkEnd w:id="90"/>
    </w:p>
    <w:p w14:paraId="342747D8" w14:textId="3A718AC5" w:rsidR="00C55E12" w:rsidRPr="00862158" w:rsidRDefault="0017709F" w:rsidP="00C55E12">
      <w:pPr>
        <w:pStyle w:val="BulletNormal"/>
        <w:rPr>
          <w:b/>
        </w:rPr>
      </w:pPr>
      <w:r w:rsidRPr="0017709F">
        <w:t>A written plan of care is required and must be able to be audited</w:t>
      </w:r>
      <w:r>
        <w:t>.</w:t>
      </w:r>
      <w:r w:rsidRPr="0017709F">
        <w:t xml:space="preserve"> </w:t>
      </w:r>
    </w:p>
    <w:p w14:paraId="61FBF871" w14:textId="77777777" w:rsidR="00C55E12" w:rsidRPr="00862158" w:rsidRDefault="00C55E12" w:rsidP="00C55E12">
      <w:pPr>
        <w:pStyle w:val="BulletNormal"/>
        <w:rPr>
          <w:b/>
        </w:rPr>
      </w:pPr>
      <w:r w:rsidRPr="00862158">
        <w:t>The patient is not present during the assessment</w:t>
      </w:r>
    </w:p>
    <w:p w14:paraId="1A76F220" w14:textId="2EB3935F" w:rsidR="00C55E12" w:rsidRPr="00862158" w:rsidRDefault="00C55E12" w:rsidP="00C55E12">
      <w:pPr>
        <w:pStyle w:val="BulletNormal"/>
      </w:pPr>
      <w:r w:rsidRPr="00862158">
        <w:t>Diagnostics are only to be included if ordered by the DHB providing the non-contact follow up</w:t>
      </w:r>
      <w:r w:rsidR="0017709F">
        <w:t>.</w:t>
      </w:r>
    </w:p>
    <w:p w14:paraId="60337EC1" w14:textId="77777777" w:rsidR="00C55E12" w:rsidRPr="00862158" w:rsidRDefault="00C55E12" w:rsidP="00C55E12">
      <w:pPr>
        <w:pStyle w:val="Heading2"/>
      </w:pPr>
      <w:bookmarkStart w:id="91" w:name="_Toc424803304"/>
      <w:bookmarkStart w:id="92" w:name="_Toc66194553"/>
      <w:r w:rsidRPr="00862158">
        <w:t>Non-Contact Follow Up Purchase Unit Code Allocation</w:t>
      </w:r>
      <w:bookmarkEnd w:id="91"/>
      <w:bookmarkEnd w:id="92"/>
    </w:p>
    <w:p w14:paraId="0B5072DC" w14:textId="6608101F" w:rsidR="0093510D" w:rsidRDefault="00C55E12" w:rsidP="0093510D">
      <w:r w:rsidRPr="00862158">
        <w:t>PUC allocation is S00012 Surgical non-contact Follow Up - Any health specialty</w:t>
      </w:r>
      <w:r>
        <w:t xml:space="preserve"> or M00011 </w:t>
      </w:r>
      <w:r w:rsidRPr="00862158">
        <w:t xml:space="preserve">Medical non-contact Follow Up - Any health specialty </w:t>
      </w:r>
      <w:r w:rsidR="0093510D">
        <w:t>These PU codes should be reported with the health specialty code to NNPAC as well as with the Mode of Delivery code 7 (non-contact).</w:t>
      </w:r>
    </w:p>
    <w:p w14:paraId="3CADCEB1" w14:textId="14AAB8B1" w:rsidR="00C55E12" w:rsidRPr="002414AA" w:rsidRDefault="0074084F" w:rsidP="00C55E12">
      <w:pPr>
        <w:pStyle w:val="Heading1"/>
      </w:pPr>
      <w:bookmarkStart w:id="93" w:name="_Toc66194554"/>
      <w:bookmarkStart w:id="94" w:name="_Toc306860767"/>
      <w:bookmarkStart w:id="95" w:name="_Toc340052560"/>
      <w:r>
        <w:t>Inter</w:t>
      </w:r>
      <w:r w:rsidR="00C55E12" w:rsidRPr="002414AA">
        <w:t>-disciplinary Clinics</w:t>
      </w:r>
      <w:bookmarkEnd w:id="93"/>
      <w:bookmarkEnd w:id="94"/>
      <w:bookmarkEnd w:id="95"/>
      <w:r w:rsidR="00C55E12" w:rsidRPr="002414AA">
        <w:t xml:space="preserve"> </w:t>
      </w:r>
    </w:p>
    <w:p w14:paraId="72DF23B4" w14:textId="1022AB7D" w:rsidR="00C55E12" w:rsidRPr="009F2C20" w:rsidRDefault="0074084F" w:rsidP="00C55E12">
      <w:pPr>
        <w:pStyle w:val="Heading2"/>
      </w:pPr>
      <w:bookmarkStart w:id="96" w:name="_Toc306860768"/>
      <w:bookmarkStart w:id="97" w:name="_Toc340052561"/>
      <w:bookmarkStart w:id="98" w:name="_Toc66194555"/>
      <w:r>
        <w:t>Inter</w:t>
      </w:r>
      <w:r w:rsidR="00C55E12" w:rsidRPr="009F2C20">
        <w:t>-disciplinary Clinics Definition</w:t>
      </w:r>
      <w:bookmarkEnd w:id="96"/>
      <w:bookmarkEnd w:id="97"/>
      <w:bookmarkEnd w:id="98"/>
    </w:p>
    <w:p w14:paraId="7569B490" w14:textId="31EF851D" w:rsidR="00C55E12" w:rsidRPr="00477EFF" w:rsidRDefault="00C55E12" w:rsidP="00C55E12">
      <w:r w:rsidRPr="00477EFF">
        <w:t>A</w:t>
      </w:r>
      <w:r w:rsidR="008C12B0">
        <w:t>n</w:t>
      </w:r>
      <w:r w:rsidRPr="00477EFF">
        <w:t xml:space="preserve"> </w:t>
      </w:r>
      <w:r w:rsidR="0074084F">
        <w:t>inter-</w:t>
      </w:r>
      <w:r w:rsidR="0074084F" w:rsidRPr="00477EFF">
        <w:t xml:space="preserve">disciplinary </w:t>
      </w:r>
      <w:r w:rsidRPr="00477EFF">
        <w:t xml:space="preserve">clinic constitutes </w:t>
      </w:r>
      <w:r>
        <w:t xml:space="preserve">of </w:t>
      </w:r>
      <w:r w:rsidRPr="00477EFF">
        <w:t xml:space="preserve">a mix of clinicians meeting </w:t>
      </w:r>
      <w:r w:rsidR="0017709F">
        <w:t xml:space="preserve">together </w:t>
      </w:r>
      <w:r w:rsidRPr="00477EFF">
        <w:t>with a patien</w:t>
      </w:r>
      <w:r w:rsidR="0017709F">
        <w:t>t prese</w:t>
      </w:r>
      <w:r w:rsidR="0017709F" w:rsidRPr="00477EFF">
        <w:t>nt</w:t>
      </w:r>
      <w:r w:rsidRPr="00477EFF">
        <w:t xml:space="preserve"> to provide an assessment, for example where an oncologist, surgeon and allied health specialist are present at the same appointment for the treatment of a cancer patient. </w:t>
      </w:r>
    </w:p>
    <w:p w14:paraId="7340E209" w14:textId="4CD26C98" w:rsidR="00C55E12" w:rsidRPr="009F2C20" w:rsidRDefault="0007134A" w:rsidP="00C55E12">
      <w:pPr>
        <w:pStyle w:val="Heading2"/>
      </w:pPr>
      <w:bookmarkStart w:id="99" w:name="_Toc306860769"/>
      <w:bookmarkStart w:id="100" w:name="_Toc340052562"/>
      <w:bookmarkStart w:id="101" w:name="_Toc66194556"/>
      <w:r>
        <w:lastRenderedPageBreak/>
        <w:t>Inter</w:t>
      </w:r>
      <w:r w:rsidR="00C55E12" w:rsidRPr="009F2C20">
        <w:t>-disciplinary Clinics Rules</w:t>
      </w:r>
      <w:bookmarkEnd w:id="99"/>
      <w:bookmarkEnd w:id="100"/>
      <w:bookmarkEnd w:id="101"/>
    </w:p>
    <w:p w14:paraId="1B2C5880" w14:textId="123E6B3B" w:rsidR="00C55E12" w:rsidRPr="0017709F" w:rsidRDefault="00B44584" w:rsidP="00C55E12">
      <w:pPr>
        <w:pStyle w:val="BulletNormal"/>
        <w:rPr>
          <w:i/>
        </w:rPr>
      </w:pPr>
      <w:r>
        <w:t>Inter-</w:t>
      </w:r>
      <w:r w:rsidRPr="009F2C20">
        <w:t xml:space="preserve">disciplinary </w:t>
      </w:r>
      <w:r w:rsidR="00C55E12" w:rsidRPr="009F2C20">
        <w:t>clinics are a single event with many clinicians present in the same clinic</w:t>
      </w:r>
      <w:r w:rsidR="00C55E12">
        <w:t>. There are some PUCs that specifically require a single count where many clinicians are present,</w:t>
      </w:r>
      <w:r w:rsidR="0017709F">
        <w:t xml:space="preserve"> such as</w:t>
      </w:r>
      <w:r w:rsidR="00C55E12">
        <w:t xml:space="preserve">, pain triple assessments </w:t>
      </w:r>
    </w:p>
    <w:p w14:paraId="0F4BE944" w14:textId="44524F9E" w:rsidR="00C55E12" w:rsidRDefault="00C55E12" w:rsidP="00C55E12">
      <w:pPr>
        <w:pStyle w:val="BulletNormal"/>
      </w:pPr>
      <w:r w:rsidRPr="009F2C20">
        <w:t>However, if multiple appointments for one patient with many different clinicians</w:t>
      </w:r>
      <w:r>
        <w:t xml:space="preserve"> are created,</w:t>
      </w:r>
      <w:r w:rsidRPr="009F2C20">
        <w:t xml:space="preserve"> then these constitute individual events and should be counted under the appropriate </w:t>
      </w:r>
      <w:r>
        <w:t xml:space="preserve">service </w:t>
      </w:r>
      <w:r w:rsidRPr="009F2C20">
        <w:t>PUCs</w:t>
      </w:r>
      <w:r w:rsidR="00E31B60">
        <w:t xml:space="preserve"> </w:t>
      </w:r>
    </w:p>
    <w:p w14:paraId="6E40831B" w14:textId="77777777" w:rsidR="00C55E12" w:rsidRPr="009F2C20" w:rsidRDefault="00C55E12" w:rsidP="00223D64">
      <w:pPr>
        <w:pStyle w:val="BulletNormal"/>
        <w:numPr>
          <w:ilvl w:val="0"/>
          <w:numId w:val="0"/>
        </w:numPr>
      </w:pPr>
      <w:r w:rsidRPr="009F2C20">
        <w:t>This definition excludes non-clinicians and cultural and support staff, which is primar</w:t>
      </w:r>
      <w:r>
        <w:t>il</w:t>
      </w:r>
      <w:r w:rsidRPr="009F2C20">
        <w:t>y included under the mental health purchasing framework.</w:t>
      </w:r>
    </w:p>
    <w:p w14:paraId="3BF2A5DC" w14:textId="1BA637A7" w:rsidR="00C55E12" w:rsidRPr="009F2C20" w:rsidRDefault="0007134A" w:rsidP="00C55E12">
      <w:pPr>
        <w:pStyle w:val="Heading2"/>
      </w:pPr>
      <w:bookmarkStart w:id="102" w:name="_Toc306860770"/>
      <w:bookmarkStart w:id="103" w:name="_Toc340052563"/>
      <w:bookmarkStart w:id="104" w:name="_Toc66194557"/>
      <w:r>
        <w:t>Inter</w:t>
      </w:r>
      <w:r w:rsidR="00C55E12" w:rsidRPr="009F2C20">
        <w:t>-disciplinary Clinics Purchase Unit Allocation</w:t>
      </w:r>
      <w:bookmarkEnd w:id="102"/>
      <w:bookmarkEnd w:id="103"/>
      <w:bookmarkEnd w:id="104"/>
    </w:p>
    <w:p w14:paraId="66D1B6EC" w14:textId="5777C5B8" w:rsidR="00C55E12" w:rsidRPr="009F2C20" w:rsidRDefault="00C55E12" w:rsidP="00C55E12">
      <w:r>
        <w:t>PUC</w:t>
      </w:r>
      <w:r w:rsidRPr="009F2C20">
        <w:t xml:space="preserve"> allocation</w:t>
      </w:r>
      <w:r>
        <w:t xml:space="preserve"> for </w:t>
      </w:r>
      <w:r w:rsidR="0007134A">
        <w:t>inter</w:t>
      </w:r>
      <w:r>
        <w:t>-disciplinary clinics</w:t>
      </w:r>
      <w:r w:rsidRPr="009F2C20">
        <w:t xml:space="preserve"> </w:t>
      </w:r>
      <w:r>
        <w:t xml:space="preserve">are:W03007 </w:t>
      </w:r>
      <w:r w:rsidRPr="00B13999">
        <w:t>Rhesus Clinics - multidisciplinary clinics</w:t>
      </w:r>
      <w:r>
        <w:t xml:space="preserve">, M03008 </w:t>
      </w:r>
      <w:r w:rsidRPr="00D511CC">
        <w:t>Maternity foetal medicine clinics - multidisciplinary clinics</w:t>
      </w:r>
      <w:r>
        <w:t xml:space="preserve">, </w:t>
      </w:r>
      <w:r w:rsidRPr="00D511CC">
        <w:t>W03009</w:t>
      </w:r>
      <w:r>
        <w:t xml:space="preserve"> </w:t>
      </w:r>
      <w:r w:rsidRPr="00D511CC">
        <w:t>Fetal medicine / anomalies clinics - mu</w:t>
      </w:r>
      <w:r>
        <w:t xml:space="preserve">ltidisciplinary clinics, W03011 </w:t>
      </w:r>
      <w:r w:rsidRPr="00D511CC">
        <w:t>Maternity multidisciplinary non-specialist clinic</w:t>
      </w:r>
      <w:r>
        <w:t xml:space="preserve">, S25008 </w:t>
      </w:r>
      <w:r w:rsidRPr="00B13999">
        <w:t>Multifaceted Specialist Clinics</w:t>
      </w:r>
      <w:r>
        <w:t xml:space="preserve"> and PC0007 </w:t>
      </w:r>
      <w:r w:rsidRPr="00B13999">
        <w:t xml:space="preserve">Pain </w:t>
      </w:r>
      <w:r w:rsidR="000465E9">
        <w:t xml:space="preserve">IDT </w:t>
      </w:r>
      <w:r w:rsidRPr="00B13999">
        <w:t>assessment</w:t>
      </w:r>
      <w:r>
        <w:t>.</w:t>
      </w:r>
      <w:r w:rsidR="00751AE8">
        <w:t xml:space="preserve"> </w:t>
      </w:r>
      <w:r w:rsidR="002E6C8A">
        <w:t xml:space="preserve">See </w:t>
      </w:r>
      <w:r w:rsidR="002E6C8A" w:rsidRPr="002E46B2">
        <w:t xml:space="preserve">appendix </w:t>
      </w:r>
      <w:r w:rsidR="002E6C8A" w:rsidRPr="00AD35A7">
        <w:t>2</w:t>
      </w:r>
      <w:r w:rsidR="002E6C8A" w:rsidRPr="002E46B2">
        <w:t xml:space="preserve"> for rules</w:t>
      </w:r>
      <w:r w:rsidR="002E6C8A">
        <w:t xml:space="preserve"> on reporting mode of delivery</w:t>
      </w:r>
    </w:p>
    <w:p w14:paraId="166358F3" w14:textId="77777777" w:rsidR="00C55E12" w:rsidRPr="002414AA" w:rsidRDefault="00C55E12" w:rsidP="00C55E12">
      <w:pPr>
        <w:pStyle w:val="Heading1"/>
      </w:pPr>
      <w:bookmarkStart w:id="105" w:name="_Toc369874087"/>
      <w:bookmarkStart w:id="106" w:name="_Toc306860771"/>
      <w:bookmarkStart w:id="107" w:name="_Toc340052564"/>
      <w:bookmarkStart w:id="108" w:name="_Toc66194558"/>
      <w:bookmarkEnd w:id="105"/>
      <w:r w:rsidRPr="002414AA">
        <w:t>Pre-admission</w:t>
      </w:r>
      <w:bookmarkEnd w:id="106"/>
      <w:bookmarkEnd w:id="107"/>
      <w:bookmarkEnd w:id="108"/>
    </w:p>
    <w:p w14:paraId="7C581440" w14:textId="77777777" w:rsidR="00C55E12" w:rsidRPr="009F2C20" w:rsidRDefault="00C55E12" w:rsidP="00C55E12">
      <w:pPr>
        <w:pStyle w:val="Heading2"/>
      </w:pPr>
      <w:bookmarkStart w:id="109" w:name="_Toc306860772"/>
      <w:bookmarkStart w:id="110" w:name="_Toc340052565"/>
      <w:bookmarkStart w:id="111" w:name="_Toc66194559"/>
      <w:r w:rsidRPr="009F2C20">
        <w:t>Pre-admission Definition</w:t>
      </w:r>
      <w:bookmarkEnd w:id="109"/>
      <w:bookmarkEnd w:id="110"/>
      <w:bookmarkEnd w:id="111"/>
    </w:p>
    <w:p w14:paraId="5A0DE15F" w14:textId="28E91A28" w:rsidR="00C55E12" w:rsidRPr="009F2C20" w:rsidRDefault="00C55E12" w:rsidP="00C55E12">
      <w:r w:rsidRPr="007327B8">
        <w:t>An assessment that is carried out for patients who will undergo a procedure where anaesthesia is required.</w:t>
      </w:r>
    </w:p>
    <w:p w14:paraId="618BD8BE" w14:textId="77777777" w:rsidR="00C55E12" w:rsidRPr="009F2C20" w:rsidRDefault="00C55E12" w:rsidP="00C55E12">
      <w:pPr>
        <w:pStyle w:val="Heading2"/>
      </w:pPr>
      <w:bookmarkStart w:id="112" w:name="_Toc306860773"/>
      <w:bookmarkStart w:id="113" w:name="_Toc340052566"/>
      <w:bookmarkStart w:id="114" w:name="_Toc66194560"/>
      <w:r w:rsidRPr="009F2C20">
        <w:t>Pre-admission Rules</w:t>
      </w:r>
      <w:bookmarkEnd w:id="112"/>
      <w:bookmarkEnd w:id="113"/>
      <w:bookmarkEnd w:id="114"/>
    </w:p>
    <w:p w14:paraId="4D06EC0E" w14:textId="77777777" w:rsidR="00C55E12" w:rsidRPr="00C142E4" w:rsidRDefault="00C55E12" w:rsidP="00C55E12">
      <w:pPr>
        <w:pStyle w:val="BulletNormal"/>
      </w:pPr>
      <w:r w:rsidRPr="00C142E4">
        <w:t>These are not funded separately as part of the national purchase framework as they are funded as part of the inpatient event</w:t>
      </w:r>
    </w:p>
    <w:p w14:paraId="1D9AB8AB" w14:textId="119D431B" w:rsidR="00C55E12" w:rsidRPr="00C142E4" w:rsidRDefault="00C55E12" w:rsidP="00C55E12">
      <w:pPr>
        <w:pStyle w:val="BulletNormal"/>
      </w:pPr>
      <w:r w:rsidRPr="00C142E4">
        <w:t xml:space="preserve">A pre-admission should be counted regardless if the patient </w:t>
      </w:r>
      <w:r>
        <w:t xml:space="preserve">has the procedure </w:t>
      </w:r>
      <w:r w:rsidRPr="00C142E4">
        <w:t>or not.</w:t>
      </w:r>
    </w:p>
    <w:p w14:paraId="53AB3AF5" w14:textId="77777777" w:rsidR="00C55E12" w:rsidRPr="009F2C20" w:rsidRDefault="00C55E12" w:rsidP="00C55E12">
      <w:pPr>
        <w:pStyle w:val="Heading2"/>
      </w:pPr>
      <w:bookmarkStart w:id="115" w:name="_Toc306860774"/>
      <w:bookmarkStart w:id="116" w:name="_Toc340052567"/>
      <w:bookmarkStart w:id="117" w:name="_Toc66194561"/>
      <w:r w:rsidRPr="009F2C20">
        <w:t>Pre-admission Purchase Unit Allocation</w:t>
      </w:r>
      <w:bookmarkEnd w:id="115"/>
      <w:bookmarkEnd w:id="116"/>
      <w:bookmarkEnd w:id="117"/>
    </w:p>
    <w:p w14:paraId="6B01A3BD" w14:textId="77777777" w:rsidR="00C55E12" w:rsidRPr="00C142E4" w:rsidRDefault="00C55E12" w:rsidP="00C55E12">
      <w:pPr>
        <w:pStyle w:val="BulletNormal"/>
      </w:pPr>
      <w:r>
        <w:t>PUC</w:t>
      </w:r>
      <w:r w:rsidRPr="00C142E4">
        <w:t xml:space="preserve"> allocation is determined by the health specialty</w:t>
      </w:r>
    </w:p>
    <w:p w14:paraId="38F38897" w14:textId="77777777" w:rsidR="00C55E12" w:rsidRDefault="00C55E12" w:rsidP="00C55E12">
      <w:pPr>
        <w:pStyle w:val="BulletNormal"/>
      </w:pPr>
      <w:r w:rsidRPr="00C142E4">
        <w:t>Pre</w:t>
      </w:r>
      <w:r>
        <w:t>-</w:t>
      </w:r>
      <w:r w:rsidRPr="00C142E4">
        <w:t xml:space="preserve">admit </w:t>
      </w:r>
      <w:r>
        <w:t>PUC</w:t>
      </w:r>
      <w:r w:rsidRPr="00C142E4">
        <w:t xml:space="preserve">s have a suffix of </w:t>
      </w:r>
      <w:smartTag w:uri="urn:schemas-microsoft-com:office:smarttags" w:element="stockticker">
        <w:r w:rsidRPr="00C142E4">
          <w:t>PRE</w:t>
        </w:r>
      </w:smartTag>
      <w:r w:rsidRPr="00C142E4">
        <w:t>.</w:t>
      </w:r>
      <w:r>
        <w:t xml:space="preserve"> </w:t>
      </w:r>
    </w:p>
    <w:p w14:paraId="340FABFF" w14:textId="77777777" w:rsidR="00C55E12" w:rsidRPr="00935697" w:rsidRDefault="00C55E12" w:rsidP="00C55E12">
      <w:pPr>
        <w:rPr>
          <w:b/>
          <w:sz w:val="24"/>
        </w:rPr>
      </w:pPr>
      <w:bookmarkStart w:id="118" w:name="_Toc340052568"/>
      <w:r w:rsidRPr="00935697">
        <w:rPr>
          <w:b/>
          <w:sz w:val="24"/>
        </w:rPr>
        <w:t>Non-Specialist Outpatient Events</w:t>
      </w:r>
      <w:bookmarkEnd w:id="118"/>
    </w:p>
    <w:p w14:paraId="58461566" w14:textId="77777777" w:rsidR="00C55E12" w:rsidRPr="002414AA" w:rsidRDefault="00C55E12" w:rsidP="00C55E12">
      <w:pPr>
        <w:pStyle w:val="Heading1"/>
      </w:pPr>
      <w:bookmarkStart w:id="119" w:name="_Toc340052569"/>
      <w:bookmarkStart w:id="120" w:name="_Toc66194562"/>
      <w:r w:rsidRPr="002414AA">
        <w:t>Allied Health Services</w:t>
      </w:r>
      <w:bookmarkEnd w:id="119"/>
      <w:bookmarkEnd w:id="120"/>
    </w:p>
    <w:p w14:paraId="13AFDA00" w14:textId="77777777" w:rsidR="00C55E12" w:rsidRPr="009F2C20" w:rsidRDefault="00C55E12" w:rsidP="00C55E12">
      <w:pPr>
        <w:pStyle w:val="Heading2"/>
      </w:pPr>
      <w:bookmarkStart w:id="121" w:name="_Toc340052570"/>
      <w:bookmarkStart w:id="122" w:name="_Toc66194563"/>
      <w:r w:rsidRPr="009F2C20">
        <w:t>Allied Health Services Definition</w:t>
      </w:r>
      <w:bookmarkEnd w:id="121"/>
      <w:bookmarkEnd w:id="122"/>
    </w:p>
    <w:p w14:paraId="5C4AF3B6" w14:textId="77777777" w:rsidR="00C55E12" w:rsidRPr="002C08B0" w:rsidRDefault="00C55E12" w:rsidP="00C55E12">
      <w:r w:rsidRPr="002C08B0">
        <w:t xml:space="preserve">Allied health services provided in an outpatient or domiciliary setting to </w:t>
      </w:r>
      <w:r>
        <w:t>disability support services</w:t>
      </w:r>
      <w:r w:rsidRPr="002C08B0">
        <w:t xml:space="preserve">, </w:t>
      </w:r>
      <w:r>
        <w:t>health of older people</w:t>
      </w:r>
      <w:r w:rsidRPr="002C08B0">
        <w:t xml:space="preserve"> and personal health clients.</w:t>
      </w:r>
      <w:r>
        <w:t xml:space="preserve"> </w:t>
      </w:r>
      <w:r w:rsidRPr="002C08B0">
        <w:t>This includes post discharge services and other DHB referrals as well as community-referred clients.</w:t>
      </w:r>
    </w:p>
    <w:p w14:paraId="4274726C" w14:textId="27F43899" w:rsidR="00C55E12" w:rsidRPr="002C08B0" w:rsidRDefault="00C55E12" w:rsidP="00C55E12">
      <w:pPr>
        <w:pStyle w:val="Heading2"/>
      </w:pPr>
      <w:bookmarkStart w:id="123" w:name="_Toc66194564"/>
      <w:r>
        <w:t>Allied Health services include</w:t>
      </w:r>
      <w:r w:rsidRPr="002C08B0">
        <w:t xml:space="preserve"> the following</w:t>
      </w:r>
      <w:bookmarkEnd w:id="123"/>
    </w:p>
    <w:p w14:paraId="085662E5" w14:textId="0FC39600" w:rsidR="00C55E12" w:rsidRPr="002C08B0" w:rsidRDefault="00C55E12" w:rsidP="00C55E12">
      <w:pPr>
        <w:pStyle w:val="BulletNormal"/>
        <w:spacing w:after="0"/>
      </w:pPr>
      <w:r w:rsidRPr="002C08B0">
        <w:t>Physiotherapy</w:t>
      </w:r>
    </w:p>
    <w:p w14:paraId="751C8D81" w14:textId="5D5E33A6" w:rsidR="00C55E12" w:rsidRPr="002C08B0" w:rsidRDefault="00C55E12" w:rsidP="00C55E12">
      <w:pPr>
        <w:pStyle w:val="BulletNormal"/>
        <w:spacing w:before="0" w:after="0"/>
      </w:pPr>
      <w:r w:rsidRPr="002C08B0">
        <w:t>Social work</w:t>
      </w:r>
    </w:p>
    <w:p w14:paraId="636D9568" w14:textId="01F0433F" w:rsidR="00C55E12" w:rsidRPr="002C08B0" w:rsidRDefault="00C55E12" w:rsidP="00C55E12">
      <w:pPr>
        <w:pStyle w:val="BulletNormal"/>
        <w:spacing w:before="0" w:after="0"/>
      </w:pPr>
      <w:r w:rsidRPr="002C08B0">
        <w:t>Occupational therapy</w:t>
      </w:r>
    </w:p>
    <w:p w14:paraId="7E09A73F" w14:textId="7950767D" w:rsidR="00C55E12" w:rsidRPr="002C08B0" w:rsidRDefault="00C55E12" w:rsidP="00C55E12">
      <w:pPr>
        <w:pStyle w:val="BulletNormal"/>
        <w:spacing w:before="0" w:after="0"/>
      </w:pPr>
      <w:r w:rsidRPr="002C08B0">
        <w:t>Speech language therapy</w:t>
      </w:r>
    </w:p>
    <w:p w14:paraId="53620E60" w14:textId="1EDE98DE" w:rsidR="00C55E12" w:rsidRPr="002C08B0" w:rsidRDefault="00C55E12" w:rsidP="00C55E12">
      <w:pPr>
        <w:pStyle w:val="BulletNormal"/>
        <w:spacing w:before="0" w:after="0"/>
      </w:pPr>
      <w:r w:rsidRPr="002C08B0">
        <w:t>Dietetics</w:t>
      </w:r>
    </w:p>
    <w:p w14:paraId="73CE67B1" w14:textId="5C9B4600" w:rsidR="00C55E12" w:rsidRPr="002C08B0" w:rsidRDefault="00C55E12" w:rsidP="00C55E12">
      <w:pPr>
        <w:pStyle w:val="BulletNormal"/>
        <w:spacing w:before="0" w:after="0"/>
      </w:pPr>
      <w:r w:rsidRPr="002C08B0">
        <w:t>Podiatry</w:t>
      </w:r>
    </w:p>
    <w:p w14:paraId="506CE3F1" w14:textId="4BD96789" w:rsidR="00C55E12" w:rsidRPr="002C08B0" w:rsidRDefault="00C55E12" w:rsidP="00C55E12">
      <w:pPr>
        <w:pStyle w:val="BulletNormal"/>
        <w:spacing w:before="0" w:after="0"/>
      </w:pPr>
      <w:r w:rsidRPr="002C08B0">
        <w:t xml:space="preserve">Non-mental health psychology </w:t>
      </w:r>
    </w:p>
    <w:p w14:paraId="7C716B17" w14:textId="77777777" w:rsidR="00C55E12" w:rsidRPr="009F2C20" w:rsidRDefault="00C55E12" w:rsidP="00C55E12">
      <w:pPr>
        <w:pStyle w:val="Heading2"/>
      </w:pPr>
      <w:bookmarkStart w:id="124" w:name="_Toc340052571"/>
      <w:bookmarkStart w:id="125" w:name="_Toc66194565"/>
      <w:r w:rsidRPr="009F2C20">
        <w:lastRenderedPageBreak/>
        <w:t>Allied Health Services Rules</w:t>
      </w:r>
      <w:bookmarkEnd w:id="124"/>
      <w:bookmarkEnd w:id="125"/>
    </w:p>
    <w:p w14:paraId="262649B1" w14:textId="77777777" w:rsidR="00C55E12" w:rsidRPr="009F2C20" w:rsidRDefault="00C55E12" w:rsidP="00C55E12">
      <w:pPr>
        <w:pStyle w:val="BulletNormal"/>
      </w:pPr>
      <w:r w:rsidRPr="009F2C20">
        <w:t>There is no counting disti</w:t>
      </w:r>
      <w:r>
        <w:t xml:space="preserve">nction between first and follow </w:t>
      </w:r>
      <w:r w:rsidRPr="009F2C20">
        <w:t xml:space="preserve">up </w:t>
      </w:r>
      <w:r>
        <w:t xml:space="preserve">allied health </w:t>
      </w:r>
      <w:r w:rsidRPr="009F2C20">
        <w:t>events, although DHBs may choose t</w:t>
      </w:r>
      <w:r>
        <w:t>o count these at a local level.</w:t>
      </w:r>
    </w:p>
    <w:p w14:paraId="25E5DA5A" w14:textId="228B1EF1" w:rsidR="00C55E12" w:rsidRPr="009F2C20" w:rsidRDefault="00C55E12" w:rsidP="00C55E12">
      <w:pPr>
        <w:pStyle w:val="BulletNormal"/>
      </w:pPr>
      <w:r w:rsidRPr="009F2C20">
        <w:t>Allied health activity provided in an inpatient setting is not counted separately for national collections, although DHBs may choose t</w:t>
      </w:r>
      <w:r>
        <w:t>o count these at a local level</w:t>
      </w:r>
      <w:r w:rsidR="001F5FBD">
        <w:t>.</w:t>
      </w:r>
    </w:p>
    <w:p w14:paraId="7DF67A5F" w14:textId="2B18A477" w:rsidR="00C55E12" w:rsidRPr="009F2C20" w:rsidRDefault="00302F0F" w:rsidP="00C55E12">
      <w:pPr>
        <w:pStyle w:val="BulletNormal"/>
      </w:pPr>
      <w:r w:rsidRPr="009F2C20">
        <w:t>Tele</w:t>
      </w:r>
      <w:r>
        <w:t>health</w:t>
      </w:r>
      <w:r w:rsidRPr="009F2C20">
        <w:t xml:space="preserve"> </w:t>
      </w:r>
      <w:r w:rsidR="00C55E12" w:rsidRPr="009F2C20">
        <w:t>consultations</w:t>
      </w:r>
      <w:r>
        <w:t xml:space="preserve"> (including </w:t>
      </w:r>
      <w:r w:rsidR="00637ECB">
        <w:t>by t</w:t>
      </w:r>
      <w:r>
        <w:t>elephone)</w:t>
      </w:r>
      <w:r w:rsidR="00C55E12" w:rsidRPr="009F2C20">
        <w:t xml:space="preserve"> are counted for national collections</w:t>
      </w:r>
      <w:r w:rsidR="00637ECB">
        <w:t xml:space="preserve"> (See chapter 2 </w:t>
      </w:r>
      <w:proofErr w:type="spellStart"/>
      <w:r w:rsidR="00902FAC">
        <w:t>l.</w:t>
      </w:r>
      <w:r w:rsidR="006A20C8">
        <w:t>l</w:t>
      </w:r>
      <w:proofErr w:type="spellEnd"/>
      <w:r w:rsidR="00637ECB">
        <w:t xml:space="preserve"> for Telehealth rules)</w:t>
      </w:r>
      <w:r w:rsidR="00C55E12">
        <w:t>.</w:t>
      </w:r>
    </w:p>
    <w:p w14:paraId="73C179E2" w14:textId="77777777" w:rsidR="00C55E12" w:rsidRDefault="00C55E12" w:rsidP="00C55E12">
      <w:pPr>
        <w:pStyle w:val="BulletNormal"/>
      </w:pPr>
      <w:r w:rsidRPr="009F2C20">
        <w:t>Allied health is provided across all major service groups.</w:t>
      </w:r>
      <w:r>
        <w:t xml:space="preserve"> </w:t>
      </w:r>
      <w:r w:rsidRPr="009F2C20">
        <w:t>For consistency of counting, this activity should be mapped to the allied health purchase unit, not the major service group purchase, e.g. physiotherapy provided in an AT&amp;R setting should be counted under AH01005</w:t>
      </w:r>
      <w:r>
        <w:t xml:space="preserve"> (</w:t>
      </w:r>
      <w:r w:rsidRPr="00495A30">
        <w:t>Physiotherapy</w:t>
      </w:r>
      <w:r>
        <w:t>)</w:t>
      </w:r>
      <w:r w:rsidRPr="009F2C20">
        <w:t>.</w:t>
      </w:r>
    </w:p>
    <w:p w14:paraId="606DB82E" w14:textId="77777777" w:rsidR="00C55E12" w:rsidRPr="009F2C20" w:rsidRDefault="00C55E12" w:rsidP="00C55E12">
      <w:pPr>
        <w:pStyle w:val="BulletNormal"/>
      </w:pPr>
      <w:r>
        <w:t>Activity of a health care assistant is not counted nationally as they are not a registered health professional and must always work under the supervision of a registered health care professional. DHBs may choose to count this activity at a local level.</w:t>
      </w:r>
    </w:p>
    <w:p w14:paraId="6C3F97E5" w14:textId="77777777" w:rsidR="00C55E12" w:rsidRPr="009F2C20" w:rsidRDefault="00C55E12" w:rsidP="00C55E12">
      <w:pPr>
        <w:pStyle w:val="Heading2"/>
      </w:pPr>
      <w:bookmarkStart w:id="126" w:name="_Toc340052572"/>
      <w:bookmarkStart w:id="127" w:name="_Toc66194566"/>
      <w:r w:rsidRPr="009F2C20">
        <w:t>Allied Health Services Purchase Unit Allocation</w:t>
      </w:r>
      <w:bookmarkEnd w:id="126"/>
      <w:bookmarkEnd w:id="127"/>
    </w:p>
    <w:p w14:paraId="5EB32E91" w14:textId="381F124A" w:rsidR="00C55E12" w:rsidRDefault="00C55E12" w:rsidP="00C55E12">
      <w:pPr>
        <w:rPr>
          <w:highlight w:val="yellow"/>
        </w:rPr>
      </w:pPr>
      <w:r>
        <w:t>PUC</w:t>
      </w:r>
      <w:r w:rsidRPr="00B115EA">
        <w:t xml:space="preserve"> allocation for </w:t>
      </w:r>
      <w:r>
        <w:t>a</w:t>
      </w:r>
      <w:r w:rsidRPr="00B115EA">
        <w:t xml:space="preserve">llied </w:t>
      </w:r>
      <w:r>
        <w:t>h</w:t>
      </w:r>
      <w:r w:rsidRPr="00B115EA">
        <w:t xml:space="preserve">ealth </w:t>
      </w:r>
      <w:r>
        <w:t>s</w:t>
      </w:r>
      <w:r w:rsidRPr="00B115EA">
        <w:t xml:space="preserve">ervices is determined by the professional group of the health provider rather than condition which they are treating </w:t>
      </w:r>
      <w:r>
        <w:t>for example</w:t>
      </w:r>
      <w:r w:rsidRPr="00B115EA">
        <w:t xml:space="preserve"> physiotherapy events will always be AH01005 regardless of whether they are treating cystic fibrosis patients or orthopaedic patients.</w:t>
      </w:r>
      <w:r>
        <w:t xml:space="preserve"> </w:t>
      </w:r>
      <w:r w:rsidRPr="00B115EA">
        <w:t xml:space="preserve">The </w:t>
      </w:r>
      <w:r>
        <w:t>HSC</w:t>
      </w:r>
      <w:r w:rsidRPr="00B115EA">
        <w:t xml:space="preserve"> for </w:t>
      </w:r>
      <w:r>
        <w:t>a</w:t>
      </w:r>
      <w:r w:rsidRPr="00B115EA">
        <w:t xml:space="preserve">llied </w:t>
      </w:r>
      <w:r>
        <w:t>health s</w:t>
      </w:r>
      <w:r w:rsidRPr="00B115EA">
        <w:t xml:space="preserve">ervices is A01, unless the </w:t>
      </w:r>
      <w:r>
        <w:t>a</w:t>
      </w:r>
      <w:r w:rsidRPr="00B115EA">
        <w:t xml:space="preserve">llied </w:t>
      </w:r>
      <w:r>
        <w:t>h</w:t>
      </w:r>
      <w:r w:rsidRPr="00B115EA">
        <w:t>ealth professional works solely within a specialty service.</w:t>
      </w:r>
      <w:r>
        <w:t xml:space="preserve"> </w:t>
      </w:r>
      <w:r w:rsidRPr="00B115EA">
        <w:t xml:space="preserve">If this is the case the </w:t>
      </w:r>
      <w:r>
        <w:t>HSC</w:t>
      </w:r>
      <w:r w:rsidRPr="00B115EA">
        <w:t xml:space="preserve"> of </w:t>
      </w:r>
      <w:r>
        <w:t>the</w:t>
      </w:r>
      <w:r w:rsidRPr="00B115EA">
        <w:t xml:space="preserve"> specialty that they work within can be used.</w:t>
      </w:r>
      <w:r>
        <w:t xml:space="preserve"> </w:t>
      </w:r>
      <w:r w:rsidRPr="00B115EA">
        <w:t>This is to provide additional information for service planning for specialties.</w:t>
      </w:r>
      <w:r w:rsidR="004A35BD">
        <w:t xml:space="preserve"> Report </w:t>
      </w:r>
      <w:r w:rsidR="008E1218">
        <w:t>AH purchase unit codes</w:t>
      </w:r>
      <w:r w:rsidR="004A35BD">
        <w:t xml:space="preserve"> with the appropriate Mo</w:t>
      </w:r>
      <w:r w:rsidR="00902FAC">
        <w:t xml:space="preserve">de of </w:t>
      </w:r>
      <w:r w:rsidR="004A35BD">
        <w:t>D</w:t>
      </w:r>
      <w:r w:rsidR="00902FAC">
        <w:t>eliver (MoD)</w:t>
      </w:r>
      <w:r w:rsidR="004A35BD">
        <w:t xml:space="preserve"> for example 3, if </w:t>
      </w:r>
      <w:r w:rsidR="0009794C">
        <w:t>allied health is</w:t>
      </w:r>
      <w:r w:rsidR="004A35BD">
        <w:t xml:space="preserve"> provide</w:t>
      </w:r>
      <w:r w:rsidR="0009794C">
        <w:t>d</w:t>
      </w:r>
      <w:r w:rsidR="004A35BD">
        <w:t xml:space="preserve"> in a group setting (1 clinician to many clients) or 6 if provided by telephone. If group session provided by video report MoD as 3.</w:t>
      </w:r>
    </w:p>
    <w:p w14:paraId="1B0E4C9E" w14:textId="77777777" w:rsidR="00C55E12" w:rsidRPr="002414AA" w:rsidRDefault="00C55E12" w:rsidP="00C55E12">
      <w:pPr>
        <w:pStyle w:val="Heading1"/>
      </w:pPr>
      <w:bookmarkStart w:id="128" w:name="_Toc340052573"/>
      <w:bookmarkStart w:id="129" w:name="_Toc66194567"/>
      <w:r w:rsidRPr="002414AA">
        <w:t>Nurse Led Outpatient Clinic</w:t>
      </w:r>
      <w:bookmarkEnd w:id="128"/>
      <w:bookmarkEnd w:id="129"/>
    </w:p>
    <w:p w14:paraId="0E9DF802" w14:textId="77777777" w:rsidR="00C55E12" w:rsidRPr="009F2C20" w:rsidRDefault="00C55E12" w:rsidP="00C55E12">
      <w:pPr>
        <w:pStyle w:val="Heading2"/>
      </w:pPr>
      <w:bookmarkStart w:id="130" w:name="_Toc340052574"/>
      <w:bookmarkStart w:id="131" w:name="_Toc66194568"/>
      <w:r w:rsidRPr="009F2C20">
        <w:t>Nurse Led Outpatient Clinic Definition</w:t>
      </w:r>
      <w:bookmarkEnd w:id="130"/>
      <w:bookmarkEnd w:id="131"/>
    </w:p>
    <w:p w14:paraId="5D401774" w14:textId="77777777" w:rsidR="00C55E12" w:rsidRPr="002C08B0" w:rsidRDefault="00C55E12" w:rsidP="00C55E12">
      <w:r w:rsidRPr="002C08B0">
        <w:t xml:space="preserve">Assessment, treatment, education and/or management clinics led by a </w:t>
      </w:r>
      <w:r>
        <w:t>n</w:t>
      </w:r>
      <w:r w:rsidRPr="002C08B0">
        <w:t xml:space="preserve">urse </w:t>
      </w:r>
      <w:r>
        <w:t>s</w:t>
      </w:r>
      <w:r w:rsidRPr="002C08B0">
        <w:t>pecialist for specialist groups of clients.</w:t>
      </w:r>
    </w:p>
    <w:p w14:paraId="7ED095DA" w14:textId="77777777" w:rsidR="00C55E12" w:rsidRPr="002C08B0" w:rsidRDefault="00C55E12" w:rsidP="00C55E12">
      <w:pPr>
        <w:spacing w:before="120"/>
      </w:pPr>
      <w:r w:rsidRPr="002C08B0">
        <w:t xml:space="preserve">It excludes education </w:t>
      </w:r>
      <w:r>
        <w:t>and</w:t>
      </w:r>
      <w:r w:rsidRPr="002C08B0">
        <w:t xml:space="preserve"> management of diabetes, respiratory, and cardiac clients that are covered in other </w:t>
      </w:r>
      <w:r>
        <w:t>PUCs</w:t>
      </w:r>
      <w:r w:rsidRPr="002C08B0">
        <w:t>.</w:t>
      </w:r>
      <w:r>
        <w:t xml:space="preserve"> </w:t>
      </w:r>
      <w:r w:rsidRPr="002C08B0">
        <w:t xml:space="preserve">It also excludes clinics led by a </w:t>
      </w:r>
      <w:r>
        <w:t>n</w:t>
      </w:r>
      <w:r w:rsidRPr="002C08B0">
        <w:t xml:space="preserve">urse </w:t>
      </w:r>
      <w:r>
        <w:t>p</w:t>
      </w:r>
      <w:r w:rsidRPr="002C08B0">
        <w:t>ractitioner.</w:t>
      </w:r>
    </w:p>
    <w:p w14:paraId="2311CECC" w14:textId="77777777" w:rsidR="00C55E12" w:rsidRPr="009F2C20" w:rsidRDefault="00C55E12" w:rsidP="00C55E12">
      <w:pPr>
        <w:pStyle w:val="Heading2"/>
      </w:pPr>
      <w:bookmarkStart w:id="132" w:name="_Toc340052575"/>
      <w:bookmarkStart w:id="133" w:name="_Toc66194569"/>
      <w:r w:rsidRPr="009F2C20">
        <w:t>Nurse Led Outpatient Clinic Rules</w:t>
      </w:r>
      <w:bookmarkEnd w:id="132"/>
      <w:bookmarkEnd w:id="133"/>
    </w:p>
    <w:p w14:paraId="7D3732A9" w14:textId="77777777" w:rsidR="00C55E12" w:rsidRPr="009F2C20" w:rsidRDefault="00C55E12" w:rsidP="00C55E12">
      <w:pPr>
        <w:pStyle w:val="BulletNormal"/>
      </w:pPr>
      <w:r w:rsidRPr="009F2C20">
        <w:t>There is no counting disti</w:t>
      </w:r>
      <w:r>
        <w:t>nction between first and follow-</w:t>
      </w:r>
      <w:r w:rsidRPr="009F2C20">
        <w:t xml:space="preserve">up events, although DHBs may choose to count these at a local level </w:t>
      </w:r>
    </w:p>
    <w:p w14:paraId="05185A20" w14:textId="1AB23F35" w:rsidR="00C55E12" w:rsidRPr="00B1715A" w:rsidRDefault="000A0AE8" w:rsidP="00C55E12">
      <w:pPr>
        <w:pStyle w:val="BulletNormal"/>
      </w:pPr>
      <w:r w:rsidRPr="009F2C20">
        <w:t>Tele</w:t>
      </w:r>
      <w:r>
        <w:t>health</w:t>
      </w:r>
      <w:r w:rsidRPr="009F2C20">
        <w:t xml:space="preserve"> consultations</w:t>
      </w:r>
      <w:r>
        <w:t xml:space="preserve"> (including by telephone)</w:t>
      </w:r>
      <w:r w:rsidRPr="009F2C20">
        <w:t xml:space="preserve"> are counted for national collections</w:t>
      </w:r>
      <w:r>
        <w:t xml:space="preserve"> (See chapter 2 </w:t>
      </w:r>
      <w:r w:rsidR="006A20C8">
        <w:t>l</w:t>
      </w:r>
      <w:r w:rsidR="001F5FBD">
        <w:t>.</w:t>
      </w:r>
      <w:r>
        <w:t xml:space="preserve"> for Telehealth rules).</w:t>
      </w:r>
      <w:r w:rsidR="001F5FBD">
        <w:t xml:space="preserve"> </w:t>
      </w:r>
      <w:r w:rsidR="00C55E12">
        <w:t>A n</w:t>
      </w:r>
      <w:r w:rsidR="00C55E12" w:rsidRPr="00B1715A">
        <w:t xml:space="preserve">urse </w:t>
      </w:r>
      <w:r w:rsidR="00C55E12">
        <w:t xml:space="preserve">specialist is defined as a </w:t>
      </w:r>
      <w:r w:rsidR="00C55E12" w:rsidRPr="00B1715A">
        <w:t xml:space="preserve">nurse who has been given delegated authority to provide clinical care in a certain specialty. </w:t>
      </w:r>
    </w:p>
    <w:p w14:paraId="124633BA" w14:textId="21CE3B27" w:rsidR="00C55E12" w:rsidRPr="00B1715A" w:rsidRDefault="00C55E12" w:rsidP="00C55E12">
      <w:pPr>
        <w:pStyle w:val="BulletNormal"/>
      </w:pPr>
      <w:r w:rsidRPr="00B1715A">
        <w:t xml:space="preserve">It excludes inpatient and domiciliary </w:t>
      </w:r>
      <w:r w:rsidR="00BA1980">
        <w:t xml:space="preserve">nursing </w:t>
      </w:r>
      <w:r w:rsidRPr="00B1715A">
        <w:t xml:space="preserve">activity which are counted under different </w:t>
      </w:r>
      <w:r>
        <w:t>PUCs</w:t>
      </w:r>
    </w:p>
    <w:p w14:paraId="2A3B1F98" w14:textId="77777777" w:rsidR="00C55E12" w:rsidRPr="00017F5E" w:rsidRDefault="00C55E12" w:rsidP="00C55E12">
      <w:pPr>
        <w:pStyle w:val="Heading2"/>
      </w:pPr>
      <w:bookmarkStart w:id="134" w:name="_Toc340052576"/>
      <w:bookmarkStart w:id="135" w:name="_Toc66194570"/>
      <w:r w:rsidRPr="00017F5E">
        <w:t>Nurse Led Outpatient Clinic Purchase Unit Allocation</w:t>
      </w:r>
      <w:bookmarkEnd w:id="134"/>
      <w:bookmarkEnd w:id="135"/>
    </w:p>
    <w:p w14:paraId="3937C676" w14:textId="432FA04E" w:rsidR="00C55E12" w:rsidRDefault="00C55E12" w:rsidP="00C55E12">
      <w:r>
        <w:t>PUC</w:t>
      </w:r>
      <w:r w:rsidRPr="00B115EA">
        <w:t xml:space="preserve"> allocation for </w:t>
      </w:r>
      <w:r>
        <w:t>n</w:t>
      </w:r>
      <w:r w:rsidRPr="00B115EA">
        <w:t xml:space="preserve">urse </w:t>
      </w:r>
      <w:r>
        <w:t>l</w:t>
      </w:r>
      <w:r w:rsidRPr="00B115EA">
        <w:t xml:space="preserve">ed </w:t>
      </w:r>
      <w:r>
        <w:t>c</w:t>
      </w:r>
      <w:r w:rsidRPr="00B115EA">
        <w:t xml:space="preserve">linics is MS01001 </w:t>
      </w:r>
      <w:r>
        <w:t>(</w:t>
      </w:r>
      <w:r w:rsidRPr="004B580C">
        <w:t>Nurse Led Outpatient Clinics</w:t>
      </w:r>
      <w:r>
        <w:t xml:space="preserve">) </w:t>
      </w:r>
      <w:r w:rsidRPr="00B115EA">
        <w:t>rega</w:t>
      </w:r>
      <w:r>
        <w:t>rdless of what clinical special</w:t>
      </w:r>
      <w:r w:rsidRPr="00B115EA">
        <w:t>ty they are associated with.</w:t>
      </w:r>
      <w:r>
        <w:t xml:space="preserve"> </w:t>
      </w:r>
      <w:r w:rsidRPr="00B115EA">
        <w:t xml:space="preserve">The </w:t>
      </w:r>
      <w:r>
        <w:t>HSC</w:t>
      </w:r>
      <w:r w:rsidRPr="00B115EA">
        <w:t xml:space="preserve"> for </w:t>
      </w:r>
      <w:r>
        <w:t>n</w:t>
      </w:r>
      <w:r w:rsidRPr="00B115EA">
        <w:t xml:space="preserve">urse </w:t>
      </w:r>
      <w:r>
        <w:t>l</w:t>
      </w:r>
      <w:r w:rsidRPr="00B115EA">
        <w:t xml:space="preserve">ed </w:t>
      </w:r>
      <w:r>
        <w:t>c</w:t>
      </w:r>
      <w:r w:rsidRPr="00B115EA">
        <w:t xml:space="preserve">linics is the specialty for which that </w:t>
      </w:r>
      <w:r>
        <w:t>n</w:t>
      </w:r>
      <w:r w:rsidRPr="00B115EA">
        <w:t>urse is employed to perform those events.</w:t>
      </w:r>
      <w:r>
        <w:t xml:space="preserve"> </w:t>
      </w:r>
      <w:r w:rsidRPr="00B115EA">
        <w:t>This is to provide additional information for service planning for specialties.</w:t>
      </w:r>
      <w:r>
        <w:t xml:space="preserve"> </w:t>
      </w:r>
      <w:r w:rsidRPr="00B115EA">
        <w:t xml:space="preserve">If the </w:t>
      </w:r>
      <w:r>
        <w:t>n</w:t>
      </w:r>
      <w:r w:rsidRPr="00B115EA">
        <w:t xml:space="preserve">urse provides services across </w:t>
      </w:r>
      <w:r w:rsidRPr="00B115EA">
        <w:lastRenderedPageBreak/>
        <w:t xml:space="preserve">specialties, the default </w:t>
      </w:r>
      <w:r>
        <w:t>HSC</w:t>
      </w:r>
      <w:r w:rsidRPr="00B115EA">
        <w:t xml:space="preserve"> of N01 should be used.</w:t>
      </w:r>
      <w:r w:rsidR="00BA1980">
        <w:t xml:space="preserve"> </w:t>
      </w:r>
      <w:r w:rsidR="00DF4CA0">
        <w:t xml:space="preserve">Report </w:t>
      </w:r>
      <w:r w:rsidR="00235EA0">
        <w:t>MS01001 with the appro</w:t>
      </w:r>
      <w:r w:rsidR="00E258FD">
        <w:t xml:space="preserve">priate </w:t>
      </w:r>
      <w:r w:rsidR="00985FC0">
        <w:t>Mo</w:t>
      </w:r>
      <w:r w:rsidR="00902FAC">
        <w:t xml:space="preserve">de of </w:t>
      </w:r>
      <w:r w:rsidR="00985FC0">
        <w:t>D</w:t>
      </w:r>
      <w:r w:rsidR="00902FAC">
        <w:t>elivery (MoD)</w:t>
      </w:r>
      <w:r w:rsidR="00985FC0">
        <w:t xml:space="preserve"> </w:t>
      </w:r>
      <w:r w:rsidR="00B31723">
        <w:t xml:space="preserve">for example </w:t>
      </w:r>
      <w:r w:rsidR="00DF4CA0">
        <w:t>3</w:t>
      </w:r>
      <w:r w:rsidR="00235EA0">
        <w:t>,</w:t>
      </w:r>
      <w:r w:rsidR="00DF4CA0">
        <w:t xml:space="preserve"> </w:t>
      </w:r>
      <w:r w:rsidR="002C1E16">
        <w:t xml:space="preserve">if </w:t>
      </w:r>
      <w:r w:rsidR="00270BD6">
        <w:t xml:space="preserve">nurse provides education in a group setting </w:t>
      </w:r>
      <w:r w:rsidR="00DF4CA0">
        <w:t xml:space="preserve">(1 clinician to many clients) or </w:t>
      </w:r>
      <w:r w:rsidR="007B1355">
        <w:t xml:space="preserve">6 </w:t>
      </w:r>
      <w:r w:rsidR="00E258FD">
        <w:t xml:space="preserve">if provided by </w:t>
      </w:r>
      <w:r w:rsidR="007B1355">
        <w:t>telephone</w:t>
      </w:r>
      <w:r w:rsidR="00E258FD">
        <w:t xml:space="preserve">. If group session provided by video report MoD as </w:t>
      </w:r>
      <w:r w:rsidR="00F1791C">
        <w:t>3.</w:t>
      </w:r>
    </w:p>
    <w:p w14:paraId="2BC57835" w14:textId="77777777" w:rsidR="00C55E12" w:rsidRPr="006D5EC6" w:rsidRDefault="00C55E12" w:rsidP="00C55E12">
      <w:pPr>
        <w:pStyle w:val="Heading1"/>
      </w:pPr>
      <w:bookmarkStart w:id="136" w:name="_Toc369874101"/>
      <w:bookmarkStart w:id="137" w:name="_Toc369874102"/>
      <w:bookmarkStart w:id="138" w:name="_Toc340052577"/>
      <w:bookmarkStart w:id="139" w:name="_Toc66194571"/>
      <w:bookmarkEnd w:id="136"/>
      <w:bookmarkEnd w:id="137"/>
      <w:r w:rsidRPr="002414AA">
        <w:t>Antenatal &amp; Postnatal Consultations</w:t>
      </w:r>
      <w:bookmarkEnd w:id="138"/>
      <w:bookmarkEnd w:id="139"/>
    </w:p>
    <w:p w14:paraId="51A14CD7" w14:textId="77777777" w:rsidR="00C55E12" w:rsidRPr="009F2C20" w:rsidRDefault="00C55E12" w:rsidP="00C55E12">
      <w:pPr>
        <w:pStyle w:val="Heading2"/>
      </w:pPr>
      <w:bookmarkStart w:id="140" w:name="_Toc340052578"/>
      <w:bookmarkStart w:id="141" w:name="_Toc66194572"/>
      <w:r w:rsidRPr="009F2C20">
        <w:t xml:space="preserve">Antenatal </w:t>
      </w:r>
      <w:r>
        <w:t>and</w:t>
      </w:r>
      <w:r w:rsidRPr="009F2C20">
        <w:t xml:space="preserve"> Postnatal Consultations Definition</w:t>
      </w:r>
      <w:bookmarkEnd w:id="140"/>
      <w:bookmarkEnd w:id="141"/>
    </w:p>
    <w:p w14:paraId="340DA7CD" w14:textId="77777777" w:rsidR="00C55E12" w:rsidRDefault="00C55E12" w:rsidP="00C55E12">
      <w:r w:rsidRPr="002C08B0">
        <w:t xml:space="preserve">Antenatal and postnatal consults by a DHB </w:t>
      </w:r>
      <w:r>
        <w:t xml:space="preserve">employed </w:t>
      </w:r>
      <w:r w:rsidRPr="002C08B0">
        <w:t>non</w:t>
      </w:r>
      <w:r>
        <w:t>-</w:t>
      </w:r>
      <w:r w:rsidRPr="002C08B0">
        <w:t>specialist practitioner providing maternity care to a woman.</w:t>
      </w:r>
    </w:p>
    <w:p w14:paraId="0AEB3932" w14:textId="77777777" w:rsidR="00C55E12" w:rsidRPr="009F2C20" w:rsidRDefault="00C55E12" w:rsidP="00C55E12">
      <w:pPr>
        <w:pStyle w:val="Heading2"/>
      </w:pPr>
      <w:bookmarkStart w:id="142" w:name="_Toc340052579"/>
      <w:bookmarkStart w:id="143" w:name="_Toc66194573"/>
      <w:r w:rsidRPr="009F2C20">
        <w:t xml:space="preserve">Antenatal </w:t>
      </w:r>
      <w:r>
        <w:t>and</w:t>
      </w:r>
      <w:r w:rsidRPr="009F2C20">
        <w:t xml:space="preserve"> Postnatal Consultations Rules</w:t>
      </w:r>
      <w:bookmarkEnd w:id="142"/>
      <w:bookmarkEnd w:id="143"/>
    </w:p>
    <w:p w14:paraId="7CFDDED8" w14:textId="21125104" w:rsidR="00C55E12" w:rsidRPr="009F2C20" w:rsidRDefault="00C55E12" w:rsidP="00C55E12">
      <w:pPr>
        <w:pStyle w:val="BulletNormal"/>
      </w:pPr>
      <w:r w:rsidRPr="009F2C20">
        <w:t>There is no counting distinction between first and follow-up events, although DHBs may choose to count these at a local level</w:t>
      </w:r>
      <w:r w:rsidR="00A25255">
        <w:t>.</w:t>
      </w:r>
      <w:r w:rsidRPr="009F2C20">
        <w:t xml:space="preserve"> </w:t>
      </w:r>
    </w:p>
    <w:p w14:paraId="6836B329" w14:textId="389E5B25" w:rsidR="00C55E12" w:rsidRDefault="00F1791C" w:rsidP="00C55E12">
      <w:pPr>
        <w:pStyle w:val="BulletNormal"/>
      </w:pPr>
      <w:r w:rsidRPr="009F2C20">
        <w:t>Tele</w:t>
      </w:r>
      <w:r>
        <w:t>health</w:t>
      </w:r>
      <w:r w:rsidRPr="009F2C20">
        <w:t xml:space="preserve"> consultations</w:t>
      </w:r>
      <w:r>
        <w:t xml:space="preserve"> (including by telephone)</w:t>
      </w:r>
      <w:r w:rsidRPr="009F2C20">
        <w:t xml:space="preserve"> are counted for national collections</w:t>
      </w:r>
      <w:r>
        <w:t xml:space="preserve"> (See chapter 2 </w:t>
      </w:r>
      <w:r w:rsidR="006A20C8">
        <w:t>l</w:t>
      </w:r>
      <w:r w:rsidR="00A25255">
        <w:t>.</w:t>
      </w:r>
      <w:r>
        <w:t xml:space="preserve"> for applicable Telehealth rules).</w:t>
      </w:r>
      <w:r w:rsidR="00A25255">
        <w:t xml:space="preserve"> </w:t>
      </w:r>
      <w:r w:rsidR="00C55E12" w:rsidRPr="005E2054">
        <w:t>Employed DHB staff cannot make section 88 Claims</w:t>
      </w:r>
      <w:r w:rsidR="00A25255">
        <w:t>.</w:t>
      </w:r>
    </w:p>
    <w:p w14:paraId="15840776" w14:textId="34A46062" w:rsidR="00C55E12" w:rsidRDefault="00C55E12" w:rsidP="00C55E12">
      <w:pPr>
        <w:pStyle w:val="BulletNormal"/>
      </w:pPr>
      <w:r w:rsidRPr="005E2054">
        <w:t>DHB employed GPs are to be included in the definition</w:t>
      </w:r>
      <w:r w:rsidR="00A25255">
        <w:t>.</w:t>
      </w:r>
    </w:p>
    <w:p w14:paraId="051EEC00" w14:textId="77777777" w:rsidR="00C55E12" w:rsidRPr="009F2C20" w:rsidRDefault="00C55E12" w:rsidP="00C55E12">
      <w:pPr>
        <w:pStyle w:val="Heading2"/>
      </w:pPr>
      <w:bookmarkStart w:id="144" w:name="_Toc340052580"/>
      <w:bookmarkStart w:id="145" w:name="_Toc66194574"/>
      <w:r w:rsidRPr="00B1715A">
        <w:t xml:space="preserve">Antenatal &amp; Postnatal Consultations Purchase </w:t>
      </w:r>
      <w:r w:rsidRPr="009F2C20">
        <w:t>Unit Allocation</w:t>
      </w:r>
      <w:bookmarkEnd w:id="144"/>
      <w:bookmarkEnd w:id="145"/>
    </w:p>
    <w:p w14:paraId="0E505CF9" w14:textId="77777777" w:rsidR="00C55E12" w:rsidRPr="00923A9D" w:rsidRDefault="00C55E12" w:rsidP="00C55E12">
      <w:r>
        <w:t>PUC</w:t>
      </w:r>
      <w:r w:rsidRPr="009F2C20">
        <w:t xml:space="preserve"> allocation is</w:t>
      </w:r>
      <w:r>
        <w:t>:</w:t>
      </w:r>
      <w:r w:rsidRPr="009F2C20">
        <w:t xml:space="preserve"> </w:t>
      </w:r>
      <w:r w:rsidRPr="00546D2A">
        <w:t>W01007 DHB no</w:t>
      </w:r>
      <w:r>
        <w:t>n-specialist antenatal consults and</w:t>
      </w:r>
      <w:r w:rsidRPr="00546D2A">
        <w:t xml:space="preserve"> W01008 DHB non-specialist postnatal consults</w:t>
      </w:r>
      <w:r>
        <w:t>.</w:t>
      </w:r>
    </w:p>
    <w:p w14:paraId="3C0B6CF0" w14:textId="77777777" w:rsidR="00C55E12" w:rsidRPr="002414AA" w:rsidRDefault="00C55E12" w:rsidP="00C55E12">
      <w:pPr>
        <w:pStyle w:val="Heading1"/>
      </w:pPr>
      <w:bookmarkStart w:id="146" w:name="_Toc340052590"/>
      <w:bookmarkStart w:id="147" w:name="_Toc66194575"/>
      <w:r w:rsidRPr="002414AA">
        <w:t>Community Referred Tests</w:t>
      </w:r>
      <w:bookmarkEnd w:id="146"/>
      <w:bookmarkEnd w:id="147"/>
    </w:p>
    <w:p w14:paraId="1D5EFAAC" w14:textId="77777777" w:rsidR="00C55E12" w:rsidRPr="009F2C20" w:rsidRDefault="00C55E12" w:rsidP="00C55E12">
      <w:pPr>
        <w:pStyle w:val="Heading2"/>
      </w:pPr>
      <w:bookmarkStart w:id="148" w:name="_Toc340052591"/>
      <w:bookmarkStart w:id="149" w:name="_Toc66194576"/>
      <w:r w:rsidRPr="009F2C20">
        <w:t>Community Referred Tests Definition</w:t>
      </w:r>
      <w:bookmarkEnd w:id="148"/>
      <w:bookmarkEnd w:id="149"/>
    </w:p>
    <w:p w14:paraId="5FC356E6" w14:textId="12D761EC" w:rsidR="00C55E12" w:rsidRPr="002C08B0" w:rsidRDefault="00C55E12" w:rsidP="00C55E12">
      <w:r w:rsidRPr="002C08B0">
        <w:t>Community referred tests are defined as tests refe</w:t>
      </w:r>
      <w:r>
        <w:t>rred by a GP</w:t>
      </w:r>
      <w:r w:rsidRPr="002C08B0">
        <w:t xml:space="preserve"> or private specialist. It includes interpretation and reporting of the test but excludes tests </w:t>
      </w:r>
      <w:r>
        <w:t>for</w:t>
      </w:r>
      <w:r w:rsidRPr="00AF0308">
        <w:rPr>
          <w:rFonts w:ascii="Arial Mäori" w:hAnsi="Arial Mäori"/>
          <w:lang w:val="en-AU"/>
        </w:rPr>
        <w:t xml:space="preserve"> people who ar</w:t>
      </w:r>
      <w:r>
        <w:rPr>
          <w:rFonts w:ascii="Arial Mäori" w:hAnsi="Arial Mäori"/>
          <w:lang w:val="en-AU"/>
        </w:rPr>
        <w:t>e under treatment by a</w:t>
      </w:r>
      <w:r w:rsidRPr="00AF0308">
        <w:rPr>
          <w:rFonts w:ascii="Arial Mäori" w:hAnsi="Arial Mäori"/>
          <w:lang w:val="en-AU"/>
        </w:rPr>
        <w:t xml:space="preserve"> DHB </w:t>
      </w:r>
      <w:r w:rsidR="00E32043">
        <w:rPr>
          <w:rFonts w:ascii="Arial Mäori" w:hAnsi="Arial Mäori"/>
          <w:lang w:val="en-AU"/>
        </w:rPr>
        <w:t>service</w:t>
      </w:r>
      <w:r w:rsidR="00902FAC">
        <w:rPr>
          <w:rFonts w:ascii="Arial Mäori" w:hAnsi="Arial Mäori"/>
          <w:lang w:val="en-AU"/>
        </w:rPr>
        <w:t xml:space="preserve"> </w:t>
      </w:r>
      <w:r w:rsidRPr="00AF0308">
        <w:rPr>
          <w:rFonts w:ascii="Arial Mäori" w:hAnsi="Arial Mäori"/>
          <w:lang w:val="en-AU"/>
        </w:rPr>
        <w:t xml:space="preserve">(either as an inpatient or outpatient) for </w:t>
      </w:r>
      <w:r>
        <w:rPr>
          <w:rFonts w:ascii="Arial Mäori" w:hAnsi="Arial Mäori"/>
          <w:lang w:val="en-AU"/>
        </w:rPr>
        <w:t>tests</w:t>
      </w:r>
      <w:r w:rsidRPr="00AF0308">
        <w:rPr>
          <w:rFonts w:ascii="Arial Mäori" w:hAnsi="Arial Mäori"/>
          <w:lang w:val="en-AU"/>
        </w:rPr>
        <w:t xml:space="preserve"> associated with that treatment.</w:t>
      </w:r>
    </w:p>
    <w:p w14:paraId="63E99B28" w14:textId="77777777" w:rsidR="00C55E12" w:rsidRPr="002C08B0" w:rsidRDefault="00C55E12" w:rsidP="00C55E12">
      <w:pPr>
        <w:spacing w:before="120"/>
      </w:pPr>
      <w:r>
        <w:t>The following tests can be community referred:</w:t>
      </w:r>
    </w:p>
    <w:p w14:paraId="13F23310" w14:textId="77777777" w:rsidR="00C55E12" w:rsidRPr="002C08B0" w:rsidRDefault="00C55E12" w:rsidP="00C55E12">
      <w:pPr>
        <w:pStyle w:val="BulletNormal"/>
        <w:spacing w:after="0"/>
      </w:pPr>
      <w:r>
        <w:t>a</w:t>
      </w:r>
      <w:r w:rsidRPr="002C08B0">
        <w:t>udiology</w:t>
      </w:r>
    </w:p>
    <w:p w14:paraId="4D9DA502" w14:textId="77777777" w:rsidR="00C55E12" w:rsidRDefault="00C55E12" w:rsidP="00C55E12">
      <w:pPr>
        <w:pStyle w:val="BulletNormal"/>
        <w:spacing w:before="0" w:after="0"/>
      </w:pPr>
      <w:r>
        <w:t xml:space="preserve">cardiology </w:t>
      </w:r>
    </w:p>
    <w:p w14:paraId="33D02068" w14:textId="77777777" w:rsidR="00C55E12" w:rsidRPr="002C08B0" w:rsidRDefault="00C55E12" w:rsidP="00C55E12">
      <w:pPr>
        <w:pStyle w:val="BulletNormal"/>
        <w:spacing w:before="0" w:after="0"/>
      </w:pPr>
      <w:r w:rsidRPr="002C08B0">
        <w:t>endocrinology</w:t>
      </w:r>
      <w:r>
        <w:t xml:space="preserve"> (including </w:t>
      </w:r>
      <w:r w:rsidRPr="002C08B0">
        <w:t>bone densitometry</w:t>
      </w:r>
      <w:r>
        <w:t>)</w:t>
      </w:r>
    </w:p>
    <w:p w14:paraId="52781816" w14:textId="77777777" w:rsidR="00C55E12" w:rsidRDefault="00C55E12" w:rsidP="00C55E12">
      <w:pPr>
        <w:pStyle w:val="BulletNormal"/>
        <w:spacing w:before="0" w:after="0"/>
      </w:pPr>
      <w:r w:rsidRPr="002C08B0">
        <w:t>gastroenterology</w:t>
      </w:r>
    </w:p>
    <w:p w14:paraId="6440E9D1" w14:textId="77777777" w:rsidR="00C55E12" w:rsidRPr="002C08B0" w:rsidRDefault="00C55E12" w:rsidP="00C55E12">
      <w:pPr>
        <w:pStyle w:val="BulletNormal"/>
        <w:spacing w:before="0" w:after="0"/>
      </w:pPr>
      <w:r w:rsidRPr="002C08B0">
        <w:t>laboratory</w:t>
      </w:r>
    </w:p>
    <w:p w14:paraId="2956F15C" w14:textId="77777777" w:rsidR="00C55E12" w:rsidRPr="002C08B0" w:rsidRDefault="00C55E12" w:rsidP="00C55E12">
      <w:pPr>
        <w:pStyle w:val="BulletNormal"/>
        <w:spacing w:before="0" w:after="0"/>
      </w:pPr>
      <w:r w:rsidRPr="002C08B0">
        <w:t>neurology</w:t>
      </w:r>
    </w:p>
    <w:p w14:paraId="0776289F" w14:textId="77777777" w:rsidR="00C55E12" w:rsidRPr="002C08B0" w:rsidRDefault="00C55E12" w:rsidP="00C55E12">
      <w:pPr>
        <w:pStyle w:val="BulletNormal"/>
        <w:spacing w:before="0" w:after="0"/>
      </w:pPr>
      <w:r w:rsidRPr="002C08B0">
        <w:t>radiology</w:t>
      </w:r>
    </w:p>
    <w:p w14:paraId="5B011934" w14:textId="77777777" w:rsidR="00C55E12" w:rsidRPr="002C08B0" w:rsidRDefault="00C55E12" w:rsidP="00C55E12">
      <w:pPr>
        <w:pStyle w:val="BulletNormal"/>
        <w:spacing w:before="0" w:after="0"/>
      </w:pPr>
      <w:r w:rsidRPr="002C08B0">
        <w:t>respiratory</w:t>
      </w:r>
    </w:p>
    <w:p w14:paraId="5430B7A1" w14:textId="77777777" w:rsidR="00C55E12" w:rsidRPr="002C08B0" w:rsidRDefault="00C55E12" w:rsidP="00C55E12">
      <w:pPr>
        <w:pStyle w:val="BulletNormal"/>
        <w:spacing w:before="0" w:after="0"/>
      </w:pPr>
      <w:r w:rsidRPr="002C08B0">
        <w:t>urology</w:t>
      </w:r>
      <w:r>
        <w:t xml:space="preserve">. </w:t>
      </w:r>
    </w:p>
    <w:p w14:paraId="6C019039" w14:textId="77777777" w:rsidR="00C55E12" w:rsidRPr="009F2C20" w:rsidRDefault="00C55E12" w:rsidP="00C55E12">
      <w:pPr>
        <w:pStyle w:val="Heading2"/>
      </w:pPr>
      <w:bookmarkStart w:id="150" w:name="_Toc340052592"/>
      <w:bookmarkStart w:id="151" w:name="_Toc66194577"/>
      <w:r w:rsidRPr="009F2C20">
        <w:t>Community Referred Tests Rules.</w:t>
      </w:r>
      <w:bookmarkEnd w:id="150"/>
      <w:bookmarkEnd w:id="151"/>
    </w:p>
    <w:p w14:paraId="1306DAC3" w14:textId="77777777" w:rsidR="00C55E12" w:rsidRPr="009F2C20" w:rsidRDefault="00C55E12" w:rsidP="00C55E12">
      <w:pPr>
        <w:pStyle w:val="BulletNormal"/>
      </w:pPr>
      <w:r w:rsidRPr="009F2C20">
        <w:t>Radio</w:t>
      </w:r>
      <w:r>
        <w:t xml:space="preserve">logy should be counted using a </w:t>
      </w:r>
      <w:r w:rsidRPr="009F2C20">
        <w:t xml:space="preserve">Relative Value Unit </w:t>
      </w:r>
      <w:r>
        <w:t>(</w:t>
      </w:r>
      <w:r w:rsidRPr="009F2C20">
        <w:t>RVU</w:t>
      </w:r>
      <w:r>
        <w:t>)</w:t>
      </w:r>
      <w:r w:rsidRPr="009F2C20">
        <w:t xml:space="preserve"> scale as defined according to the College of Radiologists</w:t>
      </w:r>
      <w:r>
        <w:t xml:space="preserve"> definition for RVUs and codes</w:t>
      </w:r>
    </w:p>
    <w:p w14:paraId="5A217EE7" w14:textId="6760711C" w:rsidR="00C55E12" w:rsidRPr="009F2C20" w:rsidRDefault="00C55E12" w:rsidP="00C55E12">
      <w:pPr>
        <w:pStyle w:val="BulletNormal"/>
      </w:pPr>
      <w:r>
        <w:t xml:space="preserve">Tests referred by a </w:t>
      </w:r>
      <w:r w:rsidR="00AF5E5C">
        <w:t>DHB</w:t>
      </w:r>
      <w:r w:rsidR="00D3033C">
        <w:t xml:space="preserve"> </w:t>
      </w:r>
      <w:r>
        <w:t>specialist are not counted as a community referred test.</w:t>
      </w:r>
      <w:r w:rsidR="00A847E6">
        <w:t xml:space="preserve"> Th</w:t>
      </w:r>
      <w:r w:rsidR="007D0A29">
        <w:t>ese</w:t>
      </w:r>
      <w:r w:rsidR="00A847E6">
        <w:t xml:space="preserve"> test</w:t>
      </w:r>
      <w:r w:rsidR="007D0A29">
        <w:t>s</w:t>
      </w:r>
      <w:r w:rsidR="00A847E6">
        <w:t xml:space="preserve"> </w:t>
      </w:r>
      <w:r w:rsidR="007D0A29">
        <w:t>are</w:t>
      </w:r>
      <w:r w:rsidR="00A847E6" w:rsidRPr="009F2C20">
        <w:t xml:space="preserve"> an input into the</w:t>
      </w:r>
      <w:r w:rsidR="00A847E6">
        <w:t xml:space="preserve"> event that generated the order.</w:t>
      </w:r>
    </w:p>
    <w:p w14:paraId="520E53A3" w14:textId="77777777" w:rsidR="00C55E12" w:rsidRPr="009F2C20" w:rsidRDefault="00C55E12" w:rsidP="00C55E12">
      <w:pPr>
        <w:pStyle w:val="Heading2"/>
      </w:pPr>
      <w:bookmarkStart w:id="152" w:name="_Toc340052593"/>
      <w:bookmarkStart w:id="153" w:name="_Toc66194578"/>
      <w:r w:rsidRPr="009F2C20">
        <w:t>Community Referred Tests Purchase Unit Allocation</w:t>
      </w:r>
      <w:bookmarkEnd w:id="152"/>
      <w:bookmarkEnd w:id="153"/>
    </w:p>
    <w:p w14:paraId="0AAB6764" w14:textId="77777777" w:rsidR="00C55E12" w:rsidRDefault="00C55E12" w:rsidP="00C55E12">
      <w:pPr>
        <w:pStyle w:val="BulletNormal"/>
        <w:rPr>
          <w:b/>
          <w:bCs/>
          <w:kern w:val="32"/>
          <w:sz w:val="28"/>
          <w:szCs w:val="32"/>
        </w:rPr>
      </w:pPr>
      <w:r>
        <w:t>The PUC</w:t>
      </w:r>
      <w:r w:rsidRPr="009F2C20">
        <w:t xml:space="preserve"> allocation is determined by the class of test, eg. radiology etc.</w:t>
      </w:r>
      <w:bookmarkStart w:id="154" w:name="_Toc340052581"/>
    </w:p>
    <w:p w14:paraId="6CAA0C44" w14:textId="77777777" w:rsidR="00C55E12" w:rsidRPr="00A56208" w:rsidRDefault="00C55E12" w:rsidP="00C55E12">
      <w:pPr>
        <w:pStyle w:val="Heading1"/>
        <w:numPr>
          <w:ilvl w:val="0"/>
          <w:numId w:val="0"/>
        </w:numPr>
        <w:ind w:left="567" w:hanging="567"/>
      </w:pPr>
      <w:bookmarkStart w:id="155" w:name="_Toc66194579"/>
      <w:r>
        <w:lastRenderedPageBreak/>
        <w:t>Other (n</w:t>
      </w:r>
      <w:r w:rsidRPr="00A56208">
        <w:t>on-completed) events</w:t>
      </w:r>
      <w:bookmarkEnd w:id="154"/>
      <w:bookmarkEnd w:id="155"/>
    </w:p>
    <w:p w14:paraId="31836FD4" w14:textId="720C53AB" w:rsidR="00C55E12" w:rsidRPr="009F2C20" w:rsidRDefault="00C55E12" w:rsidP="00C55E12">
      <w:r w:rsidRPr="009F2C20">
        <w:t xml:space="preserve">There are </w:t>
      </w:r>
      <w:r>
        <w:t xml:space="preserve">a </w:t>
      </w:r>
      <w:r w:rsidRPr="009F2C20">
        <w:t xml:space="preserve">number of </w:t>
      </w:r>
      <w:r>
        <w:t>occasions</w:t>
      </w:r>
      <w:r w:rsidRPr="009F2C20">
        <w:t xml:space="preserve"> where a patient is booked and </w:t>
      </w:r>
      <w:r>
        <w:t xml:space="preserve">does not present or </w:t>
      </w:r>
      <w:r w:rsidRPr="009F2C20">
        <w:t>presents but the activity is not completed.</w:t>
      </w:r>
      <w:r>
        <w:t xml:space="preserve"> </w:t>
      </w:r>
      <w:r w:rsidRPr="009F2C20">
        <w:t>These are counted for national monitoring purposes.</w:t>
      </w:r>
      <w:r>
        <w:t xml:space="preserve"> </w:t>
      </w:r>
      <w:r w:rsidRPr="009F2C20">
        <w:t>The rules around non</w:t>
      </w:r>
      <w:r>
        <w:t>-</w:t>
      </w:r>
      <w:r w:rsidRPr="009F2C20">
        <w:t>completed events for admitted patients are included in th</w:t>
      </w:r>
      <w:r>
        <w:t>e Casemix framework document.</w:t>
      </w:r>
      <w:r w:rsidR="00531534">
        <w:t xml:space="preserve"> If the patient </w:t>
      </w:r>
      <w:r w:rsidR="00FC313C">
        <w:t>wa</w:t>
      </w:r>
      <w:r w:rsidR="00531534">
        <w:t xml:space="preserve">s booked for a consultation by telehealth </w:t>
      </w:r>
      <w:r w:rsidR="0051256D">
        <w:t xml:space="preserve">then </w:t>
      </w:r>
      <w:r w:rsidR="00DA471A">
        <w:t xml:space="preserve">report </w:t>
      </w:r>
      <w:r w:rsidR="00FC313C">
        <w:t>the</w:t>
      </w:r>
      <w:r w:rsidR="00DA471A">
        <w:t xml:space="preserve"> </w:t>
      </w:r>
      <w:r w:rsidR="005C31DC">
        <w:t xml:space="preserve">non-completed event with the </w:t>
      </w:r>
      <w:r w:rsidR="00E21576">
        <w:t>same</w:t>
      </w:r>
      <w:r w:rsidR="005C31DC">
        <w:t xml:space="preserve"> mode of delivery</w:t>
      </w:r>
      <w:r w:rsidR="00E21576">
        <w:t xml:space="preserve"> as if the patient had attended</w:t>
      </w:r>
      <w:r w:rsidR="005C31DC">
        <w:t>.</w:t>
      </w:r>
    </w:p>
    <w:p w14:paraId="1A65EA4A" w14:textId="77777777" w:rsidR="00C55E12" w:rsidRPr="002414AA" w:rsidRDefault="00C55E12" w:rsidP="00C55E12">
      <w:pPr>
        <w:pStyle w:val="Heading1"/>
      </w:pPr>
      <w:bookmarkStart w:id="156" w:name="_Toc340052582"/>
      <w:bookmarkStart w:id="157" w:name="_Toc66194580"/>
      <w:r w:rsidRPr="002414AA">
        <w:t>Did Not Attend (</w:t>
      </w:r>
      <w:smartTag w:uri="urn:schemas-microsoft-com:office:smarttags" w:element="stockticker">
        <w:r w:rsidRPr="002414AA">
          <w:t>DNA</w:t>
        </w:r>
      </w:smartTag>
      <w:r w:rsidRPr="002414AA">
        <w:t>)</w:t>
      </w:r>
      <w:bookmarkEnd w:id="156"/>
      <w:bookmarkEnd w:id="157"/>
    </w:p>
    <w:p w14:paraId="52D9DD4B" w14:textId="77777777" w:rsidR="00C55E12" w:rsidRPr="009F2C20" w:rsidRDefault="00C55E12" w:rsidP="00C55E12">
      <w:pPr>
        <w:pStyle w:val="Heading2"/>
      </w:pPr>
      <w:bookmarkStart w:id="158" w:name="_Toc340052583"/>
      <w:bookmarkStart w:id="159" w:name="_Toc66194581"/>
      <w:r w:rsidRPr="009F2C20">
        <w:t>Did Not Attend Definition</w:t>
      </w:r>
      <w:bookmarkEnd w:id="158"/>
      <w:bookmarkEnd w:id="159"/>
    </w:p>
    <w:p w14:paraId="0B0B59DF" w14:textId="77777777" w:rsidR="00C55E12" w:rsidRPr="002C08B0" w:rsidRDefault="00C55E12" w:rsidP="00C55E12">
      <w:r w:rsidRPr="002C08B0">
        <w:t xml:space="preserve">A patient is classified as </w:t>
      </w:r>
      <w:smartTag w:uri="urn:schemas-microsoft-com:office:smarttags" w:element="stockticker">
        <w:r w:rsidRPr="002C08B0">
          <w:t>DNA</w:t>
        </w:r>
      </w:smartTag>
      <w:r w:rsidRPr="002C08B0">
        <w:t xml:space="preserve"> if they did not attend the outpatient clinic appointment and there was no communication before the appointment.</w:t>
      </w:r>
      <w:r>
        <w:t xml:space="preserve"> </w:t>
      </w:r>
      <w:r w:rsidRPr="002C08B0">
        <w:t>If there was communication, this is a cancellation.</w:t>
      </w:r>
    </w:p>
    <w:p w14:paraId="4D836866" w14:textId="77777777" w:rsidR="00C55E12" w:rsidRPr="009F2C20" w:rsidRDefault="00C55E12" w:rsidP="00C55E12">
      <w:pPr>
        <w:pStyle w:val="Heading2"/>
      </w:pPr>
      <w:bookmarkStart w:id="160" w:name="_Toc340052584"/>
      <w:bookmarkStart w:id="161" w:name="_Toc66194582"/>
      <w:r w:rsidRPr="009F2C20">
        <w:t>Did Not Attend Rules</w:t>
      </w:r>
      <w:bookmarkEnd w:id="160"/>
      <w:bookmarkEnd w:id="161"/>
    </w:p>
    <w:p w14:paraId="4548E739" w14:textId="77777777" w:rsidR="00C55E12" w:rsidRPr="009F2C20" w:rsidRDefault="00C55E12" w:rsidP="00C55E12">
      <w:pPr>
        <w:pStyle w:val="BulletNormal"/>
        <w:rPr>
          <w:b/>
        </w:rPr>
      </w:pPr>
      <w:r w:rsidRPr="009F2C20">
        <w:t xml:space="preserve">There is no </w:t>
      </w:r>
      <w:r>
        <w:t xml:space="preserve">agreed </w:t>
      </w:r>
      <w:r w:rsidRPr="009F2C20">
        <w:t>timeframe</w:t>
      </w:r>
      <w:r>
        <w:t xml:space="preserve"> for</w:t>
      </w:r>
      <w:r w:rsidRPr="009F2C20">
        <w:t xml:space="preserve"> communication prior to cancellation.</w:t>
      </w:r>
      <w:r>
        <w:t xml:space="preserve"> </w:t>
      </w:r>
      <w:r w:rsidRPr="009F2C20">
        <w:t>It is up to each DHB to determine this.</w:t>
      </w:r>
    </w:p>
    <w:p w14:paraId="18DB4B34" w14:textId="77777777" w:rsidR="00C55E12" w:rsidRPr="009F2C20" w:rsidRDefault="00C55E12" w:rsidP="00C55E12">
      <w:pPr>
        <w:pStyle w:val="BulletNormal"/>
        <w:rPr>
          <w:b/>
        </w:rPr>
      </w:pPr>
      <w:r w:rsidRPr="009F2C20">
        <w:t>DNAs are used for counting purposes only.</w:t>
      </w:r>
    </w:p>
    <w:p w14:paraId="2FE0C709" w14:textId="77777777" w:rsidR="00C55E12" w:rsidRPr="009F2C20" w:rsidRDefault="00C55E12" w:rsidP="00C55E12">
      <w:pPr>
        <w:pStyle w:val="Heading2"/>
      </w:pPr>
      <w:bookmarkStart w:id="162" w:name="_Toc340052585"/>
      <w:bookmarkStart w:id="163" w:name="_Toc66194583"/>
      <w:r w:rsidRPr="009F2C20">
        <w:t>Did Not Attend Purchase Unit Allocation</w:t>
      </w:r>
      <w:bookmarkEnd w:id="162"/>
      <w:bookmarkEnd w:id="163"/>
    </w:p>
    <w:p w14:paraId="5D406023" w14:textId="4E43844A" w:rsidR="00C55E12" w:rsidRPr="009F2C20" w:rsidRDefault="00C55E12" w:rsidP="00C55E12">
      <w:r w:rsidRPr="009F2C20">
        <w:t>DNAs are identified by attendance type in NNPAC.</w:t>
      </w:r>
      <w:r>
        <w:t xml:space="preserve"> </w:t>
      </w:r>
      <w:r w:rsidRPr="009F2C20">
        <w:t xml:space="preserve">The </w:t>
      </w:r>
      <w:r>
        <w:t>PUC</w:t>
      </w:r>
      <w:r w:rsidRPr="009F2C20">
        <w:t xml:space="preserve"> allocated is the same </w:t>
      </w:r>
      <w:r>
        <w:t>PUC</w:t>
      </w:r>
      <w:r w:rsidRPr="009F2C20">
        <w:t xml:space="preserve"> that would have been alloca</w:t>
      </w:r>
      <w:r>
        <w:t xml:space="preserve">ted had the event taken place, </w:t>
      </w:r>
      <w:r w:rsidRPr="00A56208">
        <w:t>where it is possible deri</w:t>
      </w:r>
      <w:r>
        <w:t xml:space="preserve">ve this, otherwise an FSA or follow up </w:t>
      </w:r>
      <w:r w:rsidR="00A25255">
        <w:t>PUC</w:t>
      </w:r>
      <w:r w:rsidRPr="00A56208">
        <w:t xml:space="preserve"> should be allocated</w:t>
      </w:r>
      <w:r w:rsidR="00A25255">
        <w:t>.</w:t>
      </w:r>
    </w:p>
    <w:p w14:paraId="09B4FD94" w14:textId="77777777" w:rsidR="00C55E12" w:rsidRPr="002414AA" w:rsidRDefault="00C55E12" w:rsidP="00C55E12">
      <w:pPr>
        <w:pStyle w:val="Heading1"/>
      </w:pPr>
      <w:bookmarkStart w:id="164" w:name="_Toc369874116"/>
      <w:bookmarkStart w:id="165" w:name="_Toc340052586"/>
      <w:bookmarkStart w:id="166" w:name="_Toc66194584"/>
      <w:bookmarkEnd w:id="164"/>
      <w:r w:rsidRPr="002414AA">
        <w:t>Did Not Wait (DNW)</w:t>
      </w:r>
      <w:bookmarkEnd w:id="165"/>
      <w:bookmarkEnd w:id="166"/>
    </w:p>
    <w:p w14:paraId="7F70C897" w14:textId="77777777" w:rsidR="00C55E12" w:rsidRPr="009F2C20" w:rsidRDefault="00C55E12" w:rsidP="00C55E12">
      <w:pPr>
        <w:pStyle w:val="Heading2"/>
      </w:pPr>
      <w:bookmarkStart w:id="167" w:name="_Toc340052587"/>
      <w:bookmarkStart w:id="168" w:name="_Toc66194585"/>
      <w:r w:rsidRPr="009F2C20">
        <w:t>Did Not Wait Definition</w:t>
      </w:r>
      <w:bookmarkEnd w:id="167"/>
      <w:bookmarkEnd w:id="168"/>
    </w:p>
    <w:p w14:paraId="24CC410B" w14:textId="77777777" w:rsidR="00C55E12" w:rsidRDefault="00C55E12" w:rsidP="00C55E12">
      <w:r w:rsidRPr="002C08B0">
        <w:t>Used for ED where the patient is triaged but did not wait for treatment.</w:t>
      </w:r>
      <w:r>
        <w:t xml:space="preserve"> </w:t>
      </w:r>
      <w:r w:rsidRPr="002C08B0">
        <w:t>Also used for general Outpatient services where the patient arrives but does not wait to receive service.</w:t>
      </w:r>
      <w:r>
        <w:t xml:space="preserve"> </w:t>
      </w:r>
      <w:r w:rsidRPr="002C08B0">
        <w:t>DNW is only collected against ED in NNPAC.</w:t>
      </w:r>
      <w:r>
        <w:t xml:space="preserve"> </w:t>
      </w:r>
      <w:r w:rsidRPr="002C08B0">
        <w:t>If the patient receives treatment and then self-discharges you cannot submit as a DNW.</w:t>
      </w:r>
    </w:p>
    <w:p w14:paraId="4AE803F5" w14:textId="77777777" w:rsidR="00C55E12" w:rsidRPr="009F2C20" w:rsidRDefault="00C55E12" w:rsidP="00C55E12">
      <w:pPr>
        <w:pStyle w:val="Heading2"/>
      </w:pPr>
      <w:bookmarkStart w:id="169" w:name="_Toc340052588"/>
      <w:bookmarkStart w:id="170" w:name="_Toc66194586"/>
      <w:r w:rsidRPr="009F2C20">
        <w:t>Did Not Wait Rules.</w:t>
      </w:r>
      <w:bookmarkEnd w:id="169"/>
      <w:bookmarkEnd w:id="170"/>
    </w:p>
    <w:p w14:paraId="41ECBA5A" w14:textId="77777777" w:rsidR="00C55E12" w:rsidRPr="009F2C20" w:rsidRDefault="00C55E12" w:rsidP="00C55E12">
      <w:pPr>
        <w:rPr>
          <w:b/>
        </w:rPr>
      </w:pPr>
      <w:r w:rsidRPr="009F2C20">
        <w:t xml:space="preserve">DNWs are only used for counting purposes. </w:t>
      </w:r>
    </w:p>
    <w:p w14:paraId="31B5DB33" w14:textId="77777777" w:rsidR="00C55E12" w:rsidRPr="009F2C20" w:rsidRDefault="00C55E12" w:rsidP="00C55E12">
      <w:pPr>
        <w:pStyle w:val="Heading2"/>
      </w:pPr>
      <w:bookmarkStart w:id="171" w:name="_Toc340052589"/>
      <w:bookmarkStart w:id="172" w:name="_Toc66194587"/>
      <w:r w:rsidRPr="009F2C20">
        <w:t>Did Not Wait Purchase Unit Allocation</w:t>
      </w:r>
      <w:bookmarkEnd w:id="171"/>
      <w:bookmarkEnd w:id="172"/>
    </w:p>
    <w:p w14:paraId="28A6F877" w14:textId="3322848B" w:rsidR="00C55E12" w:rsidRDefault="00C55E12" w:rsidP="00C55E12">
      <w:r w:rsidRPr="009F2C20">
        <w:t>DNWs are identified by attendance type in NNPAC</w:t>
      </w:r>
      <w:r>
        <w:t xml:space="preserve"> for ED events</w:t>
      </w:r>
      <w:r w:rsidRPr="009F2C20">
        <w:t>.</w:t>
      </w:r>
      <w:r>
        <w:t xml:space="preserve"> </w:t>
      </w:r>
      <w:r w:rsidRPr="00487459">
        <w:t>Used for ED where the patient did not wait.</w:t>
      </w:r>
      <w:r>
        <w:t xml:space="preserve"> </w:t>
      </w:r>
      <w:r w:rsidRPr="00487459">
        <w:t>Also for use where</w:t>
      </w:r>
      <w:r>
        <w:t xml:space="preserve"> </w:t>
      </w:r>
      <w:r w:rsidRPr="00487459">
        <w:t>general</w:t>
      </w:r>
      <w:r>
        <w:t xml:space="preserve"> </w:t>
      </w:r>
      <w:r w:rsidRPr="00487459">
        <w:t>outpatient arrives but does not wait to receive service</w:t>
      </w:r>
      <w:r>
        <w:t>.</w:t>
      </w:r>
      <w:r w:rsidRPr="00187C64">
        <w:rPr>
          <w:rFonts w:ascii="Calibri" w:hAnsi="Calibri" w:cs="Calibri"/>
          <w:color w:val="004080"/>
          <w:szCs w:val="22"/>
        </w:rPr>
        <w:t xml:space="preserve"> </w:t>
      </w:r>
      <w:r w:rsidRPr="00A56208">
        <w:t xml:space="preserve">The PUC allocated is the same PUC that would have been allocated had the event taken place, where it possible to derive this, otherwise an FSA or </w:t>
      </w:r>
      <w:r>
        <w:t>follow up</w:t>
      </w:r>
      <w:r w:rsidRPr="00A56208">
        <w:t xml:space="preserve"> </w:t>
      </w:r>
      <w:r w:rsidR="00A25255">
        <w:t>PUC</w:t>
      </w:r>
      <w:r w:rsidRPr="00A56208">
        <w:t xml:space="preserve"> should be allocated</w:t>
      </w:r>
    </w:p>
    <w:p w14:paraId="2896A4E7" w14:textId="77777777" w:rsidR="00C55E12" w:rsidRDefault="00C55E12" w:rsidP="00C55E12">
      <w:pPr>
        <w:pStyle w:val="Heading1"/>
      </w:pPr>
      <w:bookmarkStart w:id="173" w:name="_Toc66194588"/>
      <w:r>
        <w:t>Abandoned</w:t>
      </w:r>
      <w:bookmarkEnd w:id="173"/>
    </w:p>
    <w:p w14:paraId="36410A2F" w14:textId="77777777" w:rsidR="00C55E12" w:rsidRDefault="00C55E12" w:rsidP="00C55E12">
      <w:pPr>
        <w:pStyle w:val="Heading2"/>
      </w:pPr>
      <w:bookmarkStart w:id="174" w:name="_Toc66194589"/>
      <w:r>
        <w:t>Abandoned definition</w:t>
      </w:r>
      <w:bookmarkEnd w:id="174"/>
    </w:p>
    <w:p w14:paraId="783085DC" w14:textId="0976F1AF" w:rsidR="00C55E12" w:rsidRDefault="00C55E12" w:rsidP="00C55E12">
      <w:r>
        <w:t>Event that was started but not completed</w:t>
      </w:r>
      <w:r w:rsidR="00A25255">
        <w:t>. For example</w:t>
      </w:r>
      <w:r>
        <w:t xml:space="preserve">, Radiology: MRI started but not finished for patient reasons, </w:t>
      </w:r>
      <w:r w:rsidR="00A25255">
        <w:t>such as</w:t>
      </w:r>
      <w:r>
        <w:t xml:space="preserve"> claustrophobia. </w:t>
      </w:r>
    </w:p>
    <w:p w14:paraId="788C527D" w14:textId="77777777" w:rsidR="00C55E12" w:rsidRDefault="00C55E12" w:rsidP="00C55E12">
      <w:pPr>
        <w:pStyle w:val="Heading2"/>
      </w:pPr>
      <w:bookmarkStart w:id="175" w:name="_Toc66194590"/>
      <w:r>
        <w:t>Abandoned Rule</w:t>
      </w:r>
      <w:bookmarkEnd w:id="175"/>
    </w:p>
    <w:p w14:paraId="3A457222" w14:textId="77777777" w:rsidR="00C55E12" w:rsidRDefault="00C55E12" w:rsidP="00C55E12">
      <w:r>
        <w:t>Event is counted and submitted, as if the event was completed.</w:t>
      </w:r>
    </w:p>
    <w:p w14:paraId="5B1774D6" w14:textId="77777777" w:rsidR="00C55E12" w:rsidRDefault="00C55E12" w:rsidP="00C55E12">
      <w:pPr>
        <w:pStyle w:val="Heading1"/>
        <w:numPr>
          <w:ilvl w:val="0"/>
          <w:numId w:val="0"/>
        </w:numPr>
        <w:spacing w:after="120"/>
      </w:pPr>
      <w:bookmarkStart w:id="176" w:name="_Toc66194591"/>
      <w:r>
        <w:lastRenderedPageBreak/>
        <w:t>Appendix 1 - Unit of Measure Definitions</w:t>
      </w:r>
      <w:bookmarkEnd w:id="176"/>
    </w:p>
    <w:tbl>
      <w:tblPr>
        <w:tblStyle w:val="TableGrid"/>
        <w:tblW w:w="10065" w:type="dxa"/>
        <w:tblInd w:w="-289" w:type="dxa"/>
        <w:tblLook w:val="04A0" w:firstRow="1" w:lastRow="0" w:firstColumn="1" w:lastColumn="0" w:noHBand="0" w:noVBand="1"/>
      </w:tblPr>
      <w:tblGrid>
        <w:gridCol w:w="2836"/>
        <w:gridCol w:w="7229"/>
      </w:tblGrid>
      <w:tr w:rsidR="00C55E12" w:rsidRPr="000C0508" w14:paraId="2710BF54" w14:textId="77777777" w:rsidTr="002415FD">
        <w:trPr>
          <w:trHeight w:val="375"/>
        </w:trPr>
        <w:tc>
          <w:tcPr>
            <w:tcW w:w="2836" w:type="dxa"/>
            <w:shd w:val="clear" w:color="auto" w:fill="D9D9D9" w:themeFill="background1" w:themeFillShade="D9"/>
            <w:noWrap/>
            <w:hideMark/>
          </w:tcPr>
          <w:p w14:paraId="2DEA2324" w14:textId="77777777" w:rsidR="00C55E12" w:rsidRPr="000C0508" w:rsidRDefault="00C55E12" w:rsidP="00547A87">
            <w:pPr>
              <w:spacing w:before="60" w:after="60"/>
              <w:rPr>
                <w:b/>
                <w:bCs/>
              </w:rPr>
            </w:pPr>
            <w:r w:rsidRPr="000C0508">
              <w:rPr>
                <w:b/>
                <w:bCs/>
              </w:rPr>
              <w:t>Unit of Measure</w:t>
            </w:r>
          </w:p>
        </w:tc>
        <w:tc>
          <w:tcPr>
            <w:tcW w:w="7229" w:type="dxa"/>
            <w:shd w:val="clear" w:color="auto" w:fill="D9D9D9" w:themeFill="background1" w:themeFillShade="D9"/>
          </w:tcPr>
          <w:p w14:paraId="0A52D70D" w14:textId="77777777" w:rsidR="00C55E12" w:rsidRPr="000C0508" w:rsidRDefault="00C55E12" w:rsidP="00547A87">
            <w:pPr>
              <w:spacing w:before="60" w:after="60"/>
              <w:rPr>
                <w:b/>
                <w:bCs/>
              </w:rPr>
            </w:pPr>
            <w:r w:rsidRPr="000C0508">
              <w:rPr>
                <w:b/>
                <w:bCs/>
              </w:rPr>
              <w:t>Definition</w:t>
            </w:r>
          </w:p>
        </w:tc>
      </w:tr>
      <w:tr w:rsidR="00C55E12" w:rsidRPr="000C0508" w14:paraId="7F060486" w14:textId="77777777" w:rsidTr="002415FD">
        <w:trPr>
          <w:trHeight w:val="315"/>
        </w:trPr>
        <w:tc>
          <w:tcPr>
            <w:tcW w:w="2836" w:type="dxa"/>
            <w:hideMark/>
          </w:tcPr>
          <w:p w14:paraId="4888B66F" w14:textId="77777777" w:rsidR="00C55E12" w:rsidRPr="000C0508" w:rsidRDefault="00C55E12" w:rsidP="00547A87">
            <w:pPr>
              <w:spacing w:before="60" w:after="60"/>
              <w:rPr>
                <w:b/>
                <w:bCs/>
              </w:rPr>
            </w:pPr>
            <w:r w:rsidRPr="000C0508">
              <w:rPr>
                <w:b/>
                <w:bCs/>
              </w:rPr>
              <w:t>Adjuster</w:t>
            </w:r>
          </w:p>
        </w:tc>
        <w:tc>
          <w:tcPr>
            <w:tcW w:w="7229" w:type="dxa"/>
          </w:tcPr>
          <w:p w14:paraId="3FCB8DA7" w14:textId="77777777" w:rsidR="00C55E12" w:rsidRPr="000C0508" w:rsidRDefault="00C55E12" w:rsidP="00547A87">
            <w:pPr>
              <w:spacing w:before="60" w:after="60"/>
            </w:pPr>
            <w:r w:rsidRPr="000C0508">
              <w:t>Price adjustment for cost elements not adequately recognised within national purchase unit base prices.</w:t>
            </w:r>
          </w:p>
        </w:tc>
      </w:tr>
      <w:tr w:rsidR="00C55E12" w:rsidRPr="000C0508" w14:paraId="17ED521C" w14:textId="77777777" w:rsidTr="002415FD">
        <w:trPr>
          <w:trHeight w:val="315"/>
        </w:trPr>
        <w:tc>
          <w:tcPr>
            <w:tcW w:w="2836" w:type="dxa"/>
            <w:hideMark/>
          </w:tcPr>
          <w:p w14:paraId="24E8861D" w14:textId="77777777" w:rsidR="00C55E12" w:rsidRPr="000C0508" w:rsidRDefault="00C55E12" w:rsidP="00547A87">
            <w:pPr>
              <w:spacing w:before="60" w:after="60"/>
              <w:rPr>
                <w:b/>
                <w:bCs/>
              </w:rPr>
            </w:pPr>
            <w:r w:rsidRPr="000C0508">
              <w:rPr>
                <w:b/>
                <w:bCs/>
              </w:rPr>
              <w:t>Assessment</w:t>
            </w:r>
          </w:p>
        </w:tc>
        <w:tc>
          <w:tcPr>
            <w:tcW w:w="7229" w:type="dxa"/>
          </w:tcPr>
          <w:p w14:paraId="076DBCB6" w14:textId="77777777" w:rsidR="00C55E12" w:rsidRPr="000C0508" w:rsidRDefault="00C55E12" w:rsidP="00547A87">
            <w:pPr>
              <w:spacing w:before="60" w:after="60"/>
            </w:pPr>
            <w:r w:rsidRPr="000C0508">
              <w:t>Number of assessments.</w:t>
            </w:r>
            <w:r>
              <w:t xml:space="preserve"> </w:t>
            </w:r>
            <w:r w:rsidRPr="000C0508">
              <w:t>Initial assessments and reassessments should be counted separately.</w:t>
            </w:r>
          </w:p>
        </w:tc>
      </w:tr>
      <w:tr w:rsidR="00C55E12" w:rsidRPr="000C0508" w14:paraId="4F3EA96E" w14:textId="77777777" w:rsidTr="002415FD">
        <w:trPr>
          <w:trHeight w:val="315"/>
        </w:trPr>
        <w:tc>
          <w:tcPr>
            <w:tcW w:w="2836" w:type="dxa"/>
            <w:hideMark/>
          </w:tcPr>
          <w:p w14:paraId="0673B44C" w14:textId="77777777" w:rsidR="00C55E12" w:rsidRPr="000C0508" w:rsidRDefault="00C55E12" w:rsidP="00547A87">
            <w:pPr>
              <w:spacing w:before="60" w:after="60"/>
              <w:rPr>
                <w:b/>
                <w:bCs/>
              </w:rPr>
            </w:pPr>
            <w:r w:rsidRPr="000C0508">
              <w:rPr>
                <w:b/>
                <w:bCs/>
              </w:rPr>
              <w:t>Attendance</w:t>
            </w:r>
          </w:p>
        </w:tc>
        <w:tc>
          <w:tcPr>
            <w:tcW w:w="7229" w:type="dxa"/>
          </w:tcPr>
          <w:p w14:paraId="1FD87CF6" w14:textId="77777777" w:rsidR="00C55E12" w:rsidRPr="000C0508" w:rsidRDefault="00C55E12" w:rsidP="00547A87">
            <w:pPr>
              <w:spacing w:before="60" w:after="60"/>
            </w:pPr>
            <w:r w:rsidRPr="000C0508">
              <w:t>Number of attendances to a clinic/department/acute assessment unit or domiciliary.</w:t>
            </w:r>
            <w:r>
              <w:t xml:space="preserve"> (Includes telehealth as defined in Common Counting Standards)</w:t>
            </w:r>
          </w:p>
        </w:tc>
      </w:tr>
      <w:tr w:rsidR="00C55E12" w:rsidRPr="000C0508" w14:paraId="5D0BADE2" w14:textId="77777777" w:rsidTr="002415FD">
        <w:trPr>
          <w:trHeight w:val="945"/>
        </w:trPr>
        <w:tc>
          <w:tcPr>
            <w:tcW w:w="2836" w:type="dxa"/>
            <w:hideMark/>
          </w:tcPr>
          <w:p w14:paraId="31F6C66A" w14:textId="77777777" w:rsidR="00C55E12" w:rsidRPr="000C0508" w:rsidRDefault="00C55E12" w:rsidP="00547A87">
            <w:pPr>
              <w:spacing w:before="60" w:after="60"/>
              <w:rPr>
                <w:b/>
                <w:bCs/>
              </w:rPr>
            </w:pPr>
            <w:r w:rsidRPr="000C0508">
              <w:rPr>
                <w:b/>
                <w:bCs/>
              </w:rPr>
              <w:t>Available bed day</w:t>
            </w:r>
          </w:p>
        </w:tc>
        <w:tc>
          <w:tcPr>
            <w:tcW w:w="7229" w:type="dxa"/>
          </w:tcPr>
          <w:p w14:paraId="6326A819" w14:textId="77777777" w:rsidR="00C55E12" w:rsidRPr="000C0508" w:rsidRDefault="00C55E12" w:rsidP="00547A87">
            <w:pPr>
              <w:spacing w:before="60" w:after="60"/>
            </w:pPr>
            <w:r w:rsidRPr="000C0508">
              <w:t>Total number of inpatient beds that are available to be occupied during the period multiplied by the number of days they are available during that period. To be counted as available the bed must be resourced, and either empty or occupied by a user of this service.</w:t>
            </w:r>
          </w:p>
        </w:tc>
      </w:tr>
      <w:tr w:rsidR="00C55E12" w:rsidRPr="000C0508" w14:paraId="2A35F34A" w14:textId="77777777" w:rsidTr="002415FD">
        <w:trPr>
          <w:trHeight w:val="630"/>
        </w:trPr>
        <w:tc>
          <w:tcPr>
            <w:tcW w:w="2836" w:type="dxa"/>
            <w:hideMark/>
          </w:tcPr>
          <w:p w14:paraId="241A9909" w14:textId="77777777" w:rsidR="00C55E12" w:rsidRPr="000C0508" w:rsidRDefault="00C55E12" w:rsidP="00547A87">
            <w:pPr>
              <w:spacing w:before="60" w:after="60"/>
              <w:rPr>
                <w:b/>
                <w:bCs/>
              </w:rPr>
            </w:pPr>
            <w:r w:rsidRPr="000C0508">
              <w:rPr>
                <w:b/>
                <w:bCs/>
              </w:rPr>
              <w:t>Brachytherapy volume</w:t>
            </w:r>
          </w:p>
        </w:tc>
        <w:tc>
          <w:tcPr>
            <w:tcW w:w="7229" w:type="dxa"/>
          </w:tcPr>
          <w:p w14:paraId="2B6DB142" w14:textId="77777777" w:rsidR="00C55E12" w:rsidRPr="000C0508" w:rsidRDefault="00C55E12" w:rsidP="00547A87">
            <w:pPr>
              <w:spacing w:before="60" w:after="60"/>
            </w:pPr>
            <w:r w:rsidRPr="000C0508">
              <w:t>The volume count of brachytherapy volumes in one day is up to a maximum of five.</w:t>
            </w:r>
            <w:r>
              <w:t xml:space="preserve"> </w:t>
            </w:r>
            <w:r w:rsidRPr="000C0508">
              <w:t>The specialist may or may not be in attendance. Includes all planning and simulation, and radioactive isotope implants or treatments</w:t>
            </w:r>
            <w:r>
              <w:t xml:space="preserve"> </w:t>
            </w:r>
            <w:r w:rsidRPr="000C0508">
              <w:t xml:space="preserve"> </w:t>
            </w:r>
          </w:p>
        </w:tc>
      </w:tr>
      <w:tr w:rsidR="00C55E12" w:rsidRPr="000C0508" w14:paraId="0C575A18" w14:textId="77777777" w:rsidTr="002415FD">
        <w:trPr>
          <w:trHeight w:val="455"/>
        </w:trPr>
        <w:tc>
          <w:tcPr>
            <w:tcW w:w="2836" w:type="dxa"/>
          </w:tcPr>
          <w:p w14:paraId="72C32E34" w14:textId="77777777" w:rsidR="00C55E12" w:rsidRPr="000C0508" w:rsidRDefault="00C55E12" w:rsidP="00547A87">
            <w:pPr>
              <w:spacing w:before="60" w:after="60"/>
              <w:rPr>
                <w:b/>
                <w:bCs/>
              </w:rPr>
            </w:pPr>
            <w:r>
              <w:rPr>
                <w:b/>
                <w:bCs/>
              </w:rPr>
              <w:t>Case</w:t>
            </w:r>
          </w:p>
        </w:tc>
        <w:tc>
          <w:tcPr>
            <w:tcW w:w="7229" w:type="dxa"/>
          </w:tcPr>
          <w:p w14:paraId="44D0764E" w14:textId="77777777" w:rsidR="00C55E12" w:rsidRPr="000C0508" w:rsidRDefault="00C55E12" w:rsidP="00547A87">
            <w:pPr>
              <w:spacing w:before="60" w:after="60"/>
            </w:pPr>
            <w:r>
              <w:t>Number of deceased persons. Used for ‘</w:t>
            </w:r>
            <w:r w:rsidRPr="009C2E2A">
              <w:t>OT02001</w:t>
            </w:r>
            <w:r>
              <w:t xml:space="preserve"> </w:t>
            </w:r>
            <w:r w:rsidRPr="009C2E2A">
              <w:t>Coroner Deaths not requiring Post Mortem</w:t>
            </w:r>
            <w:r>
              <w:t>’ only.</w:t>
            </w:r>
          </w:p>
        </w:tc>
      </w:tr>
      <w:tr w:rsidR="00C55E12" w:rsidRPr="000C0508" w14:paraId="6A51865B" w14:textId="77777777" w:rsidTr="002415FD">
        <w:trPr>
          <w:trHeight w:val="630"/>
        </w:trPr>
        <w:tc>
          <w:tcPr>
            <w:tcW w:w="2836" w:type="dxa"/>
            <w:hideMark/>
          </w:tcPr>
          <w:p w14:paraId="0E27F056" w14:textId="77777777" w:rsidR="00C55E12" w:rsidRPr="000C0508" w:rsidRDefault="00C55E12" w:rsidP="00547A87">
            <w:pPr>
              <w:spacing w:before="60" w:after="60"/>
              <w:rPr>
                <w:b/>
                <w:bCs/>
              </w:rPr>
            </w:pPr>
            <w:r w:rsidRPr="000C0508">
              <w:rPr>
                <w:b/>
                <w:bCs/>
              </w:rPr>
              <w:t>Check</w:t>
            </w:r>
          </w:p>
        </w:tc>
        <w:tc>
          <w:tcPr>
            <w:tcW w:w="7229" w:type="dxa"/>
          </w:tcPr>
          <w:p w14:paraId="2D3BCDC3" w14:textId="77777777" w:rsidR="00C55E12" w:rsidRPr="000C0508" w:rsidRDefault="00C55E12" w:rsidP="00547A87">
            <w:pPr>
              <w:spacing w:before="60" w:after="60"/>
            </w:pPr>
            <w:r w:rsidRPr="000C0508">
              <w:t>Number of checks provided, and other information outlined in the B4 School Check - Minimum Requirements for Information. A check cannot be counted until it is complete</w:t>
            </w:r>
          </w:p>
        </w:tc>
      </w:tr>
      <w:tr w:rsidR="00C55E12" w:rsidRPr="000C0508" w14:paraId="7D24A799" w14:textId="77777777" w:rsidTr="002415FD">
        <w:trPr>
          <w:trHeight w:val="315"/>
        </w:trPr>
        <w:tc>
          <w:tcPr>
            <w:tcW w:w="2836" w:type="dxa"/>
            <w:hideMark/>
          </w:tcPr>
          <w:p w14:paraId="549C4D10" w14:textId="77777777" w:rsidR="00C55E12" w:rsidRPr="000C0508" w:rsidRDefault="00C55E12" w:rsidP="00547A87">
            <w:pPr>
              <w:spacing w:before="60" w:after="60"/>
              <w:rPr>
                <w:b/>
                <w:bCs/>
              </w:rPr>
            </w:pPr>
            <w:r w:rsidRPr="000C0508">
              <w:rPr>
                <w:b/>
                <w:bCs/>
              </w:rPr>
              <w:t>Claim</w:t>
            </w:r>
          </w:p>
        </w:tc>
        <w:tc>
          <w:tcPr>
            <w:tcW w:w="7229" w:type="dxa"/>
          </w:tcPr>
          <w:p w14:paraId="0B455042" w14:textId="77777777" w:rsidR="00C55E12" w:rsidRPr="000C0508" w:rsidRDefault="00C55E12" w:rsidP="00547A87">
            <w:pPr>
              <w:spacing w:before="60" w:after="60"/>
            </w:pPr>
            <w:r>
              <w:t>Number of c</w:t>
            </w:r>
            <w:r w:rsidRPr="000C0508">
              <w:t>laim</w:t>
            </w:r>
            <w:r>
              <w:t>s</w:t>
            </w:r>
          </w:p>
        </w:tc>
      </w:tr>
      <w:tr w:rsidR="00C55E12" w:rsidRPr="000C0508" w14:paraId="65EBC146" w14:textId="77777777" w:rsidTr="002415FD">
        <w:trPr>
          <w:trHeight w:val="630"/>
        </w:trPr>
        <w:tc>
          <w:tcPr>
            <w:tcW w:w="2836" w:type="dxa"/>
            <w:hideMark/>
          </w:tcPr>
          <w:p w14:paraId="023E9E8F" w14:textId="77777777" w:rsidR="00C55E12" w:rsidRPr="000C0508" w:rsidRDefault="00C55E12" w:rsidP="00547A87">
            <w:pPr>
              <w:spacing w:before="60" w:after="60"/>
              <w:rPr>
                <w:b/>
                <w:bCs/>
              </w:rPr>
            </w:pPr>
            <w:r w:rsidRPr="000C0508">
              <w:rPr>
                <w:b/>
                <w:bCs/>
              </w:rPr>
              <w:t>Client</w:t>
            </w:r>
          </w:p>
        </w:tc>
        <w:tc>
          <w:tcPr>
            <w:tcW w:w="7229" w:type="dxa"/>
          </w:tcPr>
          <w:p w14:paraId="37557EBC" w14:textId="77777777" w:rsidR="00C55E12" w:rsidRPr="000C0508" w:rsidRDefault="00C55E12" w:rsidP="00547A87">
            <w:pPr>
              <w:spacing w:before="60" w:after="60"/>
            </w:pPr>
            <w:r w:rsidRPr="00BE049B">
              <w:t>Unique clients managed by the service in the reporting period -</w:t>
            </w:r>
            <w:r>
              <w:t xml:space="preserve"> </w:t>
            </w:r>
            <w:r w:rsidRPr="00BE049B">
              <w:t>financial year</w:t>
            </w:r>
            <w:r>
              <w:t xml:space="preserve"> </w:t>
            </w:r>
            <w:r w:rsidRPr="00BE049B">
              <w:t xml:space="preserve">- (period </w:t>
            </w:r>
            <w:r w:rsidRPr="000C0508">
              <w:t xml:space="preserve">is annual 1st July - 30th June). </w:t>
            </w:r>
          </w:p>
        </w:tc>
      </w:tr>
      <w:tr w:rsidR="00C55E12" w:rsidRPr="000C0508" w14:paraId="50541F51" w14:textId="77777777" w:rsidTr="002415FD">
        <w:trPr>
          <w:trHeight w:val="1260"/>
        </w:trPr>
        <w:tc>
          <w:tcPr>
            <w:tcW w:w="2836" w:type="dxa"/>
            <w:hideMark/>
          </w:tcPr>
          <w:p w14:paraId="20627625" w14:textId="77777777" w:rsidR="00C55E12" w:rsidRPr="000C0508" w:rsidRDefault="00C55E12" w:rsidP="00547A87">
            <w:pPr>
              <w:spacing w:before="60" w:after="60"/>
              <w:rPr>
                <w:b/>
                <w:bCs/>
              </w:rPr>
            </w:pPr>
            <w:r w:rsidRPr="000C0508">
              <w:rPr>
                <w:b/>
                <w:bCs/>
              </w:rPr>
              <w:t>Clinical FTE</w:t>
            </w:r>
          </w:p>
        </w:tc>
        <w:tc>
          <w:tcPr>
            <w:tcW w:w="7229" w:type="dxa"/>
          </w:tcPr>
          <w:p w14:paraId="7C5B2980" w14:textId="77777777" w:rsidR="00C55E12" w:rsidRPr="000C0508" w:rsidRDefault="00C55E12" w:rsidP="00547A87">
            <w:pPr>
              <w:spacing w:before="60" w:after="60"/>
            </w:pPr>
            <w:r w:rsidRPr="000C0508">
              <w:t>Full-time equivalent clinical staff member (health professional) involved in the direct delivery of services to consumers.</w:t>
            </w:r>
            <w:r>
              <w:t xml:space="preserve"> </w:t>
            </w:r>
            <w:r w:rsidRPr="000C0508">
              <w:t>Exclude time that is formally devoted to administrative or management functions eg. half-time coordination of a community team.</w:t>
            </w:r>
            <w:r>
              <w:t xml:space="preserve"> </w:t>
            </w:r>
            <w:r w:rsidRPr="000C0508">
              <w:t>This includes the non</w:t>
            </w:r>
            <w:r>
              <w:t>-</w:t>
            </w:r>
            <w:r w:rsidRPr="000C0508">
              <w:t xml:space="preserve">clinical training component of </w:t>
            </w:r>
            <w:r>
              <w:t>R</w:t>
            </w:r>
            <w:r w:rsidRPr="000C0508">
              <w:t xml:space="preserve">egistrar and </w:t>
            </w:r>
            <w:r>
              <w:t>H</w:t>
            </w:r>
            <w:r w:rsidRPr="000C0508">
              <w:t xml:space="preserve">ouse </w:t>
            </w:r>
            <w:r>
              <w:t>Officer</w:t>
            </w:r>
            <w:r w:rsidRPr="000C0508">
              <w:t xml:space="preserve"> time.</w:t>
            </w:r>
          </w:p>
        </w:tc>
      </w:tr>
      <w:tr w:rsidR="00C55E12" w:rsidRPr="000C0508" w14:paraId="2053A154" w14:textId="77777777" w:rsidTr="002415FD">
        <w:trPr>
          <w:trHeight w:val="630"/>
        </w:trPr>
        <w:tc>
          <w:tcPr>
            <w:tcW w:w="2836" w:type="dxa"/>
            <w:hideMark/>
          </w:tcPr>
          <w:p w14:paraId="46423E2B" w14:textId="77777777" w:rsidR="00C55E12" w:rsidRPr="000C0508" w:rsidRDefault="00C55E12" w:rsidP="00547A87">
            <w:pPr>
              <w:spacing w:before="60" w:after="60"/>
              <w:rPr>
                <w:b/>
                <w:bCs/>
              </w:rPr>
            </w:pPr>
            <w:r w:rsidRPr="000C0508">
              <w:rPr>
                <w:b/>
                <w:bCs/>
              </w:rPr>
              <w:t>Completed treatment</w:t>
            </w:r>
          </w:p>
        </w:tc>
        <w:tc>
          <w:tcPr>
            <w:tcW w:w="7229" w:type="dxa"/>
          </w:tcPr>
          <w:p w14:paraId="7657C5FE" w14:textId="77777777" w:rsidR="00C55E12" w:rsidRPr="000C0508" w:rsidRDefault="00C55E12" w:rsidP="00547A87">
            <w:pPr>
              <w:spacing w:before="60" w:after="60"/>
            </w:pPr>
            <w:r w:rsidRPr="000C0508">
              <w:t xml:space="preserve">Number of clients seen during the period (period is annual 1st July - 30th June) for any one diagnosis for </w:t>
            </w:r>
            <w:r>
              <w:t>which</w:t>
            </w:r>
            <w:r w:rsidRPr="000C0508">
              <w:t xml:space="preserve"> there </w:t>
            </w:r>
            <w:r>
              <w:t>are</w:t>
            </w:r>
            <w:r w:rsidRPr="000C0508">
              <w:t xml:space="preserve"> no further sessions or treatments booked.</w:t>
            </w:r>
          </w:p>
        </w:tc>
      </w:tr>
      <w:tr w:rsidR="00C55E12" w:rsidRPr="000C0508" w14:paraId="05327C79" w14:textId="77777777" w:rsidTr="002415FD">
        <w:trPr>
          <w:trHeight w:val="315"/>
        </w:trPr>
        <w:tc>
          <w:tcPr>
            <w:tcW w:w="2836" w:type="dxa"/>
            <w:hideMark/>
          </w:tcPr>
          <w:p w14:paraId="4360D753" w14:textId="77777777" w:rsidR="00C55E12" w:rsidRPr="000C0508" w:rsidRDefault="00C55E12" w:rsidP="00547A87">
            <w:pPr>
              <w:spacing w:before="60" w:after="60"/>
              <w:rPr>
                <w:b/>
                <w:bCs/>
              </w:rPr>
            </w:pPr>
            <w:r w:rsidRPr="000C0508">
              <w:rPr>
                <w:b/>
                <w:bCs/>
              </w:rPr>
              <w:t>Consultation</w:t>
            </w:r>
          </w:p>
        </w:tc>
        <w:tc>
          <w:tcPr>
            <w:tcW w:w="7229" w:type="dxa"/>
          </w:tcPr>
          <w:p w14:paraId="753173C0" w14:textId="77777777" w:rsidR="00C55E12" w:rsidRPr="000C0508" w:rsidRDefault="00C55E12" w:rsidP="00547A87">
            <w:pPr>
              <w:spacing w:before="60" w:after="60"/>
            </w:pPr>
            <w:r w:rsidRPr="000C0508">
              <w:t xml:space="preserve">Number of </w:t>
            </w:r>
            <w:r>
              <w:t>c</w:t>
            </w:r>
            <w:r w:rsidRPr="000C0508">
              <w:t>onsultations</w:t>
            </w:r>
          </w:p>
        </w:tc>
      </w:tr>
      <w:tr w:rsidR="00C55E12" w:rsidRPr="000C0508" w14:paraId="241619CD" w14:textId="77777777" w:rsidTr="002415FD">
        <w:trPr>
          <w:trHeight w:val="315"/>
        </w:trPr>
        <w:tc>
          <w:tcPr>
            <w:tcW w:w="2836" w:type="dxa"/>
          </w:tcPr>
          <w:p w14:paraId="7CDDDAD6" w14:textId="77777777" w:rsidR="00C55E12" w:rsidRPr="000C0508" w:rsidRDefault="00C55E12" w:rsidP="00547A87">
            <w:pPr>
              <w:spacing w:before="60" w:after="60"/>
              <w:rPr>
                <w:b/>
                <w:bCs/>
              </w:rPr>
            </w:pPr>
            <w:r w:rsidRPr="000C0508">
              <w:rPr>
                <w:b/>
                <w:bCs/>
              </w:rPr>
              <w:t>Contact</w:t>
            </w:r>
          </w:p>
        </w:tc>
        <w:tc>
          <w:tcPr>
            <w:tcW w:w="7229" w:type="dxa"/>
          </w:tcPr>
          <w:p w14:paraId="66213C60" w14:textId="5C98A3CD" w:rsidR="00C55E12" w:rsidRPr="000C0508" w:rsidRDefault="00C55E12" w:rsidP="00547A87">
            <w:pPr>
              <w:spacing w:before="60" w:after="60"/>
            </w:pPr>
            <w:r w:rsidRPr="000C0508">
              <w:t>The number of  contacts between a health professional and client or group of clients, for the provision of clinical services/interventions described in the service</w:t>
            </w:r>
            <w:r>
              <w:t>’</w:t>
            </w:r>
            <w:r w:rsidRPr="000C0508">
              <w:t>s specification.</w:t>
            </w:r>
            <w:r>
              <w:t xml:space="preserve"> </w:t>
            </w:r>
            <w:r w:rsidRPr="000C0508">
              <w:t xml:space="preserve">A contact is equivalent to a visit. A contact excludes: </w:t>
            </w:r>
            <w:r w:rsidR="00867AE8">
              <w:t>co</w:t>
            </w:r>
            <w:r w:rsidR="00486CF1">
              <w:t>mmunications</w:t>
            </w:r>
            <w:r w:rsidRPr="000C0508">
              <w:t xml:space="preserve"> where the sole purpose of the contact is provision of supplies or </w:t>
            </w:r>
            <w:r w:rsidRPr="00BE049B">
              <w:t>consumables. Where a service is provided to a group of people simultaneously by one health professional it will be counted as one contact, one event.</w:t>
            </w:r>
            <w:r w:rsidR="00486CF1">
              <w:t xml:space="preserve"> See</w:t>
            </w:r>
            <w:r w:rsidR="00E14D3C">
              <w:t xml:space="preserve"> reporting</w:t>
            </w:r>
            <w:r w:rsidR="00486CF1">
              <w:t xml:space="preserve"> Mode of delivery</w:t>
            </w:r>
            <w:r w:rsidR="00E14D3C">
              <w:t xml:space="preserve"> for guidance</w:t>
            </w:r>
            <w:r w:rsidR="00B376A4">
              <w:t xml:space="preserve"> on reporting telehealth or group consultations</w:t>
            </w:r>
            <w:r w:rsidR="00E14D3C">
              <w:t>.</w:t>
            </w:r>
          </w:p>
        </w:tc>
      </w:tr>
      <w:tr w:rsidR="00C55E12" w:rsidRPr="000C0508" w14:paraId="7436CD7A" w14:textId="77777777" w:rsidTr="002415FD">
        <w:trPr>
          <w:trHeight w:val="315"/>
        </w:trPr>
        <w:tc>
          <w:tcPr>
            <w:tcW w:w="2836" w:type="dxa"/>
            <w:hideMark/>
          </w:tcPr>
          <w:p w14:paraId="7EE888AA" w14:textId="77777777" w:rsidR="00C55E12" w:rsidRPr="000C0508" w:rsidRDefault="00C55E12" w:rsidP="00547A87">
            <w:pPr>
              <w:spacing w:before="60" w:after="60"/>
              <w:rPr>
                <w:b/>
                <w:bCs/>
              </w:rPr>
            </w:pPr>
            <w:r w:rsidRPr="000C0508">
              <w:rPr>
                <w:b/>
                <w:bCs/>
              </w:rPr>
              <w:t>Cost Weighted Discharge</w:t>
            </w:r>
          </w:p>
        </w:tc>
        <w:tc>
          <w:tcPr>
            <w:tcW w:w="7229" w:type="dxa"/>
          </w:tcPr>
          <w:p w14:paraId="39CFCEA1" w14:textId="77777777" w:rsidR="00C55E12" w:rsidRPr="000C0508" w:rsidRDefault="00C55E12" w:rsidP="00547A87">
            <w:pPr>
              <w:spacing w:before="60" w:after="60"/>
            </w:pPr>
            <w:r w:rsidRPr="000C0508">
              <w:t>A numerical measure representing the relative cost of treating a patient through to discharge</w:t>
            </w:r>
          </w:p>
        </w:tc>
      </w:tr>
      <w:tr w:rsidR="00C55E12" w:rsidRPr="000C0508" w14:paraId="15E9059D" w14:textId="77777777" w:rsidTr="002415FD">
        <w:trPr>
          <w:trHeight w:val="315"/>
        </w:trPr>
        <w:tc>
          <w:tcPr>
            <w:tcW w:w="2836" w:type="dxa"/>
            <w:hideMark/>
          </w:tcPr>
          <w:p w14:paraId="7575BD19" w14:textId="77777777" w:rsidR="00C55E12" w:rsidRPr="000C0508" w:rsidRDefault="00C55E12" w:rsidP="00547A87">
            <w:pPr>
              <w:spacing w:before="60" w:after="60"/>
              <w:rPr>
                <w:b/>
                <w:bCs/>
              </w:rPr>
            </w:pPr>
            <w:r w:rsidRPr="000C0508">
              <w:rPr>
                <w:b/>
                <w:bCs/>
              </w:rPr>
              <w:t>Day</w:t>
            </w:r>
          </w:p>
        </w:tc>
        <w:tc>
          <w:tcPr>
            <w:tcW w:w="7229" w:type="dxa"/>
          </w:tcPr>
          <w:p w14:paraId="40E46AFB" w14:textId="77777777" w:rsidR="00C55E12" w:rsidRPr="000C0508" w:rsidRDefault="00C55E12" w:rsidP="00547A87">
            <w:pPr>
              <w:spacing w:before="60" w:after="60"/>
            </w:pPr>
            <w:r w:rsidRPr="007A57D9">
              <w:rPr>
                <w:b/>
              </w:rPr>
              <w:t>For carer support and respite care subsidy claims only.</w:t>
            </w:r>
            <w:r>
              <w:t xml:space="preserve"> Subsidies can be claimed in full d</w:t>
            </w:r>
            <w:r w:rsidRPr="000C0508">
              <w:t>ay</w:t>
            </w:r>
            <w:r>
              <w:t>s where care provided is over 8 hours up to 24 hours, or in half days where care provided is between 4 and 8 hours. Periods of care less than 4 hours can be combined to claim half days or full days.</w:t>
            </w:r>
          </w:p>
        </w:tc>
      </w:tr>
      <w:tr w:rsidR="00C55E12" w:rsidRPr="000C0508" w14:paraId="784D6AC7" w14:textId="77777777" w:rsidTr="002415FD">
        <w:trPr>
          <w:trHeight w:val="315"/>
        </w:trPr>
        <w:tc>
          <w:tcPr>
            <w:tcW w:w="2836" w:type="dxa"/>
            <w:hideMark/>
          </w:tcPr>
          <w:p w14:paraId="27891720" w14:textId="77777777" w:rsidR="00C55E12" w:rsidRPr="000C0508" w:rsidRDefault="00C55E12" w:rsidP="00547A87">
            <w:pPr>
              <w:spacing w:before="60" w:after="60"/>
              <w:rPr>
                <w:b/>
                <w:bCs/>
              </w:rPr>
            </w:pPr>
            <w:r w:rsidRPr="000C0508">
              <w:rPr>
                <w:b/>
                <w:bCs/>
              </w:rPr>
              <w:t>Day attendance</w:t>
            </w:r>
          </w:p>
        </w:tc>
        <w:tc>
          <w:tcPr>
            <w:tcW w:w="7229" w:type="dxa"/>
          </w:tcPr>
          <w:p w14:paraId="5148FE37" w14:textId="77777777" w:rsidR="00C55E12" w:rsidRPr="000C0508" w:rsidRDefault="00C55E12" w:rsidP="00547A87">
            <w:pPr>
              <w:spacing w:before="60" w:after="60"/>
            </w:pPr>
            <w:r w:rsidRPr="000C0508">
              <w:t>Number of attendances to a day session lasting 3 hours or more.</w:t>
            </w:r>
          </w:p>
        </w:tc>
      </w:tr>
      <w:tr w:rsidR="00C55E12" w:rsidRPr="000C0508" w14:paraId="07A733A8" w14:textId="77777777" w:rsidTr="002415FD">
        <w:trPr>
          <w:trHeight w:val="315"/>
        </w:trPr>
        <w:tc>
          <w:tcPr>
            <w:tcW w:w="2836" w:type="dxa"/>
            <w:hideMark/>
          </w:tcPr>
          <w:p w14:paraId="4D065C96" w14:textId="77777777" w:rsidR="00C55E12" w:rsidRPr="000C0508" w:rsidRDefault="00C55E12" w:rsidP="00547A87">
            <w:pPr>
              <w:spacing w:before="60" w:after="60"/>
              <w:rPr>
                <w:b/>
                <w:bCs/>
              </w:rPr>
            </w:pPr>
            <w:r w:rsidRPr="000C0508">
              <w:rPr>
                <w:b/>
                <w:bCs/>
              </w:rPr>
              <w:t>Discharge</w:t>
            </w:r>
          </w:p>
        </w:tc>
        <w:tc>
          <w:tcPr>
            <w:tcW w:w="7229" w:type="dxa"/>
          </w:tcPr>
          <w:p w14:paraId="081ACFEC" w14:textId="77777777" w:rsidR="00C55E12" w:rsidRPr="000C0508" w:rsidRDefault="00C55E12" w:rsidP="00547A87">
            <w:pPr>
              <w:spacing w:before="60" w:after="60"/>
            </w:pPr>
            <w:r w:rsidRPr="000C0508">
              <w:t xml:space="preserve">The process of documentation that changes the status of an admitted healthcare user. </w:t>
            </w:r>
          </w:p>
        </w:tc>
      </w:tr>
      <w:tr w:rsidR="00C55E12" w:rsidRPr="000C0508" w14:paraId="115C83D9" w14:textId="77777777" w:rsidTr="002415FD">
        <w:trPr>
          <w:trHeight w:val="313"/>
        </w:trPr>
        <w:tc>
          <w:tcPr>
            <w:tcW w:w="2836" w:type="dxa"/>
            <w:hideMark/>
          </w:tcPr>
          <w:p w14:paraId="347559DF" w14:textId="77777777" w:rsidR="00C55E12" w:rsidRPr="000C0508" w:rsidRDefault="00C55E12" w:rsidP="00547A87">
            <w:pPr>
              <w:spacing w:before="60" w:after="60"/>
              <w:rPr>
                <w:b/>
                <w:bCs/>
              </w:rPr>
            </w:pPr>
            <w:r w:rsidRPr="000C0508">
              <w:rPr>
                <w:b/>
                <w:bCs/>
              </w:rPr>
              <w:lastRenderedPageBreak/>
              <w:t>Emergency Department Attendance</w:t>
            </w:r>
          </w:p>
        </w:tc>
        <w:tc>
          <w:tcPr>
            <w:tcW w:w="7229" w:type="dxa"/>
          </w:tcPr>
          <w:p w14:paraId="15058F70" w14:textId="77777777" w:rsidR="00C55E12" w:rsidRPr="000C0508" w:rsidRDefault="00C55E12" w:rsidP="00547A87">
            <w:pPr>
              <w:spacing w:before="60" w:after="60"/>
            </w:pPr>
            <w:r w:rsidRPr="000C0508">
              <w:t xml:space="preserve">An attendance at an Emergency Department where the </w:t>
            </w:r>
            <w:r>
              <w:t>service</w:t>
            </w:r>
            <w:r w:rsidRPr="000C0508">
              <w:t xml:space="preserve"> user is assessed by a </w:t>
            </w:r>
            <w:r>
              <w:t>R</w:t>
            </w:r>
            <w:r w:rsidRPr="000C0508">
              <w:t xml:space="preserve">egistered </w:t>
            </w:r>
            <w:r>
              <w:t>M</w:t>
            </w:r>
            <w:r w:rsidRPr="000C0508">
              <w:t xml:space="preserve">edical </w:t>
            </w:r>
            <w:r>
              <w:t>P</w:t>
            </w:r>
            <w:r w:rsidRPr="000C0508">
              <w:t>ractitioner</w:t>
            </w:r>
            <w:r>
              <w:t>, Registered Nurse or Nurse Practitioner</w:t>
            </w:r>
            <w:r w:rsidRPr="000C0508">
              <w:t xml:space="preserve">. The </w:t>
            </w:r>
            <w:r>
              <w:t>service</w:t>
            </w:r>
            <w:r w:rsidRPr="000C0508">
              <w:t xml:space="preserve"> user receives treatment, therapy, advice, diagnostic or investigatory procedures. Includes patients who are subsequently admitted.</w:t>
            </w:r>
          </w:p>
        </w:tc>
      </w:tr>
      <w:tr w:rsidR="00C55E12" w:rsidRPr="000C0508" w14:paraId="09B8AF63" w14:textId="77777777" w:rsidTr="002415FD">
        <w:trPr>
          <w:trHeight w:val="315"/>
        </w:trPr>
        <w:tc>
          <w:tcPr>
            <w:tcW w:w="2836" w:type="dxa"/>
            <w:hideMark/>
          </w:tcPr>
          <w:p w14:paraId="253ACC3D" w14:textId="77777777" w:rsidR="00C55E12" w:rsidRPr="000C0508" w:rsidRDefault="00C55E12" w:rsidP="00547A87">
            <w:pPr>
              <w:spacing w:before="60" w:after="60"/>
              <w:rPr>
                <w:b/>
                <w:bCs/>
              </w:rPr>
            </w:pPr>
            <w:r w:rsidRPr="000C0508">
              <w:rPr>
                <w:b/>
                <w:bCs/>
              </w:rPr>
              <w:t>Fee for Service</w:t>
            </w:r>
          </w:p>
        </w:tc>
        <w:tc>
          <w:tcPr>
            <w:tcW w:w="7229" w:type="dxa"/>
          </w:tcPr>
          <w:p w14:paraId="5BBA00AC" w14:textId="77777777" w:rsidR="00C55E12" w:rsidRPr="000C0508" w:rsidRDefault="00C55E12" w:rsidP="00547A87">
            <w:pPr>
              <w:spacing w:before="60" w:after="60"/>
            </w:pPr>
            <w:r w:rsidRPr="000C0508">
              <w:t>Payment per defined modules.</w:t>
            </w:r>
          </w:p>
        </w:tc>
      </w:tr>
      <w:tr w:rsidR="00C55E12" w:rsidRPr="000C0508" w14:paraId="635D2DFA" w14:textId="77777777" w:rsidTr="002415FD">
        <w:trPr>
          <w:trHeight w:val="315"/>
        </w:trPr>
        <w:tc>
          <w:tcPr>
            <w:tcW w:w="2836" w:type="dxa"/>
            <w:hideMark/>
          </w:tcPr>
          <w:p w14:paraId="0D2D27D5" w14:textId="77777777" w:rsidR="00C55E12" w:rsidRPr="000C0508" w:rsidRDefault="00C55E12" w:rsidP="00547A87">
            <w:pPr>
              <w:spacing w:before="60" w:after="60"/>
              <w:rPr>
                <w:b/>
                <w:bCs/>
              </w:rPr>
            </w:pPr>
            <w:r w:rsidRPr="000C0508">
              <w:rPr>
                <w:b/>
                <w:bCs/>
              </w:rPr>
              <w:t xml:space="preserve">Fitting of a prosthetic </w:t>
            </w:r>
            <w:r>
              <w:rPr>
                <w:b/>
                <w:bCs/>
              </w:rPr>
              <w:t>eye</w:t>
            </w:r>
          </w:p>
        </w:tc>
        <w:tc>
          <w:tcPr>
            <w:tcW w:w="7229" w:type="dxa"/>
          </w:tcPr>
          <w:p w14:paraId="185DD911" w14:textId="77777777" w:rsidR="00C55E12" w:rsidRPr="000C0508" w:rsidRDefault="00C55E12" w:rsidP="00547A87">
            <w:pPr>
              <w:spacing w:before="60" w:after="60"/>
            </w:pPr>
            <w:r w:rsidRPr="000C0508">
              <w:t xml:space="preserve">Building and fitting of a prosthetic </w:t>
            </w:r>
            <w:r>
              <w:t xml:space="preserve">eye </w:t>
            </w:r>
            <w:r w:rsidRPr="000C0508">
              <w:t>when done in an outpatient</w:t>
            </w:r>
            <w:r>
              <w:t xml:space="preserve"> </w:t>
            </w:r>
            <w:r w:rsidRPr="000C0508">
              <w:t>setting</w:t>
            </w:r>
          </w:p>
        </w:tc>
      </w:tr>
      <w:tr w:rsidR="00C55E12" w:rsidRPr="000C0508" w14:paraId="3387FF66" w14:textId="77777777" w:rsidTr="002415FD">
        <w:trPr>
          <w:trHeight w:val="945"/>
        </w:trPr>
        <w:tc>
          <w:tcPr>
            <w:tcW w:w="2836" w:type="dxa"/>
            <w:hideMark/>
          </w:tcPr>
          <w:p w14:paraId="08B9B0A2" w14:textId="77777777" w:rsidR="00C55E12" w:rsidRPr="000C0508" w:rsidRDefault="00C55E12" w:rsidP="00547A87">
            <w:pPr>
              <w:spacing w:before="60" w:after="60"/>
              <w:rPr>
                <w:b/>
                <w:bCs/>
              </w:rPr>
            </w:pPr>
            <w:r w:rsidRPr="000C0508">
              <w:rPr>
                <w:b/>
                <w:bCs/>
              </w:rPr>
              <w:t>FTE</w:t>
            </w:r>
          </w:p>
        </w:tc>
        <w:tc>
          <w:tcPr>
            <w:tcW w:w="7229" w:type="dxa"/>
          </w:tcPr>
          <w:p w14:paraId="56B9DE0A" w14:textId="77777777" w:rsidR="00C55E12" w:rsidRPr="000C0508" w:rsidRDefault="00C55E12" w:rsidP="00547A87">
            <w:pPr>
              <w:spacing w:before="60" w:after="60"/>
            </w:pPr>
            <w:r w:rsidRPr="000C0508">
              <w:t>Full-time equivalent staff member (clinical or non-clinical) involved in direct delivery of services to consumers.</w:t>
            </w:r>
            <w:r>
              <w:t xml:space="preserve"> </w:t>
            </w:r>
            <w:r w:rsidRPr="000C0508">
              <w:t>Exclude time that is formally devoted to administra</w:t>
            </w:r>
            <w:r>
              <w:t>tive or management functions eg,</w:t>
            </w:r>
            <w:r w:rsidRPr="000C0508">
              <w:t xml:space="preserve"> half-time co</w:t>
            </w:r>
            <w:r>
              <w:t>-</w:t>
            </w:r>
            <w:r w:rsidRPr="000C0508">
              <w:t>ordination of a community team.</w:t>
            </w:r>
          </w:p>
        </w:tc>
      </w:tr>
      <w:tr w:rsidR="00C55E12" w:rsidRPr="000C0508" w14:paraId="50DA70C3" w14:textId="77777777" w:rsidTr="002415FD">
        <w:trPr>
          <w:trHeight w:val="315"/>
        </w:trPr>
        <w:tc>
          <w:tcPr>
            <w:tcW w:w="2836" w:type="dxa"/>
            <w:hideMark/>
          </w:tcPr>
          <w:p w14:paraId="035DB6C3" w14:textId="77777777" w:rsidR="00C55E12" w:rsidRPr="000C0508" w:rsidRDefault="00C55E12" w:rsidP="00547A87">
            <w:pPr>
              <w:spacing w:before="60" w:after="60"/>
              <w:rPr>
                <w:b/>
                <w:bCs/>
              </w:rPr>
            </w:pPr>
            <w:r w:rsidRPr="000C0508">
              <w:rPr>
                <w:b/>
                <w:bCs/>
              </w:rPr>
              <w:t>Hour</w:t>
            </w:r>
          </w:p>
        </w:tc>
        <w:tc>
          <w:tcPr>
            <w:tcW w:w="7229" w:type="dxa"/>
          </w:tcPr>
          <w:p w14:paraId="3D390DFD" w14:textId="77777777" w:rsidR="00C55E12" w:rsidRPr="000C0508" w:rsidRDefault="00C55E12" w:rsidP="00547A87">
            <w:pPr>
              <w:spacing w:before="60" w:after="60"/>
            </w:pPr>
            <w:r w:rsidRPr="000C0508">
              <w:t>Number of hours provided.</w:t>
            </w:r>
          </w:p>
        </w:tc>
      </w:tr>
      <w:tr w:rsidR="00C55E12" w:rsidRPr="000C0508" w14:paraId="5E758AE8" w14:textId="77777777" w:rsidTr="002415FD">
        <w:trPr>
          <w:trHeight w:val="315"/>
        </w:trPr>
        <w:tc>
          <w:tcPr>
            <w:tcW w:w="2836" w:type="dxa"/>
            <w:hideMark/>
          </w:tcPr>
          <w:p w14:paraId="6724B81D" w14:textId="77777777" w:rsidR="00C55E12" w:rsidRPr="000C0508" w:rsidRDefault="00C55E12" w:rsidP="00547A87">
            <w:pPr>
              <w:spacing w:before="60" w:after="60"/>
              <w:rPr>
                <w:b/>
                <w:bCs/>
              </w:rPr>
            </w:pPr>
            <w:r w:rsidRPr="000C0508">
              <w:rPr>
                <w:b/>
                <w:bCs/>
              </w:rPr>
              <w:t>International units</w:t>
            </w:r>
          </w:p>
        </w:tc>
        <w:tc>
          <w:tcPr>
            <w:tcW w:w="7229" w:type="dxa"/>
          </w:tcPr>
          <w:p w14:paraId="06B8111F" w14:textId="77777777" w:rsidR="00C55E12" w:rsidRPr="000C0508" w:rsidRDefault="00C55E12" w:rsidP="00547A87">
            <w:pPr>
              <w:spacing w:before="60" w:after="60"/>
            </w:pPr>
            <w:r w:rsidRPr="000C0508">
              <w:t>Standard definition relating to blood products.</w:t>
            </w:r>
            <w:r>
              <w:t xml:space="preserve"> </w:t>
            </w:r>
            <w:r w:rsidRPr="000C0508">
              <w:t>Number of International Units used.</w:t>
            </w:r>
          </w:p>
        </w:tc>
      </w:tr>
      <w:tr w:rsidR="00C55E12" w:rsidRPr="000C0508" w14:paraId="794D1E47" w14:textId="77777777" w:rsidTr="002415FD">
        <w:trPr>
          <w:trHeight w:val="315"/>
        </w:trPr>
        <w:tc>
          <w:tcPr>
            <w:tcW w:w="2836" w:type="dxa"/>
            <w:hideMark/>
          </w:tcPr>
          <w:p w14:paraId="5E5ECC68" w14:textId="77777777" w:rsidR="00C55E12" w:rsidRPr="000C0508" w:rsidRDefault="00C55E12" w:rsidP="00547A87">
            <w:pPr>
              <w:spacing w:before="60" w:after="60"/>
              <w:rPr>
                <w:b/>
                <w:bCs/>
              </w:rPr>
            </w:pPr>
            <w:r w:rsidRPr="000C0508">
              <w:rPr>
                <w:b/>
                <w:bCs/>
              </w:rPr>
              <w:t>Item</w:t>
            </w:r>
          </w:p>
        </w:tc>
        <w:tc>
          <w:tcPr>
            <w:tcW w:w="7229" w:type="dxa"/>
          </w:tcPr>
          <w:p w14:paraId="75D4A1B9" w14:textId="77777777" w:rsidR="00C55E12" w:rsidRPr="000C0508" w:rsidRDefault="00C55E12" w:rsidP="00547A87">
            <w:pPr>
              <w:spacing w:before="60" w:after="60"/>
            </w:pPr>
            <w:r w:rsidRPr="000C0508">
              <w:t>Number of items provided/repaired.</w:t>
            </w:r>
          </w:p>
        </w:tc>
      </w:tr>
      <w:tr w:rsidR="00C55E12" w:rsidRPr="000C0508" w14:paraId="1408BC20" w14:textId="77777777" w:rsidTr="002415FD">
        <w:trPr>
          <w:trHeight w:val="315"/>
        </w:trPr>
        <w:tc>
          <w:tcPr>
            <w:tcW w:w="2836" w:type="dxa"/>
            <w:hideMark/>
          </w:tcPr>
          <w:p w14:paraId="1E8F9589" w14:textId="77777777" w:rsidR="00C55E12" w:rsidRPr="000C0508" w:rsidRDefault="00C55E12" w:rsidP="00547A87">
            <w:pPr>
              <w:spacing w:before="60" w:after="60"/>
              <w:rPr>
                <w:b/>
                <w:bCs/>
              </w:rPr>
            </w:pPr>
            <w:r w:rsidRPr="000C0508">
              <w:rPr>
                <w:b/>
                <w:bCs/>
              </w:rPr>
              <w:t>Item Dispensed</w:t>
            </w:r>
          </w:p>
        </w:tc>
        <w:tc>
          <w:tcPr>
            <w:tcW w:w="7229" w:type="dxa"/>
          </w:tcPr>
          <w:p w14:paraId="05687979" w14:textId="77777777" w:rsidR="00C55E12" w:rsidRPr="000C0508" w:rsidRDefault="00C55E12" w:rsidP="00547A87">
            <w:pPr>
              <w:spacing w:before="60" w:after="60"/>
            </w:pPr>
            <w:r w:rsidRPr="000C0508">
              <w:t>Number of items dispensed</w:t>
            </w:r>
          </w:p>
        </w:tc>
      </w:tr>
      <w:tr w:rsidR="00C55E12" w:rsidRPr="000C0508" w14:paraId="300D110B" w14:textId="77777777" w:rsidTr="002415FD">
        <w:trPr>
          <w:trHeight w:val="412"/>
        </w:trPr>
        <w:tc>
          <w:tcPr>
            <w:tcW w:w="2836" w:type="dxa"/>
          </w:tcPr>
          <w:p w14:paraId="2E25CEB3" w14:textId="77777777" w:rsidR="00C55E12" w:rsidRPr="000C0508" w:rsidRDefault="00C55E12" w:rsidP="00547A87">
            <w:pPr>
              <w:spacing w:before="60" w:after="60"/>
              <w:rPr>
                <w:b/>
                <w:bCs/>
              </w:rPr>
            </w:pPr>
            <w:r>
              <w:rPr>
                <w:b/>
                <w:bCs/>
              </w:rPr>
              <w:t>Meal</w:t>
            </w:r>
          </w:p>
        </w:tc>
        <w:tc>
          <w:tcPr>
            <w:tcW w:w="7229" w:type="dxa"/>
          </w:tcPr>
          <w:p w14:paraId="7B776FE8" w14:textId="77777777" w:rsidR="00C55E12" w:rsidRPr="000C0508" w:rsidRDefault="00C55E12" w:rsidP="00547A87">
            <w:pPr>
              <w:spacing w:before="60" w:after="60"/>
            </w:pPr>
            <w:r>
              <w:t>Number of meals provided. Used for ‘DOM106 Meals on wheels’ only</w:t>
            </w:r>
          </w:p>
        </w:tc>
      </w:tr>
      <w:tr w:rsidR="00C55E12" w:rsidRPr="000C0508" w14:paraId="7E9F0979" w14:textId="77777777" w:rsidTr="002415FD">
        <w:trPr>
          <w:trHeight w:val="630"/>
        </w:trPr>
        <w:tc>
          <w:tcPr>
            <w:tcW w:w="2836" w:type="dxa"/>
            <w:hideMark/>
          </w:tcPr>
          <w:p w14:paraId="00538CEB" w14:textId="77777777" w:rsidR="00C55E12" w:rsidRPr="000C0508" w:rsidRDefault="00C55E12" w:rsidP="00547A87">
            <w:pPr>
              <w:spacing w:before="60" w:after="60"/>
              <w:rPr>
                <w:b/>
                <w:bCs/>
              </w:rPr>
            </w:pPr>
            <w:r w:rsidRPr="000C0508">
              <w:rPr>
                <w:b/>
                <w:bCs/>
              </w:rPr>
              <w:t>New Client</w:t>
            </w:r>
          </w:p>
        </w:tc>
        <w:tc>
          <w:tcPr>
            <w:tcW w:w="7229" w:type="dxa"/>
          </w:tcPr>
          <w:p w14:paraId="2051D682" w14:textId="77777777" w:rsidR="00C55E12" w:rsidRPr="000C0508" w:rsidRDefault="00C55E12" w:rsidP="00547A87">
            <w:pPr>
              <w:spacing w:before="60" w:after="60"/>
            </w:pPr>
            <w:r w:rsidRPr="000C0508">
              <w:t>Number of clients at end of the reporting period who were not included in the caseload for the previous reporting period (period is annual 1st July - 30th June).</w:t>
            </w:r>
          </w:p>
        </w:tc>
      </w:tr>
      <w:tr w:rsidR="00C55E12" w:rsidRPr="000C0508" w14:paraId="27DDF3BB" w14:textId="77777777" w:rsidTr="002415FD">
        <w:trPr>
          <w:trHeight w:val="945"/>
        </w:trPr>
        <w:tc>
          <w:tcPr>
            <w:tcW w:w="2836" w:type="dxa"/>
            <w:hideMark/>
          </w:tcPr>
          <w:p w14:paraId="363B63CA" w14:textId="77777777" w:rsidR="00C55E12" w:rsidRPr="000C0508" w:rsidRDefault="00C55E12" w:rsidP="00547A87">
            <w:pPr>
              <w:spacing w:before="60" w:after="60"/>
              <w:rPr>
                <w:b/>
                <w:bCs/>
              </w:rPr>
            </w:pPr>
            <w:r w:rsidRPr="000C0508">
              <w:rPr>
                <w:b/>
                <w:bCs/>
              </w:rPr>
              <w:t>Non-Clinical FTE</w:t>
            </w:r>
          </w:p>
        </w:tc>
        <w:tc>
          <w:tcPr>
            <w:tcW w:w="7229" w:type="dxa"/>
          </w:tcPr>
          <w:p w14:paraId="1F70078A" w14:textId="77777777" w:rsidR="00C55E12" w:rsidRPr="000C0508" w:rsidRDefault="00C55E12" w:rsidP="00547A87">
            <w:pPr>
              <w:spacing w:before="60" w:after="60"/>
            </w:pPr>
            <w:r w:rsidRPr="000C0508">
              <w:t>Full-time equivalent staff member (without health professional qualification) directly delivering clinical/therapeutic services to consumers.</w:t>
            </w:r>
            <w:r>
              <w:t xml:space="preserve"> </w:t>
            </w:r>
            <w:r w:rsidRPr="000C0508">
              <w:t>Exclude time that is formally devoted to administrative or management functions eg. half-time co</w:t>
            </w:r>
            <w:r>
              <w:t>-</w:t>
            </w:r>
            <w:r w:rsidRPr="000C0508">
              <w:t>ordination of a community team.</w:t>
            </w:r>
          </w:p>
        </w:tc>
      </w:tr>
      <w:tr w:rsidR="00C55E12" w:rsidRPr="000C0508" w14:paraId="0C427DEA" w14:textId="77777777" w:rsidTr="002415FD">
        <w:trPr>
          <w:trHeight w:val="945"/>
        </w:trPr>
        <w:tc>
          <w:tcPr>
            <w:tcW w:w="2836" w:type="dxa"/>
            <w:hideMark/>
          </w:tcPr>
          <w:p w14:paraId="08DC0210" w14:textId="77777777" w:rsidR="00C55E12" w:rsidRPr="000C0508" w:rsidRDefault="00C55E12" w:rsidP="00547A87">
            <w:pPr>
              <w:spacing w:before="60" w:after="60"/>
              <w:rPr>
                <w:b/>
                <w:bCs/>
              </w:rPr>
            </w:pPr>
            <w:r w:rsidRPr="000C0508">
              <w:rPr>
                <w:b/>
                <w:bCs/>
              </w:rPr>
              <w:t>Occupied bed day</w:t>
            </w:r>
          </w:p>
        </w:tc>
        <w:tc>
          <w:tcPr>
            <w:tcW w:w="7229" w:type="dxa"/>
          </w:tcPr>
          <w:p w14:paraId="7B47CAF8" w14:textId="77777777" w:rsidR="00C55E12" w:rsidRPr="000C0508" w:rsidRDefault="00C55E12" w:rsidP="00547A87">
            <w:pPr>
              <w:spacing w:before="60" w:after="60"/>
            </w:pPr>
            <w:r w:rsidRPr="000C0508">
              <w:t>Total number of beds that are occupied each day over a designated period.</w:t>
            </w:r>
            <w:r>
              <w:t xml:space="preserve"> </w:t>
            </w:r>
            <w:r w:rsidRPr="000C0508">
              <w:t>For reporting purposes, count beds occupied as at 12 midnight of each day. Leave days, when the bed is not occupied at midnight are not counted. Counting formula is discharge date less admission date less leave days.</w:t>
            </w:r>
          </w:p>
        </w:tc>
      </w:tr>
      <w:tr w:rsidR="00C55E12" w:rsidRPr="000C0508" w14:paraId="38C39C32" w14:textId="77777777" w:rsidTr="002415FD">
        <w:trPr>
          <w:trHeight w:val="423"/>
        </w:trPr>
        <w:tc>
          <w:tcPr>
            <w:tcW w:w="2836" w:type="dxa"/>
            <w:hideMark/>
          </w:tcPr>
          <w:p w14:paraId="6DE52A2F" w14:textId="77777777" w:rsidR="00C55E12" w:rsidRPr="000C0508" w:rsidRDefault="00C55E12" w:rsidP="00547A87">
            <w:pPr>
              <w:spacing w:before="60" w:after="60"/>
              <w:rPr>
                <w:b/>
                <w:bCs/>
              </w:rPr>
            </w:pPr>
            <w:r w:rsidRPr="000C0508">
              <w:rPr>
                <w:b/>
                <w:bCs/>
              </w:rPr>
              <w:t>Other Clinical FTE</w:t>
            </w:r>
          </w:p>
        </w:tc>
        <w:tc>
          <w:tcPr>
            <w:tcW w:w="7229" w:type="dxa"/>
          </w:tcPr>
          <w:p w14:paraId="0B90456A" w14:textId="77777777" w:rsidR="00C55E12" w:rsidRPr="000C0508" w:rsidRDefault="00C55E12" w:rsidP="00547A87">
            <w:pPr>
              <w:spacing w:before="60" w:after="60"/>
            </w:pPr>
            <w:r w:rsidRPr="000C0508">
              <w:t>Full-time equivalent clinical staff member (health professional - other than senior medical officer) involved in the direct delivery of services to consumers.</w:t>
            </w:r>
            <w:r>
              <w:t xml:space="preserve"> </w:t>
            </w:r>
            <w:r w:rsidRPr="000C0508">
              <w:t>Exclude time that is formally devoted to administrative or management functions eg. half-time coordination of a community team.</w:t>
            </w:r>
            <w:r>
              <w:t xml:space="preserve"> </w:t>
            </w:r>
            <w:r w:rsidRPr="000C0508">
              <w:t>This includes the non</w:t>
            </w:r>
            <w:r>
              <w:t>-</w:t>
            </w:r>
            <w:r w:rsidRPr="000C0508">
              <w:t xml:space="preserve">clinical training component of </w:t>
            </w:r>
            <w:r>
              <w:t>R</w:t>
            </w:r>
            <w:r w:rsidRPr="000C0508">
              <w:t xml:space="preserve">egistrar and </w:t>
            </w:r>
            <w:r>
              <w:t>H</w:t>
            </w:r>
            <w:r w:rsidRPr="000C0508">
              <w:t xml:space="preserve">ouse </w:t>
            </w:r>
            <w:r>
              <w:t>Officer</w:t>
            </w:r>
            <w:r w:rsidRPr="000C0508">
              <w:t xml:space="preserve"> time.</w:t>
            </w:r>
          </w:p>
        </w:tc>
      </w:tr>
      <w:tr w:rsidR="00C55E12" w:rsidRPr="000C0508" w14:paraId="633B4152" w14:textId="77777777" w:rsidTr="002415FD">
        <w:trPr>
          <w:trHeight w:val="315"/>
        </w:trPr>
        <w:tc>
          <w:tcPr>
            <w:tcW w:w="2836" w:type="dxa"/>
          </w:tcPr>
          <w:p w14:paraId="434BF5D7" w14:textId="77777777" w:rsidR="00C55E12" w:rsidRPr="000C0508" w:rsidRDefault="00C55E12" w:rsidP="00547A87">
            <w:pPr>
              <w:spacing w:before="60" w:after="60"/>
              <w:rPr>
                <w:b/>
                <w:bCs/>
              </w:rPr>
            </w:pPr>
            <w:r>
              <w:rPr>
                <w:b/>
                <w:bCs/>
              </w:rPr>
              <w:t>Package of Treatment</w:t>
            </w:r>
          </w:p>
        </w:tc>
        <w:tc>
          <w:tcPr>
            <w:tcW w:w="7229" w:type="dxa"/>
          </w:tcPr>
          <w:p w14:paraId="5423247A" w14:textId="77777777" w:rsidR="00C55E12" w:rsidRPr="00FE5F95" w:rsidRDefault="00C55E12" w:rsidP="00547A87">
            <w:pPr>
              <w:rPr>
                <w:rFonts w:cs="Arial"/>
                <w:szCs w:val="22"/>
              </w:rPr>
            </w:pPr>
            <w:r w:rsidRPr="00FE5F95">
              <w:rPr>
                <w:rFonts w:cs="Arial"/>
                <w:szCs w:val="22"/>
              </w:rPr>
              <w:t>Service purchased on a partial capitation basis (some capitated, some fee for service)</w:t>
            </w:r>
          </w:p>
        </w:tc>
      </w:tr>
      <w:tr w:rsidR="00C55E12" w:rsidRPr="000C0508" w14:paraId="03DB00C4" w14:textId="77777777" w:rsidTr="002415FD">
        <w:trPr>
          <w:trHeight w:val="315"/>
        </w:trPr>
        <w:tc>
          <w:tcPr>
            <w:tcW w:w="2836" w:type="dxa"/>
            <w:hideMark/>
          </w:tcPr>
          <w:p w14:paraId="7345E14B" w14:textId="77777777" w:rsidR="00C55E12" w:rsidRPr="000C0508" w:rsidRDefault="00C55E12" w:rsidP="00547A87">
            <w:pPr>
              <w:spacing w:before="60" w:after="60"/>
              <w:rPr>
                <w:b/>
                <w:bCs/>
              </w:rPr>
            </w:pPr>
            <w:r w:rsidRPr="000C0508">
              <w:rPr>
                <w:b/>
                <w:bCs/>
              </w:rPr>
              <w:t>Patient</w:t>
            </w:r>
          </w:p>
        </w:tc>
        <w:tc>
          <w:tcPr>
            <w:tcW w:w="7229" w:type="dxa"/>
          </w:tcPr>
          <w:p w14:paraId="5AE0F9C6" w14:textId="77777777" w:rsidR="00C55E12" w:rsidRPr="000C0508" w:rsidRDefault="00C55E12" w:rsidP="00547A87">
            <w:pPr>
              <w:spacing w:before="60" w:after="60"/>
            </w:pPr>
            <w:r>
              <w:t>Unique</w:t>
            </w:r>
            <w:r w:rsidRPr="000C0508">
              <w:t xml:space="preserve"> patients receiving treatments </w:t>
            </w:r>
            <w:r>
              <w:t>in</w:t>
            </w:r>
            <w:r w:rsidRPr="000C0508">
              <w:t xml:space="preserve"> the monthly reporting period</w:t>
            </w:r>
            <w:r>
              <w:rPr>
                <w:rFonts w:cs="Arial"/>
                <w:szCs w:val="22"/>
              </w:rPr>
              <w:t xml:space="preserve"> </w:t>
            </w:r>
            <w:r w:rsidRPr="00B01466">
              <w:rPr>
                <w:rFonts w:cs="Arial"/>
                <w:szCs w:val="22"/>
              </w:rPr>
              <w:t>(eg, a patient who received 8 treatments in May</w:t>
            </w:r>
            <w:r>
              <w:rPr>
                <w:rFonts w:cs="Arial"/>
                <w:szCs w:val="22"/>
              </w:rPr>
              <w:t xml:space="preserve"> is counted as 1 patient</w:t>
            </w:r>
            <w:r w:rsidRPr="00B01466">
              <w:rPr>
                <w:rFonts w:cs="Arial"/>
                <w:szCs w:val="22"/>
              </w:rPr>
              <w:t>)</w:t>
            </w:r>
            <w:r>
              <w:rPr>
                <w:rFonts w:cs="Arial"/>
                <w:szCs w:val="22"/>
              </w:rPr>
              <w:t>.</w:t>
            </w:r>
          </w:p>
        </w:tc>
      </w:tr>
      <w:tr w:rsidR="00C55E12" w:rsidRPr="000C0508" w14:paraId="719619AB" w14:textId="77777777" w:rsidTr="002415FD">
        <w:trPr>
          <w:trHeight w:val="315"/>
        </w:trPr>
        <w:tc>
          <w:tcPr>
            <w:tcW w:w="2836" w:type="dxa"/>
          </w:tcPr>
          <w:p w14:paraId="03B91EE5" w14:textId="77777777" w:rsidR="00C55E12" w:rsidRPr="000C0508" w:rsidRDefault="00C55E12" w:rsidP="00547A87">
            <w:pPr>
              <w:spacing w:before="60" w:after="60"/>
              <w:rPr>
                <w:b/>
                <w:bCs/>
              </w:rPr>
            </w:pPr>
            <w:r w:rsidRPr="009C2E2A">
              <w:rPr>
                <w:b/>
                <w:bCs/>
              </w:rPr>
              <w:t>Percentage of Population enrolled</w:t>
            </w:r>
          </w:p>
        </w:tc>
        <w:tc>
          <w:tcPr>
            <w:tcW w:w="7229" w:type="dxa"/>
          </w:tcPr>
          <w:p w14:paraId="6FE2F9CD" w14:textId="77777777" w:rsidR="00C55E12" w:rsidRPr="0099286C" w:rsidRDefault="00C55E12" w:rsidP="00547A87">
            <w:pPr>
              <w:spacing w:before="60" w:after="60"/>
            </w:pPr>
            <w:r w:rsidRPr="00765334">
              <w:rPr>
                <w:bCs/>
              </w:rPr>
              <w:t>The level of funding paid to PHOs is dependent on the percentage of the eligible number of Care Plus patients receiving Care Plus services.</w:t>
            </w:r>
            <w:r>
              <w:rPr>
                <w:bCs/>
              </w:rPr>
              <w:t xml:space="preserve"> </w:t>
            </w:r>
            <w:r w:rsidRPr="00765334">
              <w:rPr>
                <w:bCs/>
              </w:rPr>
              <w:t xml:space="preserve">Used for </w:t>
            </w:r>
            <w:r>
              <w:rPr>
                <w:bCs/>
              </w:rPr>
              <w:t>‘</w:t>
            </w:r>
            <w:r w:rsidRPr="00765334">
              <w:rPr>
                <w:bCs/>
              </w:rPr>
              <w:t>PHOC0011'</w:t>
            </w:r>
            <w:r>
              <w:rPr>
                <w:bCs/>
              </w:rPr>
              <w:t xml:space="preserve"> </w:t>
            </w:r>
            <w:r w:rsidRPr="00765334">
              <w:rPr>
                <w:bCs/>
              </w:rPr>
              <w:t>Care Plus Services' only.</w:t>
            </w:r>
          </w:p>
        </w:tc>
      </w:tr>
      <w:tr w:rsidR="00C55E12" w:rsidRPr="000C0508" w14:paraId="32CD81B6" w14:textId="77777777" w:rsidTr="002415FD">
        <w:trPr>
          <w:trHeight w:val="315"/>
        </w:trPr>
        <w:tc>
          <w:tcPr>
            <w:tcW w:w="2836" w:type="dxa"/>
            <w:hideMark/>
          </w:tcPr>
          <w:p w14:paraId="26639A0D" w14:textId="77777777" w:rsidR="00C55E12" w:rsidRPr="000C0508" w:rsidRDefault="00C55E12" w:rsidP="00547A87">
            <w:pPr>
              <w:spacing w:before="60" w:after="60"/>
              <w:rPr>
                <w:b/>
                <w:bCs/>
              </w:rPr>
            </w:pPr>
            <w:r w:rsidRPr="000C0508">
              <w:rPr>
                <w:b/>
                <w:bCs/>
              </w:rPr>
              <w:t>Person enrolled</w:t>
            </w:r>
          </w:p>
        </w:tc>
        <w:tc>
          <w:tcPr>
            <w:tcW w:w="7229" w:type="dxa"/>
          </w:tcPr>
          <w:p w14:paraId="5619B1F9" w14:textId="77777777" w:rsidR="00C55E12" w:rsidRPr="000C0508" w:rsidRDefault="00C55E12" w:rsidP="00547A87">
            <w:pPr>
              <w:spacing w:before="60" w:after="60"/>
            </w:pPr>
            <w:r w:rsidRPr="000C0508">
              <w:t>Number of people enrolled</w:t>
            </w:r>
          </w:p>
        </w:tc>
      </w:tr>
      <w:tr w:rsidR="00C55E12" w:rsidRPr="000C0508" w14:paraId="07777C46" w14:textId="77777777" w:rsidTr="002415FD">
        <w:trPr>
          <w:trHeight w:val="315"/>
        </w:trPr>
        <w:tc>
          <w:tcPr>
            <w:tcW w:w="2836" w:type="dxa"/>
          </w:tcPr>
          <w:p w14:paraId="10F5FE4F" w14:textId="77777777" w:rsidR="00C55E12" w:rsidRPr="000C0508" w:rsidRDefault="00C55E12" w:rsidP="00547A87">
            <w:pPr>
              <w:spacing w:before="60" w:after="60"/>
              <w:rPr>
                <w:b/>
                <w:bCs/>
              </w:rPr>
            </w:pPr>
            <w:r>
              <w:rPr>
                <w:b/>
                <w:bCs/>
              </w:rPr>
              <w:t>Prescription item</w:t>
            </w:r>
          </w:p>
        </w:tc>
        <w:tc>
          <w:tcPr>
            <w:tcW w:w="7229" w:type="dxa"/>
          </w:tcPr>
          <w:p w14:paraId="4829D259" w14:textId="77777777" w:rsidR="00C55E12" w:rsidRPr="000C0508" w:rsidRDefault="00C55E12" w:rsidP="00547A87">
            <w:pPr>
              <w:spacing w:before="60" w:after="60"/>
            </w:pPr>
            <w:r>
              <w:t xml:space="preserve">Number of items dispensed. Used for ‘PH1032 Paediatric </w:t>
            </w:r>
            <w:proofErr w:type="spellStart"/>
            <w:r>
              <w:t>Seravit</w:t>
            </w:r>
            <w:proofErr w:type="spellEnd"/>
            <w:r>
              <w:t xml:space="preserve"> wholesaler dispersal’ only.</w:t>
            </w:r>
          </w:p>
        </w:tc>
      </w:tr>
      <w:tr w:rsidR="00C55E12" w:rsidRPr="000C0508" w14:paraId="7191C422" w14:textId="77777777" w:rsidTr="002415FD">
        <w:trPr>
          <w:trHeight w:val="630"/>
        </w:trPr>
        <w:tc>
          <w:tcPr>
            <w:tcW w:w="2836" w:type="dxa"/>
            <w:hideMark/>
          </w:tcPr>
          <w:p w14:paraId="0DE7380A" w14:textId="77777777" w:rsidR="00C55E12" w:rsidRPr="000C0508" w:rsidRDefault="00C55E12" w:rsidP="00547A87">
            <w:pPr>
              <w:spacing w:before="60" w:after="60"/>
              <w:rPr>
                <w:b/>
                <w:bCs/>
              </w:rPr>
            </w:pPr>
            <w:r w:rsidRPr="000C0508">
              <w:rPr>
                <w:b/>
                <w:bCs/>
              </w:rPr>
              <w:t>Procedure</w:t>
            </w:r>
          </w:p>
        </w:tc>
        <w:tc>
          <w:tcPr>
            <w:tcW w:w="7229" w:type="dxa"/>
          </w:tcPr>
          <w:p w14:paraId="7A5D8A5B" w14:textId="77777777" w:rsidR="00C55E12" w:rsidRPr="000C0508" w:rsidRDefault="00C55E12" w:rsidP="00547A87">
            <w:pPr>
              <w:spacing w:before="60" w:after="60"/>
            </w:pPr>
            <w:r w:rsidRPr="000C0508">
              <w:t>The number of individual operative/diagnostic/assessment procedures in the period (period is annual 1st July - 30th June).</w:t>
            </w:r>
          </w:p>
        </w:tc>
      </w:tr>
      <w:tr w:rsidR="00C55E12" w:rsidRPr="000C0508" w14:paraId="78E59ABC" w14:textId="77777777" w:rsidTr="002415FD">
        <w:trPr>
          <w:trHeight w:val="630"/>
        </w:trPr>
        <w:tc>
          <w:tcPr>
            <w:tcW w:w="2836" w:type="dxa"/>
            <w:hideMark/>
          </w:tcPr>
          <w:p w14:paraId="001E4EF5" w14:textId="77777777" w:rsidR="00C55E12" w:rsidRPr="000C0508" w:rsidRDefault="00C55E12" w:rsidP="00547A87">
            <w:pPr>
              <w:spacing w:before="60" w:after="60"/>
              <w:rPr>
                <w:b/>
                <w:bCs/>
              </w:rPr>
            </w:pPr>
            <w:r w:rsidRPr="000C0508">
              <w:rPr>
                <w:b/>
                <w:bCs/>
              </w:rPr>
              <w:t>Programme</w:t>
            </w:r>
          </w:p>
        </w:tc>
        <w:tc>
          <w:tcPr>
            <w:tcW w:w="7229" w:type="dxa"/>
          </w:tcPr>
          <w:p w14:paraId="25C7B132" w14:textId="77777777" w:rsidR="00C55E12" w:rsidRPr="000C0508" w:rsidRDefault="00C55E12" w:rsidP="00547A87">
            <w:pPr>
              <w:spacing w:before="60" w:after="60"/>
            </w:pPr>
            <w:r w:rsidRPr="000C0508">
              <w:t>A set of related measures or activities that is purchased in a block arrangement and is uniquely agreed at a local level</w:t>
            </w:r>
          </w:p>
        </w:tc>
      </w:tr>
      <w:tr w:rsidR="00C55E12" w:rsidRPr="000C0508" w14:paraId="18609BB9" w14:textId="77777777" w:rsidTr="002415FD">
        <w:trPr>
          <w:trHeight w:val="315"/>
        </w:trPr>
        <w:tc>
          <w:tcPr>
            <w:tcW w:w="2836" w:type="dxa"/>
            <w:hideMark/>
          </w:tcPr>
          <w:p w14:paraId="1B6E2924" w14:textId="77777777" w:rsidR="00C55E12" w:rsidRPr="000C0508" w:rsidRDefault="00C55E12" w:rsidP="00547A87">
            <w:pPr>
              <w:spacing w:before="60" w:after="60"/>
              <w:rPr>
                <w:b/>
                <w:bCs/>
              </w:rPr>
            </w:pPr>
            <w:r w:rsidRPr="000C0508">
              <w:rPr>
                <w:b/>
                <w:bCs/>
              </w:rPr>
              <w:t>Project</w:t>
            </w:r>
          </w:p>
        </w:tc>
        <w:tc>
          <w:tcPr>
            <w:tcW w:w="7229" w:type="dxa"/>
          </w:tcPr>
          <w:p w14:paraId="6C2D13E1" w14:textId="77777777" w:rsidR="00C55E12" w:rsidRPr="000C0508" w:rsidRDefault="00C55E12" w:rsidP="00547A87">
            <w:pPr>
              <w:spacing w:before="60" w:after="60"/>
            </w:pPr>
            <w:r w:rsidRPr="000C0508">
              <w:t>Agreed lump sum amount.</w:t>
            </w:r>
            <w:r>
              <w:t xml:space="preserve"> </w:t>
            </w:r>
            <w:r w:rsidRPr="000C0508">
              <w:t>Service purchased in a block arrangement</w:t>
            </w:r>
          </w:p>
        </w:tc>
      </w:tr>
      <w:tr w:rsidR="00C55E12" w:rsidRPr="000C0508" w14:paraId="0B0E2597" w14:textId="77777777" w:rsidTr="002415FD">
        <w:trPr>
          <w:trHeight w:val="945"/>
        </w:trPr>
        <w:tc>
          <w:tcPr>
            <w:tcW w:w="2836" w:type="dxa"/>
            <w:hideMark/>
          </w:tcPr>
          <w:p w14:paraId="4D42BAC8" w14:textId="77777777" w:rsidR="00C55E12" w:rsidRPr="000C0508" w:rsidRDefault="00C55E12" w:rsidP="00547A87">
            <w:pPr>
              <w:spacing w:before="60" w:after="60"/>
              <w:rPr>
                <w:b/>
                <w:bCs/>
              </w:rPr>
            </w:pPr>
            <w:r w:rsidRPr="000C0508">
              <w:rPr>
                <w:b/>
                <w:bCs/>
              </w:rPr>
              <w:lastRenderedPageBreak/>
              <w:t>Radiotherapy volume</w:t>
            </w:r>
          </w:p>
        </w:tc>
        <w:tc>
          <w:tcPr>
            <w:tcW w:w="7229" w:type="dxa"/>
          </w:tcPr>
          <w:p w14:paraId="14047BCD" w14:textId="77777777" w:rsidR="00C55E12" w:rsidRPr="000C0508" w:rsidRDefault="00C55E12" w:rsidP="00547A87">
            <w:pPr>
              <w:spacing w:before="60" w:after="60"/>
            </w:pPr>
            <w:r w:rsidRPr="000C0508">
              <w:t>The volume count of radiotherapy events in one day is up to a maximum of 10 if there are multiple cancer sites to be treated. The specialist may or may not be in attendance. Includes all planning and simulation, and radiation treatment</w:t>
            </w:r>
          </w:p>
        </w:tc>
      </w:tr>
      <w:tr w:rsidR="00C55E12" w:rsidRPr="000C0508" w14:paraId="011F1725" w14:textId="77777777" w:rsidTr="002415FD">
        <w:trPr>
          <w:trHeight w:val="630"/>
        </w:trPr>
        <w:tc>
          <w:tcPr>
            <w:tcW w:w="2836" w:type="dxa"/>
            <w:hideMark/>
          </w:tcPr>
          <w:p w14:paraId="38C4DB96" w14:textId="77777777" w:rsidR="00C55E12" w:rsidRPr="000C0508" w:rsidRDefault="00C55E12" w:rsidP="00547A87">
            <w:pPr>
              <w:spacing w:before="60" w:after="60"/>
              <w:rPr>
                <w:b/>
                <w:bCs/>
              </w:rPr>
            </w:pPr>
            <w:r w:rsidRPr="000C0508">
              <w:rPr>
                <w:b/>
                <w:bCs/>
              </w:rPr>
              <w:t>Relative Value Unit</w:t>
            </w:r>
          </w:p>
        </w:tc>
        <w:tc>
          <w:tcPr>
            <w:tcW w:w="7229" w:type="dxa"/>
          </w:tcPr>
          <w:p w14:paraId="7328D923" w14:textId="77777777" w:rsidR="00C55E12" w:rsidRPr="000C0508" w:rsidRDefault="00C55E12" w:rsidP="00547A87">
            <w:pPr>
              <w:spacing w:before="60" w:after="60"/>
            </w:pPr>
            <w:r w:rsidRPr="000C0508">
              <w:t>An individual operative/diagnostic/assessment</w:t>
            </w:r>
            <w:r>
              <w:t>/</w:t>
            </w:r>
            <w:r w:rsidRPr="000C0508">
              <w:t xml:space="preserve">procedure completed </w:t>
            </w:r>
            <w:r>
              <w:t>as defined in the appropriate service specification.</w:t>
            </w:r>
          </w:p>
        </w:tc>
      </w:tr>
      <w:tr w:rsidR="00C55E12" w:rsidRPr="000C0508" w14:paraId="7C678F30" w14:textId="77777777" w:rsidTr="002415FD">
        <w:trPr>
          <w:trHeight w:val="1260"/>
        </w:trPr>
        <w:tc>
          <w:tcPr>
            <w:tcW w:w="2836" w:type="dxa"/>
            <w:hideMark/>
          </w:tcPr>
          <w:p w14:paraId="20C78AA2" w14:textId="77777777" w:rsidR="00C55E12" w:rsidRPr="000C0508" w:rsidRDefault="00C55E12" w:rsidP="00547A87">
            <w:pPr>
              <w:spacing w:before="60" w:after="60"/>
              <w:rPr>
                <w:b/>
                <w:bCs/>
              </w:rPr>
            </w:pPr>
            <w:r w:rsidRPr="000C0508">
              <w:rPr>
                <w:b/>
                <w:bCs/>
              </w:rPr>
              <w:t>Residential bed day</w:t>
            </w:r>
          </w:p>
        </w:tc>
        <w:tc>
          <w:tcPr>
            <w:tcW w:w="7229" w:type="dxa"/>
          </w:tcPr>
          <w:p w14:paraId="221E386E" w14:textId="77777777" w:rsidR="00C55E12" w:rsidRPr="000C0508" w:rsidRDefault="00C55E12" w:rsidP="00547A87">
            <w:pPr>
              <w:spacing w:before="60" w:after="60"/>
            </w:pPr>
            <w:r w:rsidRPr="000C0508">
              <w:t xml:space="preserve">Total number of beds that are occupied each day in a community residential facility over a designated period. Part days at start and end of the period are both counted </w:t>
            </w:r>
            <w:r w:rsidRPr="000C0508">
              <w:rPr>
                <w:u w:val="single"/>
              </w:rPr>
              <w:t>as full days</w:t>
            </w:r>
            <w:r w:rsidRPr="000C0508">
              <w:t>. Leave days up to an agreed maximum are also counted. Counting formula is service end date</w:t>
            </w:r>
            <w:r>
              <w:t>,</w:t>
            </w:r>
            <w:r w:rsidRPr="000C0508">
              <w:t xml:space="preserve"> less service start date</w:t>
            </w:r>
            <w:r>
              <w:t>,</w:t>
            </w:r>
            <w:r w:rsidRPr="000C0508">
              <w:t xml:space="preserve"> plus one</w:t>
            </w:r>
            <w:r>
              <w:t xml:space="preserve"> </w:t>
            </w:r>
            <w:r w:rsidRPr="000C0508">
              <w:t>(1) less leave days over agreed maximum</w:t>
            </w:r>
          </w:p>
        </w:tc>
      </w:tr>
      <w:tr w:rsidR="00C55E12" w:rsidRPr="000C0508" w14:paraId="1CAE3DB6" w14:textId="77777777" w:rsidTr="002415FD">
        <w:trPr>
          <w:trHeight w:val="315"/>
        </w:trPr>
        <w:tc>
          <w:tcPr>
            <w:tcW w:w="2836" w:type="dxa"/>
            <w:hideMark/>
          </w:tcPr>
          <w:p w14:paraId="2BED27FA" w14:textId="77777777" w:rsidR="00C55E12" w:rsidRPr="000C0508" w:rsidRDefault="00C55E12" w:rsidP="00547A87">
            <w:pPr>
              <w:spacing w:before="60" w:after="60"/>
              <w:rPr>
                <w:b/>
                <w:bCs/>
              </w:rPr>
            </w:pPr>
            <w:r w:rsidRPr="000C0508">
              <w:rPr>
                <w:b/>
                <w:bCs/>
              </w:rPr>
              <w:t>Review</w:t>
            </w:r>
          </w:p>
        </w:tc>
        <w:tc>
          <w:tcPr>
            <w:tcW w:w="7229" w:type="dxa"/>
          </w:tcPr>
          <w:p w14:paraId="44236388" w14:textId="77777777" w:rsidR="00C55E12" w:rsidRPr="000C0508" w:rsidRDefault="00C55E12" w:rsidP="00547A87">
            <w:pPr>
              <w:spacing w:before="60" w:after="60"/>
            </w:pPr>
            <w:r w:rsidRPr="000C0508">
              <w:t xml:space="preserve">Number of Reviews </w:t>
            </w:r>
          </w:p>
        </w:tc>
      </w:tr>
      <w:tr w:rsidR="00C55E12" w:rsidRPr="000C0508" w14:paraId="535E5DDA" w14:textId="77777777" w:rsidTr="002415FD">
        <w:trPr>
          <w:trHeight w:val="1260"/>
        </w:trPr>
        <w:tc>
          <w:tcPr>
            <w:tcW w:w="2836" w:type="dxa"/>
            <w:hideMark/>
          </w:tcPr>
          <w:p w14:paraId="638238C5" w14:textId="77777777" w:rsidR="00C55E12" w:rsidRPr="000C0508" w:rsidRDefault="00C55E12" w:rsidP="00547A87">
            <w:pPr>
              <w:spacing w:before="60" w:after="60"/>
              <w:rPr>
                <w:b/>
                <w:bCs/>
              </w:rPr>
            </w:pPr>
            <w:r w:rsidRPr="000C0508">
              <w:rPr>
                <w:b/>
                <w:bCs/>
              </w:rPr>
              <w:t>Senior Medical Clinical FTE</w:t>
            </w:r>
          </w:p>
        </w:tc>
        <w:tc>
          <w:tcPr>
            <w:tcW w:w="7229" w:type="dxa"/>
          </w:tcPr>
          <w:p w14:paraId="15C8CC9D" w14:textId="77777777" w:rsidR="00C55E12" w:rsidRPr="000C0508" w:rsidRDefault="00C55E12" w:rsidP="00547A87">
            <w:pPr>
              <w:spacing w:before="60" w:after="60"/>
            </w:pPr>
            <w:r w:rsidRPr="000C0508">
              <w:t>Full-time equivalent senior medical staff member involved in the direct delivery of services to consumers.</w:t>
            </w:r>
            <w:r>
              <w:t xml:space="preserve"> </w:t>
            </w:r>
            <w:r w:rsidRPr="000C0508">
              <w:t>Exclude time that is formally devoted to administrative or management functions eg. half-time coordination of a community team.</w:t>
            </w:r>
            <w:r>
              <w:t xml:space="preserve"> </w:t>
            </w:r>
            <w:r w:rsidRPr="000C0508">
              <w:t>This includes Director Area Mental Health Service (DAMHS) positions.</w:t>
            </w:r>
            <w:r>
              <w:t xml:space="preserve"> </w:t>
            </w:r>
            <w:r w:rsidRPr="000C0508">
              <w:t xml:space="preserve">Registrars and </w:t>
            </w:r>
            <w:r>
              <w:t>H</w:t>
            </w:r>
            <w:r w:rsidRPr="000C0508">
              <w:t xml:space="preserve">ouse </w:t>
            </w:r>
            <w:r>
              <w:t>Officers</w:t>
            </w:r>
            <w:r w:rsidRPr="000C0508">
              <w:t xml:space="preserve"> are specifically excluded.</w:t>
            </w:r>
          </w:p>
        </w:tc>
      </w:tr>
      <w:tr w:rsidR="00C55E12" w:rsidRPr="000C0508" w14:paraId="5FCAF807" w14:textId="77777777" w:rsidTr="002415FD">
        <w:trPr>
          <w:trHeight w:val="315"/>
        </w:trPr>
        <w:tc>
          <w:tcPr>
            <w:tcW w:w="2836" w:type="dxa"/>
            <w:hideMark/>
          </w:tcPr>
          <w:p w14:paraId="66436496" w14:textId="77777777" w:rsidR="00C55E12" w:rsidRPr="000C0508" w:rsidRDefault="00C55E12" w:rsidP="00547A87">
            <w:pPr>
              <w:spacing w:before="60" w:after="60"/>
              <w:rPr>
                <w:b/>
                <w:bCs/>
              </w:rPr>
            </w:pPr>
            <w:r w:rsidRPr="000C0508">
              <w:rPr>
                <w:b/>
                <w:bCs/>
              </w:rPr>
              <w:t>Service</w:t>
            </w:r>
          </w:p>
        </w:tc>
        <w:tc>
          <w:tcPr>
            <w:tcW w:w="7229" w:type="dxa"/>
          </w:tcPr>
          <w:p w14:paraId="4276BA04" w14:textId="77777777" w:rsidR="00C55E12" w:rsidRPr="000C0508" w:rsidRDefault="00C55E12" w:rsidP="00547A87">
            <w:pPr>
              <w:spacing w:before="60" w:after="60"/>
            </w:pPr>
            <w:r w:rsidRPr="000C0508">
              <w:t>Service purchased in a block arrangement uniquely agreed between the parties to the agreement</w:t>
            </w:r>
          </w:p>
        </w:tc>
      </w:tr>
      <w:tr w:rsidR="00C55E12" w:rsidRPr="000C0508" w14:paraId="6A547A2C" w14:textId="77777777" w:rsidTr="002415FD">
        <w:trPr>
          <w:trHeight w:val="315"/>
        </w:trPr>
        <w:tc>
          <w:tcPr>
            <w:tcW w:w="2836" w:type="dxa"/>
            <w:hideMark/>
          </w:tcPr>
          <w:p w14:paraId="089A16D0" w14:textId="77777777" w:rsidR="00C55E12" w:rsidRPr="000C0508" w:rsidRDefault="00C55E12" w:rsidP="00547A87">
            <w:pPr>
              <w:spacing w:before="60" w:after="60"/>
              <w:rPr>
                <w:b/>
                <w:bCs/>
              </w:rPr>
            </w:pPr>
            <w:r w:rsidRPr="000C0508">
              <w:rPr>
                <w:b/>
                <w:bCs/>
              </w:rPr>
              <w:t>Subsidy</w:t>
            </w:r>
          </w:p>
        </w:tc>
        <w:tc>
          <w:tcPr>
            <w:tcW w:w="7229" w:type="dxa"/>
          </w:tcPr>
          <w:p w14:paraId="1A69DD1E" w14:textId="77777777" w:rsidR="00C55E12" w:rsidRPr="000C0508" w:rsidRDefault="00C55E12" w:rsidP="00547A87">
            <w:pPr>
              <w:spacing w:before="60" w:after="60"/>
            </w:pPr>
            <w:r w:rsidRPr="000C0508">
              <w:t>Number of subsidies granted.</w:t>
            </w:r>
          </w:p>
        </w:tc>
      </w:tr>
      <w:tr w:rsidR="00C55E12" w:rsidRPr="000C0508" w14:paraId="6591A13B" w14:textId="77777777" w:rsidTr="002415FD">
        <w:trPr>
          <w:trHeight w:val="945"/>
        </w:trPr>
        <w:tc>
          <w:tcPr>
            <w:tcW w:w="2836" w:type="dxa"/>
            <w:hideMark/>
          </w:tcPr>
          <w:p w14:paraId="45DFE59E" w14:textId="77777777" w:rsidR="00C55E12" w:rsidRPr="000C0508" w:rsidRDefault="00C55E12" w:rsidP="00547A87">
            <w:pPr>
              <w:spacing w:before="60" w:after="60"/>
              <w:rPr>
                <w:b/>
                <w:bCs/>
              </w:rPr>
            </w:pPr>
            <w:r w:rsidRPr="000C0508">
              <w:rPr>
                <w:b/>
                <w:bCs/>
              </w:rPr>
              <w:t>Test</w:t>
            </w:r>
          </w:p>
        </w:tc>
        <w:tc>
          <w:tcPr>
            <w:tcW w:w="7229" w:type="dxa"/>
          </w:tcPr>
          <w:p w14:paraId="3978AD00" w14:textId="77777777" w:rsidR="00C55E12" w:rsidRPr="000C0508" w:rsidRDefault="00C55E12" w:rsidP="00547A87">
            <w:pPr>
              <w:spacing w:before="60" w:after="60"/>
            </w:pPr>
            <w:r w:rsidRPr="000C0508">
              <w:t>Number of separate tests purchased.</w:t>
            </w:r>
            <w:r>
              <w:t xml:space="preserve"> </w:t>
            </w:r>
            <w:r w:rsidRPr="000C0508">
              <w:t>(eg</w:t>
            </w:r>
            <w:r>
              <w:t>,</w:t>
            </w:r>
            <w:r w:rsidRPr="000C0508">
              <w:t xml:space="preserve"> one person receiving an ECG and a stress test equates to two tests). For laboratory a group test such as Liver function is counted as 1 test not each individual component. For test sets refer Laboratory </w:t>
            </w:r>
            <w:r>
              <w:t>Agreement</w:t>
            </w:r>
            <w:r w:rsidRPr="000C0508">
              <w:t xml:space="preserve"> schedule.</w:t>
            </w:r>
          </w:p>
        </w:tc>
      </w:tr>
      <w:tr w:rsidR="00C55E12" w:rsidRPr="000C0508" w14:paraId="19E51227" w14:textId="77777777" w:rsidTr="002415FD">
        <w:trPr>
          <w:trHeight w:val="315"/>
        </w:trPr>
        <w:tc>
          <w:tcPr>
            <w:tcW w:w="2836" w:type="dxa"/>
            <w:hideMark/>
          </w:tcPr>
          <w:p w14:paraId="1EE3322C" w14:textId="77777777" w:rsidR="00C55E12" w:rsidRPr="000C0508" w:rsidRDefault="00C55E12" w:rsidP="00547A87">
            <w:pPr>
              <w:spacing w:before="60" w:after="60"/>
              <w:rPr>
                <w:b/>
                <w:bCs/>
              </w:rPr>
            </w:pPr>
            <w:r w:rsidRPr="000C0508">
              <w:rPr>
                <w:b/>
                <w:bCs/>
              </w:rPr>
              <w:t>Treatment</w:t>
            </w:r>
          </w:p>
        </w:tc>
        <w:tc>
          <w:tcPr>
            <w:tcW w:w="7229" w:type="dxa"/>
          </w:tcPr>
          <w:p w14:paraId="0D087E61" w14:textId="77777777" w:rsidR="00C55E12" w:rsidRPr="000C0508" w:rsidRDefault="00C55E12" w:rsidP="00547A87">
            <w:pPr>
              <w:spacing w:before="60" w:after="60"/>
            </w:pPr>
            <w:r w:rsidRPr="000C0508">
              <w:t>Number of attendances for treatment.</w:t>
            </w:r>
          </w:p>
        </w:tc>
      </w:tr>
      <w:tr w:rsidR="00C55E12" w:rsidRPr="000C0508" w14:paraId="3A02CAF2" w14:textId="77777777" w:rsidTr="002415FD">
        <w:trPr>
          <w:trHeight w:val="315"/>
        </w:trPr>
        <w:tc>
          <w:tcPr>
            <w:tcW w:w="2836" w:type="dxa"/>
          </w:tcPr>
          <w:p w14:paraId="03F61D84" w14:textId="77777777" w:rsidR="00C55E12" w:rsidRPr="000C0508" w:rsidRDefault="00C55E12" w:rsidP="00547A87">
            <w:pPr>
              <w:spacing w:before="60" w:after="60"/>
              <w:rPr>
                <w:b/>
                <w:bCs/>
              </w:rPr>
            </w:pPr>
            <w:r>
              <w:rPr>
                <w:b/>
                <w:bCs/>
              </w:rPr>
              <w:t>Treatment Hour</w:t>
            </w:r>
          </w:p>
        </w:tc>
        <w:tc>
          <w:tcPr>
            <w:tcW w:w="7229" w:type="dxa"/>
          </w:tcPr>
          <w:p w14:paraId="13D6FF09" w14:textId="77777777" w:rsidR="00C55E12" w:rsidRPr="000C0508" w:rsidRDefault="00C55E12" w:rsidP="00547A87">
            <w:pPr>
              <w:spacing w:before="60" w:after="60"/>
            </w:pPr>
            <w:r>
              <w:t>Time, in hours, from patient entering to exiting hyperbaric chamber</w:t>
            </w:r>
          </w:p>
        </w:tc>
      </w:tr>
      <w:tr w:rsidR="00C55E12" w:rsidRPr="000C0508" w14:paraId="0D2A9BF0" w14:textId="77777777" w:rsidTr="002415FD">
        <w:trPr>
          <w:trHeight w:val="315"/>
        </w:trPr>
        <w:tc>
          <w:tcPr>
            <w:tcW w:w="2836" w:type="dxa"/>
            <w:hideMark/>
          </w:tcPr>
          <w:p w14:paraId="1830751E" w14:textId="77777777" w:rsidR="00C55E12" w:rsidRPr="000C0508" w:rsidRDefault="00C55E12" w:rsidP="00547A87">
            <w:pPr>
              <w:spacing w:before="60" w:after="60"/>
              <w:rPr>
                <w:b/>
                <w:bCs/>
              </w:rPr>
            </w:pPr>
            <w:r w:rsidRPr="000C0508">
              <w:rPr>
                <w:b/>
                <w:bCs/>
              </w:rPr>
              <w:t>Vaccination</w:t>
            </w:r>
          </w:p>
        </w:tc>
        <w:tc>
          <w:tcPr>
            <w:tcW w:w="7229" w:type="dxa"/>
          </w:tcPr>
          <w:p w14:paraId="1609B327" w14:textId="77777777" w:rsidR="00C55E12" w:rsidRPr="000C0508" w:rsidRDefault="00C55E12" w:rsidP="00547A87">
            <w:pPr>
              <w:spacing w:before="60" w:after="60"/>
            </w:pPr>
            <w:r w:rsidRPr="000C0508">
              <w:t>Number of vaccinations given</w:t>
            </w:r>
          </w:p>
        </w:tc>
      </w:tr>
      <w:tr w:rsidR="00C55E12" w:rsidRPr="000C0508" w14:paraId="0D88D9F8" w14:textId="77777777" w:rsidTr="002415FD">
        <w:trPr>
          <w:trHeight w:val="315"/>
        </w:trPr>
        <w:tc>
          <w:tcPr>
            <w:tcW w:w="2836" w:type="dxa"/>
            <w:hideMark/>
          </w:tcPr>
          <w:p w14:paraId="36AD0594" w14:textId="77777777" w:rsidR="00C55E12" w:rsidRPr="000C0508" w:rsidRDefault="00C55E12" w:rsidP="00547A87">
            <w:pPr>
              <w:spacing w:before="60" w:after="60"/>
              <w:rPr>
                <w:b/>
                <w:bCs/>
              </w:rPr>
            </w:pPr>
            <w:r w:rsidRPr="000C0508">
              <w:rPr>
                <w:b/>
                <w:bCs/>
              </w:rPr>
              <w:t>Visit</w:t>
            </w:r>
          </w:p>
        </w:tc>
        <w:tc>
          <w:tcPr>
            <w:tcW w:w="7229" w:type="dxa"/>
          </w:tcPr>
          <w:p w14:paraId="26BBCBDE" w14:textId="77777777" w:rsidR="00C55E12" w:rsidRPr="000C0508" w:rsidRDefault="00C55E12" w:rsidP="00547A87">
            <w:pPr>
              <w:spacing w:before="60" w:after="60"/>
            </w:pPr>
            <w:r w:rsidRPr="000C0508">
              <w:t>Number of visits by health professionals to a client's place of residence</w:t>
            </w:r>
          </w:p>
        </w:tc>
      </w:tr>
      <w:tr w:rsidR="00C55E12" w:rsidRPr="000C0508" w14:paraId="55E77D83" w14:textId="77777777" w:rsidTr="002415FD">
        <w:trPr>
          <w:trHeight w:val="330"/>
        </w:trPr>
        <w:tc>
          <w:tcPr>
            <w:tcW w:w="2836" w:type="dxa"/>
            <w:hideMark/>
          </w:tcPr>
          <w:p w14:paraId="561EBC29" w14:textId="77777777" w:rsidR="00C55E12" w:rsidRPr="000C0508" w:rsidRDefault="00C55E12" w:rsidP="00547A87">
            <w:pPr>
              <w:spacing w:before="60" w:after="60"/>
              <w:rPr>
                <w:b/>
                <w:bCs/>
              </w:rPr>
            </w:pPr>
            <w:r w:rsidRPr="000C0508">
              <w:rPr>
                <w:b/>
                <w:bCs/>
              </w:rPr>
              <w:t>Written plan of care</w:t>
            </w:r>
          </w:p>
        </w:tc>
        <w:tc>
          <w:tcPr>
            <w:tcW w:w="7229" w:type="dxa"/>
          </w:tcPr>
          <w:p w14:paraId="74254C28" w14:textId="77777777" w:rsidR="00C55E12" w:rsidRPr="000C0508" w:rsidRDefault="00C55E12" w:rsidP="00547A87">
            <w:pPr>
              <w:spacing w:before="60" w:after="60"/>
            </w:pPr>
            <w:r w:rsidRPr="000C0508">
              <w:t>Written plan of care provided by the specialist to the referring GP</w:t>
            </w:r>
          </w:p>
        </w:tc>
      </w:tr>
    </w:tbl>
    <w:p w14:paraId="2CC6E27B" w14:textId="77777777" w:rsidR="00C55E12" w:rsidRPr="00EB1973" w:rsidRDefault="00C55E12" w:rsidP="00C55E12"/>
    <w:p w14:paraId="5B6DE7DA" w14:textId="2FD03202" w:rsidR="00EE2839" w:rsidRDefault="00EE2839" w:rsidP="00AD35A7">
      <w:pPr>
        <w:spacing w:after="160" w:line="259" w:lineRule="auto"/>
      </w:pPr>
    </w:p>
    <w:p w14:paraId="543444A6" w14:textId="77777777" w:rsidR="00F55B93" w:rsidRDefault="00F55B93">
      <w:pPr>
        <w:spacing w:after="160" w:line="259" w:lineRule="auto"/>
        <w:rPr>
          <w:rFonts w:cs="Arial"/>
          <w:b/>
          <w:bCs/>
          <w:kern w:val="32"/>
          <w:sz w:val="28"/>
          <w:szCs w:val="32"/>
        </w:rPr>
      </w:pPr>
      <w:r>
        <w:br w:type="page"/>
      </w:r>
    </w:p>
    <w:p w14:paraId="6CA4623D" w14:textId="41FAF921" w:rsidR="00F55B93" w:rsidRDefault="00F55B93" w:rsidP="00F55B93">
      <w:pPr>
        <w:pStyle w:val="Heading1"/>
        <w:numPr>
          <w:ilvl w:val="0"/>
          <w:numId w:val="0"/>
        </w:numPr>
      </w:pPr>
      <w:bookmarkStart w:id="177" w:name="_Toc66194592"/>
      <w:r>
        <w:lastRenderedPageBreak/>
        <w:t>Appendix 2 Reporting Mode of Delivery</w:t>
      </w:r>
      <w:bookmarkEnd w:id="177"/>
    </w:p>
    <w:p w14:paraId="7959A9C1" w14:textId="77777777" w:rsidR="00F55B93" w:rsidRDefault="00F55B93" w:rsidP="00F55B93"/>
    <w:p w14:paraId="7FD24B05" w14:textId="69C7CAE4" w:rsidR="00F55B93" w:rsidRDefault="00F55B93" w:rsidP="00F55B93">
      <w:r>
        <w:t xml:space="preserve">All outpatient activity must be reported using the appropriate mode of delivery </w:t>
      </w:r>
      <w:r w:rsidR="00E32043">
        <w:t>as per</w:t>
      </w:r>
      <w:r>
        <w:t xml:space="preserve"> table below. </w:t>
      </w:r>
    </w:p>
    <w:p w14:paraId="5F96F6F9" w14:textId="77777777" w:rsidR="00D35F1E" w:rsidRDefault="00D35F1E" w:rsidP="00F55B93"/>
    <w:p w14:paraId="4194ED09" w14:textId="77777777" w:rsidR="00F55B93" w:rsidRDefault="00F55B93" w:rsidP="00F55B93">
      <w:r>
        <w:t>If a consultation is provided by telehealth with many clinicians or many patients present the activity should be reported with mode of delivery 2 or 3. The group aspect of the activity takes precedent over whether the activity is provided by telehealth, under the assumption that the number of clinicians or clients has a greater impact on the cost of the activity.</w:t>
      </w:r>
    </w:p>
    <w:p w14:paraId="0956539B" w14:textId="77777777" w:rsidR="00F55B93" w:rsidRDefault="00F55B93" w:rsidP="00F55B93"/>
    <w:p w14:paraId="4FD212E9" w14:textId="77777777" w:rsidR="00F55B93" w:rsidRDefault="00F55B93" w:rsidP="00F55B93">
      <w:r>
        <w:t>Examples: Pain clinic PC0007 (Pain IDT) 1 patient, 3 clinicians of which one is attending via video. Report with MoD 2 (1 patient to many clinicians)</w:t>
      </w:r>
    </w:p>
    <w:p w14:paraId="40BBD675" w14:textId="77777777" w:rsidR="00F55B93" w:rsidRDefault="00F55B93" w:rsidP="00F55B93"/>
    <w:p w14:paraId="011F1D93" w14:textId="1F56862C" w:rsidR="00F55B93" w:rsidRDefault="00F55B93" w:rsidP="00F55B93">
      <w:pPr>
        <w:pStyle w:val="Letterlist"/>
        <w:numPr>
          <w:ilvl w:val="0"/>
          <w:numId w:val="0"/>
        </w:numPr>
      </w:pPr>
      <w:r>
        <w:t xml:space="preserve">For Remote patient monitoring report with MoD 4 (Pacemaker tests (M10012) may be reported with MoD 4, however it is per definition provided through remote monitoring) </w:t>
      </w:r>
    </w:p>
    <w:p w14:paraId="1BA09C04" w14:textId="334E91AF" w:rsidR="00F55B93" w:rsidRPr="00925CB7" w:rsidRDefault="00F55B93" w:rsidP="00F55B93">
      <w:r>
        <w:t xml:space="preserve"> </w:t>
      </w:r>
    </w:p>
    <w:p w14:paraId="41CB6864" w14:textId="5FEE816D" w:rsidR="00596AB9" w:rsidRDefault="00F55B93" w:rsidP="00F55B93">
      <w:r>
        <w:t xml:space="preserve">Mode of Delivery field codes for reporting to NNPAC </w:t>
      </w:r>
      <w:r w:rsidR="005E4B28">
        <w:t xml:space="preserve">as per NNPAC </w:t>
      </w:r>
      <w:r w:rsidR="00FB083E">
        <w:t xml:space="preserve">data mart data dictionary </w:t>
      </w:r>
      <w:r w:rsidR="00E32043">
        <w:t>(</w:t>
      </w:r>
      <w:r w:rsidR="00E32043" w:rsidRPr="00E32043">
        <w:t>https://www.health.govt.nz/publication/national-non-admitted-patient-collection-data-mart-data-dictionary</w:t>
      </w:r>
      <w:r w:rsidR="00E32043">
        <w:t>)</w:t>
      </w:r>
    </w:p>
    <w:tbl>
      <w:tblPr>
        <w:tblW w:w="0" w:type="auto"/>
        <w:tblInd w:w="113" w:type="dxa"/>
        <w:tblLook w:val="00A0" w:firstRow="1" w:lastRow="0" w:firstColumn="1" w:lastColumn="0" w:noHBand="0" w:noVBand="0"/>
      </w:tblPr>
      <w:tblGrid>
        <w:gridCol w:w="556"/>
        <w:gridCol w:w="4164"/>
        <w:gridCol w:w="4177"/>
      </w:tblGrid>
      <w:tr w:rsidR="00F55B93" w14:paraId="27C9568F"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143B3A0A" w14:textId="77777777" w:rsidR="00F55B93" w:rsidRDefault="00F55B93" w:rsidP="009F1E01">
            <w:pPr>
              <w:autoSpaceDE w:val="0"/>
              <w:autoSpaceDN w:val="0"/>
              <w:adjustRightInd w:val="0"/>
              <w:rPr>
                <w:rFonts w:cs="Arial"/>
                <w:b/>
                <w:color w:val="000000"/>
                <w:szCs w:val="20"/>
              </w:rPr>
            </w:pPr>
            <w:r>
              <w:rPr>
                <w:rFonts w:cs="Arial"/>
                <w:b/>
                <w:color w:val="000000"/>
                <w:szCs w:val="20"/>
              </w:rPr>
              <w:t>1</w:t>
            </w:r>
          </w:p>
        </w:tc>
        <w:tc>
          <w:tcPr>
            <w:tcW w:w="4164" w:type="dxa"/>
            <w:tcBorders>
              <w:top w:val="single" w:sz="6" w:space="0" w:color="C0C0C0"/>
              <w:left w:val="single" w:sz="6" w:space="0" w:color="C0C0C0"/>
              <w:bottom w:val="single" w:sz="6" w:space="0" w:color="C0C0C0"/>
              <w:right w:val="single" w:sz="6" w:space="0" w:color="C0C0C0"/>
            </w:tcBorders>
            <w:hideMark/>
          </w:tcPr>
          <w:p w14:paraId="3F2E5931" w14:textId="77777777" w:rsidR="00F55B93" w:rsidRDefault="00F55B93" w:rsidP="009F1E01">
            <w:pPr>
              <w:autoSpaceDE w:val="0"/>
              <w:autoSpaceDN w:val="0"/>
              <w:adjustRightInd w:val="0"/>
              <w:rPr>
                <w:rFonts w:cs="Arial"/>
                <w:sz w:val="20"/>
                <w:szCs w:val="20"/>
              </w:rPr>
            </w:pPr>
            <w:r>
              <w:rPr>
                <w:rFonts w:cs="Arial"/>
                <w:sz w:val="20"/>
                <w:szCs w:val="20"/>
              </w:rPr>
              <w:t>In person (1 patient to 1 clinician)</w:t>
            </w:r>
          </w:p>
        </w:tc>
        <w:tc>
          <w:tcPr>
            <w:tcW w:w="4177" w:type="dxa"/>
            <w:tcBorders>
              <w:top w:val="single" w:sz="6" w:space="0" w:color="C0C0C0"/>
              <w:left w:val="single" w:sz="6" w:space="0" w:color="C0C0C0"/>
              <w:bottom w:val="single" w:sz="6" w:space="0" w:color="C0C0C0"/>
              <w:right w:val="single" w:sz="6" w:space="0" w:color="C0C0C0"/>
            </w:tcBorders>
            <w:hideMark/>
          </w:tcPr>
          <w:p w14:paraId="7020722F" w14:textId="77777777" w:rsidR="00F55B93" w:rsidRDefault="00F55B93" w:rsidP="009F1E01">
            <w:pPr>
              <w:autoSpaceDE w:val="0"/>
              <w:autoSpaceDN w:val="0"/>
              <w:adjustRightInd w:val="0"/>
              <w:rPr>
                <w:rFonts w:cs="Arial"/>
                <w:sz w:val="20"/>
                <w:szCs w:val="20"/>
              </w:rPr>
            </w:pPr>
            <w:r>
              <w:rPr>
                <w:rFonts w:cs="Arial"/>
                <w:sz w:val="20"/>
                <w:szCs w:val="20"/>
              </w:rPr>
              <w:t xml:space="preserve">Individual in-person at the same location. </w:t>
            </w:r>
            <w:r>
              <w:rPr>
                <w:rFonts w:cs="Arial"/>
              </w:rPr>
              <w:t>*</w:t>
            </w:r>
            <w:r>
              <w:rPr>
                <w:rFonts w:cs="Arial"/>
                <w:sz w:val="20"/>
                <w:szCs w:val="20"/>
              </w:rPr>
              <w:t>Where tests are performed the mode of delivery is in-person</w:t>
            </w:r>
          </w:p>
        </w:tc>
      </w:tr>
      <w:tr w:rsidR="00F55B93" w14:paraId="04100195"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720A6B90" w14:textId="77777777" w:rsidR="00F55B93" w:rsidRDefault="00F55B93" w:rsidP="009F1E01">
            <w:pPr>
              <w:autoSpaceDE w:val="0"/>
              <w:autoSpaceDN w:val="0"/>
              <w:adjustRightInd w:val="0"/>
              <w:rPr>
                <w:rFonts w:cs="Arial"/>
                <w:b/>
                <w:color w:val="000000"/>
                <w:szCs w:val="20"/>
              </w:rPr>
            </w:pPr>
            <w:r>
              <w:rPr>
                <w:rFonts w:cs="Arial"/>
                <w:b/>
                <w:color w:val="000000"/>
                <w:szCs w:val="20"/>
              </w:rPr>
              <w:t>2</w:t>
            </w:r>
          </w:p>
        </w:tc>
        <w:tc>
          <w:tcPr>
            <w:tcW w:w="4164" w:type="dxa"/>
            <w:tcBorders>
              <w:top w:val="single" w:sz="6" w:space="0" w:color="C0C0C0"/>
              <w:left w:val="single" w:sz="6" w:space="0" w:color="C0C0C0"/>
              <w:bottom w:val="single" w:sz="6" w:space="0" w:color="C0C0C0"/>
              <w:right w:val="single" w:sz="6" w:space="0" w:color="C0C0C0"/>
            </w:tcBorders>
            <w:hideMark/>
          </w:tcPr>
          <w:p w14:paraId="14CD5552" w14:textId="77777777" w:rsidR="00F55B93" w:rsidRDefault="00F55B93" w:rsidP="009F1E01">
            <w:pPr>
              <w:autoSpaceDE w:val="0"/>
              <w:autoSpaceDN w:val="0"/>
              <w:adjustRightInd w:val="0"/>
              <w:rPr>
                <w:rFonts w:cs="Arial"/>
                <w:sz w:val="20"/>
                <w:szCs w:val="20"/>
              </w:rPr>
            </w:pPr>
            <w:r>
              <w:rPr>
                <w:rFonts w:cs="Arial"/>
                <w:sz w:val="20"/>
                <w:szCs w:val="20"/>
              </w:rPr>
              <w:t>In person (1 patient to many clinicians)</w:t>
            </w:r>
          </w:p>
        </w:tc>
        <w:tc>
          <w:tcPr>
            <w:tcW w:w="4177" w:type="dxa"/>
            <w:tcBorders>
              <w:top w:val="single" w:sz="6" w:space="0" w:color="C0C0C0"/>
              <w:left w:val="single" w:sz="6" w:space="0" w:color="C0C0C0"/>
              <w:bottom w:val="single" w:sz="6" w:space="0" w:color="C0C0C0"/>
              <w:right w:val="single" w:sz="6" w:space="0" w:color="C0C0C0"/>
            </w:tcBorders>
            <w:hideMark/>
          </w:tcPr>
          <w:p w14:paraId="244EF4BF" w14:textId="77777777" w:rsidR="00F55B93" w:rsidRDefault="00F55B93" w:rsidP="009F1E01">
            <w:pPr>
              <w:autoSpaceDE w:val="0"/>
              <w:autoSpaceDN w:val="0"/>
              <w:adjustRightInd w:val="0"/>
              <w:rPr>
                <w:rFonts w:cs="Arial"/>
                <w:sz w:val="20"/>
                <w:szCs w:val="20"/>
              </w:rPr>
            </w:pPr>
            <w:r>
              <w:rPr>
                <w:rFonts w:cs="Arial"/>
                <w:sz w:val="20"/>
                <w:szCs w:val="20"/>
              </w:rPr>
              <w:t>Multi-disciplinary meeting with patient present at the same location and time</w:t>
            </w:r>
          </w:p>
        </w:tc>
      </w:tr>
      <w:tr w:rsidR="00F55B93" w14:paraId="13A811E5"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75195B76" w14:textId="77777777" w:rsidR="00F55B93" w:rsidRDefault="00F55B93" w:rsidP="009F1E01">
            <w:pPr>
              <w:autoSpaceDE w:val="0"/>
              <w:autoSpaceDN w:val="0"/>
              <w:adjustRightInd w:val="0"/>
              <w:rPr>
                <w:rFonts w:cs="Arial"/>
                <w:b/>
                <w:color w:val="000000"/>
                <w:szCs w:val="20"/>
              </w:rPr>
            </w:pPr>
            <w:r>
              <w:rPr>
                <w:rFonts w:cs="Arial"/>
                <w:b/>
                <w:color w:val="000000"/>
                <w:szCs w:val="20"/>
              </w:rPr>
              <w:t>3</w:t>
            </w:r>
          </w:p>
        </w:tc>
        <w:tc>
          <w:tcPr>
            <w:tcW w:w="4164" w:type="dxa"/>
            <w:tcBorders>
              <w:top w:val="single" w:sz="6" w:space="0" w:color="C0C0C0"/>
              <w:left w:val="single" w:sz="6" w:space="0" w:color="C0C0C0"/>
              <w:bottom w:val="single" w:sz="6" w:space="0" w:color="C0C0C0"/>
              <w:right w:val="single" w:sz="6" w:space="0" w:color="C0C0C0"/>
            </w:tcBorders>
            <w:hideMark/>
          </w:tcPr>
          <w:p w14:paraId="68D6AFC2" w14:textId="77777777" w:rsidR="00F55B93" w:rsidRDefault="00F55B93" w:rsidP="009F1E01">
            <w:pPr>
              <w:autoSpaceDE w:val="0"/>
              <w:autoSpaceDN w:val="0"/>
              <w:adjustRightInd w:val="0"/>
              <w:rPr>
                <w:rFonts w:cs="Arial"/>
                <w:sz w:val="20"/>
                <w:szCs w:val="20"/>
              </w:rPr>
            </w:pPr>
            <w:r>
              <w:rPr>
                <w:rFonts w:cs="Arial"/>
                <w:sz w:val="20"/>
                <w:szCs w:val="20"/>
              </w:rPr>
              <w:t>In person (1 clinician to many patients)</w:t>
            </w:r>
          </w:p>
        </w:tc>
        <w:tc>
          <w:tcPr>
            <w:tcW w:w="4177" w:type="dxa"/>
            <w:tcBorders>
              <w:top w:val="single" w:sz="6" w:space="0" w:color="C0C0C0"/>
              <w:left w:val="single" w:sz="6" w:space="0" w:color="C0C0C0"/>
              <w:bottom w:val="single" w:sz="6" w:space="0" w:color="C0C0C0"/>
              <w:right w:val="single" w:sz="6" w:space="0" w:color="C0C0C0"/>
            </w:tcBorders>
            <w:hideMark/>
          </w:tcPr>
          <w:p w14:paraId="0F2182EA" w14:textId="77777777" w:rsidR="00F55B93" w:rsidRDefault="00F55B93" w:rsidP="009F1E01">
            <w:pPr>
              <w:autoSpaceDE w:val="0"/>
              <w:autoSpaceDN w:val="0"/>
              <w:adjustRightInd w:val="0"/>
              <w:rPr>
                <w:rFonts w:cs="Arial"/>
                <w:sz w:val="20"/>
                <w:szCs w:val="20"/>
              </w:rPr>
            </w:pPr>
            <w:r>
              <w:rPr>
                <w:rFonts w:cs="Arial"/>
                <w:sz w:val="20"/>
                <w:szCs w:val="20"/>
              </w:rPr>
              <w:t xml:space="preserve">Group of patients being seen by one or more clinicians at the same location and time </w:t>
            </w:r>
          </w:p>
        </w:tc>
      </w:tr>
      <w:tr w:rsidR="00F55B93" w14:paraId="2618DA81"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31C32B39" w14:textId="77777777" w:rsidR="00F55B93" w:rsidRDefault="00F55B93" w:rsidP="009F1E01">
            <w:pPr>
              <w:autoSpaceDE w:val="0"/>
              <w:autoSpaceDN w:val="0"/>
              <w:adjustRightInd w:val="0"/>
              <w:rPr>
                <w:rFonts w:cs="Arial"/>
                <w:b/>
                <w:color w:val="000000"/>
                <w:szCs w:val="20"/>
              </w:rPr>
            </w:pPr>
            <w:r>
              <w:rPr>
                <w:rFonts w:cs="Arial"/>
                <w:b/>
                <w:color w:val="000000"/>
                <w:szCs w:val="20"/>
              </w:rPr>
              <w:t>4</w:t>
            </w:r>
          </w:p>
        </w:tc>
        <w:tc>
          <w:tcPr>
            <w:tcW w:w="4164" w:type="dxa"/>
            <w:tcBorders>
              <w:top w:val="single" w:sz="6" w:space="0" w:color="C0C0C0"/>
              <w:left w:val="single" w:sz="6" w:space="0" w:color="C0C0C0"/>
              <w:bottom w:val="single" w:sz="6" w:space="0" w:color="C0C0C0"/>
              <w:right w:val="single" w:sz="6" w:space="0" w:color="C0C0C0"/>
            </w:tcBorders>
            <w:hideMark/>
          </w:tcPr>
          <w:p w14:paraId="275E09EB" w14:textId="77777777" w:rsidR="00F55B93" w:rsidRDefault="00F55B93" w:rsidP="009F1E01">
            <w:pPr>
              <w:autoSpaceDE w:val="0"/>
              <w:autoSpaceDN w:val="0"/>
              <w:adjustRightInd w:val="0"/>
              <w:rPr>
                <w:rFonts w:cs="Arial"/>
                <w:sz w:val="20"/>
                <w:szCs w:val="20"/>
              </w:rPr>
            </w:pPr>
            <w:r>
              <w:rPr>
                <w:rFonts w:cs="Arial"/>
                <w:sz w:val="20"/>
                <w:szCs w:val="20"/>
              </w:rPr>
              <w:t>Remote patient monitoring</w:t>
            </w:r>
          </w:p>
        </w:tc>
        <w:tc>
          <w:tcPr>
            <w:tcW w:w="4177" w:type="dxa"/>
            <w:tcBorders>
              <w:top w:val="single" w:sz="6" w:space="0" w:color="C0C0C0"/>
              <w:left w:val="single" w:sz="6" w:space="0" w:color="C0C0C0"/>
              <w:bottom w:val="single" w:sz="6" w:space="0" w:color="C0C0C0"/>
              <w:right w:val="single" w:sz="6" w:space="0" w:color="C0C0C0"/>
            </w:tcBorders>
            <w:hideMark/>
          </w:tcPr>
          <w:p w14:paraId="5DAF3889" w14:textId="77777777" w:rsidR="00F55B93" w:rsidRDefault="00F55B93" w:rsidP="009F1E01">
            <w:pPr>
              <w:autoSpaceDE w:val="0"/>
              <w:autoSpaceDN w:val="0"/>
              <w:adjustRightInd w:val="0"/>
              <w:rPr>
                <w:rFonts w:cs="Arial"/>
                <w:sz w:val="20"/>
                <w:szCs w:val="20"/>
              </w:rPr>
            </w:pPr>
            <w:r>
              <w:rPr>
                <w:rFonts w:cs="Arial"/>
                <w:sz w:val="20"/>
                <w:szCs w:val="20"/>
              </w:rPr>
              <w:t xml:space="preserve">monitoring of patient’s biometric health information communicated from a remote patient medical device </w:t>
            </w:r>
          </w:p>
        </w:tc>
      </w:tr>
      <w:tr w:rsidR="00F55B93" w14:paraId="2C82EE0C"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22834E92" w14:textId="77777777" w:rsidR="00F55B93" w:rsidRDefault="00F55B93" w:rsidP="009F1E01">
            <w:pPr>
              <w:autoSpaceDE w:val="0"/>
              <w:autoSpaceDN w:val="0"/>
              <w:adjustRightInd w:val="0"/>
              <w:rPr>
                <w:rFonts w:cs="Arial"/>
                <w:b/>
                <w:color w:val="000000"/>
                <w:szCs w:val="20"/>
              </w:rPr>
            </w:pPr>
            <w:r>
              <w:rPr>
                <w:rFonts w:cs="Arial"/>
                <w:b/>
                <w:color w:val="000000"/>
                <w:szCs w:val="20"/>
              </w:rPr>
              <w:t>5</w:t>
            </w:r>
          </w:p>
        </w:tc>
        <w:tc>
          <w:tcPr>
            <w:tcW w:w="4164" w:type="dxa"/>
            <w:tcBorders>
              <w:top w:val="single" w:sz="6" w:space="0" w:color="C0C0C0"/>
              <w:left w:val="single" w:sz="6" w:space="0" w:color="C0C0C0"/>
              <w:bottom w:val="single" w:sz="6" w:space="0" w:color="C0C0C0"/>
              <w:right w:val="single" w:sz="6" w:space="0" w:color="C0C0C0"/>
            </w:tcBorders>
            <w:hideMark/>
          </w:tcPr>
          <w:p w14:paraId="226A0A5D" w14:textId="77777777" w:rsidR="00F55B93" w:rsidRDefault="00F55B93" w:rsidP="009F1E01">
            <w:pPr>
              <w:autoSpaceDE w:val="0"/>
              <w:autoSpaceDN w:val="0"/>
              <w:adjustRightInd w:val="0"/>
              <w:rPr>
                <w:rFonts w:cs="Arial"/>
                <w:sz w:val="20"/>
                <w:szCs w:val="20"/>
              </w:rPr>
            </w:pPr>
            <w:r>
              <w:rPr>
                <w:rFonts w:cs="Arial"/>
                <w:sz w:val="20"/>
                <w:szCs w:val="20"/>
              </w:rPr>
              <w:t>Telephone</w:t>
            </w:r>
          </w:p>
        </w:tc>
        <w:tc>
          <w:tcPr>
            <w:tcW w:w="4177" w:type="dxa"/>
            <w:tcBorders>
              <w:top w:val="single" w:sz="6" w:space="0" w:color="C0C0C0"/>
              <w:left w:val="single" w:sz="6" w:space="0" w:color="C0C0C0"/>
              <w:bottom w:val="single" w:sz="6" w:space="0" w:color="C0C0C0"/>
              <w:right w:val="single" w:sz="6" w:space="0" w:color="C0C0C0"/>
            </w:tcBorders>
            <w:hideMark/>
          </w:tcPr>
          <w:p w14:paraId="591C44A9" w14:textId="77777777" w:rsidR="00F55B93" w:rsidRDefault="00F55B93" w:rsidP="009F1E01">
            <w:pPr>
              <w:autoSpaceDE w:val="0"/>
              <w:autoSpaceDN w:val="0"/>
              <w:adjustRightInd w:val="0"/>
              <w:rPr>
                <w:rFonts w:cs="Arial"/>
                <w:sz w:val="20"/>
                <w:szCs w:val="20"/>
              </w:rPr>
            </w:pPr>
            <w:r>
              <w:rPr>
                <w:rFonts w:cs="Arial"/>
                <w:sz w:val="20"/>
                <w:szCs w:val="20"/>
              </w:rPr>
              <w:t>Voice only contact between patient and clinician using telephone</w:t>
            </w:r>
          </w:p>
        </w:tc>
      </w:tr>
      <w:tr w:rsidR="00F55B93" w14:paraId="72BD30C7"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35F3165B" w14:textId="77777777" w:rsidR="00F55B93" w:rsidRDefault="00F55B93" w:rsidP="009F1E01">
            <w:pPr>
              <w:autoSpaceDE w:val="0"/>
              <w:autoSpaceDN w:val="0"/>
              <w:adjustRightInd w:val="0"/>
              <w:rPr>
                <w:rFonts w:cs="Arial"/>
                <w:b/>
                <w:color w:val="000000"/>
                <w:szCs w:val="20"/>
              </w:rPr>
            </w:pPr>
            <w:r>
              <w:rPr>
                <w:rFonts w:cs="Arial"/>
                <w:b/>
                <w:color w:val="000000"/>
                <w:szCs w:val="20"/>
              </w:rPr>
              <w:t>6</w:t>
            </w:r>
          </w:p>
        </w:tc>
        <w:tc>
          <w:tcPr>
            <w:tcW w:w="4164" w:type="dxa"/>
            <w:tcBorders>
              <w:top w:val="single" w:sz="6" w:space="0" w:color="C0C0C0"/>
              <w:left w:val="single" w:sz="6" w:space="0" w:color="C0C0C0"/>
              <w:bottom w:val="single" w:sz="6" w:space="0" w:color="C0C0C0"/>
              <w:right w:val="single" w:sz="6" w:space="0" w:color="C0C0C0"/>
            </w:tcBorders>
            <w:hideMark/>
          </w:tcPr>
          <w:p w14:paraId="49AD6C49" w14:textId="77777777" w:rsidR="00F55B93" w:rsidRDefault="00F55B93" w:rsidP="009F1E01">
            <w:pPr>
              <w:autoSpaceDE w:val="0"/>
              <w:autoSpaceDN w:val="0"/>
              <w:adjustRightInd w:val="0"/>
              <w:rPr>
                <w:rFonts w:cs="Arial"/>
                <w:sz w:val="20"/>
                <w:szCs w:val="20"/>
              </w:rPr>
            </w:pPr>
            <w:r>
              <w:rPr>
                <w:rFonts w:cs="Arial"/>
                <w:sz w:val="20"/>
                <w:szCs w:val="20"/>
              </w:rPr>
              <w:t>Video</w:t>
            </w:r>
          </w:p>
        </w:tc>
        <w:tc>
          <w:tcPr>
            <w:tcW w:w="4177" w:type="dxa"/>
            <w:tcBorders>
              <w:top w:val="single" w:sz="6" w:space="0" w:color="C0C0C0"/>
              <w:left w:val="single" w:sz="6" w:space="0" w:color="C0C0C0"/>
              <w:bottom w:val="single" w:sz="6" w:space="0" w:color="C0C0C0"/>
              <w:right w:val="single" w:sz="6" w:space="0" w:color="C0C0C0"/>
            </w:tcBorders>
            <w:hideMark/>
          </w:tcPr>
          <w:p w14:paraId="1D201473" w14:textId="77777777" w:rsidR="00F55B93" w:rsidRDefault="00F55B93" w:rsidP="009F1E01">
            <w:pPr>
              <w:autoSpaceDE w:val="0"/>
              <w:autoSpaceDN w:val="0"/>
              <w:adjustRightInd w:val="0"/>
              <w:rPr>
                <w:rFonts w:cs="Arial"/>
                <w:sz w:val="20"/>
                <w:szCs w:val="20"/>
              </w:rPr>
            </w:pPr>
            <w:r>
              <w:rPr>
                <w:rFonts w:cs="Arial"/>
                <w:sz w:val="20"/>
                <w:szCs w:val="20"/>
              </w:rPr>
              <w:t>Communication via technology enabling remote visual and audio contact between patient and clinician(s)</w:t>
            </w:r>
          </w:p>
        </w:tc>
      </w:tr>
      <w:tr w:rsidR="00F55B93" w14:paraId="2094F47B" w14:textId="77777777" w:rsidTr="00AD1E6B">
        <w:tc>
          <w:tcPr>
            <w:tcW w:w="556" w:type="dxa"/>
            <w:tcBorders>
              <w:top w:val="single" w:sz="6" w:space="0" w:color="C0C0C0"/>
              <w:left w:val="single" w:sz="6" w:space="0" w:color="C0C0C0"/>
              <w:bottom w:val="single" w:sz="6" w:space="0" w:color="C0C0C0"/>
              <w:right w:val="single" w:sz="6" w:space="0" w:color="C0C0C0"/>
            </w:tcBorders>
            <w:hideMark/>
          </w:tcPr>
          <w:p w14:paraId="5F053A8D" w14:textId="77777777" w:rsidR="00F55B93" w:rsidRDefault="00F55B93" w:rsidP="009F1E01">
            <w:pPr>
              <w:autoSpaceDE w:val="0"/>
              <w:autoSpaceDN w:val="0"/>
              <w:adjustRightInd w:val="0"/>
              <w:rPr>
                <w:rFonts w:cs="Arial"/>
                <w:b/>
                <w:color w:val="000000"/>
                <w:szCs w:val="20"/>
              </w:rPr>
            </w:pPr>
            <w:r>
              <w:rPr>
                <w:rFonts w:cs="Arial"/>
                <w:b/>
                <w:color w:val="000000"/>
                <w:szCs w:val="20"/>
              </w:rPr>
              <w:t>7</w:t>
            </w:r>
          </w:p>
        </w:tc>
        <w:tc>
          <w:tcPr>
            <w:tcW w:w="4164" w:type="dxa"/>
            <w:tcBorders>
              <w:top w:val="single" w:sz="6" w:space="0" w:color="C0C0C0"/>
              <w:left w:val="single" w:sz="6" w:space="0" w:color="C0C0C0"/>
              <w:bottom w:val="single" w:sz="6" w:space="0" w:color="C0C0C0"/>
              <w:right w:val="single" w:sz="6" w:space="0" w:color="C0C0C0"/>
            </w:tcBorders>
            <w:hideMark/>
          </w:tcPr>
          <w:p w14:paraId="66A42197" w14:textId="77777777" w:rsidR="00F55B93" w:rsidRDefault="00F55B93" w:rsidP="009F1E01">
            <w:pPr>
              <w:autoSpaceDE w:val="0"/>
              <w:autoSpaceDN w:val="0"/>
              <w:adjustRightInd w:val="0"/>
              <w:rPr>
                <w:rFonts w:cs="Arial"/>
                <w:sz w:val="20"/>
                <w:szCs w:val="20"/>
              </w:rPr>
            </w:pPr>
            <w:r>
              <w:rPr>
                <w:rFonts w:cs="Arial"/>
                <w:sz w:val="20"/>
                <w:szCs w:val="20"/>
              </w:rPr>
              <w:t>Non-contact</w:t>
            </w:r>
          </w:p>
        </w:tc>
        <w:tc>
          <w:tcPr>
            <w:tcW w:w="4177" w:type="dxa"/>
            <w:tcBorders>
              <w:top w:val="single" w:sz="6" w:space="0" w:color="C0C0C0"/>
              <w:left w:val="single" w:sz="6" w:space="0" w:color="C0C0C0"/>
              <w:bottom w:val="single" w:sz="6" w:space="0" w:color="C0C0C0"/>
              <w:right w:val="single" w:sz="6" w:space="0" w:color="C0C0C0"/>
            </w:tcBorders>
            <w:hideMark/>
          </w:tcPr>
          <w:p w14:paraId="41A98D0D" w14:textId="77777777" w:rsidR="00F55B93" w:rsidRDefault="00F55B93" w:rsidP="009F1E01">
            <w:pPr>
              <w:autoSpaceDE w:val="0"/>
              <w:autoSpaceDN w:val="0"/>
              <w:adjustRightInd w:val="0"/>
              <w:rPr>
                <w:rFonts w:cs="Arial"/>
                <w:sz w:val="20"/>
                <w:szCs w:val="20"/>
              </w:rPr>
            </w:pPr>
            <w:r>
              <w:rPr>
                <w:rFonts w:cs="Arial"/>
                <w:sz w:val="20"/>
                <w:szCs w:val="20"/>
              </w:rPr>
              <w:t>An event where decisions about patient health care are made without the patient being present.</w:t>
            </w:r>
          </w:p>
        </w:tc>
      </w:tr>
    </w:tbl>
    <w:p w14:paraId="3E86BE9A" w14:textId="6FD88059" w:rsidR="00AD1E6B" w:rsidRDefault="00AD1E6B" w:rsidP="00AD1E6B">
      <w:r>
        <w:rPr>
          <w:rFonts w:cs="Arial"/>
          <w:sz w:val="24"/>
        </w:rPr>
        <w:t>*</w:t>
      </w:r>
      <w:r>
        <w:rPr>
          <w:rFonts w:cs="Arial"/>
          <w:sz w:val="20"/>
          <w:szCs w:val="20"/>
        </w:rPr>
        <w:t xml:space="preserve">Where tests are performed the mode of delivery is </w:t>
      </w:r>
      <w:r w:rsidR="00E32043">
        <w:rPr>
          <w:rFonts w:cs="Arial"/>
          <w:sz w:val="20"/>
          <w:szCs w:val="20"/>
        </w:rPr>
        <w:t>in person</w:t>
      </w:r>
      <w:r>
        <w:rPr>
          <w:rFonts w:cs="Arial"/>
          <w:sz w:val="20"/>
          <w:szCs w:val="20"/>
        </w:rPr>
        <w:t xml:space="preserve"> - </w:t>
      </w:r>
      <w:r>
        <w:rPr>
          <w:rFonts w:cs="Arial"/>
          <w:i/>
          <w:iCs/>
          <w:sz w:val="20"/>
          <w:szCs w:val="20"/>
        </w:rPr>
        <w:t xml:space="preserve">because at some point the patient was there </w:t>
      </w:r>
      <w:r>
        <w:rPr>
          <w:rFonts w:cs="Arial"/>
          <w:sz w:val="20"/>
          <w:szCs w:val="20"/>
        </w:rPr>
        <w:t>- e.g. bloods were taken etc.</w:t>
      </w:r>
    </w:p>
    <w:p w14:paraId="611B3A9C" w14:textId="77777777" w:rsidR="00F55B93" w:rsidRDefault="00F55B93" w:rsidP="00AD35A7">
      <w:pPr>
        <w:spacing w:after="160" w:line="259" w:lineRule="auto"/>
      </w:pPr>
    </w:p>
    <w:sectPr w:rsidR="00F55B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D9A5" w14:textId="77777777" w:rsidR="00E32DAB" w:rsidRDefault="00E32DAB" w:rsidP="00C55E12">
      <w:r>
        <w:separator/>
      </w:r>
    </w:p>
  </w:endnote>
  <w:endnote w:type="continuationSeparator" w:id="0">
    <w:p w14:paraId="3C85D288" w14:textId="77777777" w:rsidR="00E32DAB" w:rsidRDefault="00E32DAB" w:rsidP="00C55E12">
      <w:r>
        <w:continuationSeparator/>
      </w:r>
    </w:p>
  </w:endnote>
  <w:endnote w:type="continuationNotice" w:id="1">
    <w:p w14:paraId="62828504" w14:textId="77777777" w:rsidR="00E32DAB" w:rsidRDefault="00E3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D92F" w14:textId="77777777" w:rsidR="002415FD" w:rsidRDefault="002415FD" w:rsidP="00547A8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190B9FE" w14:textId="77777777" w:rsidR="002415FD" w:rsidRDefault="002415FD" w:rsidP="00547A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B17E" w14:textId="77777777" w:rsidR="002415FD" w:rsidRPr="000C7E9C" w:rsidRDefault="002415FD" w:rsidP="00547A87">
    <w:pPr>
      <w:pStyle w:val="Footer"/>
      <w:framePr w:wrap="around" w:vAnchor="text" w:hAnchor="margin" w:xAlign="right" w:y="1"/>
      <w:rPr>
        <w:rStyle w:val="PageNumber"/>
        <w:rFonts w:eastAsiaTheme="majorEastAsia" w:cs="Arial"/>
        <w:sz w:val="20"/>
      </w:rPr>
    </w:pPr>
    <w:r w:rsidRPr="000C7E9C">
      <w:rPr>
        <w:rStyle w:val="PageNumber"/>
        <w:rFonts w:eastAsiaTheme="majorEastAsia" w:cs="Arial"/>
        <w:sz w:val="20"/>
      </w:rPr>
      <w:fldChar w:fldCharType="begin"/>
    </w:r>
    <w:r w:rsidRPr="000C7E9C">
      <w:rPr>
        <w:rStyle w:val="PageNumber"/>
        <w:rFonts w:eastAsiaTheme="majorEastAsia" w:cs="Arial"/>
        <w:sz w:val="20"/>
      </w:rPr>
      <w:instrText xml:space="preserve">PAGE  </w:instrText>
    </w:r>
    <w:r w:rsidRPr="000C7E9C">
      <w:rPr>
        <w:rStyle w:val="PageNumber"/>
        <w:rFonts w:eastAsiaTheme="majorEastAsia" w:cs="Arial"/>
        <w:sz w:val="20"/>
      </w:rPr>
      <w:fldChar w:fldCharType="separate"/>
    </w:r>
    <w:r>
      <w:rPr>
        <w:rStyle w:val="PageNumber"/>
        <w:rFonts w:eastAsiaTheme="majorEastAsia" w:cs="Arial"/>
        <w:noProof/>
        <w:sz w:val="20"/>
      </w:rPr>
      <w:t>21</w:t>
    </w:r>
    <w:r w:rsidRPr="000C7E9C">
      <w:rPr>
        <w:rStyle w:val="PageNumber"/>
        <w:rFonts w:eastAsiaTheme="majorEastAsia" w:cs="Arial"/>
        <w:sz w:val="20"/>
      </w:rPr>
      <w:fldChar w:fldCharType="end"/>
    </w:r>
  </w:p>
  <w:p w14:paraId="4669FD60" w14:textId="3886AD62" w:rsidR="002415FD" w:rsidRPr="00525610" w:rsidRDefault="002415FD" w:rsidP="00547A87">
    <w:pPr>
      <w:pStyle w:val="Footer"/>
      <w:pBdr>
        <w:top w:val="single" w:sz="4" w:space="0" w:color="auto"/>
      </w:pBdr>
      <w:ind w:right="360"/>
      <w:rPr>
        <w:rFonts w:cs="Arial"/>
        <w:b/>
        <w:sz w:val="20"/>
        <w:szCs w:val="20"/>
      </w:rPr>
    </w:pPr>
    <w:r>
      <w:rPr>
        <w:rFonts w:cs="Arial"/>
        <w:b/>
        <w:sz w:val="20"/>
        <w:szCs w:val="20"/>
      </w:rPr>
      <w:t>Common Counting Standards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5C9C" w14:textId="77777777" w:rsidR="00E32DAB" w:rsidRDefault="00E32DAB" w:rsidP="00C55E12">
      <w:r>
        <w:separator/>
      </w:r>
    </w:p>
  </w:footnote>
  <w:footnote w:type="continuationSeparator" w:id="0">
    <w:p w14:paraId="12D9C02C" w14:textId="77777777" w:rsidR="00E32DAB" w:rsidRDefault="00E32DAB" w:rsidP="00C55E12">
      <w:r>
        <w:continuationSeparator/>
      </w:r>
    </w:p>
  </w:footnote>
  <w:footnote w:type="continuationNotice" w:id="1">
    <w:p w14:paraId="21C8F3B3" w14:textId="77777777" w:rsidR="00E32DAB" w:rsidRDefault="00E32DAB"/>
  </w:footnote>
  <w:footnote w:id="2">
    <w:p w14:paraId="13AA1054" w14:textId="77777777" w:rsidR="002415FD" w:rsidRPr="008B3C19" w:rsidRDefault="002415FD" w:rsidP="00C55E12">
      <w:pPr>
        <w:rPr>
          <w:sz w:val="20"/>
          <w:szCs w:val="20"/>
        </w:rPr>
      </w:pPr>
      <w:r w:rsidRPr="008B3C19">
        <w:rPr>
          <w:rStyle w:val="FootnoteReference"/>
          <w:rFonts w:eastAsiaTheme="majorEastAsia"/>
          <w:sz w:val="20"/>
          <w:szCs w:val="20"/>
        </w:rPr>
        <w:footnoteRef/>
      </w:r>
      <w:r w:rsidRPr="008B3C19">
        <w:rPr>
          <w:sz w:val="20"/>
          <w:szCs w:val="20"/>
        </w:rPr>
        <w:t xml:space="preserve"> CCTAG was a joint advisory group of the Ministry of Health and district health boards (DHBs). </w:t>
      </w:r>
    </w:p>
  </w:footnote>
  <w:footnote w:id="3">
    <w:p w14:paraId="7E413064" w14:textId="72E53B1F" w:rsidR="002415FD" w:rsidRPr="009940F8" w:rsidRDefault="002415FD" w:rsidP="00C55E12">
      <w:pPr>
        <w:pStyle w:val="FootnoteText"/>
        <w:rPr>
          <w:lang w:val="en-NZ"/>
        </w:rPr>
      </w:pPr>
      <w:r>
        <w:rPr>
          <w:rStyle w:val="FootnoteReference"/>
          <w:rFonts w:eastAsiaTheme="majorEastAsia"/>
        </w:rPr>
        <w:footnoteRef/>
      </w:r>
      <w:r>
        <w:t xml:space="preserve"> </w:t>
      </w:r>
      <w:r w:rsidRPr="00DE0F4E">
        <w:t>nsfl.health.govt.nz/accountability/operational-policy-framework-0</w:t>
      </w:r>
    </w:p>
  </w:footnote>
  <w:footnote w:id="4">
    <w:p w14:paraId="2DE228B0" w14:textId="7A857929" w:rsidR="002415FD" w:rsidRPr="000D19C6" w:rsidRDefault="002415FD" w:rsidP="00C55E12">
      <w:pPr>
        <w:pStyle w:val="FootnoteText"/>
        <w:spacing w:after="0"/>
        <w:rPr>
          <w:lang w:val="en-NZ"/>
        </w:rPr>
      </w:pPr>
      <w:r>
        <w:rPr>
          <w:rStyle w:val="FootnoteReference"/>
          <w:rFonts w:eastAsiaTheme="majorEastAsia"/>
        </w:rPr>
        <w:footnoteRef/>
      </w:r>
      <w:r>
        <w:t xml:space="preserve"> </w:t>
      </w:r>
      <w:r w:rsidRPr="00072050">
        <w:t>www.health.govt.nz/nz-health-statistics/data-references/code-tables/common-code-tables/health-specialty-code-table</w:t>
      </w:r>
    </w:p>
  </w:footnote>
  <w:footnote w:id="5">
    <w:p w14:paraId="7C010668" w14:textId="6419CE7E" w:rsidR="002415FD" w:rsidRPr="009D19CA" w:rsidRDefault="002415FD" w:rsidP="000F3E4E">
      <w:pPr>
        <w:pStyle w:val="FootnoteText"/>
        <w:rPr>
          <w:lang w:val="en-NZ"/>
        </w:rPr>
      </w:pPr>
      <w:r>
        <w:rPr>
          <w:rStyle w:val="FootnoteReference"/>
        </w:rPr>
        <w:footnoteRef/>
      </w:r>
      <w:r>
        <w:t xml:space="preserve"> </w:t>
      </w:r>
      <w:hyperlink r:id="rId1" w:history="1">
        <w:r w:rsidRPr="003621BC">
          <w:rPr>
            <w:rStyle w:val="Hyperlink"/>
          </w:rPr>
          <w:t>https://www.telehealth.org.nz/assets/standards/200327-Medical-Council-Statement-on-Telehealth-2020.pdf</w:t>
        </w:r>
      </w:hyperlink>
      <w:r>
        <w:t xml:space="preserve"> (March 2020 version)</w:t>
      </w:r>
    </w:p>
  </w:footnote>
  <w:footnote w:id="6">
    <w:p w14:paraId="281EE2EC" w14:textId="216146B7" w:rsidR="002415FD" w:rsidRPr="000907CC" w:rsidRDefault="002415FD">
      <w:pPr>
        <w:pStyle w:val="FootnoteText"/>
        <w:rPr>
          <w:lang w:val="en-NZ"/>
        </w:rPr>
      </w:pPr>
      <w:r>
        <w:rPr>
          <w:rStyle w:val="FootnoteReference"/>
        </w:rPr>
        <w:footnoteRef/>
      </w:r>
      <w:r>
        <w:t xml:space="preserve">  </w:t>
      </w:r>
      <w:hyperlink r:id="rId2" w:history="1">
        <w:r w:rsidRPr="00186DAF">
          <w:rPr>
            <w:rStyle w:val="Hyperlink"/>
            <w:rFonts w:eastAsiaTheme="majorEastAsia"/>
          </w:rPr>
          <w:t>www.alliedhealth.org.nz/uploads/8/8/9/4/88944696/best_practice_guide_for_telehealth_-_april_2018.pdf</w:t>
        </w:r>
      </w:hyperlink>
    </w:p>
  </w:footnote>
  <w:footnote w:id="7">
    <w:p w14:paraId="72597703" w14:textId="5DE2317A" w:rsidR="002415FD" w:rsidRPr="000907CC" w:rsidRDefault="002415FD">
      <w:pPr>
        <w:pStyle w:val="FootnoteText"/>
        <w:rPr>
          <w:lang w:val="en-NZ"/>
        </w:rPr>
      </w:pPr>
      <w:r>
        <w:rPr>
          <w:rStyle w:val="FootnoteReference"/>
        </w:rPr>
        <w:footnoteRef/>
      </w:r>
      <w:r>
        <w:t xml:space="preserve"> Health and Disability Services Eligibility Direction 2011 </w:t>
      </w:r>
      <w:hyperlink r:id="rId3" w:history="1">
        <w:r w:rsidRPr="00186DAF">
          <w:rPr>
            <w:rStyle w:val="Hyperlink"/>
          </w:rPr>
          <w:t>www.health.govt.nz/system/files/documents/pages/eligibility-direction-2011.pdf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9A7AE4"/>
    <w:lvl w:ilvl="0">
      <w:numFmt w:val="decimal"/>
      <w:pStyle w:val="BULLET1"/>
      <w:lvlText w:val="*"/>
      <w:lvlJc w:val="left"/>
      <w:rPr>
        <w:rFonts w:cs="Times New Roman"/>
      </w:rPr>
    </w:lvl>
  </w:abstractNum>
  <w:abstractNum w:abstractNumId="1" w15:restartNumberingAfterBreak="0">
    <w:nsid w:val="01A240EC"/>
    <w:multiLevelType w:val="multilevel"/>
    <w:tmpl w:val="5BF8A102"/>
    <w:lvl w:ilvl="0">
      <w:start w:val="1"/>
      <w:numFmt w:val="none"/>
      <w:lvlText w:val=""/>
      <w:lvlJc w:val="left"/>
      <w:pPr>
        <w:ind w:left="0" w:firstLine="0"/>
      </w:pPr>
      <w:rPr>
        <w:rFonts w:hint="default"/>
      </w:rPr>
    </w:lvl>
    <w:lvl w:ilvl="1">
      <w:start w:val="1"/>
      <w:numFmt w:val="decimal"/>
      <w:pStyle w:val="Heading1"/>
      <w:lvlText w:val="%2%1"/>
      <w:lvlJc w:val="left"/>
      <w:pPr>
        <w:ind w:left="567" w:hanging="567"/>
      </w:pPr>
      <w:rPr>
        <w:rFonts w:hint="default"/>
      </w:rPr>
    </w:lvl>
    <w:lvl w:ilvl="2">
      <w:start w:val="1"/>
      <w:numFmt w:val="none"/>
      <w:lvlText w:val=""/>
      <w:lvlJc w:val="left"/>
      <w:pPr>
        <w:ind w:left="0" w:firstLine="0"/>
      </w:pPr>
      <w:rPr>
        <w:rFonts w:hint="default"/>
      </w:rPr>
    </w:lvl>
    <w:lvl w:ilvl="3">
      <w:start w:val="1"/>
      <w:numFmt w:val="decimal"/>
      <w:pStyle w:val="Heading3"/>
      <w:lvlText w:val="%2.%4"/>
      <w:lvlJc w:val="left"/>
      <w:pPr>
        <w:ind w:left="567" w:hanging="567"/>
      </w:pPr>
      <w:rPr>
        <w:rFonts w:hint="default"/>
      </w:rPr>
    </w:lvl>
    <w:lvl w:ilvl="4">
      <w:start w:val="1"/>
      <w:numFmt w:val="decimal"/>
      <w:lvlText w:val="%1.%2.%3.%4.%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 w15:restartNumberingAfterBreak="0">
    <w:nsid w:val="183678D6"/>
    <w:multiLevelType w:val="multilevel"/>
    <w:tmpl w:val="2BACBB40"/>
    <w:styleLink w:val="HeadingsNrs"/>
    <w:lvl w:ilvl="0">
      <w:start w:val="1"/>
      <w:numFmt w:val="none"/>
      <w:lvlText w:val=""/>
      <w:lvlJc w:val="left"/>
      <w:pPr>
        <w:ind w:left="0" w:firstLine="0"/>
      </w:pPr>
      <w:rPr>
        <w:rFonts w:hint="default"/>
      </w:rPr>
    </w:lvl>
    <w:lvl w:ilvl="1">
      <w:start w:val="1"/>
      <w:numFmt w:val="decimal"/>
      <w:lvlText w:val="%2%1"/>
      <w:lvlJc w:val="left"/>
      <w:pPr>
        <w:ind w:left="567" w:hanging="567"/>
      </w:pPr>
      <w:rPr>
        <w:rFonts w:hint="default"/>
      </w:rPr>
    </w:lvl>
    <w:lvl w:ilvl="2">
      <w:start w:val="1"/>
      <w:numFmt w:val="none"/>
      <w:lvlText w:val=""/>
      <w:lvlJc w:val="left"/>
      <w:pPr>
        <w:ind w:left="0" w:firstLine="0"/>
      </w:pPr>
      <w:rPr>
        <w:rFonts w:hint="default"/>
      </w:rPr>
    </w:lvl>
    <w:lvl w:ilvl="3">
      <w:start w:val="1"/>
      <w:numFmt w:val="decimal"/>
      <w:lvlText w:val="%2.%4"/>
      <w:lvlJc w:val="left"/>
      <w:pPr>
        <w:ind w:left="567" w:hanging="567"/>
      </w:pPr>
      <w:rPr>
        <w:rFonts w:hint="default"/>
      </w:rPr>
    </w:lvl>
    <w:lvl w:ilvl="4">
      <w:start w:val="1"/>
      <w:numFmt w:val="decimal"/>
      <w:lvlText w:val="%1.%2.%3.%4.%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 w15:restartNumberingAfterBreak="0">
    <w:nsid w:val="1B6360A2"/>
    <w:multiLevelType w:val="hybridMultilevel"/>
    <w:tmpl w:val="C284B2D4"/>
    <w:lvl w:ilvl="0" w:tplc="0B58B466">
      <w:start w:val="1"/>
      <w:numFmt w:val="lowerLetter"/>
      <w:pStyle w:val="Letterlist"/>
      <w:lvlText w:val="%1."/>
      <w:lvlJc w:val="left"/>
      <w:pPr>
        <w:ind w:left="540" w:hanging="360"/>
      </w:pPr>
    </w:lvl>
    <w:lvl w:ilvl="1" w:tplc="14090019">
      <w:start w:val="1"/>
      <w:numFmt w:val="lowerLetter"/>
      <w:lvlText w:val="%2."/>
      <w:lvlJc w:val="left"/>
      <w:pPr>
        <w:ind w:left="1260" w:hanging="360"/>
      </w:pPr>
    </w:lvl>
    <w:lvl w:ilvl="2" w:tplc="1409001B">
      <w:start w:val="1"/>
      <w:numFmt w:val="lowerRoman"/>
      <w:lvlText w:val="%3."/>
      <w:lvlJc w:val="right"/>
      <w:pPr>
        <w:ind w:left="1980" w:hanging="180"/>
      </w:pPr>
    </w:lvl>
    <w:lvl w:ilvl="3" w:tplc="1409000F">
      <w:start w:val="1"/>
      <w:numFmt w:val="decimal"/>
      <w:lvlText w:val="%4."/>
      <w:lvlJc w:val="left"/>
      <w:pPr>
        <w:ind w:left="2700" w:hanging="360"/>
      </w:pPr>
    </w:lvl>
    <w:lvl w:ilvl="4" w:tplc="14090019" w:tentative="1">
      <w:start w:val="1"/>
      <w:numFmt w:val="lowerLetter"/>
      <w:lvlText w:val="%5."/>
      <w:lvlJc w:val="left"/>
      <w:pPr>
        <w:ind w:left="3420" w:hanging="360"/>
      </w:pPr>
    </w:lvl>
    <w:lvl w:ilvl="5" w:tplc="1409001B" w:tentative="1">
      <w:start w:val="1"/>
      <w:numFmt w:val="lowerRoman"/>
      <w:lvlText w:val="%6."/>
      <w:lvlJc w:val="right"/>
      <w:pPr>
        <w:ind w:left="4140" w:hanging="180"/>
      </w:pPr>
    </w:lvl>
    <w:lvl w:ilvl="6" w:tplc="1409000F" w:tentative="1">
      <w:start w:val="1"/>
      <w:numFmt w:val="decimal"/>
      <w:lvlText w:val="%7."/>
      <w:lvlJc w:val="left"/>
      <w:pPr>
        <w:ind w:left="4860" w:hanging="360"/>
      </w:pPr>
    </w:lvl>
    <w:lvl w:ilvl="7" w:tplc="14090019" w:tentative="1">
      <w:start w:val="1"/>
      <w:numFmt w:val="lowerLetter"/>
      <w:lvlText w:val="%8."/>
      <w:lvlJc w:val="left"/>
      <w:pPr>
        <w:ind w:left="5580" w:hanging="360"/>
      </w:pPr>
    </w:lvl>
    <w:lvl w:ilvl="8" w:tplc="1409001B" w:tentative="1">
      <w:start w:val="1"/>
      <w:numFmt w:val="lowerRoman"/>
      <w:lvlText w:val="%9."/>
      <w:lvlJc w:val="right"/>
      <w:pPr>
        <w:ind w:left="6300" w:hanging="180"/>
      </w:pPr>
    </w:lvl>
  </w:abstractNum>
  <w:abstractNum w:abstractNumId="4" w15:restartNumberingAfterBreak="0">
    <w:nsid w:val="36E825CC"/>
    <w:multiLevelType w:val="multilevel"/>
    <w:tmpl w:val="8F6A5EF2"/>
    <w:styleLink w:val="Bullets"/>
    <w:lvl w:ilvl="0">
      <w:start w:val="1"/>
      <w:numFmt w:val="bullet"/>
      <w:pStyle w:val="BulletNormal"/>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EA75A96"/>
    <w:multiLevelType w:val="multilevel"/>
    <w:tmpl w:val="8F6A5EF2"/>
    <w:numStyleLink w:val="Bullets"/>
  </w:abstractNum>
  <w:abstractNum w:abstractNumId="6" w15:restartNumberingAfterBreak="0">
    <w:nsid w:val="5A024626"/>
    <w:multiLevelType w:val="hybridMultilevel"/>
    <w:tmpl w:val="D79E8142"/>
    <w:lvl w:ilvl="0" w:tplc="14090001">
      <w:start w:val="1"/>
      <w:numFmt w:val="bullet"/>
      <w:lvlText w:val=""/>
      <w:lvlJc w:val="left"/>
      <w:pPr>
        <w:ind w:left="940" w:hanging="360"/>
      </w:pPr>
      <w:rPr>
        <w:rFonts w:ascii="Symbol" w:hAnsi="Symbol" w:hint="default"/>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7" w15:restartNumberingAfterBreak="0">
    <w:nsid w:val="735D0BFD"/>
    <w:multiLevelType w:val="hybridMultilevel"/>
    <w:tmpl w:val="54802B90"/>
    <w:lvl w:ilvl="0" w:tplc="C38EB27C">
      <w:start w:val="1"/>
      <w:numFmt w:val="bullet"/>
      <w:lvlText w:val="•"/>
      <w:lvlJc w:val="left"/>
      <w:pPr>
        <w:tabs>
          <w:tab w:val="num" w:pos="360"/>
        </w:tabs>
        <w:ind w:left="360" w:hanging="360"/>
      </w:pPr>
      <w:rPr>
        <w:rFonts w:ascii="Arial" w:hAnsi="Arial" w:hint="default"/>
      </w:rPr>
    </w:lvl>
    <w:lvl w:ilvl="1" w:tplc="1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740290"/>
    <w:multiLevelType w:val="hybridMultilevel"/>
    <w:tmpl w:val="F5B6D3DA"/>
    <w:lvl w:ilvl="0" w:tplc="1409000F">
      <w:start w:val="1"/>
      <w:numFmt w:val="decimal"/>
      <w:lvlText w:val="%1."/>
      <w:lvlJc w:val="left"/>
      <w:pPr>
        <w:ind w:left="900" w:hanging="360"/>
      </w:pPr>
    </w:lvl>
    <w:lvl w:ilvl="1" w:tplc="14090019">
      <w:start w:val="1"/>
      <w:numFmt w:val="lowerLetter"/>
      <w:lvlText w:val="%2."/>
      <w:lvlJc w:val="left"/>
      <w:pPr>
        <w:ind w:left="1620" w:hanging="360"/>
      </w:pPr>
    </w:lvl>
    <w:lvl w:ilvl="2" w:tplc="1409001B">
      <w:start w:val="1"/>
      <w:numFmt w:val="lowerRoman"/>
      <w:lvlText w:val="%3."/>
      <w:lvlJc w:val="right"/>
      <w:pPr>
        <w:ind w:left="2340" w:hanging="180"/>
      </w:pPr>
    </w:lvl>
    <w:lvl w:ilvl="3" w:tplc="1409000F">
      <w:start w:val="1"/>
      <w:numFmt w:val="decimal"/>
      <w:lvlText w:val="%4."/>
      <w:lvlJc w:val="left"/>
      <w:pPr>
        <w:ind w:left="3060" w:hanging="360"/>
      </w:pPr>
    </w:lvl>
    <w:lvl w:ilvl="4" w:tplc="14090019">
      <w:start w:val="1"/>
      <w:numFmt w:val="lowerLetter"/>
      <w:lvlText w:val="%5."/>
      <w:lvlJc w:val="left"/>
      <w:pPr>
        <w:ind w:left="3780" w:hanging="360"/>
      </w:pPr>
    </w:lvl>
    <w:lvl w:ilvl="5" w:tplc="1409001B">
      <w:start w:val="1"/>
      <w:numFmt w:val="lowerRoman"/>
      <w:lvlText w:val="%6."/>
      <w:lvlJc w:val="right"/>
      <w:pPr>
        <w:ind w:left="4500" w:hanging="180"/>
      </w:pPr>
    </w:lvl>
    <w:lvl w:ilvl="6" w:tplc="1409000F">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num w:numId="1">
    <w:abstractNumId w:val="0"/>
    <w:lvlOverride w:ilvl="0">
      <w:lvl w:ilvl="0">
        <w:start w:val="1"/>
        <w:numFmt w:val="bullet"/>
        <w:pStyle w:val="BULLET1"/>
        <w:lvlText w:val=""/>
        <w:legacy w:legacy="1" w:legacySpace="0" w:legacyIndent="360"/>
        <w:lvlJc w:val="left"/>
        <w:pPr>
          <w:ind w:left="360" w:hanging="360"/>
        </w:pPr>
        <w:rPr>
          <w:rFonts w:ascii="Symbol" w:hAnsi="Symbol" w:hint="default"/>
          <w:sz w:val="20"/>
        </w:rPr>
      </w:lvl>
    </w:lvlOverride>
  </w:num>
  <w:num w:numId="2">
    <w:abstractNumId w:val="2"/>
    <w:lvlOverride w:ilvl="0">
      <w:lvl w:ilvl="0">
        <w:start w:val="1"/>
        <w:numFmt w:val="decimal"/>
        <w:lvlText w:val="%1"/>
        <w:lvlJc w:val="left"/>
        <w:pPr>
          <w:ind w:left="357" w:hanging="357"/>
        </w:pPr>
        <w:rPr>
          <w:rFonts w:hint="default"/>
        </w:rPr>
      </w:lvl>
    </w:lvlOverride>
    <w:lvlOverride w:ilvl="1">
      <w:lvl w:ilvl="1">
        <w:start w:val="1"/>
        <w:numFmt w:val="none"/>
        <w:lvlText w:val=""/>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3">
    <w:abstractNumId w:val="4"/>
  </w:num>
  <w:num w:numId="4">
    <w:abstractNumId w:val="5"/>
  </w:num>
  <w:num w:numId="5">
    <w:abstractNumId w:val="3"/>
  </w:num>
  <w:num w:numId="6">
    <w:abstractNumId w:val="3"/>
    <w:lvlOverride w:ilvl="0">
      <w:startOverride w:val="1"/>
    </w:lvlOverride>
  </w:num>
  <w:num w:numId="7">
    <w:abstractNumId w:val="1"/>
  </w:num>
  <w:num w:numId="8">
    <w:abstractNumId w:val="7"/>
  </w:num>
  <w:num w:numId="9">
    <w:abstractNumId w:val="2"/>
  </w:num>
  <w:num w:numId="10">
    <w:abstractNumId w:val="6"/>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12"/>
    <w:rsid w:val="00005203"/>
    <w:rsid w:val="00005B73"/>
    <w:rsid w:val="000112C2"/>
    <w:rsid w:val="000140C3"/>
    <w:rsid w:val="000170CA"/>
    <w:rsid w:val="0003223C"/>
    <w:rsid w:val="0003312E"/>
    <w:rsid w:val="00033B9A"/>
    <w:rsid w:val="00040A1B"/>
    <w:rsid w:val="00042CE7"/>
    <w:rsid w:val="000433F7"/>
    <w:rsid w:val="000465E9"/>
    <w:rsid w:val="00053910"/>
    <w:rsid w:val="00054713"/>
    <w:rsid w:val="000548B7"/>
    <w:rsid w:val="00060B35"/>
    <w:rsid w:val="000637A1"/>
    <w:rsid w:val="000652AD"/>
    <w:rsid w:val="0007134A"/>
    <w:rsid w:val="000726B0"/>
    <w:rsid w:val="0007370A"/>
    <w:rsid w:val="000743DB"/>
    <w:rsid w:val="000775D1"/>
    <w:rsid w:val="00077EEE"/>
    <w:rsid w:val="00087F18"/>
    <w:rsid w:val="000907CC"/>
    <w:rsid w:val="000960BE"/>
    <w:rsid w:val="0009794C"/>
    <w:rsid w:val="000A0AE8"/>
    <w:rsid w:val="000A0B7F"/>
    <w:rsid w:val="000A1171"/>
    <w:rsid w:val="000B1468"/>
    <w:rsid w:val="000B5C0D"/>
    <w:rsid w:val="000D0E28"/>
    <w:rsid w:val="000E6DEE"/>
    <w:rsid w:val="000F3E4E"/>
    <w:rsid w:val="000F4D28"/>
    <w:rsid w:val="000F6ACA"/>
    <w:rsid w:val="00100870"/>
    <w:rsid w:val="00101D3E"/>
    <w:rsid w:val="00110D1F"/>
    <w:rsid w:val="00110F04"/>
    <w:rsid w:val="00113045"/>
    <w:rsid w:val="00122456"/>
    <w:rsid w:val="00124D1B"/>
    <w:rsid w:val="0012504D"/>
    <w:rsid w:val="00126979"/>
    <w:rsid w:val="0012786C"/>
    <w:rsid w:val="00127FC3"/>
    <w:rsid w:val="00130634"/>
    <w:rsid w:val="0013379F"/>
    <w:rsid w:val="00140653"/>
    <w:rsid w:val="001442DB"/>
    <w:rsid w:val="00154D4E"/>
    <w:rsid w:val="00161C80"/>
    <w:rsid w:val="00162E00"/>
    <w:rsid w:val="00173982"/>
    <w:rsid w:val="0017479D"/>
    <w:rsid w:val="0017709F"/>
    <w:rsid w:val="001814F5"/>
    <w:rsid w:val="00186DAF"/>
    <w:rsid w:val="0019058E"/>
    <w:rsid w:val="00197342"/>
    <w:rsid w:val="001A234B"/>
    <w:rsid w:val="001A27D4"/>
    <w:rsid w:val="001A4B31"/>
    <w:rsid w:val="001B3F63"/>
    <w:rsid w:val="001C417B"/>
    <w:rsid w:val="001D04E9"/>
    <w:rsid w:val="001D4763"/>
    <w:rsid w:val="001D5632"/>
    <w:rsid w:val="001F1A6A"/>
    <w:rsid w:val="001F1EDC"/>
    <w:rsid w:val="001F5FBD"/>
    <w:rsid w:val="00202C80"/>
    <w:rsid w:val="002125F2"/>
    <w:rsid w:val="0021593D"/>
    <w:rsid w:val="0021654D"/>
    <w:rsid w:val="00222DBA"/>
    <w:rsid w:val="00223D64"/>
    <w:rsid w:val="00227745"/>
    <w:rsid w:val="00235EA0"/>
    <w:rsid w:val="002415FD"/>
    <w:rsid w:val="00244C46"/>
    <w:rsid w:val="00245DA5"/>
    <w:rsid w:val="0025220F"/>
    <w:rsid w:val="002545A6"/>
    <w:rsid w:val="0026204A"/>
    <w:rsid w:val="00270BD6"/>
    <w:rsid w:val="002733F2"/>
    <w:rsid w:val="00273B3B"/>
    <w:rsid w:val="00282ADC"/>
    <w:rsid w:val="002963DC"/>
    <w:rsid w:val="002A2176"/>
    <w:rsid w:val="002A655D"/>
    <w:rsid w:val="002A7432"/>
    <w:rsid w:val="002A7773"/>
    <w:rsid w:val="002B0929"/>
    <w:rsid w:val="002B1BC2"/>
    <w:rsid w:val="002B3952"/>
    <w:rsid w:val="002B7E4A"/>
    <w:rsid w:val="002C1E16"/>
    <w:rsid w:val="002C335A"/>
    <w:rsid w:val="002D3E9F"/>
    <w:rsid w:val="002D44C0"/>
    <w:rsid w:val="002E2002"/>
    <w:rsid w:val="002E46B2"/>
    <w:rsid w:val="002E6C8A"/>
    <w:rsid w:val="00302F0F"/>
    <w:rsid w:val="00303999"/>
    <w:rsid w:val="00306307"/>
    <w:rsid w:val="00307122"/>
    <w:rsid w:val="0032051B"/>
    <w:rsid w:val="00323E41"/>
    <w:rsid w:val="003552E4"/>
    <w:rsid w:val="0035547F"/>
    <w:rsid w:val="0036636A"/>
    <w:rsid w:val="00375A8D"/>
    <w:rsid w:val="003772D6"/>
    <w:rsid w:val="00377B4F"/>
    <w:rsid w:val="0038650E"/>
    <w:rsid w:val="003878BC"/>
    <w:rsid w:val="003927FB"/>
    <w:rsid w:val="003B40D2"/>
    <w:rsid w:val="003B5FC6"/>
    <w:rsid w:val="003B7AC9"/>
    <w:rsid w:val="003C2420"/>
    <w:rsid w:val="003C4493"/>
    <w:rsid w:val="003C6958"/>
    <w:rsid w:val="003C77BF"/>
    <w:rsid w:val="003C7D44"/>
    <w:rsid w:val="003D0FFE"/>
    <w:rsid w:val="003D48C9"/>
    <w:rsid w:val="003D6099"/>
    <w:rsid w:val="003E4716"/>
    <w:rsid w:val="003E5D41"/>
    <w:rsid w:val="003E66A2"/>
    <w:rsid w:val="003F2495"/>
    <w:rsid w:val="003F44CB"/>
    <w:rsid w:val="003F6ED2"/>
    <w:rsid w:val="00417445"/>
    <w:rsid w:val="00425972"/>
    <w:rsid w:val="004260EB"/>
    <w:rsid w:val="00427F81"/>
    <w:rsid w:val="00437DB2"/>
    <w:rsid w:val="00445D03"/>
    <w:rsid w:val="00452D2F"/>
    <w:rsid w:val="004540DB"/>
    <w:rsid w:val="004604ED"/>
    <w:rsid w:val="00460EE2"/>
    <w:rsid w:val="004634A7"/>
    <w:rsid w:val="00472589"/>
    <w:rsid w:val="0047710D"/>
    <w:rsid w:val="00486CF1"/>
    <w:rsid w:val="00487C8D"/>
    <w:rsid w:val="00491E89"/>
    <w:rsid w:val="00492486"/>
    <w:rsid w:val="00492786"/>
    <w:rsid w:val="00496D02"/>
    <w:rsid w:val="004A1D46"/>
    <w:rsid w:val="004A35BD"/>
    <w:rsid w:val="004A5ED6"/>
    <w:rsid w:val="004D1046"/>
    <w:rsid w:val="004D145F"/>
    <w:rsid w:val="004D220C"/>
    <w:rsid w:val="004D3CB7"/>
    <w:rsid w:val="004E030D"/>
    <w:rsid w:val="004E5443"/>
    <w:rsid w:val="004E60A1"/>
    <w:rsid w:val="004E7E90"/>
    <w:rsid w:val="004F4EE9"/>
    <w:rsid w:val="0050029F"/>
    <w:rsid w:val="005022EF"/>
    <w:rsid w:val="00503DB2"/>
    <w:rsid w:val="00505336"/>
    <w:rsid w:val="00507F43"/>
    <w:rsid w:val="0051256D"/>
    <w:rsid w:val="0052645E"/>
    <w:rsid w:val="00531534"/>
    <w:rsid w:val="00540557"/>
    <w:rsid w:val="00547A87"/>
    <w:rsid w:val="00550DA9"/>
    <w:rsid w:val="0057179C"/>
    <w:rsid w:val="0057613D"/>
    <w:rsid w:val="00580E7D"/>
    <w:rsid w:val="005827E6"/>
    <w:rsid w:val="005932E5"/>
    <w:rsid w:val="00596AB9"/>
    <w:rsid w:val="005A34BD"/>
    <w:rsid w:val="005A4E5F"/>
    <w:rsid w:val="005B4E1B"/>
    <w:rsid w:val="005C31DC"/>
    <w:rsid w:val="005E11E4"/>
    <w:rsid w:val="005E1446"/>
    <w:rsid w:val="005E4B28"/>
    <w:rsid w:val="005F4B6E"/>
    <w:rsid w:val="005F67AC"/>
    <w:rsid w:val="005F6A28"/>
    <w:rsid w:val="0061225F"/>
    <w:rsid w:val="006141A4"/>
    <w:rsid w:val="00617E61"/>
    <w:rsid w:val="0062797D"/>
    <w:rsid w:val="00637BB0"/>
    <w:rsid w:val="00637ECB"/>
    <w:rsid w:val="00642376"/>
    <w:rsid w:val="00650753"/>
    <w:rsid w:val="006529F1"/>
    <w:rsid w:val="00652F41"/>
    <w:rsid w:val="00660767"/>
    <w:rsid w:val="00667847"/>
    <w:rsid w:val="00667876"/>
    <w:rsid w:val="00673007"/>
    <w:rsid w:val="00680288"/>
    <w:rsid w:val="006806C7"/>
    <w:rsid w:val="00685498"/>
    <w:rsid w:val="00686CC7"/>
    <w:rsid w:val="00691579"/>
    <w:rsid w:val="006A0622"/>
    <w:rsid w:val="006A0F39"/>
    <w:rsid w:val="006A20C8"/>
    <w:rsid w:val="006A359F"/>
    <w:rsid w:val="006A6AF9"/>
    <w:rsid w:val="006E4887"/>
    <w:rsid w:val="006F48C6"/>
    <w:rsid w:val="00707436"/>
    <w:rsid w:val="00711305"/>
    <w:rsid w:val="0072369C"/>
    <w:rsid w:val="0072383E"/>
    <w:rsid w:val="007244B1"/>
    <w:rsid w:val="007246C4"/>
    <w:rsid w:val="00730486"/>
    <w:rsid w:val="0073758A"/>
    <w:rsid w:val="0074073C"/>
    <w:rsid w:val="0074084F"/>
    <w:rsid w:val="007514A9"/>
    <w:rsid w:val="00751AE8"/>
    <w:rsid w:val="00752827"/>
    <w:rsid w:val="00760373"/>
    <w:rsid w:val="007675A2"/>
    <w:rsid w:val="00772298"/>
    <w:rsid w:val="00772788"/>
    <w:rsid w:val="00786887"/>
    <w:rsid w:val="007A15AA"/>
    <w:rsid w:val="007A2425"/>
    <w:rsid w:val="007B1355"/>
    <w:rsid w:val="007C2FBE"/>
    <w:rsid w:val="007C7619"/>
    <w:rsid w:val="007D0A29"/>
    <w:rsid w:val="007D4C37"/>
    <w:rsid w:val="007F1F44"/>
    <w:rsid w:val="007F59AD"/>
    <w:rsid w:val="00801650"/>
    <w:rsid w:val="008016E5"/>
    <w:rsid w:val="00816519"/>
    <w:rsid w:val="00817576"/>
    <w:rsid w:val="00824AEE"/>
    <w:rsid w:val="008260D5"/>
    <w:rsid w:val="0082675D"/>
    <w:rsid w:val="00852A3C"/>
    <w:rsid w:val="0086370D"/>
    <w:rsid w:val="00865696"/>
    <w:rsid w:val="00867AE8"/>
    <w:rsid w:val="00882326"/>
    <w:rsid w:val="008969D4"/>
    <w:rsid w:val="008A3477"/>
    <w:rsid w:val="008A45F3"/>
    <w:rsid w:val="008A707E"/>
    <w:rsid w:val="008B26B8"/>
    <w:rsid w:val="008B3C19"/>
    <w:rsid w:val="008B644C"/>
    <w:rsid w:val="008B6B6B"/>
    <w:rsid w:val="008C12B0"/>
    <w:rsid w:val="008C20B6"/>
    <w:rsid w:val="008D0EDD"/>
    <w:rsid w:val="008D47F3"/>
    <w:rsid w:val="008D4862"/>
    <w:rsid w:val="008D74BC"/>
    <w:rsid w:val="008E060D"/>
    <w:rsid w:val="008E1218"/>
    <w:rsid w:val="008E448A"/>
    <w:rsid w:val="008F5508"/>
    <w:rsid w:val="008F611F"/>
    <w:rsid w:val="008F7F5C"/>
    <w:rsid w:val="00902FAC"/>
    <w:rsid w:val="00904344"/>
    <w:rsid w:val="00905490"/>
    <w:rsid w:val="009130A1"/>
    <w:rsid w:val="009148AE"/>
    <w:rsid w:val="00925CB7"/>
    <w:rsid w:val="00927E07"/>
    <w:rsid w:val="00930290"/>
    <w:rsid w:val="00931D15"/>
    <w:rsid w:val="00932F62"/>
    <w:rsid w:val="00933D59"/>
    <w:rsid w:val="00934C00"/>
    <w:rsid w:val="0093510D"/>
    <w:rsid w:val="00954C1B"/>
    <w:rsid w:val="009602EE"/>
    <w:rsid w:val="00976403"/>
    <w:rsid w:val="00982A43"/>
    <w:rsid w:val="00985079"/>
    <w:rsid w:val="00985FC0"/>
    <w:rsid w:val="00991DD3"/>
    <w:rsid w:val="009941B2"/>
    <w:rsid w:val="009A2AE8"/>
    <w:rsid w:val="009A7542"/>
    <w:rsid w:val="009A7B8D"/>
    <w:rsid w:val="009B78F8"/>
    <w:rsid w:val="009C1604"/>
    <w:rsid w:val="009D36E9"/>
    <w:rsid w:val="009D6CFE"/>
    <w:rsid w:val="009D73CF"/>
    <w:rsid w:val="009E10AE"/>
    <w:rsid w:val="009F1E01"/>
    <w:rsid w:val="00A036D8"/>
    <w:rsid w:val="00A0616F"/>
    <w:rsid w:val="00A1481C"/>
    <w:rsid w:val="00A22CEA"/>
    <w:rsid w:val="00A2343E"/>
    <w:rsid w:val="00A248BF"/>
    <w:rsid w:val="00A25255"/>
    <w:rsid w:val="00A30167"/>
    <w:rsid w:val="00A32285"/>
    <w:rsid w:val="00A325F9"/>
    <w:rsid w:val="00A536EA"/>
    <w:rsid w:val="00A543C3"/>
    <w:rsid w:val="00A559CA"/>
    <w:rsid w:val="00A66FA9"/>
    <w:rsid w:val="00A72AAB"/>
    <w:rsid w:val="00A737F3"/>
    <w:rsid w:val="00A813D6"/>
    <w:rsid w:val="00A818F1"/>
    <w:rsid w:val="00A847E6"/>
    <w:rsid w:val="00A84B1E"/>
    <w:rsid w:val="00A85CF4"/>
    <w:rsid w:val="00A9245A"/>
    <w:rsid w:val="00AA74C4"/>
    <w:rsid w:val="00AB1AFF"/>
    <w:rsid w:val="00AB32F9"/>
    <w:rsid w:val="00AB6CC1"/>
    <w:rsid w:val="00AC2467"/>
    <w:rsid w:val="00AC59B8"/>
    <w:rsid w:val="00AD1E6B"/>
    <w:rsid w:val="00AD3154"/>
    <w:rsid w:val="00AD35A7"/>
    <w:rsid w:val="00AD38E8"/>
    <w:rsid w:val="00AD3DBC"/>
    <w:rsid w:val="00AD6FDF"/>
    <w:rsid w:val="00AE2D1F"/>
    <w:rsid w:val="00AE2D7F"/>
    <w:rsid w:val="00AE4D6C"/>
    <w:rsid w:val="00AF43BD"/>
    <w:rsid w:val="00AF5E5C"/>
    <w:rsid w:val="00B0383D"/>
    <w:rsid w:val="00B11B4E"/>
    <w:rsid w:val="00B238F3"/>
    <w:rsid w:val="00B31723"/>
    <w:rsid w:val="00B3479D"/>
    <w:rsid w:val="00B373C7"/>
    <w:rsid w:val="00B376A4"/>
    <w:rsid w:val="00B44584"/>
    <w:rsid w:val="00B47CB9"/>
    <w:rsid w:val="00B6123C"/>
    <w:rsid w:val="00B654B9"/>
    <w:rsid w:val="00B6584E"/>
    <w:rsid w:val="00B66BC2"/>
    <w:rsid w:val="00B67154"/>
    <w:rsid w:val="00B76C28"/>
    <w:rsid w:val="00B83B4D"/>
    <w:rsid w:val="00BA1980"/>
    <w:rsid w:val="00BB3F24"/>
    <w:rsid w:val="00BB428D"/>
    <w:rsid w:val="00BC023C"/>
    <w:rsid w:val="00BC6CFF"/>
    <w:rsid w:val="00BD766E"/>
    <w:rsid w:val="00BD7AB1"/>
    <w:rsid w:val="00BF3F8F"/>
    <w:rsid w:val="00BF4F2A"/>
    <w:rsid w:val="00C01174"/>
    <w:rsid w:val="00C0475F"/>
    <w:rsid w:val="00C35276"/>
    <w:rsid w:val="00C35C08"/>
    <w:rsid w:val="00C42AEB"/>
    <w:rsid w:val="00C5234E"/>
    <w:rsid w:val="00C54DBF"/>
    <w:rsid w:val="00C55E12"/>
    <w:rsid w:val="00C607D7"/>
    <w:rsid w:val="00C718CB"/>
    <w:rsid w:val="00C738E6"/>
    <w:rsid w:val="00C7414F"/>
    <w:rsid w:val="00C80CDA"/>
    <w:rsid w:val="00C867C7"/>
    <w:rsid w:val="00C90C51"/>
    <w:rsid w:val="00C920DD"/>
    <w:rsid w:val="00C9754E"/>
    <w:rsid w:val="00CA132F"/>
    <w:rsid w:val="00CA3F97"/>
    <w:rsid w:val="00CA461F"/>
    <w:rsid w:val="00CA69A5"/>
    <w:rsid w:val="00CB32A5"/>
    <w:rsid w:val="00CB6DBF"/>
    <w:rsid w:val="00CC20B3"/>
    <w:rsid w:val="00CC3F9C"/>
    <w:rsid w:val="00CC77AB"/>
    <w:rsid w:val="00CD035D"/>
    <w:rsid w:val="00CD127F"/>
    <w:rsid w:val="00CE04F5"/>
    <w:rsid w:val="00CE7B4F"/>
    <w:rsid w:val="00CF406A"/>
    <w:rsid w:val="00D01FD9"/>
    <w:rsid w:val="00D101C3"/>
    <w:rsid w:val="00D15A55"/>
    <w:rsid w:val="00D16B57"/>
    <w:rsid w:val="00D25045"/>
    <w:rsid w:val="00D25829"/>
    <w:rsid w:val="00D264B7"/>
    <w:rsid w:val="00D26CD0"/>
    <w:rsid w:val="00D3033C"/>
    <w:rsid w:val="00D3115B"/>
    <w:rsid w:val="00D318E1"/>
    <w:rsid w:val="00D352EA"/>
    <w:rsid w:val="00D35F1E"/>
    <w:rsid w:val="00D41C5B"/>
    <w:rsid w:val="00D4415C"/>
    <w:rsid w:val="00D45E63"/>
    <w:rsid w:val="00D60393"/>
    <w:rsid w:val="00D67BAE"/>
    <w:rsid w:val="00D7237F"/>
    <w:rsid w:val="00D75CD5"/>
    <w:rsid w:val="00D760E0"/>
    <w:rsid w:val="00D76ACB"/>
    <w:rsid w:val="00D8397E"/>
    <w:rsid w:val="00D8798F"/>
    <w:rsid w:val="00D929AE"/>
    <w:rsid w:val="00DA3957"/>
    <w:rsid w:val="00DA471A"/>
    <w:rsid w:val="00DA6426"/>
    <w:rsid w:val="00DA6E8F"/>
    <w:rsid w:val="00DB2E0A"/>
    <w:rsid w:val="00DC1396"/>
    <w:rsid w:val="00DD0D1D"/>
    <w:rsid w:val="00DD3A33"/>
    <w:rsid w:val="00DD5302"/>
    <w:rsid w:val="00DE0B84"/>
    <w:rsid w:val="00DE4BC7"/>
    <w:rsid w:val="00DE53F8"/>
    <w:rsid w:val="00DE7A30"/>
    <w:rsid w:val="00DF3A1C"/>
    <w:rsid w:val="00DF4CA0"/>
    <w:rsid w:val="00E14D3C"/>
    <w:rsid w:val="00E21576"/>
    <w:rsid w:val="00E258FD"/>
    <w:rsid w:val="00E26FB3"/>
    <w:rsid w:val="00E31B60"/>
    <w:rsid w:val="00E32043"/>
    <w:rsid w:val="00E32DAB"/>
    <w:rsid w:val="00E42EA1"/>
    <w:rsid w:val="00E43AC6"/>
    <w:rsid w:val="00E51F33"/>
    <w:rsid w:val="00E66BEF"/>
    <w:rsid w:val="00E70EAB"/>
    <w:rsid w:val="00E73BC4"/>
    <w:rsid w:val="00E765C7"/>
    <w:rsid w:val="00E80A89"/>
    <w:rsid w:val="00E816EE"/>
    <w:rsid w:val="00E97D6D"/>
    <w:rsid w:val="00EA21E9"/>
    <w:rsid w:val="00EA4D46"/>
    <w:rsid w:val="00EA79C6"/>
    <w:rsid w:val="00EB4390"/>
    <w:rsid w:val="00EB5E53"/>
    <w:rsid w:val="00EC07D7"/>
    <w:rsid w:val="00EC2024"/>
    <w:rsid w:val="00EC3472"/>
    <w:rsid w:val="00EC3D0F"/>
    <w:rsid w:val="00EC563E"/>
    <w:rsid w:val="00EC7655"/>
    <w:rsid w:val="00ED1758"/>
    <w:rsid w:val="00ED1E55"/>
    <w:rsid w:val="00ED2582"/>
    <w:rsid w:val="00ED2B24"/>
    <w:rsid w:val="00ED64C3"/>
    <w:rsid w:val="00ED6C76"/>
    <w:rsid w:val="00EE17B6"/>
    <w:rsid w:val="00EE2839"/>
    <w:rsid w:val="00EE5F99"/>
    <w:rsid w:val="00F0262B"/>
    <w:rsid w:val="00F1791C"/>
    <w:rsid w:val="00F201D1"/>
    <w:rsid w:val="00F32C03"/>
    <w:rsid w:val="00F40D3D"/>
    <w:rsid w:val="00F43A3A"/>
    <w:rsid w:val="00F45B10"/>
    <w:rsid w:val="00F54F0C"/>
    <w:rsid w:val="00F55B93"/>
    <w:rsid w:val="00F70560"/>
    <w:rsid w:val="00F70FBC"/>
    <w:rsid w:val="00F71ABF"/>
    <w:rsid w:val="00F76A3A"/>
    <w:rsid w:val="00F77472"/>
    <w:rsid w:val="00F80F67"/>
    <w:rsid w:val="00F8403C"/>
    <w:rsid w:val="00FA3CA2"/>
    <w:rsid w:val="00FB083E"/>
    <w:rsid w:val="00FB1506"/>
    <w:rsid w:val="00FB22EE"/>
    <w:rsid w:val="00FB314F"/>
    <w:rsid w:val="00FC2DA1"/>
    <w:rsid w:val="00FC313C"/>
    <w:rsid w:val="00FC33B3"/>
    <w:rsid w:val="00FD7A3B"/>
    <w:rsid w:val="00FE0EFA"/>
    <w:rsid w:val="00FE241A"/>
    <w:rsid w:val="00FF0C37"/>
    <w:rsid w:val="00FF2D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162037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12"/>
    <w:pPr>
      <w:spacing w:after="0" w:line="240" w:lineRule="auto"/>
    </w:pPr>
    <w:rPr>
      <w:rFonts w:ascii="Arial" w:eastAsia="Times New Roman" w:hAnsi="Arial" w:cs="Times New Roman"/>
      <w:szCs w:val="24"/>
      <w:lang w:eastAsia="en-NZ"/>
    </w:rPr>
  </w:style>
  <w:style w:type="paragraph" w:styleId="Heading1">
    <w:name w:val="heading 1"/>
    <w:basedOn w:val="Normal"/>
    <w:next w:val="Normal"/>
    <w:link w:val="Heading1Char"/>
    <w:qFormat/>
    <w:rsid w:val="00C55E12"/>
    <w:pPr>
      <w:keepNext/>
      <w:numPr>
        <w:ilvl w:val="1"/>
        <w:numId w:val="7"/>
      </w:numPr>
      <w:spacing w:before="240" w:after="60"/>
      <w:outlineLvl w:val="0"/>
    </w:pPr>
    <w:rPr>
      <w:rFonts w:cs="Arial"/>
      <w:b/>
      <w:bCs/>
      <w:kern w:val="32"/>
      <w:sz w:val="28"/>
      <w:szCs w:val="32"/>
    </w:rPr>
  </w:style>
  <w:style w:type="paragraph" w:styleId="Heading2">
    <w:name w:val="heading 2"/>
    <w:basedOn w:val="Normal"/>
    <w:next w:val="Normal"/>
    <w:link w:val="Heading2Char"/>
    <w:qFormat/>
    <w:rsid w:val="00C55E12"/>
    <w:pPr>
      <w:keepNext/>
      <w:spacing w:before="240" w:after="60"/>
      <w:outlineLvl w:val="1"/>
    </w:pPr>
    <w:rPr>
      <w:b/>
      <w:bCs/>
      <w:iCs/>
      <w:szCs w:val="28"/>
    </w:rPr>
  </w:style>
  <w:style w:type="paragraph" w:styleId="Heading3">
    <w:name w:val="heading 3"/>
    <w:basedOn w:val="Normal"/>
    <w:next w:val="Normal"/>
    <w:link w:val="Heading3Char"/>
    <w:qFormat/>
    <w:rsid w:val="00C55E12"/>
    <w:pPr>
      <w:keepNext/>
      <w:numPr>
        <w:ilvl w:val="3"/>
        <w:numId w:val="7"/>
      </w:numPr>
      <w:spacing w:before="240" w:after="60"/>
      <w:outlineLvl w:val="2"/>
    </w:pPr>
    <w:rPr>
      <w:bCs/>
      <w:i/>
      <w:szCs w:val="26"/>
    </w:rPr>
  </w:style>
  <w:style w:type="paragraph" w:styleId="Heading4">
    <w:name w:val="heading 4"/>
    <w:basedOn w:val="Normal"/>
    <w:next w:val="Normal"/>
    <w:link w:val="Heading4Char"/>
    <w:uiPriority w:val="9"/>
    <w:semiHidden/>
    <w:unhideWhenUsed/>
    <w:qFormat/>
    <w:rsid w:val="00C55E12"/>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qFormat/>
    <w:rsid w:val="00C55E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55E12"/>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55E1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5E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5E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E12"/>
    <w:rPr>
      <w:rFonts w:ascii="Arial" w:eastAsia="Times New Roman" w:hAnsi="Arial" w:cs="Arial"/>
      <w:b/>
      <w:bCs/>
      <w:kern w:val="32"/>
      <w:sz w:val="28"/>
      <w:szCs w:val="32"/>
      <w:lang w:eastAsia="en-NZ"/>
    </w:rPr>
  </w:style>
  <w:style w:type="character" w:customStyle="1" w:styleId="Heading2Char">
    <w:name w:val="Heading 2 Char"/>
    <w:basedOn w:val="DefaultParagraphFont"/>
    <w:link w:val="Heading2"/>
    <w:rsid w:val="00C55E12"/>
    <w:rPr>
      <w:rFonts w:ascii="Arial" w:eastAsia="Times New Roman" w:hAnsi="Arial" w:cs="Times New Roman"/>
      <w:b/>
      <w:bCs/>
      <w:iCs/>
      <w:szCs w:val="28"/>
      <w:lang w:eastAsia="en-NZ"/>
    </w:rPr>
  </w:style>
  <w:style w:type="character" w:customStyle="1" w:styleId="Heading3Char">
    <w:name w:val="Heading 3 Char"/>
    <w:basedOn w:val="DefaultParagraphFont"/>
    <w:link w:val="Heading3"/>
    <w:rsid w:val="00C55E12"/>
    <w:rPr>
      <w:rFonts w:ascii="Arial" w:eastAsia="Times New Roman" w:hAnsi="Arial" w:cs="Times New Roman"/>
      <w:bCs/>
      <w:i/>
      <w:szCs w:val="26"/>
      <w:lang w:eastAsia="en-NZ"/>
    </w:rPr>
  </w:style>
  <w:style w:type="character" w:customStyle="1" w:styleId="Heading4Char">
    <w:name w:val="Heading 4 Char"/>
    <w:basedOn w:val="DefaultParagraphFont"/>
    <w:link w:val="Heading4"/>
    <w:uiPriority w:val="9"/>
    <w:semiHidden/>
    <w:rsid w:val="00C55E12"/>
    <w:rPr>
      <w:rFonts w:asciiTheme="majorHAnsi" w:eastAsiaTheme="majorEastAsia" w:hAnsiTheme="majorHAnsi" w:cstheme="majorBidi"/>
      <w:b/>
      <w:bCs/>
      <w:i/>
      <w:iCs/>
      <w:color w:val="5B9BD5" w:themeColor="accent1"/>
      <w:szCs w:val="24"/>
      <w:lang w:eastAsia="en-NZ"/>
    </w:rPr>
  </w:style>
  <w:style w:type="character" w:customStyle="1" w:styleId="Heading5Char">
    <w:name w:val="Heading 5 Char"/>
    <w:basedOn w:val="DefaultParagraphFont"/>
    <w:link w:val="Heading5"/>
    <w:rsid w:val="00C55E12"/>
    <w:rPr>
      <w:rFonts w:ascii="Arial" w:eastAsia="Times New Roman" w:hAnsi="Arial" w:cs="Times New Roman"/>
      <w:b/>
      <w:bCs/>
      <w:i/>
      <w:iCs/>
      <w:sz w:val="26"/>
      <w:szCs w:val="26"/>
      <w:lang w:eastAsia="en-NZ"/>
    </w:rPr>
  </w:style>
  <w:style w:type="character" w:customStyle="1" w:styleId="Heading6Char">
    <w:name w:val="Heading 6 Char"/>
    <w:basedOn w:val="DefaultParagraphFont"/>
    <w:link w:val="Heading6"/>
    <w:uiPriority w:val="9"/>
    <w:semiHidden/>
    <w:rsid w:val="00C55E12"/>
    <w:rPr>
      <w:rFonts w:asciiTheme="majorHAnsi" w:eastAsiaTheme="majorEastAsia" w:hAnsiTheme="majorHAnsi" w:cstheme="majorBidi"/>
      <w:i/>
      <w:iCs/>
      <w:color w:val="1F4D78" w:themeColor="accent1" w:themeShade="7F"/>
      <w:szCs w:val="24"/>
      <w:lang w:eastAsia="en-NZ"/>
    </w:rPr>
  </w:style>
  <w:style w:type="character" w:customStyle="1" w:styleId="Heading7Char">
    <w:name w:val="Heading 7 Char"/>
    <w:basedOn w:val="DefaultParagraphFont"/>
    <w:link w:val="Heading7"/>
    <w:uiPriority w:val="9"/>
    <w:semiHidden/>
    <w:rsid w:val="00C55E12"/>
    <w:rPr>
      <w:rFonts w:asciiTheme="majorHAnsi" w:eastAsiaTheme="majorEastAsia" w:hAnsiTheme="majorHAnsi" w:cstheme="majorBidi"/>
      <w:i/>
      <w:iCs/>
      <w:color w:val="404040" w:themeColor="text1" w:themeTint="BF"/>
      <w:szCs w:val="24"/>
      <w:lang w:eastAsia="en-NZ"/>
    </w:rPr>
  </w:style>
  <w:style w:type="character" w:customStyle="1" w:styleId="Heading8Char">
    <w:name w:val="Heading 8 Char"/>
    <w:basedOn w:val="DefaultParagraphFont"/>
    <w:link w:val="Heading8"/>
    <w:uiPriority w:val="9"/>
    <w:semiHidden/>
    <w:rsid w:val="00C55E12"/>
    <w:rPr>
      <w:rFonts w:asciiTheme="majorHAnsi" w:eastAsiaTheme="majorEastAsia" w:hAnsiTheme="majorHAnsi" w:cstheme="majorBidi"/>
      <w:color w:val="404040" w:themeColor="text1" w:themeTint="BF"/>
      <w:sz w:val="20"/>
      <w:szCs w:val="20"/>
      <w:lang w:eastAsia="en-NZ"/>
    </w:rPr>
  </w:style>
  <w:style w:type="character" w:customStyle="1" w:styleId="Heading9Char">
    <w:name w:val="Heading 9 Char"/>
    <w:basedOn w:val="DefaultParagraphFont"/>
    <w:link w:val="Heading9"/>
    <w:uiPriority w:val="9"/>
    <w:semiHidden/>
    <w:rsid w:val="00C55E12"/>
    <w:rPr>
      <w:rFonts w:asciiTheme="majorHAnsi" w:eastAsiaTheme="majorEastAsia" w:hAnsiTheme="majorHAnsi" w:cstheme="majorBidi"/>
      <w:i/>
      <w:iCs/>
      <w:color w:val="404040" w:themeColor="text1" w:themeTint="BF"/>
      <w:sz w:val="20"/>
      <w:szCs w:val="20"/>
      <w:lang w:eastAsia="en-NZ"/>
    </w:rPr>
  </w:style>
  <w:style w:type="paragraph" w:styleId="Footer">
    <w:name w:val="footer"/>
    <w:basedOn w:val="Normal"/>
    <w:link w:val="FooterChar"/>
    <w:rsid w:val="00C55E12"/>
    <w:pPr>
      <w:tabs>
        <w:tab w:val="center" w:pos="4153"/>
        <w:tab w:val="right" w:pos="8306"/>
      </w:tabs>
    </w:pPr>
  </w:style>
  <w:style w:type="character" w:customStyle="1" w:styleId="FooterChar">
    <w:name w:val="Footer Char"/>
    <w:basedOn w:val="DefaultParagraphFont"/>
    <w:link w:val="Footer"/>
    <w:rsid w:val="00C55E12"/>
    <w:rPr>
      <w:rFonts w:ascii="Arial" w:eastAsia="Times New Roman" w:hAnsi="Arial" w:cs="Times New Roman"/>
      <w:szCs w:val="24"/>
      <w:lang w:eastAsia="en-NZ"/>
    </w:rPr>
  </w:style>
  <w:style w:type="character" w:styleId="PageNumber">
    <w:name w:val="page number"/>
    <w:basedOn w:val="DefaultParagraphFont"/>
    <w:rsid w:val="00C55E12"/>
  </w:style>
  <w:style w:type="paragraph" w:styleId="Header">
    <w:name w:val="header"/>
    <w:basedOn w:val="Normal"/>
    <w:link w:val="HeaderChar"/>
    <w:rsid w:val="00C55E12"/>
    <w:pPr>
      <w:tabs>
        <w:tab w:val="center" w:pos="4153"/>
        <w:tab w:val="right" w:pos="8306"/>
      </w:tabs>
    </w:pPr>
  </w:style>
  <w:style w:type="character" w:customStyle="1" w:styleId="HeaderChar">
    <w:name w:val="Header Char"/>
    <w:basedOn w:val="DefaultParagraphFont"/>
    <w:link w:val="Header"/>
    <w:rsid w:val="00C55E12"/>
    <w:rPr>
      <w:rFonts w:ascii="Arial" w:eastAsia="Times New Roman" w:hAnsi="Arial" w:cs="Times New Roman"/>
      <w:szCs w:val="24"/>
      <w:lang w:eastAsia="en-NZ"/>
    </w:rPr>
  </w:style>
  <w:style w:type="paragraph" w:customStyle="1" w:styleId="CharChar">
    <w:name w:val="Char Char"/>
    <w:basedOn w:val="Normal"/>
    <w:rsid w:val="00C55E12"/>
    <w:pPr>
      <w:spacing w:after="160" w:line="240" w:lineRule="exact"/>
    </w:pPr>
    <w:rPr>
      <w:sz w:val="20"/>
      <w:szCs w:val="20"/>
      <w:lang w:val="en-US" w:eastAsia="en-US"/>
    </w:rPr>
  </w:style>
  <w:style w:type="paragraph" w:customStyle="1" w:styleId="11Purpose">
    <w:name w:val="1.1 Purpose"/>
    <w:basedOn w:val="Normal"/>
    <w:rsid w:val="00C55E12"/>
    <w:pPr>
      <w:spacing w:after="200" w:line="276" w:lineRule="auto"/>
    </w:pPr>
    <w:rPr>
      <w:rFonts w:cs="Arial"/>
      <w:szCs w:val="22"/>
      <w:lang w:val="en-US" w:eastAsia="en-US" w:bidi="en-US"/>
    </w:rPr>
  </w:style>
  <w:style w:type="paragraph" w:styleId="FootnoteText">
    <w:name w:val="footnote text"/>
    <w:basedOn w:val="Normal"/>
    <w:link w:val="FootnoteTextChar"/>
    <w:semiHidden/>
    <w:rsid w:val="00C55E12"/>
    <w:pPr>
      <w:spacing w:after="200" w:line="276" w:lineRule="auto"/>
    </w:pPr>
    <w:rPr>
      <w:sz w:val="20"/>
      <w:szCs w:val="20"/>
      <w:lang w:val="en-US" w:eastAsia="en-US" w:bidi="en-US"/>
    </w:rPr>
  </w:style>
  <w:style w:type="character" w:customStyle="1" w:styleId="FootnoteTextChar">
    <w:name w:val="Footnote Text Char"/>
    <w:basedOn w:val="DefaultParagraphFont"/>
    <w:link w:val="FootnoteText"/>
    <w:semiHidden/>
    <w:rsid w:val="00C55E12"/>
    <w:rPr>
      <w:rFonts w:ascii="Arial" w:eastAsia="Times New Roman" w:hAnsi="Arial" w:cs="Times New Roman"/>
      <w:sz w:val="20"/>
      <w:szCs w:val="20"/>
      <w:lang w:val="en-US" w:bidi="en-US"/>
    </w:rPr>
  </w:style>
  <w:style w:type="character" w:styleId="FootnoteReference">
    <w:name w:val="footnote reference"/>
    <w:semiHidden/>
    <w:rsid w:val="00C55E12"/>
    <w:rPr>
      <w:vertAlign w:val="superscript"/>
    </w:rPr>
  </w:style>
  <w:style w:type="character" w:styleId="Hyperlink">
    <w:name w:val="Hyperlink"/>
    <w:uiPriority w:val="99"/>
    <w:rsid w:val="00C55E12"/>
    <w:rPr>
      <w:color w:val="0000FF"/>
      <w:u w:val="single"/>
    </w:rPr>
  </w:style>
  <w:style w:type="paragraph" w:styleId="TOC1">
    <w:name w:val="toc 1"/>
    <w:basedOn w:val="Normal"/>
    <w:next w:val="Normal"/>
    <w:autoRedefine/>
    <w:uiPriority w:val="39"/>
    <w:rsid w:val="00C55E12"/>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C55E12"/>
    <w:pPr>
      <w:spacing w:before="120"/>
      <w:ind w:left="220"/>
    </w:pPr>
    <w:rPr>
      <w:rFonts w:asciiTheme="minorHAnsi" w:hAnsiTheme="minorHAnsi" w:cstheme="minorHAnsi"/>
      <w:i/>
      <w:iCs/>
      <w:sz w:val="20"/>
      <w:szCs w:val="20"/>
    </w:rPr>
  </w:style>
  <w:style w:type="paragraph" w:customStyle="1" w:styleId="PARA1">
    <w:name w:val="PARA1"/>
    <w:basedOn w:val="Normal"/>
    <w:rsid w:val="00C55E12"/>
    <w:pPr>
      <w:ind w:left="851"/>
      <w:jc w:val="both"/>
    </w:pPr>
    <w:rPr>
      <w:rFonts w:ascii="Arial Mäori" w:hAnsi="Arial Mäori"/>
      <w:szCs w:val="20"/>
      <w:lang w:val="en-GB" w:eastAsia="en-US"/>
    </w:rPr>
  </w:style>
  <w:style w:type="paragraph" w:customStyle="1" w:styleId="BULLET1">
    <w:name w:val="BULLET1"/>
    <w:basedOn w:val="Normal"/>
    <w:rsid w:val="00C55E12"/>
    <w:pPr>
      <w:numPr>
        <w:numId w:val="1"/>
      </w:numPr>
      <w:ind w:left="1418" w:hanging="567"/>
      <w:jc w:val="both"/>
    </w:pPr>
    <w:rPr>
      <w:rFonts w:ascii="Arial Mäori" w:hAnsi="Arial Mäori"/>
      <w:szCs w:val="20"/>
      <w:lang w:val="en-GB" w:eastAsia="en-US"/>
    </w:rPr>
  </w:style>
  <w:style w:type="paragraph" w:styleId="BodyTextIndent2">
    <w:name w:val="Body Text Indent 2"/>
    <w:basedOn w:val="Normal"/>
    <w:link w:val="BodyTextIndent2Char"/>
    <w:rsid w:val="00C55E12"/>
    <w:pPr>
      <w:spacing w:after="120" w:line="480" w:lineRule="auto"/>
      <w:ind w:left="283"/>
    </w:pPr>
    <w:rPr>
      <w:lang w:eastAsia="en-GB"/>
    </w:rPr>
  </w:style>
  <w:style w:type="character" w:customStyle="1" w:styleId="BodyTextIndent2Char">
    <w:name w:val="Body Text Indent 2 Char"/>
    <w:basedOn w:val="DefaultParagraphFont"/>
    <w:link w:val="BodyTextIndent2"/>
    <w:rsid w:val="00C55E12"/>
    <w:rPr>
      <w:rFonts w:ascii="Arial" w:eastAsia="Times New Roman" w:hAnsi="Arial" w:cs="Times New Roman"/>
      <w:szCs w:val="24"/>
      <w:lang w:eastAsia="en-GB"/>
    </w:rPr>
  </w:style>
  <w:style w:type="paragraph" w:customStyle="1" w:styleId="a">
    <w:name w:val="_"/>
    <w:basedOn w:val="Normal"/>
    <w:rsid w:val="00C55E12"/>
    <w:pPr>
      <w:widowControl w:val="0"/>
      <w:ind w:left="333" w:hanging="333"/>
    </w:pPr>
    <w:rPr>
      <w:szCs w:val="20"/>
      <w:lang w:val="en-US" w:eastAsia="en-US"/>
    </w:rPr>
  </w:style>
  <w:style w:type="paragraph" w:styleId="BodyText">
    <w:name w:val="Body Text"/>
    <w:basedOn w:val="Normal"/>
    <w:link w:val="BodyTextChar"/>
    <w:rsid w:val="00C55E12"/>
    <w:pPr>
      <w:spacing w:after="120"/>
    </w:pPr>
  </w:style>
  <w:style w:type="character" w:customStyle="1" w:styleId="BodyTextChar">
    <w:name w:val="Body Text Char"/>
    <w:basedOn w:val="DefaultParagraphFont"/>
    <w:link w:val="BodyText"/>
    <w:rsid w:val="00C55E12"/>
    <w:rPr>
      <w:rFonts w:ascii="Arial" w:eastAsia="Times New Roman" w:hAnsi="Arial" w:cs="Times New Roman"/>
      <w:szCs w:val="24"/>
      <w:lang w:eastAsia="en-NZ"/>
    </w:rPr>
  </w:style>
  <w:style w:type="paragraph" w:styleId="ListParagraph">
    <w:name w:val="List Paragraph"/>
    <w:basedOn w:val="Normal"/>
    <w:uiPriority w:val="34"/>
    <w:qFormat/>
    <w:rsid w:val="00C55E12"/>
    <w:pPr>
      <w:spacing w:after="200" w:line="276" w:lineRule="auto"/>
      <w:ind w:left="720"/>
      <w:contextualSpacing/>
    </w:pPr>
    <w:rPr>
      <w:szCs w:val="22"/>
      <w:lang w:val="en-US" w:eastAsia="en-US" w:bidi="en-US"/>
    </w:rPr>
  </w:style>
  <w:style w:type="paragraph" w:styleId="BalloonText">
    <w:name w:val="Balloon Text"/>
    <w:basedOn w:val="Normal"/>
    <w:link w:val="BalloonTextChar"/>
    <w:semiHidden/>
    <w:rsid w:val="00C55E12"/>
    <w:rPr>
      <w:rFonts w:ascii="Tahoma" w:hAnsi="Tahoma" w:cs="Tahoma"/>
      <w:sz w:val="16"/>
      <w:szCs w:val="16"/>
    </w:rPr>
  </w:style>
  <w:style w:type="character" w:customStyle="1" w:styleId="BalloonTextChar">
    <w:name w:val="Balloon Text Char"/>
    <w:basedOn w:val="DefaultParagraphFont"/>
    <w:link w:val="BalloonText"/>
    <w:semiHidden/>
    <w:rsid w:val="00C55E12"/>
    <w:rPr>
      <w:rFonts w:ascii="Tahoma" w:eastAsia="Times New Roman" w:hAnsi="Tahoma" w:cs="Tahoma"/>
      <w:sz w:val="16"/>
      <w:szCs w:val="16"/>
      <w:lang w:eastAsia="en-NZ"/>
    </w:rPr>
  </w:style>
  <w:style w:type="table" w:styleId="TableGrid">
    <w:name w:val="Table Grid"/>
    <w:basedOn w:val="TableNormal"/>
    <w:uiPriority w:val="59"/>
    <w:rsid w:val="00C55E12"/>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5E12"/>
    <w:pPr>
      <w:spacing w:after="0" w:line="240" w:lineRule="auto"/>
    </w:pPr>
    <w:rPr>
      <w:rFonts w:ascii="Times New Roman" w:eastAsia="Times New Roman" w:hAnsi="Times New Roman" w:cs="Times New Roman"/>
      <w:sz w:val="24"/>
      <w:szCs w:val="24"/>
      <w:lang w:eastAsia="en-NZ"/>
    </w:rPr>
  </w:style>
  <w:style w:type="character" w:styleId="CommentReference">
    <w:name w:val="annotation reference"/>
    <w:uiPriority w:val="99"/>
    <w:semiHidden/>
    <w:unhideWhenUsed/>
    <w:rsid w:val="00C55E12"/>
    <w:rPr>
      <w:sz w:val="16"/>
      <w:szCs w:val="16"/>
    </w:rPr>
  </w:style>
  <w:style w:type="paragraph" w:styleId="CommentText">
    <w:name w:val="annotation text"/>
    <w:basedOn w:val="Normal"/>
    <w:link w:val="CommentTextChar"/>
    <w:uiPriority w:val="99"/>
    <w:semiHidden/>
    <w:unhideWhenUsed/>
    <w:rsid w:val="00C55E12"/>
    <w:rPr>
      <w:sz w:val="20"/>
      <w:szCs w:val="20"/>
    </w:rPr>
  </w:style>
  <w:style w:type="character" w:customStyle="1" w:styleId="CommentTextChar">
    <w:name w:val="Comment Text Char"/>
    <w:basedOn w:val="DefaultParagraphFont"/>
    <w:link w:val="CommentText"/>
    <w:uiPriority w:val="99"/>
    <w:semiHidden/>
    <w:rsid w:val="00C55E12"/>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C55E12"/>
    <w:rPr>
      <w:b/>
      <w:bCs/>
    </w:rPr>
  </w:style>
  <w:style w:type="character" w:customStyle="1" w:styleId="CommentSubjectChar">
    <w:name w:val="Comment Subject Char"/>
    <w:basedOn w:val="CommentTextChar"/>
    <w:link w:val="CommentSubject"/>
    <w:uiPriority w:val="99"/>
    <w:semiHidden/>
    <w:rsid w:val="00C55E12"/>
    <w:rPr>
      <w:rFonts w:ascii="Arial" w:eastAsia="Times New Roman" w:hAnsi="Arial" w:cs="Times New Roman"/>
      <w:b/>
      <w:bCs/>
      <w:sz w:val="20"/>
      <w:szCs w:val="20"/>
      <w:lang w:eastAsia="en-NZ"/>
    </w:rPr>
  </w:style>
  <w:style w:type="numbering" w:customStyle="1" w:styleId="HeadingsNrs">
    <w:name w:val="HeadingsNrs"/>
    <w:uiPriority w:val="99"/>
    <w:rsid w:val="00C55E12"/>
    <w:pPr>
      <w:numPr>
        <w:numId w:val="9"/>
      </w:numPr>
    </w:pPr>
  </w:style>
  <w:style w:type="numbering" w:customStyle="1" w:styleId="Bullets">
    <w:name w:val="Bullets"/>
    <w:uiPriority w:val="99"/>
    <w:rsid w:val="00C55E12"/>
    <w:pPr>
      <w:numPr>
        <w:numId w:val="3"/>
      </w:numPr>
    </w:pPr>
  </w:style>
  <w:style w:type="character" w:styleId="Strong">
    <w:name w:val="Strong"/>
    <w:basedOn w:val="DefaultParagraphFont"/>
    <w:uiPriority w:val="22"/>
    <w:qFormat/>
    <w:rsid w:val="00C55E12"/>
    <w:rPr>
      <w:b/>
      <w:bCs/>
    </w:rPr>
  </w:style>
  <w:style w:type="paragraph" w:customStyle="1" w:styleId="BulletNormal">
    <w:name w:val="BulletNormal"/>
    <w:basedOn w:val="Normal"/>
    <w:link w:val="BulletNormalChar"/>
    <w:qFormat/>
    <w:rsid w:val="00C55E12"/>
    <w:pPr>
      <w:numPr>
        <w:numId w:val="4"/>
      </w:numPr>
      <w:spacing w:before="120" w:after="120"/>
    </w:pPr>
    <w:rPr>
      <w:rFonts w:cs="Arial"/>
      <w:color w:val="000000"/>
    </w:rPr>
  </w:style>
  <w:style w:type="paragraph" w:customStyle="1" w:styleId="Letterlist">
    <w:name w:val="Letterlist"/>
    <w:basedOn w:val="Normal"/>
    <w:link w:val="LetterlistChar"/>
    <w:qFormat/>
    <w:rsid w:val="00C55E12"/>
    <w:pPr>
      <w:numPr>
        <w:numId w:val="5"/>
      </w:numPr>
      <w:spacing w:before="120" w:after="200"/>
    </w:pPr>
    <w:rPr>
      <w:rFonts w:cs="Arial"/>
      <w:color w:val="000000"/>
      <w:szCs w:val="20"/>
    </w:rPr>
  </w:style>
  <w:style w:type="character" w:customStyle="1" w:styleId="BulletNormalChar">
    <w:name w:val="BulletNormal Char"/>
    <w:basedOn w:val="DefaultParagraphFont"/>
    <w:link w:val="BulletNormal"/>
    <w:rsid w:val="00C55E12"/>
    <w:rPr>
      <w:rFonts w:ascii="Arial" w:eastAsia="Times New Roman" w:hAnsi="Arial" w:cs="Arial"/>
      <w:color w:val="000000"/>
      <w:szCs w:val="24"/>
      <w:lang w:eastAsia="en-NZ"/>
    </w:rPr>
  </w:style>
  <w:style w:type="paragraph" w:styleId="TOC3">
    <w:name w:val="toc 3"/>
    <w:basedOn w:val="Normal"/>
    <w:next w:val="Normal"/>
    <w:autoRedefine/>
    <w:uiPriority w:val="39"/>
    <w:unhideWhenUsed/>
    <w:rsid w:val="00C55E12"/>
    <w:pPr>
      <w:ind w:left="440"/>
    </w:pPr>
    <w:rPr>
      <w:rFonts w:asciiTheme="minorHAnsi" w:hAnsiTheme="minorHAnsi" w:cstheme="minorHAnsi"/>
      <w:sz w:val="20"/>
      <w:szCs w:val="20"/>
    </w:rPr>
  </w:style>
  <w:style w:type="character" w:customStyle="1" w:styleId="LetterlistChar">
    <w:name w:val="Letterlist Char"/>
    <w:basedOn w:val="DefaultParagraphFont"/>
    <w:link w:val="Letterlist"/>
    <w:rsid w:val="00C55E12"/>
    <w:rPr>
      <w:rFonts w:ascii="Arial" w:eastAsia="Times New Roman" w:hAnsi="Arial" w:cs="Arial"/>
      <w:color w:val="000000"/>
      <w:szCs w:val="20"/>
      <w:lang w:eastAsia="en-NZ"/>
    </w:rPr>
  </w:style>
  <w:style w:type="paragraph" w:styleId="TOC4">
    <w:name w:val="toc 4"/>
    <w:basedOn w:val="Normal"/>
    <w:next w:val="Normal"/>
    <w:autoRedefine/>
    <w:uiPriority w:val="39"/>
    <w:unhideWhenUsed/>
    <w:rsid w:val="00C55E12"/>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C55E12"/>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C55E12"/>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C55E12"/>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C55E12"/>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C55E12"/>
    <w:pPr>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C55E12"/>
    <w:rPr>
      <w:color w:val="954F72" w:themeColor="followedHyperlink"/>
      <w:u w:val="single"/>
    </w:rPr>
  </w:style>
  <w:style w:type="paragraph" w:customStyle="1" w:styleId="Default">
    <w:name w:val="Default"/>
    <w:rsid w:val="00C55E12"/>
    <w:pPr>
      <w:autoSpaceDE w:val="0"/>
      <w:autoSpaceDN w:val="0"/>
      <w:adjustRightInd w:val="0"/>
      <w:spacing w:after="0" w:line="240" w:lineRule="auto"/>
    </w:pPr>
    <w:rPr>
      <w:rFonts w:ascii="Arial" w:eastAsia="Times New Roman" w:hAnsi="Arial" w:cs="Arial"/>
      <w:color w:val="000000"/>
      <w:sz w:val="24"/>
      <w:szCs w:val="24"/>
      <w:lang w:eastAsia="en-NZ"/>
    </w:rPr>
  </w:style>
  <w:style w:type="character" w:customStyle="1" w:styleId="SubtitleChar">
    <w:name w:val="Subtitle Char"/>
    <w:basedOn w:val="DefaultParagraphFont"/>
    <w:uiPriority w:val="11"/>
    <w:rsid w:val="00C55E12"/>
    <w:rPr>
      <w:rFonts w:ascii="Arial" w:eastAsiaTheme="majorEastAsia" w:hAnsi="Arial" w:cstheme="majorBidi"/>
      <w:b/>
      <w:i/>
      <w:iCs/>
      <w:spacing w:val="15"/>
      <w:sz w:val="24"/>
      <w:szCs w:val="24"/>
    </w:rPr>
  </w:style>
  <w:style w:type="paragraph" w:styleId="Subtitle">
    <w:name w:val="Subtitle"/>
    <w:basedOn w:val="Normal"/>
    <w:next w:val="Normal"/>
    <w:link w:val="SubtitleChar1"/>
    <w:uiPriority w:val="11"/>
    <w:qFormat/>
    <w:rsid w:val="00C55E12"/>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1">
    <w:name w:val="Subtitle Char1"/>
    <w:basedOn w:val="DefaultParagraphFont"/>
    <w:link w:val="Subtitle"/>
    <w:uiPriority w:val="11"/>
    <w:rsid w:val="00C55E12"/>
    <w:rPr>
      <w:rFonts w:asciiTheme="majorHAnsi" w:eastAsiaTheme="majorEastAsia" w:hAnsiTheme="majorHAnsi" w:cstheme="majorBidi"/>
      <w:i/>
      <w:iCs/>
      <w:color w:val="5B9BD5" w:themeColor="accent1"/>
      <w:spacing w:val="15"/>
      <w:sz w:val="24"/>
      <w:szCs w:val="24"/>
      <w:lang w:eastAsia="en-NZ"/>
    </w:rPr>
  </w:style>
  <w:style w:type="character" w:customStyle="1" w:styleId="tgc">
    <w:name w:val="_tgc"/>
    <w:basedOn w:val="DefaultParagraphFont"/>
    <w:rsid w:val="00C55E12"/>
  </w:style>
  <w:style w:type="paragraph" w:customStyle="1" w:styleId="CharChar1">
    <w:name w:val="Char Char1"/>
    <w:basedOn w:val="Normal"/>
    <w:rsid w:val="00C55E12"/>
    <w:pPr>
      <w:spacing w:after="160" w:line="240" w:lineRule="exact"/>
    </w:pPr>
    <w:rPr>
      <w:sz w:val="20"/>
      <w:szCs w:val="20"/>
      <w:lang w:val="en-US" w:eastAsia="en-US"/>
    </w:rPr>
  </w:style>
  <w:style w:type="character" w:styleId="UnresolvedMention">
    <w:name w:val="Unresolved Mention"/>
    <w:basedOn w:val="DefaultParagraphFont"/>
    <w:uiPriority w:val="99"/>
    <w:semiHidden/>
    <w:unhideWhenUsed/>
    <w:rsid w:val="004E030D"/>
    <w:rPr>
      <w:color w:val="605E5C"/>
      <w:shd w:val="clear" w:color="auto" w:fill="E1DFDD"/>
    </w:rPr>
  </w:style>
  <w:style w:type="paragraph" w:styleId="EndnoteText">
    <w:name w:val="endnote text"/>
    <w:basedOn w:val="Normal"/>
    <w:link w:val="EndnoteTextChar"/>
    <w:uiPriority w:val="99"/>
    <w:semiHidden/>
    <w:unhideWhenUsed/>
    <w:rsid w:val="00760373"/>
    <w:rPr>
      <w:sz w:val="20"/>
      <w:szCs w:val="20"/>
    </w:rPr>
  </w:style>
  <w:style w:type="character" w:customStyle="1" w:styleId="EndnoteTextChar">
    <w:name w:val="Endnote Text Char"/>
    <w:basedOn w:val="DefaultParagraphFont"/>
    <w:link w:val="EndnoteText"/>
    <w:uiPriority w:val="99"/>
    <w:semiHidden/>
    <w:rsid w:val="00760373"/>
    <w:rPr>
      <w:rFonts w:ascii="Arial" w:eastAsia="Times New Roman" w:hAnsi="Arial" w:cs="Times New Roman"/>
      <w:sz w:val="20"/>
      <w:szCs w:val="20"/>
      <w:lang w:eastAsia="en-NZ"/>
    </w:rPr>
  </w:style>
  <w:style w:type="character" w:styleId="EndnoteReference">
    <w:name w:val="endnote reference"/>
    <w:basedOn w:val="DefaultParagraphFont"/>
    <w:uiPriority w:val="99"/>
    <w:semiHidden/>
    <w:unhideWhenUsed/>
    <w:rsid w:val="007603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alth.govt.nz/nz-health-statistics/data-references/weighted-inlier-equivalent-separations" TargetMode="External"/><Relationship Id="rId18" Type="http://schemas.openxmlformats.org/officeDocument/2006/relationships/hyperlink" Target="http://nsfl.health.govt.nz/service-specifications/current-service-specifications/mental-health-services-spec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sfl.health.govt.nz/accountability/financial-standards-and-guidelines%20" TargetMode="External"/><Relationship Id="rId17" Type="http://schemas.openxmlformats.org/officeDocument/2006/relationships/hyperlink" Target="http://www.health.govt.nz/publication/national-non-admitted-patient-collection-data-mart-data-dictionary" TargetMode="External"/><Relationship Id="rId2" Type="http://schemas.openxmlformats.org/officeDocument/2006/relationships/numbering" Target="numbering.xml"/><Relationship Id="rId16" Type="http://schemas.openxmlformats.org/officeDocument/2006/relationships/hyperlink" Target="http://www.health.govt.nz/publication/national-minimum-dataset-hospital-events-data-mart-data-diction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fl.health.govt.nz/accountability/financial-standards-and-guidelines%20" TargetMode="External"/><Relationship Id="rId5" Type="http://schemas.openxmlformats.org/officeDocument/2006/relationships/webSettings" Target="webSettings.xml"/><Relationship Id="rId15" Type="http://schemas.openxmlformats.org/officeDocument/2006/relationships/hyperlink" Target="http://nsfl.health.govt.nz/purchase-units"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sfl.health.govt.nz/purchase-uni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Users\ademul\AppData\Local\Temp\notesC76C45\www.health.govt.nz\system\files\documents\pages\eligibility-direction-2011.pdf" TargetMode="External"/><Relationship Id="rId2" Type="http://schemas.openxmlformats.org/officeDocument/2006/relationships/hyperlink" Target="file:///C:\Users\ademul\AppData\Local\Temp\notesC76C45\www.alliedhealth.org.nz\uploads\8\8\9\4\88944696\best_practice_guide_for_telehealth_-_april_2018.pdf" TargetMode="External"/><Relationship Id="rId1" Type="http://schemas.openxmlformats.org/officeDocument/2006/relationships/hyperlink" Target="https://www.telehealth.org.nz/assets/standards/200327-Medical-Council-Statement-on-Telehealth-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GlossaryNatColl</b:Tag>
    <b:SourceType>Misc</b:SourceType>
    <b:Guid>{88B426CE-F07B-44C5-ACBF-60A3FF820528}</b:Guid>
    <b:Title>National Collections Glossary</b:Title>
    <b:Author>
      <b:Author>
        <b:NameList>
          <b:Person>
            <b:Last>National Collections</b:Last>
            <b:First>MoH</b:First>
          </b:Person>
        </b:NameList>
      </b:Author>
    </b:Author>
    <b:PublicationTitle>National Collections Glossary, Appendix B: Glossary</b:PublicationTitle>
    <b:RefOrder>1</b:RefOrder>
  </b:Source>
</b:Sources>
</file>

<file path=customXml/itemProps1.xml><?xml version="1.0" encoding="utf-8"?>
<ds:datastoreItem xmlns:ds="http://schemas.openxmlformats.org/officeDocument/2006/customXml" ds:itemID="{D89A440B-E378-4F54-9BC1-029D9CBC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8992</Words>
  <Characters>51255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60127</CharactersWithSpaces>
  <SharedDoc>false</SharedDoc>
  <HLinks>
    <vt:vector size="540" baseType="variant">
      <vt:variant>
        <vt:i4>7077936</vt:i4>
      </vt:variant>
      <vt:variant>
        <vt:i4>498</vt:i4>
      </vt:variant>
      <vt:variant>
        <vt:i4>0</vt:i4>
      </vt:variant>
      <vt:variant>
        <vt:i4>5</vt:i4>
      </vt:variant>
      <vt:variant>
        <vt:lpwstr>http://nsfl.health.govt.nz/service-specifications/current-service-specifications/mental-health-services-specifications</vt:lpwstr>
      </vt:variant>
      <vt:variant>
        <vt:lpwstr/>
      </vt:variant>
      <vt:variant>
        <vt:i4>327686</vt:i4>
      </vt:variant>
      <vt:variant>
        <vt:i4>495</vt:i4>
      </vt:variant>
      <vt:variant>
        <vt:i4>0</vt:i4>
      </vt:variant>
      <vt:variant>
        <vt:i4>5</vt:i4>
      </vt:variant>
      <vt:variant>
        <vt:lpwstr>http://www.health.govt.nz/publication/national-non-admitted-patient-collection-data-mart-data-dictionary</vt:lpwstr>
      </vt:variant>
      <vt:variant>
        <vt:lpwstr/>
      </vt:variant>
      <vt:variant>
        <vt:i4>5767262</vt:i4>
      </vt:variant>
      <vt:variant>
        <vt:i4>492</vt:i4>
      </vt:variant>
      <vt:variant>
        <vt:i4>0</vt:i4>
      </vt:variant>
      <vt:variant>
        <vt:i4>5</vt:i4>
      </vt:variant>
      <vt:variant>
        <vt:lpwstr>http://www.health.govt.nz/publication/national-minimum-dataset-hospital-events-data-mart-data-dictionary</vt:lpwstr>
      </vt:variant>
      <vt:variant>
        <vt:lpwstr/>
      </vt:variant>
      <vt:variant>
        <vt:i4>458769</vt:i4>
      </vt:variant>
      <vt:variant>
        <vt:i4>489</vt:i4>
      </vt:variant>
      <vt:variant>
        <vt:i4>0</vt:i4>
      </vt:variant>
      <vt:variant>
        <vt:i4>5</vt:i4>
      </vt:variant>
      <vt:variant>
        <vt:lpwstr>http://nsfl.health.govt.nz/purchase-units</vt:lpwstr>
      </vt:variant>
      <vt:variant>
        <vt:lpwstr/>
      </vt:variant>
      <vt:variant>
        <vt:i4>458769</vt:i4>
      </vt:variant>
      <vt:variant>
        <vt:i4>486</vt:i4>
      </vt:variant>
      <vt:variant>
        <vt:i4>0</vt:i4>
      </vt:variant>
      <vt:variant>
        <vt:i4>5</vt:i4>
      </vt:variant>
      <vt:variant>
        <vt:lpwstr>http://nsfl.health.govt.nz/purchase-units</vt:lpwstr>
      </vt:variant>
      <vt:variant>
        <vt:lpwstr/>
      </vt:variant>
      <vt:variant>
        <vt:i4>4784138</vt:i4>
      </vt:variant>
      <vt:variant>
        <vt:i4>483</vt:i4>
      </vt:variant>
      <vt:variant>
        <vt:i4>0</vt:i4>
      </vt:variant>
      <vt:variant>
        <vt:i4>5</vt:i4>
      </vt:variant>
      <vt:variant>
        <vt:lpwstr>http://www.health.govt.nz/nz-health-statistics/data-references/weighted-inlier-equivalent-separations</vt:lpwstr>
      </vt:variant>
      <vt:variant>
        <vt:lpwstr/>
      </vt:variant>
      <vt:variant>
        <vt:i4>4784147</vt:i4>
      </vt:variant>
      <vt:variant>
        <vt:i4>480</vt:i4>
      </vt:variant>
      <vt:variant>
        <vt:i4>0</vt:i4>
      </vt:variant>
      <vt:variant>
        <vt:i4>5</vt:i4>
      </vt:variant>
      <vt:variant>
        <vt:lpwstr>http://nsfl.health.govt.nz/accountability/financial-standards-and-guidelines</vt:lpwstr>
      </vt:variant>
      <vt:variant>
        <vt:lpwstr/>
      </vt:variant>
      <vt:variant>
        <vt:i4>4784147</vt:i4>
      </vt:variant>
      <vt:variant>
        <vt:i4>477</vt:i4>
      </vt:variant>
      <vt:variant>
        <vt:i4>0</vt:i4>
      </vt:variant>
      <vt:variant>
        <vt:i4>5</vt:i4>
      </vt:variant>
      <vt:variant>
        <vt:lpwstr>http://nsfl.health.govt.nz/accountability/financial-standards-and-guidelines</vt:lpwstr>
      </vt:variant>
      <vt:variant>
        <vt:lpwstr/>
      </vt:variant>
      <vt:variant>
        <vt:i4>1179697</vt:i4>
      </vt:variant>
      <vt:variant>
        <vt:i4>470</vt:i4>
      </vt:variant>
      <vt:variant>
        <vt:i4>0</vt:i4>
      </vt:variant>
      <vt:variant>
        <vt:i4>5</vt:i4>
      </vt:variant>
      <vt:variant>
        <vt:lpwstr/>
      </vt:variant>
      <vt:variant>
        <vt:lpwstr>_Toc56410705</vt:lpwstr>
      </vt:variant>
      <vt:variant>
        <vt:i4>1245233</vt:i4>
      </vt:variant>
      <vt:variant>
        <vt:i4>464</vt:i4>
      </vt:variant>
      <vt:variant>
        <vt:i4>0</vt:i4>
      </vt:variant>
      <vt:variant>
        <vt:i4>5</vt:i4>
      </vt:variant>
      <vt:variant>
        <vt:lpwstr/>
      </vt:variant>
      <vt:variant>
        <vt:lpwstr>_Toc56410704</vt:lpwstr>
      </vt:variant>
      <vt:variant>
        <vt:i4>1310769</vt:i4>
      </vt:variant>
      <vt:variant>
        <vt:i4>458</vt:i4>
      </vt:variant>
      <vt:variant>
        <vt:i4>0</vt:i4>
      </vt:variant>
      <vt:variant>
        <vt:i4>5</vt:i4>
      </vt:variant>
      <vt:variant>
        <vt:lpwstr/>
      </vt:variant>
      <vt:variant>
        <vt:lpwstr>_Toc56410703</vt:lpwstr>
      </vt:variant>
      <vt:variant>
        <vt:i4>1376305</vt:i4>
      </vt:variant>
      <vt:variant>
        <vt:i4>452</vt:i4>
      </vt:variant>
      <vt:variant>
        <vt:i4>0</vt:i4>
      </vt:variant>
      <vt:variant>
        <vt:i4>5</vt:i4>
      </vt:variant>
      <vt:variant>
        <vt:lpwstr/>
      </vt:variant>
      <vt:variant>
        <vt:lpwstr>_Toc56410702</vt:lpwstr>
      </vt:variant>
      <vt:variant>
        <vt:i4>1441841</vt:i4>
      </vt:variant>
      <vt:variant>
        <vt:i4>446</vt:i4>
      </vt:variant>
      <vt:variant>
        <vt:i4>0</vt:i4>
      </vt:variant>
      <vt:variant>
        <vt:i4>5</vt:i4>
      </vt:variant>
      <vt:variant>
        <vt:lpwstr/>
      </vt:variant>
      <vt:variant>
        <vt:lpwstr>_Toc56410701</vt:lpwstr>
      </vt:variant>
      <vt:variant>
        <vt:i4>1507377</vt:i4>
      </vt:variant>
      <vt:variant>
        <vt:i4>440</vt:i4>
      </vt:variant>
      <vt:variant>
        <vt:i4>0</vt:i4>
      </vt:variant>
      <vt:variant>
        <vt:i4>5</vt:i4>
      </vt:variant>
      <vt:variant>
        <vt:lpwstr/>
      </vt:variant>
      <vt:variant>
        <vt:lpwstr>_Toc56410700</vt:lpwstr>
      </vt:variant>
      <vt:variant>
        <vt:i4>2031672</vt:i4>
      </vt:variant>
      <vt:variant>
        <vt:i4>434</vt:i4>
      </vt:variant>
      <vt:variant>
        <vt:i4>0</vt:i4>
      </vt:variant>
      <vt:variant>
        <vt:i4>5</vt:i4>
      </vt:variant>
      <vt:variant>
        <vt:lpwstr/>
      </vt:variant>
      <vt:variant>
        <vt:lpwstr>_Toc56410699</vt:lpwstr>
      </vt:variant>
      <vt:variant>
        <vt:i4>1966136</vt:i4>
      </vt:variant>
      <vt:variant>
        <vt:i4>428</vt:i4>
      </vt:variant>
      <vt:variant>
        <vt:i4>0</vt:i4>
      </vt:variant>
      <vt:variant>
        <vt:i4>5</vt:i4>
      </vt:variant>
      <vt:variant>
        <vt:lpwstr/>
      </vt:variant>
      <vt:variant>
        <vt:lpwstr>_Toc56410698</vt:lpwstr>
      </vt:variant>
      <vt:variant>
        <vt:i4>1114168</vt:i4>
      </vt:variant>
      <vt:variant>
        <vt:i4>422</vt:i4>
      </vt:variant>
      <vt:variant>
        <vt:i4>0</vt:i4>
      </vt:variant>
      <vt:variant>
        <vt:i4>5</vt:i4>
      </vt:variant>
      <vt:variant>
        <vt:lpwstr/>
      </vt:variant>
      <vt:variant>
        <vt:lpwstr>_Toc56410697</vt:lpwstr>
      </vt:variant>
      <vt:variant>
        <vt:i4>1048632</vt:i4>
      </vt:variant>
      <vt:variant>
        <vt:i4>416</vt:i4>
      </vt:variant>
      <vt:variant>
        <vt:i4>0</vt:i4>
      </vt:variant>
      <vt:variant>
        <vt:i4>5</vt:i4>
      </vt:variant>
      <vt:variant>
        <vt:lpwstr/>
      </vt:variant>
      <vt:variant>
        <vt:lpwstr>_Toc56410696</vt:lpwstr>
      </vt:variant>
      <vt:variant>
        <vt:i4>1245240</vt:i4>
      </vt:variant>
      <vt:variant>
        <vt:i4>410</vt:i4>
      </vt:variant>
      <vt:variant>
        <vt:i4>0</vt:i4>
      </vt:variant>
      <vt:variant>
        <vt:i4>5</vt:i4>
      </vt:variant>
      <vt:variant>
        <vt:lpwstr/>
      </vt:variant>
      <vt:variant>
        <vt:lpwstr>_Toc56410695</vt:lpwstr>
      </vt:variant>
      <vt:variant>
        <vt:i4>1179704</vt:i4>
      </vt:variant>
      <vt:variant>
        <vt:i4>404</vt:i4>
      </vt:variant>
      <vt:variant>
        <vt:i4>0</vt:i4>
      </vt:variant>
      <vt:variant>
        <vt:i4>5</vt:i4>
      </vt:variant>
      <vt:variant>
        <vt:lpwstr/>
      </vt:variant>
      <vt:variant>
        <vt:lpwstr>_Toc56410694</vt:lpwstr>
      </vt:variant>
      <vt:variant>
        <vt:i4>1376312</vt:i4>
      </vt:variant>
      <vt:variant>
        <vt:i4>398</vt:i4>
      </vt:variant>
      <vt:variant>
        <vt:i4>0</vt:i4>
      </vt:variant>
      <vt:variant>
        <vt:i4>5</vt:i4>
      </vt:variant>
      <vt:variant>
        <vt:lpwstr/>
      </vt:variant>
      <vt:variant>
        <vt:lpwstr>_Toc56410693</vt:lpwstr>
      </vt:variant>
      <vt:variant>
        <vt:i4>1310776</vt:i4>
      </vt:variant>
      <vt:variant>
        <vt:i4>392</vt:i4>
      </vt:variant>
      <vt:variant>
        <vt:i4>0</vt:i4>
      </vt:variant>
      <vt:variant>
        <vt:i4>5</vt:i4>
      </vt:variant>
      <vt:variant>
        <vt:lpwstr/>
      </vt:variant>
      <vt:variant>
        <vt:lpwstr>_Toc56410692</vt:lpwstr>
      </vt:variant>
      <vt:variant>
        <vt:i4>1507384</vt:i4>
      </vt:variant>
      <vt:variant>
        <vt:i4>386</vt:i4>
      </vt:variant>
      <vt:variant>
        <vt:i4>0</vt:i4>
      </vt:variant>
      <vt:variant>
        <vt:i4>5</vt:i4>
      </vt:variant>
      <vt:variant>
        <vt:lpwstr/>
      </vt:variant>
      <vt:variant>
        <vt:lpwstr>_Toc56410691</vt:lpwstr>
      </vt:variant>
      <vt:variant>
        <vt:i4>1441848</vt:i4>
      </vt:variant>
      <vt:variant>
        <vt:i4>380</vt:i4>
      </vt:variant>
      <vt:variant>
        <vt:i4>0</vt:i4>
      </vt:variant>
      <vt:variant>
        <vt:i4>5</vt:i4>
      </vt:variant>
      <vt:variant>
        <vt:lpwstr/>
      </vt:variant>
      <vt:variant>
        <vt:lpwstr>_Toc56410690</vt:lpwstr>
      </vt:variant>
      <vt:variant>
        <vt:i4>2031673</vt:i4>
      </vt:variant>
      <vt:variant>
        <vt:i4>374</vt:i4>
      </vt:variant>
      <vt:variant>
        <vt:i4>0</vt:i4>
      </vt:variant>
      <vt:variant>
        <vt:i4>5</vt:i4>
      </vt:variant>
      <vt:variant>
        <vt:lpwstr/>
      </vt:variant>
      <vt:variant>
        <vt:lpwstr>_Toc56410689</vt:lpwstr>
      </vt:variant>
      <vt:variant>
        <vt:i4>1966137</vt:i4>
      </vt:variant>
      <vt:variant>
        <vt:i4>368</vt:i4>
      </vt:variant>
      <vt:variant>
        <vt:i4>0</vt:i4>
      </vt:variant>
      <vt:variant>
        <vt:i4>5</vt:i4>
      </vt:variant>
      <vt:variant>
        <vt:lpwstr/>
      </vt:variant>
      <vt:variant>
        <vt:lpwstr>_Toc56410688</vt:lpwstr>
      </vt:variant>
      <vt:variant>
        <vt:i4>1114169</vt:i4>
      </vt:variant>
      <vt:variant>
        <vt:i4>362</vt:i4>
      </vt:variant>
      <vt:variant>
        <vt:i4>0</vt:i4>
      </vt:variant>
      <vt:variant>
        <vt:i4>5</vt:i4>
      </vt:variant>
      <vt:variant>
        <vt:lpwstr/>
      </vt:variant>
      <vt:variant>
        <vt:lpwstr>_Toc56410687</vt:lpwstr>
      </vt:variant>
      <vt:variant>
        <vt:i4>1048633</vt:i4>
      </vt:variant>
      <vt:variant>
        <vt:i4>356</vt:i4>
      </vt:variant>
      <vt:variant>
        <vt:i4>0</vt:i4>
      </vt:variant>
      <vt:variant>
        <vt:i4>5</vt:i4>
      </vt:variant>
      <vt:variant>
        <vt:lpwstr/>
      </vt:variant>
      <vt:variant>
        <vt:lpwstr>_Toc56410686</vt:lpwstr>
      </vt:variant>
      <vt:variant>
        <vt:i4>1245241</vt:i4>
      </vt:variant>
      <vt:variant>
        <vt:i4>350</vt:i4>
      </vt:variant>
      <vt:variant>
        <vt:i4>0</vt:i4>
      </vt:variant>
      <vt:variant>
        <vt:i4>5</vt:i4>
      </vt:variant>
      <vt:variant>
        <vt:lpwstr/>
      </vt:variant>
      <vt:variant>
        <vt:lpwstr>_Toc56410685</vt:lpwstr>
      </vt:variant>
      <vt:variant>
        <vt:i4>1179705</vt:i4>
      </vt:variant>
      <vt:variant>
        <vt:i4>344</vt:i4>
      </vt:variant>
      <vt:variant>
        <vt:i4>0</vt:i4>
      </vt:variant>
      <vt:variant>
        <vt:i4>5</vt:i4>
      </vt:variant>
      <vt:variant>
        <vt:lpwstr/>
      </vt:variant>
      <vt:variant>
        <vt:lpwstr>_Toc56410684</vt:lpwstr>
      </vt:variant>
      <vt:variant>
        <vt:i4>1376313</vt:i4>
      </vt:variant>
      <vt:variant>
        <vt:i4>338</vt:i4>
      </vt:variant>
      <vt:variant>
        <vt:i4>0</vt:i4>
      </vt:variant>
      <vt:variant>
        <vt:i4>5</vt:i4>
      </vt:variant>
      <vt:variant>
        <vt:lpwstr/>
      </vt:variant>
      <vt:variant>
        <vt:lpwstr>_Toc56410683</vt:lpwstr>
      </vt:variant>
      <vt:variant>
        <vt:i4>1310777</vt:i4>
      </vt:variant>
      <vt:variant>
        <vt:i4>332</vt:i4>
      </vt:variant>
      <vt:variant>
        <vt:i4>0</vt:i4>
      </vt:variant>
      <vt:variant>
        <vt:i4>5</vt:i4>
      </vt:variant>
      <vt:variant>
        <vt:lpwstr/>
      </vt:variant>
      <vt:variant>
        <vt:lpwstr>_Toc56410682</vt:lpwstr>
      </vt:variant>
      <vt:variant>
        <vt:i4>1507385</vt:i4>
      </vt:variant>
      <vt:variant>
        <vt:i4>326</vt:i4>
      </vt:variant>
      <vt:variant>
        <vt:i4>0</vt:i4>
      </vt:variant>
      <vt:variant>
        <vt:i4>5</vt:i4>
      </vt:variant>
      <vt:variant>
        <vt:lpwstr/>
      </vt:variant>
      <vt:variant>
        <vt:lpwstr>_Toc56410681</vt:lpwstr>
      </vt:variant>
      <vt:variant>
        <vt:i4>1441849</vt:i4>
      </vt:variant>
      <vt:variant>
        <vt:i4>320</vt:i4>
      </vt:variant>
      <vt:variant>
        <vt:i4>0</vt:i4>
      </vt:variant>
      <vt:variant>
        <vt:i4>5</vt:i4>
      </vt:variant>
      <vt:variant>
        <vt:lpwstr/>
      </vt:variant>
      <vt:variant>
        <vt:lpwstr>_Toc56410680</vt:lpwstr>
      </vt:variant>
      <vt:variant>
        <vt:i4>2031670</vt:i4>
      </vt:variant>
      <vt:variant>
        <vt:i4>314</vt:i4>
      </vt:variant>
      <vt:variant>
        <vt:i4>0</vt:i4>
      </vt:variant>
      <vt:variant>
        <vt:i4>5</vt:i4>
      </vt:variant>
      <vt:variant>
        <vt:lpwstr/>
      </vt:variant>
      <vt:variant>
        <vt:lpwstr>_Toc56410679</vt:lpwstr>
      </vt:variant>
      <vt:variant>
        <vt:i4>1966134</vt:i4>
      </vt:variant>
      <vt:variant>
        <vt:i4>308</vt:i4>
      </vt:variant>
      <vt:variant>
        <vt:i4>0</vt:i4>
      </vt:variant>
      <vt:variant>
        <vt:i4>5</vt:i4>
      </vt:variant>
      <vt:variant>
        <vt:lpwstr/>
      </vt:variant>
      <vt:variant>
        <vt:lpwstr>_Toc56410678</vt:lpwstr>
      </vt:variant>
      <vt:variant>
        <vt:i4>1114166</vt:i4>
      </vt:variant>
      <vt:variant>
        <vt:i4>302</vt:i4>
      </vt:variant>
      <vt:variant>
        <vt:i4>0</vt:i4>
      </vt:variant>
      <vt:variant>
        <vt:i4>5</vt:i4>
      </vt:variant>
      <vt:variant>
        <vt:lpwstr/>
      </vt:variant>
      <vt:variant>
        <vt:lpwstr>_Toc56410677</vt:lpwstr>
      </vt:variant>
      <vt:variant>
        <vt:i4>1048630</vt:i4>
      </vt:variant>
      <vt:variant>
        <vt:i4>296</vt:i4>
      </vt:variant>
      <vt:variant>
        <vt:i4>0</vt:i4>
      </vt:variant>
      <vt:variant>
        <vt:i4>5</vt:i4>
      </vt:variant>
      <vt:variant>
        <vt:lpwstr/>
      </vt:variant>
      <vt:variant>
        <vt:lpwstr>_Toc56410676</vt:lpwstr>
      </vt:variant>
      <vt:variant>
        <vt:i4>1245238</vt:i4>
      </vt:variant>
      <vt:variant>
        <vt:i4>290</vt:i4>
      </vt:variant>
      <vt:variant>
        <vt:i4>0</vt:i4>
      </vt:variant>
      <vt:variant>
        <vt:i4>5</vt:i4>
      </vt:variant>
      <vt:variant>
        <vt:lpwstr/>
      </vt:variant>
      <vt:variant>
        <vt:lpwstr>_Toc56410675</vt:lpwstr>
      </vt:variant>
      <vt:variant>
        <vt:i4>1179702</vt:i4>
      </vt:variant>
      <vt:variant>
        <vt:i4>284</vt:i4>
      </vt:variant>
      <vt:variant>
        <vt:i4>0</vt:i4>
      </vt:variant>
      <vt:variant>
        <vt:i4>5</vt:i4>
      </vt:variant>
      <vt:variant>
        <vt:lpwstr/>
      </vt:variant>
      <vt:variant>
        <vt:lpwstr>_Toc56410674</vt:lpwstr>
      </vt:variant>
      <vt:variant>
        <vt:i4>1376310</vt:i4>
      </vt:variant>
      <vt:variant>
        <vt:i4>278</vt:i4>
      </vt:variant>
      <vt:variant>
        <vt:i4>0</vt:i4>
      </vt:variant>
      <vt:variant>
        <vt:i4>5</vt:i4>
      </vt:variant>
      <vt:variant>
        <vt:lpwstr/>
      </vt:variant>
      <vt:variant>
        <vt:lpwstr>_Toc56410673</vt:lpwstr>
      </vt:variant>
      <vt:variant>
        <vt:i4>1310774</vt:i4>
      </vt:variant>
      <vt:variant>
        <vt:i4>272</vt:i4>
      </vt:variant>
      <vt:variant>
        <vt:i4>0</vt:i4>
      </vt:variant>
      <vt:variant>
        <vt:i4>5</vt:i4>
      </vt:variant>
      <vt:variant>
        <vt:lpwstr/>
      </vt:variant>
      <vt:variant>
        <vt:lpwstr>_Toc56410672</vt:lpwstr>
      </vt:variant>
      <vt:variant>
        <vt:i4>1507382</vt:i4>
      </vt:variant>
      <vt:variant>
        <vt:i4>266</vt:i4>
      </vt:variant>
      <vt:variant>
        <vt:i4>0</vt:i4>
      </vt:variant>
      <vt:variant>
        <vt:i4>5</vt:i4>
      </vt:variant>
      <vt:variant>
        <vt:lpwstr/>
      </vt:variant>
      <vt:variant>
        <vt:lpwstr>_Toc56410671</vt:lpwstr>
      </vt:variant>
      <vt:variant>
        <vt:i4>1441846</vt:i4>
      </vt:variant>
      <vt:variant>
        <vt:i4>260</vt:i4>
      </vt:variant>
      <vt:variant>
        <vt:i4>0</vt:i4>
      </vt:variant>
      <vt:variant>
        <vt:i4>5</vt:i4>
      </vt:variant>
      <vt:variant>
        <vt:lpwstr/>
      </vt:variant>
      <vt:variant>
        <vt:lpwstr>_Toc56410670</vt:lpwstr>
      </vt:variant>
      <vt:variant>
        <vt:i4>2031671</vt:i4>
      </vt:variant>
      <vt:variant>
        <vt:i4>254</vt:i4>
      </vt:variant>
      <vt:variant>
        <vt:i4>0</vt:i4>
      </vt:variant>
      <vt:variant>
        <vt:i4>5</vt:i4>
      </vt:variant>
      <vt:variant>
        <vt:lpwstr/>
      </vt:variant>
      <vt:variant>
        <vt:lpwstr>_Toc56410669</vt:lpwstr>
      </vt:variant>
      <vt:variant>
        <vt:i4>1966135</vt:i4>
      </vt:variant>
      <vt:variant>
        <vt:i4>248</vt:i4>
      </vt:variant>
      <vt:variant>
        <vt:i4>0</vt:i4>
      </vt:variant>
      <vt:variant>
        <vt:i4>5</vt:i4>
      </vt:variant>
      <vt:variant>
        <vt:lpwstr/>
      </vt:variant>
      <vt:variant>
        <vt:lpwstr>_Toc56410668</vt:lpwstr>
      </vt:variant>
      <vt:variant>
        <vt:i4>1114167</vt:i4>
      </vt:variant>
      <vt:variant>
        <vt:i4>242</vt:i4>
      </vt:variant>
      <vt:variant>
        <vt:i4>0</vt:i4>
      </vt:variant>
      <vt:variant>
        <vt:i4>5</vt:i4>
      </vt:variant>
      <vt:variant>
        <vt:lpwstr/>
      </vt:variant>
      <vt:variant>
        <vt:lpwstr>_Toc56410667</vt:lpwstr>
      </vt:variant>
      <vt:variant>
        <vt:i4>1048631</vt:i4>
      </vt:variant>
      <vt:variant>
        <vt:i4>236</vt:i4>
      </vt:variant>
      <vt:variant>
        <vt:i4>0</vt:i4>
      </vt:variant>
      <vt:variant>
        <vt:i4>5</vt:i4>
      </vt:variant>
      <vt:variant>
        <vt:lpwstr/>
      </vt:variant>
      <vt:variant>
        <vt:lpwstr>_Toc56410666</vt:lpwstr>
      </vt:variant>
      <vt:variant>
        <vt:i4>1245239</vt:i4>
      </vt:variant>
      <vt:variant>
        <vt:i4>230</vt:i4>
      </vt:variant>
      <vt:variant>
        <vt:i4>0</vt:i4>
      </vt:variant>
      <vt:variant>
        <vt:i4>5</vt:i4>
      </vt:variant>
      <vt:variant>
        <vt:lpwstr/>
      </vt:variant>
      <vt:variant>
        <vt:lpwstr>_Toc56410665</vt:lpwstr>
      </vt:variant>
      <vt:variant>
        <vt:i4>1179703</vt:i4>
      </vt:variant>
      <vt:variant>
        <vt:i4>224</vt:i4>
      </vt:variant>
      <vt:variant>
        <vt:i4>0</vt:i4>
      </vt:variant>
      <vt:variant>
        <vt:i4>5</vt:i4>
      </vt:variant>
      <vt:variant>
        <vt:lpwstr/>
      </vt:variant>
      <vt:variant>
        <vt:lpwstr>_Toc56410664</vt:lpwstr>
      </vt:variant>
      <vt:variant>
        <vt:i4>1376311</vt:i4>
      </vt:variant>
      <vt:variant>
        <vt:i4>218</vt:i4>
      </vt:variant>
      <vt:variant>
        <vt:i4>0</vt:i4>
      </vt:variant>
      <vt:variant>
        <vt:i4>5</vt:i4>
      </vt:variant>
      <vt:variant>
        <vt:lpwstr/>
      </vt:variant>
      <vt:variant>
        <vt:lpwstr>_Toc56410663</vt:lpwstr>
      </vt:variant>
      <vt:variant>
        <vt:i4>1310775</vt:i4>
      </vt:variant>
      <vt:variant>
        <vt:i4>212</vt:i4>
      </vt:variant>
      <vt:variant>
        <vt:i4>0</vt:i4>
      </vt:variant>
      <vt:variant>
        <vt:i4>5</vt:i4>
      </vt:variant>
      <vt:variant>
        <vt:lpwstr/>
      </vt:variant>
      <vt:variant>
        <vt:lpwstr>_Toc56410662</vt:lpwstr>
      </vt:variant>
      <vt:variant>
        <vt:i4>1507383</vt:i4>
      </vt:variant>
      <vt:variant>
        <vt:i4>206</vt:i4>
      </vt:variant>
      <vt:variant>
        <vt:i4>0</vt:i4>
      </vt:variant>
      <vt:variant>
        <vt:i4>5</vt:i4>
      </vt:variant>
      <vt:variant>
        <vt:lpwstr/>
      </vt:variant>
      <vt:variant>
        <vt:lpwstr>_Toc56410661</vt:lpwstr>
      </vt:variant>
      <vt:variant>
        <vt:i4>1441847</vt:i4>
      </vt:variant>
      <vt:variant>
        <vt:i4>200</vt:i4>
      </vt:variant>
      <vt:variant>
        <vt:i4>0</vt:i4>
      </vt:variant>
      <vt:variant>
        <vt:i4>5</vt:i4>
      </vt:variant>
      <vt:variant>
        <vt:lpwstr/>
      </vt:variant>
      <vt:variant>
        <vt:lpwstr>_Toc56410660</vt:lpwstr>
      </vt:variant>
      <vt:variant>
        <vt:i4>2031668</vt:i4>
      </vt:variant>
      <vt:variant>
        <vt:i4>194</vt:i4>
      </vt:variant>
      <vt:variant>
        <vt:i4>0</vt:i4>
      </vt:variant>
      <vt:variant>
        <vt:i4>5</vt:i4>
      </vt:variant>
      <vt:variant>
        <vt:lpwstr/>
      </vt:variant>
      <vt:variant>
        <vt:lpwstr>_Toc56410659</vt:lpwstr>
      </vt:variant>
      <vt:variant>
        <vt:i4>1114164</vt:i4>
      </vt:variant>
      <vt:variant>
        <vt:i4>188</vt:i4>
      </vt:variant>
      <vt:variant>
        <vt:i4>0</vt:i4>
      </vt:variant>
      <vt:variant>
        <vt:i4>5</vt:i4>
      </vt:variant>
      <vt:variant>
        <vt:lpwstr/>
      </vt:variant>
      <vt:variant>
        <vt:lpwstr>_Toc56410657</vt:lpwstr>
      </vt:variant>
      <vt:variant>
        <vt:i4>1048628</vt:i4>
      </vt:variant>
      <vt:variant>
        <vt:i4>182</vt:i4>
      </vt:variant>
      <vt:variant>
        <vt:i4>0</vt:i4>
      </vt:variant>
      <vt:variant>
        <vt:i4>5</vt:i4>
      </vt:variant>
      <vt:variant>
        <vt:lpwstr/>
      </vt:variant>
      <vt:variant>
        <vt:lpwstr>_Toc56410656</vt:lpwstr>
      </vt:variant>
      <vt:variant>
        <vt:i4>1245236</vt:i4>
      </vt:variant>
      <vt:variant>
        <vt:i4>176</vt:i4>
      </vt:variant>
      <vt:variant>
        <vt:i4>0</vt:i4>
      </vt:variant>
      <vt:variant>
        <vt:i4>5</vt:i4>
      </vt:variant>
      <vt:variant>
        <vt:lpwstr/>
      </vt:variant>
      <vt:variant>
        <vt:lpwstr>_Toc56410655</vt:lpwstr>
      </vt:variant>
      <vt:variant>
        <vt:i4>1179700</vt:i4>
      </vt:variant>
      <vt:variant>
        <vt:i4>170</vt:i4>
      </vt:variant>
      <vt:variant>
        <vt:i4>0</vt:i4>
      </vt:variant>
      <vt:variant>
        <vt:i4>5</vt:i4>
      </vt:variant>
      <vt:variant>
        <vt:lpwstr/>
      </vt:variant>
      <vt:variant>
        <vt:lpwstr>_Toc56410654</vt:lpwstr>
      </vt:variant>
      <vt:variant>
        <vt:i4>1376308</vt:i4>
      </vt:variant>
      <vt:variant>
        <vt:i4>164</vt:i4>
      </vt:variant>
      <vt:variant>
        <vt:i4>0</vt:i4>
      </vt:variant>
      <vt:variant>
        <vt:i4>5</vt:i4>
      </vt:variant>
      <vt:variant>
        <vt:lpwstr/>
      </vt:variant>
      <vt:variant>
        <vt:lpwstr>_Toc56410653</vt:lpwstr>
      </vt:variant>
      <vt:variant>
        <vt:i4>1310772</vt:i4>
      </vt:variant>
      <vt:variant>
        <vt:i4>158</vt:i4>
      </vt:variant>
      <vt:variant>
        <vt:i4>0</vt:i4>
      </vt:variant>
      <vt:variant>
        <vt:i4>5</vt:i4>
      </vt:variant>
      <vt:variant>
        <vt:lpwstr/>
      </vt:variant>
      <vt:variant>
        <vt:lpwstr>_Toc56410652</vt:lpwstr>
      </vt:variant>
      <vt:variant>
        <vt:i4>1507380</vt:i4>
      </vt:variant>
      <vt:variant>
        <vt:i4>152</vt:i4>
      </vt:variant>
      <vt:variant>
        <vt:i4>0</vt:i4>
      </vt:variant>
      <vt:variant>
        <vt:i4>5</vt:i4>
      </vt:variant>
      <vt:variant>
        <vt:lpwstr/>
      </vt:variant>
      <vt:variant>
        <vt:lpwstr>_Toc56410651</vt:lpwstr>
      </vt:variant>
      <vt:variant>
        <vt:i4>1441844</vt:i4>
      </vt:variant>
      <vt:variant>
        <vt:i4>146</vt:i4>
      </vt:variant>
      <vt:variant>
        <vt:i4>0</vt:i4>
      </vt:variant>
      <vt:variant>
        <vt:i4>5</vt:i4>
      </vt:variant>
      <vt:variant>
        <vt:lpwstr/>
      </vt:variant>
      <vt:variant>
        <vt:lpwstr>_Toc56410650</vt:lpwstr>
      </vt:variant>
      <vt:variant>
        <vt:i4>2031669</vt:i4>
      </vt:variant>
      <vt:variant>
        <vt:i4>140</vt:i4>
      </vt:variant>
      <vt:variant>
        <vt:i4>0</vt:i4>
      </vt:variant>
      <vt:variant>
        <vt:i4>5</vt:i4>
      </vt:variant>
      <vt:variant>
        <vt:lpwstr/>
      </vt:variant>
      <vt:variant>
        <vt:lpwstr>_Toc56410649</vt:lpwstr>
      </vt:variant>
      <vt:variant>
        <vt:i4>1966133</vt:i4>
      </vt:variant>
      <vt:variant>
        <vt:i4>134</vt:i4>
      </vt:variant>
      <vt:variant>
        <vt:i4>0</vt:i4>
      </vt:variant>
      <vt:variant>
        <vt:i4>5</vt:i4>
      </vt:variant>
      <vt:variant>
        <vt:lpwstr/>
      </vt:variant>
      <vt:variant>
        <vt:lpwstr>_Toc56410648</vt:lpwstr>
      </vt:variant>
      <vt:variant>
        <vt:i4>1114165</vt:i4>
      </vt:variant>
      <vt:variant>
        <vt:i4>128</vt:i4>
      </vt:variant>
      <vt:variant>
        <vt:i4>0</vt:i4>
      </vt:variant>
      <vt:variant>
        <vt:i4>5</vt:i4>
      </vt:variant>
      <vt:variant>
        <vt:lpwstr/>
      </vt:variant>
      <vt:variant>
        <vt:lpwstr>_Toc56410647</vt:lpwstr>
      </vt:variant>
      <vt:variant>
        <vt:i4>1048629</vt:i4>
      </vt:variant>
      <vt:variant>
        <vt:i4>122</vt:i4>
      </vt:variant>
      <vt:variant>
        <vt:i4>0</vt:i4>
      </vt:variant>
      <vt:variant>
        <vt:i4>5</vt:i4>
      </vt:variant>
      <vt:variant>
        <vt:lpwstr/>
      </vt:variant>
      <vt:variant>
        <vt:lpwstr>_Toc56410646</vt:lpwstr>
      </vt:variant>
      <vt:variant>
        <vt:i4>1245237</vt:i4>
      </vt:variant>
      <vt:variant>
        <vt:i4>116</vt:i4>
      </vt:variant>
      <vt:variant>
        <vt:i4>0</vt:i4>
      </vt:variant>
      <vt:variant>
        <vt:i4>5</vt:i4>
      </vt:variant>
      <vt:variant>
        <vt:lpwstr/>
      </vt:variant>
      <vt:variant>
        <vt:lpwstr>_Toc56410645</vt:lpwstr>
      </vt:variant>
      <vt:variant>
        <vt:i4>1179701</vt:i4>
      </vt:variant>
      <vt:variant>
        <vt:i4>110</vt:i4>
      </vt:variant>
      <vt:variant>
        <vt:i4>0</vt:i4>
      </vt:variant>
      <vt:variant>
        <vt:i4>5</vt:i4>
      </vt:variant>
      <vt:variant>
        <vt:lpwstr/>
      </vt:variant>
      <vt:variant>
        <vt:lpwstr>_Toc56410644</vt:lpwstr>
      </vt:variant>
      <vt:variant>
        <vt:i4>1376309</vt:i4>
      </vt:variant>
      <vt:variant>
        <vt:i4>104</vt:i4>
      </vt:variant>
      <vt:variant>
        <vt:i4>0</vt:i4>
      </vt:variant>
      <vt:variant>
        <vt:i4>5</vt:i4>
      </vt:variant>
      <vt:variant>
        <vt:lpwstr/>
      </vt:variant>
      <vt:variant>
        <vt:lpwstr>_Toc56410643</vt:lpwstr>
      </vt:variant>
      <vt:variant>
        <vt:i4>1310773</vt:i4>
      </vt:variant>
      <vt:variant>
        <vt:i4>98</vt:i4>
      </vt:variant>
      <vt:variant>
        <vt:i4>0</vt:i4>
      </vt:variant>
      <vt:variant>
        <vt:i4>5</vt:i4>
      </vt:variant>
      <vt:variant>
        <vt:lpwstr/>
      </vt:variant>
      <vt:variant>
        <vt:lpwstr>_Toc56410642</vt:lpwstr>
      </vt:variant>
      <vt:variant>
        <vt:i4>1507381</vt:i4>
      </vt:variant>
      <vt:variant>
        <vt:i4>92</vt:i4>
      </vt:variant>
      <vt:variant>
        <vt:i4>0</vt:i4>
      </vt:variant>
      <vt:variant>
        <vt:i4>5</vt:i4>
      </vt:variant>
      <vt:variant>
        <vt:lpwstr/>
      </vt:variant>
      <vt:variant>
        <vt:lpwstr>_Toc56410641</vt:lpwstr>
      </vt:variant>
      <vt:variant>
        <vt:i4>1441845</vt:i4>
      </vt:variant>
      <vt:variant>
        <vt:i4>86</vt:i4>
      </vt:variant>
      <vt:variant>
        <vt:i4>0</vt:i4>
      </vt:variant>
      <vt:variant>
        <vt:i4>5</vt:i4>
      </vt:variant>
      <vt:variant>
        <vt:lpwstr/>
      </vt:variant>
      <vt:variant>
        <vt:lpwstr>_Toc56410640</vt:lpwstr>
      </vt:variant>
      <vt:variant>
        <vt:i4>2031666</vt:i4>
      </vt:variant>
      <vt:variant>
        <vt:i4>80</vt:i4>
      </vt:variant>
      <vt:variant>
        <vt:i4>0</vt:i4>
      </vt:variant>
      <vt:variant>
        <vt:i4>5</vt:i4>
      </vt:variant>
      <vt:variant>
        <vt:lpwstr/>
      </vt:variant>
      <vt:variant>
        <vt:lpwstr>_Toc56410639</vt:lpwstr>
      </vt:variant>
      <vt:variant>
        <vt:i4>1966130</vt:i4>
      </vt:variant>
      <vt:variant>
        <vt:i4>74</vt:i4>
      </vt:variant>
      <vt:variant>
        <vt:i4>0</vt:i4>
      </vt:variant>
      <vt:variant>
        <vt:i4>5</vt:i4>
      </vt:variant>
      <vt:variant>
        <vt:lpwstr/>
      </vt:variant>
      <vt:variant>
        <vt:lpwstr>_Toc56410638</vt:lpwstr>
      </vt:variant>
      <vt:variant>
        <vt:i4>1114162</vt:i4>
      </vt:variant>
      <vt:variant>
        <vt:i4>68</vt:i4>
      </vt:variant>
      <vt:variant>
        <vt:i4>0</vt:i4>
      </vt:variant>
      <vt:variant>
        <vt:i4>5</vt:i4>
      </vt:variant>
      <vt:variant>
        <vt:lpwstr/>
      </vt:variant>
      <vt:variant>
        <vt:lpwstr>_Toc56410637</vt:lpwstr>
      </vt:variant>
      <vt:variant>
        <vt:i4>1048626</vt:i4>
      </vt:variant>
      <vt:variant>
        <vt:i4>62</vt:i4>
      </vt:variant>
      <vt:variant>
        <vt:i4>0</vt:i4>
      </vt:variant>
      <vt:variant>
        <vt:i4>5</vt:i4>
      </vt:variant>
      <vt:variant>
        <vt:lpwstr/>
      </vt:variant>
      <vt:variant>
        <vt:lpwstr>_Toc56410636</vt:lpwstr>
      </vt:variant>
      <vt:variant>
        <vt:i4>1245234</vt:i4>
      </vt:variant>
      <vt:variant>
        <vt:i4>56</vt:i4>
      </vt:variant>
      <vt:variant>
        <vt:i4>0</vt:i4>
      </vt:variant>
      <vt:variant>
        <vt:i4>5</vt:i4>
      </vt:variant>
      <vt:variant>
        <vt:lpwstr/>
      </vt:variant>
      <vt:variant>
        <vt:lpwstr>_Toc56410635</vt:lpwstr>
      </vt:variant>
      <vt:variant>
        <vt:i4>1179698</vt:i4>
      </vt:variant>
      <vt:variant>
        <vt:i4>50</vt:i4>
      </vt:variant>
      <vt:variant>
        <vt:i4>0</vt:i4>
      </vt:variant>
      <vt:variant>
        <vt:i4>5</vt:i4>
      </vt:variant>
      <vt:variant>
        <vt:lpwstr/>
      </vt:variant>
      <vt:variant>
        <vt:lpwstr>_Toc56410634</vt:lpwstr>
      </vt:variant>
      <vt:variant>
        <vt:i4>1376306</vt:i4>
      </vt:variant>
      <vt:variant>
        <vt:i4>44</vt:i4>
      </vt:variant>
      <vt:variant>
        <vt:i4>0</vt:i4>
      </vt:variant>
      <vt:variant>
        <vt:i4>5</vt:i4>
      </vt:variant>
      <vt:variant>
        <vt:lpwstr/>
      </vt:variant>
      <vt:variant>
        <vt:lpwstr>_Toc56410633</vt:lpwstr>
      </vt:variant>
      <vt:variant>
        <vt:i4>1310770</vt:i4>
      </vt:variant>
      <vt:variant>
        <vt:i4>38</vt:i4>
      </vt:variant>
      <vt:variant>
        <vt:i4>0</vt:i4>
      </vt:variant>
      <vt:variant>
        <vt:i4>5</vt:i4>
      </vt:variant>
      <vt:variant>
        <vt:lpwstr/>
      </vt:variant>
      <vt:variant>
        <vt:lpwstr>_Toc56410632</vt:lpwstr>
      </vt:variant>
      <vt:variant>
        <vt:i4>1507378</vt:i4>
      </vt:variant>
      <vt:variant>
        <vt:i4>32</vt:i4>
      </vt:variant>
      <vt:variant>
        <vt:i4>0</vt:i4>
      </vt:variant>
      <vt:variant>
        <vt:i4>5</vt:i4>
      </vt:variant>
      <vt:variant>
        <vt:lpwstr/>
      </vt:variant>
      <vt:variant>
        <vt:lpwstr>_Toc56410631</vt:lpwstr>
      </vt:variant>
      <vt:variant>
        <vt:i4>1441842</vt:i4>
      </vt:variant>
      <vt:variant>
        <vt:i4>26</vt:i4>
      </vt:variant>
      <vt:variant>
        <vt:i4>0</vt:i4>
      </vt:variant>
      <vt:variant>
        <vt:i4>5</vt:i4>
      </vt:variant>
      <vt:variant>
        <vt:lpwstr/>
      </vt:variant>
      <vt:variant>
        <vt:lpwstr>_Toc56410630</vt:lpwstr>
      </vt:variant>
      <vt:variant>
        <vt:i4>1048627</vt:i4>
      </vt:variant>
      <vt:variant>
        <vt:i4>20</vt:i4>
      </vt:variant>
      <vt:variant>
        <vt:i4>0</vt:i4>
      </vt:variant>
      <vt:variant>
        <vt:i4>5</vt:i4>
      </vt:variant>
      <vt:variant>
        <vt:lpwstr/>
      </vt:variant>
      <vt:variant>
        <vt:lpwstr>_Toc56410626</vt:lpwstr>
      </vt:variant>
      <vt:variant>
        <vt:i4>1245235</vt:i4>
      </vt:variant>
      <vt:variant>
        <vt:i4>14</vt:i4>
      </vt:variant>
      <vt:variant>
        <vt:i4>0</vt:i4>
      </vt:variant>
      <vt:variant>
        <vt:i4>5</vt:i4>
      </vt:variant>
      <vt:variant>
        <vt:lpwstr/>
      </vt:variant>
      <vt:variant>
        <vt:lpwstr>_Toc56410625</vt:lpwstr>
      </vt:variant>
      <vt:variant>
        <vt:i4>1179699</vt:i4>
      </vt:variant>
      <vt:variant>
        <vt:i4>8</vt:i4>
      </vt:variant>
      <vt:variant>
        <vt:i4>0</vt:i4>
      </vt:variant>
      <vt:variant>
        <vt:i4>5</vt:i4>
      </vt:variant>
      <vt:variant>
        <vt:lpwstr/>
      </vt:variant>
      <vt:variant>
        <vt:lpwstr>_Toc56410624</vt:lpwstr>
      </vt:variant>
      <vt:variant>
        <vt:i4>1376307</vt:i4>
      </vt:variant>
      <vt:variant>
        <vt:i4>2</vt:i4>
      </vt:variant>
      <vt:variant>
        <vt:i4>0</vt:i4>
      </vt:variant>
      <vt:variant>
        <vt:i4>5</vt:i4>
      </vt:variant>
      <vt:variant>
        <vt:lpwstr/>
      </vt:variant>
      <vt:variant>
        <vt:lpwstr>_Toc56410623</vt:lpwstr>
      </vt:variant>
      <vt:variant>
        <vt:i4>5242891</vt:i4>
      </vt:variant>
      <vt:variant>
        <vt:i4>6</vt:i4>
      </vt:variant>
      <vt:variant>
        <vt:i4>0</vt:i4>
      </vt:variant>
      <vt:variant>
        <vt:i4>5</vt:i4>
      </vt:variant>
      <vt:variant>
        <vt:lpwstr>C:\Users\ademul\AppData\Local\Temp\notesC76C45\www.health.govt.nz\system\files\documents\pages\eligibility-direction-2011.pdf</vt:lpwstr>
      </vt:variant>
      <vt:variant>
        <vt:lpwstr/>
      </vt:variant>
      <vt:variant>
        <vt:i4>56</vt:i4>
      </vt:variant>
      <vt:variant>
        <vt:i4>3</vt:i4>
      </vt:variant>
      <vt:variant>
        <vt:i4>0</vt:i4>
      </vt:variant>
      <vt:variant>
        <vt:i4>5</vt:i4>
      </vt:variant>
      <vt:variant>
        <vt:lpwstr>C:\Users\ademul\AppData\Local\Temp\notesC76C45\www.alliedhealth.org.nz\uploads\8\8\9\4\88944696\best_practice_guide_for_telehealth_-_april_2018.pdf</vt:lpwstr>
      </vt:variant>
      <vt:variant>
        <vt:lpwstr/>
      </vt:variant>
      <vt:variant>
        <vt:i4>7602288</vt:i4>
      </vt:variant>
      <vt:variant>
        <vt:i4>0</vt:i4>
      </vt:variant>
      <vt:variant>
        <vt:i4>0</vt:i4>
      </vt:variant>
      <vt:variant>
        <vt:i4>5</vt:i4>
      </vt:variant>
      <vt:variant>
        <vt:lpwstr>https://www.telehealth.org.nz/assets/standards/200327-Medical-Council-Statement-on-Telehealth-2020.pdf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2023-06-22T22:05:00Z</dcterms:created>
  <dcterms:modified xsi:type="dcterms:W3CDTF">2023-06-22T22:05:00Z</dcterms:modified>
</cp:coreProperties>
</file>