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DE" w:rsidRDefault="00D92EDE">
      <w:pPr>
        <w:pStyle w:val="BodyText"/>
        <w:jc w:val="both"/>
        <w:rPr>
          <w:rFonts w:cs="Arial Mäori"/>
        </w:rPr>
      </w:pPr>
      <w:bookmarkStart w:id="0" w:name="_GoBack"/>
      <w:bookmarkEnd w:id="0"/>
    </w:p>
    <w:p w:rsidR="00D92EDE" w:rsidRDefault="00D92EDE">
      <w:pPr>
        <w:pStyle w:val="BodyText"/>
        <w:jc w:val="both"/>
        <w:rPr>
          <w:rFonts w:cs="Arial Mäori"/>
        </w:rPr>
      </w:pPr>
    </w:p>
    <w:p w:rsidR="00D92EDE" w:rsidRDefault="00D92EDE">
      <w:pPr>
        <w:pStyle w:val="BodyText"/>
        <w:jc w:val="both"/>
        <w:rPr>
          <w:rFonts w:cs="Arial Mäori"/>
        </w:rPr>
      </w:pPr>
    </w:p>
    <w:p w:rsidR="00D92EDE" w:rsidRDefault="00D92EDE">
      <w:pPr>
        <w:pStyle w:val="BodyText"/>
        <w:jc w:val="both"/>
        <w:rPr>
          <w:rFonts w:cs="Arial Mäori"/>
        </w:rPr>
      </w:pPr>
    </w:p>
    <w:p w:rsidR="00D92EDE" w:rsidRDefault="00D92EDE"/>
    <w:p w:rsidR="00D92EDE" w:rsidRDefault="00D92EDE">
      <w:pPr>
        <w:pStyle w:val="Document1"/>
        <w:tabs>
          <w:tab w:val="clear" w:pos="4253"/>
        </w:tabs>
        <w:spacing w:after="0"/>
      </w:pPr>
    </w:p>
    <w:p w:rsidR="00D92EDE" w:rsidRDefault="00D92EDE">
      <w:pPr>
        <w:pStyle w:val="Document1"/>
        <w:tabs>
          <w:tab w:val="clear" w:pos="4253"/>
        </w:tabs>
        <w:spacing w:after="0"/>
      </w:pPr>
    </w:p>
    <w:p w:rsidR="00D92EDE" w:rsidRDefault="00D92EDE">
      <w:pPr>
        <w:pStyle w:val="Document1"/>
        <w:tabs>
          <w:tab w:val="clear" w:pos="4253"/>
        </w:tabs>
        <w:spacing w:after="0"/>
      </w:pPr>
    </w:p>
    <w:p w:rsidR="00D92EDE" w:rsidRDefault="00D92EDE">
      <w:pPr>
        <w:pStyle w:val="Document1"/>
        <w:tabs>
          <w:tab w:val="clear" w:pos="4253"/>
        </w:tabs>
        <w:spacing w:after="0"/>
      </w:pPr>
    </w:p>
    <w:p w:rsidR="00D92EDE" w:rsidRDefault="00D92EDE">
      <w:pPr>
        <w:pStyle w:val="Document1"/>
        <w:tabs>
          <w:tab w:val="clear" w:pos="4253"/>
        </w:tabs>
        <w:spacing w:after="0"/>
      </w:pPr>
    </w:p>
    <w:p w:rsidR="00D92EDE" w:rsidRDefault="00D92EDE">
      <w:pPr>
        <w:pStyle w:val="Document1"/>
        <w:tabs>
          <w:tab w:val="clear" w:pos="4253"/>
        </w:tabs>
        <w:spacing w:after="0"/>
      </w:pPr>
    </w:p>
    <w:p w:rsidR="00D92EDE" w:rsidRDefault="00D92EDE">
      <w:pPr>
        <w:pStyle w:val="Document1"/>
        <w:tabs>
          <w:tab w:val="clear" w:pos="4253"/>
        </w:tabs>
        <w:spacing w:after="0"/>
      </w:pPr>
    </w:p>
    <w:p w:rsidR="00D92EDE" w:rsidRDefault="00D92EDE">
      <w:pPr>
        <w:pStyle w:val="Document1"/>
        <w:tabs>
          <w:tab w:val="clear" w:pos="4253"/>
        </w:tabs>
        <w:spacing w:after="0"/>
      </w:pPr>
    </w:p>
    <w:p w:rsidR="00D92EDE" w:rsidRDefault="00D92EDE">
      <w:pPr>
        <w:pStyle w:val="Document1"/>
        <w:tabs>
          <w:tab w:val="clear" w:pos="4253"/>
        </w:tabs>
        <w:spacing w:after="0"/>
      </w:pPr>
    </w:p>
    <w:p w:rsidR="00D92EDE" w:rsidRDefault="00D92EDE">
      <w:pPr>
        <w:pStyle w:val="Document1"/>
        <w:tabs>
          <w:tab w:val="clear" w:pos="4253"/>
        </w:tabs>
        <w:spacing w:after="0"/>
      </w:pPr>
    </w:p>
    <w:p w:rsidR="00D92EDE" w:rsidRPr="00A73CAE" w:rsidRDefault="00D92EDE">
      <w:pPr>
        <w:pStyle w:val="Document1"/>
        <w:tabs>
          <w:tab w:val="clear" w:pos="4253"/>
        </w:tabs>
        <w:spacing w:after="0"/>
        <w:rPr>
          <w:sz w:val="40"/>
        </w:rPr>
      </w:pPr>
    </w:p>
    <w:p w:rsidR="00D92EDE" w:rsidRPr="00A73CAE" w:rsidRDefault="00A73CAE">
      <w:pPr>
        <w:pStyle w:val="Document1"/>
        <w:tabs>
          <w:tab w:val="clear" w:pos="4253"/>
        </w:tabs>
        <w:spacing w:after="0"/>
        <w:rPr>
          <w:sz w:val="40"/>
        </w:rPr>
      </w:pPr>
      <w:r w:rsidRPr="00A73CAE">
        <w:rPr>
          <w:sz w:val="40"/>
        </w:rPr>
        <w:t xml:space="preserve">Common </w:t>
      </w:r>
      <w:r w:rsidR="00D92EDE" w:rsidRPr="00A73CAE">
        <w:rPr>
          <w:sz w:val="40"/>
        </w:rPr>
        <w:t>Costing Group</w:t>
      </w:r>
    </w:p>
    <w:p w:rsidR="00D92EDE" w:rsidRPr="00A73CAE" w:rsidRDefault="00D92EDE">
      <w:pPr>
        <w:pStyle w:val="Document1"/>
        <w:tabs>
          <w:tab w:val="clear" w:pos="4253"/>
        </w:tabs>
        <w:spacing w:after="0"/>
        <w:rPr>
          <w:sz w:val="40"/>
        </w:rPr>
      </w:pPr>
    </w:p>
    <w:p w:rsidR="00D92EDE" w:rsidRPr="00A73CAE" w:rsidRDefault="00D92EDE">
      <w:pPr>
        <w:pStyle w:val="Document1"/>
        <w:tabs>
          <w:tab w:val="clear" w:pos="4253"/>
        </w:tabs>
        <w:spacing w:after="0"/>
        <w:rPr>
          <w:rFonts w:cs="Arial Mäori"/>
          <w:sz w:val="40"/>
        </w:rPr>
      </w:pPr>
      <w:r w:rsidRPr="00A73CAE">
        <w:rPr>
          <w:rFonts w:cs="Arial Mäori"/>
          <w:sz w:val="40"/>
        </w:rPr>
        <w:t>Terms of Reference</w:t>
      </w: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b/>
          <w:bCs/>
          <w:sz w:val="32"/>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p w:rsidR="00D92EDE" w:rsidRDefault="00D92EDE">
      <w:pPr>
        <w:jc w:val="both"/>
        <w:rPr>
          <w:rFonts w:cs="Arial Mäori"/>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877"/>
      </w:tblGrid>
      <w:tr w:rsidR="00D92EDE">
        <w:tc>
          <w:tcPr>
            <w:tcW w:w="2160" w:type="dxa"/>
            <w:shd w:val="clear" w:color="auto" w:fill="D9D9D9"/>
            <w:vAlign w:val="center"/>
          </w:tcPr>
          <w:p w:rsidR="00D92EDE" w:rsidRDefault="00D92EDE">
            <w:pPr>
              <w:pStyle w:val="Document2"/>
              <w:rPr>
                <w:rFonts w:ascii="Arial Mäori" w:hAnsi="Arial Mäori" w:cs="Arial Mäori"/>
                <w:sz w:val="20"/>
              </w:rPr>
            </w:pPr>
            <w:r>
              <w:rPr>
                <w:rFonts w:ascii="Arial Mäori" w:hAnsi="Arial Mäori" w:cs="Arial Mäori"/>
                <w:sz w:val="20"/>
              </w:rPr>
              <w:t>Prepared by:</w:t>
            </w:r>
          </w:p>
        </w:tc>
        <w:tc>
          <w:tcPr>
            <w:tcW w:w="3420" w:type="dxa"/>
            <w:vAlign w:val="center"/>
          </w:tcPr>
          <w:p w:rsidR="00D92EDE" w:rsidRDefault="00A73CAE">
            <w:pPr>
              <w:rPr>
                <w:rFonts w:cs="Arial Mäori"/>
                <w:sz w:val="20"/>
              </w:rPr>
            </w:pPr>
            <w:r>
              <w:rPr>
                <w:rFonts w:cs="Arial Mäori"/>
                <w:sz w:val="20"/>
              </w:rPr>
              <w:t>Phil McConville</w:t>
            </w:r>
          </w:p>
        </w:tc>
      </w:tr>
      <w:tr w:rsidR="00D92EDE">
        <w:tc>
          <w:tcPr>
            <w:tcW w:w="2160" w:type="dxa"/>
            <w:shd w:val="clear" w:color="auto" w:fill="D9D9D9"/>
            <w:vAlign w:val="center"/>
          </w:tcPr>
          <w:p w:rsidR="00D92EDE" w:rsidRDefault="00D92EDE">
            <w:pPr>
              <w:pStyle w:val="Document2"/>
              <w:rPr>
                <w:rFonts w:ascii="Arial Mäori" w:hAnsi="Arial Mäori" w:cs="Arial Mäori"/>
                <w:sz w:val="20"/>
              </w:rPr>
            </w:pPr>
            <w:r>
              <w:rPr>
                <w:rFonts w:ascii="Arial Mäori" w:hAnsi="Arial Mäori" w:cs="Arial Mäori"/>
                <w:sz w:val="20"/>
              </w:rPr>
              <w:t>Date:</w:t>
            </w:r>
          </w:p>
        </w:tc>
        <w:tc>
          <w:tcPr>
            <w:tcW w:w="3420" w:type="dxa"/>
            <w:vAlign w:val="center"/>
          </w:tcPr>
          <w:p w:rsidR="00D92EDE" w:rsidRDefault="00A73CAE" w:rsidP="00A73CAE">
            <w:pPr>
              <w:pStyle w:val="FootnoteText"/>
              <w:rPr>
                <w:rFonts w:cs="Arial Mäori"/>
                <w:szCs w:val="24"/>
              </w:rPr>
            </w:pPr>
            <w:r>
              <w:rPr>
                <w:rFonts w:cs="Arial Mäori"/>
                <w:szCs w:val="24"/>
              </w:rPr>
              <w:t xml:space="preserve">April </w:t>
            </w:r>
            <w:r w:rsidR="009B1200">
              <w:rPr>
                <w:rFonts w:cs="Arial Mäori"/>
                <w:szCs w:val="24"/>
              </w:rPr>
              <w:t>20</w:t>
            </w:r>
            <w:r>
              <w:rPr>
                <w:rFonts w:cs="Arial Mäori"/>
                <w:szCs w:val="24"/>
              </w:rPr>
              <w:t>18</w:t>
            </w:r>
          </w:p>
        </w:tc>
      </w:tr>
      <w:tr w:rsidR="00D92EDE">
        <w:tc>
          <w:tcPr>
            <w:tcW w:w="2160" w:type="dxa"/>
            <w:shd w:val="clear" w:color="auto" w:fill="D9D9D9"/>
            <w:vAlign w:val="center"/>
          </w:tcPr>
          <w:p w:rsidR="00D92EDE" w:rsidRDefault="00D92EDE">
            <w:pPr>
              <w:pStyle w:val="Document2"/>
              <w:rPr>
                <w:rFonts w:ascii="Arial Mäori" w:hAnsi="Arial Mäori" w:cs="Arial Mäori"/>
                <w:sz w:val="20"/>
              </w:rPr>
            </w:pPr>
            <w:r>
              <w:rPr>
                <w:rFonts w:ascii="Arial Mäori" w:hAnsi="Arial Mäori" w:cs="Arial Mäori"/>
                <w:sz w:val="20"/>
              </w:rPr>
              <w:t>Version:</w:t>
            </w:r>
          </w:p>
        </w:tc>
        <w:tc>
          <w:tcPr>
            <w:tcW w:w="3420" w:type="dxa"/>
            <w:vAlign w:val="center"/>
          </w:tcPr>
          <w:p w:rsidR="00D92EDE" w:rsidRDefault="00DE53CA" w:rsidP="00A73CAE">
            <w:pPr>
              <w:rPr>
                <w:rFonts w:cs="Arial Mäori"/>
                <w:sz w:val="20"/>
              </w:rPr>
            </w:pPr>
            <w:r>
              <w:rPr>
                <w:rFonts w:cs="Arial Mäori"/>
                <w:sz w:val="20"/>
              </w:rPr>
              <w:t>2</w:t>
            </w:r>
            <w:r w:rsidR="009A4CE7">
              <w:rPr>
                <w:rFonts w:cs="Arial Mäori"/>
                <w:sz w:val="20"/>
              </w:rPr>
              <w:t>.</w:t>
            </w:r>
            <w:r>
              <w:rPr>
                <w:rFonts w:cs="Arial Mäori"/>
                <w:sz w:val="20"/>
              </w:rPr>
              <w:t>2</w:t>
            </w:r>
          </w:p>
        </w:tc>
      </w:tr>
      <w:tr w:rsidR="00D92EDE">
        <w:tc>
          <w:tcPr>
            <w:tcW w:w="2160" w:type="dxa"/>
            <w:shd w:val="clear" w:color="auto" w:fill="D9D9D9"/>
            <w:vAlign w:val="center"/>
          </w:tcPr>
          <w:p w:rsidR="00D92EDE" w:rsidRDefault="00D92EDE">
            <w:pPr>
              <w:pStyle w:val="Document2"/>
              <w:rPr>
                <w:rFonts w:ascii="Arial Mäori" w:hAnsi="Arial Mäori" w:cs="Arial Mäori"/>
                <w:sz w:val="20"/>
              </w:rPr>
            </w:pPr>
            <w:r>
              <w:rPr>
                <w:rFonts w:ascii="Arial Mäori" w:hAnsi="Arial Mäori" w:cs="Arial Mäori"/>
                <w:sz w:val="20"/>
              </w:rPr>
              <w:t>Status:</w:t>
            </w:r>
          </w:p>
        </w:tc>
        <w:tc>
          <w:tcPr>
            <w:tcW w:w="3420" w:type="dxa"/>
            <w:vAlign w:val="center"/>
          </w:tcPr>
          <w:p w:rsidR="00D92EDE" w:rsidRDefault="002F4311" w:rsidP="002F4311">
            <w:pPr>
              <w:pStyle w:val="Document2"/>
              <w:rPr>
                <w:rFonts w:ascii="Arial Mäori" w:hAnsi="Arial Mäori" w:cs="Arial Mäori"/>
                <w:sz w:val="20"/>
              </w:rPr>
            </w:pPr>
            <w:r>
              <w:rPr>
                <w:rFonts w:ascii="Arial Mäori" w:hAnsi="Arial Mäori" w:cs="Arial Mäori"/>
                <w:sz w:val="20"/>
              </w:rPr>
              <w:t>Final</w:t>
            </w:r>
          </w:p>
        </w:tc>
      </w:tr>
    </w:tbl>
    <w:p w:rsidR="00D92EDE" w:rsidRDefault="00D92EDE">
      <w:pPr>
        <w:pStyle w:val="Document1"/>
        <w:jc w:val="both"/>
        <w:rPr>
          <w:rFonts w:ascii="Arial Mäori" w:hAnsi="Arial Mäori" w:cs="Arial Mäori"/>
        </w:rPr>
      </w:pPr>
    </w:p>
    <w:p w:rsidR="00D92EDE" w:rsidRDefault="00D92EDE" w:rsidP="00A73CAE">
      <w:pPr>
        <w:pStyle w:val="Document1"/>
        <w:jc w:val="both"/>
      </w:pPr>
      <w:r>
        <w:br w:type="page"/>
      </w:r>
      <w:bookmarkStart w:id="1" w:name="_Toc35398807"/>
      <w:r w:rsidR="00E71589">
        <w:lastRenderedPageBreak/>
        <w:t xml:space="preserve">Common </w:t>
      </w:r>
      <w:r w:rsidR="002A0684">
        <w:t>Costing Group</w:t>
      </w:r>
    </w:p>
    <w:p w:rsidR="00D92EDE" w:rsidRDefault="00D92EDE">
      <w:pPr>
        <w:spacing w:before="60"/>
        <w:ind w:left="360"/>
        <w:rPr>
          <w:rFonts w:ascii="Arial" w:hAnsi="Arial" w:cs="Arial"/>
        </w:rPr>
      </w:pPr>
    </w:p>
    <w:p w:rsidR="00D92EDE" w:rsidRDefault="00D92EDE">
      <w:pPr>
        <w:spacing w:before="60"/>
        <w:rPr>
          <w:rFonts w:ascii="Arial" w:hAnsi="Arial" w:cs="Arial"/>
          <w:b/>
          <w:bCs/>
        </w:rPr>
      </w:pPr>
      <w:r>
        <w:rPr>
          <w:rFonts w:ascii="Arial" w:hAnsi="Arial" w:cs="Arial"/>
          <w:b/>
          <w:bCs/>
        </w:rPr>
        <w:t>Mission</w:t>
      </w:r>
      <w:r w:rsidR="00490353">
        <w:rPr>
          <w:rFonts w:ascii="Arial" w:hAnsi="Arial" w:cs="Arial"/>
          <w:b/>
          <w:bCs/>
        </w:rPr>
        <w:t xml:space="preserve"> / Purpose</w:t>
      </w:r>
    </w:p>
    <w:p w:rsidR="00D92EDE" w:rsidRDefault="00490353">
      <w:pPr>
        <w:spacing w:before="60"/>
      </w:pPr>
      <w:r w:rsidRPr="00490353">
        <w:t>“To raise the standard of costing activity across DHB provider arms and thus provide a sound basis for decision-making”</w:t>
      </w:r>
    </w:p>
    <w:p w:rsidR="00D92EDE" w:rsidRDefault="00D92EDE">
      <w:pPr>
        <w:spacing w:before="60"/>
        <w:rPr>
          <w:rFonts w:ascii="Arial" w:hAnsi="Arial" w:cs="Arial"/>
          <w:sz w:val="20"/>
          <w:szCs w:val="20"/>
        </w:rPr>
      </w:pPr>
    </w:p>
    <w:p w:rsidR="00A46805" w:rsidRDefault="00A46805" w:rsidP="00A46805">
      <w:pPr>
        <w:spacing w:before="60"/>
        <w:rPr>
          <w:rFonts w:ascii="Arial" w:hAnsi="Arial" w:cs="Arial"/>
          <w:b/>
          <w:bCs/>
        </w:rPr>
      </w:pPr>
      <w:r>
        <w:rPr>
          <w:rFonts w:ascii="Arial" w:hAnsi="Arial" w:cs="Arial"/>
          <w:b/>
          <w:bCs/>
        </w:rPr>
        <w:t>How this will be achieved</w:t>
      </w:r>
    </w:p>
    <w:p w:rsidR="00874741" w:rsidRPr="00A46805" w:rsidRDefault="002C45C5" w:rsidP="00151B20">
      <w:pPr>
        <w:numPr>
          <w:ilvl w:val="0"/>
          <w:numId w:val="18"/>
        </w:numPr>
        <w:spacing w:before="60"/>
      </w:pPr>
      <w:r w:rsidRPr="00A46805">
        <w:t>Developing and maintaining the ‘Common Costing Standards’</w:t>
      </w:r>
    </w:p>
    <w:p w:rsidR="00874741" w:rsidRPr="00A46805" w:rsidRDefault="002C45C5" w:rsidP="00151B20">
      <w:pPr>
        <w:numPr>
          <w:ilvl w:val="0"/>
          <w:numId w:val="18"/>
        </w:numPr>
        <w:spacing w:before="60"/>
      </w:pPr>
      <w:r w:rsidRPr="00A46805">
        <w:t>Creating Common Costing Guidelines</w:t>
      </w:r>
      <w:r w:rsidR="00A46805">
        <w:t xml:space="preserve"> to ensure consistency across the sector</w:t>
      </w:r>
    </w:p>
    <w:p w:rsidR="00874741" w:rsidRDefault="002C45C5" w:rsidP="00151B20">
      <w:pPr>
        <w:numPr>
          <w:ilvl w:val="0"/>
          <w:numId w:val="18"/>
        </w:numPr>
        <w:spacing w:before="60"/>
      </w:pPr>
      <w:r w:rsidRPr="00A46805">
        <w:t>Education</w:t>
      </w:r>
      <w:r w:rsidR="00A46805">
        <w:t xml:space="preserve"> – both within the group and within each members DHB</w:t>
      </w:r>
    </w:p>
    <w:p w:rsidR="00A46805" w:rsidRPr="00A46805" w:rsidRDefault="00A46805" w:rsidP="00151B20">
      <w:pPr>
        <w:numPr>
          <w:ilvl w:val="0"/>
          <w:numId w:val="18"/>
        </w:numPr>
        <w:spacing w:before="60"/>
      </w:pPr>
      <w:r w:rsidRPr="00A46805">
        <w:t>Input into the NCCP data submission</w:t>
      </w:r>
    </w:p>
    <w:p w:rsidR="00874741" w:rsidRDefault="00681770" w:rsidP="00151B20">
      <w:pPr>
        <w:numPr>
          <w:ilvl w:val="0"/>
          <w:numId w:val="18"/>
        </w:numPr>
        <w:spacing w:before="60"/>
      </w:pPr>
      <w:r>
        <w:t>Reviewing</w:t>
      </w:r>
      <w:r w:rsidR="002C45C5" w:rsidRPr="00A46805">
        <w:t xml:space="preserve"> of the NCCP results via the data cube</w:t>
      </w:r>
    </w:p>
    <w:p w:rsidR="00681770" w:rsidRPr="00A46805" w:rsidRDefault="00681770" w:rsidP="00151B20">
      <w:pPr>
        <w:numPr>
          <w:ilvl w:val="0"/>
          <w:numId w:val="18"/>
        </w:numPr>
        <w:spacing w:before="60"/>
      </w:pPr>
      <w:r>
        <w:t>Liaise with NCCP work streams to review costing data quality issues impacting on pricing</w:t>
      </w:r>
    </w:p>
    <w:p w:rsidR="00D92EDE" w:rsidRDefault="00D92EDE">
      <w:pPr>
        <w:spacing w:before="60"/>
        <w:rPr>
          <w:rFonts w:ascii="Arial" w:hAnsi="Arial" w:cs="Arial"/>
          <w:sz w:val="20"/>
          <w:szCs w:val="20"/>
        </w:rPr>
      </w:pPr>
    </w:p>
    <w:p w:rsidR="00D92EDE" w:rsidRDefault="00D92EDE">
      <w:pPr>
        <w:spacing w:before="60"/>
        <w:rPr>
          <w:rFonts w:ascii="Arial" w:hAnsi="Arial" w:cs="Arial"/>
          <w:b/>
          <w:bCs/>
        </w:rPr>
      </w:pPr>
      <w:r>
        <w:rPr>
          <w:rFonts w:ascii="Arial" w:hAnsi="Arial" w:cs="Arial"/>
          <w:b/>
          <w:bCs/>
        </w:rPr>
        <w:t>Principles</w:t>
      </w:r>
    </w:p>
    <w:p w:rsidR="00D92EDE" w:rsidRPr="00151B20" w:rsidRDefault="00D92EDE" w:rsidP="001A26D1">
      <w:pPr>
        <w:spacing w:before="60"/>
        <w:ind w:right="-329"/>
      </w:pPr>
      <w:r w:rsidRPr="00151B20">
        <w:t xml:space="preserve">The </w:t>
      </w:r>
      <w:r>
        <w:t xml:space="preserve">Costing Group </w:t>
      </w:r>
      <w:r w:rsidRPr="00151B20">
        <w:t xml:space="preserve">is a forum that will </w:t>
      </w:r>
      <w:r w:rsidR="00151B20">
        <w:t xml:space="preserve">encourage and </w:t>
      </w:r>
      <w:r w:rsidRPr="00151B20">
        <w:t xml:space="preserve">promote </w:t>
      </w:r>
      <w:r w:rsidR="00151B20">
        <w:t>accurate costing done in a consistent way across the sector by</w:t>
      </w:r>
      <w:r w:rsidRPr="00151B20">
        <w:t>:</w:t>
      </w:r>
    </w:p>
    <w:p w:rsidR="00874741" w:rsidRPr="00151B20" w:rsidRDefault="002C45C5" w:rsidP="00151B20">
      <w:pPr>
        <w:numPr>
          <w:ilvl w:val="0"/>
          <w:numId w:val="7"/>
        </w:numPr>
        <w:tabs>
          <w:tab w:val="clear" w:pos="720"/>
          <w:tab w:val="num" w:pos="540"/>
        </w:tabs>
        <w:spacing w:before="60"/>
        <w:ind w:left="540"/>
      </w:pPr>
      <w:r w:rsidRPr="00151B20">
        <w:rPr>
          <w:lang w:val="en-US"/>
        </w:rPr>
        <w:t xml:space="preserve">Develop, maintain, review and update costing standards </w:t>
      </w:r>
    </w:p>
    <w:p w:rsidR="00874741" w:rsidRPr="00151B20" w:rsidRDefault="002C45C5" w:rsidP="00151B20">
      <w:pPr>
        <w:numPr>
          <w:ilvl w:val="0"/>
          <w:numId w:val="7"/>
        </w:numPr>
        <w:tabs>
          <w:tab w:val="clear" w:pos="720"/>
          <w:tab w:val="num" w:pos="540"/>
        </w:tabs>
        <w:spacing w:before="60"/>
        <w:ind w:left="540"/>
      </w:pPr>
      <w:r w:rsidRPr="00151B20">
        <w:rPr>
          <w:lang w:val="en-US"/>
        </w:rPr>
        <w:t>Encourage consistency in definition of purchase units for both counting and costing purposes</w:t>
      </w:r>
    </w:p>
    <w:p w:rsidR="00874741" w:rsidRPr="00151B20" w:rsidRDefault="002C45C5" w:rsidP="00681770">
      <w:pPr>
        <w:numPr>
          <w:ilvl w:val="0"/>
          <w:numId w:val="7"/>
        </w:numPr>
        <w:tabs>
          <w:tab w:val="clear" w:pos="720"/>
          <w:tab w:val="num" w:pos="540"/>
        </w:tabs>
        <w:spacing w:before="60"/>
        <w:ind w:left="540"/>
      </w:pPr>
      <w:r w:rsidRPr="00151B20">
        <w:rPr>
          <w:lang w:val="en-US"/>
        </w:rPr>
        <w:t xml:space="preserve">Encourage consistent application of costing methodology and </w:t>
      </w:r>
      <w:r w:rsidR="00681770" w:rsidRPr="00151B20">
        <w:rPr>
          <w:lang w:val="en-US"/>
        </w:rPr>
        <w:t>standards in</w:t>
      </w:r>
      <w:r w:rsidRPr="00151B20">
        <w:rPr>
          <w:lang w:val="en-US"/>
        </w:rPr>
        <w:t xml:space="preserve"> accordance with Common Costing Standards</w:t>
      </w:r>
    </w:p>
    <w:p w:rsidR="00874741" w:rsidRPr="00151B20" w:rsidRDefault="002C45C5" w:rsidP="00151B20">
      <w:pPr>
        <w:numPr>
          <w:ilvl w:val="0"/>
          <w:numId w:val="7"/>
        </w:numPr>
        <w:tabs>
          <w:tab w:val="clear" w:pos="720"/>
          <w:tab w:val="num" w:pos="540"/>
        </w:tabs>
        <w:spacing w:before="60"/>
        <w:ind w:left="540"/>
      </w:pPr>
      <w:r w:rsidRPr="00151B20">
        <w:rPr>
          <w:lang w:val="en-US"/>
        </w:rPr>
        <w:t xml:space="preserve">Encourage consistent reporting of financial and service activities </w:t>
      </w:r>
    </w:p>
    <w:p w:rsidR="00874741" w:rsidRPr="00151B20" w:rsidRDefault="00681770" w:rsidP="00151B20">
      <w:pPr>
        <w:numPr>
          <w:ilvl w:val="0"/>
          <w:numId w:val="7"/>
        </w:numPr>
        <w:tabs>
          <w:tab w:val="clear" w:pos="720"/>
          <w:tab w:val="num" w:pos="540"/>
        </w:tabs>
        <w:spacing w:before="60"/>
        <w:ind w:left="540"/>
      </w:pPr>
      <w:r>
        <w:rPr>
          <w:lang w:val="en-US"/>
        </w:rPr>
        <w:t>Liaise</w:t>
      </w:r>
      <w:r w:rsidR="002C45C5" w:rsidRPr="00151B20">
        <w:rPr>
          <w:lang w:val="en-US"/>
        </w:rPr>
        <w:t xml:space="preserve"> with the national pricing programme</w:t>
      </w:r>
    </w:p>
    <w:p w:rsidR="00874741" w:rsidRPr="00151B20" w:rsidRDefault="002C45C5" w:rsidP="00151B20">
      <w:pPr>
        <w:numPr>
          <w:ilvl w:val="0"/>
          <w:numId w:val="7"/>
        </w:numPr>
        <w:tabs>
          <w:tab w:val="clear" w:pos="720"/>
          <w:tab w:val="num" w:pos="540"/>
        </w:tabs>
        <w:spacing w:before="60"/>
        <w:ind w:left="540"/>
      </w:pPr>
      <w:r w:rsidRPr="00151B20">
        <w:rPr>
          <w:lang w:val="en-US"/>
        </w:rPr>
        <w:t>Share knowledge between members</w:t>
      </w:r>
    </w:p>
    <w:p w:rsidR="00874741" w:rsidRPr="00151B20" w:rsidRDefault="002C45C5" w:rsidP="00151B20">
      <w:pPr>
        <w:numPr>
          <w:ilvl w:val="0"/>
          <w:numId w:val="7"/>
        </w:numPr>
        <w:tabs>
          <w:tab w:val="clear" w:pos="720"/>
          <w:tab w:val="num" w:pos="540"/>
        </w:tabs>
        <w:spacing w:before="60"/>
        <w:ind w:left="540"/>
      </w:pPr>
      <w:r w:rsidRPr="00151B20">
        <w:rPr>
          <w:lang w:val="en-US"/>
        </w:rPr>
        <w:t>Provide a sound basis for benchmarking and national comparative analysis</w:t>
      </w:r>
    </w:p>
    <w:p w:rsidR="00D92EDE" w:rsidRPr="00084C54" w:rsidRDefault="002C45C5" w:rsidP="009C2023">
      <w:pPr>
        <w:numPr>
          <w:ilvl w:val="0"/>
          <w:numId w:val="7"/>
        </w:numPr>
        <w:tabs>
          <w:tab w:val="clear" w:pos="720"/>
          <w:tab w:val="num" w:pos="540"/>
        </w:tabs>
        <w:spacing w:before="60"/>
        <w:ind w:left="540"/>
      </w:pPr>
      <w:r w:rsidRPr="00151B20">
        <w:rPr>
          <w:lang w:val="en-US"/>
        </w:rPr>
        <w:t>Encourage disclosure where non-compliance to relevant standards is identified</w:t>
      </w:r>
    </w:p>
    <w:p w:rsidR="00D92EDE" w:rsidRDefault="00D92EDE" w:rsidP="00973C7A">
      <w:pPr>
        <w:pStyle w:val="Heading1"/>
        <w:numPr>
          <w:ilvl w:val="0"/>
          <w:numId w:val="0"/>
        </w:numPr>
        <w:rPr>
          <w:b w:val="0"/>
        </w:rPr>
      </w:pPr>
      <w:r>
        <w:br w:type="page"/>
      </w:r>
      <w:bookmarkEnd w:id="1"/>
    </w:p>
    <w:p w:rsidR="006B3FB4" w:rsidRDefault="006B3FB4" w:rsidP="006B3FB4">
      <w:pPr>
        <w:pStyle w:val="Heading1"/>
        <w:numPr>
          <w:ilvl w:val="0"/>
          <w:numId w:val="0"/>
        </w:numPr>
        <w:jc w:val="both"/>
      </w:pPr>
      <w:bookmarkStart w:id="2" w:name="_Toc35398809"/>
      <w:r>
        <w:lastRenderedPageBreak/>
        <w:t>Membership</w:t>
      </w:r>
      <w:bookmarkEnd w:id="2"/>
    </w:p>
    <w:p w:rsidR="006B3FB4" w:rsidRDefault="006B3FB4" w:rsidP="006B3FB4">
      <w:pPr>
        <w:pStyle w:val="Title"/>
        <w:jc w:val="left"/>
        <w:rPr>
          <w:b w:val="0"/>
          <w:bCs w:val="0"/>
        </w:rPr>
      </w:pPr>
    </w:p>
    <w:p w:rsidR="006B3FB4" w:rsidRDefault="006B3FB4" w:rsidP="006B3FB4">
      <w:pPr>
        <w:pStyle w:val="Title"/>
        <w:jc w:val="left"/>
      </w:pPr>
      <w:r>
        <w:t>Common Costing Group</w:t>
      </w:r>
    </w:p>
    <w:p w:rsidR="006B3FB4" w:rsidRDefault="006B3FB4" w:rsidP="006B3FB4">
      <w:pPr>
        <w:pStyle w:val="Title"/>
        <w:jc w:val="left"/>
        <w:rPr>
          <w:b w:val="0"/>
          <w:bCs w:val="0"/>
        </w:rPr>
      </w:pPr>
      <w:r>
        <w:rPr>
          <w:b w:val="0"/>
          <w:bCs w:val="0"/>
        </w:rPr>
        <w:t>Membership of the Common Costing Group is open to individuals with costing related roles within DHBs or the Ministry.  C</w:t>
      </w:r>
      <w:r>
        <w:rPr>
          <w:rFonts w:ascii="Arial" w:hAnsi="Arial" w:cs="Arial"/>
          <w:b w:val="0"/>
          <w:bCs w:val="0"/>
        </w:rPr>
        <w:t xml:space="preserve">osting system vendor representatives are </w:t>
      </w:r>
      <w:r w:rsidR="009A4CE7">
        <w:rPr>
          <w:rFonts w:ascii="Arial" w:hAnsi="Arial" w:cs="Arial"/>
          <w:b w:val="0"/>
          <w:bCs w:val="0"/>
        </w:rPr>
        <w:t>very</w:t>
      </w:r>
      <w:r>
        <w:rPr>
          <w:rFonts w:ascii="Arial" w:hAnsi="Arial" w:cs="Arial"/>
          <w:b w:val="0"/>
          <w:bCs w:val="0"/>
        </w:rPr>
        <w:t xml:space="preserve"> welcome</w:t>
      </w:r>
      <w:r w:rsidR="009A4CE7">
        <w:rPr>
          <w:rFonts w:ascii="Arial" w:hAnsi="Arial" w:cs="Arial"/>
          <w:b w:val="0"/>
          <w:bCs w:val="0"/>
        </w:rPr>
        <w:t xml:space="preserve"> and must advise the chair/secretariat if they are representing a DHB</w:t>
      </w:r>
      <w:r>
        <w:rPr>
          <w:b w:val="0"/>
          <w:bCs w:val="0"/>
        </w:rPr>
        <w:t xml:space="preserve">.  A representative from each DHB </w:t>
      </w:r>
      <w:r w:rsidR="00DE53CA">
        <w:rPr>
          <w:b w:val="0"/>
          <w:bCs w:val="0"/>
        </w:rPr>
        <w:t xml:space="preserve">and from the Ministry of Health National Pricing team </w:t>
      </w:r>
      <w:r>
        <w:rPr>
          <w:b w:val="0"/>
          <w:bCs w:val="0"/>
        </w:rPr>
        <w:t>is encouraged to attend each meeting</w:t>
      </w:r>
      <w:r w:rsidR="00DE53CA">
        <w:rPr>
          <w:b w:val="0"/>
          <w:bCs w:val="0"/>
        </w:rPr>
        <w:t>.</w:t>
      </w:r>
    </w:p>
    <w:p w:rsidR="006B3FB4" w:rsidRDefault="006B3FB4" w:rsidP="006B3FB4">
      <w:pPr>
        <w:pStyle w:val="Title"/>
        <w:jc w:val="left"/>
        <w:rPr>
          <w:b w:val="0"/>
          <w:bCs w:val="0"/>
        </w:rPr>
      </w:pPr>
      <w:r w:rsidRPr="00E65375">
        <w:rPr>
          <w:b w:val="0"/>
          <w:bCs w:val="0"/>
        </w:rPr>
        <w:t>Individuals working on specific projects that link into costing data can also attend.</w:t>
      </w:r>
    </w:p>
    <w:p w:rsidR="006B3FB4" w:rsidRDefault="006B3FB4" w:rsidP="006B3FB4">
      <w:pPr>
        <w:pStyle w:val="Bullet"/>
        <w:numPr>
          <w:ilvl w:val="0"/>
          <w:numId w:val="0"/>
        </w:numPr>
      </w:pPr>
    </w:p>
    <w:p w:rsidR="006B3FB4" w:rsidRDefault="006B3FB4" w:rsidP="006B3FB4">
      <w:pPr>
        <w:pStyle w:val="Title"/>
        <w:jc w:val="left"/>
      </w:pPr>
      <w:r>
        <w:t>Group Chair</w:t>
      </w:r>
    </w:p>
    <w:p w:rsidR="006B3FB4" w:rsidRDefault="006B3FB4" w:rsidP="006B3FB4">
      <w:r>
        <w:t>The Chair of the Costing Group shall be rotated between the members to spread any additional workload this may incur.</w:t>
      </w:r>
    </w:p>
    <w:p w:rsidR="006B3FB4" w:rsidRDefault="006B3FB4" w:rsidP="006B3FB4">
      <w:r>
        <w:t>Attendance of the Chair at group meetings is mandatory.</w:t>
      </w:r>
    </w:p>
    <w:p w:rsidR="006B3FB4" w:rsidRDefault="006B3FB4" w:rsidP="006B3FB4"/>
    <w:p w:rsidR="00681770" w:rsidRDefault="00681770" w:rsidP="006B3FB4">
      <w:pPr>
        <w:rPr>
          <w:b/>
          <w:bCs/>
        </w:rPr>
      </w:pPr>
      <w:r>
        <w:rPr>
          <w:b/>
          <w:bCs/>
        </w:rPr>
        <w:t xml:space="preserve">Governance </w:t>
      </w:r>
    </w:p>
    <w:p w:rsidR="009A4CE7" w:rsidRDefault="00681770" w:rsidP="00681770">
      <w:r>
        <w:t xml:space="preserve">A quorum for decision making will be 50% of active member DHB.  An active member is a DHB who share the principles of the group and seeks to attend meetings regularly.  </w:t>
      </w:r>
    </w:p>
    <w:p w:rsidR="00681770" w:rsidRPr="00681770" w:rsidRDefault="00681770" w:rsidP="00681770">
      <w:r>
        <w:t>The group is sponsored by t</w:t>
      </w:r>
      <w:r w:rsidRPr="00681770">
        <w:t>he CFO Technical Accounting Group</w:t>
      </w:r>
      <w:r>
        <w:t>, DHBs</w:t>
      </w:r>
      <w:r w:rsidRPr="00681770">
        <w:t xml:space="preserve"> and the Ministry of Health. </w:t>
      </w:r>
    </w:p>
    <w:p w:rsidR="00681770" w:rsidRDefault="00681770" w:rsidP="006B3FB4">
      <w:pPr>
        <w:rPr>
          <w:b/>
          <w:bCs/>
        </w:rPr>
      </w:pPr>
    </w:p>
    <w:p w:rsidR="006B3FB4" w:rsidRDefault="006B3FB4" w:rsidP="006B3FB4">
      <w:pPr>
        <w:rPr>
          <w:b/>
          <w:bCs/>
        </w:rPr>
      </w:pPr>
      <w:r>
        <w:rPr>
          <w:b/>
          <w:bCs/>
        </w:rPr>
        <w:t>Guidelines</w:t>
      </w:r>
    </w:p>
    <w:p w:rsidR="006B3FB4" w:rsidRDefault="006B3FB4" w:rsidP="006B3FB4">
      <w:r>
        <w:t>The Costing Group will be governed according to the following guidelines.</w:t>
      </w:r>
    </w:p>
    <w:p w:rsidR="006B3FB4" w:rsidRDefault="006B3FB4" w:rsidP="006B3FB4"/>
    <w:p w:rsidR="006B3FB4" w:rsidRDefault="006B3FB4" w:rsidP="006B3FB4">
      <w:pPr>
        <w:pStyle w:val="Bullet"/>
        <w:ind w:left="360" w:hanging="360"/>
      </w:pPr>
      <w:r>
        <w:t>There is an expectation that members will make every effort to attend all meetings and devote sufficient time to become familiar with the affairs of the group and the wider environment within which it operates.</w:t>
      </w:r>
    </w:p>
    <w:p w:rsidR="006B3FB4" w:rsidRDefault="006B3FB4" w:rsidP="006B3FB4">
      <w:pPr>
        <w:pStyle w:val="Bullet"/>
        <w:ind w:left="360" w:hanging="360"/>
      </w:pPr>
      <w:r>
        <w:t>Members will make every effort to do the work as required by the group.</w:t>
      </w:r>
    </w:p>
    <w:p w:rsidR="006B3FB4" w:rsidRDefault="006B3FB4" w:rsidP="006B3FB4">
      <w:pPr>
        <w:pStyle w:val="Bullet"/>
        <w:ind w:left="360" w:hanging="360"/>
      </w:pPr>
      <w:r>
        <w:t xml:space="preserve">Members, including the Chair, may invite new members to attend one or more meetings.  </w:t>
      </w:r>
    </w:p>
    <w:p w:rsidR="006B3FB4" w:rsidRDefault="006B3FB4" w:rsidP="006B3FB4">
      <w:pPr>
        <w:pStyle w:val="Bullet"/>
        <w:ind w:left="360" w:hanging="360"/>
      </w:pPr>
      <w:r>
        <w:t>Members have a duty to act responsibly with regard to the effective and efficient administration of the group.</w:t>
      </w:r>
    </w:p>
    <w:p w:rsidR="006B3FB4" w:rsidRDefault="006B3FB4" w:rsidP="006B3FB4">
      <w:pPr>
        <w:pStyle w:val="Bullet"/>
        <w:ind w:left="360" w:hanging="360"/>
      </w:pPr>
      <w:r>
        <w:t>Members have a duty to respect the confidentiality of information and data provided to the group.</w:t>
      </w:r>
    </w:p>
    <w:p w:rsidR="006B3FB4" w:rsidRDefault="006B3FB4" w:rsidP="006B3FB4">
      <w:pPr>
        <w:pStyle w:val="Bullet"/>
        <w:ind w:left="360" w:hanging="360"/>
      </w:pPr>
      <w:r>
        <w:t>Members are expected to support any course of action decided upon by the group.</w:t>
      </w:r>
    </w:p>
    <w:p w:rsidR="006B3FB4" w:rsidRDefault="006B3FB4" w:rsidP="006B3FB4">
      <w:pPr>
        <w:pStyle w:val="Bullet"/>
        <w:numPr>
          <w:ilvl w:val="0"/>
          <w:numId w:val="0"/>
        </w:numPr>
      </w:pPr>
    </w:p>
    <w:p w:rsidR="006B3FB4" w:rsidRDefault="006B3FB4" w:rsidP="006B3FB4">
      <w:pPr>
        <w:pStyle w:val="Heading1"/>
        <w:numPr>
          <w:ilvl w:val="0"/>
          <w:numId w:val="0"/>
        </w:numPr>
        <w:ind w:left="851" w:hanging="851"/>
        <w:rPr>
          <w:rFonts w:ascii="Arial Mäori" w:hAnsi="Arial Mäori" w:cs="Arial Mäori"/>
        </w:rPr>
      </w:pPr>
      <w:bookmarkStart w:id="3" w:name="_Toc35398810"/>
      <w:r>
        <w:br w:type="page"/>
      </w:r>
      <w:bookmarkStart w:id="4" w:name="_Toc35398823"/>
      <w:bookmarkEnd w:id="3"/>
    </w:p>
    <w:p w:rsidR="006B3FB4" w:rsidRDefault="006B3FB4" w:rsidP="006B3FB4">
      <w:pPr>
        <w:pStyle w:val="Heading1"/>
        <w:numPr>
          <w:ilvl w:val="0"/>
          <w:numId w:val="0"/>
        </w:numPr>
        <w:ind w:left="851" w:hanging="851"/>
        <w:jc w:val="both"/>
        <w:rPr>
          <w:rFonts w:ascii="Arial Mäori" w:hAnsi="Arial Mäori" w:cs="Arial Mäori"/>
        </w:rPr>
      </w:pPr>
      <w:r>
        <w:rPr>
          <w:rFonts w:ascii="Arial Mäori" w:hAnsi="Arial Mäori" w:cs="Arial Mäori"/>
        </w:rPr>
        <w:lastRenderedPageBreak/>
        <w:t>Meetings</w:t>
      </w:r>
      <w:bookmarkEnd w:id="4"/>
    </w:p>
    <w:p w:rsidR="006B3FB4" w:rsidRDefault="006B3FB4" w:rsidP="006B3FB4"/>
    <w:p w:rsidR="006B3FB4" w:rsidRDefault="006B3FB4" w:rsidP="006B3FB4">
      <w:pPr>
        <w:rPr>
          <w:b/>
          <w:bCs/>
        </w:rPr>
      </w:pPr>
      <w:r>
        <w:rPr>
          <w:b/>
          <w:bCs/>
        </w:rPr>
        <w:t>Frequency</w:t>
      </w:r>
    </w:p>
    <w:p w:rsidR="006B3FB4" w:rsidRDefault="006B3FB4" w:rsidP="006B3FB4">
      <w:r>
        <w:t xml:space="preserve">Costing Group face </w:t>
      </w:r>
      <w:r w:rsidR="009A4CE7">
        <w:t>to</w:t>
      </w:r>
      <w:r>
        <w:t xml:space="preserve"> face meetings will be held three times a year between February and November. These will be 2 day meetings to allow for all the issues to be discussed. </w:t>
      </w:r>
    </w:p>
    <w:p w:rsidR="006B3FB4" w:rsidRDefault="006B3FB4" w:rsidP="006B3FB4"/>
    <w:p w:rsidR="006B3FB4" w:rsidRDefault="006B3FB4" w:rsidP="006B3FB4">
      <w:r>
        <w:t xml:space="preserve">There will be various work progress teleconferences in between these meeting and before the meetings to ensure all relevant papers / analysis is completed and circulated to the group in advance of the meeting. </w:t>
      </w:r>
    </w:p>
    <w:p w:rsidR="006B3FB4" w:rsidRDefault="006B3FB4" w:rsidP="006B3FB4"/>
    <w:p w:rsidR="006B3FB4" w:rsidRDefault="006B3FB4" w:rsidP="006B3FB4">
      <w:pPr>
        <w:rPr>
          <w:b/>
          <w:bCs/>
        </w:rPr>
      </w:pPr>
      <w:r>
        <w:rPr>
          <w:b/>
          <w:bCs/>
        </w:rPr>
        <w:t>Etiquette</w:t>
      </w:r>
    </w:p>
    <w:p w:rsidR="006B3FB4" w:rsidRDefault="006B3FB4" w:rsidP="006B3FB4">
      <w:r>
        <w:t>Standard meeting etiquette applies to all group meetings.  These include:</w:t>
      </w:r>
    </w:p>
    <w:p w:rsidR="006B3FB4" w:rsidRDefault="006B3FB4" w:rsidP="006B3FB4">
      <w:pPr>
        <w:numPr>
          <w:ilvl w:val="0"/>
          <w:numId w:val="10"/>
        </w:numPr>
        <w:tabs>
          <w:tab w:val="clear" w:pos="720"/>
          <w:tab w:val="num" w:pos="540"/>
        </w:tabs>
        <w:ind w:left="540"/>
      </w:pPr>
      <w:r>
        <w:t>punctual attendance</w:t>
      </w:r>
    </w:p>
    <w:p w:rsidR="006B3FB4" w:rsidRDefault="006B3FB4" w:rsidP="006B3FB4">
      <w:pPr>
        <w:numPr>
          <w:ilvl w:val="0"/>
          <w:numId w:val="10"/>
        </w:numPr>
        <w:tabs>
          <w:tab w:val="clear" w:pos="720"/>
          <w:tab w:val="num" w:pos="540"/>
        </w:tabs>
        <w:ind w:left="540"/>
      </w:pPr>
      <w:r>
        <w:t>attendances and apologies to be notified to the chair / secretariat in advance</w:t>
      </w:r>
    </w:p>
    <w:p w:rsidR="006B3FB4" w:rsidRDefault="006B3FB4" w:rsidP="006B3FB4">
      <w:pPr>
        <w:numPr>
          <w:ilvl w:val="0"/>
          <w:numId w:val="10"/>
        </w:numPr>
        <w:tabs>
          <w:tab w:val="clear" w:pos="720"/>
          <w:tab w:val="num" w:pos="540"/>
        </w:tabs>
        <w:ind w:left="540"/>
      </w:pPr>
      <w:r>
        <w:t>assigned actions to individuals or all members to be completed by the due date</w:t>
      </w:r>
    </w:p>
    <w:p w:rsidR="006B3FB4" w:rsidRDefault="006B3FB4" w:rsidP="006B3FB4"/>
    <w:p w:rsidR="006B3FB4" w:rsidRDefault="006B3FB4" w:rsidP="006B3FB4">
      <w:pPr>
        <w:rPr>
          <w:b/>
          <w:bCs/>
        </w:rPr>
      </w:pPr>
      <w:r>
        <w:rPr>
          <w:b/>
          <w:bCs/>
        </w:rPr>
        <w:t>Papers</w:t>
      </w:r>
    </w:p>
    <w:p w:rsidR="006B3FB4" w:rsidRDefault="006B3FB4" w:rsidP="006B3FB4">
      <w:r>
        <w:t>The secretariat will circulate a proposed agenda to all members one month prior to the meeting date, with a request for any additional items for the agenda.  Any papers to be read prior to the meeting will be attached to the final agenda which should be circulated one week before the meeting date.</w:t>
      </w:r>
    </w:p>
    <w:p w:rsidR="006B3FB4" w:rsidRDefault="006B3FB4" w:rsidP="006B3FB4"/>
    <w:p w:rsidR="006B3FB4" w:rsidRDefault="006B3FB4" w:rsidP="006B3FB4">
      <w:r>
        <w:t xml:space="preserve">All meetings will have minutes documented and circulated </w:t>
      </w:r>
      <w:r w:rsidR="009A4CE7">
        <w:t xml:space="preserve">to every DHB regardless of attendance, </w:t>
      </w:r>
      <w:r>
        <w:t>no later than one month following the meeting.</w:t>
      </w:r>
    </w:p>
    <w:p w:rsidR="006B3FB4" w:rsidRDefault="006B3FB4" w:rsidP="006B3FB4"/>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Default="003E4B0B">
      <w:pPr>
        <w:rPr>
          <w:b/>
        </w:rPr>
      </w:pPr>
    </w:p>
    <w:p w:rsidR="003E4B0B" w:rsidRPr="00B36D62" w:rsidRDefault="003E4B0B">
      <w:pPr>
        <w:rPr>
          <w:b/>
          <w:color w:val="FF0000"/>
          <w:sz w:val="22"/>
          <w:szCs w:val="22"/>
        </w:rPr>
      </w:pPr>
    </w:p>
    <w:p w:rsidR="002A5B81" w:rsidRDefault="002A5B81"/>
    <w:p w:rsidR="001A1D61" w:rsidRDefault="001A1D61">
      <w:pPr>
        <w:sectPr w:rsidR="001A1D6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p w:rsidR="00D92EDE" w:rsidRPr="00F5351E" w:rsidRDefault="00510C7F" w:rsidP="00F5351E">
      <w:pPr>
        <w:pStyle w:val="Heading1"/>
        <w:numPr>
          <w:ilvl w:val="0"/>
          <w:numId w:val="0"/>
        </w:numPr>
        <w:ind w:left="851" w:hanging="851"/>
        <w:jc w:val="both"/>
        <w:rPr>
          <w:rFonts w:ascii="Arial Mäori" w:hAnsi="Arial Mäori" w:cs="Arial Mäori"/>
        </w:rPr>
      </w:pPr>
      <w:r w:rsidRPr="00F5351E">
        <w:rPr>
          <w:rFonts w:ascii="Arial Mäori" w:hAnsi="Arial Mäori" w:cs="Arial Mäori"/>
        </w:rPr>
        <w:lastRenderedPageBreak/>
        <w:t xml:space="preserve">Common </w:t>
      </w:r>
      <w:r w:rsidR="00D92EDE" w:rsidRPr="00F5351E">
        <w:rPr>
          <w:rFonts w:ascii="Arial Mäori" w:hAnsi="Arial Mäori" w:cs="Arial Mäori"/>
        </w:rPr>
        <w:t>Costing Group links to related groups</w:t>
      </w:r>
    </w:p>
    <w:p w:rsidR="00D92EDE" w:rsidRDefault="00D92EDE">
      <w:pPr>
        <w:rPr>
          <w:rFonts w:ascii="Arial" w:hAnsi="Arial" w:cs="Arial"/>
          <w:bCs/>
        </w:rPr>
      </w:pPr>
      <w:r>
        <w:rPr>
          <w:rFonts w:ascii="Arial" w:hAnsi="Arial" w:cs="Arial"/>
          <w:bCs/>
        </w:rPr>
        <w:t xml:space="preserve">To ensure all relevant areas have input into the work of the </w:t>
      </w:r>
      <w:r w:rsidR="002A0684">
        <w:rPr>
          <w:rFonts w:ascii="Arial" w:hAnsi="Arial" w:cs="Arial"/>
          <w:bCs/>
        </w:rPr>
        <w:t xml:space="preserve">Common </w:t>
      </w:r>
      <w:r>
        <w:rPr>
          <w:rFonts w:ascii="Arial" w:hAnsi="Arial" w:cs="Arial"/>
          <w:bCs/>
        </w:rPr>
        <w:t xml:space="preserve">Costing Group, linkages will be maintained through the groups listed in the table below.  </w:t>
      </w:r>
    </w:p>
    <w:p w:rsidR="00D92EDE" w:rsidRDefault="00D92EDE">
      <w:pPr>
        <w:rPr>
          <w:rFonts w:ascii="Arial" w:hAnsi="Arial" w:cs="Arial"/>
          <w:bCs/>
        </w:rPr>
      </w:pPr>
    </w:p>
    <w:p w:rsidR="00510C7F" w:rsidRDefault="00D92EDE" w:rsidP="00510C7F">
      <w:pPr>
        <w:rPr>
          <w:rFonts w:ascii="Arial" w:hAnsi="Arial" w:cs="Arial"/>
          <w:bCs/>
        </w:rPr>
      </w:pPr>
      <w:r>
        <w:rPr>
          <w:rFonts w:ascii="Arial" w:hAnsi="Arial" w:cs="Arial"/>
          <w:bCs/>
        </w:rPr>
        <w:t>Linkages between groups will be achieved through:</w:t>
      </w:r>
    </w:p>
    <w:p w:rsidR="00510C7F" w:rsidRDefault="00510C7F" w:rsidP="00510C7F">
      <w:pPr>
        <w:rPr>
          <w:rFonts w:ascii="Arial" w:hAnsi="Arial" w:cs="Arial"/>
          <w:bCs/>
        </w:rPr>
      </w:pPr>
    </w:p>
    <w:p w:rsidR="00D92EDE" w:rsidRPr="00510C7F" w:rsidRDefault="00D92EDE" w:rsidP="00510C7F">
      <w:pPr>
        <w:pStyle w:val="ListParagraph"/>
        <w:numPr>
          <w:ilvl w:val="0"/>
          <w:numId w:val="20"/>
        </w:numPr>
        <w:rPr>
          <w:rFonts w:ascii="Arial" w:hAnsi="Arial" w:cs="Arial"/>
        </w:rPr>
        <w:sectPr w:rsidR="00D92EDE" w:rsidRPr="00510C7F" w:rsidSect="002A5B81">
          <w:pgSz w:w="16838" w:h="11906" w:orient="landscape" w:code="9"/>
          <w:pgMar w:top="1797" w:right="1440" w:bottom="1797" w:left="1440" w:header="709" w:footer="709" w:gutter="0"/>
          <w:cols w:space="708"/>
          <w:titlePg/>
          <w:docGrid w:linePitch="360"/>
        </w:sectPr>
      </w:pPr>
      <w:r w:rsidRPr="00510C7F">
        <w:rPr>
          <w:rFonts w:ascii="Arial" w:hAnsi="Arial" w:cs="Arial"/>
          <w:bCs/>
        </w:rPr>
        <w:t>formal communications between the groups/projects as detailed in the table below</w:t>
      </w:r>
      <w:r w:rsidR="00510C7F" w:rsidRPr="00510C7F">
        <w:rPr>
          <w:rFonts w:ascii="Arial" w:hAnsi="Arial" w:cs="Arial"/>
          <w:bCs/>
        </w:rPr>
        <w:t>. This will take the form of these groups receiving the minutes of the CCG meetings along with regular updates from these groups from a combination of the group leaders and / or members whom are part of the CCG and the other groups.</w:t>
      </w:r>
    </w:p>
    <w:p w:rsidR="00D92EDE" w:rsidRDefault="00D92EDE">
      <w:pPr>
        <w:rPr>
          <w:rFonts w:ascii="Tahoma" w:hAnsi="Tahoma" w:cs="Tahoma"/>
          <w:b/>
          <w:sz w:val="20"/>
          <w:szCs w:val="20"/>
        </w:rPr>
      </w:pPr>
      <w:r>
        <w:rPr>
          <w:rFonts w:ascii="Tahoma" w:hAnsi="Tahoma" w:cs="Tahoma"/>
          <w:b/>
          <w:sz w:val="20"/>
          <w:szCs w:val="20"/>
        </w:rPr>
        <w:lastRenderedPageBreak/>
        <w:t>Linkages</w:t>
      </w:r>
    </w:p>
    <w:p w:rsidR="00D92EDE" w:rsidRDefault="00D92EDE">
      <w:pPr>
        <w:jc w:val="both"/>
        <w:rPr>
          <w:rFonts w:ascii="Tahoma" w:hAnsi="Tahoma" w:cs="Tahoma"/>
          <w:sz w:val="20"/>
          <w:szCs w:val="20"/>
        </w:rPr>
      </w:pPr>
      <w:r>
        <w:rPr>
          <w:rFonts w:ascii="Tahoma" w:hAnsi="Tahoma" w:cs="Tahoma"/>
          <w:sz w:val="20"/>
          <w:szCs w:val="20"/>
        </w:rPr>
        <w:t>The following linkages are important for the effective functioning of the Common Costing Group.</w:t>
      </w:r>
    </w:p>
    <w:p w:rsidR="00D92EDE" w:rsidRDefault="00D92EDE">
      <w:pPr>
        <w:jc w:val="both"/>
        <w:rPr>
          <w:rFonts w:ascii="Tahoma" w:hAnsi="Tahoma" w:cs="Tahoma"/>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1728"/>
        <w:gridCol w:w="6120"/>
        <w:gridCol w:w="6480"/>
      </w:tblGrid>
      <w:tr w:rsidR="00D92EDE">
        <w:tc>
          <w:tcPr>
            <w:tcW w:w="1728" w:type="dxa"/>
          </w:tcPr>
          <w:p w:rsidR="00D92EDE" w:rsidRDefault="00D92EDE">
            <w:pPr>
              <w:rPr>
                <w:rFonts w:ascii="Tahoma" w:hAnsi="Tahoma" w:cs="Tahoma"/>
                <w:b/>
                <w:sz w:val="20"/>
                <w:szCs w:val="20"/>
              </w:rPr>
            </w:pPr>
            <w:r>
              <w:rPr>
                <w:rFonts w:ascii="Tahoma" w:hAnsi="Tahoma" w:cs="Tahoma"/>
                <w:b/>
                <w:sz w:val="20"/>
                <w:szCs w:val="20"/>
              </w:rPr>
              <w:t>Group</w:t>
            </w:r>
          </w:p>
        </w:tc>
        <w:tc>
          <w:tcPr>
            <w:tcW w:w="6120" w:type="dxa"/>
          </w:tcPr>
          <w:p w:rsidR="00D92EDE" w:rsidRDefault="00D92EDE" w:rsidP="00510C7F">
            <w:pPr>
              <w:rPr>
                <w:rFonts w:ascii="Tahoma" w:hAnsi="Tahoma" w:cs="Tahoma"/>
                <w:b/>
                <w:sz w:val="20"/>
                <w:szCs w:val="20"/>
              </w:rPr>
            </w:pPr>
            <w:r>
              <w:rPr>
                <w:rFonts w:ascii="Tahoma" w:hAnsi="Tahoma" w:cs="Tahoma"/>
                <w:b/>
                <w:sz w:val="20"/>
                <w:szCs w:val="20"/>
              </w:rPr>
              <w:t>Each Group’s expectations of</w:t>
            </w:r>
            <w:r w:rsidR="00510C7F">
              <w:rPr>
                <w:rFonts w:ascii="Tahoma" w:hAnsi="Tahoma" w:cs="Tahoma"/>
                <w:b/>
                <w:sz w:val="20"/>
                <w:szCs w:val="20"/>
              </w:rPr>
              <w:t xml:space="preserve"> the</w:t>
            </w:r>
            <w:r>
              <w:rPr>
                <w:rFonts w:ascii="Tahoma" w:hAnsi="Tahoma" w:cs="Tahoma"/>
                <w:b/>
                <w:sz w:val="20"/>
                <w:szCs w:val="20"/>
              </w:rPr>
              <w:t xml:space="preserve"> Common Costing Group</w:t>
            </w:r>
          </w:p>
        </w:tc>
        <w:tc>
          <w:tcPr>
            <w:tcW w:w="6480" w:type="dxa"/>
          </w:tcPr>
          <w:p w:rsidR="00D92EDE" w:rsidRDefault="00D92EDE" w:rsidP="00510C7F">
            <w:pPr>
              <w:rPr>
                <w:rFonts w:ascii="Tahoma" w:hAnsi="Tahoma" w:cs="Tahoma"/>
                <w:b/>
                <w:sz w:val="20"/>
                <w:szCs w:val="20"/>
              </w:rPr>
            </w:pPr>
            <w:r>
              <w:rPr>
                <w:rFonts w:ascii="Tahoma" w:hAnsi="Tahoma" w:cs="Tahoma"/>
                <w:b/>
                <w:sz w:val="20"/>
                <w:szCs w:val="20"/>
              </w:rPr>
              <w:t>Common Costing Group</w:t>
            </w:r>
            <w:r w:rsidR="00510C7F">
              <w:rPr>
                <w:rFonts w:ascii="Tahoma" w:hAnsi="Tahoma" w:cs="Tahoma"/>
                <w:b/>
                <w:sz w:val="20"/>
                <w:szCs w:val="20"/>
              </w:rPr>
              <w:t>’s</w:t>
            </w:r>
            <w:r>
              <w:rPr>
                <w:rFonts w:ascii="Tahoma" w:hAnsi="Tahoma" w:cs="Tahoma"/>
                <w:b/>
                <w:sz w:val="20"/>
                <w:szCs w:val="20"/>
              </w:rPr>
              <w:t xml:space="preserve"> expectations of this group</w:t>
            </w:r>
          </w:p>
        </w:tc>
      </w:tr>
      <w:tr w:rsidR="00D92EDE">
        <w:tc>
          <w:tcPr>
            <w:tcW w:w="1728" w:type="dxa"/>
          </w:tcPr>
          <w:p w:rsidR="00D92EDE" w:rsidRDefault="004C52F4">
            <w:pPr>
              <w:rPr>
                <w:rFonts w:ascii="Tahoma" w:hAnsi="Tahoma" w:cs="Tahoma"/>
                <w:sz w:val="20"/>
                <w:szCs w:val="20"/>
              </w:rPr>
            </w:pPr>
            <w:r>
              <w:rPr>
                <w:rFonts w:ascii="Tahoma" w:hAnsi="Tahoma" w:cs="Tahoma"/>
                <w:sz w:val="20"/>
                <w:szCs w:val="20"/>
              </w:rPr>
              <w:t>NCCP - TRG</w:t>
            </w:r>
          </w:p>
        </w:tc>
        <w:tc>
          <w:tcPr>
            <w:tcW w:w="6120" w:type="dxa"/>
          </w:tcPr>
          <w:p w:rsidR="00D92EDE" w:rsidRDefault="009C2023" w:rsidP="009C2023">
            <w:pPr>
              <w:rPr>
                <w:rFonts w:ascii="Tahoma" w:hAnsi="Tahoma" w:cs="Tahoma"/>
                <w:sz w:val="20"/>
                <w:szCs w:val="20"/>
              </w:rPr>
            </w:pPr>
            <w:r>
              <w:rPr>
                <w:rFonts w:ascii="Tahoma" w:hAnsi="Tahoma" w:cs="Tahoma"/>
                <w:sz w:val="20"/>
                <w:szCs w:val="20"/>
              </w:rPr>
              <w:t>A commitment to an on-going process around improving data consistency and data quality with the aim of achieving a consistent way of costing purchase units across the DHB sector.</w:t>
            </w:r>
          </w:p>
        </w:tc>
        <w:tc>
          <w:tcPr>
            <w:tcW w:w="6480" w:type="dxa"/>
          </w:tcPr>
          <w:p w:rsidR="00D92EDE" w:rsidRDefault="00D92EDE">
            <w:pPr>
              <w:rPr>
                <w:rFonts w:ascii="Tahoma" w:hAnsi="Tahoma" w:cs="Tahoma"/>
                <w:sz w:val="20"/>
                <w:szCs w:val="20"/>
              </w:rPr>
            </w:pPr>
            <w:r>
              <w:rPr>
                <w:rFonts w:ascii="Tahoma" w:hAnsi="Tahoma" w:cs="Tahoma"/>
                <w:sz w:val="20"/>
                <w:szCs w:val="20"/>
              </w:rPr>
              <w:t xml:space="preserve">Notice of national pricing related issues and </w:t>
            </w:r>
            <w:r w:rsidR="004C52F4">
              <w:rPr>
                <w:rFonts w:ascii="Tahoma" w:hAnsi="Tahoma" w:cs="Tahoma"/>
                <w:sz w:val="20"/>
                <w:szCs w:val="20"/>
              </w:rPr>
              <w:t xml:space="preserve">their </w:t>
            </w:r>
            <w:r>
              <w:rPr>
                <w:rFonts w:ascii="Tahoma" w:hAnsi="Tahoma" w:cs="Tahoma"/>
                <w:sz w:val="20"/>
                <w:szCs w:val="20"/>
              </w:rPr>
              <w:t>relative priority in the work plans of the Common Costing Group.</w:t>
            </w:r>
          </w:p>
          <w:p w:rsidR="00D92EDE" w:rsidRDefault="00D92EDE">
            <w:pPr>
              <w:rPr>
                <w:rFonts w:ascii="Tahoma" w:hAnsi="Tahoma" w:cs="Tahoma"/>
                <w:sz w:val="20"/>
                <w:szCs w:val="20"/>
              </w:rPr>
            </w:pPr>
            <w:r>
              <w:rPr>
                <w:rFonts w:ascii="Tahoma" w:hAnsi="Tahoma" w:cs="Tahoma"/>
                <w:sz w:val="20"/>
                <w:szCs w:val="20"/>
              </w:rPr>
              <w:t>Formal communication of collective views and agreement (or otherwise) with draft recommendations.</w:t>
            </w:r>
          </w:p>
        </w:tc>
      </w:tr>
      <w:tr w:rsidR="000E5497">
        <w:tc>
          <w:tcPr>
            <w:tcW w:w="1728" w:type="dxa"/>
          </w:tcPr>
          <w:p w:rsidR="000E5497" w:rsidRDefault="000E5497">
            <w:pPr>
              <w:rPr>
                <w:rFonts w:ascii="Tahoma" w:hAnsi="Tahoma" w:cs="Tahoma"/>
                <w:sz w:val="20"/>
                <w:szCs w:val="20"/>
              </w:rPr>
            </w:pPr>
            <w:r>
              <w:rPr>
                <w:rFonts w:ascii="Tahoma" w:hAnsi="Tahoma" w:cs="Tahoma"/>
                <w:sz w:val="20"/>
                <w:szCs w:val="20"/>
              </w:rPr>
              <w:t>NCCP - Casemix</w:t>
            </w:r>
          </w:p>
          <w:p w:rsidR="000E5497" w:rsidRDefault="000E5497">
            <w:pPr>
              <w:rPr>
                <w:rFonts w:ascii="Tahoma" w:hAnsi="Tahoma" w:cs="Tahoma"/>
                <w:sz w:val="20"/>
                <w:szCs w:val="20"/>
              </w:rPr>
            </w:pPr>
          </w:p>
        </w:tc>
        <w:tc>
          <w:tcPr>
            <w:tcW w:w="6120" w:type="dxa"/>
            <w:vMerge w:val="restart"/>
          </w:tcPr>
          <w:p w:rsidR="000E5497" w:rsidRDefault="000E5497">
            <w:pPr>
              <w:rPr>
                <w:rFonts w:ascii="Tahoma" w:hAnsi="Tahoma" w:cs="Tahoma"/>
                <w:sz w:val="20"/>
                <w:szCs w:val="20"/>
              </w:rPr>
            </w:pPr>
          </w:p>
          <w:p w:rsidR="000E5497" w:rsidRDefault="00FF2619" w:rsidP="00FF2619">
            <w:pPr>
              <w:rPr>
                <w:rFonts w:ascii="Tahoma" w:hAnsi="Tahoma" w:cs="Tahoma"/>
                <w:sz w:val="20"/>
                <w:szCs w:val="20"/>
              </w:rPr>
            </w:pPr>
            <w:r>
              <w:rPr>
                <w:rFonts w:ascii="Tahoma" w:hAnsi="Tahoma" w:cs="Tahoma"/>
                <w:sz w:val="20"/>
                <w:szCs w:val="20"/>
              </w:rPr>
              <w:t xml:space="preserve">That costing and data quality issues </w:t>
            </w:r>
            <w:r w:rsidR="00FA06B2">
              <w:rPr>
                <w:rFonts w:ascii="Tahoma" w:hAnsi="Tahoma" w:cs="Tahoma"/>
                <w:sz w:val="20"/>
                <w:szCs w:val="20"/>
              </w:rPr>
              <w:t xml:space="preserve">at a Purchase Unit level </w:t>
            </w:r>
            <w:r>
              <w:rPr>
                <w:rFonts w:ascii="Tahoma" w:hAnsi="Tahoma" w:cs="Tahoma"/>
                <w:sz w:val="20"/>
                <w:szCs w:val="20"/>
              </w:rPr>
              <w:t xml:space="preserve">are </w:t>
            </w:r>
            <w:r w:rsidR="009A4CE7">
              <w:rPr>
                <w:rFonts w:ascii="Tahoma" w:hAnsi="Tahoma" w:cs="Tahoma"/>
                <w:sz w:val="20"/>
                <w:szCs w:val="20"/>
              </w:rPr>
              <w:t xml:space="preserve">reviewed </w:t>
            </w:r>
            <w:r>
              <w:rPr>
                <w:rFonts w:ascii="Tahoma" w:hAnsi="Tahoma" w:cs="Tahoma"/>
                <w:sz w:val="20"/>
                <w:szCs w:val="20"/>
              </w:rPr>
              <w:t xml:space="preserve">by the group and the group looks to </w:t>
            </w:r>
            <w:r w:rsidR="009A4CE7">
              <w:rPr>
                <w:rFonts w:ascii="Tahoma" w:hAnsi="Tahoma" w:cs="Tahoma"/>
                <w:sz w:val="20"/>
                <w:szCs w:val="20"/>
              </w:rPr>
              <w:t>clarify</w:t>
            </w:r>
            <w:r>
              <w:rPr>
                <w:rFonts w:ascii="Tahoma" w:hAnsi="Tahoma" w:cs="Tahoma"/>
                <w:sz w:val="20"/>
                <w:szCs w:val="20"/>
              </w:rPr>
              <w:t xml:space="preserve"> these via standardised costing guidelines / agreement</w:t>
            </w:r>
            <w:r w:rsidR="009A4CE7">
              <w:rPr>
                <w:rFonts w:ascii="Tahoma" w:hAnsi="Tahoma" w:cs="Tahoma"/>
                <w:sz w:val="20"/>
                <w:szCs w:val="20"/>
              </w:rPr>
              <w:t>.</w:t>
            </w:r>
            <w:r>
              <w:rPr>
                <w:rFonts w:ascii="Tahoma" w:hAnsi="Tahoma" w:cs="Tahoma"/>
                <w:sz w:val="20"/>
                <w:szCs w:val="20"/>
              </w:rPr>
              <w:t xml:space="preserve">  </w:t>
            </w:r>
          </w:p>
        </w:tc>
        <w:tc>
          <w:tcPr>
            <w:tcW w:w="6480" w:type="dxa"/>
            <w:vMerge w:val="restart"/>
          </w:tcPr>
          <w:p w:rsidR="000E5497" w:rsidRDefault="000E5497">
            <w:pPr>
              <w:rPr>
                <w:rFonts w:ascii="Tahoma" w:hAnsi="Tahoma" w:cs="Tahoma"/>
                <w:sz w:val="20"/>
                <w:szCs w:val="20"/>
              </w:rPr>
            </w:pPr>
          </w:p>
          <w:p w:rsidR="000E5497" w:rsidRDefault="000E5497">
            <w:pPr>
              <w:rPr>
                <w:rFonts w:ascii="Tahoma" w:hAnsi="Tahoma" w:cs="Tahoma"/>
                <w:sz w:val="20"/>
                <w:szCs w:val="20"/>
              </w:rPr>
            </w:pPr>
            <w:r w:rsidRPr="004C52F4">
              <w:rPr>
                <w:rFonts w:ascii="Tahoma" w:hAnsi="Tahoma" w:cs="Tahoma"/>
                <w:sz w:val="20"/>
                <w:szCs w:val="20"/>
              </w:rPr>
              <w:t>Formal communication of concerns / issues around the quality and consistency of costing data</w:t>
            </w:r>
            <w:r>
              <w:rPr>
                <w:rFonts w:ascii="Tahoma" w:hAnsi="Tahoma" w:cs="Tahoma"/>
                <w:sz w:val="20"/>
                <w:szCs w:val="20"/>
              </w:rPr>
              <w:t xml:space="preserve"> along with feedback on specific issues / areas especially around data quality / consistency being achieved or otherwise.</w:t>
            </w:r>
          </w:p>
        </w:tc>
      </w:tr>
      <w:tr w:rsidR="000E5497">
        <w:tc>
          <w:tcPr>
            <w:tcW w:w="1728" w:type="dxa"/>
          </w:tcPr>
          <w:p w:rsidR="000E5497" w:rsidRDefault="000E5497">
            <w:pPr>
              <w:rPr>
                <w:rFonts w:ascii="Tahoma" w:hAnsi="Tahoma" w:cs="Tahoma"/>
                <w:sz w:val="20"/>
                <w:szCs w:val="20"/>
              </w:rPr>
            </w:pPr>
            <w:r>
              <w:rPr>
                <w:rFonts w:ascii="Tahoma" w:hAnsi="Tahoma" w:cs="Tahoma"/>
                <w:sz w:val="20"/>
                <w:szCs w:val="20"/>
              </w:rPr>
              <w:t>NCCP – Non Casemix</w:t>
            </w:r>
          </w:p>
          <w:p w:rsidR="000E5497" w:rsidRDefault="000E5497">
            <w:pPr>
              <w:rPr>
                <w:rFonts w:ascii="Tahoma" w:hAnsi="Tahoma" w:cs="Tahoma"/>
                <w:sz w:val="20"/>
                <w:szCs w:val="20"/>
              </w:rPr>
            </w:pPr>
          </w:p>
        </w:tc>
        <w:tc>
          <w:tcPr>
            <w:tcW w:w="6120" w:type="dxa"/>
            <w:vMerge/>
          </w:tcPr>
          <w:p w:rsidR="000E5497" w:rsidRDefault="000E5497">
            <w:pPr>
              <w:rPr>
                <w:rFonts w:ascii="Tahoma" w:hAnsi="Tahoma" w:cs="Tahoma"/>
                <w:sz w:val="20"/>
                <w:szCs w:val="20"/>
              </w:rPr>
            </w:pPr>
          </w:p>
        </w:tc>
        <w:tc>
          <w:tcPr>
            <w:tcW w:w="6480" w:type="dxa"/>
            <w:vMerge/>
          </w:tcPr>
          <w:p w:rsidR="000E5497" w:rsidRDefault="000E5497">
            <w:pPr>
              <w:rPr>
                <w:rFonts w:ascii="Tahoma" w:hAnsi="Tahoma" w:cs="Tahoma"/>
                <w:sz w:val="20"/>
                <w:szCs w:val="20"/>
              </w:rPr>
            </w:pPr>
          </w:p>
        </w:tc>
      </w:tr>
      <w:tr w:rsidR="009A4CE7">
        <w:tc>
          <w:tcPr>
            <w:tcW w:w="1728" w:type="dxa"/>
          </w:tcPr>
          <w:p w:rsidR="009A4CE7" w:rsidRDefault="009A4CE7" w:rsidP="009A4CE7">
            <w:pPr>
              <w:rPr>
                <w:rFonts w:ascii="Tahoma" w:hAnsi="Tahoma" w:cs="Tahoma"/>
                <w:sz w:val="20"/>
                <w:szCs w:val="20"/>
              </w:rPr>
            </w:pPr>
            <w:r>
              <w:rPr>
                <w:rFonts w:ascii="Tahoma" w:hAnsi="Tahoma" w:cs="Tahoma"/>
                <w:sz w:val="20"/>
                <w:szCs w:val="20"/>
              </w:rPr>
              <w:t xml:space="preserve">CFO Liaison  </w:t>
            </w:r>
          </w:p>
        </w:tc>
        <w:tc>
          <w:tcPr>
            <w:tcW w:w="6120" w:type="dxa"/>
          </w:tcPr>
          <w:p w:rsidR="009A4CE7" w:rsidRDefault="009A4CE7" w:rsidP="009A4CE7">
            <w:pPr>
              <w:rPr>
                <w:rFonts w:ascii="Tahoma" w:hAnsi="Tahoma" w:cs="Tahoma"/>
                <w:sz w:val="20"/>
                <w:szCs w:val="20"/>
              </w:rPr>
            </w:pPr>
            <w:r>
              <w:rPr>
                <w:rFonts w:ascii="Tahoma" w:hAnsi="Tahoma" w:cs="Tahoma"/>
                <w:sz w:val="20"/>
                <w:szCs w:val="20"/>
              </w:rPr>
              <w:t>Acceptable work plans and completion of those work plans.</w:t>
            </w:r>
          </w:p>
          <w:p w:rsidR="009A4CE7" w:rsidRDefault="009A4CE7" w:rsidP="009A4CE7">
            <w:pPr>
              <w:rPr>
                <w:rFonts w:ascii="Tahoma" w:hAnsi="Tahoma" w:cs="Tahoma"/>
                <w:sz w:val="20"/>
                <w:szCs w:val="20"/>
              </w:rPr>
            </w:pPr>
            <w:r>
              <w:rPr>
                <w:rFonts w:ascii="Tahoma" w:hAnsi="Tahoma" w:cs="Tahoma"/>
                <w:sz w:val="20"/>
                <w:szCs w:val="20"/>
              </w:rPr>
              <w:t>A high level update of the work the group is involved in raising issues for the CFOs to consider as and when required.</w:t>
            </w:r>
          </w:p>
        </w:tc>
        <w:tc>
          <w:tcPr>
            <w:tcW w:w="6480" w:type="dxa"/>
          </w:tcPr>
          <w:p w:rsidR="009A4CE7" w:rsidRDefault="009A4CE7" w:rsidP="009A4CE7">
            <w:pPr>
              <w:rPr>
                <w:rFonts w:ascii="Tahoma" w:hAnsi="Tahoma" w:cs="Tahoma"/>
                <w:sz w:val="20"/>
                <w:szCs w:val="20"/>
              </w:rPr>
            </w:pPr>
            <w:r>
              <w:rPr>
                <w:rFonts w:ascii="Tahoma" w:hAnsi="Tahoma" w:cs="Tahoma"/>
                <w:sz w:val="20"/>
                <w:szCs w:val="20"/>
              </w:rPr>
              <w:t>High level advocacy</w:t>
            </w:r>
          </w:p>
          <w:p w:rsidR="009A4CE7" w:rsidRDefault="009A4CE7" w:rsidP="009A4CE7">
            <w:pPr>
              <w:rPr>
                <w:rFonts w:ascii="Tahoma" w:hAnsi="Tahoma" w:cs="Tahoma"/>
                <w:sz w:val="20"/>
                <w:szCs w:val="20"/>
              </w:rPr>
            </w:pPr>
            <w:r>
              <w:rPr>
                <w:rFonts w:ascii="Tahoma" w:hAnsi="Tahoma" w:cs="Tahoma"/>
                <w:sz w:val="20"/>
                <w:szCs w:val="20"/>
              </w:rPr>
              <w:t>Ensuring resource availability</w:t>
            </w:r>
          </w:p>
          <w:p w:rsidR="009A4CE7" w:rsidRDefault="009A4CE7" w:rsidP="009A4CE7">
            <w:pPr>
              <w:rPr>
                <w:rFonts w:ascii="Tahoma" w:hAnsi="Tahoma" w:cs="Tahoma"/>
                <w:sz w:val="20"/>
                <w:szCs w:val="20"/>
              </w:rPr>
            </w:pPr>
            <w:r>
              <w:rPr>
                <w:rFonts w:ascii="Tahoma" w:hAnsi="Tahoma" w:cs="Tahoma"/>
                <w:sz w:val="20"/>
                <w:szCs w:val="20"/>
              </w:rPr>
              <w:t>Championing recommendations</w:t>
            </w:r>
          </w:p>
          <w:p w:rsidR="009A4CE7" w:rsidRDefault="009A4CE7" w:rsidP="009A4CE7">
            <w:pPr>
              <w:rPr>
                <w:rFonts w:ascii="Tahoma" w:hAnsi="Tahoma" w:cs="Tahoma"/>
                <w:sz w:val="20"/>
                <w:szCs w:val="20"/>
              </w:rPr>
            </w:pPr>
            <w:r>
              <w:rPr>
                <w:rFonts w:ascii="Tahoma" w:hAnsi="Tahoma" w:cs="Tahoma"/>
                <w:sz w:val="20"/>
                <w:szCs w:val="20"/>
              </w:rPr>
              <w:t>Encouraging around the importance of costing in the sector</w:t>
            </w:r>
          </w:p>
        </w:tc>
      </w:tr>
      <w:tr w:rsidR="009A4CE7" w:rsidTr="004C52F4">
        <w:tc>
          <w:tcPr>
            <w:tcW w:w="1728" w:type="dxa"/>
            <w:tcBorders>
              <w:top w:val="single" w:sz="4" w:space="0" w:color="auto"/>
              <w:left w:val="single" w:sz="4" w:space="0" w:color="auto"/>
              <w:bottom w:val="single" w:sz="4" w:space="0" w:color="auto"/>
              <w:right w:val="single" w:sz="4" w:space="0" w:color="auto"/>
            </w:tcBorders>
          </w:tcPr>
          <w:p w:rsidR="009A4CE7" w:rsidRDefault="009A4CE7" w:rsidP="009A4CE7">
            <w:pPr>
              <w:rPr>
                <w:rFonts w:ascii="Tahoma" w:hAnsi="Tahoma" w:cs="Tahoma"/>
                <w:sz w:val="20"/>
                <w:szCs w:val="20"/>
              </w:rPr>
            </w:pPr>
            <w:r>
              <w:rPr>
                <w:rFonts w:ascii="Tahoma" w:hAnsi="Tahoma" w:cs="Tahoma"/>
                <w:sz w:val="20"/>
                <w:szCs w:val="20"/>
              </w:rPr>
              <w:t>Service Framework Group</w:t>
            </w:r>
          </w:p>
        </w:tc>
        <w:tc>
          <w:tcPr>
            <w:tcW w:w="6120" w:type="dxa"/>
            <w:tcBorders>
              <w:top w:val="single" w:sz="4" w:space="0" w:color="auto"/>
              <w:left w:val="single" w:sz="4" w:space="0" w:color="auto"/>
              <w:bottom w:val="single" w:sz="4" w:space="0" w:color="auto"/>
              <w:right w:val="single" w:sz="4" w:space="0" w:color="auto"/>
            </w:tcBorders>
          </w:tcPr>
          <w:p w:rsidR="009A4CE7" w:rsidRDefault="009A4CE7" w:rsidP="009A4CE7">
            <w:pPr>
              <w:rPr>
                <w:rFonts w:ascii="Tahoma" w:hAnsi="Tahoma" w:cs="Tahoma"/>
                <w:sz w:val="20"/>
                <w:szCs w:val="20"/>
              </w:rPr>
            </w:pPr>
            <w:r>
              <w:rPr>
                <w:rFonts w:ascii="Tahoma" w:hAnsi="Tahoma" w:cs="Tahoma"/>
                <w:sz w:val="20"/>
                <w:szCs w:val="20"/>
              </w:rPr>
              <w:t>Annual update of work plans.</w:t>
            </w:r>
          </w:p>
          <w:p w:rsidR="009A4CE7" w:rsidRDefault="009A4CE7" w:rsidP="009A4CE7">
            <w:pPr>
              <w:rPr>
                <w:rFonts w:ascii="Tahoma" w:hAnsi="Tahoma" w:cs="Tahoma"/>
                <w:sz w:val="20"/>
                <w:szCs w:val="20"/>
              </w:rPr>
            </w:pPr>
            <w:r>
              <w:rPr>
                <w:rFonts w:ascii="Tahoma" w:hAnsi="Tahoma" w:cs="Tahoma"/>
                <w:sz w:val="20"/>
                <w:szCs w:val="20"/>
              </w:rPr>
              <w:t>Recommendations for annual updates to the Common Costing Standards.</w:t>
            </w:r>
          </w:p>
          <w:p w:rsidR="009A4CE7" w:rsidRDefault="009A4CE7" w:rsidP="009A4CE7">
            <w:pPr>
              <w:rPr>
                <w:rFonts w:ascii="Tahoma" w:hAnsi="Tahoma" w:cs="Tahoma"/>
                <w:sz w:val="20"/>
                <w:szCs w:val="20"/>
              </w:rPr>
            </w:pPr>
          </w:p>
        </w:tc>
        <w:tc>
          <w:tcPr>
            <w:tcW w:w="6480" w:type="dxa"/>
            <w:tcBorders>
              <w:top w:val="single" w:sz="4" w:space="0" w:color="auto"/>
              <w:left w:val="single" w:sz="4" w:space="0" w:color="auto"/>
              <w:bottom w:val="single" w:sz="4" w:space="0" w:color="auto"/>
              <w:right w:val="single" w:sz="4" w:space="0" w:color="auto"/>
            </w:tcBorders>
          </w:tcPr>
          <w:p w:rsidR="009A4CE7" w:rsidRDefault="009A4CE7" w:rsidP="009A4CE7">
            <w:pPr>
              <w:rPr>
                <w:rFonts w:ascii="Tahoma" w:hAnsi="Tahoma" w:cs="Tahoma"/>
                <w:sz w:val="20"/>
                <w:szCs w:val="20"/>
              </w:rPr>
            </w:pPr>
            <w:r>
              <w:rPr>
                <w:rFonts w:ascii="Tahoma" w:hAnsi="Tahoma" w:cs="Tahoma"/>
                <w:sz w:val="20"/>
                <w:szCs w:val="20"/>
              </w:rPr>
              <w:t>High-level focused direction and support for continuing the work of the Common Costing Group.</w:t>
            </w:r>
          </w:p>
          <w:p w:rsidR="009A4CE7" w:rsidRDefault="009A4CE7" w:rsidP="009A4CE7">
            <w:pPr>
              <w:rPr>
                <w:rFonts w:ascii="Tahoma" w:hAnsi="Tahoma" w:cs="Tahoma"/>
                <w:sz w:val="20"/>
                <w:szCs w:val="20"/>
              </w:rPr>
            </w:pPr>
            <w:r>
              <w:rPr>
                <w:rFonts w:ascii="Tahoma" w:hAnsi="Tahoma" w:cs="Tahoma"/>
                <w:sz w:val="20"/>
                <w:szCs w:val="20"/>
              </w:rPr>
              <w:t>Notice of national issues and their relative priority in the work plans of the Common Costing Group.</w:t>
            </w:r>
          </w:p>
          <w:p w:rsidR="009A4CE7" w:rsidRDefault="009A4CE7" w:rsidP="009A4CE7">
            <w:pPr>
              <w:rPr>
                <w:rFonts w:ascii="Tahoma" w:hAnsi="Tahoma" w:cs="Tahoma"/>
                <w:sz w:val="20"/>
                <w:szCs w:val="20"/>
              </w:rPr>
            </w:pPr>
            <w:r>
              <w:rPr>
                <w:rFonts w:ascii="Tahoma" w:hAnsi="Tahoma" w:cs="Tahoma"/>
                <w:sz w:val="20"/>
                <w:szCs w:val="20"/>
              </w:rPr>
              <w:t>Endorsement of Terms of Reference, work plans and recommendations.</w:t>
            </w:r>
          </w:p>
        </w:tc>
      </w:tr>
      <w:tr w:rsidR="009A4CE7">
        <w:tc>
          <w:tcPr>
            <w:tcW w:w="1728" w:type="dxa"/>
          </w:tcPr>
          <w:p w:rsidR="009A4CE7" w:rsidRDefault="009A4CE7" w:rsidP="009A4CE7">
            <w:pPr>
              <w:rPr>
                <w:rFonts w:ascii="Tahoma" w:hAnsi="Tahoma" w:cs="Tahoma"/>
                <w:sz w:val="20"/>
                <w:szCs w:val="20"/>
              </w:rPr>
            </w:pPr>
            <w:r>
              <w:rPr>
                <w:rFonts w:ascii="Tahoma" w:hAnsi="Tahoma" w:cs="Tahoma"/>
                <w:sz w:val="20"/>
                <w:szCs w:val="20"/>
              </w:rPr>
              <w:t>Service Specifications Group</w:t>
            </w:r>
          </w:p>
        </w:tc>
        <w:tc>
          <w:tcPr>
            <w:tcW w:w="6120" w:type="dxa"/>
          </w:tcPr>
          <w:p w:rsidR="009A4CE7" w:rsidRDefault="009A4CE7" w:rsidP="009A4CE7">
            <w:pPr>
              <w:rPr>
                <w:rFonts w:ascii="Tahoma" w:hAnsi="Tahoma" w:cs="Tahoma"/>
                <w:sz w:val="20"/>
                <w:szCs w:val="20"/>
              </w:rPr>
            </w:pPr>
            <w:r>
              <w:rPr>
                <w:rFonts w:ascii="Tahoma" w:hAnsi="Tahoma" w:cs="Tahoma"/>
                <w:sz w:val="20"/>
                <w:szCs w:val="20"/>
              </w:rPr>
              <w:t>Effective linkages between service specifications and the counting and costing of each.</w:t>
            </w:r>
          </w:p>
          <w:p w:rsidR="009A4CE7" w:rsidRDefault="009A4CE7" w:rsidP="009A4CE7">
            <w:pPr>
              <w:rPr>
                <w:rFonts w:ascii="Tahoma" w:hAnsi="Tahoma" w:cs="Tahoma"/>
                <w:sz w:val="20"/>
                <w:szCs w:val="20"/>
              </w:rPr>
            </w:pPr>
            <w:r>
              <w:rPr>
                <w:rFonts w:ascii="Tahoma" w:hAnsi="Tahoma" w:cs="Tahoma"/>
                <w:sz w:val="20"/>
                <w:szCs w:val="20"/>
              </w:rPr>
              <w:t>Forum for debate of national NSF Data Dictionary related issues.</w:t>
            </w:r>
          </w:p>
          <w:p w:rsidR="009A4CE7" w:rsidRDefault="009A4CE7" w:rsidP="009A4CE7">
            <w:pPr>
              <w:rPr>
                <w:rFonts w:ascii="Tahoma" w:hAnsi="Tahoma" w:cs="Tahoma"/>
                <w:sz w:val="20"/>
                <w:szCs w:val="20"/>
              </w:rPr>
            </w:pPr>
            <w:r>
              <w:rPr>
                <w:rFonts w:ascii="Tahoma" w:hAnsi="Tahoma" w:cs="Tahoma"/>
                <w:sz w:val="20"/>
                <w:szCs w:val="20"/>
              </w:rPr>
              <w:t>Sound, workable costing standards.</w:t>
            </w:r>
          </w:p>
          <w:p w:rsidR="009A4CE7" w:rsidRDefault="009A4CE7" w:rsidP="009A4CE7">
            <w:pPr>
              <w:rPr>
                <w:rFonts w:ascii="Tahoma" w:hAnsi="Tahoma" w:cs="Tahoma"/>
                <w:sz w:val="20"/>
                <w:szCs w:val="20"/>
              </w:rPr>
            </w:pPr>
            <w:r>
              <w:rPr>
                <w:rFonts w:ascii="Tahoma" w:hAnsi="Tahoma" w:cs="Tahoma"/>
                <w:sz w:val="20"/>
                <w:szCs w:val="20"/>
              </w:rPr>
              <w:t>Formal communications on recommendations for annual updates to the Common Costing Standards.</w:t>
            </w:r>
          </w:p>
        </w:tc>
        <w:tc>
          <w:tcPr>
            <w:tcW w:w="6480" w:type="dxa"/>
          </w:tcPr>
          <w:p w:rsidR="009A4CE7" w:rsidRDefault="009A4CE7" w:rsidP="009A4CE7">
            <w:pPr>
              <w:rPr>
                <w:rFonts w:ascii="Tahoma" w:hAnsi="Tahoma" w:cs="Tahoma"/>
                <w:sz w:val="20"/>
                <w:szCs w:val="20"/>
              </w:rPr>
            </w:pPr>
            <w:r>
              <w:rPr>
                <w:rFonts w:ascii="Tahoma" w:hAnsi="Tahoma" w:cs="Tahoma"/>
                <w:sz w:val="20"/>
                <w:szCs w:val="20"/>
              </w:rPr>
              <w:t>Effective linkages between service specifications and the counting and costing of each.</w:t>
            </w:r>
          </w:p>
          <w:p w:rsidR="009A4CE7" w:rsidRDefault="009A4CE7" w:rsidP="009A4CE7">
            <w:pPr>
              <w:rPr>
                <w:rFonts w:ascii="Tahoma" w:hAnsi="Tahoma" w:cs="Tahoma"/>
                <w:sz w:val="20"/>
                <w:szCs w:val="20"/>
              </w:rPr>
            </w:pPr>
            <w:r>
              <w:rPr>
                <w:rFonts w:ascii="Tahoma" w:hAnsi="Tahoma" w:cs="Tahoma"/>
                <w:sz w:val="20"/>
                <w:szCs w:val="20"/>
              </w:rPr>
              <w:t>Notice of national issues and relative priority in the work plans of the Common Costing Group.</w:t>
            </w:r>
          </w:p>
          <w:p w:rsidR="009A4CE7" w:rsidRDefault="009A4CE7" w:rsidP="009A4CE7">
            <w:pPr>
              <w:rPr>
                <w:rFonts w:ascii="Tahoma" w:hAnsi="Tahoma" w:cs="Tahoma"/>
                <w:sz w:val="20"/>
                <w:szCs w:val="20"/>
              </w:rPr>
            </w:pPr>
            <w:r>
              <w:rPr>
                <w:rFonts w:ascii="Tahoma" w:hAnsi="Tahoma" w:cs="Tahoma"/>
                <w:sz w:val="20"/>
                <w:szCs w:val="20"/>
              </w:rPr>
              <w:t>Formal communication of collective views and agreement (or otherwise) with draft recommendations.</w:t>
            </w:r>
          </w:p>
        </w:tc>
      </w:tr>
    </w:tbl>
    <w:p w:rsidR="00D92EDE" w:rsidRDefault="00D92EDE">
      <w: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0"/>
        <w:gridCol w:w="6480"/>
      </w:tblGrid>
      <w:tr w:rsidR="00D92EDE">
        <w:tc>
          <w:tcPr>
            <w:tcW w:w="1728" w:type="dxa"/>
          </w:tcPr>
          <w:p w:rsidR="00D92EDE" w:rsidRDefault="00D92EDE">
            <w:pPr>
              <w:rPr>
                <w:rFonts w:ascii="Tahoma" w:hAnsi="Tahoma" w:cs="Tahoma"/>
                <w:b/>
                <w:sz w:val="20"/>
                <w:szCs w:val="20"/>
              </w:rPr>
            </w:pPr>
            <w:r>
              <w:rPr>
                <w:rFonts w:ascii="Tahoma" w:hAnsi="Tahoma" w:cs="Tahoma"/>
                <w:b/>
                <w:sz w:val="20"/>
                <w:szCs w:val="20"/>
              </w:rPr>
              <w:lastRenderedPageBreak/>
              <w:t>Group</w:t>
            </w:r>
          </w:p>
        </w:tc>
        <w:tc>
          <w:tcPr>
            <w:tcW w:w="6120" w:type="dxa"/>
          </w:tcPr>
          <w:p w:rsidR="00D92EDE" w:rsidRDefault="00D92EDE" w:rsidP="00E14DAC">
            <w:pPr>
              <w:rPr>
                <w:rFonts w:ascii="Tahoma" w:hAnsi="Tahoma" w:cs="Tahoma"/>
                <w:b/>
                <w:sz w:val="20"/>
                <w:szCs w:val="20"/>
              </w:rPr>
            </w:pPr>
            <w:r>
              <w:rPr>
                <w:rFonts w:ascii="Tahoma" w:hAnsi="Tahoma" w:cs="Tahoma"/>
                <w:b/>
                <w:sz w:val="20"/>
                <w:szCs w:val="20"/>
              </w:rPr>
              <w:t xml:space="preserve">Each Group’s expectations of </w:t>
            </w:r>
            <w:r w:rsidR="00E14DAC">
              <w:rPr>
                <w:rFonts w:ascii="Tahoma" w:hAnsi="Tahoma" w:cs="Tahoma"/>
                <w:b/>
                <w:sz w:val="20"/>
                <w:szCs w:val="20"/>
              </w:rPr>
              <w:t xml:space="preserve">the </w:t>
            </w:r>
            <w:r>
              <w:rPr>
                <w:rFonts w:ascii="Tahoma" w:hAnsi="Tahoma" w:cs="Tahoma"/>
                <w:b/>
                <w:sz w:val="20"/>
                <w:szCs w:val="20"/>
              </w:rPr>
              <w:t xml:space="preserve">Common </w:t>
            </w:r>
            <w:r w:rsidR="00E14DAC">
              <w:rPr>
                <w:rFonts w:ascii="Tahoma" w:hAnsi="Tahoma" w:cs="Tahoma"/>
                <w:b/>
                <w:sz w:val="20"/>
                <w:szCs w:val="20"/>
              </w:rPr>
              <w:t>C</w:t>
            </w:r>
            <w:r>
              <w:rPr>
                <w:rFonts w:ascii="Tahoma" w:hAnsi="Tahoma" w:cs="Tahoma"/>
                <w:b/>
                <w:sz w:val="20"/>
                <w:szCs w:val="20"/>
              </w:rPr>
              <w:t>osting Groups</w:t>
            </w:r>
          </w:p>
        </w:tc>
        <w:tc>
          <w:tcPr>
            <w:tcW w:w="6480" w:type="dxa"/>
          </w:tcPr>
          <w:p w:rsidR="00D92EDE" w:rsidRDefault="00D92EDE" w:rsidP="00E14DAC">
            <w:pPr>
              <w:rPr>
                <w:rFonts w:ascii="Tahoma" w:hAnsi="Tahoma" w:cs="Tahoma"/>
                <w:b/>
                <w:sz w:val="20"/>
                <w:szCs w:val="20"/>
              </w:rPr>
            </w:pPr>
            <w:r>
              <w:rPr>
                <w:rFonts w:ascii="Tahoma" w:hAnsi="Tahoma" w:cs="Tahoma"/>
                <w:b/>
                <w:sz w:val="20"/>
                <w:szCs w:val="20"/>
              </w:rPr>
              <w:t xml:space="preserve">Common </w:t>
            </w:r>
            <w:r w:rsidR="00E14DAC">
              <w:rPr>
                <w:rFonts w:ascii="Tahoma" w:hAnsi="Tahoma" w:cs="Tahoma"/>
                <w:b/>
                <w:sz w:val="20"/>
                <w:szCs w:val="20"/>
              </w:rPr>
              <w:t>Co</w:t>
            </w:r>
            <w:r>
              <w:rPr>
                <w:rFonts w:ascii="Tahoma" w:hAnsi="Tahoma" w:cs="Tahoma"/>
                <w:b/>
                <w:sz w:val="20"/>
                <w:szCs w:val="20"/>
              </w:rPr>
              <w:t>sting Groups’ expectations of this group</w:t>
            </w:r>
          </w:p>
        </w:tc>
      </w:tr>
      <w:tr w:rsidR="00D92EDE">
        <w:tblPrEx>
          <w:tblCellMar>
            <w:top w:w="57" w:type="dxa"/>
            <w:bottom w:w="28" w:type="dxa"/>
          </w:tblCellMar>
        </w:tblPrEx>
        <w:tc>
          <w:tcPr>
            <w:tcW w:w="1728" w:type="dxa"/>
          </w:tcPr>
          <w:p w:rsidR="00D92EDE" w:rsidRDefault="00E14DAC" w:rsidP="00E14DAC">
            <w:pPr>
              <w:rPr>
                <w:rFonts w:ascii="Tahoma" w:hAnsi="Tahoma" w:cs="Tahoma"/>
                <w:sz w:val="20"/>
                <w:szCs w:val="20"/>
              </w:rPr>
            </w:pPr>
            <w:r>
              <w:rPr>
                <w:rFonts w:ascii="Tahoma" w:hAnsi="Tahoma" w:cs="Tahoma"/>
                <w:sz w:val="20"/>
                <w:szCs w:val="20"/>
              </w:rPr>
              <w:t xml:space="preserve">Ministry </w:t>
            </w:r>
            <w:r w:rsidR="00D92EDE">
              <w:rPr>
                <w:rFonts w:ascii="Tahoma" w:hAnsi="Tahoma" w:cs="Tahoma"/>
                <w:sz w:val="20"/>
                <w:szCs w:val="20"/>
              </w:rPr>
              <w:t>national collections</w:t>
            </w:r>
            <w:r>
              <w:rPr>
                <w:rFonts w:ascii="Tahoma" w:hAnsi="Tahoma" w:cs="Tahoma"/>
                <w:sz w:val="20"/>
                <w:szCs w:val="20"/>
              </w:rPr>
              <w:t xml:space="preserve"> team</w:t>
            </w:r>
            <w:r w:rsidR="00D92EDE">
              <w:rPr>
                <w:rFonts w:ascii="Tahoma" w:hAnsi="Tahoma" w:cs="Tahoma"/>
                <w:sz w:val="20"/>
                <w:szCs w:val="20"/>
              </w:rPr>
              <w:t xml:space="preserve"> </w:t>
            </w:r>
          </w:p>
        </w:tc>
        <w:tc>
          <w:tcPr>
            <w:tcW w:w="6120" w:type="dxa"/>
          </w:tcPr>
          <w:p w:rsidR="00D92EDE" w:rsidRDefault="00E14DAC" w:rsidP="00E14DAC">
            <w:pPr>
              <w:rPr>
                <w:rFonts w:ascii="Tahoma" w:hAnsi="Tahoma" w:cs="Tahoma"/>
                <w:sz w:val="20"/>
                <w:szCs w:val="20"/>
              </w:rPr>
            </w:pPr>
            <w:r>
              <w:rPr>
                <w:rFonts w:ascii="Tahoma" w:hAnsi="Tahoma" w:cs="Tahoma"/>
                <w:sz w:val="20"/>
                <w:szCs w:val="20"/>
              </w:rPr>
              <w:t>That any proposals that affect the work of the common costing group are considered by the group and responses are made in a timely manner.</w:t>
            </w:r>
          </w:p>
        </w:tc>
        <w:tc>
          <w:tcPr>
            <w:tcW w:w="6480" w:type="dxa"/>
          </w:tcPr>
          <w:p w:rsidR="00D92EDE" w:rsidRDefault="00FA06B2" w:rsidP="00FA06B2">
            <w:pPr>
              <w:rPr>
                <w:rFonts w:ascii="Tahoma" w:hAnsi="Tahoma" w:cs="Tahoma"/>
                <w:sz w:val="20"/>
                <w:szCs w:val="20"/>
              </w:rPr>
            </w:pPr>
            <w:r>
              <w:rPr>
                <w:rFonts w:ascii="Tahoma" w:hAnsi="Tahoma" w:cs="Tahoma"/>
                <w:sz w:val="20"/>
                <w:szCs w:val="20"/>
              </w:rPr>
              <w:t xml:space="preserve">Notification </w:t>
            </w:r>
            <w:r w:rsidR="00D92EDE">
              <w:rPr>
                <w:rFonts w:ascii="Tahoma" w:hAnsi="Tahoma" w:cs="Tahoma"/>
                <w:sz w:val="20"/>
                <w:szCs w:val="20"/>
              </w:rPr>
              <w:t xml:space="preserve">of national issues </w:t>
            </w:r>
            <w:r>
              <w:rPr>
                <w:rFonts w:ascii="Tahoma" w:hAnsi="Tahoma" w:cs="Tahoma"/>
                <w:sz w:val="20"/>
                <w:szCs w:val="20"/>
              </w:rPr>
              <w:t>/ potential changes that affect the work the costing group does, i.e. bringing costing data into the national collections.</w:t>
            </w:r>
          </w:p>
        </w:tc>
      </w:tr>
      <w:tr w:rsidR="00D92EDE">
        <w:tblPrEx>
          <w:tblCellMar>
            <w:top w:w="57" w:type="dxa"/>
            <w:bottom w:w="28" w:type="dxa"/>
          </w:tblCellMar>
        </w:tblPrEx>
        <w:tc>
          <w:tcPr>
            <w:tcW w:w="1728" w:type="dxa"/>
          </w:tcPr>
          <w:p w:rsidR="00D92EDE" w:rsidRDefault="00E14DAC">
            <w:pPr>
              <w:rPr>
                <w:rFonts w:ascii="Tahoma" w:hAnsi="Tahoma" w:cs="Tahoma"/>
                <w:sz w:val="20"/>
                <w:szCs w:val="20"/>
              </w:rPr>
            </w:pPr>
            <w:r w:rsidRPr="00E14DAC">
              <w:rPr>
                <w:rFonts w:ascii="Tahoma" w:hAnsi="Tahoma" w:cs="Tahoma"/>
                <w:sz w:val="20"/>
                <w:szCs w:val="20"/>
              </w:rPr>
              <w:t>Ministry of Health</w:t>
            </w:r>
            <w:r>
              <w:rPr>
                <w:rFonts w:ascii="Tahoma" w:hAnsi="Tahoma" w:cs="Tahoma"/>
                <w:sz w:val="20"/>
                <w:szCs w:val="20"/>
              </w:rPr>
              <w:t xml:space="preserve"> Data collection / pricing team</w:t>
            </w:r>
          </w:p>
        </w:tc>
        <w:tc>
          <w:tcPr>
            <w:tcW w:w="6120" w:type="dxa"/>
          </w:tcPr>
          <w:p w:rsidR="00D92EDE" w:rsidRDefault="00D92EDE">
            <w:pPr>
              <w:rPr>
                <w:rFonts w:ascii="Tahoma" w:hAnsi="Tahoma" w:cs="Tahoma"/>
                <w:sz w:val="20"/>
                <w:szCs w:val="20"/>
              </w:rPr>
            </w:pPr>
            <w:r>
              <w:rPr>
                <w:rFonts w:ascii="Tahoma" w:hAnsi="Tahoma" w:cs="Tahoma"/>
                <w:sz w:val="20"/>
                <w:szCs w:val="20"/>
              </w:rPr>
              <w:t>Forum for debate of national issues related to costing.</w:t>
            </w:r>
          </w:p>
          <w:p w:rsidR="00D92EDE" w:rsidRDefault="00D92EDE">
            <w:pPr>
              <w:rPr>
                <w:rFonts w:ascii="Tahoma" w:hAnsi="Tahoma" w:cs="Tahoma"/>
                <w:sz w:val="20"/>
                <w:szCs w:val="20"/>
              </w:rPr>
            </w:pPr>
            <w:r>
              <w:rPr>
                <w:rFonts w:ascii="Tahoma" w:hAnsi="Tahoma" w:cs="Tahoma"/>
                <w:sz w:val="20"/>
                <w:szCs w:val="20"/>
              </w:rPr>
              <w:t>Forum for knowledge sharing between DHBs and the Ministry.</w:t>
            </w:r>
          </w:p>
          <w:p w:rsidR="00D92EDE" w:rsidRDefault="00D92EDE">
            <w:pPr>
              <w:rPr>
                <w:rFonts w:ascii="Tahoma" w:hAnsi="Tahoma" w:cs="Tahoma"/>
                <w:sz w:val="20"/>
                <w:szCs w:val="20"/>
              </w:rPr>
            </w:pPr>
            <w:r>
              <w:rPr>
                <w:rFonts w:ascii="Tahoma" w:hAnsi="Tahoma" w:cs="Tahoma"/>
                <w:sz w:val="20"/>
                <w:szCs w:val="20"/>
              </w:rPr>
              <w:t>Sound, workable costing standards</w:t>
            </w:r>
            <w:r w:rsidR="002A0684">
              <w:rPr>
                <w:rFonts w:ascii="Tahoma" w:hAnsi="Tahoma" w:cs="Tahoma"/>
                <w:sz w:val="20"/>
                <w:szCs w:val="20"/>
              </w:rPr>
              <w:t xml:space="preserve"> and costing guidelines</w:t>
            </w:r>
            <w:r>
              <w:rPr>
                <w:rFonts w:ascii="Tahoma" w:hAnsi="Tahoma" w:cs="Tahoma"/>
                <w:sz w:val="20"/>
                <w:szCs w:val="20"/>
              </w:rPr>
              <w:t>.</w:t>
            </w:r>
          </w:p>
          <w:p w:rsidR="00D92EDE" w:rsidRDefault="00D92EDE" w:rsidP="002A0684">
            <w:pPr>
              <w:rPr>
                <w:rFonts w:ascii="Tahoma" w:hAnsi="Tahoma" w:cs="Tahoma"/>
                <w:sz w:val="20"/>
                <w:szCs w:val="20"/>
              </w:rPr>
            </w:pPr>
            <w:r>
              <w:rPr>
                <w:rFonts w:ascii="Tahoma" w:hAnsi="Tahoma" w:cs="Tahoma"/>
                <w:sz w:val="20"/>
                <w:szCs w:val="20"/>
              </w:rPr>
              <w:t>Formal communications on recommendations for annual updates to the Common Costing Standards.</w:t>
            </w:r>
          </w:p>
        </w:tc>
        <w:tc>
          <w:tcPr>
            <w:tcW w:w="6480" w:type="dxa"/>
          </w:tcPr>
          <w:p w:rsidR="00D92EDE" w:rsidRDefault="00D92EDE">
            <w:pPr>
              <w:rPr>
                <w:rFonts w:ascii="Tahoma" w:hAnsi="Tahoma" w:cs="Tahoma"/>
                <w:sz w:val="20"/>
                <w:szCs w:val="20"/>
              </w:rPr>
            </w:pPr>
            <w:r>
              <w:rPr>
                <w:rFonts w:ascii="Tahoma" w:hAnsi="Tahoma" w:cs="Tahoma"/>
                <w:sz w:val="20"/>
                <w:szCs w:val="20"/>
              </w:rPr>
              <w:t>Effective linkage between the Common Costing Group and the Ministry.</w:t>
            </w:r>
          </w:p>
          <w:p w:rsidR="00D92EDE" w:rsidRDefault="00D92EDE">
            <w:pPr>
              <w:rPr>
                <w:rFonts w:ascii="Tahoma" w:hAnsi="Tahoma" w:cs="Tahoma"/>
                <w:sz w:val="20"/>
                <w:szCs w:val="20"/>
              </w:rPr>
            </w:pPr>
            <w:r>
              <w:rPr>
                <w:rFonts w:ascii="Tahoma" w:hAnsi="Tahoma" w:cs="Tahoma"/>
                <w:sz w:val="20"/>
                <w:szCs w:val="20"/>
              </w:rPr>
              <w:t xml:space="preserve">Notice of national issues and relative priority in the work plans of the Common </w:t>
            </w:r>
            <w:r w:rsidR="002A0684">
              <w:rPr>
                <w:rFonts w:ascii="Tahoma" w:hAnsi="Tahoma" w:cs="Tahoma"/>
                <w:sz w:val="20"/>
                <w:szCs w:val="20"/>
              </w:rPr>
              <w:t>C</w:t>
            </w:r>
            <w:r>
              <w:rPr>
                <w:rFonts w:ascii="Tahoma" w:hAnsi="Tahoma" w:cs="Tahoma"/>
                <w:sz w:val="20"/>
                <w:szCs w:val="20"/>
              </w:rPr>
              <w:t>osting Group.</w:t>
            </w:r>
          </w:p>
          <w:p w:rsidR="00D92EDE" w:rsidRDefault="00D92EDE">
            <w:pPr>
              <w:rPr>
                <w:rFonts w:ascii="Tahoma" w:hAnsi="Tahoma" w:cs="Tahoma"/>
                <w:sz w:val="20"/>
                <w:szCs w:val="20"/>
              </w:rPr>
            </w:pPr>
            <w:r>
              <w:rPr>
                <w:rFonts w:ascii="Tahoma" w:hAnsi="Tahoma" w:cs="Tahoma"/>
                <w:sz w:val="20"/>
                <w:szCs w:val="20"/>
              </w:rPr>
              <w:t>Commitment of Ministry resources to complete the work plans, manage the groups and provide intellectual input into the work of the groups.</w:t>
            </w:r>
          </w:p>
          <w:p w:rsidR="002A0684" w:rsidRDefault="002A0684" w:rsidP="002A0684">
            <w:pPr>
              <w:rPr>
                <w:rFonts w:ascii="Tahoma" w:hAnsi="Tahoma" w:cs="Tahoma"/>
                <w:sz w:val="20"/>
                <w:szCs w:val="20"/>
              </w:rPr>
            </w:pPr>
            <w:r>
              <w:rPr>
                <w:rFonts w:ascii="Tahoma" w:hAnsi="Tahoma" w:cs="Tahoma"/>
                <w:sz w:val="20"/>
                <w:szCs w:val="20"/>
              </w:rPr>
              <w:t>Attendance at the Common Costing Group meetings</w:t>
            </w:r>
            <w:r w:rsidR="009A4CE7">
              <w:rPr>
                <w:rFonts w:ascii="Tahoma" w:hAnsi="Tahoma" w:cs="Tahoma"/>
                <w:sz w:val="20"/>
                <w:szCs w:val="20"/>
              </w:rPr>
              <w:t xml:space="preserve"> is expected.</w:t>
            </w:r>
          </w:p>
        </w:tc>
      </w:tr>
      <w:tr w:rsidR="00D92EDE">
        <w:tblPrEx>
          <w:tblCellMar>
            <w:top w:w="57" w:type="dxa"/>
            <w:bottom w:w="28" w:type="dxa"/>
          </w:tblCellMar>
        </w:tblPrEx>
        <w:tc>
          <w:tcPr>
            <w:tcW w:w="1728" w:type="dxa"/>
          </w:tcPr>
          <w:p w:rsidR="00D92EDE" w:rsidRDefault="009A4CE7" w:rsidP="00E14DAC">
            <w:pPr>
              <w:rPr>
                <w:rFonts w:ascii="Tahoma" w:hAnsi="Tahoma" w:cs="Tahoma"/>
                <w:sz w:val="20"/>
                <w:szCs w:val="20"/>
              </w:rPr>
            </w:pPr>
            <w:r>
              <w:rPr>
                <w:rFonts w:ascii="Tahoma" w:hAnsi="Tahoma" w:cs="Tahoma"/>
                <w:sz w:val="20"/>
                <w:szCs w:val="20"/>
              </w:rPr>
              <w:t>Common Counting Group</w:t>
            </w:r>
          </w:p>
        </w:tc>
        <w:tc>
          <w:tcPr>
            <w:tcW w:w="6120" w:type="dxa"/>
          </w:tcPr>
          <w:p w:rsidR="00E65375" w:rsidRDefault="00E65375" w:rsidP="00E65375">
            <w:pPr>
              <w:rPr>
                <w:rFonts w:ascii="Tahoma" w:hAnsi="Tahoma" w:cs="Tahoma"/>
                <w:sz w:val="20"/>
                <w:szCs w:val="20"/>
              </w:rPr>
            </w:pPr>
          </w:p>
        </w:tc>
        <w:tc>
          <w:tcPr>
            <w:tcW w:w="6480" w:type="dxa"/>
          </w:tcPr>
          <w:p w:rsidR="00E14DAC" w:rsidRDefault="00E14DAC" w:rsidP="00E14DAC">
            <w:pPr>
              <w:rPr>
                <w:rFonts w:ascii="Tahoma" w:hAnsi="Tahoma" w:cs="Tahoma"/>
                <w:sz w:val="20"/>
                <w:szCs w:val="20"/>
              </w:rPr>
            </w:pPr>
          </w:p>
        </w:tc>
      </w:tr>
    </w:tbl>
    <w:p w:rsidR="001A1D61" w:rsidRDefault="001A1D61">
      <w:pPr>
        <w:jc w:val="center"/>
        <w:rPr>
          <w:rFonts w:cs="Arial Mäori"/>
          <w:b/>
          <w:bCs/>
          <w:sz w:val="36"/>
        </w:rPr>
      </w:pPr>
    </w:p>
    <w:p w:rsidR="001A1D61" w:rsidRDefault="001A1D61">
      <w:pPr>
        <w:jc w:val="center"/>
        <w:rPr>
          <w:rFonts w:cs="Arial Mäori"/>
          <w:b/>
          <w:bCs/>
          <w:sz w:val="36"/>
        </w:rPr>
      </w:pPr>
    </w:p>
    <w:sectPr w:rsidR="001A1D61" w:rsidSect="001A1D61">
      <w:pgSz w:w="16838" w:h="11906"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58" w:rsidRDefault="00FF0058">
      <w:r>
        <w:separator/>
      </w:r>
    </w:p>
  </w:endnote>
  <w:endnote w:type="continuationSeparator" w:id="0">
    <w:p w:rsidR="00FF0058" w:rsidRDefault="00FF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C4" w:rsidRDefault="00034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D62" w:rsidRPr="001A26D1" w:rsidRDefault="00DF2A04">
    <w:pPr>
      <w:pStyle w:val="Footer"/>
      <w:rPr>
        <w:rFonts w:ascii="Arial Mäori" w:hAnsi="Arial Mäori" w:cs="Arial Mäori"/>
        <w:b/>
        <w:bCs/>
        <w:sz w:val="24"/>
        <w:lang w:val="en-US"/>
      </w:rPr>
    </w:pPr>
    <w:r>
      <w:rPr>
        <w:rFonts w:ascii="Arial Mäori" w:hAnsi="Arial Mäori" w:cs="Arial Mäori"/>
        <w:lang w:val="en-US"/>
      </w:rPr>
      <w:t>Costing Group terms of reference</w:t>
    </w:r>
    <w:r>
      <w:rPr>
        <w:rFonts w:ascii="Arial Mäori" w:hAnsi="Arial Mäori" w:cs="Arial Mäori"/>
        <w:lang w:val="en-US"/>
      </w:rPr>
      <w:tab/>
    </w:r>
    <w:r>
      <w:rPr>
        <w:rFonts w:ascii="Arial Mäori" w:hAnsi="Arial Mäori" w:cs="Arial Mäori"/>
        <w:lang w:val="en-US"/>
      </w:rPr>
      <w:tab/>
    </w:r>
    <w:r w:rsidR="00B36D62">
      <w:rPr>
        <w:rFonts w:ascii="Arial Mäori" w:hAnsi="Arial Mäori" w:cs="Arial Mäori"/>
        <w:lang w:val="en-US"/>
      </w:rPr>
      <w:t xml:space="preserve">Page </w:t>
    </w:r>
    <w:r w:rsidR="00B36D62">
      <w:rPr>
        <w:rFonts w:ascii="Arial Mäori" w:hAnsi="Arial Mäori" w:cs="Arial Mäori"/>
        <w:lang w:val="en-US"/>
      </w:rPr>
      <w:fldChar w:fldCharType="begin"/>
    </w:r>
    <w:r w:rsidR="00B36D62">
      <w:rPr>
        <w:rFonts w:ascii="Arial Mäori" w:hAnsi="Arial Mäori" w:cs="Arial Mäori"/>
        <w:lang w:val="en-US"/>
      </w:rPr>
      <w:instrText xml:space="preserve"> PAGE </w:instrText>
    </w:r>
    <w:r w:rsidR="00B36D62">
      <w:rPr>
        <w:rFonts w:ascii="Arial Mäori" w:hAnsi="Arial Mäori" w:cs="Arial Mäori"/>
        <w:lang w:val="en-US"/>
      </w:rPr>
      <w:fldChar w:fldCharType="separate"/>
    </w:r>
    <w:r w:rsidR="00125A83">
      <w:rPr>
        <w:rFonts w:ascii="Arial Mäori" w:hAnsi="Arial Mäori" w:cs="Arial Mäori"/>
        <w:noProof/>
        <w:lang w:val="en-US"/>
      </w:rPr>
      <w:t>7</w:t>
    </w:r>
    <w:r w:rsidR="00B36D62">
      <w:rPr>
        <w:rFonts w:ascii="Arial Mäori" w:hAnsi="Arial Mäori" w:cs="Arial Mäori"/>
        <w:lang w:val="en-US"/>
      </w:rPr>
      <w:fldChar w:fldCharType="end"/>
    </w:r>
    <w:r w:rsidR="00B36D62">
      <w:rPr>
        <w:rFonts w:ascii="Arial Mäori" w:hAnsi="Arial Mäori" w:cs="Arial Mäori"/>
        <w:lang w:val="en-US"/>
      </w:rPr>
      <w:t xml:space="preserve"> of </w:t>
    </w:r>
    <w:r w:rsidR="00B36D62">
      <w:rPr>
        <w:rFonts w:ascii="Arial Mäori" w:hAnsi="Arial Mäori" w:cs="Arial Mäori"/>
        <w:lang w:val="en-US"/>
      </w:rPr>
      <w:fldChar w:fldCharType="begin"/>
    </w:r>
    <w:r w:rsidR="00B36D62">
      <w:rPr>
        <w:rFonts w:ascii="Arial Mäori" w:hAnsi="Arial Mäori" w:cs="Arial Mäori"/>
        <w:lang w:val="en-US"/>
      </w:rPr>
      <w:instrText xml:space="preserve"> NUMPAGES </w:instrText>
    </w:r>
    <w:r w:rsidR="00B36D62">
      <w:rPr>
        <w:rFonts w:ascii="Arial Mäori" w:hAnsi="Arial Mäori" w:cs="Arial Mäori"/>
        <w:lang w:val="en-US"/>
      </w:rPr>
      <w:fldChar w:fldCharType="separate"/>
    </w:r>
    <w:r w:rsidR="00125A83">
      <w:rPr>
        <w:rFonts w:ascii="Arial Mäori" w:hAnsi="Arial Mäori" w:cs="Arial Mäori"/>
        <w:noProof/>
        <w:lang w:val="en-US"/>
      </w:rPr>
      <w:t>7</w:t>
    </w:r>
    <w:r w:rsidR="00B36D62">
      <w:rPr>
        <w:rFonts w:ascii="Arial Mäori" w:hAnsi="Arial Mäori" w:cs="Arial Mäori"/>
        <w:lang w:val="en-US"/>
      </w:rPr>
      <w:fldChar w:fldCharType="end"/>
    </w:r>
    <w:r w:rsidR="00B36D62">
      <w:rPr>
        <w:rFonts w:ascii="Arial Mäori" w:hAnsi="Arial Mäori" w:cs="Arial Mäori"/>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C4" w:rsidRDefault="00034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58" w:rsidRDefault="00FF0058">
      <w:r>
        <w:separator/>
      </w:r>
    </w:p>
  </w:footnote>
  <w:footnote w:type="continuationSeparator" w:id="0">
    <w:p w:rsidR="00FF0058" w:rsidRDefault="00FF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C4" w:rsidRDefault="00034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C4" w:rsidRDefault="00034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C4" w:rsidRDefault="00034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899"/>
    <w:multiLevelType w:val="hybridMultilevel"/>
    <w:tmpl w:val="D2DCF846"/>
    <w:lvl w:ilvl="0" w:tplc="449A2096">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68"/>
        </w:tabs>
        <w:ind w:left="-68" w:hanging="360"/>
      </w:pPr>
      <w:rPr>
        <w:rFonts w:ascii="Courier New" w:hAnsi="Courier New" w:hint="default"/>
      </w:rPr>
    </w:lvl>
    <w:lvl w:ilvl="2" w:tplc="04090005">
      <w:start w:val="1"/>
      <w:numFmt w:val="bullet"/>
      <w:lvlText w:val=""/>
      <w:lvlJc w:val="left"/>
      <w:pPr>
        <w:tabs>
          <w:tab w:val="num" w:pos="652"/>
        </w:tabs>
        <w:ind w:left="652" w:hanging="360"/>
      </w:pPr>
      <w:rPr>
        <w:rFonts w:ascii="Wingdings" w:hAnsi="Wingdings" w:hint="default"/>
      </w:rPr>
    </w:lvl>
    <w:lvl w:ilvl="3" w:tplc="04090001">
      <w:start w:val="1"/>
      <w:numFmt w:val="bullet"/>
      <w:lvlText w:val=""/>
      <w:lvlJc w:val="left"/>
      <w:pPr>
        <w:tabs>
          <w:tab w:val="num" w:pos="1372"/>
        </w:tabs>
        <w:ind w:left="1372" w:hanging="360"/>
      </w:pPr>
      <w:rPr>
        <w:rFonts w:ascii="Symbol" w:hAnsi="Symbol" w:hint="default"/>
      </w:rPr>
    </w:lvl>
    <w:lvl w:ilvl="4" w:tplc="04090003" w:tentative="1">
      <w:start w:val="1"/>
      <w:numFmt w:val="bullet"/>
      <w:lvlText w:val="o"/>
      <w:lvlJc w:val="left"/>
      <w:pPr>
        <w:tabs>
          <w:tab w:val="num" w:pos="2092"/>
        </w:tabs>
        <w:ind w:left="2092" w:hanging="360"/>
      </w:pPr>
      <w:rPr>
        <w:rFonts w:ascii="Courier New" w:hAnsi="Courier New" w:hint="default"/>
      </w:rPr>
    </w:lvl>
    <w:lvl w:ilvl="5" w:tplc="04090005" w:tentative="1">
      <w:start w:val="1"/>
      <w:numFmt w:val="bullet"/>
      <w:lvlText w:val=""/>
      <w:lvlJc w:val="left"/>
      <w:pPr>
        <w:tabs>
          <w:tab w:val="num" w:pos="2812"/>
        </w:tabs>
        <w:ind w:left="2812" w:hanging="360"/>
      </w:pPr>
      <w:rPr>
        <w:rFonts w:ascii="Wingdings" w:hAnsi="Wingdings" w:hint="default"/>
      </w:rPr>
    </w:lvl>
    <w:lvl w:ilvl="6" w:tplc="04090001" w:tentative="1">
      <w:start w:val="1"/>
      <w:numFmt w:val="bullet"/>
      <w:lvlText w:val=""/>
      <w:lvlJc w:val="left"/>
      <w:pPr>
        <w:tabs>
          <w:tab w:val="num" w:pos="3532"/>
        </w:tabs>
        <w:ind w:left="3532" w:hanging="360"/>
      </w:pPr>
      <w:rPr>
        <w:rFonts w:ascii="Symbol" w:hAnsi="Symbol" w:hint="default"/>
      </w:rPr>
    </w:lvl>
    <w:lvl w:ilvl="7" w:tplc="04090003" w:tentative="1">
      <w:start w:val="1"/>
      <w:numFmt w:val="bullet"/>
      <w:lvlText w:val="o"/>
      <w:lvlJc w:val="left"/>
      <w:pPr>
        <w:tabs>
          <w:tab w:val="num" w:pos="4252"/>
        </w:tabs>
        <w:ind w:left="4252" w:hanging="360"/>
      </w:pPr>
      <w:rPr>
        <w:rFonts w:ascii="Courier New" w:hAnsi="Courier New" w:hint="default"/>
      </w:rPr>
    </w:lvl>
    <w:lvl w:ilvl="8" w:tplc="04090005" w:tentative="1">
      <w:start w:val="1"/>
      <w:numFmt w:val="bullet"/>
      <w:lvlText w:val=""/>
      <w:lvlJc w:val="left"/>
      <w:pPr>
        <w:tabs>
          <w:tab w:val="num" w:pos="4972"/>
        </w:tabs>
        <w:ind w:left="4972" w:hanging="360"/>
      </w:pPr>
      <w:rPr>
        <w:rFonts w:ascii="Wingdings" w:hAnsi="Wingdings" w:hint="default"/>
      </w:rPr>
    </w:lvl>
  </w:abstractNum>
  <w:abstractNum w:abstractNumId="1" w15:restartNumberingAfterBreak="0">
    <w:nsid w:val="01C805D7"/>
    <w:multiLevelType w:val="hybridMultilevel"/>
    <w:tmpl w:val="8266ECA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655846"/>
    <w:multiLevelType w:val="hybridMultilevel"/>
    <w:tmpl w:val="83F027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D429E5"/>
    <w:multiLevelType w:val="hybridMultilevel"/>
    <w:tmpl w:val="F0D6F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5855CB"/>
    <w:multiLevelType w:val="hybridMultilevel"/>
    <w:tmpl w:val="27820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028ED"/>
    <w:multiLevelType w:val="hybridMultilevel"/>
    <w:tmpl w:val="79263C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E3DF9"/>
    <w:multiLevelType w:val="hybridMultilevel"/>
    <w:tmpl w:val="9B78D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06466"/>
    <w:multiLevelType w:val="hybridMultilevel"/>
    <w:tmpl w:val="D3E6C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A95AD7"/>
    <w:multiLevelType w:val="hybridMultilevel"/>
    <w:tmpl w:val="79902082"/>
    <w:lvl w:ilvl="0" w:tplc="E5F6B208">
      <w:start w:val="1"/>
      <w:numFmt w:val="decimal"/>
      <w:pStyle w:val="AppendixHeading"/>
      <w:lvlText w:val="%1."/>
      <w:lvlJc w:val="left"/>
      <w:pPr>
        <w:tabs>
          <w:tab w:val="num" w:pos="1305"/>
        </w:tabs>
        <w:ind w:left="1305" w:hanging="454"/>
      </w:pPr>
      <w:rPr>
        <w:rFonts w:hint="default"/>
      </w:rPr>
    </w:lvl>
    <w:lvl w:ilvl="1" w:tplc="04090019" w:tentative="1">
      <w:start w:val="1"/>
      <w:numFmt w:val="lowerLetter"/>
      <w:lvlText w:val="%2."/>
      <w:lvlJc w:val="left"/>
      <w:pPr>
        <w:tabs>
          <w:tab w:val="num" w:pos="2767"/>
        </w:tabs>
        <w:ind w:left="2767" w:hanging="360"/>
      </w:pPr>
    </w:lvl>
    <w:lvl w:ilvl="2" w:tplc="0409001B" w:tentative="1">
      <w:start w:val="1"/>
      <w:numFmt w:val="lowerRoman"/>
      <w:lvlText w:val="%3."/>
      <w:lvlJc w:val="right"/>
      <w:pPr>
        <w:tabs>
          <w:tab w:val="num" w:pos="3487"/>
        </w:tabs>
        <w:ind w:left="3487" w:hanging="180"/>
      </w:pPr>
    </w:lvl>
    <w:lvl w:ilvl="3" w:tplc="0409000F" w:tentative="1">
      <w:start w:val="1"/>
      <w:numFmt w:val="decimal"/>
      <w:lvlText w:val="%4."/>
      <w:lvlJc w:val="left"/>
      <w:pPr>
        <w:tabs>
          <w:tab w:val="num" w:pos="4207"/>
        </w:tabs>
        <w:ind w:left="4207" w:hanging="360"/>
      </w:pPr>
    </w:lvl>
    <w:lvl w:ilvl="4" w:tplc="04090019" w:tentative="1">
      <w:start w:val="1"/>
      <w:numFmt w:val="lowerLetter"/>
      <w:lvlText w:val="%5."/>
      <w:lvlJc w:val="left"/>
      <w:pPr>
        <w:tabs>
          <w:tab w:val="num" w:pos="4927"/>
        </w:tabs>
        <w:ind w:left="4927" w:hanging="360"/>
      </w:pPr>
    </w:lvl>
    <w:lvl w:ilvl="5" w:tplc="0409001B" w:tentative="1">
      <w:start w:val="1"/>
      <w:numFmt w:val="lowerRoman"/>
      <w:lvlText w:val="%6."/>
      <w:lvlJc w:val="right"/>
      <w:pPr>
        <w:tabs>
          <w:tab w:val="num" w:pos="5647"/>
        </w:tabs>
        <w:ind w:left="5647" w:hanging="180"/>
      </w:pPr>
    </w:lvl>
    <w:lvl w:ilvl="6" w:tplc="0409000F" w:tentative="1">
      <w:start w:val="1"/>
      <w:numFmt w:val="decimal"/>
      <w:lvlText w:val="%7."/>
      <w:lvlJc w:val="left"/>
      <w:pPr>
        <w:tabs>
          <w:tab w:val="num" w:pos="6367"/>
        </w:tabs>
        <w:ind w:left="6367" w:hanging="360"/>
      </w:pPr>
    </w:lvl>
    <w:lvl w:ilvl="7" w:tplc="04090019" w:tentative="1">
      <w:start w:val="1"/>
      <w:numFmt w:val="lowerLetter"/>
      <w:lvlText w:val="%8."/>
      <w:lvlJc w:val="left"/>
      <w:pPr>
        <w:tabs>
          <w:tab w:val="num" w:pos="7087"/>
        </w:tabs>
        <w:ind w:left="7087" w:hanging="360"/>
      </w:pPr>
    </w:lvl>
    <w:lvl w:ilvl="8" w:tplc="0409001B" w:tentative="1">
      <w:start w:val="1"/>
      <w:numFmt w:val="lowerRoman"/>
      <w:lvlText w:val="%9."/>
      <w:lvlJc w:val="right"/>
      <w:pPr>
        <w:tabs>
          <w:tab w:val="num" w:pos="7807"/>
        </w:tabs>
        <w:ind w:left="7807" w:hanging="180"/>
      </w:pPr>
    </w:lvl>
  </w:abstractNum>
  <w:abstractNum w:abstractNumId="9" w15:restartNumberingAfterBreak="0">
    <w:nsid w:val="2ABF14B8"/>
    <w:multiLevelType w:val="hybridMultilevel"/>
    <w:tmpl w:val="F43AE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16D96"/>
    <w:multiLevelType w:val="hybridMultilevel"/>
    <w:tmpl w:val="A5009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3459F"/>
    <w:multiLevelType w:val="hybridMultilevel"/>
    <w:tmpl w:val="4A2C0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83B2F"/>
    <w:multiLevelType w:val="hybridMultilevel"/>
    <w:tmpl w:val="9A6E16D8"/>
    <w:lvl w:ilvl="0" w:tplc="14090001">
      <w:start w:val="1"/>
      <w:numFmt w:val="bullet"/>
      <w:lvlText w:val=""/>
      <w:lvlJc w:val="left"/>
      <w:pPr>
        <w:tabs>
          <w:tab w:val="num" w:pos="720"/>
        </w:tabs>
        <w:ind w:left="720" w:hanging="360"/>
      </w:pPr>
      <w:rPr>
        <w:rFonts w:ascii="Symbol" w:hAnsi="Symbol" w:hint="default"/>
      </w:rPr>
    </w:lvl>
    <w:lvl w:ilvl="1" w:tplc="1F2AE080" w:tentative="1">
      <w:start w:val="1"/>
      <w:numFmt w:val="bullet"/>
      <w:lvlText w:val=""/>
      <w:lvlJc w:val="left"/>
      <w:pPr>
        <w:tabs>
          <w:tab w:val="num" w:pos="1440"/>
        </w:tabs>
        <w:ind w:left="1440" w:hanging="360"/>
      </w:pPr>
      <w:rPr>
        <w:rFonts w:ascii="Wingdings" w:hAnsi="Wingdings" w:hint="default"/>
      </w:rPr>
    </w:lvl>
    <w:lvl w:ilvl="2" w:tplc="1CDC7448" w:tentative="1">
      <w:start w:val="1"/>
      <w:numFmt w:val="bullet"/>
      <w:lvlText w:val=""/>
      <w:lvlJc w:val="left"/>
      <w:pPr>
        <w:tabs>
          <w:tab w:val="num" w:pos="2160"/>
        </w:tabs>
        <w:ind w:left="2160" w:hanging="360"/>
      </w:pPr>
      <w:rPr>
        <w:rFonts w:ascii="Wingdings" w:hAnsi="Wingdings" w:hint="default"/>
      </w:rPr>
    </w:lvl>
    <w:lvl w:ilvl="3" w:tplc="63C854D4" w:tentative="1">
      <w:start w:val="1"/>
      <w:numFmt w:val="bullet"/>
      <w:lvlText w:val=""/>
      <w:lvlJc w:val="left"/>
      <w:pPr>
        <w:tabs>
          <w:tab w:val="num" w:pos="2880"/>
        </w:tabs>
        <w:ind w:left="2880" w:hanging="360"/>
      </w:pPr>
      <w:rPr>
        <w:rFonts w:ascii="Wingdings" w:hAnsi="Wingdings" w:hint="default"/>
      </w:rPr>
    </w:lvl>
    <w:lvl w:ilvl="4" w:tplc="ADFE540C" w:tentative="1">
      <w:start w:val="1"/>
      <w:numFmt w:val="bullet"/>
      <w:lvlText w:val=""/>
      <w:lvlJc w:val="left"/>
      <w:pPr>
        <w:tabs>
          <w:tab w:val="num" w:pos="3600"/>
        </w:tabs>
        <w:ind w:left="3600" w:hanging="360"/>
      </w:pPr>
      <w:rPr>
        <w:rFonts w:ascii="Wingdings" w:hAnsi="Wingdings" w:hint="default"/>
      </w:rPr>
    </w:lvl>
    <w:lvl w:ilvl="5" w:tplc="9FDA0E42" w:tentative="1">
      <w:start w:val="1"/>
      <w:numFmt w:val="bullet"/>
      <w:lvlText w:val=""/>
      <w:lvlJc w:val="left"/>
      <w:pPr>
        <w:tabs>
          <w:tab w:val="num" w:pos="4320"/>
        </w:tabs>
        <w:ind w:left="4320" w:hanging="360"/>
      </w:pPr>
      <w:rPr>
        <w:rFonts w:ascii="Wingdings" w:hAnsi="Wingdings" w:hint="default"/>
      </w:rPr>
    </w:lvl>
    <w:lvl w:ilvl="6" w:tplc="4C6A053A" w:tentative="1">
      <w:start w:val="1"/>
      <w:numFmt w:val="bullet"/>
      <w:lvlText w:val=""/>
      <w:lvlJc w:val="left"/>
      <w:pPr>
        <w:tabs>
          <w:tab w:val="num" w:pos="5040"/>
        </w:tabs>
        <w:ind w:left="5040" w:hanging="360"/>
      </w:pPr>
      <w:rPr>
        <w:rFonts w:ascii="Wingdings" w:hAnsi="Wingdings" w:hint="default"/>
      </w:rPr>
    </w:lvl>
    <w:lvl w:ilvl="7" w:tplc="041051E2" w:tentative="1">
      <w:start w:val="1"/>
      <w:numFmt w:val="bullet"/>
      <w:lvlText w:val=""/>
      <w:lvlJc w:val="left"/>
      <w:pPr>
        <w:tabs>
          <w:tab w:val="num" w:pos="5760"/>
        </w:tabs>
        <w:ind w:left="5760" w:hanging="360"/>
      </w:pPr>
      <w:rPr>
        <w:rFonts w:ascii="Wingdings" w:hAnsi="Wingdings" w:hint="default"/>
      </w:rPr>
    </w:lvl>
    <w:lvl w:ilvl="8" w:tplc="C8F4BE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834B8"/>
    <w:multiLevelType w:val="hybridMultilevel"/>
    <w:tmpl w:val="10B2CD30"/>
    <w:lvl w:ilvl="0" w:tplc="6ECA9F1C">
      <w:start w:val="1"/>
      <w:numFmt w:val="bullet"/>
      <w:pStyle w:val="BulletPoint"/>
      <w:lvlText w:val=""/>
      <w:lvlJc w:val="left"/>
      <w:pPr>
        <w:tabs>
          <w:tab w:val="num" w:pos="1684"/>
        </w:tabs>
        <w:ind w:left="1684" w:hanging="360"/>
      </w:pPr>
      <w:rPr>
        <w:rFonts w:ascii="Symbol" w:hAnsi="Symbol" w:hint="default"/>
        <w:color w:val="auto"/>
      </w:rPr>
    </w:lvl>
    <w:lvl w:ilvl="1" w:tplc="04090001">
      <w:start w:val="1"/>
      <w:numFmt w:val="bullet"/>
      <w:lvlText w:val=""/>
      <w:lvlJc w:val="left"/>
      <w:pPr>
        <w:tabs>
          <w:tab w:val="num" w:pos="2404"/>
        </w:tabs>
        <w:ind w:left="2404" w:hanging="360"/>
      </w:pPr>
      <w:rPr>
        <w:rFonts w:ascii="Symbol" w:hAnsi="Symbol"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14" w15:restartNumberingAfterBreak="0">
    <w:nsid w:val="40203AB9"/>
    <w:multiLevelType w:val="multilevel"/>
    <w:tmpl w:val="8C54FA92"/>
    <w:lvl w:ilvl="0">
      <w:start w:val="1"/>
      <w:numFmt w:val="decimal"/>
      <w:pStyle w:val="Heading1"/>
      <w:lvlText w:val="%1.0"/>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4%1.%2.%3..%5"/>
      <w:lvlJc w:val="left"/>
      <w:pPr>
        <w:tabs>
          <w:tab w:val="num" w:pos="180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2EC1A22"/>
    <w:multiLevelType w:val="hybridMultilevel"/>
    <w:tmpl w:val="9864D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43434"/>
    <w:multiLevelType w:val="hybridMultilevel"/>
    <w:tmpl w:val="BE847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02F88"/>
    <w:multiLevelType w:val="hybridMultilevel"/>
    <w:tmpl w:val="4A02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3713A"/>
    <w:multiLevelType w:val="hybridMultilevel"/>
    <w:tmpl w:val="369EC7DC"/>
    <w:lvl w:ilvl="0" w:tplc="BD607C62">
      <w:start w:val="1"/>
      <w:numFmt w:val="bullet"/>
      <w:lvlText w:val="-"/>
      <w:lvlJc w:val="left"/>
      <w:pPr>
        <w:tabs>
          <w:tab w:val="num" w:pos="720"/>
        </w:tabs>
        <w:ind w:left="720" w:hanging="360"/>
      </w:pPr>
      <w:rPr>
        <w:rFonts w:ascii="Times New Roman" w:hAnsi="Times New Roman" w:hint="default"/>
      </w:rPr>
    </w:lvl>
    <w:lvl w:ilvl="1" w:tplc="4D10CFBA" w:tentative="1">
      <w:start w:val="1"/>
      <w:numFmt w:val="bullet"/>
      <w:lvlText w:val="-"/>
      <w:lvlJc w:val="left"/>
      <w:pPr>
        <w:tabs>
          <w:tab w:val="num" w:pos="1440"/>
        </w:tabs>
        <w:ind w:left="1440" w:hanging="360"/>
      </w:pPr>
      <w:rPr>
        <w:rFonts w:ascii="Times New Roman" w:hAnsi="Times New Roman" w:hint="default"/>
      </w:rPr>
    </w:lvl>
    <w:lvl w:ilvl="2" w:tplc="8BD62B46" w:tentative="1">
      <w:start w:val="1"/>
      <w:numFmt w:val="bullet"/>
      <w:lvlText w:val="-"/>
      <w:lvlJc w:val="left"/>
      <w:pPr>
        <w:tabs>
          <w:tab w:val="num" w:pos="2160"/>
        </w:tabs>
        <w:ind w:left="2160" w:hanging="360"/>
      </w:pPr>
      <w:rPr>
        <w:rFonts w:ascii="Times New Roman" w:hAnsi="Times New Roman" w:hint="default"/>
      </w:rPr>
    </w:lvl>
    <w:lvl w:ilvl="3" w:tplc="A6ACAE54" w:tentative="1">
      <w:start w:val="1"/>
      <w:numFmt w:val="bullet"/>
      <w:lvlText w:val="-"/>
      <w:lvlJc w:val="left"/>
      <w:pPr>
        <w:tabs>
          <w:tab w:val="num" w:pos="2880"/>
        </w:tabs>
        <w:ind w:left="2880" w:hanging="360"/>
      </w:pPr>
      <w:rPr>
        <w:rFonts w:ascii="Times New Roman" w:hAnsi="Times New Roman" w:hint="default"/>
      </w:rPr>
    </w:lvl>
    <w:lvl w:ilvl="4" w:tplc="6464B6D8" w:tentative="1">
      <w:start w:val="1"/>
      <w:numFmt w:val="bullet"/>
      <w:lvlText w:val="-"/>
      <w:lvlJc w:val="left"/>
      <w:pPr>
        <w:tabs>
          <w:tab w:val="num" w:pos="3600"/>
        </w:tabs>
        <w:ind w:left="3600" w:hanging="360"/>
      </w:pPr>
      <w:rPr>
        <w:rFonts w:ascii="Times New Roman" w:hAnsi="Times New Roman" w:hint="default"/>
      </w:rPr>
    </w:lvl>
    <w:lvl w:ilvl="5" w:tplc="17A2DF58" w:tentative="1">
      <w:start w:val="1"/>
      <w:numFmt w:val="bullet"/>
      <w:lvlText w:val="-"/>
      <w:lvlJc w:val="left"/>
      <w:pPr>
        <w:tabs>
          <w:tab w:val="num" w:pos="4320"/>
        </w:tabs>
        <w:ind w:left="4320" w:hanging="360"/>
      </w:pPr>
      <w:rPr>
        <w:rFonts w:ascii="Times New Roman" w:hAnsi="Times New Roman" w:hint="default"/>
      </w:rPr>
    </w:lvl>
    <w:lvl w:ilvl="6" w:tplc="D056F5EA" w:tentative="1">
      <w:start w:val="1"/>
      <w:numFmt w:val="bullet"/>
      <w:lvlText w:val="-"/>
      <w:lvlJc w:val="left"/>
      <w:pPr>
        <w:tabs>
          <w:tab w:val="num" w:pos="5040"/>
        </w:tabs>
        <w:ind w:left="5040" w:hanging="360"/>
      </w:pPr>
      <w:rPr>
        <w:rFonts w:ascii="Times New Roman" w:hAnsi="Times New Roman" w:hint="default"/>
      </w:rPr>
    </w:lvl>
    <w:lvl w:ilvl="7" w:tplc="D2F21176" w:tentative="1">
      <w:start w:val="1"/>
      <w:numFmt w:val="bullet"/>
      <w:lvlText w:val="-"/>
      <w:lvlJc w:val="left"/>
      <w:pPr>
        <w:tabs>
          <w:tab w:val="num" w:pos="5760"/>
        </w:tabs>
        <w:ind w:left="5760" w:hanging="360"/>
      </w:pPr>
      <w:rPr>
        <w:rFonts w:ascii="Times New Roman" w:hAnsi="Times New Roman" w:hint="default"/>
      </w:rPr>
    </w:lvl>
    <w:lvl w:ilvl="8" w:tplc="51E8AB1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CE1DBE"/>
    <w:multiLevelType w:val="hybridMultilevel"/>
    <w:tmpl w:val="4D9A8A10"/>
    <w:lvl w:ilvl="0" w:tplc="2A3A7FC4">
      <w:start w:val="1"/>
      <w:numFmt w:val="bullet"/>
      <w:lvlText w:val=""/>
      <w:lvlJc w:val="left"/>
      <w:pPr>
        <w:tabs>
          <w:tab w:val="num" w:pos="720"/>
        </w:tabs>
        <w:ind w:left="720" w:hanging="360"/>
      </w:pPr>
      <w:rPr>
        <w:rFonts w:ascii="Wingdings" w:hAnsi="Wingdings" w:hint="default"/>
      </w:rPr>
    </w:lvl>
    <w:lvl w:ilvl="1" w:tplc="1F2AE080" w:tentative="1">
      <w:start w:val="1"/>
      <w:numFmt w:val="bullet"/>
      <w:lvlText w:val=""/>
      <w:lvlJc w:val="left"/>
      <w:pPr>
        <w:tabs>
          <w:tab w:val="num" w:pos="1440"/>
        </w:tabs>
        <w:ind w:left="1440" w:hanging="360"/>
      </w:pPr>
      <w:rPr>
        <w:rFonts w:ascii="Wingdings" w:hAnsi="Wingdings" w:hint="default"/>
      </w:rPr>
    </w:lvl>
    <w:lvl w:ilvl="2" w:tplc="1CDC7448" w:tentative="1">
      <w:start w:val="1"/>
      <w:numFmt w:val="bullet"/>
      <w:lvlText w:val=""/>
      <w:lvlJc w:val="left"/>
      <w:pPr>
        <w:tabs>
          <w:tab w:val="num" w:pos="2160"/>
        </w:tabs>
        <w:ind w:left="2160" w:hanging="360"/>
      </w:pPr>
      <w:rPr>
        <w:rFonts w:ascii="Wingdings" w:hAnsi="Wingdings" w:hint="default"/>
      </w:rPr>
    </w:lvl>
    <w:lvl w:ilvl="3" w:tplc="63C854D4" w:tentative="1">
      <w:start w:val="1"/>
      <w:numFmt w:val="bullet"/>
      <w:lvlText w:val=""/>
      <w:lvlJc w:val="left"/>
      <w:pPr>
        <w:tabs>
          <w:tab w:val="num" w:pos="2880"/>
        </w:tabs>
        <w:ind w:left="2880" w:hanging="360"/>
      </w:pPr>
      <w:rPr>
        <w:rFonts w:ascii="Wingdings" w:hAnsi="Wingdings" w:hint="default"/>
      </w:rPr>
    </w:lvl>
    <w:lvl w:ilvl="4" w:tplc="ADFE540C" w:tentative="1">
      <w:start w:val="1"/>
      <w:numFmt w:val="bullet"/>
      <w:lvlText w:val=""/>
      <w:lvlJc w:val="left"/>
      <w:pPr>
        <w:tabs>
          <w:tab w:val="num" w:pos="3600"/>
        </w:tabs>
        <w:ind w:left="3600" w:hanging="360"/>
      </w:pPr>
      <w:rPr>
        <w:rFonts w:ascii="Wingdings" w:hAnsi="Wingdings" w:hint="default"/>
      </w:rPr>
    </w:lvl>
    <w:lvl w:ilvl="5" w:tplc="9FDA0E42" w:tentative="1">
      <w:start w:val="1"/>
      <w:numFmt w:val="bullet"/>
      <w:lvlText w:val=""/>
      <w:lvlJc w:val="left"/>
      <w:pPr>
        <w:tabs>
          <w:tab w:val="num" w:pos="4320"/>
        </w:tabs>
        <w:ind w:left="4320" w:hanging="360"/>
      </w:pPr>
      <w:rPr>
        <w:rFonts w:ascii="Wingdings" w:hAnsi="Wingdings" w:hint="default"/>
      </w:rPr>
    </w:lvl>
    <w:lvl w:ilvl="6" w:tplc="4C6A053A" w:tentative="1">
      <w:start w:val="1"/>
      <w:numFmt w:val="bullet"/>
      <w:lvlText w:val=""/>
      <w:lvlJc w:val="left"/>
      <w:pPr>
        <w:tabs>
          <w:tab w:val="num" w:pos="5040"/>
        </w:tabs>
        <w:ind w:left="5040" w:hanging="360"/>
      </w:pPr>
      <w:rPr>
        <w:rFonts w:ascii="Wingdings" w:hAnsi="Wingdings" w:hint="default"/>
      </w:rPr>
    </w:lvl>
    <w:lvl w:ilvl="7" w:tplc="041051E2" w:tentative="1">
      <w:start w:val="1"/>
      <w:numFmt w:val="bullet"/>
      <w:lvlText w:val=""/>
      <w:lvlJc w:val="left"/>
      <w:pPr>
        <w:tabs>
          <w:tab w:val="num" w:pos="5760"/>
        </w:tabs>
        <w:ind w:left="5760" w:hanging="360"/>
      </w:pPr>
      <w:rPr>
        <w:rFonts w:ascii="Wingdings" w:hAnsi="Wingdings" w:hint="default"/>
      </w:rPr>
    </w:lvl>
    <w:lvl w:ilvl="8" w:tplc="C8F4BE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F3183"/>
    <w:multiLevelType w:val="hybridMultilevel"/>
    <w:tmpl w:val="4C62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65278"/>
    <w:multiLevelType w:val="hybridMultilevel"/>
    <w:tmpl w:val="019650AA"/>
    <w:lvl w:ilvl="0" w:tplc="E918E812">
      <w:start w:val="1"/>
      <w:numFmt w:val="bullet"/>
      <w:lvlText w:val=""/>
      <w:lvlJc w:val="left"/>
      <w:pPr>
        <w:tabs>
          <w:tab w:val="num" w:pos="720"/>
        </w:tabs>
        <w:ind w:left="720" w:hanging="360"/>
      </w:pPr>
      <w:rPr>
        <w:rFonts w:ascii="Wingdings" w:hAnsi="Wingdings" w:hint="default"/>
      </w:rPr>
    </w:lvl>
    <w:lvl w:ilvl="1" w:tplc="994EC8FE" w:tentative="1">
      <w:start w:val="1"/>
      <w:numFmt w:val="bullet"/>
      <w:lvlText w:val=""/>
      <w:lvlJc w:val="left"/>
      <w:pPr>
        <w:tabs>
          <w:tab w:val="num" w:pos="1440"/>
        </w:tabs>
        <w:ind w:left="1440" w:hanging="360"/>
      </w:pPr>
      <w:rPr>
        <w:rFonts w:ascii="Wingdings" w:hAnsi="Wingdings" w:hint="default"/>
      </w:rPr>
    </w:lvl>
    <w:lvl w:ilvl="2" w:tplc="37F64828" w:tentative="1">
      <w:start w:val="1"/>
      <w:numFmt w:val="bullet"/>
      <w:lvlText w:val=""/>
      <w:lvlJc w:val="left"/>
      <w:pPr>
        <w:tabs>
          <w:tab w:val="num" w:pos="2160"/>
        </w:tabs>
        <w:ind w:left="2160" w:hanging="360"/>
      </w:pPr>
      <w:rPr>
        <w:rFonts w:ascii="Wingdings" w:hAnsi="Wingdings" w:hint="default"/>
      </w:rPr>
    </w:lvl>
    <w:lvl w:ilvl="3" w:tplc="86120470" w:tentative="1">
      <w:start w:val="1"/>
      <w:numFmt w:val="bullet"/>
      <w:lvlText w:val=""/>
      <w:lvlJc w:val="left"/>
      <w:pPr>
        <w:tabs>
          <w:tab w:val="num" w:pos="2880"/>
        </w:tabs>
        <w:ind w:left="2880" w:hanging="360"/>
      </w:pPr>
      <w:rPr>
        <w:rFonts w:ascii="Wingdings" w:hAnsi="Wingdings" w:hint="default"/>
      </w:rPr>
    </w:lvl>
    <w:lvl w:ilvl="4" w:tplc="9FF4C01A" w:tentative="1">
      <w:start w:val="1"/>
      <w:numFmt w:val="bullet"/>
      <w:lvlText w:val=""/>
      <w:lvlJc w:val="left"/>
      <w:pPr>
        <w:tabs>
          <w:tab w:val="num" w:pos="3600"/>
        </w:tabs>
        <w:ind w:left="3600" w:hanging="360"/>
      </w:pPr>
      <w:rPr>
        <w:rFonts w:ascii="Wingdings" w:hAnsi="Wingdings" w:hint="default"/>
      </w:rPr>
    </w:lvl>
    <w:lvl w:ilvl="5" w:tplc="3E34D450" w:tentative="1">
      <w:start w:val="1"/>
      <w:numFmt w:val="bullet"/>
      <w:lvlText w:val=""/>
      <w:lvlJc w:val="left"/>
      <w:pPr>
        <w:tabs>
          <w:tab w:val="num" w:pos="4320"/>
        </w:tabs>
        <w:ind w:left="4320" w:hanging="360"/>
      </w:pPr>
      <w:rPr>
        <w:rFonts w:ascii="Wingdings" w:hAnsi="Wingdings" w:hint="default"/>
      </w:rPr>
    </w:lvl>
    <w:lvl w:ilvl="6" w:tplc="9768FEE2" w:tentative="1">
      <w:start w:val="1"/>
      <w:numFmt w:val="bullet"/>
      <w:lvlText w:val=""/>
      <w:lvlJc w:val="left"/>
      <w:pPr>
        <w:tabs>
          <w:tab w:val="num" w:pos="5040"/>
        </w:tabs>
        <w:ind w:left="5040" w:hanging="360"/>
      </w:pPr>
      <w:rPr>
        <w:rFonts w:ascii="Wingdings" w:hAnsi="Wingdings" w:hint="default"/>
      </w:rPr>
    </w:lvl>
    <w:lvl w:ilvl="7" w:tplc="AE5A2114" w:tentative="1">
      <w:start w:val="1"/>
      <w:numFmt w:val="bullet"/>
      <w:lvlText w:val=""/>
      <w:lvlJc w:val="left"/>
      <w:pPr>
        <w:tabs>
          <w:tab w:val="num" w:pos="5760"/>
        </w:tabs>
        <w:ind w:left="5760" w:hanging="360"/>
      </w:pPr>
      <w:rPr>
        <w:rFonts w:ascii="Wingdings" w:hAnsi="Wingdings" w:hint="default"/>
      </w:rPr>
    </w:lvl>
    <w:lvl w:ilvl="8" w:tplc="512A42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793221"/>
    <w:multiLevelType w:val="hybridMultilevel"/>
    <w:tmpl w:val="9F620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34899"/>
    <w:multiLevelType w:val="hybridMultilevel"/>
    <w:tmpl w:val="0B725082"/>
    <w:lvl w:ilvl="0" w:tplc="1ED097F0">
      <w:start w:val="1"/>
      <w:numFmt w:val="bullet"/>
      <w:pStyle w:val="BulletIndent"/>
      <w:lvlText w:val="-"/>
      <w:lvlJc w:val="left"/>
      <w:pPr>
        <w:tabs>
          <w:tab w:val="num" w:pos="360"/>
        </w:tabs>
        <w:ind w:left="283" w:hanging="283"/>
      </w:pPr>
      <w:rPr>
        <w:rFonts w:hAnsi="Arial Mäori" w:hint="default"/>
      </w:rPr>
    </w:lvl>
    <w:lvl w:ilvl="1" w:tplc="04090003">
      <w:start w:val="1"/>
      <w:numFmt w:val="bullet"/>
      <w:lvlText w:val="o"/>
      <w:lvlJc w:val="left"/>
      <w:pPr>
        <w:tabs>
          <w:tab w:val="num" w:pos="-91"/>
        </w:tabs>
        <w:ind w:left="-91" w:hanging="360"/>
      </w:pPr>
      <w:rPr>
        <w:rFonts w:ascii="Courier New" w:hAnsi="Courier New" w:hint="default"/>
      </w:rPr>
    </w:lvl>
    <w:lvl w:ilvl="2" w:tplc="04090005">
      <w:start w:val="1"/>
      <w:numFmt w:val="bullet"/>
      <w:lvlText w:val=""/>
      <w:lvlJc w:val="left"/>
      <w:pPr>
        <w:tabs>
          <w:tab w:val="num" w:pos="629"/>
        </w:tabs>
        <w:ind w:left="629" w:hanging="360"/>
      </w:pPr>
      <w:rPr>
        <w:rFonts w:ascii="Wingdings" w:hAnsi="Wingdings" w:hint="default"/>
      </w:rPr>
    </w:lvl>
    <w:lvl w:ilvl="3" w:tplc="04090001">
      <w:start w:val="1"/>
      <w:numFmt w:val="bullet"/>
      <w:lvlText w:val=""/>
      <w:lvlJc w:val="left"/>
      <w:pPr>
        <w:tabs>
          <w:tab w:val="num" w:pos="1349"/>
        </w:tabs>
        <w:ind w:left="1349" w:hanging="360"/>
      </w:pPr>
      <w:rPr>
        <w:rFonts w:ascii="Symbol" w:hAnsi="Symbol" w:hint="default"/>
      </w:rPr>
    </w:lvl>
    <w:lvl w:ilvl="4" w:tplc="04090003">
      <w:start w:val="1"/>
      <w:numFmt w:val="bullet"/>
      <w:lvlText w:val="o"/>
      <w:lvlJc w:val="left"/>
      <w:pPr>
        <w:tabs>
          <w:tab w:val="num" w:pos="2069"/>
        </w:tabs>
        <w:ind w:left="2069" w:hanging="360"/>
      </w:pPr>
      <w:rPr>
        <w:rFonts w:ascii="Courier New" w:hAnsi="Courier New" w:hint="default"/>
      </w:rPr>
    </w:lvl>
    <w:lvl w:ilvl="5" w:tplc="04090005">
      <w:start w:val="1"/>
      <w:numFmt w:val="bullet"/>
      <w:lvlText w:val=""/>
      <w:lvlJc w:val="left"/>
      <w:pPr>
        <w:tabs>
          <w:tab w:val="num" w:pos="2789"/>
        </w:tabs>
        <w:ind w:left="2789" w:hanging="360"/>
      </w:pPr>
      <w:rPr>
        <w:rFonts w:ascii="Wingdings" w:hAnsi="Wingdings" w:hint="default"/>
      </w:rPr>
    </w:lvl>
    <w:lvl w:ilvl="6" w:tplc="04090001">
      <w:start w:val="1"/>
      <w:numFmt w:val="bullet"/>
      <w:lvlText w:val=""/>
      <w:lvlJc w:val="left"/>
      <w:pPr>
        <w:tabs>
          <w:tab w:val="num" w:pos="3509"/>
        </w:tabs>
        <w:ind w:left="3509" w:hanging="360"/>
      </w:pPr>
      <w:rPr>
        <w:rFonts w:ascii="Symbol" w:hAnsi="Symbol" w:hint="default"/>
      </w:rPr>
    </w:lvl>
    <w:lvl w:ilvl="7" w:tplc="04090003">
      <w:start w:val="1"/>
      <w:numFmt w:val="bullet"/>
      <w:lvlText w:val="o"/>
      <w:lvlJc w:val="left"/>
      <w:pPr>
        <w:tabs>
          <w:tab w:val="num" w:pos="4229"/>
        </w:tabs>
        <w:ind w:left="4229" w:hanging="360"/>
      </w:pPr>
      <w:rPr>
        <w:rFonts w:ascii="Courier New" w:hAnsi="Courier New" w:hint="default"/>
      </w:rPr>
    </w:lvl>
    <w:lvl w:ilvl="8" w:tplc="04090005">
      <w:start w:val="1"/>
      <w:numFmt w:val="bullet"/>
      <w:lvlText w:val=""/>
      <w:lvlJc w:val="left"/>
      <w:pPr>
        <w:tabs>
          <w:tab w:val="num" w:pos="4949"/>
        </w:tabs>
        <w:ind w:left="4949" w:hanging="360"/>
      </w:pPr>
      <w:rPr>
        <w:rFonts w:ascii="Wingdings" w:hAnsi="Wingdings" w:hint="default"/>
      </w:rPr>
    </w:lvl>
  </w:abstractNum>
  <w:abstractNum w:abstractNumId="24" w15:restartNumberingAfterBreak="0">
    <w:nsid w:val="6CF41F39"/>
    <w:multiLevelType w:val="hybridMultilevel"/>
    <w:tmpl w:val="67AE1B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0132D6"/>
    <w:multiLevelType w:val="multilevel"/>
    <w:tmpl w:val="3BDA7BEE"/>
    <w:lvl w:ilvl="0">
      <w:start w:val="1"/>
      <w:numFmt w:val="decimal"/>
      <w:lvlText w:val="%1.0"/>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25"/>
  </w:num>
  <w:num w:numId="3">
    <w:abstractNumId w:val="0"/>
  </w:num>
  <w:num w:numId="4">
    <w:abstractNumId w:val="14"/>
  </w:num>
  <w:num w:numId="5">
    <w:abstractNumId w:val="13"/>
  </w:num>
  <w:num w:numId="6">
    <w:abstractNumId w:val="23"/>
  </w:num>
  <w:num w:numId="7">
    <w:abstractNumId w:val="6"/>
  </w:num>
  <w:num w:numId="8">
    <w:abstractNumId w:val="2"/>
  </w:num>
  <w:num w:numId="9">
    <w:abstractNumId w:val="15"/>
  </w:num>
  <w:num w:numId="10">
    <w:abstractNumId w:val="16"/>
  </w:num>
  <w:num w:numId="11">
    <w:abstractNumId w:val="4"/>
  </w:num>
  <w:num w:numId="12">
    <w:abstractNumId w:val="11"/>
  </w:num>
  <w:num w:numId="13">
    <w:abstractNumId w:val="20"/>
  </w:num>
  <w:num w:numId="14">
    <w:abstractNumId w:val="7"/>
  </w:num>
  <w:num w:numId="15">
    <w:abstractNumId w:val="14"/>
  </w:num>
  <w:num w:numId="16">
    <w:abstractNumId w:val="14"/>
  </w:num>
  <w:num w:numId="17">
    <w:abstractNumId w:val="19"/>
  </w:num>
  <w:num w:numId="18">
    <w:abstractNumId w:val="12"/>
  </w:num>
  <w:num w:numId="19">
    <w:abstractNumId w:val="21"/>
  </w:num>
  <w:num w:numId="20">
    <w:abstractNumId w:val="3"/>
  </w:num>
  <w:num w:numId="21">
    <w:abstractNumId w:val="18"/>
  </w:num>
  <w:num w:numId="22">
    <w:abstractNumId w:val="1"/>
  </w:num>
  <w:num w:numId="23">
    <w:abstractNumId w:val="22"/>
  </w:num>
  <w:num w:numId="24">
    <w:abstractNumId w:val="5"/>
  </w:num>
  <w:num w:numId="25">
    <w:abstractNumId w:val="24"/>
  </w:num>
  <w:num w:numId="26">
    <w:abstractNumId w:val="10"/>
  </w:num>
  <w:num w:numId="27">
    <w:abstractNumId w:val="17"/>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CC"/>
    <w:rsid w:val="000344C4"/>
    <w:rsid w:val="00084C54"/>
    <w:rsid w:val="000861D0"/>
    <w:rsid w:val="000D23F2"/>
    <w:rsid w:val="000E5497"/>
    <w:rsid w:val="00125A83"/>
    <w:rsid w:val="0013450A"/>
    <w:rsid w:val="00151B20"/>
    <w:rsid w:val="001A1D61"/>
    <w:rsid w:val="001A26D1"/>
    <w:rsid w:val="002A0684"/>
    <w:rsid w:val="002A5B81"/>
    <w:rsid w:val="002C45C5"/>
    <w:rsid w:val="002F4311"/>
    <w:rsid w:val="003E4B0B"/>
    <w:rsid w:val="00416EF5"/>
    <w:rsid w:val="0043196B"/>
    <w:rsid w:val="00434FB4"/>
    <w:rsid w:val="00462A88"/>
    <w:rsid w:val="00490353"/>
    <w:rsid w:val="004B7904"/>
    <w:rsid w:val="004C52F4"/>
    <w:rsid w:val="00510C7F"/>
    <w:rsid w:val="005E75A0"/>
    <w:rsid w:val="006029CC"/>
    <w:rsid w:val="00681770"/>
    <w:rsid w:val="006B3FB4"/>
    <w:rsid w:val="006D526B"/>
    <w:rsid w:val="00772F3C"/>
    <w:rsid w:val="008718E8"/>
    <w:rsid w:val="00874741"/>
    <w:rsid w:val="00883944"/>
    <w:rsid w:val="00973C7A"/>
    <w:rsid w:val="009933E8"/>
    <w:rsid w:val="009A43F9"/>
    <w:rsid w:val="009A4CE7"/>
    <w:rsid w:val="009B1200"/>
    <w:rsid w:val="009C2023"/>
    <w:rsid w:val="009E6EBC"/>
    <w:rsid w:val="00A46805"/>
    <w:rsid w:val="00A73CAE"/>
    <w:rsid w:val="00B04615"/>
    <w:rsid w:val="00B06D31"/>
    <w:rsid w:val="00B35913"/>
    <w:rsid w:val="00B36D62"/>
    <w:rsid w:val="00BD2CD7"/>
    <w:rsid w:val="00CB2BC8"/>
    <w:rsid w:val="00D44212"/>
    <w:rsid w:val="00D52007"/>
    <w:rsid w:val="00D92EDE"/>
    <w:rsid w:val="00DE53CA"/>
    <w:rsid w:val="00DF2A04"/>
    <w:rsid w:val="00E14DAC"/>
    <w:rsid w:val="00E65375"/>
    <w:rsid w:val="00E71589"/>
    <w:rsid w:val="00EB3F9C"/>
    <w:rsid w:val="00F218B6"/>
    <w:rsid w:val="00F5351E"/>
    <w:rsid w:val="00FA06B2"/>
    <w:rsid w:val="00FF0058"/>
    <w:rsid w:val="00FF26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799DEA6-815B-4238-AEA7-0B97200F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äori" w:hAnsi="Arial Mäori"/>
      <w:sz w:val="24"/>
      <w:szCs w:val="24"/>
      <w:lang w:eastAsia="en-US"/>
    </w:rPr>
  </w:style>
  <w:style w:type="paragraph" w:styleId="Heading1">
    <w:name w:val="heading 1"/>
    <w:basedOn w:val="Normal"/>
    <w:next w:val="Normal"/>
    <w:qFormat/>
    <w:pPr>
      <w:keepNext/>
      <w:numPr>
        <w:numId w:val="4"/>
      </w:numPr>
      <w:tabs>
        <w:tab w:val="left" w:pos="4253"/>
      </w:tabs>
      <w:spacing w:before="240" w:after="240"/>
      <w:outlineLvl w:val="0"/>
    </w:pPr>
    <w:rPr>
      <w:rFonts w:ascii="Arial" w:hAnsi="Arial" w:cs="Arial"/>
      <w:b/>
      <w:bCs/>
      <w:kern w:val="32"/>
      <w:sz w:val="32"/>
      <w:szCs w:val="32"/>
    </w:rPr>
  </w:style>
  <w:style w:type="paragraph" w:styleId="Heading2">
    <w:name w:val="heading 2"/>
    <w:basedOn w:val="Heading1"/>
    <w:next w:val="Normal"/>
    <w:qFormat/>
    <w:pPr>
      <w:numPr>
        <w:ilvl w:val="1"/>
      </w:numPr>
      <w:outlineLvl w:val="1"/>
    </w:pPr>
    <w:rPr>
      <w:bCs w:val="0"/>
      <w:iCs/>
      <w:sz w:val="28"/>
      <w:szCs w:val="28"/>
    </w:rPr>
  </w:style>
  <w:style w:type="paragraph" w:styleId="Heading3">
    <w:name w:val="heading 3"/>
    <w:basedOn w:val="Heading2"/>
    <w:next w:val="Normal"/>
    <w:autoRedefine/>
    <w:qFormat/>
    <w:pPr>
      <w:numPr>
        <w:ilvl w:val="2"/>
      </w:numPr>
      <w:outlineLvl w:val="2"/>
    </w:pPr>
    <w:rPr>
      <w:bCs/>
      <w:sz w:val="24"/>
      <w:szCs w:val="26"/>
    </w:rPr>
  </w:style>
  <w:style w:type="paragraph" w:styleId="Heading4">
    <w:name w:val="heading 4"/>
    <w:basedOn w:val="Normal"/>
    <w:next w:val="Normal"/>
    <w:qFormat/>
    <w:pPr>
      <w:keepNext/>
      <w:numPr>
        <w:ilvl w:val="3"/>
        <w:numId w:val="2"/>
      </w:numPr>
      <w:tabs>
        <w:tab w:val="left" w:pos="4253"/>
      </w:tabs>
      <w:spacing w:before="240" w:after="60"/>
      <w:outlineLvl w:val="3"/>
    </w:pPr>
    <w:rPr>
      <w:rFonts w:ascii="Arial" w:hAnsi="Arial"/>
      <w:b/>
      <w:bCs/>
      <w:sz w:val="20"/>
      <w:szCs w:val="28"/>
    </w:rPr>
  </w:style>
  <w:style w:type="paragraph" w:styleId="Heading5">
    <w:name w:val="heading 5"/>
    <w:basedOn w:val="Normal"/>
    <w:next w:val="Normal"/>
    <w:qFormat/>
    <w:pPr>
      <w:numPr>
        <w:ilvl w:val="4"/>
        <w:numId w:val="4"/>
      </w:numPr>
      <w:tabs>
        <w:tab w:val="left" w:pos="1009"/>
        <w:tab w:val="left" w:pos="4253"/>
      </w:tabs>
      <w:spacing w:before="240" w:after="60"/>
      <w:outlineLvl w:val="4"/>
    </w:pPr>
    <w:rPr>
      <w:rFonts w:ascii="Arial" w:hAnsi="Arial"/>
      <w:b/>
      <w:bCs/>
      <w:iCs/>
      <w:sz w:val="20"/>
      <w:szCs w:val="26"/>
    </w:rPr>
  </w:style>
  <w:style w:type="paragraph" w:styleId="Heading6">
    <w:name w:val="heading 6"/>
    <w:basedOn w:val="Normal"/>
    <w:next w:val="Normal"/>
    <w:qFormat/>
    <w:pPr>
      <w:numPr>
        <w:ilvl w:val="5"/>
        <w:numId w:val="4"/>
      </w:numPr>
      <w:tabs>
        <w:tab w:val="left" w:pos="4253"/>
      </w:tabs>
      <w:spacing w:before="240" w:after="60"/>
      <w:outlineLvl w:val="5"/>
    </w:pPr>
    <w:rPr>
      <w:rFonts w:ascii="Arial" w:hAnsi="Arial"/>
      <w:b/>
      <w:bCs/>
      <w:sz w:val="20"/>
      <w:szCs w:val="22"/>
    </w:rPr>
  </w:style>
  <w:style w:type="paragraph" w:styleId="Heading7">
    <w:name w:val="heading 7"/>
    <w:basedOn w:val="Normal"/>
    <w:next w:val="Normal"/>
    <w:qFormat/>
    <w:pPr>
      <w:numPr>
        <w:ilvl w:val="6"/>
        <w:numId w:val="4"/>
      </w:numPr>
      <w:tabs>
        <w:tab w:val="left" w:pos="4253"/>
      </w:tabs>
      <w:spacing w:before="240" w:after="60"/>
      <w:outlineLvl w:val="6"/>
    </w:pPr>
    <w:rPr>
      <w:rFonts w:ascii="Arial" w:hAnsi="Arial"/>
      <w:b/>
      <w:sz w:val="20"/>
    </w:rPr>
  </w:style>
  <w:style w:type="paragraph" w:styleId="Heading8">
    <w:name w:val="heading 8"/>
    <w:basedOn w:val="Normal"/>
    <w:next w:val="Normal"/>
    <w:qFormat/>
    <w:pPr>
      <w:numPr>
        <w:ilvl w:val="7"/>
        <w:numId w:val="4"/>
      </w:numPr>
      <w:tabs>
        <w:tab w:val="left" w:pos="4253"/>
      </w:tabs>
      <w:spacing w:before="240" w:after="60"/>
      <w:outlineLvl w:val="7"/>
    </w:pPr>
    <w:rPr>
      <w:rFonts w:ascii="Arial" w:hAnsi="Arial"/>
      <w:b/>
      <w:iCs/>
      <w:sz w:val="20"/>
    </w:rPr>
  </w:style>
  <w:style w:type="paragraph" w:styleId="Heading9">
    <w:name w:val="heading 9"/>
    <w:basedOn w:val="Normal"/>
    <w:next w:val="Normal"/>
    <w:qFormat/>
    <w:pPr>
      <w:numPr>
        <w:ilvl w:val="8"/>
        <w:numId w:val="4"/>
      </w:numPr>
      <w:tabs>
        <w:tab w:val="left" w:pos="4253"/>
      </w:tabs>
      <w:spacing w:before="240" w:after="60"/>
      <w:outlineLvl w:val="8"/>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
    <w:name w:val="Bullet Point"/>
    <w:basedOn w:val="Normal"/>
    <w:pPr>
      <w:numPr>
        <w:numId w:val="5"/>
      </w:numPr>
      <w:spacing w:after="60"/>
    </w:pPr>
    <w:rPr>
      <w:rFonts w:ascii="Times New Roman" w:hAnsi="Times New Roman"/>
      <w:sz w:val="22"/>
    </w:rPr>
  </w:style>
  <w:style w:type="paragraph" w:customStyle="1" w:styleId="Bullet">
    <w:name w:val="Bullet"/>
    <w:basedOn w:val="Normal"/>
    <w:pPr>
      <w:numPr>
        <w:numId w:val="3"/>
      </w:numPr>
      <w:tabs>
        <w:tab w:val="left" w:pos="1758"/>
        <w:tab w:val="left" w:pos="4253"/>
      </w:tabs>
      <w:spacing w:after="60"/>
      <w:jc w:val="both"/>
    </w:pPr>
    <w:rPr>
      <w:rFonts w:cs="Arial Mäori"/>
    </w:rPr>
  </w:style>
  <w:style w:type="paragraph" w:customStyle="1" w:styleId="BulletIndent">
    <w:name w:val="Bullet Indent"/>
    <w:basedOn w:val="Bullet"/>
    <w:pPr>
      <w:numPr>
        <w:numId w:val="6"/>
      </w:numPr>
      <w:tabs>
        <w:tab w:val="clear" w:pos="1758"/>
        <w:tab w:val="clear" w:pos="4253"/>
      </w:tabs>
    </w:pPr>
  </w:style>
  <w:style w:type="paragraph" w:customStyle="1" w:styleId="AppendixHeading">
    <w:name w:val="Appendix Heading"/>
    <w:basedOn w:val="Normal"/>
    <w:next w:val="Normal"/>
    <w:pPr>
      <w:numPr>
        <w:numId w:val="1"/>
      </w:numPr>
      <w:tabs>
        <w:tab w:val="left" w:pos="851"/>
        <w:tab w:val="left" w:pos="4253"/>
      </w:tabs>
      <w:spacing w:after="60"/>
    </w:pPr>
    <w:rPr>
      <w:rFonts w:ascii="Arial" w:hAnsi="Arial"/>
      <w:b/>
      <w:sz w:val="28"/>
    </w:rPr>
  </w:style>
  <w:style w:type="paragraph" w:styleId="BodyText">
    <w:name w:val="Body Text"/>
    <w:basedOn w:val="Normal"/>
  </w:style>
  <w:style w:type="paragraph" w:customStyle="1" w:styleId="DocumentName">
    <w:name w:val="Document Name"/>
    <w:basedOn w:val="Normal"/>
    <w:next w:val="Normal"/>
    <w:pPr>
      <w:pBdr>
        <w:top w:val="single" w:sz="18" w:space="24" w:color="auto"/>
        <w:bottom w:val="thinThickSmallGap" w:sz="24" w:space="1" w:color="auto"/>
      </w:pBdr>
      <w:tabs>
        <w:tab w:val="left" w:pos="4253"/>
      </w:tabs>
      <w:spacing w:before="480" w:after="480"/>
      <w:jc w:val="right"/>
    </w:pPr>
    <w:rPr>
      <w:rFonts w:ascii="Arial" w:hAnsi="Arial"/>
      <w:b/>
      <w:sz w:val="48"/>
    </w:rPr>
  </w:style>
  <w:style w:type="paragraph" w:customStyle="1" w:styleId="SubTitle">
    <w:name w:val="Sub Title"/>
    <w:basedOn w:val="Normal"/>
    <w:next w:val="Normal"/>
    <w:pPr>
      <w:tabs>
        <w:tab w:val="left" w:pos="4253"/>
      </w:tabs>
      <w:spacing w:after="60"/>
      <w:jc w:val="right"/>
    </w:pPr>
    <w:rPr>
      <w:rFonts w:ascii="Arial" w:hAnsi="Arial"/>
      <w:b/>
      <w:sz w:val="36"/>
    </w:rPr>
  </w:style>
  <w:style w:type="paragraph" w:customStyle="1" w:styleId="Document2">
    <w:name w:val="Document 2"/>
    <w:basedOn w:val="Normal"/>
    <w:next w:val="Normal"/>
    <w:pPr>
      <w:tabs>
        <w:tab w:val="left" w:pos="4253"/>
      </w:tabs>
      <w:spacing w:after="60"/>
    </w:pPr>
    <w:rPr>
      <w:rFonts w:ascii="Arial" w:hAnsi="Arial"/>
      <w:b/>
      <w:sz w:val="28"/>
    </w:rPr>
  </w:style>
  <w:style w:type="paragraph" w:customStyle="1" w:styleId="Document1">
    <w:name w:val="Document 1"/>
    <w:basedOn w:val="Normal"/>
    <w:next w:val="Normal"/>
    <w:pPr>
      <w:tabs>
        <w:tab w:val="left" w:pos="4253"/>
      </w:tabs>
      <w:spacing w:after="60"/>
      <w:jc w:val="center"/>
    </w:pPr>
    <w:rPr>
      <w:rFonts w:ascii="Arial" w:hAnsi="Arial"/>
      <w:b/>
      <w:sz w:val="32"/>
    </w:rPr>
  </w:style>
  <w:style w:type="character" w:styleId="Hyperlink">
    <w:name w:val="Hyperlink"/>
    <w:basedOn w:val="DefaultParagraphFont"/>
    <w:rPr>
      <w:color w:val="0000FF"/>
      <w:u w:val="single"/>
    </w:rPr>
  </w:style>
  <w:style w:type="paragraph" w:styleId="TOC1">
    <w:name w:val="toc 1"/>
    <w:basedOn w:val="Normal"/>
    <w:next w:val="Normal"/>
    <w:semiHidden/>
    <w:pPr>
      <w:spacing w:before="240" w:after="120"/>
    </w:pPr>
    <w:rPr>
      <w:rFonts w:ascii="Times New Roman" w:hAnsi="Times New Roman"/>
      <w:b/>
      <w:sz w:val="20"/>
    </w:rPr>
  </w:style>
  <w:style w:type="paragraph" w:styleId="TOC2">
    <w:name w:val="toc 2"/>
    <w:basedOn w:val="Normal"/>
    <w:next w:val="Normal"/>
    <w:autoRedefine/>
    <w:semiHidden/>
    <w:pPr>
      <w:spacing w:before="120"/>
      <w:ind w:left="238"/>
    </w:pPr>
    <w:rPr>
      <w:rFonts w:ascii="Times New Roman" w:hAnsi="Times New Roman"/>
      <w:sz w:val="20"/>
    </w:rPr>
  </w:style>
  <w:style w:type="paragraph" w:styleId="Caption">
    <w:name w:val="caption"/>
    <w:basedOn w:val="Normal"/>
    <w:next w:val="Normal"/>
    <w:qFormat/>
    <w:pPr>
      <w:tabs>
        <w:tab w:val="left" w:pos="4253"/>
      </w:tabs>
      <w:spacing w:before="120" w:after="120"/>
      <w:ind w:left="851"/>
    </w:pPr>
    <w:rPr>
      <w:rFonts w:ascii="Times New Roman" w:hAnsi="Times New Roman"/>
      <w:bCs/>
      <w:i/>
      <w:sz w:val="20"/>
      <w:szCs w:val="20"/>
    </w:rPr>
  </w:style>
  <w:style w:type="paragraph" w:customStyle="1" w:styleId="InstructionText">
    <w:name w:val="Instruction Text"/>
    <w:basedOn w:val="Normal"/>
    <w:next w:val="Normal"/>
    <w:pPr>
      <w:tabs>
        <w:tab w:val="left" w:pos="4253"/>
      </w:tabs>
      <w:spacing w:after="60"/>
      <w:ind w:left="851"/>
    </w:pPr>
    <w:rPr>
      <w:rFonts w:ascii="Times New Roman" w:hAnsi="Times New Roman"/>
      <w:i/>
      <w:color w:val="0000FF"/>
      <w:sz w:val="20"/>
    </w:rPr>
  </w:style>
  <w:style w:type="paragraph" w:styleId="BodyTextIndent2">
    <w:name w:val="Body Text Indent 2"/>
    <w:basedOn w:val="Normal"/>
    <w:pPr>
      <w:spacing w:after="60"/>
      <w:ind w:left="964"/>
    </w:pPr>
    <w:rPr>
      <w:rFonts w:ascii="Times New Roman" w:hAnsi="Times New Roman"/>
      <w:i/>
      <w:iCs/>
      <w:color w:val="0000FF"/>
      <w:sz w:val="22"/>
    </w:rPr>
  </w:style>
  <w:style w:type="paragraph" w:customStyle="1" w:styleId="Appendix">
    <w:name w:val="Appendix"/>
    <w:basedOn w:val="Normal"/>
    <w:next w:val="Normal"/>
    <w:pPr>
      <w:tabs>
        <w:tab w:val="left" w:pos="4253"/>
      </w:tabs>
      <w:spacing w:after="60"/>
      <w:jc w:val="center"/>
    </w:pPr>
    <w:rPr>
      <w:rFonts w:ascii="Arial" w:hAnsi="Arial"/>
      <w:b/>
      <w:sz w:val="32"/>
    </w:rPr>
  </w:style>
  <w:style w:type="paragraph" w:styleId="Header">
    <w:name w:val="header"/>
    <w:basedOn w:val="Normal"/>
    <w:pPr>
      <w:pBdr>
        <w:bottom w:val="single" w:sz="8" w:space="1" w:color="auto"/>
      </w:pBdr>
      <w:tabs>
        <w:tab w:val="right" w:pos="8306"/>
        <w:tab w:val="right" w:pos="13892"/>
      </w:tabs>
      <w:spacing w:after="60"/>
    </w:pPr>
    <w:rPr>
      <w:rFonts w:ascii="Times New Roman" w:hAnsi="Times New Roman"/>
      <w:sz w:val="16"/>
    </w:rPr>
  </w:style>
  <w:style w:type="paragraph" w:styleId="Footer">
    <w:name w:val="footer"/>
    <w:basedOn w:val="Normal"/>
    <w:link w:val="FooterChar"/>
    <w:uiPriority w:val="99"/>
    <w:pPr>
      <w:pBdr>
        <w:top w:val="single" w:sz="8" w:space="1" w:color="auto"/>
      </w:pBdr>
      <w:tabs>
        <w:tab w:val="right" w:pos="8306"/>
        <w:tab w:val="right" w:pos="13892"/>
      </w:tabs>
      <w:spacing w:after="60"/>
    </w:pPr>
    <w:rPr>
      <w:rFonts w:ascii="Times New Roman" w:hAnsi="Times New Roman"/>
      <w:sz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pPr>
      <w:jc w:val="both"/>
    </w:pPr>
    <w:rPr>
      <w:rFonts w:cs="Arial Mäori"/>
    </w:rPr>
  </w:style>
  <w:style w:type="paragraph" w:styleId="BlockText">
    <w:name w:val="Block Text"/>
    <w:basedOn w:val="Normal"/>
    <w:pPr>
      <w:widowControl w:val="0"/>
    </w:pPr>
    <w:rPr>
      <w:sz w:val="20"/>
      <w:szCs w:val="20"/>
    </w:rPr>
  </w:style>
  <w:style w:type="paragraph" w:styleId="BodyText3">
    <w:name w:val="Body Text 3"/>
    <w:basedOn w:val="Normal"/>
    <w:pPr>
      <w:jc w:val="both"/>
    </w:pPr>
    <w:rPr>
      <w:sz w:val="20"/>
    </w:rPr>
  </w:style>
  <w:style w:type="paragraph" w:customStyle="1" w:styleId="TableHeader">
    <w:name w:val="Table Header"/>
    <w:basedOn w:val="Normal"/>
    <w:pPr>
      <w:keepNext/>
      <w:spacing w:before="60" w:after="60"/>
      <w:jc w:val="center"/>
    </w:pPr>
    <w:rPr>
      <w:rFonts w:ascii="Arial" w:hAnsi="Arial"/>
      <w:b/>
      <w:sz w:val="18"/>
      <w:szCs w:val="20"/>
      <w:lang w:val="en-GB"/>
    </w:rPr>
  </w:style>
  <w:style w:type="paragraph" w:styleId="Title">
    <w:name w:val="Title"/>
    <w:basedOn w:val="Normal"/>
    <w:qFormat/>
    <w:pPr>
      <w:jc w:val="center"/>
    </w:pPr>
    <w:rPr>
      <w:rFonts w:cs="Arial Mäori"/>
      <w:b/>
      <w:bCs/>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51B20"/>
    <w:pPr>
      <w:ind w:left="720"/>
      <w:contextualSpacing/>
    </w:pPr>
    <w:rPr>
      <w:rFonts w:ascii="Times New Roman" w:hAnsi="Times New Roman"/>
      <w:lang w:eastAsia="en-NZ"/>
    </w:rPr>
  </w:style>
  <w:style w:type="table" w:styleId="TableGrid">
    <w:name w:val="Table Grid"/>
    <w:basedOn w:val="TableNormal"/>
    <w:rsid w:val="00B3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F2A04"/>
    <w:rPr>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2772">
      <w:bodyDiv w:val="1"/>
      <w:marLeft w:val="0"/>
      <w:marRight w:val="0"/>
      <w:marTop w:val="0"/>
      <w:marBottom w:val="0"/>
      <w:divBdr>
        <w:top w:val="none" w:sz="0" w:space="0" w:color="auto"/>
        <w:left w:val="none" w:sz="0" w:space="0" w:color="auto"/>
        <w:bottom w:val="none" w:sz="0" w:space="0" w:color="auto"/>
        <w:right w:val="none" w:sz="0" w:space="0" w:color="auto"/>
      </w:divBdr>
      <w:divsChild>
        <w:div w:id="239607688">
          <w:marLeft w:val="907"/>
          <w:marRight w:val="0"/>
          <w:marTop w:val="200"/>
          <w:marBottom w:val="0"/>
          <w:divBdr>
            <w:top w:val="none" w:sz="0" w:space="0" w:color="auto"/>
            <w:left w:val="none" w:sz="0" w:space="0" w:color="auto"/>
            <w:bottom w:val="none" w:sz="0" w:space="0" w:color="auto"/>
            <w:right w:val="none" w:sz="0" w:space="0" w:color="auto"/>
          </w:divBdr>
        </w:div>
        <w:div w:id="1428304475">
          <w:marLeft w:val="907"/>
          <w:marRight w:val="0"/>
          <w:marTop w:val="200"/>
          <w:marBottom w:val="0"/>
          <w:divBdr>
            <w:top w:val="none" w:sz="0" w:space="0" w:color="auto"/>
            <w:left w:val="none" w:sz="0" w:space="0" w:color="auto"/>
            <w:bottom w:val="none" w:sz="0" w:space="0" w:color="auto"/>
            <w:right w:val="none" w:sz="0" w:space="0" w:color="auto"/>
          </w:divBdr>
        </w:div>
        <w:div w:id="1975868663">
          <w:marLeft w:val="907"/>
          <w:marRight w:val="0"/>
          <w:marTop w:val="200"/>
          <w:marBottom w:val="0"/>
          <w:divBdr>
            <w:top w:val="none" w:sz="0" w:space="0" w:color="auto"/>
            <w:left w:val="none" w:sz="0" w:space="0" w:color="auto"/>
            <w:bottom w:val="none" w:sz="0" w:space="0" w:color="auto"/>
            <w:right w:val="none" w:sz="0" w:space="0" w:color="auto"/>
          </w:divBdr>
        </w:div>
        <w:div w:id="2057779224">
          <w:marLeft w:val="907"/>
          <w:marRight w:val="0"/>
          <w:marTop w:val="200"/>
          <w:marBottom w:val="0"/>
          <w:divBdr>
            <w:top w:val="none" w:sz="0" w:space="0" w:color="auto"/>
            <w:left w:val="none" w:sz="0" w:space="0" w:color="auto"/>
            <w:bottom w:val="none" w:sz="0" w:space="0" w:color="auto"/>
            <w:right w:val="none" w:sz="0" w:space="0" w:color="auto"/>
          </w:divBdr>
        </w:div>
        <w:div w:id="2094625082">
          <w:marLeft w:val="907"/>
          <w:marRight w:val="0"/>
          <w:marTop w:val="200"/>
          <w:marBottom w:val="0"/>
          <w:divBdr>
            <w:top w:val="none" w:sz="0" w:space="0" w:color="auto"/>
            <w:left w:val="none" w:sz="0" w:space="0" w:color="auto"/>
            <w:bottom w:val="none" w:sz="0" w:space="0" w:color="auto"/>
            <w:right w:val="none" w:sz="0" w:space="0" w:color="auto"/>
          </w:divBdr>
        </w:div>
        <w:div w:id="331445573">
          <w:marLeft w:val="907"/>
          <w:marRight w:val="0"/>
          <w:marTop w:val="200"/>
          <w:marBottom w:val="0"/>
          <w:divBdr>
            <w:top w:val="none" w:sz="0" w:space="0" w:color="auto"/>
            <w:left w:val="none" w:sz="0" w:space="0" w:color="auto"/>
            <w:bottom w:val="none" w:sz="0" w:space="0" w:color="auto"/>
            <w:right w:val="none" w:sz="0" w:space="0" w:color="auto"/>
          </w:divBdr>
        </w:div>
        <w:div w:id="1314286575">
          <w:marLeft w:val="907"/>
          <w:marRight w:val="0"/>
          <w:marTop w:val="200"/>
          <w:marBottom w:val="0"/>
          <w:divBdr>
            <w:top w:val="none" w:sz="0" w:space="0" w:color="auto"/>
            <w:left w:val="none" w:sz="0" w:space="0" w:color="auto"/>
            <w:bottom w:val="none" w:sz="0" w:space="0" w:color="auto"/>
            <w:right w:val="none" w:sz="0" w:space="0" w:color="auto"/>
          </w:divBdr>
        </w:div>
        <w:div w:id="1329753875">
          <w:marLeft w:val="907"/>
          <w:marRight w:val="0"/>
          <w:marTop w:val="200"/>
          <w:marBottom w:val="0"/>
          <w:divBdr>
            <w:top w:val="none" w:sz="0" w:space="0" w:color="auto"/>
            <w:left w:val="none" w:sz="0" w:space="0" w:color="auto"/>
            <w:bottom w:val="none" w:sz="0" w:space="0" w:color="auto"/>
            <w:right w:val="none" w:sz="0" w:space="0" w:color="auto"/>
          </w:divBdr>
        </w:div>
        <w:div w:id="1003820584">
          <w:marLeft w:val="907"/>
          <w:marRight w:val="0"/>
          <w:marTop w:val="200"/>
          <w:marBottom w:val="0"/>
          <w:divBdr>
            <w:top w:val="none" w:sz="0" w:space="0" w:color="auto"/>
            <w:left w:val="none" w:sz="0" w:space="0" w:color="auto"/>
            <w:bottom w:val="none" w:sz="0" w:space="0" w:color="auto"/>
            <w:right w:val="none" w:sz="0" w:space="0" w:color="auto"/>
          </w:divBdr>
        </w:div>
        <w:div w:id="1370451295">
          <w:marLeft w:val="907"/>
          <w:marRight w:val="0"/>
          <w:marTop w:val="200"/>
          <w:marBottom w:val="0"/>
          <w:divBdr>
            <w:top w:val="none" w:sz="0" w:space="0" w:color="auto"/>
            <w:left w:val="none" w:sz="0" w:space="0" w:color="auto"/>
            <w:bottom w:val="none" w:sz="0" w:space="0" w:color="auto"/>
            <w:right w:val="none" w:sz="0" w:space="0" w:color="auto"/>
          </w:divBdr>
        </w:div>
        <w:div w:id="730688858">
          <w:marLeft w:val="907"/>
          <w:marRight w:val="0"/>
          <w:marTop w:val="200"/>
          <w:marBottom w:val="0"/>
          <w:divBdr>
            <w:top w:val="none" w:sz="0" w:space="0" w:color="auto"/>
            <w:left w:val="none" w:sz="0" w:space="0" w:color="auto"/>
            <w:bottom w:val="none" w:sz="0" w:space="0" w:color="auto"/>
            <w:right w:val="none" w:sz="0" w:space="0" w:color="auto"/>
          </w:divBdr>
        </w:div>
      </w:divsChild>
    </w:div>
    <w:div w:id="1527058619">
      <w:bodyDiv w:val="1"/>
      <w:marLeft w:val="0"/>
      <w:marRight w:val="0"/>
      <w:marTop w:val="0"/>
      <w:marBottom w:val="0"/>
      <w:divBdr>
        <w:top w:val="none" w:sz="0" w:space="0" w:color="auto"/>
        <w:left w:val="none" w:sz="0" w:space="0" w:color="auto"/>
        <w:bottom w:val="none" w:sz="0" w:space="0" w:color="auto"/>
        <w:right w:val="none" w:sz="0" w:space="0" w:color="auto"/>
      </w:divBdr>
      <w:divsChild>
        <w:div w:id="1632444923">
          <w:marLeft w:val="360"/>
          <w:marRight w:val="0"/>
          <w:marTop w:val="200"/>
          <w:marBottom w:val="0"/>
          <w:divBdr>
            <w:top w:val="none" w:sz="0" w:space="0" w:color="auto"/>
            <w:left w:val="none" w:sz="0" w:space="0" w:color="auto"/>
            <w:bottom w:val="none" w:sz="0" w:space="0" w:color="auto"/>
            <w:right w:val="none" w:sz="0" w:space="0" w:color="auto"/>
          </w:divBdr>
        </w:div>
        <w:div w:id="776678143">
          <w:marLeft w:val="360"/>
          <w:marRight w:val="0"/>
          <w:marTop w:val="200"/>
          <w:marBottom w:val="0"/>
          <w:divBdr>
            <w:top w:val="none" w:sz="0" w:space="0" w:color="auto"/>
            <w:left w:val="none" w:sz="0" w:space="0" w:color="auto"/>
            <w:bottom w:val="none" w:sz="0" w:space="0" w:color="auto"/>
            <w:right w:val="none" w:sz="0" w:space="0" w:color="auto"/>
          </w:divBdr>
        </w:div>
        <w:div w:id="570697403">
          <w:marLeft w:val="360"/>
          <w:marRight w:val="0"/>
          <w:marTop w:val="200"/>
          <w:marBottom w:val="0"/>
          <w:divBdr>
            <w:top w:val="none" w:sz="0" w:space="0" w:color="auto"/>
            <w:left w:val="none" w:sz="0" w:space="0" w:color="auto"/>
            <w:bottom w:val="none" w:sz="0" w:space="0" w:color="auto"/>
            <w:right w:val="none" w:sz="0" w:space="0" w:color="auto"/>
          </w:divBdr>
        </w:div>
      </w:divsChild>
    </w:div>
    <w:div w:id="1734043085">
      <w:bodyDiv w:val="1"/>
      <w:marLeft w:val="0"/>
      <w:marRight w:val="0"/>
      <w:marTop w:val="0"/>
      <w:marBottom w:val="0"/>
      <w:divBdr>
        <w:top w:val="none" w:sz="0" w:space="0" w:color="auto"/>
        <w:left w:val="none" w:sz="0" w:space="0" w:color="auto"/>
        <w:bottom w:val="none" w:sz="0" w:space="0" w:color="auto"/>
        <w:right w:val="none" w:sz="0" w:space="0" w:color="auto"/>
      </w:divBdr>
      <w:divsChild>
        <w:div w:id="753938316">
          <w:marLeft w:val="907"/>
          <w:marRight w:val="0"/>
          <w:marTop w:val="200"/>
          <w:marBottom w:val="0"/>
          <w:divBdr>
            <w:top w:val="none" w:sz="0" w:space="0" w:color="auto"/>
            <w:left w:val="none" w:sz="0" w:space="0" w:color="auto"/>
            <w:bottom w:val="none" w:sz="0" w:space="0" w:color="auto"/>
            <w:right w:val="none" w:sz="0" w:space="0" w:color="auto"/>
          </w:divBdr>
        </w:div>
        <w:div w:id="882064310">
          <w:marLeft w:val="907"/>
          <w:marRight w:val="0"/>
          <w:marTop w:val="200"/>
          <w:marBottom w:val="0"/>
          <w:divBdr>
            <w:top w:val="none" w:sz="0" w:space="0" w:color="auto"/>
            <w:left w:val="none" w:sz="0" w:space="0" w:color="auto"/>
            <w:bottom w:val="none" w:sz="0" w:space="0" w:color="auto"/>
            <w:right w:val="none" w:sz="0" w:space="0" w:color="auto"/>
          </w:divBdr>
        </w:div>
        <w:div w:id="276911963">
          <w:marLeft w:val="907"/>
          <w:marRight w:val="0"/>
          <w:marTop w:val="200"/>
          <w:marBottom w:val="0"/>
          <w:divBdr>
            <w:top w:val="none" w:sz="0" w:space="0" w:color="auto"/>
            <w:left w:val="none" w:sz="0" w:space="0" w:color="auto"/>
            <w:bottom w:val="none" w:sz="0" w:space="0" w:color="auto"/>
            <w:right w:val="none" w:sz="0" w:space="0" w:color="auto"/>
          </w:divBdr>
        </w:div>
        <w:div w:id="11955981">
          <w:marLeft w:val="907"/>
          <w:marRight w:val="0"/>
          <w:marTop w:val="200"/>
          <w:marBottom w:val="0"/>
          <w:divBdr>
            <w:top w:val="none" w:sz="0" w:space="0" w:color="auto"/>
            <w:left w:val="none" w:sz="0" w:space="0" w:color="auto"/>
            <w:bottom w:val="none" w:sz="0" w:space="0" w:color="auto"/>
            <w:right w:val="none" w:sz="0" w:space="0" w:color="auto"/>
          </w:divBdr>
        </w:div>
        <w:div w:id="168300254">
          <w:marLeft w:val="90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2AFA3-CFB1-4F8F-AD08-F372F5C0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39055AD8</Template>
  <TotalTime>0</TotalTime>
  <Pages>7</Pages>
  <Words>1275</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Emily Black</cp:lastModifiedBy>
  <cp:revision>2</cp:revision>
  <cp:lastPrinted>2018-07-15T23:10:00Z</cp:lastPrinted>
  <dcterms:created xsi:type="dcterms:W3CDTF">2018-07-20T01:40:00Z</dcterms:created>
  <dcterms:modified xsi:type="dcterms:W3CDTF">2018-07-20T01:40:00Z</dcterms:modified>
</cp:coreProperties>
</file>