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6" w:type="dxa"/>
        <w:tblInd w:w="25" w:type="dxa"/>
        <w:tblLayout w:type="fixed"/>
        <w:tblLook w:val="0000" w:firstRow="0" w:lastRow="0" w:firstColumn="0" w:lastColumn="0" w:noHBand="0" w:noVBand="0"/>
      </w:tblPr>
      <w:tblGrid>
        <w:gridCol w:w="4608"/>
        <w:gridCol w:w="2030"/>
        <w:gridCol w:w="3118"/>
      </w:tblGrid>
      <w:tr w:rsidR="00EA19FC" w:rsidRPr="00F14AE2" w14:paraId="1D62F935" w14:textId="77777777" w:rsidTr="009313CE">
        <w:trPr>
          <w:cantSplit/>
        </w:trPr>
        <w:tc>
          <w:tcPr>
            <w:tcW w:w="4608" w:type="dxa"/>
            <w:vAlign w:val="center"/>
          </w:tcPr>
          <w:p w14:paraId="777C863F" w14:textId="77777777" w:rsidR="00EA19FC" w:rsidRPr="00F14AE2" w:rsidRDefault="006129B4" w:rsidP="002B1CB0">
            <w:r w:rsidRPr="00F14AE2">
              <w:rPr>
                <w:noProof/>
              </w:rPr>
              <w:drawing>
                <wp:inline distT="0" distB="0" distL="0" distR="0" wp14:anchorId="6C358962" wp14:editId="5CE45838">
                  <wp:extent cx="20478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148" w:type="dxa"/>
            <w:gridSpan w:val="2"/>
            <w:vAlign w:val="center"/>
          </w:tcPr>
          <w:p w14:paraId="7E690147" w14:textId="16A63A12" w:rsidR="00EA19FC" w:rsidRPr="00251D2B" w:rsidRDefault="00872C3B" w:rsidP="00251D2B">
            <w:pPr>
              <w:jc w:val="right"/>
              <w:rPr>
                <w:b/>
                <w:sz w:val="28"/>
                <w:szCs w:val="28"/>
              </w:rPr>
            </w:pPr>
            <w:r w:rsidRPr="00251D2B">
              <w:rPr>
                <w:b/>
                <w:sz w:val="28"/>
                <w:szCs w:val="28"/>
              </w:rPr>
              <w:t>All District Health Boards</w:t>
            </w:r>
          </w:p>
        </w:tc>
      </w:tr>
      <w:tr w:rsidR="00EA19FC" w:rsidRPr="00F14AE2" w14:paraId="5040436C" w14:textId="77777777" w:rsidTr="009313CE">
        <w:tc>
          <w:tcPr>
            <w:tcW w:w="9756" w:type="dxa"/>
            <w:gridSpan w:val="3"/>
          </w:tcPr>
          <w:p w14:paraId="26E3D0C3" w14:textId="5928E534" w:rsidR="00735AD0" w:rsidRPr="00251D2B" w:rsidRDefault="00735AD0" w:rsidP="00251D2B">
            <w:pPr>
              <w:spacing w:before="1560"/>
              <w:jc w:val="center"/>
              <w:rPr>
                <w:b/>
                <w:sz w:val="36"/>
                <w:szCs w:val="36"/>
              </w:rPr>
            </w:pPr>
            <w:r w:rsidRPr="00251D2B">
              <w:rPr>
                <w:b/>
                <w:sz w:val="36"/>
                <w:szCs w:val="36"/>
              </w:rPr>
              <w:t xml:space="preserve">SPECIALIST </w:t>
            </w:r>
            <w:r w:rsidR="00B120A9" w:rsidRPr="00251D2B">
              <w:rPr>
                <w:b/>
                <w:sz w:val="36"/>
                <w:szCs w:val="36"/>
              </w:rPr>
              <w:t xml:space="preserve">MEDICAL AND </w:t>
            </w:r>
            <w:r w:rsidR="00B424B0" w:rsidRPr="00251D2B">
              <w:rPr>
                <w:b/>
                <w:sz w:val="36"/>
                <w:szCs w:val="36"/>
              </w:rPr>
              <w:t>SURGICAL</w:t>
            </w:r>
            <w:r w:rsidRPr="00251D2B">
              <w:rPr>
                <w:b/>
                <w:sz w:val="36"/>
                <w:szCs w:val="36"/>
              </w:rPr>
              <w:t xml:space="preserve"> SERVICES</w:t>
            </w:r>
            <w:r w:rsidR="005B1D66" w:rsidRPr="00251D2B">
              <w:rPr>
                <w:b/>
                <w:sz w:val="36"/>
                <w:szCs w:val="36"/>
              </w:rPr>
              <w:t xml:space="preserve"> –</w:t>
            </w:r>
          </w:p>
          <w:p w14:paraId="0CCC7E44" w14:textId="7EB7FA58" w:rsidR="005B1D66" w:rsidRPr="00251D2B" w:rsidRDefault="00872C3B" w:rsidP="00251D2B">
            <w:pPr>
              <w:spacing w:before="240"/>
              <w:jc w:val="center"/>
              <w:rPr>
                <w:b/>
                <w:sz w:val="36"/>
                <w:szCs w:val="36"/>
              </w:rPr>
            </w:pPr>
            <w:r w:rsidRPr="00251D2B">
              <w:rPr>
                <w:b/>
                <w:sz w:val="36"/>
                <w:szCs w:val="36"/>
              </w:rPr>
              <w:t xml:space="preserve">UROLOGY </w:t>
            </w:r>
            <w:r w:rsidR="005B1D66" w:rsidRPr="00251D2B">
              <w:rPr>
                <w:b/>
                <w:sz w:val="36"/>
                <w:szCs w:val="36"/>
              </w:rPr>
              <w:t>SERVICE</w:t>
            </w:r>
          </w:p>
          <w:p w14:paraId="6FCE1674" w14:textId="13186B79" w:rsidR="00735AD0" w:rsidRPr="00F14AE2" w:rsidRDefault="000A4214" w:rsidP="00251D2B">
            <w:pPr>
              <w:spacing w:before="240" w:after="1560"/>
              <w:jc w:val="center"/>
            </w:pPr>
            <w:r w:rsidRPr="00251D2B">
              <w:rPr>
                <w:b/>
                <w:sz w:val="36"/>
                <w:szCs w:val="36"/>
              </w:rPr>
              <w:t>T</w:t>
            </w:r>
            <w:r w:rsidR="00BD21BC" w:rsidRPr="00251D2B">
              <w:rPr>
                <w:b/>
                <w:sz w:val="36"/>
                <w:szCs w:val="36"/>
              </w:rPr>
              <w:t>IER</w:t>
            </w:r>
            <w:r w:rsidRPr="00251D2B">
              <w:rPr>
                <w:b/>
                <w:sz w:val="36"/>
                <w:szCs w:val="36"/>
              </w:rPr>
              <w:t xml:space="preserve"> TWO</w:t>
            </w:r>
            <w:r w:rsidR="00681315" w:rsidRPr="00251D2B">
              <w:rPr>
                <w:b/>
                <w:sz w:val="36"/>
                <w:szCs w:val="36"/>
              </w:rPr>
              <w:t xml:space="preserve"> </w:t>
            </w:r>
            <w:r w:rsidR="00EA19FC" w:rsidRPr="00251D2B">
              <w:rPr>
                <w:b/>
                <w:sz w:val="36"/>
                <w:szCs w:val="36"/>
              </w:rPr>
              <w:t>S</w:t>
            </w:r>
            <w:r w:rsidR="00872C3B" w:rsidRPr="00251D2B">
              <w:rPr>
                <w:b/>
                <w:sz w:val="36"/>
                <w:szCs w:val="36"/>
              </w:rPr>
              <w:t>ERVICE</w:t>
            </w:r>
            <w:r w:rsidR="00EA19FC" w:rsidRPr="00251D2B">
              <w:rPr>
                <w:b/>
                <w:sz w:val="36"/>
                <w:szCs w:val="36"/>
              </w:rPr>
              <w:t xml:space="preserve"> S</w:t>
            </w:r>
            <w:r w:rsidR="00872C3B" w:rsidRPr="00251D2B">
              <w:rPr>
                <w:b/>
                <w:sz w:val="36"/>
                <w:szCs w:val="36"/>
              </w:rPr>
              <w:t>PEC</w:t>
            </w:r>
            <w:r w:rsidR="00565372" w:rsidRPr="00251D2B">
              <w:rPr>
                <w:b/>
                <w:sz w:val="36"/>
                <w:szCs w:val="36"/>
              </w:rPr>
              <w:t>IFICATION</w:t>
            </w:r>
          </w:p>
        </w:tc>
      </w:tr>
      <w:tr w:rsidR="00EA19FC" w:rsidRPr="00F14AE2" w14:paraId="31387820" w14:textId="77777777" w:rsidTr="009313CE">
        <w:tc>
          <w:tcPr>
            <w:tcW w:w="6638" w:type="dxa"/>
            <w:gridSpan w:val="2"/>
          </w:tcPr>
          <w:p w14:paraId="4C6753A3" w14:textId="1E7EE379" w:rsidR="00EA19FC" w:rsidRPr="00251D2B" w:rsidRDefault="00EA19FC" w:rsidP="00251D2B">
            <w:pPr>
              <w:spacing w:before="120"/>
              <w:rPr>
                <w:b/>
                <w:sz w:val="32"/>
                <w:szCs w:val="32"/>
              </w:rPr>
            </w:pPr>
            <w:r w:rsidRPr="00251D2B">
              <w:rPr>
                <w:b/>
                <w:sz w:val="32"/>
                <w:szCs w:val="32"/>
              </w:rPr>
              <w:t>S</w:t>
            </w:r>
            <w:r w:rsidR="00B120A9" w:rsidRPr="00251D2B">
              <w:rPr>
                <w:b/>
                <w:sz w:val="32"/>
                <w:szCs w:val="32"/>
              </w:rPr>
              <w:t>TATUS</w:t>
            </w:r>
            <w:r w:rsidRPr="00251D2B">
              <w:rPr>
                <w:b/>
                <w:sz w:val="32"/>
                <w:szCs w:val="32"/>
              </w:rPr>
              <w:t>:</w:t>
            </w:r>
          </w:p>
          <w:p w14:paraId="307158F1" w14:textId="0C921CD2" w:rsidR="00EA19FC" w:rsidRPr="00F14AE2" w:rsidRDefault="00B120A9" w:rsidP="00251D2B">
            <w:pPr>
              <w:spacing w:before="120" w:after="120"/>
            </w:pPr>
            <w:r w:rsidRPr="00F14AE2">
              <w:t>It is compulsory to use this nationwide service specification when purchasing this service</w:t>
            </w:r>
            <w:r w:rsidR="004D2BC4" w:rsidRPr="00F14AE2">
              <w:t>.</w:t>
            </w:r>
          </w:p>
        </w:tc>
        <w:tc>
          <w:tcPr>
            <w:tcW w:w="3118" w:type="dxa"/>
          </w:tcPr>
          <w:p w14:paraId="1FF5BBF5" w14:textId="209FE08C" w:rsidR="00EA19FC" w:rsidRPr="00251D2B" w:rsidRDefault="00EA19FC" w:rsidP="00251D2B">
            <w:pPr>
              <w:spacing w:before="120"/>
              <w:rPr>
                <w:b/>
                <w:sz w:val="32"/>
                <w:szCs w:val="32"/>
              </w:rPr>
            </w:pPr>
            <w:r w:rsidRPr="00251D2B">
              <w:rPr>
                <w:b/>
                <w:sz w:val="32"/>
                <w:szCs w:val="32"/>
              </w:rPr>
              <w:t>MANDATORY</w:t>
            </w:r>
          </w:p>
        </w:tc>
      </w:tr>
      <w:tr w:rsidR="00EA19FC" w:rsidRPr="00F14AE2" w14:paraId="565C1E52" w14:textId="77777777" w:rsidTr="009313CE">
        <w:trPr>
          <w:trHeight w:val="297"/>
        </w:trPr>
        <w:tc>
          <w:tcPr>
            <w:tcW w:w="6638" w:type="dxa"/>
            <w:gridSpan w:val="2"/>
            <w:tcBorders>
              <w:top w:val="single" w:sz="4" w:space="0" w:color="auto"/>
              <w:bottom w:val="single" w:sz="4" w:space="0" w:color="auto"/>
            </w:tcBorders>
            <w:shd w:val="clear" w:color="auto" w:fill="CCCCCC"/>
          </w:tcPr>
          <w:p w14:paraId="072DEF1D" w14:textId="77777777" w:rsidR="00EA19FC" w:rsidRPr="00251D2B" w:rsidRDefault="00EA19FC" w:rsidP="00251D2B">
            <w:pPr>
              <w:spacing w:before="120"/>
              <w:rPr>
                <w:b/>
                <w:sz w:val="32"/>
                <w:szCs w:val="32"/>
              </w:rPr>
            </w:pPr>
            <w:r w:rsidRPr="00251D2B">
              <w:rPr>
                <w:b/>
                <w:sz w:val="32"/>
                <w:szCs w:val="32"/>
              </w:rPr>
              <w:t>Review History</w:t>
            </w:r>
          </w:p>
        </w:tc>
        <w:tc>
          <w:tcPr>
            <w:tcW w:w="3118" w:type="dxa"/>
            <w:tcBorders>
              <w:top w:val="single" w:sz="4" w:space="0" w:color="auto"/>
              <w:bottom w:val="single" w:sz="4" w:space="0" w:color="auto"/>
            </w:tcBorders>
            <w:shd w:val="clear" w:color="auto" w:fill="CCCCCC"/>
          </w:tcPr>
          <w:p w14:paraId="083AE47C" w14:textId="77777777" w:rsidR="00EA19FC" w:rsidRPr="00251D2B" w:rsidRDefault="00EA19FC" w:rsidP="00251D2B">
            <w:pPr>
              <w:spacing w:before="120"/>
              <w:rPr>
                <w:b/>
                <w:sz w:val="32"/>
                <w:szCs w:val="32"/>
              </w:rPr>
            </w:pPr>
            <w:r w:rsidRPr="00251D2B">
              <w:rPr>
                <w:b/>
                <w:sz w:val="32"/>
                <w:szCs w:val="32"/>
              </w:rPr>
              <w:t>Date</w:t>
            </w:r>
          </w:p>
        </w:tc>
      </w:tr>
      <w:tr w:rsidR="00EA19FC" w:rsidRPr="00F14AE2" w14:paraId="158EB50B" w14:textId="77777777" w:rsidTr="009313CE">
        <w:tc>
          <w:tcPr>
            <w:tcW w:w="6638" w:type="dxa"/>
            <w:gridSpan w:val="2"/>
            <w:tcBorders>
              <w:top w:val="single" w:sz="4" w:space="0" w:color="auto"/>
              <w:left w:val="single" w:sz="4" w:space="0" w:color="auto"/>
              <w:bottom w:val="single" w:sz="6" w:space="0" w:color="auto"/>
              <w:right w:val="single" w:sz="6" w:space="0" w:color="auto"/>
            </w:tcBorders>
            <w:vAlign w:val="center"/>
          </w:tcPr>
          <w:p w14:paraId="33D5B2F4" w14:textId="16ADF79A" w:rsidR="00EA19FC" w:rsidRPr="00F14AE2" w:rsidRDefault="00D251F3" w:rsidP="00251D2B">
            <w:pPr>
              <w:spacing w:before="120" w:after="120"/>
            </w:pPr>
            <w:r w:rsidRPr="00F14AE2">
              <w:t xml:space="preserve">First </w:t>
            </w:r>
            <w:r w:rsidR="00EA19FC" w:rsidRPr="00F14AE2">
              <w:t>Published on NSFL</w:t>
            </w:r>
          </w:p>
        </w:tc>
        <w:tc>
          <w:tcPr>
            <w:tcW w:w="3118" w:type="dxa"/>
            <w:tcBorders>
              <w:top w:val="single" w:sz="4" w:space="0" w:color="auto"/>
              <w:left w:val="single" w:sz="6" w:space="0" w:color="auto"/>
              <w:bottom w:val="single" w:sz="6" w:space="0" w:color="auto"/>
              <w:right w:val="single" w:sz="4" w:space="0" w:color="auto"/>
            </w:tcBorders>
            <w:vAlign w:val="center"/>
          </w:tcPr>
          <w:p w14:paraId="283F0AD1" w14:textId="5A01D2C1" w:rsidR="00EA19FC" w:rsidRPr="00251D2B" w:rsidRDefault="00D251F3" w:rsidP="00251D2B">
            <w:pPr>
              <w:spacing w:before="120" w:after="120"/>
              <w:rPr>
                <w:b/>
              </w:rPr>
            </w:pPr>
            <w:r w:rsidRPr="00251D2B">
              <w:rPr>
                <w:b/>
              </w:rPr>
              <w:t>2001</w:t>
            </w:r>
          </w:p>
        </w:tc>
      </w:tr>
      <w:tr w:rsidR="00EA19FC" w:rsidRPr="00F14AE2" w14:paraId="7D122454" w14:textId="77777777" w:rsidTr="009313CE">
        <w:tc>
          <w:tcPr>
            <w:tcW w:w="6638" w:type="dxa"/>
            <w:gridSpan w:val="2"/>
            <w:tcBorders>
              <w:top w:val="single" w:sz="6" w:space="0" w:color="auto"/>
              <w:left w:val="single" w:sz="4" w:space="0" w:color="auto"/>
              <w:bottom w:val="single" w:sz="6" w:space="0" w:color="auto"/>
              <w:right w:val="single" w:sz="6" w:space="0" w:color="auto"/>
            </w:tcBorders>
            <w:vAlign w:val="center"/>
          </w:tcPr>
          <w:p w14:paraId="5AE4FD84" w14:textId="12FF2B14" w:rsidR="00EA19FC" w:rsidRPr="00F14AE2" w:rsidRDefault="00EA19FC" w:rsidP="00251D2B">
            <w:pPr>
              <w:spacing w:before="120" w:after="120"/>
            </w:pPr>
            <w:r w:rsidRPr="00251D2B">
              <w:rPr>
                <w:b/>
              </w:rPr>
              <w:t>Amendments:</w:t>
            </w:r>
            <w:r w:rsidRPr="00F14AE2">
              <w:t xml:space="preserve"> </w:t>
            </w:r>
            <w:r w:rsidR="00917FFC" w:rsidRPr="00F14AE2">
              <w:t>s</w:t>
            </w:r>
            <w:r w:rsidR="00306DB0" w:rsidRPr="00F14AE2">
              <w:t xml:space="preserve">tandard </w:t>
            </w:r>
            <w:r w:rsidR="00CA4FA6" w:rsidRPr="00F14AE2">
              <w:t>Māori</w:t>
            </w:r>
            <w:r w:rsidR="00306DB0" w:rsidRPr="00F14AE2">
              <w:t xml:space="preserve"> health, entry and exit criteria, support services, service linkages table, quality requirements, purchase units and reporting requirements.  Added Virtual First Specialist Assessment and purchase unit codes S00011, S70</w:t>
            </w:r>
            <w:smartTag w:uri="urn:schemas-microsoft-com:office:smarttags" w:element="stockticker">
              <w:r w:rsidR="00306DB0" w:rsidRPr="00F14AE2">
                <w:t>PRE</w:t>
              </w:r>
            </w:smartTag>
            <w:r w:rsidR="00AF1BAC" w:rsidRPr="00F14AE2">
              <w:t>, S70CANC</w:t>
            </w:r>
          </w:p>
        </w:tc>
        <w:tc>
          <w:tcPr>
            <w:tcW w:w="3118" w:type="dxa"/>
            <w:tcBorders>
              <w:top w:val="single" w:sz="6" w:space="0" w:color="auto"/>
              <w:left w:val="single" w:sz="6" w:space="0" w:color="auto"/>
              <w:bottom w:val="single" w:sz="6" w:space="0" w:color="auto"/>
              <w:right w:val="single" w:sz="4" w:space="0" w:color="auto"/>
            </w:tcBorders>
            <w:vAlign w:val="center"/>
          </w:tcPr>
          <w:p w14:paraId="1DDE87F3" w14:textId="77777777" w:rsidR="00EA19FC" w:rsidRPr="00251D2B" w:rsidRDefault="00473926" w:rsidP="00251D2B">
            <w:pPr>
              <w:spacing w:before="120" w:after="120"/>
              <w:rPr>
                <w:b/>
              </w:rPr>
            </w:pPr>
            <w:r w:rsidRPr="00251D2B">
              <w:rPr>
                <w:b/>
              </w:rPr>
              <w:t xml:space="preserve">August </w:t>
            </w:r>
            <w:r w:rsidR="00550731" w:rsidRPr="00251D2B">
              <w:rPr>
                <w:b/>
              </w:rPr>
              <w:t>20</w:t>
            </w:r>
            <w:r w:rsidR="005B1D66" w:rsidRPr="00251D2B">
              <w:rPr>
                <w:b/>
              </w:rPr>
              <w:t>10</w:t>
            </w:r>
          </w:p>
        </w:tc>
      </w:tr>
      <w:tr w:rsidR="006129B4" w:rsidRPr="00F14AE2" w14:paraId="57DE3347" w14:textId="77777777" w:rsidTr="009313CE">
        <w:tc>
          <w:tcPr>
            <w:tcW w:w="6638" w:type="dxa"/>
            <w:gridSpan w:val="2"/>
            <w:tcBorders>
              <w:top w:val="single" w:sz="6" w:space="0" w:color="auto"/>
              <w:left w:val="single" w:sz="4" w:space="0" w:color="auto"/>
              <w:bottom w:val="single" w:sz="6" w:space="0" w:color="auto"/>
              <w:right w:val="single" w:sz="6" w:space="0" w:color="auto"/>
            </w:tcBorders>
            <w:vAlign w:val="center"/>
          </w:tcPr>
          <w:p w14:paraId="3C08AD6A" w14:textId="27D2496E" w:rsidR="006129B4" w:rsidRPr="00F14AE2" w:rsidRDefault="00B120A9" w:rsidP="00251D2B">
            <w:pPr>
              <w:spacing w:before="120" w:after="120"/>
            </w:pPr>
            <w:r w:rsidRPr="00251D2B">
              <w:rPr>
                <w:b/>
              </w:rPr>
              <w:t>Amendments</w:t>
            </w:r>
            <w:r w:rsidRPr="00F14AE2">
              <w:t xml:space="preserve">: </w:t>
            </w:r>
            <w:r w:rsidR="0039158E" w:rsidRPr="00F14AE2">
              <w:t>Updated r</w:t>
            </w:r>
            <w:r w:rsidR="005C7B40" w:rsidRPr="00F14AE2">
              <w:t>eferences and links</w:t>
            </w:r>
            <w:r w:rsidR="0039158E" w:rsidRPr="00F14AE2">
              <w:t>, edited</w:t>
            </w:r>
            <w:r w:rsidR="005C7B40" w:rsidRPr="00F14AE2">
              <w:t xml:space="preserve">. </w:t>
            </w:r>
            <w:r w:rsidR="0039158E" w:rsidRPr="00F14AE2">
              <w:t>Added n</w:t>
            </w:r>
            <w:r w:rsidR="00EE491A" w:rsidRPr="00F14AE2">
              <w:t>ew PU code S700</w:t>
            </w:r>
            <w:bookmarkStart w:id="0" w:name="_GoBack"/>
            <w:bookmarkEnd w:id="0"/>
            <w:r w:rsidR="001B29F7">
              <w:t>0</w:t>
            </w:r>
            <w:r w:rsidR="00EE491A" w:rsidRPr="00F14AE2">
              <w:t xml:space="preserve">8, </w:t>
            </w:r>
            <w:r w:rsidR="0039158E" w:rsidRPr="00F14AE2">
              <w:t xml:space="preserve">other </w:t>
            </w:r>
            <w:r w:rsidR="0005566F">
              <w:t>P</w:t>
            </w:r>
            <w:r w:rsidR="005C7B40" w:rsidRPr="00F14AE2">
              <w:t>urchase Unit</w:t>
            </w:r>
            <w:r w:rsidR="0039158E" w:rsidRPr="00F14AE2">
              <w:t xml:space="preserve"> </w:t>
            </w:r>
            <w:r w:rsidR="0005566F">
              <w:t>C</w:t>
            </w:r>
            <w:r w:rsidR="0039158E" w:rsidRPr="00F14AE2">
              <w:t>odes</w:t>
            </w:r>
            <w:r w:rsidR="005C7B40" w:rsidRPr="00F14AE2">
              <w:t xml:space="preserve"> updated to align with the Data Dictionary</w:t>
            </w:r>
            <w:r w:rsidR="000E68FA">
              <w:t>, Reporting aligns with the Ministry’s National Collections’ requirements</w:t>
            </w:r>
            <w:r w:rsidR="005C7B40" w:rsidRPr="00F14AE2">
              <w:t xml:space="preserve">. </w:t>
            </w:r>
          </w:p>
        </w:tc>
        <w:tc>
          <w:tcPr>
            <w:tcW w:w="3118" w:type="dxa"/>
            <w:tcBorders>
              <w:top w:val="single" w:sz="6" w:space="0" w:color="auto"/>
              <w:left w:val="single" w:sz="6" w:space="0" w:color="auto"/>
              <w:bottom w:val="single" w:sz="6" w:space="0" w:color="auto"/>
              <w:right w:val="single" w:sz="4" w:space="0" w:color="auto"/>
            </w:tcBorders>
            <w:vAlign w:val="center"/>
          </w:tcPr>
          <w:p w14:paraId="33F1A1F0" w14:textId="233112F4" w:rsidR="006129B4" w:rsidRPr="00251D2B" w:rsidRDefault="009313CE" w:rsidP="00251D2B">
            <w:pPr>
              <w:spacing w:before="120" w:after="120"/>
              <w:rPr>
                <w:b/>
              </w:rPr>
            </w:pPr>
            <w:r w:rsidRPr="00251D2B">
              <w:rPr>
                <w:b/>
              </w:rPr>
              <w:t>May 2020</w:t>
            </w:r>
            <w:r w:rsidR="006129B4" w:rsidRPr="00251D2B">
              <w:rPr>
                <w:b/>
              </w:rPr>
              <w:t xml:space="preserve"> </w:t>
            </w:r>
          </w:p>
        </w:tc>
      </w:tr>
      <w:tr w:rsidR="009313CE" w:rsidRPr="00F14AE2" w14:paraId="65BC894C" w14:textId="77777777" w:rsidTr="009313CE">
        <w:tc>
          <w:tcPr>
            <w:tcW w:w="6638" w:type="dxa"/>
            <w:gridSpan w:val="2"/>
            <w:tcBorders>
              <w:top w:val="single" w:sz="6" w:space="0" w:color="auto"/>
              <w:left w:val="single" w:sz="4" w:space="0" w:color="auto"/>
              <w:bottom w:val="single" w:sz="6" w:space="0" w:color="auto"/>
              <w:right w:val="single" w:sz="6" w:space="0" w:color="auto"/>
            </w:tcBorders>
            <w:vAlign w:val="center"/>
          </w:tcPr>
          <w:p w14:paraId="3FC200EB" w14:textId="21FB679D" w:rsidR="009313CE" w:rsidRPr="00F14AE2" w:rsidRDefault="009313CE" w:rsidP="00251D2B">
            <w:pPr>
              <w:spacing w:before="120" w:after="120"/>
            </w:pPr>
            <w:r w:rsidRPr="00F14AE2">
              <w:t xml:space="preserve">Consideration for review </w:t>
            </w:r>
          </w:p>
        </w:tc>
        <w:tc>
          <w:tcPr>
            <w:tcW w:w="3118" w:type="dxa"/>
            <w:tcBorders>
              <w:top w:val="single" w:sz="6" w:space="0" w:color="auto"/>
              <w:left w:val="single" w:sz="6" w:space="0" w:color="auto"/>
              <w:bottom w:val="single" w:sz="6" w:space="0" w:color="auto"/>
              <w:right w:val="single" w:sz="4" w:space="0" w:color="auto"/>
            </w:tcBorders>
            <w:vAlign w:val="center"/>
          </w:tcPr>
          <w:p w14:paraId="10AA0633" w14:textId="704D6D7C" w:rsidR="009313CE" w:rsidRPr="00251D2B" w:rsidRDefault="009313CE" w:rsidP="00251D2B">
            <w:pPr>
              <w:spacing w:before="120" w:after="120"/>
              <w:rPr>
                <w:b/>
              </w:rPr>
            </w:pPr>
            <w:r w:rsidRPr="00251D2B">
              <w:rPr>
                <w:b/>
              </w:rPr>
              <w:t>within 5 years</w:t>
            </w:r>
          </w:p>
        </w:tc>
      </w:tr>
    </w:tbl>
    <w:p w14:paraId="02620263" w14:textId="1B6FDF1A" w:rsidR="00760638" w:rsidRPr="00F14AE2" w:rsidRDefault="00EA19FC" w:rsidP="00251D2B">
      <w:pPr>
        <w:spacing w:before="120"/>
      </w:pPr>
      <w:r w:rsidRPr="00F14AE2">
        <w:t>Note: Contact the Service Specification Programme Manager, Ministry of Health</w:t>
      </w:r>
      <w:r w:rsidR="00B120A9" w:rsidRPr="00F14AE2">
        <w:t xml:space="preserve"> </w:t>
      </w:r>
      <w:r w:rsidR="0039158E" w:rsidRPr="00F14AE2">
        <w:t xml:space="preserve">nsfl@health.govt.nz </w:t>
      </w:r>
      <w:r w:rsidR="00B120A9" w:rsidRPr="00F14AE2">
        <w:t xml:space="preserve">for queries about </w:t>
      </w:r>
      <w:r w:rsidR="0039158E" w:rsidRPr="00F14AE2">
        <w:t xml:space="preserve">this </w:t>
      </w:r>
      <w:r w:rsidRPr="00F14AE2">
        <w:t xml:space="preserve">service specification. </w:t>
      </w:r>
    </w:p>
    <w:p w14:paraId="05025068" w14:textId="13E8C0BC" w:rsidR="00EA19FC" w:rsidRPr="00F14AE2" w:rsidRDefault="00EA19FC" w:rsidP="00251D2B">
      <w:pPr>
        <w:spacing w:before="120"/>
      </w:pPr>
      <w:r w:rsidRPr="00F14AE2">
        <w:t>Website address Nationwide Service Framework Library: www.nsfl.health.govt.nz/</w:t>
      </w:r>
    </w:p>
    <w:p w14:paraId="44D3615A" w14:textId="0E6DEB87" w:rsidR="00735AD0" w:rsidRPr="00F14AE2" w:rsidRDefault="008427AA" w:rsidP="00251D2B">
      <w:pPr>
        <w:pBdr>
          <w:top w:val="single" w:sz="4" w:space="1" w:color="auto"/>
          <w:left w:val="single" w:sz="4" w:space="4" w:color="auto"/>
          <w:bottom w:val="single" w:sz="4" w:space="1" w:color="auto"/>
          <w:right w:val="single" w:sz="4" w:space="4" w:color="auto"/>
        </w:pBdr>
        <w:jc w:val="center"/>
        <w:rPr>
          <w:b/>
        </w:rPr>
      </w:pPr>
      <w:r w:rsidRPr="00F14AE2">
        <w:br w:type="page"/>
      </w:r>
      <w:r w:rsidR="00735AD0" w:rsidRPr="00F14AE2">
        <w:rPr>
          <w:b/>
        </w:rPr>
        <w:lastRenderedPageBreak/>
        <w:t xml:space="preserve">SPECIALIST MEDICAL </w:t>
      </w:r>
      <w:r w:rsidR="009F0A95" w:rsidRPr="00F14AE2">
        <w:rPr>
          <w:b/>
        </w:rPr>
        <w:t xml:space="preserve">AND SURGICAL </w:t>
      </w:r>
      <w:r w:rsidR="00735AD0" w:rsidRPr="00F14AE2">
        <w:rPr>
          <w:b/>
        </w:rPr>
        <w:t>SERVICES</w:t>
      </w:r>
      <w:r w:rsidR="005B1D66" w:rsidRPr="00F14AE2">
        <w:rPr>
          <w:b/>
        </w:rPr>
        <w:t xml:space="preserve"> –</w:t>
      </w:r>
    </w:p>
    <w:p w14:paraId="7C4A93AC" w14:textId="77777777" w:rsidR="005B1D66" w:rsidRPr="00F14AE2" w:rsidRDefault="005B1D66" w:rsidP="00251D2B">
      <w:pPr>
        <w:pBdr>
          <w:top w:val="single" w:sz="4" w:space="1" w:color="auto"/>
          <w:left w:val="single" w:sz="4" w:space="4" w:color="auto"/>
          <w:bottom w:val="single" w:sz="4" w:space="1" w:color="auto"/>
          <w:right w:val="single" w:sz="4" w:space="4" w:color="auto"/>
        </w:pBdr>
        <w:jc w:val="center"/>
        <w:rPr>
          <w:b/>
        </w:rPr>
      </w:pPr>
      <w:r w:rsidRPr="00F14AE2">
        <w:rPr>
          <w:b/>
        </w:rPr>
        <w:t>UROLOGY SERVICE</w:t>
      </w:r>
    </w:p>
    <w:p w14:paraId="0A487B0A" w14:textId="4072FEAB" w:rsidR="00550731" w:rsidRPr="00F14AE2" w:rsidRDefault="00EA19FC" w:rsidP="00251D2B">
      <w:pPr>
        <w:pBdr>
          <w:top w:val="single" w:sz="4" w:space="1" w:color="auto"/>
          <w:left w:val="single" w:sz="4" w:space="4" w:color="auto"/>
          <w:bottom w:val="single" w:sz="4" w:space="1" w:color="auto"/>
          <w:right w:val="single" w:sz="4" w:space="4" w:color="auto"/>
        </w:pBdr>
        <w:jc w:val="center"/>
        <w:rPr>
          <w:b/>
        </w:rPr>
      </w:pPr>
      <w:r w:rsidRPr="00F14AE2">
        <w:rPr>
          <w:b/>
        </w:rPr>
        <w:t xml:space="preserve">TIER </w:t>
      </w:r>
      <w:r w:rsidR="00274A3C" w:rsidRPr="00F14AE2">
        <w:rPr>
          <w:b/>
        </w:rPr>
        <w:t>TWO</w:t>
      </w:r>
      <w:r w:rsidR="009E2755" w:rsidRPr="00F14AE2">
        <w:rPr>
          <w:b/>
        </w:rPr>
        <w:t xml:space="preserve"> </w:t>
      </w:r>
      <w:r w:rsidR="00550731" w:rsidRPr="00F14AE2">
        <w:rPr>
          <w:b/>
        </w:rPr>
        <w:t>SERVICE SPECIFICATION</w:t>
      </w:r>
    </w:p>
    <w:p w14:paraId="1C24E7E9" w14:textId="1570EA1E" w:rsidR="008B2B9D" w:rsidRPr="00F14AE2" w:rsidRDefault="008B2B9D" w:rsidP="00251D2B">
      <w:pPr>
        <w:pBdr>
          <w:top w:val="single" w:sz="4" w:space="1" w:color="auto"/>
          <w:left w:val="single" w:sz="4" w:space="4" w:color="auto"/>
          <w:bottom w:val="single" w:sz="4" w:space="1" w:color="auto"/>
          <w:right w:val="single" w:sz="4" w:space="4" w:color="auto"/>
        </w:pBdr>
        <w:jc w:val="center"/>
        <w:rPr>
          <w:b/>
        </w:rPr>
      </w:pPr>
      <w:r w:rsidRPr="00F14AE2">
        <w:rPr>
          <w:b/>
        </w:rPr>
        <w:t>S70001, S70002, S70003, S70006, S70007,</w:t>
      </w:r>
      <w:r w:rsidR="00470DCA" w:rsidRPr="00F14AE2">
        <w:rPr>
          <w:b/>
        </w:rPr>
        <w:t xml:space="preserve"> </w:t>
      </w:r>
      <w:r w:rsidR="009313CE" w:rsidRPr="00F14AE2">
        <w:rPr>
          <w:b/>
        </w:rPr>
        <w:t>S700</w:t>
      </w:r>
      <w:r w:rsidR="001B29F7">
        <w:rPr>
          <w:b/>
        </w:rPr>
        <w:t>0</w:t>
      </w:r>
      <w:r w:rsidR="009313CE" w:rsidRPr="00F14AE2">
        <w:rPr>
          <w:b/>
        </w:rPr>
        <w:t>8,</w:t>
      </w:r>
      <w:r w:rsidRPr="00F14AE2">
        <w:rPr>
          <w:b/>
        </w:rPr>
        <w:t xml:space="preserve"> S00011, S70PRE, S70CANC</w:t>
      </w:r>
    </w:p>
    <w:p w14:paraId="0E558785" w14:textId="1AEC3442" w:rsidR="0056478F" w:rsidRPr="00F14AE2" w:rsidRDefault="00E63CDE" w:rsidP="00805CE8">
      <w:pPr>
        <w:spacing w:before="120"/>
      </w:pPr>
      <w:r w:rsidRPr="00F14AE2">
        <w:t xml:space="preserve">This </w:t>
      </w:r>
      <w:r w:rsidR="00CD306B" w:rsidRPr="00F14AE2">
        <w:t>t</w:t>
      </w:r>
      <w:r w:rsidRPr="00F14AE2">
        <w:t xml:space="preserve">ier </w:t>
      </w:r>
      <w:r w:rsidR="00CD306B" w:rsidRPr="00F14AE2">
        <w:t>t</w:t>
      </w:r>
      <w:r w:rsidRPr="00F14AE2">
        <w:t xml:space="preserve">wo service specification </w:t>
      </w:r>
      <w:r w:rsidR="00CD306B" w:rsidRPr="00F14AE2">
        <w:t xml:space="preserve">for the </w:t>
      </w:r>
      <w:r w:rsidRPr="00F14AE2">
        <w:t xml:space="preserve">Urology Service </w:t>
      </w:r>
      <w:r w:rsidR="00550731" w:rsidRPr="00F14AE2">
        <w:t xml:space="preserve">(the Service) </w:t>
      </w:r>
      <w:r w:rsidR="00CD306B" w:rsidRPr="00F14AE2">
        <w:t xml:space="preserve">must be used </w:t>
      </w:r>
      <w:r w:rsidR="00833573" w:rsidRPr="00F14AE2">
        <w:t xml:space="preserve">in conjunction with </w:t>
      </w:r>
      <w:r w:rsidRPr="00F14AE2">
        <w:t xml:space="preserve">the </w:t>
      </w:r>
      <w:r w:rsidR="00CD306B" w:rsidRPr="00F14AE2">
        <w:t>t</w:t>
      </w:r>
      <w:r w:rsidRPr="00F14AE2">
        <w:t xml:space="preserve">ier </w:t>
      </w:r>
      <w:r w:rsidR="00CD306B" w:rsidRPr="00F14AE2">
        <w:t>o</w:t>
      </w:r>
      <w:r w:rsidRPr="00F14AE2">
        <w:t xml:space="preserve">ne Specialist Medical and Surgical </w:t>
      </w:r>
      <w:r w:rsidR="000A4214" w:rsidRPr="00F14AE2">
        <w:t xml:space="preserve">Services </w:t>
      </w:r>
      <w:r w:rsidRPr="00F14AE2">
        <w:t>service specification</w:t>
      </w:r>
      <w:r w:rsidR="00CD306B" w:rsidRPr="00F14AE2">
        <w:t xml:space="preserve"> and </w:t>
      </w:r>
      <w:r w:rsidR="004B421E">
        <w:t>if</w:t>
      </w:r>
      <w:r w:rsidR="00CD306B" w:rsidRPr="00F14AE2">
        <w:t xml:space="preserve"> age appropriate</w:t>
      </w:r>
      <w:r w:rsidR="004B421E">
        <w:t>,</w:t>
      </w:r>
      <w:r w:rsidR="00CD306B" w:rsidRPr="00F14AE2">
        <w:t xml:space="preserve"> the t</w:t>
      </w:r>
      <w:r w:rsidR="00833573" w:rsidRPr="00F14AE2">
        <w:t xml:space="preserve">ier </w:t>
      </w:r>
      <w:r w:rsidR="00CD306B" w:rsidRPr="00F14AE2">
        <w:t>o</w:t>
      </w:r>
      <w:r w:rsidR="00833573" w:rsidRPr="00F14AE2">
        <w:t xml:space="preserve">ne </w:t>
      </w:r>
      <w:r w:rsidR="00F66032" w:rsidRPr="00F14AE2">
        <w:t>Services for Children and Young People</w:t>
      </w:r>
      <w:r w:rsidR="00833573" w:rsidRPr="00F14AE2">
        <w:t xml:space="preserve"> service specification</w:t>
      </w:r>
      <w:r w:rsidRPr="00F14AE2">
        <w:t xml:space="preserve">.  </w:t>
      </w:r>
    </w:p>
    <w:p w14:paraId="2C1BB6C6" w14:textId="1D1A31ED" w:rsidR="00274A3C" w:rsidRPr="00F14AE2" w:rsidRDefault="00833573" w:rsidP="00805CE8">
      <w:pPr>
        <w:spacing w:before="120"/>
      </w:pPr>
      <w:r w:rsidRPr="00F14AE2">
        <w:t>Refer to the</w:t>
      </w:r>
      <w:r w:rsidR="004B421E">
        <w:t xml:space="preserve"> ti</w:t>
      </w:r>
      <w:r w:rsidRPr="00F14AE2">
        <w:t xml:space="preserve">er </w:t>
      </w:r>
      <w:r w:rsidR="004B421E">
        <w:t>o</w:t>
      </w:r>
      <w:r w:rsidRPr="00F14AE2">
        <w:t>ne service specification</w:t>
      </w:r>
      <w:r w:rsidR="005B1D66" w:rsidRPr="00F14AE2">
        <w:t>s</w:t>
      </w:r>
      <w:r w:rsidRPr="00F14AE2">
        <w:t xml:space="preserve"> </w:t>
      </w:r>
      <w:r w:rsidR="004B421E">
        <w:t xml:space="preserve">content </w:t>
      </w:r>
      <w:r w:rsidRPr="00F14AE2">
        <w:t>headings for generic</w:t>
      </w:r>
      <w:r w:rsidR="00CD306B" w:rsidRPr="00F14AE2">
        <w:t xml:space="preserve"> principles and requirements that </w:t>
      </w:r>
      <w:r w:rsidR="00EA19FC" w:rsidRPr="00F14AE2">
        <w:t>are applicable to all service delivery.</w:t>
      </w:r>
      <w:r w:rsidR="00274A3C" w:rsidRPr="00F14AE2">
        <w:t xml:space="preserve"> </w:t>
      </w:r>
    </w:p>
    <w:p w14:paraId="3E3F9D66" w14:textId="77777777" w:rsidR="00EA19FC" w:rsidRPr="00F14AE2" w:rsidRDefault="00C20A85" w:rsidP="001A09C9">
      <w:pPr>
        <w:pStyle w:val="Heading2"/>
      </w:pPr>
      <w:r w:rsidRPr="00F14AE2">
        <w:t xml:space="preserve">Service </w:t>
      </w:r>
      <w:r w:rsidR="00EA19FC" w:rsidRPr="00F14AE2">
        <w:t>Definition</w:t>
      </w:r>
    </w:p>
    <w:p w14:paraId="48A56A92" w14:textId="3BB2D630" w:rsidR="00F5631D" w:rsidRPr="00F14AE2" w:rsidRDefault="00D7690B" w:rsidP="004B421E">
      <w:r w:rsidRPr="00F14AE2">
        <w:t xml:space="preserve">The </w:t>
      </w:r>
      <w:r w:rsidR="002405B9" w:rsidRPr="00F14AE2">
        <w:t>Service</w:t>
      </w:r>
      <w:r w:rsidR="00CD306B" w:rsidRPr="00F14AE2">
        <w:t xml:space="preserve"> provides</w:t>
      </w:r>
      <w:r w:rsidR="007B589D" w:rsidRPr="00F14AE2">
        <w:t xml:space="preserve"> </w:t>
      </w:r>
      <w:r w:rsidR="00CD0274" w:rsidRPr="00F14AE2">
        <w:t>specialist</w:t>
      </w:r>
      <w:r w:rsidR="00F5631D" w:rsidRPr="00F14AE2">
        <w:t xml:space="preserve"> </w:t>
      </w:r>
      <w:r w:rsidR="007B589D" w:rsidRPr="00F14AE2">
        <w:t xml:space="preserve">management of </w:t>
      </w:r>
      <w:r w:rsidR="00F5631D" w:rsidRPr="00F14AE2">
        <w:t xml:space="preserve">Service Users who </w:t>
      </w:r>
      <w:r w:rsidR="007B589D" w:rsidRPr="00F14AE2">
        <w:t>present with disorders of the urinary tract in both sexes</w:t>
      </w:r>
      <w:r w:rsidR="0056478F" w:rsidRPr="00F14AE2">
        <w:t>,</w:t>
      </w:r>
      <w:r w:rsidR="007B589D" w:rsidRPr="00F14AE2">
        <w:t xml:space="preserve"> and the male reproductive tract.  </w:t>
      </w:r>
      <w:r w:rsidR="00F5631D" w:rsidRPr="00F14AE2">
        <w:t xml:space="preserve">The level of intervention provided by the Service varies according to the </w:t>
      </w:r>
      <w:r w:rsidR="004B421E" w:rsidRPr="004B421E">
        <w:t>Service User</w:t>
      </w:r>
      <w:r w:rsidR="004B421E">
        <w:t>’</w:t>
      </w:r>
      <w:r w:rsidR="004B421E" w:rsidRPr="004B421E">
        <w:t xml:space="preserve">s </w:t>
      </w:r>
      <w:r w:rsidR="00F5631D" w:rsidRPr="00F14AE2">
        <w:t xml:space="preserve">clinical condition, </w:t>
      </w:r>
      <w:r w:rsidR="004B421E">
        <w:t xml:space="preserve">the desire for treatment, and </w:t>
      </w:r>
      <w:r w:rsidR="00F5631D" w:rsidRPr="00F14AE2">
        <w:t xml:space="preserve">the training of medical staff, and the level of clinical support available.  </w:t>
      </w:r>
    </w:p>
    <w:p w14:paraId="1D4E6AD8" w14:textId="6EE3EC29" w:rsidR="00EA19FC" w:rsidRPr="00F14AE2" w:rsidRDefault="00F225B3" w:rsidP="005A2088">
      <w:pPr>
        <w:spacing w:before="120"/>
      </w:pPr>
      <w:r w:rsidRPr="00F14AE2">
        <w:t>The S</w:t>
      </w:r>
      <w:r w:rsidR="00EA19FC" w:rsidRPr="00F14AE2">
        <w:t xml:space="preserve">ervice </w:t>
      </w:r>
      <w:r w:rsidRPr="00F14AE2">
        <w:t>is</w:t>
      </w:r>
      <w:r w:rsidR="00EA19FC" w:rsidRPr="00F14AE2">
        <w:t xml:space="preserve"> provided as an integrated service</w:t>
      </w:r>
      <w:r w:rsidR="0056478F" w:rsidRPr="00F14AE2">
        <w:t xml:space="preserve"> and </w:t>
      </w:r>
      <w:r w:rsidR="00F5631D" w:rsidRPr="00F14AE2">
        <w:t>includes</w:t>
      </w:r>
      <w:r w:rsidR="00EA19FC" w:rsidRPr="00F14AE2">
        <w:t xml:space="preserve">: </w:t>
      </w:r>
    </w:p>
    <w:p w14:paraId="6465B536" w14:textId="6843CA1B" w:rsidR="00EA19FC" w:rsidRPr="00F14AE2" w:rsidRDefault="00EA19FC" w:rsidP="00AB4895">
      <w:pPr>
        <w:pStyle w:val="ListParagraph"/>
      </w:pPr>
      <w:r w:rsidRPr="00F14AE2">
        <w:t>assessment</w:t>
      </w:r>
      <w:r w:rsidR="00F66032" w:rsidRPr="00F14AE2">
        <w:t xml:space="preserve"> and </w:t>
      </w:r>
      <w:r w:rsidRPr="00F14AE2">
        <w:t>follow up</w:t>
      </w:r>
      <w:r w:rsidR="00F66032" w:rsidRPr="00F14AE2">
        <w:t xml:space="preserve"> </w:t>
      </w:r>
    </w:p>
    <w:p w14:paraId="2CE5C32B" w14:textId="77777777" w:rsidR="00EA19FC" w:rsidRPr="00F14AE2" w:rsidRDefault="00EA19FC" w:rsidP="00AB4895">
      <w:pPr>
        <w:pStyle w:val="ListParagraph"/>
      </w:pPr>
      <w:r w:rsidRPr="00F14AE2">
        <w:t>urology – flexible cystoscopy</w:t>
      </w:r>
    </w:p>
    <w:p w14:paraId="057D0757" w14:textId="77777777" w:rsidR="00EA19FC" w:rsidRPr="00F14AE2" w:rsidRDefault="00EA19FC" w:rsidP="00AB4895">
      <w:pPr>
        <w:pStyle w:val="ListParagraph"/>
      </w:pPr>
      <w:r w:rsidRPr="00F14AE2">
        <w:t>trans-rectal ultrasound and biopsy</w:t>
      </w:r>
    </w:p>
    <w:p w14:paraId="288F495B" w14:textId="77777777" w:rsidR="00EA19FC" w:rsidRPr="00F14AE2" w:rsidRDefault="00EA19FC" w:rsidP="00AB4895">
      <w:pPr>
        <w:pStyle w:val="ListParagraph"/>
      </w:pPr>
      <w:r w:rsidRPr="00F14AE2">
        <w:t>day stay surgery</w:t>
      </w:r>
    </w:p>
    <w:p w14:paraId="1BFDFD1B" w14:textId="77777777" w:rsidR="00EA19FC" w:rsidRPr="00F14AE2" w:rsidRDefault="00EA19FC" w:rsidP="00AB4895">
      <w:pPr>
        <w:pStyle w:val="ListParagraph"/>
      </w:pPr>
      <w:r w:rsidRPr="00F14AE2">
        <w:t>trans-urethral resection of the prostate</w:t>
      </w:r>
    </w:p>
    <w:p w14:paraId="79E3AE80" w14:textId="77777777" w:rsidR="00EA19FC" w:rsidRPr="00F14AE2" w:rsidRDefault="00EA19FC" w:rsidP="00AB4895">
      <w:pPr>
        <w:pStyle w:val="ListParagraph"/>
      </w:pPr>
      <w:r w:rsidRPr="00F14AE2">
        <w:t>basic endoscopic surgical procedures</w:t>
      </w:r>
    </w:p>
    <w:p w14:paraId="2EAA5F75" w14:textId="46BBF127" w:rsidR="00EA19FC" w:rsidRPr="00F14AE2" w:rsidRDefault="00CD306B" w:rsidP="00AB4895">
      <w:pPr>
        <w:pStyle w:val="ListParagraph"/>
      </w:pPr>
      <w:r w:rsidRPr="00F14AE2">
        <w:t>planned care and</w:t>
      </w:r>
      <w:r w:rsidR="00F66032" w:rsidRPr="00F14AE2">
        <w:t xml:space="preserve"> </w:t>
      </w:r>
      <w:r w:rsidR="00EA19FC" w:rsidRPr="00F14AE2">
        <w:t>acute</w:t>
      </w:r>
      <w:r w:rsidR="00F66032" w:rsidRPr="00F14AE2">
        <w:t xml:space="preserve"> procedures</w:t>
      </w:r>
    </w:p>
    <w:p w14:paraId="591CE830" w14:textId="77777777" w:rsidR="00EA19FC" w:rsidRPr="00F14AE2" w:rsidRDefault="00F66032" w:rsidP="00AB4895">
      <w:pPr>
        <w:pStyle w:val="ListParagraph"/>
      </w:pPr>
      <w:r w:rsidRPr="00F14AE2">
        <w:t>e</w:t>
      </w:r>
      <w:r w:rsidR="000B66F4" w:rsidRPr="00F14AE2">
        <w:t>xtracorporeal shock wave lithotripsy (</w:t>
      </w:r>
      <w:r w:rsidR="00EA19FC" w:rsidRPr="00F14AE2">
        <w:t>ESWL</w:t>
      </w:r>
      <w:r w:rsidR="000B66F4" w:rsidRPr="00F14AE2">
        <w:t>)</w:t>
      </w:r>
    </w:p>
    <w:p w14:paraId="45046DBA" w14:textId="77777777" w:rsidR="00EA19FC" w:rsidRPr="00F14AE2" w:rsidRDefault="00F66032" w:rsidP="00AB4895">
      <w:pPr>
        <w:pStyle w:val="ListParagraph"/>
      </w:pPr>
      <w:r w:rsidRPr="00F14AE2">
        <w:t>p</w:t>
      </w:r>
      <w:r w:rsidR="000B66F4" w:rsidRPr="00F14AE2">
        <w:t>ercutaneous nephrolithotomy (</w:t>
      </w:r>
      <w:r w:rsidR="00EA19FC" w:rsidRPr="00F14AE2">
        <w:t>PCNL</w:t>
      </w:r>
      <w:r w:rsidR="000B66F4" w:rsidRPr="00F14AE2">
        <w:t xml:space="preserve">) </w:t>
      </w:r>
      <w:r w:rsidR="00EA19FC" w:rsidRPr="00F14AE2">
        <w:t>/</w:t>
      </w:r>
      <w:r w:rsidR="000B66F4" w:rsidRPr="00F14AE2">
        <w:t xml:space="preserve"> </w:t>
      </w:r>
      <w:r w:rsidR="00EA19FC" w:rsidRPr="00F14AE2">
        <w:t>interventional radiology</w:t>
      </w:r>
    </w:p>
    <w:p w14:paraId="55F24ED0" w14:textId="77777777" w:rsidR="00EA19FC" w:rsidRPr="00F14AE2" w:rsidRDefault="00EA19FC" w:rsidP="00AB4895">
      <w:pPr>
        <w:pStyle w:val="ListParagraph"/>
      </w:pPr>
      <w:r w:rsidRPr="00F14AE2">
        <w:t>female urology</w:t>
      </w:r>
    </w:p>
    <w:p w14:paraId="4BC65E06" w14:textId="77777777" w:rsidR="00EA19FC" w:rsidRPr="00F14AE2" w:rsidRDefault="00EA19FC" w:rsidP="00AB4895">
      <w:pPr>
        <w:pStyle w:val="ListParagraph"/>
      </w:pPr>
      <w:r w:rsidRPr="00F14AE2">
        <w:t xml:space="preserve">paediatric </w:t>
      </w:r>
      <w:r w:rsidR="007B589D" w:rsidRPr="00F14AE2">
        <w:t>urology</w:t>
      </w:r>
    </w:p>
    <w:p w14:paraId="1411EB91" w14:textId="41465618" w:rsidR="00EA19FC" w:rsidRPr="00F14AE2" w:rsidRDefault="00EA19FC" w:rsidP="00AB4895">
      <w:pPr>
        <w:pStyle w:val="ListParagraph"/>
      </w:pPr>
      <w:r w:rsidRPr="00F14AE2">
        <w:t>trauma</w:t>
      </w:r>
      <w:r w:rsidR="00F5631D" w:rsidRPr="00F14AE2">
        <w:t xml:space="preserve"> services</w:t>
      </w:r>
      <w:r w:rsidR="009A6B48" w:rsidRPr="00F14AE2">
        <w:t>.</w:t>
      </w:r>
    </w:p>
    <w:p w14:paraId="7F4BD61D" w14:textId="43E95F74" w:rsidR="00CD306B" w:rsidRPr="00F14AE2" w:rsidRDefault="00CD306B" w:rsidP="001A09C9">
      <w:pPr>
        <w:pStyle w:val="Heading2"/>
      </w:pPr>
      <w:r w:rsidRPr="00F14AE2">
        <w:t>Exclusions</w:t>
      </w:r>
    </w:p>
    <w:p w14:paraId="0AA30F13" w14:textId="0914AA01" w:rsidR="00CD306B" w:rsidRPr="00F14AE2" w:rsidRDefault="00CD306B" w:rsidP="002B1CB0">
      <w:r w:rsidRPr="00F14AE2">
        <w:t>This Service will not duplicate services already contracted for by the Ministry of Health, Accident Compensation Corporation (ACC), or other Government Departments and Agencies or District Health Boards.</w:t>
      </w:r>
    </w:p>
    <w:p w14:paraId="2165F560" w14:textId="718A1542" w:rsidR="00B456DF" w:rsidRPr="00F14AE2" w:rsidRDefault="00B456DF" w:rsidP="001A09C9">
      <w:pPr>
        <w:pStyle w:val="Heading2"/>
      </w:pPr>
      <w:r w:rsidRPr="00F14AE2">
        <w:t>Service Users</w:t>
      </w:r>
    </w:p>
    <w:p w14:paraId="6B8CBEDE" w14:textId="3E722345" w:rsidR="00B456DF" w:rsidRPr="00F14AE2" w:rsidRDefault="00B456DF" w:rsidP="002B1CB0">
      <w:r w:rsidRPr="00F14AE2">
        <w:t xml:space="preserve">Service Users are people who meet the eligibility </w:t>
      </w:r>
      <w:r w:rsidR="005A2088">
        <w:t xml:space="preserve">and service access </w:t>
      </w:r>
      <w:r w:rsidRPr="00F14AE2">
        <w:t xml:space="preserve">criteria and </w:t>
      </w:r>
      <w:r w:rsidR="005A2088">
        <w:t xml:space="preserve">who </w:t>
      </w:r>
      <w:r w:rsidRPr="00F14AE2">
        <w:t>require specialist urology services</w:t>
      </w:r>
      <w:r w:rsidR="004B421E">
        <w:t xml:space="preserve"> for a medical or surgical urology condition</w:t>
      </w:r>
      <w:r w:rsidRPr="00F14AE2">
        <w:t>.</w:t>
      </w:r>
    </w:p>
    <w:p w14:paraId="0E86D5EC" w14:textId="10FA119D" w:rsidR="00274A3C" w:rsidRPr="00F14AE2" w:rsidRDefault="00274A3C" w:rsidP="001A09C9">
      <w:pPr>
        <w:pStyle w:val="Heading2"/>
      </w:pPr>
      <w:r w:rsidRPr="00F14AE2">
        <w:t>Service Objective</w:t>
      </w:r>
    </w:p>
    <w:p w14:paraId="078119F1" w14:textId="65A9ADC0" w:rsidR="004B421E" w:rsidRDefault="00DD5221" w:rsidP="00805CE8">
      <w:pPr>
        <w:spacing w:before="120"/>
      </w:pPr>
      <w:r w:rsidRPr="00F14AE2">
        <w:t xml:space="preserve">The Service will ensure that there is prompt service available for </w:t>
      </w:r>
      <w:r w:rsidR="00805CE8">
        <w:t>Service Users</w:t>
      </w:r>
      <w:r w:rsidRPr="00F14AE2">
        <w:t xml:space="preserve"> presenting with urgent conditions such as</w:t>
      </w:r>
      <w:r w:rsidR="00805CE8">
        <w:t>:</w:t>
      </w:r>
      <w:r w:rsidRPr="00F14AE2">
        <w:t xml:space="preserve"> acute retention, urosepsis, renal colic, testicular torsion, inflammatory conditions of the male genital tract and trauma.</w:t>
      </w:r>
    </w:p>
    <w:p w14:paraId="397B9211" w14:textId="77777777" w:rsidR="004B421E" w:rsidRDefault="004B421E">
      <w:r>
        <w:br w:type="page"/>
      </w:r>
    </w:p>
    <w:p w14:paraId="1C5CE917" w14:textId="382D12C5" w:rsidR="00274A3C" w:rsidRPr="00805CE8" w:rsidRDefault="00274A3C" w:rsidP="001A09C9">
      <w:pPr>
        <w:pStyle w:val="Heading2"/>
      </w:pPr>
      <w:r w:rsidRPr="00805CE8">
        <w:lastRenderedPageBreak/>
        <w:t>Access</w:t>
      </w:r>
    </w:p>
    <w:p w14:paraId="20572BFF" w14:textId="70562FA5" w:rsidR="005A2088" w:rsidRDefault="00CA598E" w:rsidP="004B421E">
      <w:pPr>
        <w:spacing w:before="120"/>
      </w:pPr>
      <w:r w:rsidRPr="00F14AE2">
        <w:t>Access to the Service is by referral from an appropriate health professiona</w:t>
      </w:r>
      <w:r w:rsidR="005A2088">
        <w:t>l.</w:t>
      </w:r>
      <w:r w:rsidR="004B421E">
        <w:t xml:space="preserve">  </w:t>
      </w:r>
      <w:r w:rsidR="005A2088" w:rsidRPr="005A2088">
        <w:t>Access may be limited by the referral prioritisation framework where access is restricted.</w:t>
      </w:r>
      <w:r w:rsidR="004B421E">
        <w:t xml:space="preserve">  </w:t>
      </w:r>
      <w:r w:rsidR="005A2088" w:rsidRPr="005A2088">
        <w:t>Service Users will be eligible for the Service based on the clinical assessment of their health status risk</w:t>
      </w:r>
      <w:r w:rsidR="005A2088">
        <w:t>.</w:t>
      </w:r>
      <w:r w:rsidR="00EC79CA">
        <w:t xml:space="preserve">  Service Providers will use the approved </w:t>
      </w:r>
      <w:r w:rsidR="0014694D">
        <w:t xml:space="preserve">electronic </w:t>
      </w:r>
      <w:r w:rsidR="00EC79CA">
        <w:t>Urology Clinical Prioritisation tools</w:t>
      </w:r>
      <w:r w:rsidR="0014694D">
        <w:rPr>
          <w:rStyle w:val="FootnoteReference"/>
        </w:rPr>
        <w:footnoteReference w:id="1"/>
      </w:r>
      <w:r w:rsidR="0014694D">
        <w:t xml:space="preserve"> when available</w:t>
      </w:r>
      <w:r w:rsidR="00EC79CA">
        <w:t xml:space="preserve">. </w:t>
      </w:r>
    </w:p>
    <w:p w14:paraId="724C6B56" w14:textId="733F1893" w:rsidR="00F66032" w:rsidRPr="00F14AE2" w:rsidRDefault="00EC2A71" w:rsidP="005A2088">
      <w:pPr>
        <w:spacing w:before="120"/>
      </w:pPr>
      <w:r w:rsidRPr="00F14AE2">
        <w:t>The Service must be prepared</w:t>
      </w:r>
      <w:r w:rsidR="00F66032" w:rsidRPr="00F14AE2">
        <w:t xml:space="preserve"> to receive all appropriate acute referrals on a 24-hour </w:t>
      </w:r>
      <w:proofErr w:type="gramStart"/>
      <w:r w:rsidR="00F66032" w:rsidRPr="00F14AE2">
        <w:t>basis</w:t>
      </w:r>
      <w:r w:rsidRPr="00F14AE2">
        <w:t>,</w:t>
      </w:r>
      <w:r w:rsidR="00F66032" w:rsidRPr="00F14AE2">
        <w:t xml:space="preserve"> and</w:t>
      </w:r>
      <w:proofErr w:type="gramEnd"/>
      <w:r w:rsidR="00F66032" w:rsidRPr="00F14AE2">
        <w:t xml:space="preserve"> </w:t>
      </w:r>
      <w:r w:rsidR="005B6247">
        <w:t xml:space="preserve">facilitate the </w:t>
      </w:r>
      <w:r w:rsidR="00F66032" w:rsidRPr="00F14AE2">
        <w:t>transfer</w:t>
      </w:r>
      <w:r w:rsidR="005749E9" w:rsidRPr="00F14AE2">
        <w:t xml:space="preserve"> of Servicer Users </w:t>
      </w:r>
      <w:r w:rsidR="00F66032" w:rsidRPr="00F14AE2">
        <w:t xml:space="preserve">to another facility where appropriate. </w:t>
      </w:r>
    </w:p>
    <w:p w14:paraId="45598DA6" w14:textId="5BC17C40" w:rsidR="00EA19FC" w:rsidRPr="00F14AE2" w:rsidRDefault="00EA19FC" w:rsidP="001A09C9">
      <w:pPr>
        <w:pStyle w:val="Heading2"/>
      </w:pPr>
      <w:r w:rsidRPr="00F14AE2">
        <w:t>Service Components</w:t>
      </w:r>
    </w:p>
    <w:p w14:paraId="35031F19" w14:textId="4915CD08" w:rsidR="004433F3" w:rsidRPr="004169A2" w:rsidRDefault="007E3A5B" w:rsidP="007E3A5B">
      <w:pPr>
        <w:pStyle w:val="Heading3"/>
      </w:pPr>
      <w:r>
        <w:t>6.1</w:t>
      </w:r>
      <w:r>
        <w:tab/>
      </w:r>
      <w:r w:rsidR="004433F3" w:rsidRPr="004169A2">
        <w:t>Assessment, Diagnosis and Treatment</w:t>
      </w:r>
      <w:r w:rsidR="00FB4FDB" w:rsidRPr="004169A2">
        <w:t xml:space="preserve"> and Follow up</w:t>
      </w:r>
    </w:p>
    <w:p w14:paraId="3857CC25" w14:textId="11C0C6A5" w:rsidR="005A2088" w:rsidRPr="005A2088" w:rsidRDefault="005A2088" w:rsidP="005A2088">
      <w:pPr>
        <w:spacing w:before="120"/>
      </w:pPr>
      <w:r w:rsidRPr="005A2088">
        <w:t xml:space="preserve">The Service </w:t>
      </w:r>
      <w:r w:rsidR="004B421E">
        <w:t>will include</w:t>
      </w:r>
      <w:r w:rsidRPr="005A2088">
        <w:t>:</w:t>
      </w:r>
    </w:p>
    <w:p w14:paraId="4A86FDE2" w14:textId="35D0D7C4" w:rsidR="00AB4895" w:rsidRPr="001C56F8" w:rsidRDefault="00AB4895" w:rsidP="001C56F8">
      <w:pPr>
        <w:pStyle w:val="ListParagraph"/>
      </w:pPr>
      <w:r w:rsidRPr="001C56F8">
        <w:t>consultation, opinion and initiation of appropriate investigations</w:t>
      </w:r>
    </w:p>
    <w:p w14:paraId="37C6B65F" w14:textId="12F4452F" w:rsidR="00AB4895" w:rsidRPr="001C56F8" w:rsidRDefault="00AB4895" w:rsidP="001C56F8">
      <w:pPr>
        <w:pStyle w:val="ListParagraph"/>
      </w:pPr>
      <w:r w:rsidRPr="001C56F8">
        <w:t>specialist assessment with a written plan of care to the referrer</w:t>
      </w:r>
    </w:p>
    <w:p w14:paraId="5D4F2A3C" w14:textId="15F1E6BB" w:rsidR="00AB4895" w:rsidRPr="001C56F8" w:rsidRDefault="00AB4895" w:rsidP="001C56F8">
      <w:pPr>
        <w:pStyle w:val="ListParagraph"/>
      </w:pPr>
      <w:r w:rsidRPr="001C56F8">
        <w:t>referral to another speciality for opinion and/or management</w:t>
      </w:r>
    </w:p>
    <w:p w14:paraId="411423D4" w14:textId="70ABF238" w:rsidR="00AB4895" w:rsidRPr="001C56F8" w:rsidRDefault="00AB4895" w:rsidP="001C56F8">
      <w:pPr>
        <w:pStyle w:val="ListParagraph"/>
      </w:pPr>
      <w:r w:rsidRPr="001C56F8">
        <w:t>planned care and acute surgery</w:t>
      </w:r>
    </w:p>
    <w:p w14:paraId="3CAF424D" w14:textId="129B82F1" w:rsidR="00AB4895" w:rsidRPr="001C56F8" w:rsidRDefault="00AB4895" w:rsidP="001C56F8">
      <w:pPr>
        <w:pStyle w:val="ListParagraph"/>
      </w:pPr>
      <w:r w:rsidRPr="001C56F8">
        <w:t>pre-operative assessment, education of patients and obtaining informed consent</w:t>
      </w:r>
    </w:p>
    <w:p w14:paraId="2A8F45FC" w14:textId="24083B89" w:rsidR="00AB4895" w:rsidRPr="001C56F8" w:rsidRDefault="00AB4895" w:rsidP="001C56F8">
      <w:pPr>
        <w:pStyle w:val="ListParagraph"/>
      </w:pPr>
      <w:r w:rsidRPr="001C56F8">
        <w:t>endoscopic intervention for diagnosis and treatment</w:t>
      </w:r>
    </w:p>
    <w:p w14:paraId="557CAF5C" w14:textId="4B59DD3E" w:rsidR="00AB4895" w:rsidRPr="001C56F8" w:rsidRDefault="00AB4895" w:rsidP="001C56F8">
      <w:pPr>
        <w:pStyle w:val="ListParagraph"/>
      </w:pPr>
      <w:r w:rsidRPr="001C56F8">
        <w:t>open surgical intervention for diagnosis / treatment</w:t>
      </w:r>
    </w:p>
    <w:p w14:paraId="2B603BF5" w14:textId="2223C437" w:rsidR="00AB4895" w:rsidRPr="001C56F8" w:rsidRDefault="00AB4895" w:rsidP="001C56F8">
      <w:pPr>
        <w:pStyle w:val="ListParagraph"/>
      </w:pPr>
      <w:r w:rsidRPr="001C56F8">
        <w:t xml:space="preserve">post-operative follow-up </w:t>
      </w:r>
    </w:p>
    <w:p w14:paraId="25E8F02F" w14:textId="0239E94C" w:rsidR="00AB4895" w:rsidRPr="001C56F8" w:rsidRDefault="00AB4895" w:rsidP="001C56F8">
      <w:pPr>
        <w:pStyle w:val="ListParagraph"/>
      </w:pPr>
      <w:r w:rsidRPr="001C56F8">
        <w:t>complex cancer surgery</w:t>
      </w:r>
    </w:p>
    <w:p w14:paraId="74530E2B" w14:textId="5CD17403" w:rsidR="00AB4895" w:rsidRPr="001C56F8" w:rsidRDefault="00AB4895" w:rsidP="001C56F8">
      <w:pPr>
        <w:pStyle w:val="ListParagraph"/>
      </w:pPr>
      <w:r w:rsidRPr="001C56F8">
        <w:t>facilitating continuation of care in the community following discharge</w:t>
      </w:r>
    </w:p>
    <w:p w14:paraId="31537252" w14:textId="78705219" w:rsidR="00AB4895" w:rsidRPr="001C56F8" w:rsidRDefault="00AB4895" w:rsidP="001C56F8">
      <w:pPr>
        <w:pStyle w:val="ListParagraph"/>
      </w:pPr>
      <w:proofErr w:type="spellStart"/>
      <w:r w:rsidRPr="001C56F8">
        <w:t>coreconstructive</w:t>
      </w:r>
      <w:proofErr w:type="spellEnd"/>
      <w:r w:rsidRPr="001C56F8">
        <w:t xml:space="preserve"> surgery</w:t>
      </w:r>
    </w:p>
    <w:p w14:paraId="69558070" w14:textId="14368A3E" w:rsidR="00AB4895" w:rsidRPr="001C56F8" w:rsidRDefault="00AB4895" w:rsidP="001C56F8">
      <w:pPr>
        <w:pStyle w:val="ListParagraph"/>
      </w:pPr>
      <w:r w:rsidRPr="001C56F8">
        <w:t>laparoscopic surgery</w:t>
      </w:r>
    </w:p>
    <w:p w14:paraId="102D41ED" w14:textId="4F050B13" w:rsidR="00AB4895" w:rsidRPr="001C56F8" w:rsidRDefault="00AB4895" w:rsidP="001C56F8">
      <w:pPr>
        <w:pStyle w:val="ListParagraph"/>
      </w:pPr>
      <w:r w:rsidRPr="001C56F8">
        <w:t>spinal injury services</w:t>
      </w:r>
    </w:p>
    <w:p w14:paraId="58A14FEB" w14:textId="404BD5F1" w:rsidR="00AB4895" w:rsidRPr="001C56F8" w:rsidRDefault="00AB4895" w:rsidP="001C56F8">
      <w:pPr>
        <w:pStyle w:val="ListParagraph"/>
      </w:pPr>
      <w:r w:rsidRPr="001C56F8">
        <w:t>spina bifida.</w:t>
      </w:r>
    </w:p>
    <w:p w14:paraId="5ABFE513" w14:textId="77777777" w:rsidR="001C56F8" w:rsidRDefault="001C56F8" w:rsidP="001C56F8">
      <w:r w:rsidRPr="001C56F8">
        <w:t xml:space="preserve">The Service will be responsible for: </w:t>
      </w:r>
    </w:p>
    <w:p w14:paraId="1725FC93" w14:textId="2BC3F7C9" w:rsidR="001C56F8" w:rsidRPr="001C56F8" w:rsidRDefault="001C56F8" w:rsidP="001C56F8">
      <w:pPr>
        <w:pStyle w:val="ListParagraph"/>
      </w:pPr>
      <w:r w:rsidRPr="00DD6990">
        <w:t>s</w:t>
      </w:r>
      <w:r w:rsidRPr="001C56F8">
        <w:t>tabilisation and onward referral to an appropriate level of care as is required for stabilisation and definitive treatment of all acute cases from time of presentation to discharge back to referring medical practitioner</w:t>
      </w:r>
    </w:p>
    <w:p w14:paraId="27575677" w14:textId="2A035C70" w:rsidR="001C56F8" w:rsidRPr="001C56F8" w:rsidRDefault="001C56F8" w:rsidP="001C56F8">
      <w:pPr>
        <w:pStyle w:val="ListParagraph"/>
      </w:pPr>
      <w:r w:rsidRPr="001C56F8">
        <w:t>assessment and diagnosis of patients in acute and non-acute context</w:t>
      </w:r>
    </w:p>
    <w:p w14:paraId="5C9CDC82" w14:textId="73136A28" w:rsidR="001C56F8" w:rsidRPr="001C56F8" w:rsidRDefault="001C56F8" w:rsidP="001C56F8">
      <w:pPr>
        <w:pStyle w:val="ListParagraph"/>
      </w:pPr>
      <w:r w:rsidRPr="001C56F8">
        <w:t>therapeutic procedures and post procedure management</w:t>
      </w:r>
    </w:p>
    <w:p w14:paraId="08C459CC" w14:textId="06D66E66" w:rsidR="001C56F8" w:rsidRPr="001C56F8" w:rsidRDefault="001C56F8" w:rsidP="001C56F8">
      <w:pPr>
        <w:pStyle w:val="ListParagraph"/>
      </w:pPr>
      <w:r w:rsidRPr="001C56F8">
        <w:t>pharmaceutical prescriptions to include the prescriber’s identification with an agreed indicator of service location and service</w:t>
      </w:r>
    </w:p>
    <w:p w14:paraId="6FB5902B" w14:textId="5926D585" w:rsidR="001C56F8" w:rsidRPr="001C56F8" w:rsidRDefault="001C56F8" w:rsidP="001C56F8">
      <w:pPr>
        <w:pStyle w:val="ListParagraph"/>
      </w:pPr>
      <w:r w:rsidRPr="001C56F8">
        <w:t>provision of appropriate after hours care to people undergoing day surgery including arrangements for re-admission where required</w:t>
      </w:r>
    </w:p>
    <w:p w14:paraId="2368B024" w14:textId="6B18E1CD" w:rsidR="001C56F8" w:rsidRPr="001C56F8" w:rsidRDefault="001C56F8" w:rsidP="001C56F8">
      <w:pPr>
        <w:pStyle w:val="ListParagraph"/>
      </w:pPr>
      <w:r w:rsidRPr="001C56F8">
        <w:t>an appropriate follow-up and treatment of all patients undergoing surgery in line with accepted standards of clinical practice</w:t>
      </w:r>
    </w:p>
    <w:p w14:paraId="023A2BED" w14:textId="4A4647DF" w:rsidR="001C56F8" w:rsidRPr="001C56F8" w:rsidRDefault="001C56F8" w:rsidP="001C56F8">
      <w:pPr>
        <w:pStyle w:val="ListParagraph"/>
      </w:pPr>
      <w:r w:rsidRPr="001C56F8">
        <w:t>specialist follow-up and rehabilitation including occupational therapy, physiotherapy and co-ordination of multi-disciplinary activity</w:t>
      </w:r>
    </w:p>
    <w:p w14:paraId="0CB3C438" w14:textId="05EF0CE6" w:rsidR="001C56F8" w:rsidRPr="001C56F8" w:rsidRDefault="001C56F8" w:rsidP="001C56F8">
      <w:pPr>
        <w:pStyle w:val="ListParagraph"/>
      </w:pPr>
      <w:r w:rsidRPr="001C56F8">
        <w:lastRenderedPageBreak/>
        <w:t>follow-up, re-admission and treatment of all patients where complications arise in the course of treatment by the service, this may include appropriate referral to a higher level of care</w:t>
      </w:r>
    </w:p>
    <w:p w14:paraId="677B56C2" w14:textId="227E4986" w:rsidR="001C56F8" w:rsidRPr="001C56F8" w:rsidRDefault="001C56F8" w:rsidP="001C56F8">
      <w:pPr>
        <w:pStyle w:val="ListParagraph"/>
      </w:pPr>
      <w:r>
        <w:rPr>
          <w:b/>
        </w:rPr>
        <w:t>l</w:t>
      </w:r>
      <w:r w:rsidRPr="001C56F8">
        <w:t>ong term follow-up and revision of treatment as required that may include appropriate referral to other providers</w:t>
      </w:r>
    </w:p>
    <w:p w14:paraId="1E05DD69" w14:textId="6F214F11" w:rsidR="000B249D" w:rsidRDefault="001C56F8" w:rsidP="0005566F">
      <w:pPr>
        <w:pStyle w:val="ListParagraph"/>
      </w:pPr>
      <w:r w:rsidRPr="001C56F8">
        <w:t xml:space="preserve">liaison with primary </w:t>
      </w:r>
      <w:r w:rsidRPr="00DD6990">
        <w:t>health</w:t>
      </w:r>
      <w:r>
        <w:rPr>
          <w:b/>
        </w:rPr>
        <w:t xml:space="preserve"> </w:t>
      </w:r>
      <w:r w:rsidRPr="001C56F8">
        <w:t>care providers.</w:t>
      </w:r>
    </w:p>
    <w:p w14:paraId="588CB407" w14:textId="3FFA9E47" w:rsidR="00A20731" w:rsidRPr="00F14AE2" w:rsidRDefault="00A20731" w:rsidP="001A09C9">
      <w:pPr>
        <w:pStyle w:val="Heading2"/>
      </w:pPr>
      <w:r w:rsidRPr="00F14AE2">
        <w:t>Support Services</w:t>
      </w:r>
    </w:p>
    <w:p w14:paraId="28E35EB0" w14:textId="77777777" w:rsidR="00A20731" w:rsidRPr="00F14AE2" w:rsidRDefault="00A20731" w:rsidP="004169A2">
      <w:pPr>
        <w:spacing w:before="120"/>
      </w:pPr>
      <w:r w:rsidRPr="00F14AE2">
        <w:t>Support services include but are but not limited to the following:</w:t>
      </w:r>
    </w:p>
    <w:p w14:paraId="265573B5" w14:textId="10A18849" w:rsidR="009F1E4B" w:rsidRPr="00F14AE2" w:rsidRDefault="009F1E4B" w:rsidP="001C56F8">
      <w:pPr>
        <w:pStyle w:val="ListParagraph"/>
      </w:pPr>
      <w:r w:rsidRPr="00F14AE2">
        <w:t>clinical support services such as:</w:t>
      </w:r>
      <w:r w:rsidR="004169A2">
        <w:t xml:space="preserve"> </w:t>
      </w:r>
      <w:r w:rsidRPr="00F14AE2">
        <w:tab/>
        <w:t>laboratory services</w:t>
      </w:r>
      <w:r w:rsidR="004169A2">
        <w:t>,</w:t>
      </w:r>
      <w:r w:rsidR="001C56F8">
        <w:t xml:space="preserve"> </w:t>
      </w:r>
      <w:r w:rsidRPr="00F14AE2">
        <w:t>pharmaceutical services</w:t>
      </w:r>
      <w:r w:rsidR="001C56F8">
        <w:t xml:space="preserve"> and </w:t>
      </w:r>
      <w:r w:rsidRPr="00F14AE2">
        <w:t>imaging services</w:t>
      </w:r>
    </w:p>
    <w:p w14:paraId="70287F44" w14:textId="4F96CCDF" w:rsidR="009F1E4B" w:rsidRPr="00F14AE2" w:rsidRDefault="009F1E4B" w:rsidP="00AB4895">
      <w:pPr>
        <w:pStyle w:val="ListParagraph"/>
      </w:pPr>
      <w:r w:rsidRPr="00F14AE2">
        <w:t>allied heath support services such as:</w:t>
      </w:r>
      <w:r w:rsidR="004169A2">
        <w:t xml:space="preserve"> </w:t>
      </w:r>
      <w:r w:rsidRPr="00F14AE2">
        <w:t>occupational therapy</w:t>
      </w:r>
      <w:r w:rsidR="004169A2">
        <w:t xml:space="preserve">, </w:t>
      </w:r>
      <w:r w:rsidRPr="00F14AE2">
        <w:t>physiotherapy</w:t>
      </w:r>
      <w:r w:rsidR="004169A2">
        <w:t xml:space="preserve">, </w:t>
      </w:r>
      <w:r w:rsidRPr="00F14AE2">
        <w:t>social workers</w:t>
      </w:r>
    </w:p>
    <w:p w14:paraId="5CA74B5D" w14:textId="1066E3AB" w:rsidR="00917FFC" w:rsidRPr="00F14AE2" w:rsidRDefault="004169A2" w:rsidP="00AB4895">
      <w:pPr>
        <w:pStyle w:val="ListParagraph"/>
      </w:pPr>
      <w:r>
        <w:t>specialist community</w:t>
      </w:r>
      <w:r w:rsidR="00917FFC" w:rsidRPr="00F14AE2">
        <w:t xml:space="preserve"> nurses</w:t>
      </w:r>
    </w:p>
    <w:p w14:paraId="19030BC6" w14:textId="77777777" w:rsidR="009F1E4B" w:rsidRPr="00F14AE2" w:rsidRDefault="009F1E4B" w:rsidP="00AB4895">
      <w:pPr>
        <w:pStyle w:val="ListParagraph"/>
      </w:pPr>
      <w:r w:rsidRPr="00F14AE2">
        <w:t>ancillary services</w:t>
      </w:r>
      <w:r w:rsidR="00CA4FA6" w:rsidRPr="00F14AE2">
        <w:t xml:space="preserve"> </w:t>
      </w:r>
    </w:p>
    <w:p w14:paraId="24E76E5E" w14:textId="620BD35E" w:rsidR="009F1E4B" w:rsidRPr="00F14AE2" w:rsidRDefault="009F1E4B" w:rsidP="00AB4895">
      <w:pPr>
        <w:pStyle w:val="ListParagraph"/>
      </w:pPr>
      <w:r w:rsidRPr="00F14AE2">
        <w:t>interpreting services</w:t>
      </w:r>
      <w:r w:rsidR="00C20A85" w:rsidRPr="00F14AE2">
        <w:t xml:space="preserve"> (including </w:t>
      </w:r>
      <w:r w:rsidR="00D251F3" w:rsidRPr="00F14AE2">
        <w:t xml:space="preserve">NZ </w:t>
      </w:r>
      <w:r w:rsidR="00C20A85" w:rsidRPr="00F14AE2">
        <w:t>sign language)</w:t>
      </w:r>
      <w:r w:rsidR="0005566F">
        <w:t>.</w:t>
      </w:r>
    </w:p>
    <w:p w14:paraId="5D81D1E8" w14:textId="483BCE9F" w:rsidR="00EA19FC" w:rsidRPr="00F14AE2" w:rsidRDefault="00274A3C" w:rsidP="001A09C9">
      <w:pPr>
        <w:pStyle w:val="Heading2"/>
      </w:pPr>
      <w:r w:rsidRPr="00F14AE2">
        <w:t>Service Linkages</w:t>
      </w:r>
    </w:p>
    <w:p w14:paraId="585E8F3D" w14:textId="755781CF" w:rsidR="00F66032" w:rsidRPr="00F14AE2" w:rsidRDefault="00833573" w:rsidP="004169A2">
      <w:pPr>
        <w:spacing w:after="120"/>
      </w:pPr>
      <w:r w:rsidRPr="00F14AE2">
        <w:t>The Service is required to establish effective links and working arrangements and cooperation with</w:t>
      </w:r>
      <w:r w:rsidR="00BF2CE2" w:rsidRPr="00F14AE2">
        <w:t>,</w:t>
      </w:r>
      <w:r w:rsidRPr="00F14AE2">
        <w:t xml:space="preserve"> but not limited to the following service providers:</w:t>
      </w:r>
      <w:r w:rsidR="00A20731" w:rsidRPr="00F14AE2">
        <w:t xml:space="preserve"> </w:t>
      </w:r>
    </w:p>
    <w:tbl>
      <w:tblPr>
        <w:tblStyle w:val="TableGrid"/>
        <w:tblW w:w="9969" w:type="dxa"/>
        <w:tblLook w:val="00A0" w:firstRow="1" w:lastRow="0" w:firstColumn="1" w:lastColumn="0" w:noHBand="0" w:noVBand="0"/>
      </w:tblPr>
      <w:tblGrid>
        <w:gridCol w:w="3539"/>
        <w:gridCol w:w="2410"/>
        <w:gridCol w:w="4020"/>
      </w:tblGrid>
      <w:tr w:rsidR="00F66032" w:rsidRPr="00F14AE2" w14:paraId="176BA14E" w14:textId="77777777" w:rsidTr="001A09C9">
        <w:tc>
          <w:tcPr>
            <w:tcW w:w="3539" w:type="dxa"/>
            <w:shd w:val="clear" w:color="auto" w:fill="D9D9D9"/>
          </w:tcPr>
          <w:p w14:paraId="3EAA0ED2" w14:textId="77777777" w:rsidR="00F66032" w:rsidRPr="004169A2" w:rsidRDefault="00F66032" w:rsidP="004169A2">
            <w:pPr>
              <w:spacing w:before="120" w:after="120"/>
              <w:rPr>
                <w:b/>
              </w:rPr>
            </w:pPr>
            <w:r w:rsidRPr="004169A2">
              <w:rPr>
                <w:b/>
              </w:rPr>
              <w:t>Service Provider</w:t>
            </w:r>
          </w:p>
        </w:tc>
        <w:tc>
          <w:tcPr>
            <w:tcW w:w="2410" w:type="dxa"/>
            <w:shd w:val="clear" w:color="auto" w:fill="D9D9D9"/>
          </w:tcPr>
          <w:p w14:paraId="1D076B34" w14:textId="77777777" w:rsidR="00F66032" w:rsidRPr="004169A2" w:rsidRDefault="00F66032" w:rsidP="004169A2">
            <w:pPr>
              <w:spacing w:before="120" w:after="120"/>
              <w:rPr>
                <w:b/>
              </w:rPr>
            </w:pPr>
            <w:r w:rsidRPr="004169A2">
              <w:rPr>
                <w:b/>
              </w:rPr>
              <w:t>Nature of Linkage</w:t>
            </w:r>
          </w:p>
        </w:tc>
        <w:tc>
          <w:tcPr>
            <w:tcW w:w="4020" w:type="dxa"/>
            <w:shd w:val="clear" w:color="auto" w:fill="D9D9D9"/>
          </w:tcPr>
          <w:p w14:paraId="40A8665C" w14:textId="77777777" w:rsidR="00F66032" w:rsidRPr="004169A2" w:rsidRDefault="00F66032" w:rsidP="004169A2">
            <w:pPr>
              <w:spacing w:before="120" w:after="120"/>
              <w:rPr>
                <w:b/>
              </w:rPr>
            </w:pPr>
            <w:r w:rsidRPr="004169A2">
              <w:rPr>
                <w:b/>
              </w:rPr>
              <w:t>Accountabilities</w:t>
            </w:r>
          </w:p>
        </w:tc>
      </w:tr>
      <w:tr w:rsidR="00F66032" w:rsidRPr="00F14AE2" w14:paraId="219EC9CE" w14:textId="77777777" w:rsidTr="001A09C9">
        <w:tc>
          <w:tcPr>
            <w:tcW w:w="3539" w:type="dxa"/>
          </w:tcPr>
          <w:p w14:paraId="1717E490" w14:textId="4115284B" w:rsidR="00F66032" w:rsidRPr="00F14AE2" w:rsidRDefault="00833573" w:rsidP="001A09C9">
            <w:r w:rsidRPr="00F14AE2">
              <w:t xml:space="preserve">Primary </w:t>
            </w:r>
            <w:r w:rsidR="00841607">
              <w:t>h</w:t>
            </w:r>
            <w:r w:rsidRPr="00F14AE2">
              <w:t xml:space="preserve">ealth </w:t>
            </w:r>
            <w:r w:rsidR="00841607">
              <w:t>c</w:t>
            </w:r>
            <w:r w:rsidRPr="00F14AE2">
              <w:t xml:space="preserve">are services General Practitioners, Nurse Practitioners, </w:t>
            </w:r>
            <w:r w:rsidR="004169A2">
              <w:t>specialist community</w:t>
            </w:r>
            <w:r w:rsidRPr="00F14AE2">
              <w:t xml:space="preserve"> </w:t>
            </w:r>
            <w:r w:rsidR="004169A2">
              <w:t>n</w:t>
            </w:r>
            <w:r w:rsidRPr="00F14AE2">
              <w:t xml:space="preserve">urses </w:t>
            </w:r>
          </w:p>
        </w:tc>
        <w:tc>
          <w:tcPr>
            <w:tcW w:w="2410" w:type="dxa"/>
          </w:tcPr>
          <w:p w14:paraId="0AA816C6" w14:textId="77777777" w:rsidR="00F66032" w:rsidRPr="00F14AE2" w:rsidRDefault="00F66032" w:rsidP="001A09C9">
            <w:r w:rsidRPr="00F14AE2">
              <w:t>Liaison, consultation and referral</w:t>
            </w:r>
          </w:p>
        </w:tc>
        <w:tc>
          <w:tcPr>
            <w:tcW w:w="4020" w:type="dxa"/>
          </w:tcPr>
          <w:p w14:paraId="6D7E4EB8" w14:textId="77777777" w:rsidR="00F66032" w:rsidRPr="00F14AE2" w:rsidRDefault="00354AAA" w:rsidP="001A09C9">
            <w:r w:rsidRPr="00F14AE2">
              <w:t>L</w:t>
            </w:r>
            <w:r w:rsidR="00917FFC" w:rsidRPr="00F14AE2">
              <w:t xml:space="preserve">iaison with primary health care organisations and </w:t>
            </w:r>
            <w:proofErr w:type="gramStart"/>
            <w:r w:rsidR="00917FFC" w:rsidRPr="00F14AE2">
              <w:t>community based</w:t>
            </w:r>
            <w:proofErr w:type="gramEnd"/>
            <w:r w:rsidR="00917FFC" w:rsidRPr="00F14AE2">
              <w:t xml:space="preserve"> rehabilitation services </w:t>
            </w:r>
            <w:r w:rsidR="00F66032" w:rsidRPr="00F14AE2">
              <w:t>that support</w:t>
            </w:r>
            <w:r w:rsidR="00E85330" w:rsidRPr="00F14AE2">
              <w:t>s</w:t>
            </w:r>
            <w:r w:rsidR="00F66032" w:rsidRPr="00F14AE2">
              <w:t xml:space="preserve"> </w:t>
            </w:r>
            <w:r w:rsidR="00E85330" w:rsidRPr="00F14AE2">
              <w:t>continuity of care</w:t>
            </w:r>
          </w:p>
        </w:tc>
      </w:tr>
      <w:tr w:rsidR="00F66032" w:rsidRPr="00F14AE2" w14:paraId="04EE3508" w14:textId="77777777" w:rsidTr="001A09C9">
        <w:tc>
          <w:tcPr>
            <w:tcW w:w="3539" w:type="dxa"/>
          </w:tcPr>
          <w:p w14:paraId="63B0991C" w14:textId="1356C396" w:rsidR="00F66032" w:rsidRPr="00F14AE2" w:rsidRDefault="00A20731" w:rsidP="001A09C9">
            <w:r w:rsidRPr="00F14AE2">
              <w:t xml:space="preserve">Other </w:t>
            </w:r>
            <w:r w:rsidR="00833573" w:rsidRPr="00F14AE2">
              <w:t>health professional</w:t>
            </w:r>
            <w:r w:rsidR="001A09C9">
              <w:t>s,</w:t>
            </w:r>
            <w:r w:rsidR="00833573" w:rsidRPr="00F14AE2">
              <w:t xml:space="preserve"> </w:t>
            </w:r>
            <w:r w:rsidR="00841607">
              <w:t>s</w:t>
            </w:r>
            <w:r w:rsidR="00F66032" w:rsidRPr="00F14AE2">
              <w:t>pecialist</w:t>
            </w:r>
            <w:r w:rsidRPr="00F14AE2">
              <w:t>s and registered medical practitioners</w:t>
            </w:r>
          </w:p>
        </w:tc>
        <w:tc>
          <w:tcPr>
            <w:tcW w:w="2410" w:type="dxa"/>
          </w:tcPr>
          <w:p w14:paraId="08EEA6A2" w14:textId="77777777" w:rsidR="00F66032" w:rsidRPr="00F14AE2" w:rsidRDefault="00F66032" w:rsidP="001A09C9">
            <w:r w:rsidRPr="00F14AE2">
              <w:t>Consultation and referral</w:t>
            </w:r>
          </w:p>
        </w:tc>
        <w:tc>
          <w:tcPr>
            <w:tcW w:w="4020" w:type="dxa"/>
          </w:tcPr>
          <w:p w14:paraId="467B5810" w14:textId="19753A5F" w:rsidR="00F66032" w:rsidRPr="00F14AE2" w:rsidRDefault="00F66032" w:rsidP="001A09C9">
            <w:r w:rsidRPr="00F14AE2">
              <w:t>Clinical consultation and referral service that support</w:t>
            </w:r>
            <w:r w:rsidR="00E85330" w:rsidRPr="00F14AE2">
              <w:t>s</w:t>
            </w:r>
            <w:r w:rsidRPr="00F14AE2">
              <w:t xml:space="preserve"> </w:t>
            </w:r>
            <w:r w:rsidR="00E85330" w:rsidRPr="00F14AE2">
              <w:t>continuity of care</w:t>
            </w:r>
          </w:p>
        </w:tc>
      </w:tr>
      <w:tr w:rsidR="00F66032" w:rsidRPr="00F14AE2" w14:paraId="07967D20" w14:textId="77777777" w:rsidTr="001A09C9">
        <w:tc>
          <w:tcPr>
            <w:tcW w:w="3539" w:type="dxa"/>
          </w:tcPr>
          <w:p w14:paraId="417537DE" w14:textId="77777777" w:rsidR="00F66032" w:rsidRPr="00F14AE2" w:rsidRDefault="00F66032" w:rsidP="001A09C9">
            <w:r w:rsidRPr="00F14AE2">
              <w:t>Family Planning and Sexual Health Services</w:t>
            </w:r>
          </w:p>
        </w:tc>
        <w:tc>
          <w:tcPr>
            <w:tcW w:w="2410" w:type="dxa"/>
          </w:tcPr>
          <w:p w14:paraId="48ED0FD2" w14:textId="77777777" w:rsidR="00F66032" w:rsidRPr="00F14AE2" w:rsidRDefault="00F66032" w:rsidP="001A09C9">
            <w:r w:rsidRPr="00F14AE2">
              <w:t>Consultation and referral</w:t>
            </w:r>
          </w:p>
        </w:tc>
        <w:tc>
          <w:tcPr>
            <w:tcW w:w="4020" w:type="dxa"/>
          </w:tcPr>
          <w:p w14:paraId="4984D2C4" w14:textId="770F3D89" w:rsidR="00F66032" w:rsidRPr="00F14AE2" w:rsidRDefault="00F66032" w:rsidP="001A09C9">
            <w:r w:rsidRPr="00F14AE2">
              <w:t>Clinical consultation and referral services that support</w:t>
            </w:r>
            <w:r w:rsidR="00E85330" w:rsidRPr="00F14AE2">
              <w:t>s</w:t>
            </w:r>
            <w:r w:rsidRPr="00F14AE2">
              <w:t xml:space="preserve"> </w:t>
            </w:r>
            <w:r w:rsidR="00E85330" w:rsidRPr="00F14AE2">
              <w:t>continuity of care</w:t>
            </w:r>
          </w:p>
        </w:tc>
      </w:tr>
      <w:tr w:rsidR="00F259B1" w:rsidRPr="00F14AE2" w14:paraId="70DAB494" w14:textId="77777777" w:rsidTr="001A09C9">
        <w:tc>
          <w:tcPr>
            <w:tcW w:w="3539" w:type="dxa"/>
          </w:tcPr>
          <w:p w14:paraId="5E3AE226" w14:textId="4E817D5C" w:rsidR="00F259B1" w:rsidRPr="00F14AE2" w:rsidRDefault="00F259B1" w:rsidP="001A09C9">
            <w:r w:rsidRPr="00F14AE2">
              <w:t>Community and social services</w:t>
            </w:r>
            <w:r w:rsidR="001A09C9">
              <w:t xml:space="preserve"> </w:t>
            </w:r>
            <w:r w:rsidR="000E68FA">
              <w:t>Sp</w:t>
            </w:r>
            <w:r w:rsidR="004169A2" w:rsidRPr="004169A2">
              <w:t>ecialist community nurses</w:t>
            </w:r>
          </w:p>
        </w:tc>
        <w:tc>
          <w:tcPr>
            <w:tcW w:w="2410" w:type="dxa"/>
          </w:tcPr>
          <w:p w14:paraId="1402A2CD" w14:textId="77777777" w:rsidR="00F259B1" w:rsidRPr="00F14AE2" w:rsidRDefault="00F259B1" w:rsidP="001A09C9">
            <w:r w:rsidRPr="00F14AE2">
              <w:t xml:space="preserve">Liaison, coordination of services </w:t>
            </w:r>
          </w:p>
        </w:tc>
        <w:tc>
          <w:tcPr>
            <w:tcW w:w="4020" w:type="dxa"/>
          </w:tcPr>
          <w:p w14:paraId="442C4187" w14:textId="77777777" w:rsidR="00F259B1" w:rsidRPr="00F14AE2" w:rsidRDefault="00833573" w:rsidP="001A09C9">
            <w:r w:rsidRPr="00F14AE2">
              <w:t>Assessment, treatment and intervention that supports seamless service delivery and continuity of care</w:t>
            </w:r>
          </w:p>
        </w:tc>
      </w:tr>
      <w:tr w:rsidR="00F259B1" w:rsidRPr="00F14AE2" w14:paraId="710AA444" w14:textId="77777777" w:rsidTr="001A09C9">
        <w:tc>
          <w:tcPr>
            <w:tcW w:w="3539" w:type="dxa"/>
          </w:tcPr>
          <w:p w14:paraId="0A62F589" w14:textId="15FEA75B" w:rsidR="00F259B1" w:rsidRPr="00F14AE2" w:rsidRDefault="00F259B1" w:rsidP="001A09C9">
            <w:r w:rsidRPr="00F14AE2">
              <w:t>Consumer support groups</w:t>
            </w:r>
          </w:p>
        </w:tc>
        <w:tc>
          <w:tcPr>
            <w:tcW w:w="2410" w:type="dxa"/>
          </w:tcPr>
          <w:p w14:paraId="11724C0F" w14:textId="77777777" w:rsidR="00F259B1" w:rsidRPr="00F14AE2" w:rsidRDefault="00F259B1" w:rsidP="001A09C9">
            <w:r w:rsidRPr="00F14AE2">
              <w:t>Consumer support and information</w:t>
            </w:r>
          </w:p>
        </w:tc>
        <w:tc>
          <w:tcPr>
            <w:tcW w:w="4020" w:type="dxa"/>
          </w:tcPr>
          <w:p w14:paraId="68DC9345" w14:textId="77777777" w:rsidR="00F259B1" w:rsidRPr="00F14AE2" w:rsidRDefault="00F259B1" w:rsidP="001A09C9">
            <w:r w:rsidRPr="00F14AE2">
              <w:t>Effective regional linkages to ensure patients access appropriate services</w:t>
            </w:r>
          </w:p>
        </w:tc>
      </w:tr>
      <w:tr w:rsidR="00833573" w:rsidRPr="00F14AE2" w14:paraId="77D10EC1" w14:textId="77777777" w:rsidTr="001A09C9">
        <w:tc>
          <w:tcPr>
            <w:tcW w:w="3539" w:type="dxa"/>
          </w:tcPr>
          <w:p w14:paraId="404CBB9D" w14:textId="77777777" w:rsidR="00833573" w:rsidRPr="00F14AE2" w:rsidRDefault="00833573" w:rsidP="001A09C9">
            <w:r w:rsidRPr="00F14AE2">
              <w:t xml:space="preserve">Providers of Disability Support Services </w:t>
            </w:r>
          </w:p>
        </w:tc>
        <w:tc>
          <w:tcPr>
            <w:tcW w:w="2410" w:type="dxa"/>
          </w:tcPr>
          <w:p w14:paraId="1209E4E2" w14:textId="76E57F1E" w:rsidR="00833573" w:rsidRPr="00F14AE2" w:rsidRDefault="00833573" w:rsidP="001A09C9">
            <w:r w:rsidRPr="00F14AE2">
              <w:t>Referral</w:t>
            </w:r>
            <w:r w:rsidR="001A09C9">
              <w:t>, l</w:t>
            </w:r>
            <w:r w:rsidRPr="00F14AE2">
              <w:t>iaison</w:t>
            </w:r>
            <w:r w:rsidR="001A09C9">
              <w:t xml:space="preserve"> and c</w:t>
            </w:r>
            <w:r w:rsidRPr="00F14AE2">
              <w:t>ollaboration</w:t>
            </w:r>
          </w:p>
        </w:tc>
        <w:tc>
          <w:tcPr>
            <w:tcW w:w="4020" w:type="dxa"/>
          </w:tcPr>
          <w:p w14:paraId="209E668E" w14:textId="77777777" w:rsidR="00833573" w:rsidRPr="00F14AE2" w:rsidRDefault="00833573" w:rsidP="001A09C9">
            <w:r w:rsidRPr="00F14AE2">
              <w:t>Work collaboratively with intellectual and other disability support services and facilitate access to those services when needed.</w:t>
            </w:r>
          </w:p>
        </w:tc>
      </w:tr>
    </w:tbl>
    <w:p w14:paraId="79A3E531" w14:textId="356FB36B" w:rsidR="0014694D" w:rsidRDefault="0014694D" w:rsidP="0014694D">
      <w:pPr>
        <w:pStyle w:val="Heading2"/>
        <w:numPr>
          <w:ilvl w:val="0"/>
          <w:numId w:val="0"/>
        </w:numPr>
        <w:ind w:left="924"/>
      </w:pPr>
    </w:p>
    <w:p w14:paraId="51553326" w14:textId="77777777" w:rsidR="0014694D" w:rsidRDefault="0014694D">
      <w:pPr>
        <w:rPr>
          <w:b/>
          <w:lang w:val="en-US"/>
        </w:rPr>
      </w:pPr>
      <w:r>
        <w:br w:type="page"/>
      </w:r>
    </w:p>
    <w:p w14:paraId="2F347811" w14:textId="031E1DF3" w:rsidR="00274A3C" w:rsidRPr="00F14AE2" w:rsidRDefault="0014694D" w:rsidP="001A09C9">
      <w:pPr>
        <w:pStyle w:val="Heading2"/>
      </w:pPr>
      <w:r>
        <w:lastRenderedPageBreak/>
        <w:t>Qu</w:t>
      </w:r>
      <w:r w:rsidR="00F37DC1" w:rsidRPr="00F14AE2">
        <w:t>ali</w:t>
      </w:r>
      <w:r w:rsidR="00274A3C" w:rsidRPr="00F14AE2">
        <w:t>ty</w:t>
      </w:r>
      <w:r w:rsidR="00C245C3" w:rsidRPr="00F14AE2">
        <w:t xml:space="preserve"> Requirements</w:t>
      </w:r>
    </w:p>
    <w:p w14:paraId="0AEEE897" w14:textId="16E6B39F" w:rsidR="00DD2E20" w:rsidRPr="00F14AE2" w:rsidRDefault="00DD2E20" w:rsidP="004169A2">
      <w:pPr>
        <w:spacing w:before="120"/>
      </w:pPr>
      <w:r w:rsidRPr="00F14AE2">
        <w:t>The Service must comply with the Provider Quality Standards described in the Operational Policy Framework</w:t>
      </w:r>
      <w:r w:rsidR="00D41DE4" w:rsidRPr="000E68FA">
        <w:rPr>
          <w:rStyle w:val="FootnoteReference"/>
        </w:rPr>
        <w:footnoteReference w:id="2"/>
      </w:r>
      <w:r w:rsidRPr="000E68FA">
        <w:rPr>
          <w:rStyle w:val="FootnoteReference"/>
        </w:rPr>
        <w:t xml:space="preserve"> </w:t>
      </w:r>
      <w:r w:rsidRPr="00F14AE2">
        <w:t>or, as applicable, Crown Funding Agreement variations, contracts or service level agreements.</w:t>
      </w:r>
      <w:r w:rsidRPr="00F14AE2" w:rsidDel="00F84BD4">
        <w:t xml:space="preserve"> </w:t>
      </w:r>
    </w:p>
    <w:p w14:paraId="4D0281ED" w14:textId="6343524C" w:rsidR="00D251F3" w:rsidRDefault="00D251F3" w:rsidP="000E68FA">
      <w:pPr>
        <w:spacing w:before="120"/>
      </w:pPr>
      <w:r w:rsidRPr="00F14AE2">
        <w:t>Assessment and treatment will be supported by clinical support services and will include: appropriate assessment, follow up and treatment of all patients undergoing surgery in line with accepted standards of clinical practice.</w:t>
      </w:r>
    </w:p>
    <w:p w14:paraId="695FAE96" w14:textId="1CC64187" w:rsidR="00FB4FDB" w:rsidRPr="00F14AE2" w:rsidRDefault="00FB4FDB" w:rsidP="000E68FA">
      <w:pPr>
        <w:spacing w:before="120"/>
      </w:pPr>
      <w:r w:rsidRPr="00F14AE2">
        <w:t>Pharmaceutical prescriptions to include the prescriber’s identification with an agreed indicator of service location and service</w:t>
      </w:r>
      <w:r w:rsidR="00AA74D3" w:rsidRPr="00F14AE2">
        <w:t>.</w:t>
      </w:r>
    </w:p>
    <w:p w14:paraId="0A5D961E" w14:textId="120BA2BF" w:rsidR="00EA19FC" w:rsidRPr="00F14AE2" w:rsidRDefault="00EA19FC" w:rsidP="001A09C9">
      <w:pPr>
        <w:pStyle w:val="Heading2"/>
      </w:pPr>
      <w:r w:rsidRPr="00F14AE2">
        <w:t>Purchase Unit</w:t>
      </w:r>
      <w:r w:rsidR="00251D2B">
        <w:t xml:space="preserve"> Code</w:t>
      </w:r>
      <w:r w:rsidR="001A09C9">
        <w:t>s</w:t>
      </w:r>
    </w:p>
    <w:p w14:paraId="4354A549" w14:textId="59D5AF39" w:rsidR="007B589D" w:rsidRPr="00F14AE2" w:rsidRDefault="007B589D" w:rsidP="00251D2B">
      <w:pPr>
        <w:spacing w:after="120"/>
      </w:pPr>
      <w:r w:rsidRPr="00F14AE2">
        <w:t>Purchase Unit</w:t>
      </w:r>
      <w:r w:rsidR="00BF2CE2" w:rsidRPr="00F14AE2">
        <w:t xml:space="preserve"> (PU) code</w:t>
      </w:r>
      <w:r w:rsidRPr="00F14AE2">
        <w:t>s are defined in the Ministry’s</w:t>
      </w:r>
      <w:r w:rsidR="004014DD" w:rsidRPr="00F14AE2">
        <w:t xml:space="preserve"> DHB and Ministry </w:t>
      </w:r>
      <w:r w:rsidRPr="00F14AE2">
        <w:t xml:space="preserve">Nationwide Service Framework </w:t>
      </w:r>
      <w:r w:rsidR="00584F97" w:rsidRPr="00F14AE2">
        <w:t xml:space="preserve">Purchase Unit </w:t>
      </w:r>
      <w:r w:rsidRPr="00F14AE2">
        <w:t xml:space="preserve">Data </w:t>
      </w:r>
      <w:r w:rsidR="00A84D63" w:rsidRPr="00F14AE2">
        <w:t>Dictionary.</w:t>
      </w:r>
      <w:r w:rsidR="00230684" w:rsidRPr="00F14AE2">
        <w:t xml:space="preserve"> The following </w:t>
      </w:r>
      <w:r w:rsidR="00354AAA" w:rsidRPr="00F14AE2">
        <w:t>P</w:t>
      </w:r>
      <w:r w:rsidR="00230684" w:rsidRPr="00F14AE2">
        <w:t xml:space="preserve">urchase </w:t>
      </w:r>
      <w:r w:rsidR="00354AAA" w:rsidRPr="00F14AE2">
        <w:t>U</w:t>
      </w:r>
      <w:r w:rsidR="00230684" w:rsidRPr="00F14AE2">
        <w:t xml:space="preserve">nits apply to this </w:t>
      </w:r>
      <w:r w:rsidR="00354AAA" w:rsidRPr="00F14AE2">
        <w:t>S</w:t>
      </w:r>
      <w:r w:rsidR="00230684" w:rsidRPr="00F14AE2">
        <w:t>ervice</w:t>
      </w:r>
      <w:r w:rsidR="003B3602" w:rsidRPr="00F14AE2">
        <w:t>:</w:t>
      </w:r>
      <w:r w:rsidR="00230684" w:rsidRPr="00F14AE2">
        <w:t xml:space="preserve">  </w:t>
      </w:r>
    </w:p>
    <w:tbl>
      <w:tblPr>
        <w:tblW w:w="5003" w:type="pct"/>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81"/>
        <w:gridCol w:w="1558"/>
        <w:gridCol w:w="5245"/>
        <w:gridCol w:w="1544"/>
      </w:tblGrid>
      <w:tr w:rsidR="00BF2CE2" w:rsidRPr="00F14AE2" w14:paraId="2D404CAA" w14:textId="77777777" w:rsidTr="00AB1C9B">
        <w:trPr>
          <w:cantSplit/>
          <w:trHeight w:val="525"/>
          <w:tblHeader/>
        </w:trPr>
        <w:tc>
          <w:tcPr>
            <w:tcW w:w="665" w:type="pct"/>
            <w:shd w:val="clear" w:color="auto" w:fill="C0C0C0"/>
          </w:tcPr>
          <w:p w14:paraId="2155B7B0" w14:textId="77777777" w:rsidR="00BF2CE2" w:rsidRPr="00251D2B" w:rsidRDefault="00BF2CE2" w:rsidP="002B1CB0">
            <w:pPr>
              <w:rPr>
                <w:b/>
                <w:sz w:val="22"/>
                <w:szCs w:val="22"/>
              </w:rPr>
            </w:pPr>
            <w:r w:rsidRPr="00251D2B">
              <w:rPr>
                <w:b/>
                <w:sz w:val="22"/>
                <w:szCs w:val="22"/>
              </w:rPr>
              <w:t>PU Code</w:t>
            </w:r>
          </w:p>
        </w:tc>
        <w:tc>
          <w:tcPr>
            <w:tcW w:w="809" w:type="pct"/>
            <w:shd w:val="clear" w:color="auto" w:fill="C0C0C0"/>
          </w:tcPr>
          <w:p w14:paraId="7074B06E" w14:textId="77777777" w:rsidR="00BF2CE2" w:rsidRPr="00251D2B" w:rsidRDefault="00BF2CE2" w:rsidP="002B1CB0">
            <w:pPr>
              <w:rPr>
                <w:b/>
                <w:sz w:val="22"/>
                <w:szCs w:val="22"/>
              </w:rPr>
            </w:pPr>
            <w:r w:rsidRPr="00251D2B">
              <w:rPr>
                <w:b/>
                <w:sz w:val="22"/>
                <w:szCs w:val="22"/>
              </w:rPr>
              <w:t>PU Description</w:t>
            </w:r>
          </w:p>
        </w:tc>
        <w:tc>
          <w:tcPr>
            <w:tcW w:w="2724" w:type="pct"/>
            <w:shd w:val="clear" w:color="auto" w:fill="C0C0C0"/>
          </w:tcPr>
          <w:p w14:paraId="47A14F77" w14:textId="77777777" w:rsidR="00BF2CE2" w:rsidRPr="00251D2B" w:rsidDel="00C852C8" w:rsidRDefault="00BF2CE2" w:rsidP="002B1CB0">
            <w:pPr>
              <w:rPr>
                <w:b/>
                <w:sz w:val="22"/>
                <w:szCs w:val="22"/>
              </w:rPr>
            </w:pPr>
            <w:r w:rsidRPr="00251D2B">
              <w:rPr>
                <w:b/>
                <w:sz w:val="22"/>
                <w:szCs w:val="22"/>
              </w:rPr>
              <w:t>PU Definition</w:t>
            </w:r>
          </w:p>
        </w:tc>
        <w:tc>
          <w:tcPr>
            <w:tcW w:w="802" w:type="pct"/>
            <w:shd w:val="clear" w:color="auto" w:fill="C0C0C0"/>
          </w:tcPr>
          <w:p w14:paraId="12726A77" w14:textId="77777777" w:rsidR="00BF2CE2" w:rsidRPr="00251D2B" w:rsidRDefault="00BF2CE2" w:rsidP="002B1CB0">
            <w:pPr>
              <w:rPr>
                <w:b/>
                <w:sz w:val="22"/>
                <w:szCs w:val="22"/>
              </w:rPr>
            </w:pPr>
            <w:r w:rsidRPr="00251D2B">
              <w:rPr>
                <w:b/>
                <w:sz w:val="22"/>
                <w:szCs w:val="22"/>
              </w:rPr>
              <w:t>Unit of Measure</w:t>
            </w:r>
          </w:p>
        </w:tc>
      </w:tr>
      <w:tr w:rsidR="00BF2CE2" w:rsidRPr="00F14AE2" w14:paraId="517D40DC"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16C9D6B9" w14:textId="77777777" w:rsidR="00BF2CE2" w:rsidRPr="00251D2B" w:rsidRDefault="00BF2CE2" w:rsidP="002B1CB0">
            <w:pPr>
              <w:rPr>
                <w:sz w:val="22"/>
                <w:szCs w:val="22"/>
              </w:rPr>
            </w:pPr>
            <w:r w:rsidRPr="00251D2B">
              <w:rPr>
                <w:sz w:val="22"/>
                <w:szCs w:val="22"/>
              </w:rPr>
              <w:t>S70001</w:t>
            </w:r>
          </w:p>
        </w:tc>
        <w:tc>
          <w:tcPr>
            <w:tcW w:w="809" w:type="pct"/>
            <w:tcBorders>
              <w:top w:val="single" w:sz="4" w:space="0" w:color="auto"/>
              <w:left w:val="single" w:sz="4" w:space="0" w:color="auto"/>
              <w:bottom w:val="single" w:sz="4" w:space="0" w:color="auto"/>
              <w:right w:val="single" w:sz="4" w:space="0" w:color="auto"/>
            </w:tcBorders>
          </w:tcPr>
          <w:p w14:paraId="583F3D30" w14:textId="1C9EFBAE" w:rsidR="00BF2CE2" w:rsidRPr="00251D2B" w:rsidRDefault="00BF2CE2" w:rsidP="002B1CB0">
            <w:pPr>
              <w:rPr>
                <w:sz w:val="22"/>
                <w:szCs w:val="22"/>
              </w:rPr>
            </w:pPr>
            <w:r w:rsidRPr="00251D2B">
              <w:rPr>
                <w:sz w:val="22"/>
                <w:szCs w:val="22"/>
              </w:rPr>
              <w:t>Urology - Inpatient Services (DRGs)</w:t>
            </w:r>
          </w:p>
        </w:tc>
        <w:tc>
          <w:tcPr>
            <w:tcW w:w="2724" w:type="pct"/>
            <w:tcBorders>
              <w:top w:val="single" w:sz="4" w:space="0" w:color="auto"/>
              <w:left w:val="single" w:sz="4" w:space="0" w:color="auto"/>
              <w:bottom w:val="single" w:sz="4" w:space="0" w:color="auto"/>
              <w:right w:val="single" w:sz="4" w:space="0" w:color="auto"/>
            </w:tcBorders>
          </w:tcPr>
          <w:p w14:paraId="0D1B4D4E" w14:textId="77777777" w:rsidR="00BF2CE2" w:rsidRPr="00251D2B" w:rsidRDefault="00BF2CE2" w:rsidP="002B1CB0">
            <w:pPr>
              <w:rPr>
                <w:sz w:val="22"/>
                <w:szCs w:val="22"/>
              </w:rPr>
            </w:pPr>
            <w:r w:rsidRPr="00251D2B">
              <w:rPr>
                <w:sz w:val="22"/>
                <w:szCs w:val="22"/>
              </w:rPr>
              <w:t>DRG WIESNZ Discharge.  Additional Information is found in the NZ Casemix Framework for Publicly Funded Hospitals which gets updated every year.</w:t>
            </w:r>
          </w:p>
        </w:tc>
        <w:tc>
          <w:tcPr>
            <w:tcW w:w="802" w:type="pct"/>
            <w:tcBorders>
              <w:top w:val="single" w:sz="4" w:space="0" w:color="auto"/>
              <w:left w:val="single" w:sz="4" w:space="0" w:color="auto"/>
              <w:bottom w:val="single" w:sz="4" w:space="0" w:color="auto"/>
              <w:right w:val="single" w:sz="4" w:space="0" w:color="auto"/>
            </w:tcBorders>
          </w:tcPr>
          <w:p w14:paraId="6B716E45" w14:textId="77777777" w:rsidR="00BF2CE2" w:rsidRPr="00251D2B" w:rsidRDefault="00BF2CE2" w:rsidP="002B1CB0">
            <w:pPr>
              <w:rPr>
                <w:sz w:val="22"/>
                <w:szCs w:val="22"/>
              </w:rPr>
            </w:pPr>
            <w:r w:rsidRPr="00251D2B">
              <w:rPr>
                <w:sz w:val="22"/>
                <w:szCs w:val="22"/>
              </w:rPr>
              <w:t>Cost Weighted Discharge</w:t>
            </w:r>
          </w:p>
        </w:tc>
      </w:tr>
      <w:tr w:rsidR="00BF2CE2" w:rsidRPr="00F14AE2" w14:paraId="35A43889"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4D2E2431" w14:textId="77777777" w:rsidR="00BF2CE2" w:rsidRPr="00251D2B" w:rsidRDefault="00BF2CE2" w:rsidP="002B1CB0">
            <w:pPr>
              <w:rPr>
                <w:sz w:val="22"/>
                <w:szCs w:val="22"/>
              </w:rPr>
            </w:pPr>
            <w:r w:rsidRPr="00251D2B">
              <w:rPr>
                <w:sz w:val="22"/>
                <w:szCs w:val="22"/>
              </w:rPr>
              <w:t>S70002</w:t>
            </w:r>
          </w:p>
        </w:tc>
        <w:tc>
          <w:tcPr>
            <w:tcW w:w="809" w:type="pct"/>
            <w:tcBorders>
              <w:top w:val="single" w:sz="4" w:space="0" w:color="auto"/>
              <w:left w:val="single" w:sz="4" w:space="0" w:color="auto"/>
              <w:bottom w:val="single" w:sz="4" w:space="0" w:color="auto"/>
              <w:right w:val="single" w:sz="4" w:space="0" w:color="auto"/>
            </w:tcBorders>
          </w:tcPr>
          <w:p w14:paraId="7E2F57B2" w14:textId="77777777" w:rsidR="00BF2CE2" w:rsidRPr="00251D2B" w:rsidRDefault="00BF2CE2" w:rsidP="002B1CB0">
            <w:pPr>
              <w:rPr>
                <w:sz w:val="22"/>
                <w:szCs w:val="22"/>
              </w:rPr>
            </w:pPr>
            <w:r w:rsidRPr="00251D2B">
              <w:rPr>
                <w:sz w:val="22"/>
                <w:szCs w:val="22"/>
              </w:rPr>
              <w:t>Urology - 1st attendance</w:t>
            </w:r>
          </w:p>
        </w:tc>
        <w:tc>
          <w:tcPr>
            <w:tcW w:w="2724" w:type="pct"/>
            <w:tcBorders>
              <w:top w:val="single" w:sz="4" w:space="0" w:color="auto"/>
              <w:left w:val="single" w:sz="4" w:space="0" w:color="auto"/>
              <w:bottom w:val="single" w:sz="4" w:space="0" w:color="auto"/>
              <w:right w:val="single" w:sz="4" w:space="0" w:color="auto"/>
            </w:tcBorders>
          </w:tcPr>
          <w:p w14:paraId="79443714" w14:textId="77777777" w:rsidR="00BF2CE2" w:rsidRPr="00251D2B" w:rsidRDefault="00BF2CE2" w:rsidP="002B1CB0">
            <w:pPr>
              <w:rPr>
                <w:sz w:val="22"/>
                <w:szCs w:val="22"/>
              </w:rPr>
            </w:pPr>
            <w:r w:rsidRPr="00251D2B">
              <w:rPr>
                <w:sz w:val="22"/>
                <w:szCs w:val="22"/>
              </w:rPr>
              <w:t>First attendance to urologist or medical officer at registrar level or above or nurse practitioner for specialist assessment.</w:t>
            </w:r>
          </w:p>
        </w:tc>
        <w:tc>
          <w:tcPr>
            <w:tcW w:w="802" w:type="pct"/>
            <w:tcBorders>
              <w:top w:val="single" w:sz="4" w:space="0" w:color="auto"/>
              <w:left w:val="single" w:sz="4" w:space="0" w:color="auto"/>
              <w:bottom w:val="single" w:sz="4" w:space="0" w:color="auto"/>
              <w:right w:val="single" w:sz="4" w:space="0" w:color="auto"/>
            </w:tcBorders>
          </w:tcPr>
          <w:p w14:paraId="4901FE5D" w14:textId="77777777" w:rsidR="00BF2CE2" w:rsidRPr="00251D2B" w:rsidRDefault="00BF2CE2" w:rsidP="002B1CB0">
            <w:pPr>
              <w:rPr>
                <w:sz w:val="22"/>
                <w:szCs w:val="22"/>
              </w:rPr>
            </w:pPr>
            <w:r w:rsidRPr="00251D2B">
              <w:rPr>
                <w:sz w:val="22"/>
                <w:szCs w:val="22"/>
              </w:rPr>
              <w:t>Attendance</w:t>
            </w:r>
          </w:p>
        </w:tc>
      </w:tr>
      <w:tr w:rsidR="00BF2CE2" w:rsidRPr="00F14AE2" w14:paraId="6A31861A"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7819A90C" w14:textId="633C74C7" w:rsidR="00BF2CE2" w:rsidRPr="00251D2B" w:rsidRDefault="00BF2CE2" w:rsidP="002B1CB0">
            <w:pPr>
              <w:rPr>
                <w:sz w:val="22"/>
                <w:szCs w:val="22"/>
              </w:rPr>
            </w:pPr>
            <w:r w:rsidRPr="00251D2B">
              <w:rPr>
                <w:sz w:val="22"/>
                <w:szCs w:val="22"/>
              </w:rPr>
              <w:t>S00011</w:t>
            </w:r>
          </w:p>
        </w:tc>
        <w:tc>
          <w:tcPr>
            <w:tcW w:w="809" w:type="pct"/>
            <w:tcBorders>
              <w:top w:val="single" w:sz="4" w:space="0" w:color="auto"/>
              <w:left w:val="single" w:sz="4" w:space="0" w:color="auto"/>
              <w:bottom w:val="single" w:sz="4" w:space="0" w:color="auto"/>
              <w:right w:val="single" w:sz="4" w:space="0" w:color="auto"/>
            </w:tcBorders>
          </w:tcPr>
          <w:p w14:paraId="0B7723EE" w14:textId="77777777" w:rsidR="00BF2CE2" w:rsidRPr="00251D2B" w:rsidRDefault="00BF2CE2" w:rsidP="002B1CB0">
            <w:pPr>
              <w:rPr>
                <w:sz w:val="22"/>
                <w:szCs w:val="22"/>
              </w:rPr>
            </w:pPr>
            <w:r w:rsidRPr="00251D2B">
              <w:rPr>
                <w:sz w:val="22"/>
                <w:szCs w:val="22"/>
              </w:rPr>
              <w:t xml:space="preserve">Surgical </w:t>
            </w:r>
            <w:proofErr w:type="spellStart"/>
            <w:r w:rsidRPr="00251D2B">
              <w:rPr>
                <w:sz w:val="22"/>
                <w:szCs w:val="22"/>
              </w:rPr>
              <w:t>non contact</w:t>
            </w:r>
            <w:proofErr w:type="spellEnd"/>
            <w:r w:rsidRPr="00251D2B">
              <w:rPr>
                <w:sz w:val="22"/>
                <w:szCs w:val="22"/>
              </w:rPr>
              <w:t xml:space="preserve"> First Specialist Assessment – any health specialty</w:t>
            </w:r>
          </w:p>
        </w:tc>
        <w:tc>
          <w:tcPr>
            <w:tcW w:w="2724" w:type="pct"/>
            <w:tcBorders>
              <w:top w:val="single" w:sz="4" w:space="0" w:color="auto"/>
              <w:left w:val="single" w:sz="4" w:space="0" w:color="auto"/>
              <w:bottom w:val="single" w:sz="4" w:space="0" w:color="auto"/>
              <w:right w:val="single" w:sz="4" w:space="0" w:color="auto"/>
            </w:tcBorders>
          </w:tcPr>
          <w:p w14:paraId="74AA0A98" w14:textId="6C054B51" w:rsidR="00BF2CE2" w:rsidRPr="00251D2B" w:rsidRDefault="00BF2CE2" w:rsidP="002B1CB0">
            <w:pPr>
              <w:rPr>
                <w:sz w:val="22"/>
                <w:szCs w:val="22"/>
              </w:rPr>
            </w:pPr>
            <w:r w:rsidRPr="00251D2B">
              <w:rPr>
                <w:sz w:val="22"/>
                <w:szCs w:val="22"/>
              </w:rPr>
              <w:t xml:space="preserve">A review is undertaken by a Registered Medical Practitioner of Registrar level or above, or a Registered Nurse Practitioner, of patient records and any diagnostic test results from Primary to Secondary or Secondary to Tertiary. GP referral can come from tertiary and secondary referrals. The original referral should only be generated after a face to face contact by the referrer. A written plan of care is developed for the patient and provision of that plan and other necessary advice is sent to the referring clinician and the patient.  The </w:t>
            </w:r>
            <w:proofErr w:type="spellStart"/>
            <w:r w:rsidRPr="00251D2B">
              <w:rPr>
                <w:sz w:val="22"/>
                <w:szCs w:val="22"/>
              </w:rPr>
              <w:t>non contact</w:t>
            </w:r>
            <w:proofErr w:type="spellEnd"/>
            <w:r w:rsidRPr="00251D2B">
              <w:rPr>
                <w:sz w:val="22"/>
                <w:szCs w:val="22"/>
              </w:rPr>
              <w:t xml:space="preserve"> FSA does not include the triaging of referral letters. The patient should not be present during the assessment.</w:t>
            </w:r>
          </w:p>
        </w:tc>
        <w:tc>
          <w:tcPr>
            <w:tcW w:w="802" w:type="pct"/>
            <w:tcBorders>
              <w:top w:val="single" w:sz="4" w:space="0" w:color="auto"/>
              <w:left w:val="single" w:sz="4" w:space="0" w:color="auto"/>
              <w:bottom w:val="single" w:sz="4" w:space="0" w:color="auto"/>
              <w:right w:val="single" w:sz="4" w:space="0" w:color="auto"/>
            </w:tcBorders>
          </w:tcPr>
          <w:p w14:paraId="3A655EB5" w14:textId="77777777" w:rsidR="00BF2CE2" w:rsidRPr="00251D2B" w:rsidRDefault="00BF2CE2" w:rsidP="002B1CB0">
            <w:pPr>
              <w:rPr>
                <w:sz w:val="22"/>
                <w:szCs w:val="22"/>
              </w:rPr>
            </w:pPr>
            <w:r w:rsidRPr="00251D2B">
              <w:rPr>
                <w:sz w:val="22"/>
                <w:szCs w:val="22"/>
              </w:rPr>
              <w:t>Written plan of care</w:t>
            </w:r>
          </w:p>
        </w:tc>
      </w:tr>
      <w:tr w:rsidR="00BF2CE2" w:rsidRPr="00D500A9" w14:paraId="15B32798"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08F27E5F" w14:textId="77777777" w:rsidR="00BF2CE2" w:rsidRPr="00251D2B" w:rsidRDefault="00BF2CE2" w:rsidP="002B1CB0">
            <w:pPr>
              <w:rPr>
                <w:sz w:val="22"/>
                <w:szCs w:val="22"/>
              </w:rPr>
            </w:pPr>
            <w:r w:rsidRPr="00251D2B">
              <w:rPr>
                <w:sz w:val="22"/>
                <w:szCs w:val="22"/>
              </w:rPr>
              <w:t>S70003</w:t>
            </w:r>
          </w:p>
        </w:tc>
        <w:tc>
          <w:tcPr>
            <w:tcW w:w="809" w:type="pct"/>
            <w:tcBorders>
              <w:top w:val="single" w:sz="4" w:space="0" w:color="auto"/>
              <w:left w:val="single" w:sz="4" w:space="0" w:color="auto"/>
              <w:bottom w:val="single" w:sz="4" w:space="0" w:color="auto"/>
              <w:right w:val="single" w:sz="4" w:space="0" w:color="auto"/>
            </w:tcBorders>
          </w:tcPr>
          <w:p w14:paraId="59E6BDB4" w14:textId="77777777" w:rsidR="00BF2CE2" w:rsidRPr="00251D2B" w:rsidRDefault="00BF2CE2" w:rsidP="002B1CB0">
            <w:pPr>
              <w:rPr>
                <w:sz w:val="22"/>
                <w:szCs w:val="22"/>
              </w:rPr>
            </w:pPr>
            <w:r w:rsidRPr="00251D2B">
              <w:rPr>
                <w:sz w:val="22"/>
                <w:szCs w:val="22"/>
              </w:rPr>
              <w:t>Urology - Subsequent attendance</w:t>
            </w:r>
          </w:p>
        </w:tc>
        <w:tc>
          <w:tcPr>
            <w:tcW w:w="2724" w:type="pct"/>
            <w:tcBorders>
              <w:top w:val="single" w:sz="4" w:space="0" w:color="auto"/>
              <w:left w:val="single" w:sz="4" w:space="0" w:color="auto"/>
              <w:bottom w:val="single" w:sz="4" w:space="0" w:color="auto"/>
              <w:right w:val="single" w:sz="4" w:space="0" w:color="auto"/>
            </w:tcBorders>
          </w:tcPr>
          <w:p w14:paraId="04088F44" w14:textId="77777777" w:rsidR="00BF2CE2" w:rsidRPr="00251D2B" w:rsidRDefault="00BF2CE2" w:rsidP="002B1CB0">
            <w:pPr>
              <w:rPr>
                <w:sz w:val="22"/>
                <w:szCs w:val="22"/>
              </w:rPr>
            </w:pPr>
            <w:r w:rsidRPr="00251D2B">
              <w:rPr>
                <w:sz w:val="22"/>
                <w:szCs w:val="22"/>
              </w:rPr>
              <w:t>Follow-up attendances to urologist or medical officer at registrar level or above or nurse practitioner.  Excludes cystoscopy, lithotripsy and chemotherapy.</w:t>
            </w:r>
          </w:p>
        </w:tc>
        <w:tc>
          <w:tcPr>
            <w:tcW w:w="802" w:type="pct"/>
            <w:tcBorders>
              <w:top w:val="single" w:sz="4" w:space="0" w:color="auto"/>
              <w:left w:val="single" w:sz="4" w:space="0" w:color="auto"/>
              <w:bottom w:val="single" w:sz="4" w:space="0" w:color="auto"/>
              <w:right w:val="single" w:sz="4" w:space="0" w:color="auto"/>
            </w:tcBorders>
          </w:tcPr>
          <w:p w14:paraId="576CD441" w14:textId="77777777" w:rsidR="00BF2CE2" w:rsidRPr="00251D2B" w:rsidRDefault="00BF2CE2" w:rsidP="002B1CB0">
            <w:pPr>
              <w:rPr>
                <w:sz w:val="22"/>
                <w:szCs w:val="22"/>
              </w:rPr>
            </w:pPr>
            <w:r w:rsidRPr="00251D2B">
              <w:rPr>
                <w:sz w:val="22"/>
                <w:szCs w:val="22"/>
              </w:rPr>
              <w:t>Attendance</w:t>
            </w:r>
          </w:p>
        </w:tc>
      </w:tr>
      <w:tr w:rsidR="00BF2CE2" w:rsidRPr="00D500A9" w14:paraId="2F1C1CAD"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0006008E" w14:textId="77777777" w:rsidR="00BF2CE2" w:rsidRPr="00251D2B" w:rsidRDefault="00BF2CE2" w:rsidP="002B1CB0">
            <w:pPr>
              <w:rPr>
                <w:sz w:val="22"/>
                <w:szCs w:val="22"/>
              </w:rPr>
            </w:pPr>
            <w:r w:rsidRPr="00251D2B">
              <w:rPr>
                <w:sz w:val="22"/>
                <w:szCs w:val="22"/>
              </w:rPr>
              <w:t>S70006</w:t>
            </w:r>
          </w:p>
        </w:tc>
        <w:tc>
          <w:tcPr>
            <w:tcW w:w="809" w:type="pct"/>
            <w:tcBorders>
              <w:top w:val="single" w:sz="4" w:space="0" w:color="auto"/>
              <w:left w:val="single" w:sz="4" w:space="0" w:color="auto"/>
              <w:bottom w:val="single" w:sz="4" w:space="0" w:color="auto"/>
              <w:right w:val="single" w:sz="4" w:space="0" w:color="auto"/>
            </w:tcBorders>
          </w:tcPr>
          <w:p w14:paraId="014FE723" w14:textId="77777777" w:rsidR="00BF2CE2" w:rsidRPr="00251D2B" w:rsidRDefault="00BF2CE2" w:rsidP="002B1CB0">
            <w:pPr>
              <w:rPr>
                <w:sz w:val="22"/>
                <w:szCs w:val="22"/>
              </w:rPr>
            </w:pPr>
            <w:r w:rsidRPr="00251D2B">
              <w:rPr>
                <w:sz w:val="22"/>
                <w:szCs w:val="22"/>
              </w:rPr>
              <w:t>Urology - Lithotripsy</w:t>
            </w:r>
          </w:p>
        </w:tc>
        <w:tc>
          <w:tcPr>
            <w:tcW w:w="2724" w:type="pct"/>
            <w:tcBorders>
              <w:top w:val="single" w:sz="4" w:space="0" w:color="auto"/>
              <w:left w:val="single" w:sz="4" w:space="0" w:color="auto"/>
              <w:bottom w:val="single" w:sz="4" w:space="0" w:color="auto"/>
              <w:right w:val="single" w:sz="4" w:space="0" w:color="auto"/>
            </w:tcBorders>
          </w:tcPr>
          <w:p w14:paraId="7162C8E2" w14:textId="6012DCFF" w:rsidR="00BF2CE2" w:rsidRPr="00251D2B" w:rsidRDefault="00BF2CE2" w:rsidP="002B1CB0">
            <w:pPr>
              <w:rPr>
                <w:sz w:val="22"/>
                <w:szCs w:val="22"/>
              </w:rPr>
            </w:pPr>
            <w:r w:rsidRPr="00251D2B">
              <w:rPr>
                <w:sz w:val="22"/>
                <w:szCs w:val="22"/>
              </w:rPr>
              <w:t xml:space="preserve">Lithotripsy as an outpatient or elective </w:t>
            </w:r>
            <w:proofErr w:type="spellStart"/>
            <w:r w:rsidRPr="00251D2B">
              <w:rPr>
                <w:sz w:val="22"/>
                <w:szCs w:val="22"/>
              </w:rPr>
              <w:t>daycase</w:t>
            </w:r>
            <w:proofErr w:type="spellEnd"/>
            <w:r w:rsidRPr="00251D2B">
              <w:rPr>
                <w:sz w:val="22"/>
                <w:szCs w:val="22"/>
              </w:rPr>
              <w:t xml:space="preserve">. </w:t>
            </w:r>
          </w:p>
        </w:tc>
        <w:tc>
          <w:tcPr>
            <w:tcW w:w="802" w:type="pct"/>
            <w:tcBorders>
              <w:top w:val="single" w:sz="4" w:space="0" w:color="auto"/>
              <w:left w:val="single" w:sz="4" w:space="0" w:color="auto"/>
              <w:bottom w:val="single" w:sz="4" w:space="0" w:color="auto"/>
              <w:right w:val="single" w:sz="4" w:space="0" w:color="auto"/>
            </w:tcBorders>
          </w:tcPr>
          <w:p w14:paraId="75C1832C" w14:textId="77777777" w:rsidR="00BF2CE2" w:rsidRPr="00251D2B" w:rsidRDefault="00BF2CE2" w:rsidP="002B1CB0">
            <w:pPr>
              <w:rPr>
                <w:sz w:val="22"/>
                <w:szCs w:val="22"/>
              </w:rPr>
            </w:pPr>
            <w:r w:rsidRPr="00251D2B">
              <w:rPr>
                <w:sz w:val="22"/>
                <w:szCs w:val="22"/>
              </w:rPr>
              <w:t>Procedure</w:t>
            </w:r>
          </w:p>
        </w:tc>
      </w:tr>
      <w:tr w:rsidR="00BF2CE2" w:rsidRPr="00D500A9" w14:paraId="78A10504"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6484EDBD" w14:textId="77777777" w:rsidR="00BF2CE2" w:rsidRPr="00251D2B" w:rsidRDefault="00BF2CE2" w:rsidP="002B1CB0">
            <w:pPr>
              <w:rPr>
                <w:sz w:val="22"/>
                <w:szCs w:val="22"/>
              </w:rPr>
            </w:pPr>
            <w:r w:rsidRPr="00251D2B">
              <w:rPr>
                <w:sz w:val="22"/>
                <w:szCs w:val="22"/>
              </w:rPr>
              <w:t>S70007</w:t>
            </w:r>
          </w:p>
        </w:tc>
        <w:tc>
          <w:tcPr>
            <w:tcW w:w="809" w:type="pct"/>
            <w:tcBorders>
              <w:top w:val="single" w:sz="4" w:space="0" w:color="auto"/>
              <w:left w:val="single" w:sz="4" w:space="0" w:color="auto"/>
              <w:bottom w:val="single" w:sz="4" w:space="0" w:color="auto"/>
              <w:right w:val="single" w:sz="4" w:space="0" w:color="auto"/>
            </w:tcBorders>
          </w:tcPr>
          <w:p w14:paraId="5AA16425" w14:textId="77777777" w:rsidR="00BF2CE2" w:rsidRPr="00251D2B" w:rsidRDefault="00BF2CE2" w:rsidP="002B1CB0">
            <w:pPr>
              <w:rPr>
                <w:sz w:val="22"/>
                <w:szCs w:val="22"/>
              </w:rPr>
            </w:pPr>
            <w:r w:rsidRPr="00251D2B">
              <w:rPr>
                <w:sz w:val="22"/>
                <w:szCs w:val="22"/>
              </w:rPr>
              <w:t>Urodynamics</w:t>
            </w:r>
          </w:p>
        </w:tc>
        <w:tc>
          <w:tcPr>
            <w:tcW w:w="2724" w:type="pct"/>
            <w:tcBorders>
              <w:top w:val="single" w:sz="4" w:space="0" w:color="auto"/>
              <w:left w:val="single" w:sz="4" w:space="0" w:color="auto"/>
              <w:bottom w:val="single" w:sz="4" w:space="0" w:color="auto"/>
              <w:right w:val="single" w:sz="4" w:space="0" w:color="auto"/>
            </w:tcBorders>
          </w:tcPr>
          <w:p w14:paraId="7C8BBC46" w14:textId="77777777" w:rsidR="00BF2CE2" w:rsidRPr="00251D2B" w:rsidRDefault="00BF2CE2" w:rsidP="002B1CB0">
            <w:pPr>
              <w:rPr>
                <w:sz w:val="22"/>
                <w:szCs w:val="22"/>
              </w:rPr>
            </w:pPr>
            <w:r w:rsidRPr="00251D2B">
              <w:rPr>
                <w:sz w:val="22"/>
                <w:szCs w:val="22"/>
              </w:rPr>
              <w:t>Patients treated for urodynamic procedures.</w:t>
            </w:r>
          </w:p>
        </w:tc>
        <w:tc>
          <w:tcPr>
            <w:tcW w:w="802" w:type="pct"/>
            <w:tcBorders>
              <w:top w:val="single" w:sz="4" w:space="0" w:color="auto"/>
              <w:left w:val="single" w:sz="4" w:space="0" w:color="auto"/>
              <w:bottom w:val="single" w:sz="4" w:space="0" w:color="auto"/>
              <w:right w:val="single" w:sz="4" w:space="0" w:color="auto"/>
            </w:tcBorders>
          </w:tcPr>
          <w:p w14:paraId="17C2CBA8" w14:textId="77777777" w:rsidR="00BF2CE2" w:rsidRPr="00251D2B" w:rsidRDefault="00BF2CE2" w:rsidP="002B1CB0">
            <w:pPr>
              <w:rPr>
                <w:sz w:val="22"/>
                <w:szCs w:val="22"/>
              </w:rPr>
            </w:pPr>
            <w:r w:rsidRPr="00251D2B">
              <w:rPr>
                <w:sz w:val="22"/>
                <w:szCs w:val="22"/>
              </w:rPr>
              <w:t>Procedure</w:t>
            </w:r>
          </w:p>
        </w:tc>
      </w:tr>
      <w:tr w:rsidR="001A09C9" w:rsidRPr="001A09C9" w14:paraId="3E66F845"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5EEEA3A0" w14:textId="7129C646" w:rsidR="001A09C9" w:rsidRPr="00251D2B" w:rsidRDefault="001A09C9" w:rsidP="002B1CB0">
            <w:pPr>
              <w:rPr>
                <w:sz w:val="22"/>
                <w:szCs w:val="22"/>
              </w:rPr>
            </w:pPr>
            <w:r>
              <w:rPr>
                <w:sz w:val="22"/>
                <w:szCs w:val="22"/>
              </w:rPr>
              <w:lastRenderedPageBreak/>
              <w:t>S70008</w:t>
            </w:r>
          </w:p>
        </w:tc>
        <w:tc>
          <w:tcPr>
            <w:tcW w:w="809" w:type="pct"/>
            <w:tcBorders>
              <w:top w:val="single" w:sz="4" w:space="0" w:color="auto"/>
              <w:left w:val="single" w:sz="4" w:space="0" w:color="auto"/>
              <w:bottom w:val="single" w:sz="4" w:space="0" w:color="auto"/>
              <w:right w:val="single" w:sz="4" w:space="0" w:color="auto"/>
            </w:tcBorders>
          </w:tcPr>
          <w:p w14:paraId="040821D2" w14:textId="1A0F3813" w:rsidR="001A09C9" w:rsidRPr="00251D2B" w:rsidRDefault="001A09C9" w:rsidP="002B1CB0">
            <w:pPr>
              <w:rPr>
                <w:sz w:val="22"/>
                <w:szCs w:val="22"/>
              </w:rPr>
            </w:pPr>
            <w:r>
              <w:rPr>
                <w:sz w:val="22"/>
                <w:szCs w:val="22"/>
              </w:rPr>
              <w:t>Prostate Biopsy</w:t>
            </w:r>
          </w:p>
        </w:tc>
        <w:tc>
          <w:tcPr>
            <w:tcW w:w="2724" w:type="pct"/>
            <w:tcBorders>
              <w:top w:val="single" w:sz="4" w:space="0" w:color="auto"/>
              <w:left w:val="single" w:sz="4" w:space="0" w:color="auto"/>
              <w:bottom w:val="single" w:sz="4" w:space="0" w:color="auto"/>
              <w:right w:val="single" w:sz="4" w:space="0" w:color="auto"/>
            </w:tcBorders>
          </w:tcPr>
          <w:p w14:paraId="47062FF5" w14:textId="79B913CB" w:rsidR="001A09C9" w:rsidRPr="00251D2B" w:rsidRDefault="001A09C9" w:rsidP="002B1CB0">
            <w:pPr>
              <w:rPr>
                <w:sz w:val="22"/>
                <w:szCs w:val="22"/>
              </w:rPr>
            </w:pPr>
            <w:r w:rsidRPr="001A09C9">
              <w:rPr>
                <w:sz w:val="22"/>
                <w:szCs w:val="22"/>
              </w:rPr>
              <w:t>Prostate biopsy (transrectal TRUS /</w:t>
            </w:r>
            <w:proofErr w:type="spellStart"/>
            <w:r w:rsidRPr="001A09C9">
              <w:rPr>
                <w:sz w:val="22"/>
                <w:szCs w:val="22"/>
              </w:rPr>
              <w:t>transperineal</w:t>
            </w:r>
            <w:proofErr w:type="spellEnd"/>
            <w:r w:rsidRPr="001A09C9">
              <w:rPr>
                <w:sz w:val="22"/>
                <w:szCs w:val="22"/>
              </w:rPr>
              <w:t xml:space="preserve"> approach TPA) performed as an outpatient or elective day case regardless of the Health Specialty providing the service. Casemix excluded procedures, additional Information is found in the NZ Casemix Framework for Publicly Funded Hospitals which gets updated every yea</w:t>
            </w:r>
          </w:p>
        </w:tc>
        <w:tc>
          <w:tcPr>
            <w:tcW w:w="802" w:type="pct"/>
            <w:tcBorders>
              <w:top w:val="single" w:sz="4" w:space="0" w:color="auto"/>
              <w:left w:val="single" w:sz="4" w:space="0" w:color="auto"/>
              <w:bottom w:val="single" w:sz="4" w:space="0" w:color="auto"/>
              <w:right w:val="single" w:sz="4" w:space="0" w:color="auto"/>
            </w:tcBorders>
          </w:tcPr>
          <w:p w14:paraId="536AAC75" w14:textId="776F3021" w:rsidR="001A09C9" w:rsidRPr="00251D2B" w:rsidRDefault="00AB1C9B" w:rsidP="002B1CB0">
            <w:pPr>
              <w:rPr>
                <w:sz w:val="22"/>
                <w:szCs w:val="22"/>
              </w:rPr>
            </w:pPr>
            <w:r>
              <w:rPr>
                <w:sz w:val="22"/>
                <w:szCs w:val="22"/>
              </w:rPr>
              <w:t>Attendance</w:t>
            </w:r>
          </w:p>
        </w:tc>
      </w:tr>
      <w:tr w:rsidR="00BF2CE2" w:rsidRPr="00AB1C9B" w14:paraId="713EC065"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544A7153" w14:textId="77777777" w:rsidR="00BF2CE2" w:rsidRPr="00AB1C9B" w:rsidRDefault="00BF2CE2" w:rsidP="002B1CB0">
            <w:pPr>
              <w:rPr>
                <w:sz w:val="22"/>
                <w:szCs w:val="22"/>
              </w:rPr>
            </w:pPr>
            <w:r w:rsidRPr="00AB1C9B">
              <w:rPr>
                <w:sz w:val="22"/>
                <w:szCs w:val="22"/>
              </w:rPr>
              <w:t>S70PRE</w:t>
            </w:r>
          </w:p>
        </w:tc>
        <w:tc>
          <w:tcPr>
            <w:tcW w:w="809" w:type="pct"/>
            <w:tcBorders>
              <w:top w:val="single" w:sz="4" w:space="0" w:color="auto"/>
              <w:left w:val="single" w:sz="4" w:space="0" w:color="auto"/>
              <w:bottom w:val="single" w:sz="4" w:space="0" w:color="auto"/>
              <w:right w:val="single" w:sz="4" w:space="0" w:color="auto"/>
            </w:tcBorders>
          </w:tcPr>
          <w:p w14:paraId="46EA5531" w14:textId="77777777" w:rsidR="00BF2CE2" w:rsidRPr="00AB1C9B" w:rsidRDefault="00BF2CE2" w:rsidP="002B1CB0">
            <w:pPr>
              <w:rPr>
                <w:sz w:val="22"/>
                <w:szCs w:val="22"/>
              </w:rPr>
            </w:pPr>
            <w:r w:rsidRPr="00AB1C9B">
              <w:rPr>
                <w:sz w:val="22"/>
                <w:szCs w:val="22"/>
              </w:rPr>
              <w:t>Urology Preadmission visit</w:t>
            </w:r>
          </w:p>
        </w:tc>
        <w:tc>
          <w:tcPr>
            <w:tcW w:w="2724" w:type="pct"/>
            <w:tcBorders>
              <w:top w:val="single" w:sz="4" w:space="0" w:color="auto"/>
              <w:left w:val="single" w:sz="4" w:space="0" w:color="auto"/>
              <w:bottom w:val="single" w:sz="4" w:space="0" w:color="auto"/>
              <w:right w:val="single" w:sz="4" w:space="0" w:color="auto"/>
            </w:tcBorders>
          </w:tcPr>
          <w:p w14:paraId="26D3230D" w14:textId="7E77B4A1" w:rsidR="00BF2CE2" w:rsidRPr="00AB1C9B" w:rsidRDefault="00AB1C9B" w:rsidP="002B1CB0">
            <w:pPr>
              <w:rPr>
                <w:sz w:val="22"/>
                <w:szCs w:val="22"/>
              </w:rPr>
            </w:pPr>
            <w:r w:rsidRPr="00AB1C9B">
              <w:rPr>
                <w:sz w:val="22"/>
                <w:szCs w:val="22"/>
              </w:rPr>
              <w:t>NOT PURCHASED; USE FOR REPORTING TO NNPAC FOR COUNTING ONLY. Preadmission visit for Urology procedure paid for as part of CWD price</w:t>
            </w:r>
          </w:p>
        </w:tc>
        <w:tc>
          <w:tcPr>
            <w:tcW w:w="802" w:type="pct"/>
            <w:tcBorders>
              <w:top w:val="single" w:sz="4" w:space="0" w:color="auto"/>
              <w:left w:val="single" w:sz="4" w:space="0" w:color="auto"/>
              <w:bottom w:val="single" w:sz="4" w:space="0" w:color="auto"/>
              <w:right w:val="single" w:sz="4" w:space="0" w:color="auto"/>
            </w:tcBorders>
          </w:tcPr>
          <w:p w14:paraId="0CF472EE" w14:textId="77777777" w:rsidR="00BF2CE2" w:rsidRPr="00AB1C9B" w:rsidRDefault="00BF2CE2" w:rsidP="002B1CB0">
            <w:pPr>
              <w:rPr>
                <w:sz w:val="22"/>
                <w:szCs w:val="22"/>
              </w:rPr>
            </w:pPr>
            <w:r w:rsidRPr="00AB1C9B">
              <w:rPr>
                <w:sz w:val="22"/>
                <w:szCs w:val="22"/>
              </w:rPr>
              <w:t>Attendance</w:t>
            </w:r>
          </w:p>
        </w:tc>
      </w:tr>
      <w:tr w:rsidR="00BF2CE2" w:rsidRPr="00AB1C9B" w14:paraId="22D974CF" w14:textId="77777777" w:rsidTr="00AB1C9B">
        <w:trPr>
          <w:cantSplit/>
        </w:trPr>
        <w:tc>
          <w:tcPr>
            <w:tcW w:w="665" w:type="pct"/>
            <w:tcBorders>
              <w:top w:val="single" w:sz="4" w:space="0" w:color="auto"/>
              <w:left w:val="single" w:sz="4" w:space="0" w:color="auto"/>
              <w:bottom w:val="single" w:sz="4" w:space="0" w:color="auto"/>
              <w:right w:val="single" w:sz="4" w:space="0" w:color="auto"/>
            </w:tcBorders>
          </w:tcPr>
          <w:p w14:paraId="0F67E359" w14:textId="77777777" w:rsidR="00BF2CE2" w:rsidRPr="00AB1C9B" w:rsidRDefault="00BF2CE2" w:rsidP="002B1CB0">
            <w:pPr>
              <w:rPr>
                <w:sz w:val="22"/>
                <w:szCs w:val="22"/>
              </w:rPr>
            </w:pPr>
            <w:r w:rsidRPr="00AB1C9B">
              <w:rPr>
                <w:sz w:val="22"/>
                <w:szCs w:val="22"/>
              </w:rPr>
              <w:t>S70CANC</w:t>
            </w:r>
          </w:p>
        </w:tc>
        <w:tc>
          <w:tcPr>
            <w:tcW w:w="809" w:type="pct"/>
            <w:tcBorders>
              <w:top w:val="single" w:sz="4" w:space="0" w:color="auto"/>
              <w:left w:val="single" w:sz="4" w:space="0" w:color="auto"/>
              <w:bottom w:val="single" w:sz="4" w:space="0" w:color="auto"/>
              <w:right w:val="single" w:sz="4" w:space="0" w:color="auto"/>
            </w:tcBorders>
          </w:tcPr>
          <w:p w14:paraId="1F897C2A" w14:textId="77777777" w:rsidR="00BF2CE2" w:rsidRPr="00AB1C9B" w:rsidRDefault="00BF2CE2" w:rsidP="002B1CB0">
            <w:pPr>
              <w:rPr>
                <w:sz w:val="22"/>
                <w:szCs w:val="22"/>
              </w:rPr>
            </w:pPr>
            <w:r w:rsidRPr="00AB1C9B">
              <w:rPr>
                <w:sz w:val="22"/>
                <w:szCs w:val="22"/>
              </w:rPr>
              <w:t>Urology Cancelled Operation</w:t>
            </w:r>
          </w:p>
        </w:tc>
        <w:tc>
          <w:tcPr>
            <w:tcW w:w="2724" w:type="pct"/>
            <w:tcBorders>
              <w:top w:val="single" w:sz="4" w:space="0" w:color="auto"/>
              <w:left w:val="single" w:sz="4" w:space="0" w:color="auto"/>
              <w:bottom w:val="single" w:sz="4" w:space="0" w:color="auto"/>
              <w:right w:val="single" w:sz="4" w:space="0" w:color="auto"/>
            </w:tcBorders>
          </w:tcPr>
          <w:p w14:paraId="0D46DD2F" w14:textId="2B044C74" w:rsidR="00BF2CE2" w:rsidRPr="00AB1C9B" w:rsidRDefault="00AB1C9B" w:rsidP="002B1CB0">
            <w:pPr>
              <w:rPr>
                <w:sz w:val="22"/>
                <w:szCs w:val="22"/>
              </w:rPr>
            </w:pPr>
            <w:r w:rsidRPr="00AB1C9B">
              <w:rPr>
                <w:sz w:val="22"/>
                <w:szCs w:val="22"/>
              </w:rPr>
              <w:t xml:space="preserve">NOT PURCHASED; USE FOR REPORTING TO NNPAC FOR COUNTING ONLY. Urology cancelled </w:t>
            </w:r>
            <w:proofErr w:type="gramStart"/>
            <w:r w:rsidRPr="00AB1C9B">
              <w:rPr>
                <w:sz w:val="22"/>
                <w:szCs w:val="22"/>
              </w:rPr>
              <w:t>case .</w:t>
            </w:r>
            <w:proofErr w:type="gramEnd"/>
          </w:p>
        </w:tc>
        <w:tc>
          <w:tcPr>
            <w:tcW w:w="802" w:type="pct"/>
            <w:tcBorders>
              <w:top w:val="single" w:sz="4" w:space="0" w:color="auto"/>
              <w:left w:val="single" w:sz="4" w:space="0" w:color="auto"/>
              <w:bottom w:val="single" w:sz="4" w:space="0" w:color="auto"/>
              <w:right w:val="single" w:sz="4" w:space="0" w:color="auto"/>
            </w:tcBorders>
          </w:tcPr>
          <w:p w14:paraId="72A00B25" w14:textId="77777777" w:rsidR="00BF2CE2" w:rsidRPr="00AB1C9B" w:rsidRDefault="00BF2CE2" w:rsidP="002B1CB0">
            <w:pPr>
              <w:rPr>
                <w:sz w:val="22"/>
                <w:szCs w:val="22"/>
              </w:rPr>
            </w:pPr>
            <w:r w:rsidRPr="00AB1C9B">
              <w:rPr>
                <w:sz w:val="22"/>
                <w:szCs w:val="22"/>
              </w:rPr>
              <w:t>Attendance</w:t>
            </w:r>
          </w:p>
        </w:tc>
      </w:tr>
    </w:tbl>
    <w:p w14:paraId="2D1B007D" w14:textId="77777777" w:rsidR="00D251F3" w:rsidRPr="00F14AE2" w:rsidRDefault="00D251F3" w:rsidP="002B1CB0"/>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2"/>
        <w:gridCol w:w="7506"/>
      </w:tblGrid>
      <w:tr w:rsidR="00D251F3" w:rsidRPr="00F14AE2" w14:paraId="04F6D647" w14:textId="77777777" w:rsidTr="002B1CB0">
        <w:trPr>
          <w:cantSplit/>
        </w:trPr>
        <w:tc>
          <w:tcPr>
            <w:tcW w:w="1102" w:type="pct"/>
            <w:tcBorders>
              <w:top w:val="single" w:sz="4" w:space="0" w:color="auto"/>
              <w:left w:val="single" w:sz="4" w:space="0" w:color="auto"/>
              <w:bottom w:val="single" w:sz="4" w:space="0" w:color="auto"/>
              <w:right w:val="single" w:sz="4" w:space="0" w:color="auto"/>
            </w:tcBorders>
            <w:shd w:val="clear" w:color="auto" w:fill="E7E6E6" w:themeFill="background2"/>
          </w:tcPr>
          <w:p w14:paraId="1473D509" w14:textId="4589E19A" w:rsidR="00D251F3" w:rsidRPr="00251D2B" w:rsidRDefault="00D251F3" w:rsidP="001A09C9">
            <w:pPr>
              <w:spacing w:before="120" w:after="120"/>
              <w:rPr>
                <w:b/>
              </w:rPr>
            </w:pPr>
            <w:r w:rsidRPr="00251D2B">
              <w:rPr>
                <w:b/>
              </w:rPr>
              <w:t>Unit of Measure</w:t>
            </w:r>
            <w:r w:rsidR="001A09C9">
              <w:rPr>
                <w:rStyle w:val="FootnoteReference"/>
                <w:b/>
              </w:rPr>
              <w:footnoteReference w:id="3"/>
            </w:r>
          </w:p>
        </w:tc>
        <w:tc>
          <w:tcPr>
            <w:tcW w:w="3898" w:type="pct"/>
            <w:tcBorders>
              <w:top w:val="single" w:sz="4" w:space="0" w:color="auto"/>
              <w:left w:val="single" w:sz="4" w:space="0" w:color="auto"/>
              <w:bottom w:val="single" w:sz="4" w:space="0" w:color="auto"/>
              <w:right w:val="single" w:sz="4" w:space="0" w:color="auto"/>
            </w:tcBorders>
            <w:shd w:val="clear" w:color="auto" w:fill="E7E6E6" w:themeFill="background2"/>
          </w:tcPr>
          <w:p w14:paraId="3AC07936" w14:textId="77777777" w:rsidR="00D251F3" w:rsidRPr="00251D2B" w:rsidRDefault="00D251F3" w:rsidP="001A09C9">
            <w:pPr>
              <w:spacing w:before="120" w:after="120"/>
              <w:rPr>
                <w:b/>
              </w:rPr>
            </w:pPr>
            <w:r w:rsidRPr="00251D2B">
              <w:rPr>
                <w:b/>
              </w:rPr>
              <w:t>Unit of Measure Definition</w:t>
            </w:r>
          </w:p>
        </w:tc>
      </w:tr>
      <w:tr w:rsidR="00D251F3" w:rsidRPr="00F14AE2" w14:paraId="2696F7CB" w14:textId="77777777" w:rsidTr="00251D2B">
        <w:trPr>
          <w:cantSplit/>
        </w:trPr>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tcPr>
          <w:p w14:paraId="76B77FAC" w14:textId="6E1961E3" w:rsidR="00D251F3" w:rsidRPr="00F14AE2" w:rsidRDefault="00D251F3" w:rsidP="002B1CB0">
            <w:r w:rsidRPr="00F14AE2">
              <w:t>Attendance</w:t>
            </w:r>
          </w:p>
        </w:tc>
        <w:tc>
          <w:tcPr>
            <w:tcW w:w="3898" w:type="pct"/>
            <w:tcBorders>
              <w:top w:val="single" w:sz="4" w:space="0" w:color="auto"/>
              <w:left w:val="single" w:sz="4" w:space="0" w:color="auto"/>
              <w:bottom w:val="single" w:sz="4" w:space="0" w:color="auto"/>
              <w:right w:val="single" w:sz="4" w:space="0" w:color="auto"/>
            </w:tcBorders>
            <w:shd w:val="clear" w:color="auto" w:fill="FFFFFF" w:themeFill="background1"/>
          </w:tcPr>
          <w:p w14:paraId="78A9D680" w14:textId="04E060DF" w:rsidR="00D251F3" w:rsidRPr="00F14AE2" w:rsidRDefault="001A09C9" w:rsidP="002B1CB0">
            <w:r w:rsidRPr="001A09C9">
              <w:t>Number of assessments.  Initial assessments and reassessments should be counted separately.</w:t>
            </w:r>
          </w:p>
        </w:tc>
      </w:tr>
      <w:tr w:rsidR="00D251F3" w:rsidRPr="00F14AE2" w14:paraId="713F6224" w14:textId="77777777" w:rsidTr="00251D2B">
        <w:trPr>
          <w:cantSplit/>
        </w:trPr>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tcPr>
          <w:p w14:paraId="1F2ACF5D" w14:textId="6503AD09" w:rsidR="00D251F3" w:rsidRPr="00F14AE2" w:rsidRDefault="00D251F3" w:rsidP="002B1CB0">
            <w:r w:rsidRPr="00F14AE2">
              <w:t>Cost Weighted Discharge</w:t>
            </w:r>
          </w:p>
        </w:tc>
        <w:tc>
          <w:tcPr>
            <w:tcW w:w="3898" w:type="pct"/>
            <w:tcBorders>
              <w:top w:val="single" w:sz="4" w:space="0" w:color="auto"/>
              <w:left w:val="single" w:sz="4" w:space="0" w:color="auto"/>
              <w:bottom w:val="single" w:sz="4" w:space="0" w:color="auto"/>
              <w:right w:val="single" w:sz="4" w:space="0" w:color="auto"/>
            </w:tcBorders>
            <w:shd w:val="clear" w:color="auto" w:fill="FFFFFF" w:themeFill="background1"/>
          </w:tcPr>
          <w:p w14:paraId="4861F6A1" w14:textId="5F4AEA53" w:rsidR="00D251F3" w:rsidRPr="00F14AE2" w:rsidRDefault="001A09C9" w:rsidP="002B1CB0">
            <w:r w:rsidRPr="001A09C9">
              <w:t>A numerical measure representing the relative cost of treating a patient through to discharge</w:t>
            </w:r>
          </w:p>
        </w:tc>
      </w:tr>
      <w:tr w:rsidR="00D251F3" w:rsidRPr="00F14AE2" w14:paraId="1ABF33AE" w14:textId="77777777" w:rsidTr="00251D2B">
        <w:trPr>
          <w:cantSplit/>
        </w:trPr>
        <w:tc>
          <w:tcPr>
            <w:tcW w:w="1102" w:type="pct"/>
            <w:tcBorders>
              <w:top w:val="single" w:sz="4" w:space="0" w:color="auto"/>
              <w:left w:val="single" w:sz="4" w:space="0" w:color="auto"/>
              <w:bottom w:val="single" w:sz="4" w:space="0" w:color="auto"/>
              <w:right w:val="single" w:sz="4" w:space="0" w:color="auto"/>
            </w:tcBorders>
            <w:shd w:val="clear" w:color="auto" w:fill="FFFFFF" w:themeFill="background1"/>
          </w:tcPr>
          <w:p w14:paraId="72B93E33" w14:textId="342E594D" w:rsidR="00D251F3" w:rsidRPr="00F14AE2" w:rsidRDefault="00D251F3" w:rsidP="002B1CB0">
            <w:r w:rsidRPr="00F14AE2">
              <w:t>Procedure</w:t>
            </w:r>
          </w:p>
        </w:tc>
        <w:tc>
          <w:tcPr>
            <w:tcW w:w="3898" w:type="pct"/>
            <w:tcBorders>
              <w:top w:val="single" w:sz="4" w:space="0" w:color="auto"/>
              <w:left w:val="single" w:sz="4" w:space="0" w:color="auto"/>
              <w:bottom w:val="single" w:sz="4" w:space="0" w:color="auto"/>
              <w:right w:val="single" w:sz="4" w:space="0" w:color="auto"/>
            </w:tcBorders>
            <w:shd w:val="clear" w:color="auto" w:fill="FFFFFF" w:themeFill="background1"/>
          </w:tcPr>
          <w:p w14:paraId="47942E40" w14:textId="773524E2" w:rsidR="00D251F3" w:rsidRPr="00F14AE2" w:rsidRDefault="001A09C9" w:rsidP="002B1CB0">
            <w:r w:rsidRPr="001A09C9">
              <w:t>The number of individual operative/diagnostic/assessment procedures in the period (period is annual 1st July - 30th June).</w:t>
            </w:r>
          </w:p>
        </w:tc>
      </w:tr>
      <w:tr w:rsidR="00D251F3" w:rsidRPr="00F14AE2" w14:paraId="5248924F" w14:textId="77777777" w:rsidTr="002B1CB0">
        <w:trPr>
          <w:cantSplit/>
        </w:trPr>
        <w:tc>
          <w:tcPr>
            <w:tcW w:w="1102" w:type="pct"/>
            <w:tcBorders>
              <w:top w:val="single" w:sz="4" w:space="0" w:color="auto"/>
              <w:left w:val="single" w:sz="4" w:space="0" w:color="auto"/>
              <w:bottom w:val="single" w:sz="4" w:space="0" w:color="auto"/>
              <w:right w:val="single" w:sz="4" w:space="0" w:color="auto"/>
            </w:tcBorders>
          </w:tcPr>
          <w:p w14:paraId="7CB2E302" w14:textId="77777777" w:rsidR="00D251F3" w:rsidRPr="00F14AE2" w:rsidRDefault="00D251F3" w:rsidP="002B1CB0">
            <w:r w:rsidRPr="00F14AE2">
              <w:t>Written plan of care</w:t>
            </w:r>
          </w:p>
        </w:tc>
        <w:tc>
          <w:tcPr>
            <w:tcW w:w="3898" w:type="pct"/>
            <w:tcBorders>
              <w:top w:val="single" w:sz="4" w:space="0" w:color="auto"/>
              <w:left w:val="single" w:sz="4" w:space="0" w:color="auto"/>
              <w:bottom w:val="single" w:sz="4" w:space="0" w:color="auto"/>
              <w:right w:val="single" w:sz="4" w:space="0" w:color="auto"/>
            </w:tcBorders>
          </w:tcPr>
          <w:p w14:paraId="3E5B5E97" w14:textId="67997CC0" w:rsidR="00D251F3" w:rsidRPr="00F14AE2" w:rsidRDefault="00D251F3" w:rsidP="001A09C9">
            <w:r w:rsidRPr="00F14AE2">
              <w:t>Written plan of care provided by the specialist to the referring GP</w:t>
            </w:r>
          </w:p>
        </w:tc>
      </w:tr>
    </w:tbl>
    <w:p w14:paraId="0E644694" w14:textId="78ECB9D6" w:rsidR="000E68FA" w:rsidRDefault="000E68FA" w:rsidP="001A09C9">
      <w:pPr>
        <w:pStyle w:val="Heading2"/>
      </w:pPr>
      <w:r w:rsidRPr="000E68FA">
        <w:t>Reporting Requirements</w:t>
      </w:r>
    </w:p>
    <w:p w14:paraId="0B62E69B" w14:textId="2F7612F0" w:rsidR="008427AA" w:rsidRDefault="000E68FA" w:rsidP="000E68FA">
      <w:pPr>
        <w:spacing w:before="120"/>
      </w:pPr>
      <w:r w:rsidRPr="000E68FA">
        <w:t>The Service must comply with the requirements of the Ministry’s national data collections.</w:t>
      </w:r>
    </w:p>
    <w:p w14:paraId="3C5836A3" w14:textId="39F9457A" w:rsidR="000E68FA" w:rsidRDefault="000E68FA" w:rsidP="000E68FA">
      <w:pPr>
        <w:spacing w:before="120"/>
      </w:pPr>
      <w:r>
        <w:t>DHBs must accurately report activity to the Ministry’s National Collections as outlined in the Operational Policy Framework</w:t>
      </w:r>
      <w:r>
        <w:rPr>
          <w:rStyle w:val="FootnoteReference"/>
        </w:rPr>
        <w:footnoteReference w:id="4"/>
      </w:r>
      <w:r>
        <w:t xml:space="preserve"> Monitoring and Reporting chapter, this includes but is not limited to National Minimum Data Set (NMDS), National Non-Admitted Patient Collection, (NNPAC), National Booking Reporting System (NBRS) and National Patient Flow (NPF).</w:t>
      </w:r>
    </w:p>
    <w:p w14:paraId="5FC142E6" w14:textId="1F34EEF2" w:rsidR="000E68FA" w:rsidRPr="00F14AE2" w:rsidRDefault="000E68FA" w:rsidP="000E68FA">
      <w:pPr>
        <w:spacing w:before="120"/>
      </w:pPr>
      <w:r>
        <w:t>Organisations that provide any services purchased by DHBs directly will also supply the Ministry with data required for inclusion in the National Collections (particularly the NMDS, NPF, NBRS and NNPAC). Organisations will notify the Ministry (operations@health.govt.nz) of any changes to their data definitions, standards or computer systems that may or will affect the supply of the above data.</w:t>
      </w:r>
    </w:p>
    <w:sectPr w:rsidR="000E68FA" w:rsidRPr="00F14AE2" w:rsidSect="00A52482">
      <w:footerReference w:type="even" r:id="rId9"/>
      <w:footerReference w:type="default" r:id="rId10"/>
      <w:pgSz w:w="11906" w:h="16838"/>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54C80" w14:textId="77777777" w:rsidR="00EC298E" w:rsidRDefault="00EC298E" w:rsidP="00AA74D3">
      <w:r>
        <w:separator/>
      </w:r>
    </w:p>
    <w:p w14:paraId="46748BEA" w14:textId="77777777" w:rsidR="00EC298E" w:rsidRDefault="00EC298E" w:rsidP="00AA74D3"/>
    <w:p w14:paraId="00285971" w14:textId="77777777" w:rsidR="00EC298E" w:rsidRDefault="00EC298E" w:rsidP="00AA74D3"/>
  </w:endnote>
  <w:endnote w:type="continuationSeparator" w:id="0">
    <w:p w14:paraId="2B5F4733" w14:textId="77777777" w:rsidR="00EC298E" w:rsidRDefault="00EC298E" w:rsidP="00AA74D3">
      <w:r>
        <w:continuationSeparator/>
      </w:r>
    </w:p>
    <w:p w14:paraId="013B46D3" w14:textId="77777777" w:rsidR="00EC298E" w:rsidRDefault="00EC298E" w:rsidP="00AA74D3"/>
    <w:p w14:paraId="5A18B137" w14:textId="77777777" w:rsidR="00EC298E" w:rsidRDefault="00EC298E" w:rsidP="00AA74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FE20" w14:textId="77777777" w:rsidR="001C56F8" w:rsidRDefault="001C56F8" w:rsidP="002B1CB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8020AB5" w14:textId="77777777" w:rsidR="001C56F8" w:rsidRDefault="001C56F8" w:rsidP="002B1CB0">
    <w:pPr>
      <w:pStyle w:val="Footer"/>
    </w:pPr>
  </w:p>
  <w:p w14:paraId="4098C6A5" w14:textId="77777777" w:rsidR="001C56F8" w:rsidRDefault="001C56F8" w:rsidP="00AA74D3"/>
  <w:p w14:paraId="4ADF7A09" w14:textId="77777777" w:rsidR="001C56F8" w:rsidRDefault="001C56F8" w:rsidP="00AA74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C4CB" w14:textId="77777777" w:rsidR="001C56F8" w:rsidRDefault="001C56F8" w:rsidP="00AA74D3">
    <w:pPr>
      <w:pStyle w:val="Footer"/>
      <w:ind w:left="144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4869DE" w14:textId="0267E74B" w:rsidR="001C56F8" w:rsidRPr="00AA74D3" w:rsidRDefault="001C56F8" w:rsidP="00AA74D3">
    <w:pPr>
      <w:pStyle w:val="Footer"/>
      <w:pBdr>
        <w:top w:val="single" w:sz="4" w:space="1" w:color="auto"/>
      </w:pBdr>
      <w:rPr>
        <w:sz w:val="20"/>
        <w:szCs w:val="20"/>
      </w:rPr>
    </w:pPr>
    <w:r w:rsidRPr="00AA74D3">
      <w:rPr>
        <w:sz w:val="20"/>
        <w:szCs w:val="20"/>
      </w:rPr>
      <w:t xml:space="preserve">Specialist </w:t>
    </w:r>
    <w:r>
      <w:rPr>
        <w:sz w:val="20"/>
        <w:szCs w:val="20"/>
      </w:rPr>
      <w:t xml:space="preserve">Medical and </w:t>
    </w:r>
    <w:r w:rsidRPr="00AA74D3">
      <w:rPr>
        <w:sz w:val="20"/>
        <w:szCs w:val="20"/>
      </w:rPr>
      <w:t>Surgical Services - Urology Services tier two service specification May 2020</w:t>
    </w:r>
  </w:p>
  <w:p w14:paraId="6A14BCE1" w14:textId="38FC124F" w:rsidR="001C56F8" w:rsidRDefault="001C56F8" w:rsidP="00AA74D3">
    <w:r w:rsidRPr="00AA74D3">
      <w:rPr>
        <w:sz w:val="20"/>
        <w:szCs w:val="20"/>
      </w:rPr>
      <w:t>Nationwide Service Framework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CE8AC" w14:textId="77777777" w:rsidR="00EC298E" w:rsidRDefault="00EC298E" w:rsidP="00AA74D3">
      <w:r>
        <w:separator/>
      </w:r>
    </w:p>
    <w:p w14:paraId="68C6F1FD" w14:textId="77777777" w:rsidR="00EC298E" w:rsidRDefault="00EC298E" w:rsidP="00AA74D3"/>
    <w:p w14:paraId="333E5924" w14:textId="77777777" w:rsidR="00EC298E" w:rsidRDefault="00EC298E" w:rsidP="00AA74D3"/>
  </w:footnote>
  <w:footnote w:type="continuationSeparator" w:id="0">
    <w:p w14:paraId="516E0761" w14:textId="77777777" w:rsidR="00EC298E" w:rsidRDefault="00EC298E" w:rsidP="00AA74D3">
      <w:r>
        <w:continuationSeparator/>
      </w:r>
    </w:p>
    <w:p w14:paraId="051DE624" w14:textId="77777777" w:rsidR="00EC298E" w:rsidRDefault="00EC298E" w:rsidP="00AA74D3"/>
    <w:p w14:paraId="671294A5" w14:textId="77777777" w:rsidR="00EC298E" w:rsidRDefault="00EC298E" w:rsidP="00AA74D3"/>
  </w:footnote>
  <w:footnote w:id="1">
    <w:p w14:paraId="356ECD85" w14:textId="6939B312" w:rsidR="0014694D" w:rsidRPr="0014694D" w:rsidRDefault="0014694D">
      <w:pPr>
        <w:pStyle w:val="FootnoteText"/>
        <w:rPr>
          <w:lang w:val="en-NZ"/>
        </w:rPr>
      </w:pPr>
      <w:r>
        <w:rPr>
          <w:rStyle w:val="FootnoteReference"/>
        </w:rPr>
        <w:footnoteRef/>
      </w:r>
      <w:r>
        <w:t xml:space="preserve"> </w:t>
      </w:r>
      <w:r w:rsidRPr="0014694D">
        <w:rPr>
          <w:sz w:val="20"/>
          <w:szCs w:val="20"/>
          <w:lang w:val="en-NZ"/>
        </w:rPr>
        <w:t>There are a range of paper-based prioritisation tools (8000 series) used in New Zealand and there is intent to move to a nationally consistent tool in future.</w:t>
      </w:r>
      <w:r>
        <w:rPr>
          <w:lang w:val="en-NZ"/>
        </w:rPr>
        <w:t xml:space="preserve">  </w:t>
      </w:r>
    </w:p>
  </w:footnote>
  <w:footnote w:id="2">
    <w:p w14:paraId="2B85A697" w14:textId="746B477E" w:rsidR="001C56F8" w:rsidRPr="00AA74D3" w:rsidRDefault="001C56F8" w:rsidP="00AA74D3">
      <w:pPr>
        <w:pStyle w:val="FootnoteText"/>
        <w:rPr>
          <w:lang w:val="en-NZ"/>
        </w:rPr>
      </w:pPr>
      <w:r w:rsidRPr="00AA74D3">
        <w:rPr>
          <w:rStyle w:val="FootnoteReference"/>
        </w:rPr>
        <w:footnoteRef/>
      </w:r>
      <w:r w:rsidRPr="00AA74D3">
        <w:t xml:space="preserve"> </w:t>
      </w:r>
      <w:r w:rsidRPr="00251D2B">
        <w:rPr>
          <w:sz w:val="20"/>
          <w:szCs w:val="20"/>
          <w:lang w:val="en-NZ"/>
        </w:rPr>
        <w:t>nsfl.health.govt.nz/accountability/operational-policy-framework-0</w:t>
      </w:r>
    </w:p>
  </w:footnote>
  <w:footnote w:id="3">
    <w:p w14:paraId="55A0B26D" w14:textId="13EC193C" w:rsidR="001C56F8" w:rsidRPr="001A09C9" w:rsidRDefault="001C56F8">
      <w:pPr>
        <w:pStyle w:val="FootnoteText"/>
        <w:rPr>
          <w:lang w:val="en-NZ"/>
        </w:rPr>
      </w:pPr>
      <w:r>
        <w:rPr>
          <w:rStyle w:val="FootnoteReference"/>
        </w:rPr>
        <w:footnoteRef/>
      </w:r>
      <w:r>
        <w:t xml:space="preserve"> </w:t>
      </w:r>
      <w:r w:rsidRPr="001A09C9">
        <w:rPr>
          <w:sz w:val="20"/>
          <w:szCs w:val="20"/>
        </w:rPr>
        <w:t>The Units of Measure are consistent with the Nationwide Service Framework Purchase Unit Data Dictionary www.nsfl.health.govt.nz/purchase-units</w:t>
      </w:r>
    </w:p>
  </w:footnote>
  <w:footnote w:id="4">
    <w:p w14:paraId="2AEB2C91" w14:textId="3E20BC4F" w:rsidR="001C56F8" w:rsidRPr="000E68FA" w:rsidRDefault="001C56F8">
      <w:pPr>
        <w:pStyle w:val="FootnoteText"/>
        <w:rPr>
          <w:lang w:val="en-NZ"/>
        </w:rPr>
      </w:pPr>
      <w:r>
        <w:rPr>
          <w:rStyle w:val="FootnoteReference"/>
        </w:rPr>
        <w:footnoteRef/>
      </w:r>
      <w:r>
        <w:t xml:space="preserve"> </w:t>
      </w:r>
      <w:r w:rsidRPr="000E68FA">
        <w:rPr>
          <w:sz w:val="20"/>
          <w:szCs w:val="20"/>
        </w:rPr>
        <w:t>Operational; Policy Framework see https://nsfl.health.govt.nz/accountability/operational-policy-framework-0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362D6F8"/>
    <w:lvl w:ilvl="0">
      <w:start w:val="1"/>
      <w:numFmt w:val="decimal"/>
      <w:pStyle w:val="Heading1"/>
      <w:lvlText w:val="%1."/>
      <w:legacy w:legacy="1" w:legacySpace="120" w:legacyIndent="567"/>
      <w:lvlJc w:val="left"/>
      <w:pPr>
        <w:ind w:left="738" w:hanging="567"/>
      </w:pPr>
    </w:lvl>
    <w:lvl w:ilvl="1">
      <w:start w:val="1"/>
      <w:numFmt w:val="decimal"/>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C73D7"/>
    <w:multiLevelType w:val="hybridMultilevel"/>
    <w:tmpl w:val="509E0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5C674E"/>
    <w:multiLevelType w:val="hybridMultilevel"/>
    <w:tmpl w:val="452E69E6"/>
    <w:lvl w:ilvl="0" w:tplc="0F0EEA06">
      <w:start w:val="1"/>
      <w:numFmt w:val="bullet"/>
      <w:pStyle w:val="ListParagraph"/>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031672"/>
    <w:multiLevelType w:val="hybridMultilevel"/>
    <w:tmpl w:val="9F609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C0F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857598"/>
    <w:multiLevelType w:val="hybridMultilevel"/>
    <w:tmpl w:val="AE603372"/>
    <w:lvl w:ilvl="0" w:tplc="175EE1DE">
      <w:start w:val="1"/>
      <w:numFmt w:val="decimal"/>
      <w:lvlText w:val="%1."/>
      <w:lvlJc w:val="left"/>
      <w:pPr>
        <w:ind w:left="1458" w:hanging="360"/>
      </w:pPr>
    </w:lvl>
    <w:lvl w:ilvl="1" w:tplc="14090019" w:tentative="1">
      <w:start w:val="1"/>
      <w:numFmt w:val="lowerLetter"/>
      <w:lvlText w:val="%2."/>
      <w:lvlJc w:val="left"/>
      <w:pPr>
        <w:ind w:left="2178" w:hanging="360"/>
      </w:pPr>
    </w:lvl>
    <w:lvl w:ilvl="2" w:tplc="1409001B" w:tentative="1">
      <w:start w:val="1"/>
      <w:numFmt w:val="lowerRoman"/>
      <w:lvlText w:val="%3."/>
      <w:lvlJc w:val="right"/>
      <w:pPr>
        <w:ind w:left="2898" w:hanging="180"/>
      </w:pPr>
    </w:lvl>
    <w:lvl w:ilvl="3" w:tplc="1409000F" w:tentative="1">
      <w:start w:val="1"/>
      <w:numFmt w:val="decimal"/>
      <w:lvlText w:val="%4."/>
      <w:lvlJc w:val="left"/>
      <w:pPr>
        <w:ind w:left="3618" w:hanging="360"/>
      </w:pPr>
    </w:lvl>
    <w:lvl w:ilvl="4" w:tplc="14090019" w:tentative="1">
      <w:start w:val="1"/>
      <w:numFmt w:val="lowerLetter"/>
      <w:lvlText w:val="%5."/>
      <w:lvlJc w:val="left"/>
      <w:pPr>
        <w:ind w:left="4338" w:hanging="360"/>
      </w:pPr>
    </w:lvl>
    <w:lvl w:ilvl="5" w:tplc="1409001B" w:tentative="1">
      <w:start w:val="1"/>
      <w:numFmt w:val="lowerRoman"/>
      <w:lvlText w:val="%6."/>
      <w:lvlJc w:val="right"/>
      <w:pPr>
        <w:ind w:left="5058" w:hanging="180"/>
      </w:pPr>
    </w:lvl>
    <w:lvl w:ilvl="6" w:tplc="1409000F" w:tentative="1">
      <w:start w:val="1"/>
      <w:numFmt w:val="decimal"/>
      <w:lvlText w:val="%7."/>
      <w:lvlJc w:val="left"/>
      <w:pPr>
        <w:ind w:left="5778" w:hanging="360"/>
      </w:pPr>
    </w:lvl>
    <w:lvl w:ilvl="7" w:tplc="14090019" w:tentative="1">
      <w:start w:val="1"/>
      <w:numFmt w:val="lowerLetter"/>
      <w:lvlText w:val="%8."/>
      <w:lvlJc w:val="left"/>
      <w:pPr>
        <w:ind w:left="6498" w:hanging="360"/>
      </w:pPr>
    </w:lvl>
    <w:lvl w:ilvl="8" w:tplc="1409001B" w:tentative="1">
      <w:start w:val="1"/>
      <w:numFmt w:val="lowerRoman"/>
      <w:lvlText w:val="%9."/>
      <w:lvlJc w:val="right"/>
      <w:pPr>
        <w:ind w:left="7218" w:hanging="180"/>
      </w:pPr>
    </w:lvl>
  </w:abstractNum>
  <w:abstractNum w:abstractNumId="6" w15:restartNumberingAfterBreak="0">
    <w:nsid w:val="0DFD4CFA"/>
    <w:multiLevelType w:val="hybridMultilevel"/>
    <w:tmpl w:val="341441C4"/>
    <w:lvl w:ilvl="0" w:tplc="04090001">
      <w:start w:val="1"/>
      <w:numFmt w:val="bullet"/>
      <w:lvlText w:val=""/>
      <w:lvlJc w:val="left"/>
      <w:pPr>
        <w:tabs>
          <w:tab w:val="num" w:pos="720"/>
        </w:tabs>
        <w:ind w:left="720" w:hanging="360"/>
      </w:pPr>
      <w:rPr>
        <w:rFonts w:ascii="Symbol" w:hAnsi="Symbol" w:hint="default"/>
      </w:rPr>
    </w:lvl>
    <w:lvl w:ilvl="1" w:tplc="1F509EEA">
      <w:start w:val="3"/>
      <w:numFmt w:val="bullet"/>
      <w:lvlText w:val="–"/>
      <w:lvlJc w:val="left"/>
      <w:pPr>
        <w:tabs>
          <w:tab w:val="num" w:pos="1650"/>
        </w:tabs>
        <w:ind w:left="1650" w:hanging="570"/>
      </w:pPr>
      <w:rPr>
        <w:rFonts w:ascii="Arial Mäori" w:eastAsia="Times New Roman" w:hAnsi="Arial Mäori" w:cs="Times New Roman" w:hint="default"/>
      </w:rPr>
    </w:lvl>
    <w:lvl w:ilvl="2" w:tplc="988EF68E">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04087"/>
    <w:multiLevelType w:val="hybridMultilevel"/>
    <w:tmpl w:val="5D4A6A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BD3178"/>
    <w:multiLevelType w:val="hybridMultilevel"/>
    <w:tmpl w:val="D03882AA"/>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17D90B54"/>
    <w:multiLevelType w:val="hybridMultilevel"/>
    <w:tmpl w:val="A4AE2C2E"/>
    <w:lvl w:ilvl="0" w:tplc="988EF68E">
      <w:start w:val="1"/>
      <w:numFmt w:val="bullet"/>
      <w:lvlText w:val="­"/>
      <w:lvlJc w:val="left"/>
      <w:pPr>
        <w:ind w:left="1440" w:hanging="360"/>
      </w:pPr>
      <w:rPr>
        <w:rFonts w:ascii="Courier New" w:hAnsi="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180365F2"/>
    <w:multiLevelType w:val="multilevel"/>
    <w:tmpl w:val="C4F2088E"/>
    <w:lvl w:ilvl="0">
      <w:start w:val="1"/>
      <w:numFmt w:val="bullet"/>
      <w:lvlText w:val=""/>
      <w:lvlJc w:val="left"/>
      <w:pPr>
        <w:ind w:left="567" w:hanging="283"/>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3678D6"/>
    <w:multiLevelType w:val="multilevel"/>
    <w:tmpl w:val="9DF672A4"/>
    <w:styleLink w:val="HeadingsNrs"/>
    <w:lvl w:ilvl="0">
      <w:start w:val="1"/>
      <w:numFmt w:val="decimal"/>
      <w:lvlText w:val="%1."/>
      <w:lvlJc w:val="left"/>
      <w:pPr>
        <w:ind w:left="454" w:hanging="454"/>
      </w:pPr>
      <w:rPr>
        <w:rFonts w:cs="Times New Roman" w:hint="default"/>
      </w:rPr>
    </w:lvl>
    <w:lvl w:ilvl="1">
      <w:start w:val="1"/>
      <w:numFmt w:val="decimal"/>
      <w:lvlText w:val="%1.%2"/>
      <w:lvlJc w:val="left"/>
      <w:pPr>
        <w:ind w:left="454" w:hanging="454"/>
      </w:pPr>
      <w:rPr>
        <w:rFonts w:cs="Times New Roman" w:hint="default"/>
      </w:rPr>
    </w:lvl>
    <w:lvl w:ilvl="2">
      <w:start w:val="1"/>
      <w:numFmt w:val="decimal"/>
      <w:lvlText w:val="%1.%2.%3"/>
      <w:lvlJc w:val="left"/>
      <w:pPr>
        <w:ind w:left="1305" w:hanging="454"/>
      </w:pPr>
      <w:rPr>
        <w:rFonts w:cs="Times New Roman" w:hint="default"/>
      </w:rPr>
    </w:lvl>
    <w:lvl w:ilvl="3">
      <w:start w:val="1"/>
      <w:numFmt w:val="decimal"/>
      <w:lvlText w:val="%1.%2.%3.%4"/>
      <w:lvlJc w:val="left"/>
      <w:pPr>
        <w:ind w:left="454" w:hanging="454"/>
      </w:pPr>
      <w:rPr>
        <w:rFonts w:cs="Times New Roman" w:hint="default"/>
      </w:rPr>
    </w:lvl>
    <w:lvl w:ilvl="4">
      <w:start w:val="1"/>
      <w:numFmt w:val="decimal"/>
      <w:lvlText w:val="%1.%2.%3.%4.%5"/>
      <w:lvlJc w:val="left"/>
      <w:pPr>
        <w:ind w:left="454" w:hanging="454"/>
      </w:pPr>
      <w:rPr>
        <w:rFonts w:cs="Times New Roman" w:hint="default"/>
      </w:rPr>
    </w:lvl>
    <w:lvl w:ilvl="5">
      <w:start w:val="1"/>
      <w:numFmt w:val="lowerRoman"/>
      <w:lvlText w:val="(%6)"/>
      <w:lvlJc w:val="left"/>
      <w:pPr>
        <w:ind w:left="454" w:hanging="454"/>
      </w:pPr>
      <w:rPr>
        <w:rFonts w:cs="Times New Roman" w:hint="default"/>
      </w:rPr>
    </w:lvl>
    <w:lvl w:ilvl="6">
      <w:start w:val="1"/>
      <w:numFmt w:val="decimal"/>
      <w:lvlText w:val="%7."/>
      <w:lvlJc w:val="left"/>
      <w:pPr>
        <w:ind w:left="454" w:hanging="454"/>
      </w:pPr>
      <w:rPr>
        <w:rFonts w:cs="Times New Roman" w:hint="default"/>
      </w:rPr>
    </w:lvl>
    <w:lvl w:ilvl="7">
      <w:start w:val="1"/>
      <w:numFmt w:val="lowerLetter"/>
      <w:lvlText w:val="%8."/>
      <w:lvlJc w:val="left"/>
      <w:pPr>
        <w:ind w:left="454" w:hanging="454"/>
      </w:pPr>
      <w:rPr>
        <w:rFonts w:cs="Times New Roman" w:hint="default"/>
      </w:rPr>
    </w:lvl>
    <w:lvl w:ilvl="8">
      <w:start w:val="1"/>
      <w:numFmt w:val="lowerRoman"/>
      <w:lvlText w:val="%9."/>
      <w:lvlJc w:val="left"/>
      <w:pPr>
        <w:ind w:left="454" w:hanging="454"/>
      </w:pPr>
      <w:rPr>
        <w:rFonts w:cs="Times New Roman" w:hint="default"/>
      </w:rPr>
    </w:lvl>
  </w:abstractNum>
  <w:abstractNum w:abstractNumId="12" w15:restartNumberingAfterBreak="0">
    <w:nsid w:val="18553B79"/>
    <w:multiLevelType w:val="multilevel"/>
    <w:tmpl w:val="A9CA1860"/>
    <w:lvl w:ilvl="0">
      <w:start w:val="1"/>
      <w:numFmt w:val="bullet"/>
      <w:lvlText w:val=""/>
      <w:lvlJc w:val="left"/>
      <w:pPr>
        <w:tabs>
          <w:tab w:val="num" w:pos="531"/>
        </w:tabs>
        <w:ind w:left="531" w:hanging="360"/>
      </w:pPr>
      <w:rPr>
        <w:rFonts w:ascii="Symbol" w:hAnsi="Symbol" w:hint="default"/>
      </w:rPr>
    </w:lvl>
    <w:lvl w:ilvl="1">
      <w:start w:val="1"/>
      <w:numFmt w:val="decimal"/>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0E402D8"/>
    <w:multiLevelType w:val="multilevel"/>
    <w:tmpl w:val="6A78F3B8"/>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1E46A69"/>
    <w:multiLevelType w:val="hybridMultilevel"/>
    <w:tmpl w:val="0F34A9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3118C"/>
    <w:multiLevelType w:val="hybridMultilevel"/>
    <w:tmpl w:val="93467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45E622A"/>
    <w:multiLevelType w:val="hybridMultilevel"/>
    <w:tmpl w:val="52DADBD4"/>
    <w:lvl w:ilvl="0" w:tplc="30DE3AD2">
      <w:start w:val="1"/>
      <w:numFmt w:val="bullet"/>
      <w:lvlText w:val=""/>
      <w:lvlJc w:val="left"/>
      <w:pPr>
        <w:tabs>
          <w:tab w:val="num" w:pos="1324"/>
        </w:tabs>
        <w:ind w:left="1304" w:hanging="340"/>
      </w:pPr>
      <w:rPr>
        <w:rFonts w:ascii="Symbol" w:hAnsi="Symbol" w:hint="default"/>
      </w:rPr>
    </w:lvl>
    <w:lvl w:ilvl="1" w:tplc="04090003" w:tentative="1">
      <w:start w:val="1"/>
      <w:numFmt w:val="bullet"/>
      <w:lvlText w:val="o"/>
      <w:lvlJc w:val="left"/>
      <w:pPr>
        <w:tabs>
          <w:tab w:val="num" w:pos="2120"/>
        </w:tabs>
        <w:ind w:left="2120" w:hanging="360"/>
      </w:pPr>
      <w:rPr>
        <w:rFonts w:ascii="Courier New" w:hAnsi="Courier New"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17" w15:restartNumberingAfterBreak="0">
    <w:nsid w:val="27257A97"/>
    <w:multiLevelType w:val="hybridMultilevel"/>
    <w:tmpl w:val="4F70EBB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DD77F2"/>
    <w:multiLevelType w:val="hybridMultilevel"/>
    <w:tmpl w:val="E87C5C4C"/>
    <w:lvl w:ilvl="0" w:tplc="4528A10E">
      <w:start w:val="1"/>
      <w:numFmt w:val="decimal"/>
      <w:lvlText w:val="%1."/>
      <w:lvlJc w:val="left"/>
      <w:pPr>
        <w:ind w:left="891" w:hanging="360"/>
      </w:pPr>
    </w:lvl>
    <w:lvl w:ilvl="1" w:tplc="14090019" w:tentative="1">
      <w:start w:val="1"/>
      <w:numFmt w:val="lowerLetter"/>
      <w:lvlText w:val="%2."/>
      <w:lvlJc w:val="left"/>
      <w:pPr>
        <w:ind w:left="1611" w:hanging="360"/>
      </w:pPr>
    </w:lvl>
    <w:lvl w:ilvl="2" w:tplc="1409001B" w:tentative="1">
      <w:start w:val="1"/>
      <w:numFmt w:val="lowerRoman"/>
      <w:lvlText w:val="%3."/>
      <w:lvlJc w:val="right"/>
      <w:pPr>
        <w:ind w:left="2331" w:hanging="180"/>
      </w:pPr>
    </w:lvl>
    <w:lvl w:ilvl="3" w:tplc="1409000F" w:tentative="1">
      <w:start w:val="1"/>
      <w:numFmt w:val="decimal"/>
      <w:lvlText w:val="%4."/>
      <w:lvlJc w:val="left"/>
      <w:pPr>
        <w:ind w:left="3051" w:hanging="360"/>
      </w:pPr>
    </w:lvl>
    <w:lvl w:ilvl="4" w:tplc="14090019" w:tentative="1">
      <w:start w:val="1"/>
      <w:numFmt w:val="lowerLetter"/>
      <w:lvlText w:val="%5."/>
      <w:lvlJc w:val="left"/>
      <w:pPr>
        <w:ind w:left="3771" w:hanging="360"/>
      </w:pPr>
    </w:lvl>
    <w:lvl w:ilvl="5" w:tplc="1409001B" w:tentative="1">
      <w:start w:val="1"/>
      <w:numFmt w:val="lowerRoman"/>
      <w:lvlText w:val="%6."/>
      <w:lvlJc w:val="right"/>
      <w:pPr>
        <w:ind w:left="4491" w:hanging="180"/>
      </w:pPr>
    </w:lvl>
    <w:lvl w:ilvl="6" w:tplc="1409000F" w:tentative="1">
      <w:start w:val="1"/>
      <w:numFmt w:val="decimal"/>
      <w:lvlText w:val="%7."/>
      <w:lvlJc w:val="left"/>
      <w:pPr>
        <w:ind w:left="5211" w:hanging="360"/>
      </w:pPr>
    </w:lvl>
    <w:lvl w:ilvl="7" w:tplc="14090019" w:tentative="1">
      <w:start w:val="1"/>
      <w:numFmt w:val="lowerLetter"/>
      <w:lvlText w:val="%8."/>
      <w:lvlJc w:val="left"/>
      <w:pPr>
        <w:ind w:left="5931" w:hanging="360"/>
      </w:pPr>
    </w:lvl>
    <w:lvl w:ilvl="8" w:tplc="1409001B" w:tentative="1">
      <w:start w:val="1"/>
      <w:numFmt w:val="lowerRoman"/>
      <w:lvlText w:val="%9."/>
      <w:lvlJc w:val="right"/>
      <w:pPr>
        <w:ind w:left="6651" w:hanging="180"/>
      </w:pPr>
    </w:lvl>
  </w:abstractNum>
  <w:abstractNum w:abstractNumId="19" w15:restartNumberingAfterBreak="0">
    <w:nsid w:val="285A320E"/>
    <w:multiLevelType w:val="hybridMultilevel"/>
    <w:tmpl w:val="EB70E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777B6F"/>
    <w:multiLevelType w:val="hybridMultilevel"/>
    <w:tmpl w:val="24E6EFF4"/>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1" w15:restartNumberingAfterBreak="0">
    <w:nsid w:val="2A0408C3"/>
    <w:multiLevelType w:val="hybridMultilevel"/>
    <w:tmpl w:val="2A3A6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996"/>
        </w:tabs>
        <w:ind w:left="1996" w:hanging="360"/>
      </w:pPr>
      <w:rPr>
        <w:rFonts w:ascii="Courier New" w:hAnsi="Courier New" w:hint="default"/>
      </w:rPr>
    </w:lvl>
    <w:lvl w:ilvl="2" w:tplc="04090005" w:tentative="1">
      <w:start w:val="1"/>
      <w:numFmt w:val="bullet"/>
      <w:lvlText w:val=""/>
      <w:lvlJc w:val="left"/>
      <w:pPr>
        <w:tabs>
          <w:tab w:val="num" w:pos="2716"/>
        </w:tabs>
        <w:ind w:left="2716" w:hanging="360"/>
      </w:pPr>
      <w:rPr>
        <w:rFonts w:ascii="Wingdings" w:hAnsi="Wingdings" w:hint="default"/>
      </w:rPr>
    </w:lvl>
    <w:lvl w:ilvl="3" w:tplc="04090001" w:tentative="1">
      <w:start w:val="1"/>
      <w:numFmt w:val="bullet"/>
      <w:lvlText w:val=""/>
      <w:lvlJc w:val="left"/>
      <w:pPr>
        <w:tabs>
          <w:tab w:val="num" w:pos="3436"/>
        </w:tabs>
        <w:ind w:left="3436" w:hanging="360"/>
      </w:pPr>
      <w:rPr>
        <w:rFonts w:ascii="Symbol" w:hAnsi="Symbol" w:hint="default"/>
      </w:rPr>
    </w:lvl>
    <w:lvl w:ilvl="4" w:tplc="04090003" w:tentative="1">
      <w:start w:val="1"/>
      <w:numFmt w:val="bullet"/>
      <w:lvlText w:val="o"/>
      <w:lvlJc w:val="left"/>
      <w:pPr>
        <w:tabs>
          <w:tab w:val="num" w:pos="4156"/>
        </w:tabs>
        <w:ind w:left="4156" w:hanging="360"/>
      </w:pPr>
      <w:rPr>
        <w:rFonts w:ascii="Courier New" w:hAnsi="Courier New" w:hint="default"/>
      </w:rPr>
    </w:lvl>
    <w:lvl w:ilvl="5" w:tplc="04090005" w:tentative="1">
      <w:start w:val="1"/>
      <w:numFmt w:val="bullet"/>
      <w:lvlText w:val=""/>
      <w:lvlJc w:val="left"/>
      <w:pPr>
        <w:tabs>
          <w:tab w:val="num" w:pos="4876"/>
        </w:tabs>
        <w:ind w:left="4876" w:hanging="360"/>
      </w:pPr>
      <w:rPr>
        <w:rFonts w:ascii="Wingdings" w:hAnsi="Wingdings" w:hint="default"/>
      </w:rPr>
    </w:lvl>
    <w:lvl w:ilvl="6" w:tplc="04090001" w:tentative="1">
      <w:start w:val="1"/>
      <w:numFmt w:val="bullet"/>
      <w:lvlText w:val=""/>
      <w:lvlJc w:val="left"/>
      <w:pPr>
        <w:tabs>
          <w:tab w:val="num" w:pos="5596"/>
        </w:tabs>
        <w:ind w:left="5596" w:hanging="360"/>
      </w:pPr>
      <w:rPr>
        <w:rFonts w:ascii="Symbol" w:hAnsi="Symbol" w:hint="default"/>
      </w:rPr>
    </w:lvl>
    <w:lvl w:ilvl="7" w:tplc="04090003" w:tentative="1">
      <w:start w:val="1"/>
      <w:numFmt w:val="bullet"/>
      <w:lvlText w:val="o"/>
      <w:lvlJc w:val="left"/>
      <w:pPr>
        <w:tabs>
          <w:tab w:val="num" w:pos="6316"/>
        </w:tabs>
        <w:ind w:left="6316" w:hanging="360"/>
      </w:pPr>
      <w:rPr>
        <w:rFonts w:ascii="Courier New" w:hAnsi="Courier New" w:hint="default"/>
      </w:rPr>
    </w:lvl>
    <w:lvl w:ilvl="8" w:tplc="04090005" w:tentative="1">
      <w:start w:val="1"/>
      <w:numFmt w:val="bullet"/>
      <w:lvlText w:val=""/>
      <w:lvlJc w:val="left"/>
      <w:pPr>
        <w:tabs>
          <w:tab w:val="num" w:pos="7036"/>
        </w:tabs>
        <w:ind w:left="7036" w:hanging="360"/>
      </w:pPr>
      <w:rPr>
        <w:rFonts w:ascii="Wingdings" w:hAnsi="Wingdings" w:hint="default"/>
      </w:rPr>
    </w:lvl>
  </w:abstractNum>
  <w:abstractNum w:abstractNumId="22" w15:restartNumberingAfterBreak="0">
    <w:nsid w:val="2CCE1D21"/>
    <w:multiLevelType w:val="hybridMultilevel"/>
    <w:tmpl w:val="4BEAB810"/>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8C2F3A"/>
    <w:multiLevelType w:val="hybridMultilevel"/>
    <w:tmpl w:val="EC540CD8"/>
    <w:lvl w:ilvl="0" w:tplc="04090001">
      <w:start w:val="1"/>
      <w:numFmt w:val="bullet"/>
      <w:lvlText w:val=""/>
      <w:lvlJc w:val="left"/>
      <w:pPr>
        <w:tabs>
          <w:tab w:val="num" w:pos="417"/>
        </w:tabs>
        <w:ind w:left="417" w:hanging="360"/>
      </w:pPr>
      <w:rPr>
        <w:rFonts w:ascii="Symbol" w:hAnsi="Symbol"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4" w15:restartNumberingAfterBreak="0">
    <w:nsid w:val="324245D6"/>
    <w:multiLevelType w:val="multilevel"/>
    <w:tmpl w:val="BF9A1F42"/>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25" w15:restartNumberingAfterBreak="0">
    <w:nsid w:val="382F15E1"/>
    <w:multiLevelType w:val="hybridMultilevel"/>
    <w:tmpl w:val="28B2A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1E34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E871424"/>
    <w:multiLevelType w:val="hybridMultilevel"/>
    <w:tmpl w:val="AF3049A6"/>
    <w:lvl w:ilvl="0" w:tplc="988EF68E">
      <w:start w:val="1"/>
      <w:numFmt w:val="bullet"/>
      <w:lvlText w:val="­"/>
      <w:lvlJc w:val="left"/>
      <w:pPr>
        <w:tabs>
          <w:tab w:val="num" w:pos="1003"/>
        </w:tabs>
        <w:ind w:left="1003" w:hanging="360"/>
      </w:pPr>
      <w:rPr>
        <w:rFonts w:ascii="Courier New" w:hAnsi="Courier New"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8" w15:restartNumberingAfterBreak="0">
    <w:nsid w:val="43BD7E98"/>
    <w:multiLevelType w:val="multilevel"/>
    <w:tmpl w:val="E034BD9E"/>
    <w:lvl w:ilvl="0">
      <w:start w:val="1"/>
      <w:numFmt w:val="bullet"/>
      <w:lvlText w:val=""/>
      <w:lvlJc w:val="left"/>
      <w:pPr>
        <w:ind w:left="283" w:hanging="283"/>
      </w:pPr>
      <w:rPr>
        <w:rFonts w:ascii="Symbol" w:hAnsi="Symbol" w:hint="default"/>
      </w:rPr>
    </w:lvl>
    <w:lvl w:ilvl="1">
      <w:start w:val="1"/>
      <w:numFmt w:val="bullet"/>
      <w:lvlText w:val="-"/>
      <w:lvlJc w:val="left"/>
      <w:pPr>
        <w:ind w:left="1156" w:hanging="360"/>
      </w:pPr>
      <w:rPr>
        <w:rFonts w:ascii="Courier New" w:hAnsi="Courier New" w:hint="default"/>
      </w:rPr>
    </w:lvl>
    <w:lvl w:ilvl="2">
      <w:start w:val="1"/>
      <w:numFmt w:val="bullet"/>
      <w:lvlText w:val=""/>
      <w:lvlJc w:val="left"/>
      <w:pPr>
        <w:ind w:left="1876" w:hanging="360"/>
      </w:pPr>
      <w:rPr>
        <w:rFonts w:ascii="Wingdings" w:hAnsi="Wingdings" w:hint="default"/>
      </w:rPr>
    </w:lvl>
    <w:lvl w:ilvl="3">
      <w:start w:val="1"/>
      <w:numFmt w:val="bullet"/>
      <w:lvlText w:val=""/>
      <w:lvlJc w:val="left"/>
      <w:pPr>
        <w:ind w:left="2596" w:hanging="360"/>
      </w:pPr>
      <w:rPr>
        <w:rFonts w:ascii="Symbol" w:hAnsi="Symbol" w:hint="default"/>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hint="default"/>
      </w:rPr>
    </w:lvl>
    <w:lvl w:ilvl="8">
      <w:start w:val="1"/>
      <w:numFmt w:val="bullet"/>
      <w:lvlText w:val=""/>
      <w:lvlJc w:val="left"/>
      <w:pPr>
        <w:ind w:left="6196" w:hanging="360"/>
      </w:pPr>
      <w:rPr>
        <w:rFonts w:ascii="Wingdings" w:hAnsi="Wingdings" w:hint="default"/>
      </w:rPr>
    </w:lvl>
  </w:abstractNum>
  <w:abstractNum w:abstractNumId="29" w15:restartNumberingAfterBreak="0">
    <w:nsid w:val="56FC3BE5"/>
    <w:multiLevelType w:val="hybridMultilevel"/>
    <w:tmpl w:val="854AD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C15512"/>
    <w:multiLevelType w:val="multilevel"/>
    <w:tmpl w:val="FFFFFFFF"/>
    <w:lvl w:ilvl="0">
      <w:start w:val="1"/>
      <w:numFmt w:val="decimal"/>
      <w:lvlText w:val="%1."/>
      <w:legacy w:legacy="1" w:legacySpace="120" w:legacyIndent="567"/>
      <w:lvlJc w:val="left"/>
      <w:pPr>
        <w:ind w:left="738" w:hanging="567"/>
      </w:pPr>
    </w:lvl>
    <w:lvl w:ilvl="1">
      <w:start w:val="1"/>
      <w:numFmt w:val="decimal"/>
      <w:lvlText w:val="%1.%2."/>
      <w:legacy w:legacy="1" w:legacySpace="120" w:legacyIndent="567"/>
      <w:lvlJc w:val="left"/>
      <w:pPr>
        <w:ind w:hanging="567"/>
      </w:pPr>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1" w15:restartNumberingAfterBreak="0">
    <w:nsid w:val="600A2324"/>
    <w:multiLevelType w:val="multilevel"/>
    <w:tmpl w:val="99EC9BA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7E468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90C4B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482F9D"/>
    <w:multiLevelType w:val="hybridMultilevel"/>
    <w:tmpl w:val="A5AA1EEE"/>
    <w:lvl w:ilvl="0" w:tplc="30DE3AD2">
      <w:start w:val="1"/>
      <w:numFmt w:val="bullet"/>
      <w:lvlText w:val=""/>
      <w:lvlJc w:val="left"/>
      <w:pPr>
        <w:tabs>
          <w:tab w:val="num" w:pos="644"/>
        </w:tabs>
        <w:ind w:left="624" w:hanging="34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C14823"/>
    <w:multiLevelType w:val="hybridMultilevel"/>
    <w:tmpl w:val="72D0EF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A24090"/>
    <w:multiLevelType w:val="multilevel"/>
    <w:tmpl w:val="AA82DAEA"/>
    <w:lvl w:ilvl="0">
      <w:start w:val="1"/>
      <w:numFmt w:val="decimal"/>
      <w:pStyle w:val="1"/>
      <w:lvlText w:val="%1."/>
      <w:lvlJc w:val="left"/>
      <w:pPr>
        <w:tabs>
          <w:tab w:val="num" w:pos="360"/>
        </w:tabs>
        <w:ind w:left="360" w:hanging="360"/>
      </w:pPr>
    </w:lvl>
    <w:lvl w:ilvl="1">
      <w:start w:val="1"/>
      <w:numFmt w:val="decimal"/>
      <w:pStyle w:val="1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3B404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BE0D97"/>
    <w:multiLevelType w:val="multilevel"/>
    <w:tmpl w:val="93467F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3C233A5"/>
    <w:multiLevelType w:val="hybridMultilevel"/>
    <w:tmpl w:val="44002DA8"/>
    <w:lvl w:ilvl="0" w:tplc="A6B01B8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19542462">
      <w:numFmt w:val="bullet"/>
      <w:lvlText w:val="–"/>
      <w:lvlJc w:val="left"/>
      <w:pPr>
        <w:tabs>
          <w:tab w:val="num" w:pos="2520"/>
        </w:tabs>
        <w:ind w:left="2520" w:hanging="108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510373A"/>
    <w:multiLevelType w:val="multilevel"/>
    <w:tmpl w:val="D8305C6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86F0981"/>
    <w:multiLevelType w:val="hybridMultilevel"/>
    <w:tmpl w:val="4BBAA8EC"/>
    <w:lvl w:ilvl="0" w:tplc="0A04AB26">
      <w:start w:val="1"/>
      <w:numFmt w:val="decimal"/>
      <w:pStyle w:val="Heading2"/>
      <w:lvlText w:val="%1."/>
      <w:lvlJc w:val="left"/>
      <w:pPr>
        <w:ind w:left="1820" w:hanging="360"/>
      </w:pPr>
    </w:lvl>
    <w:lvl w:ilvl="1" w:tplc="14090019" w:tentative="1">
      <w:start w:val="1"/>
      <w:numFmt w:val="lowerLetter"/>
      <w:lvlText w:val="%2."/>
      <w:lvlJc w:val="left"/>
      <w:pPr>
        <w:ind w:left="2540" w:hanging="360"/>
      </w:pPr>
    </w:lvl>
    <w:lvl w:ilvl="2" w:tplc="1409001B" w:tentative="1">
      <w:start w:val="1"/>
      <w:numFmt w:val="lowerRoman"/>
      <w:lvlText w:val="%3."/>
      <w:lvlJc w:val="right"/>
      <w:pPr>
        <w:ind w:left="3260" w:hanging="180"/>
      </w:pPr>
    </w:lvl>
    <w:lvl w:ilvl="3" w:tplc="1409000F" w:tentative="1">
      <w:start w:val="1"/>
      <w:numFmt w:val="decimal"/>
      <w:lvlText w:val="%4."/>
      <w:lvlJc w:val="left"/>
      <w:pPr>
        <w:ind w:left="3980" w:hanging="360"/>
      </w:pPr>
    </w:lvl>
    <w:lvl w:ilvl="4" w:tplc="14090019" w:tentative="1">
      <w:start w:val="1"/>
      <w:numFmt w:val="lowerLetter"/>
      <w:lvlText w:val="%5."/>
      <w:lvlJc w:val="left"/>
      <w:pPr>
        <w:ind w:left="4700" w:hanging="360"/>
      </w:pPr>
    </w:lvl>
    <w:lvl w:ilvl="5" w:tplc="1409001B" w:tentative="1">
      <w:start w:val="1"/>
      <w:numFmt w:val="lowerRoman"/>
      <w:lvlText w:val="%6."/>
      <w:lvlJc w:val="right"/>
      <w:pPr>
        <w:ind w:left="5420" w:hanging="180"/>
      </w:pPr>
    </w:lvl>
    <w:lvl w:ilvl="6" w:tplc="1409000F" w:tentative="1">
      <w:start w:val="1"/>
      <w:numFmt w:val="decimal"/>
      <w:lvlText w:val="%7."/>
      <w:lvlJc w:val="left"/>
      <w:pPr>
        <w:ind w:left="6140" w:hanging="360"/>
      </w:pPr>
    </w:lvl>
    <w:lvl w:ilvl="7" w:tplc="14090019" w:tentative="1">
      <w:start w:val="1"/>
      <w:numFmt w:val="lowerLetter"/>
      <w:lvlText w:val="%8."/>
      <w:lvlJc w:val="left"/>
      <w:pPr>
        <w:ind w:left="6860" w:hanging="360"/>
      </w:pPr>
    </w:lvl>
    <w:lvl w:ilvl="8" w:tplc="1409001B" w:tentative="1">
      <w:start w:val="1"/>
      <w:numFmt w:val="lowerRoman"/>
      <w:lvlText w:val="%9."/>
      <w:lvlJc w:val="right"/>
      <w:pPr>
        <w:ind w:left="7580" w:hanging="180"/>
      </w:pPr>
    </w:lvl>
  </w:abstractNum>
  <w:abstractNum w:abstractNumId="42" w15:restartNumberingAfterBreak="0">
    <w:nsid w:val="795B73FD"/>
    <w:multiLevelType w:val="multilevel"/>
    <w:tmpl w:val="FC0889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15:restartNumberingAfterBreak="0">
    <w:nsid w:val="797A1C09"/>
    <w:multiLevelType w:val="hybridMultilevel"/>
    <w:tmpl w:val="3B5ED808"/>
    <w:lvl w:ilvl="0" w:tplc="04090001">
      <w:start w:val="1"/>
      <w:numFmt w:val="bullet"/>
      <w:lvlText w:val=""/>
      <w:lvlJc w:val="left"/>
      <w:pPr>
        <w:tabs>
          <w:tab w:val="num" w:pos="720"/>
        </w:tabs>
        <w:ind w:left="720" w:hanging="360"/>
      </w:pPr>
      <w:rPr>
        <w:rFonts w:ascii="Symbol" w:hAnsi="Symbol" w:hint="default"/>
      </w:rPr>
    </w:lvl>
    <w:lvl w:ilvl="1" w:tplc="39C6D458">
      <w:numFmt w:val="bullet"/>
      <w:lvlText w:val="–"/>
      <w:lvlJc w:val="left"/>
      <w:pPr>
        <w:tabs>
          <w:tab w:val="num" w:pos="1650"/>
        </w:tabs>
        <w:ind w:left="1650" w:hanging="570"/>
      </w:pPr>
      <w:rPr>
        <w:rFonts w:ascii="Arial Mäori" w:eastAsia="Times New Roman" w:hAnsi="Arial Mäo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E104EC"/>
    <w:multiLevelType w:val="hybridMultilevel"/>
    <w:tmpl w:val="14F8D9F8"/>
    <w:lvl w:ilvl="0" w:tplc="04090001">
      <w:start w:val="1"/>
      <w:numFmt w:val="bullet"/>
      <w:lvlText w:val=""/>
      <w:lvlJc w:val="left"/>
      <w:pPr>
        <w:tabs>
          <w:tab w:val="num" w:pos="720"/>
        </w:tabs>
        <w:ind w:left="720" w:hanging="360"/>
      </w:pPr>
      <w:rPr>
        <w:rFonts w:ascii="Symbol" w:hAnsi="Symbol" w:hint="default"/>
      </w:rPr>
    </w:lvl>
    <w:lvl w:ilvl="1" w:tplc="4238EF52">
      <w:numFmt w:val="bullet"/>
      <w:lvlText w:val="-"/>
      <w:lvlJc w:val="left"/>
      <w:pPr>
        <w:tabs>
          <w:tab w:val="num" w:pos="1440"/>
        </w:tabs>
        <w:ind w:left="1440" w:hanging="360"/>
      </w:pPr>
      <w:rPr>
        <w:rFonts w:ascii="Arial Mäori" w:eastAsia="Times New Roman" w:hAnsi="Arial Mäori" w:cs="Arial Mäo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607DA"/>
    <w:multiLevelType w:val="hybridMultilevel"/>
    <w:tmpl w:val="A7D4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510A39"/>
    <w:multiLevelType w:val="hybridMultilevel"/>
    <w:tmpl w:val="F696A52E"/>
    <w:lvl w:ilvl="0" w:tplc="14090001">
      <w:start w:val="1"/>
      <w:numFmt w:val="bullet"/>
      <w:lvlText w:val=""/>
      <w:lvlJc w:val="left"/>
      <w:pPr>
        <w:ind w:left="720" w:hanging="360"/>
      </w:pPr>
      <w:rPr>
        <w:rFonts w:ascii="Symbol" w:hAnsi="Symbol" w:hint="default"/>
      </w:rPr>
    </w:lvl>
    <w:lvl w:ilvl="1" w:tplc="19147BA6">
      <w:numFmt w:val="bullet"/>
      <w:lvlText w:val="•"/>
      <w:lvlJc w:val="left"/>
      <w:pPr>
        <w:ind w:left="1800" w:hanging="72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33"/>
  </w:num>
  <w:num w:numId="4">
    <w:abstractNumId w:val="32"/>
  </w:num>
  <w:num w:numId="5">
    <w:abstractNumId w:val="21"/>
  </w:num>
  <w:num w:numId="6">
    <w:abstractNumId w:val="35"/>
  </w:num>
  <w:num w:numId="7">
    <w:abstractNumId w:val="4"/>
  </w:num>
  <w:num w:numId="8">
    <w:abstractNumId w:val="16"/>
  </w:num>
  <w:num w:numId="9">
    <w:abstractNumId w:val="34"/>
  </w:num>
  <w:num w:numId="10">
    <w:abstractNumId w:val="8"/>
  </w:num>
  <w:num w:numId="11">
    <w:abstractNumId w:val="13"/>
  </w:num>
  <w:num w:numId="12">
    <w:abstractNumId w:val="36"/>
  </w:num>
  <w:num w:numId="13">
    <w:abstractNumId w:val="0"/>
    <w:lvlOverride w:ilvl="0">
      <w:startOverride w:val="5"/>
    </w:lvlOverride>
  </w:num>
  <w:num w:numId="14">
    <w:abstractNumId w:val="3"/>
  </w:num>
  <w:num w:numId="15">
    <w:abstractNumId w:val="45"/>
  </w:num>
  <w:num w:numId="16">
    <w:abstractNumId w:val="15"/>
  </w:num>
  <w:num w:numId="17">
    <w:abstractNumId w:val="23"/>
  </w:num>
  <w:num w:numId="18">
    <w:abstractNumId w:val="0"/>
  </w:num>
  <w:num w:numId="19">
    <w:abstractNumId w:val="25"/>
  </w:num>
  <w:num w:numId="20">
    <w:abstractNumId w:val="19"/>
  </w:num>
  <w:num w:numId="21">
    <w:abstractNumId w:val="0"/>
  </w:num>
  <w:num w:numId="22">
    <w:abstractNumId w:val="12"/>
  </w:num>
  <w:num w:numId="23">
    <w:abstractNumId w:val="22"/>
  </w:num>
  <w:num w:numId="24">
    <w:abstractNumId w:val="0"/>
    <w:lvlOverride w:ilvl="0">
      <w:startOverride w:val="8"/>
    </w:lvlOverride>
  </w:num>
  <w:num w:numId="25">
    <w:abstractNumId w:val="31"/>
  </w:num>
  <w:num w:numId="26">
    <w:abstractNumId w:val="40"/>
  </w:num>
  <w:num w:numId="27">
    <w:abstractNumId w:val="6"/>
  </w:num>
  <w:num w:numId="28">
    <w:abstractNumId w:val="17"/>
  </w:num>
  <w:num w:numId="29">
    <w:abstractNumId w:val="29"/>
  </w:num>
  <w:num w:numId="30">
    <w:abstractNumId w:val="26"/>
  </w:num>
  <w:num w:numId="31">
    <w:abstractNumId w:val="43"/>
  </w:num>
  <w:num w:numId="32">
    <w:abstractNumId w:val="30"/>
  </w:num>
  <w:num w:numId="33">
    <w:abstractNumId w:val="24"/>
  </w:num>
  <w:num w:numId="34">
    <w:abstractNumId w:val="44"/>
  </w:num>
  <w:num w:numId="35">
    <w:abstractNumId w:val="1"/>
  </w:num>
  <w:num w:numId="36">
    <w:abstractNumId w:val="14"/>
  </w:num>
  <w:num w:numId="37">
    <w:abstractNumId w:val="38"/>
  </w:num>
  <w:num w:numId="38">
    <w:abstractNumId w:val="7"/>
  </w:num>
  <w:num w:numId="39">
    <w:abstractNumId w:val="0"/>
  </w:num>
  <w:num w:numId="40">
    <w:abstractNumId w:val="39"/>
  </w:num>
  <w:num w:numId="41">
    <w:abstractNumId w:val="11"/>
  </w:num>
  <w:num w:numId="42">
    <w:abstractNumId w:val="10"/>
  </w:num>
  <w:num w:numId="43">
    <w:abstractNumId w:val="20"/>
  </w:num>
  <w:num w:numId="44">
    <w:abstractNumId w:val="46"/>
  </w:num>
  <w:num w:numId="45">
    <w:abstractNumId w:val="28"/>
  </w:num>
  <w:num w:numId="46">
    <w:abstractNumId w:val="0"/>
  </w:num>
  <w:num w:numId="47">
    <w:abstractNumId w:val="27"/>
  </w:num>
  <w:num w:numId="48">
    <w:abstractNumId w:val="42"/>
  </w:num>
  <w:num w:numId="4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num>
  <w:num w:numId="52">
    <w:abstractNumId w:val="18"/>
  </w:num>
  <w:num w:numId="53">
    <w:abstractNumId w:val="5"/>
  </w:num>
  <w:num w:numId="54">
    <w:abstractNumId w:val="41"/>
  </w:num>
  <w:num w:numId="55">
    <w:abstractNumId w:val="2"/>
  </w:num>
  <w:num w:numId="56">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7AA"/>
    <w:rsid w:val="000401D7"/>
    <w:rsid w:val="0005019C"/>
    <w:rsid w:val="00050B68"/>
    <w:rsid w:val="0005566F"/>
    <w:rsid w:val="000A4214"/>
    <w:rsid w:val="000B249D"/>
    <w:rsid w:val="000B66F4"/>
    <w:rsid w:val="000D0A06"/>
    <w:rsid w:val="000E43F0"/>
    <w:rsid w:val="000E644A"/>
    <w:rsid w:val="000E68FA"/>
    <w:rsid w:val="0014694D"/>
    <w:rsid w:val="00147619"/>
    <w:rsid w:val="0015758F"/>
    <w:rsid w:val="001A09C9"/>
    <w:rsid w:val="001B29F7"/>
    <w:rsid w:val="001C56F8"/>
    <w:rsid w:val="001C7797"/>
    <w:rsid w:val="001D0468"/>
    <w:rsid w:val="00221E75"/>
    <w:rsid w:val="00230684"/>
    <w:rsid w:val="002360D5"/>
    <w:rsid w:val="002405B9"/>
    <w:rsid w:val="00251D2B"/>
    <w:rsid w:val="00256A51"/>
    <w:rsid w:val="00274A3C"/>
    <w:rsid w:val="00290A5D"/>
    <w:rsid w:val="00293FEC"/>
    <w:rsid w:val="002B1CB0"/>
    <w:rsid w:val="002B24DB"/>
    <w:rsid w:val="002C0B91"/>
    <w:rsid w:val="002E5DE1"/>
    <w:rsid w:val="002F2111"/>
    <w:rsid w:val="00303C9C"/>
    <w:rsid w:val="00306DB0"/>
    <w:rsid w:val="0033744D"/>
    <w:rsid w:val="00354AAA"/>
    <w:rsid w:val="0039158E"/>
    <w:rsid w:val="003B3602"/>
    <w:rsid w:val="003E6942"/>
    <w:rsid w:val="003F2806"/>
    <w:rsid w:val="004014DD"/>
    <w:rsid w:val="004169A2"/>
    <w:rsid w:val="00425401"/>
    <w:rsid w:val="004433F3"/>
    <w:rsid w:val="00455B72"/>
    <w:rsid w:val="004579C5"/>
    <w:rsid w:val="0047066A"/>
    <w:rsid w:val="00470DCA"/>
    <w:rsid w:val="00473926"/>
    <w:rsid w:val="004833A1"/>
    <w:rsid w:val="0049388E"/>
    <w:rsid w:val="004B00E6"/>
    <w:rsid w:val="004B421E"/>
    <w:rsid w:val="004C0276"/>
    <w:rsid w:val="004D2581"/>
    <w:rsid w:val="004D2BC4"/>
    <w:rsid w:val="004E0E4A"/>
    <w:rsid w:val="004E3FCE"/>
    <w:rsid w:val="005066A2"/>
    <w:rsid w:val="005129AB"/>
    <w:rsid w:val="00541F41"/>
    <w:rsid w:val="0055070B"/>
    <w:rsid w:val="00550731"/>
    <w:rsid w:val="005614EA"/>
    <w:rsid w:val="0056267B"/>
    <w:rsid w:val="0056478F"/>
    <w:rsid w:val="00565372"/>
    <w:rsid w:val="00566874"/>
    <w:rsid w:val="005720C7"/>
    <w:rsid w:val="005749E9"/>
    <w:rsid w:val="005806C3"/>
    <w:rsid w:val="00584F97"/>
    <w:rsid w:val="005A2088"/>
    <w:rsid w:val="005A326E"/>
    <w:rsid w:val="005B1D66"/>
    <w:rsid w:val="005B4715"/>
    <w:rsid w:val="005B6247"/>
    <w:rsid w:val="005C7B40"/>
    <w:rsid w:val="005D4743"/>
    <w:rsid w:val="005F0D4D"/>
    <w:rsid w:val="005F24F4"/>
    <w:rsid w:val="0061291A"/>
    <w:rsid w:val="006129B4"/>
    <w:rsid w:val="00636AF2"/>
    <w:rsid w:val="00681315"/>
    <w:rsid w:val="006F4420"/>
    <w:rsid w:val="007152E0"/>
    <w:rsid w:val="00735AD0"/>
    <w:rsid w:val="0074198D"/>
    <w:rsid w:val="0075595B"/>
    <w:rsid w:val="00760638"/>
    <w:rsid w:val="007B589D"/>
    <w:rsid w:val="007C03BF"/>
    <w:rsid w:val="007E3A5B"/>
    <w:rsid w:val="0080291F"/>
    <w:rsid w:val="00805CE8"/>
    <w:rsid w:val="00822F53"/>
    <w:rsid w:val="00824EF4"/>
    <w:rsid w:val="00832F5C"/>
    <w:rsid w:val="00833573"/>
    <w:rsid w:val="00841607"/>
    <w:rsid w:val="008427AA"/>
    <w:rsid w:val="00855A65"/>
    <w:rsid w:val="00856EA0"/>
    <w:rsid w:val="00872C3B"/>
    <w:rsid w:val="00897BAB"/>
    <w:rsid w:val="008A44A8"/>
    <w:rsid w:val="008B2B9D"/>
    <w:rsid w:val="008C44E6"/>
    <w:rsid w:val="0091026C"/>
    <w:rsid w:val="00917FFC"/>
    <w:rsid w:val="00921E3A"/>
    <w:rsid w:val="009313CE"/>
    <w:rsid w:val="00984046"/>
    <w:rsid w:val="00984202"/>
    <w:rsid w:val="00994F62"/>
    <w:rsid w:val="009A6B48"/>
    <w:rsid w:val="009B0FA4"/>
    <w:rsid w:val="009B48D5"/>
    <w:rsid w:val="009E2755"/>
    <w:rsid w:val="009F0A95"/>
    <w:rsid w:val="009F1E4B"/>
    <w:rsid w:val="00A10209"/>
    <w:rsid w:val="00A12234"/>
    <w:rsid w:val="00A20731"/>
    <w:rsid w:val="00A217EC"/>
    <w:rsid w:val="00A2233E"/>
    <w:rsid w:val="00A52482"/>
    <w:rsid w:val="00A84D63"/>
    <w:rsid w:val="00A91B06"/>
    <w:rsid w:val="00A945A5"/>
    <w:rsid w:val="00AA24ED"/>
    <w:rsid w:val="00AA74D3"/>
    <w:rsid w:val="00AB1C9B"/>
    <w:rsid w:val="00AB4895"/>
    <w:rsid w:val="00AC3C4F"/>
    <w:rsid w:val="00AE6789"/>
    <w:rsid w:val="00AF1BAC"/>
    <w:rsid w:val="00AF452D"/>
    <w:rsid w:val="00B120A9"/>
    <w:rsid w:val="00B1596E"/>
    <w:rsid w:val="00B306FD"/>
    <w:rsid w:val="00B3463E"/>
    <w:rsid w:val="00B424B0"/>
    <w:rsid w:val="00B4345C"/>
    <w:rsid w:val="00B456DF"/>
    <w:rsid w:val="00B6150F"/>
    <w:rsid w:val="00B6478B"/>
    <w:rsid w:val="00B97ABE"/>
    <w:rsid w:val="00BA7B72"/>
    <w:rsid w:val="00BD21BC"/>
    <w:rsid w:val="00BE0CD4"/>
    <w:rsid w:val="00BE33BF"/>
    <w:rsid w:val="00BE6ABD"/>
    <w:rsid w:val="00BF2CE2"/>
    <w:rsid w:val="00C17AE3"/>
    <w:rsid w:val="00C20A85"/>
    <w:rsid w:val="00C245C3"/>
    <w:rsid w:val="00C83982"/>
    <w:rsid w:val="00C852C8"/>
    <w:rsid w:val="00C90508"/>
    <w:rsid w:val="00CA4FA6"/>
    <w:rsid w:val="00CA598E"/>
    <w:rsid w:val="00CD0274"/>
    <w:rsid w:val="00CD306B"/>
    <w:rsid w:val="00CD7BB3"/>
    <w:rsid w:val="00CE10F3"/>
    <w:rsid w:val="00D243D2"/>
    <w:rsid w:val="00D251F3"/>
    <w:rsid w:val="00D41DE4"/>
    <w:rsid w:val="00D500A9"/>
    <w:rsid w:val="00D7235E"/>
    <w:rsid w:val="00D7690B"/>
    <w:rsid w:val="00D81117"/>
    <w:rsid w:val="00D90601"/>
    <w:rsid w:val="00D931B8"/>
    <w:rsid w:val="00DD2E20"/>
    <w:rsid w:val="00DD5221"/>
    <w:rsid w:val="00DD6990"/>
    <w:rsid w:val="00E150B3"/>
    <w:rsid w:val="00E237CC"/>
    <w:rsid w:val="00E63CDE"/>
    <w:rsid w:val="00E658FF"/>
    <w:rsid w:val="00E757A7"/>
    <w:rsid w:val="00E77E38"/>
    <w:rsid w:val="00E85330"/>
    <w:rsid w:val="00E87971"/>
    <w:rsid w:val="00EA19FC"/>
    <w:rsid w:val="00EC298E"/>
    <w:rsid w:val="00EC2A71"/>
    <w:rsid w:val="00EC79CA"/>
    <w:rsid w:val="00ED70FF"/>
    <w:rsid w:val="00EE491A"/>
    <w:rsid w:val="00EF5FC3"/>
    <w:rsid w:val="00F14AE2"/>
    <w:rsid w:val="00F171C4"/>
    <w:rsid w:val="00F225B3"/>
    <w:rsid w:val="00F259B1"/>
    <w:rsid w:val="00F33A34"/>
    <w:rsid w:val="00F37DC1"/>
    <w:rsid w:val="00F532FC"/>
    <w:rsid w:val="00F5631D"/>
    <w:rsid w:val="00F66032"/>
    <w:rsid w:val="00FB4FDB"/>
    <w:rsid w:val="00FB5C79"/>
    <w:rsid w:val="00FC1D9A"/>
    <w:rsid w:val="00FC4D78"/>
    <w:rsid w:val="00FE5C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2F5100B"/>
  <w15:chartTrackingRefBased/>
  <w15:docId w15:val="{EB564E0A-CAAC-48F5-A91D-BB45E80E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4D3"/>
    <w:rPr>
      <w:rFonts w:ascii="Arial" w:hAnsi="Arial" w:cs="Arial"/>
      <w:sz w:val="24"/>
      <w:szCs w:val="24"/>
      <w:lang w:val="en-GB" w:eastAsia="en-US"/>
    </w:rPr>
  </w:style>
  <w:style w:type="paragraph" w:styleId="Heading1">
    <w:name w:val="heading 1"/>
    <w:basedOn w:val="Normal"/>
    <w:next w:val="Normal"/>
    <w:qFormat/>
    <w:rsid w:val="00CD306B"/>
    <w:pPr>
      <w:keepNext/>
      <w:numPr>
        <w:numId w:val="1"/>
      </w:numPr>
      <w:spacing w:before="240" w:after="120"/>
      <w:jc w:val="both"/>
      <w:outlineLvl w:val="0"/>
    </w:pPr>
    <w:rPr>
      <w:b/>
      <w:kern w:val="28"/>
      <w:sz w:val="22"/>
      <w:szCs w:val="22"/>
      <w:lang w:val="en-NZ"/>
    </w:rPr>
  </w:style>
  <w:style w:type="paragraph" w:styleId="Heading2">
    <w:name w:val="heading 2"/>
    <w:aliases w:val="H1"/>
    <w:basedOn w:val="1"/>
    <w:next w:val="Normal"/>
    <w:link w:val="Heading2Char"/>
    <w:autoRedefine/>
    <w:qFormat/>
    <w:rsid w:val="001A09C9"/>
    <w:pPr>
      <w:numPr>
        <w:numId w:val="54"/>
      </w:numPr>
      <w:spacing w:before="240" w:after="120"/>
      <w:ind w:left="924" w:hanging="357"/>
      <w:outlineLvl w:val="1"/>
    </w:pPr>
    <w:rPr>
      <w:sz w:val="24"/>
      <w:szCs w:val="24"/>
    </w:rPr>
  </w:style>
  <w:style w:type="paragraph" w:styleId="Heading3">
    <w:name w:val="heading 3"/>
    <w:aliases w:val="H2"/>
    <w:basedOn w:val="NormalIndent"/>
    <w:next w:val="Normal"/>
    <w:autoRedefine/>
    <w:qFormat/>
    <w:rsid w:val="007E3A5B"/>
    <w:pPr>
      <w:tabs>
        <w:tab w:val="clear" w:pos="709"/>
        <w:tab w:val="clear" w:pos="1418"/>
        <w:tab w:val="left" w:pos="0"/>
        <w:tab w:val="left" w:pos="1134"/>
      </w:tabs>
      <w:spacing w:before="120"/>
      <w:ind w:left="567"/>
      <w:outlineLvl w:val="2"/>
    </w:pPr>
    <w:rPr>
      <w:b/>
    </w:rPr>
  </w:style>
  <w:style w:type="paragraph" w:styleId="Heading4">
    <w:name w:val="heading 4"/>
    <w:basedOn w:val="Normal"/>
    <w:next w:val="Normal"/>
    <w:qFormat/>
    <w:rsid w:val="008427AA"/>
    <w:pPr>
      <w:keepNext/>
      <w:jc w:val="both"/>
      <w:outlineLvl w:val="3"/>
    </w:pPr>
    <w:rPr>
      <w:i/>
      <w:lang w:val="en-NZ"/>
    </w:rPr>
  </w:style>
  <w:style w:type="paragraph" w:styleId="Heading5">
    <w:name w:val="heading 5"/>
    <w:basedOn w:val="Normal"/>
    <w:next w:val="Normal"/>
    <w:qFormat/>
    <w:rsid w:val="00EA19FC"/>
    <w:pPr>
      <w:spacing w:before="240" w:after="60"/>
      <w:outlineLvl w:val="4"/>
    </w:pPr>
    <w:rPr>
      <w:b/>
      <w:bCs/>
      <w:i/>
      <w:iCs/>
      <w:sz w:val="26"/>
      <w:szCs w:val="26"/>
    </w:rPr>
  </w:style>
  <w:style w:type="paragraph" w:styleId="Heading6">
    <w:name w:val="heading 6"/>
    <w:basedOn w:val="Normal"/>
    <w:next w:val="Normal"/>
    <w:qFormat/>
    <w:rsid w:val="00EA19FC"/>
    <w:pPr>
      <w:spacing w:before="240" w:after="60"/>
      <w:outlineLvl w:val="5"/>
    </w:pPr>
    <w:rPr>
      <w:i/>
      <w:sz w:val="22"/>
    </w:rPr>
  </w:style>
  <w:style w:type="paragraph" w:styleId="Heading7">
    <w:name w:val="heading 7"/>
    <w:basedOn w:val="Normal"/>
    <w:next w:val="Normal"/>
    <w:qFormat/>
    <w:rsid w:val="00EA19FC"/>
    <w:pPr>
      <w:spacing w:before="240" w:after="60"/>
      <w:outlineLvl w:val="6"/>
    </w:pPr>
  </w:style>
  <w:style w:type="paragraph" w:styleId="Heading8">
    <w:name w:val="heading 8"/>
    <w:basedOn w:val="Normal"/>
    <w:next w:val="Normal"/>
    <w:qFormat/>
    <w:rsid w:val="008427AA"/>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rPr>
      <w:rFonts w:ascii="Arial Mäori" w:hAnsi="Arial Mäori"/>
    </w:rPr>
  </w:style>
  <w:style w:type="paragraph" w:customStyle="1" w:styleId="Published">
    <w:name w:val="Published"/>
    <w:basedOn w:val="Normal"/>
    <w:rPr>
      <w:rFonts w:ascii="Times New Roman Mäori" w:hAnsi="Times New Roman Mäori"/>
    </w:rPr>
  </w:style>
  <w:style w:type="paragraph" w:styleId="Title">
    <w:name w:val="Title"/>
    <w:basedOn w:val="Normal"/>
    <w:qFormat/>
    <w:rsid w:val="008427AA"/>
    <w:pPr>
      <w:jc w:val="center"/>
    </w:pPr>
    <w:rPr>
      <w:b/>
      <w:sz w:val="28"/>
      <w:lang w:val="en-US"/>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Header">
    <w:name w:val="header"/>
    <w:basedOn w:val="Normal"/>
    <w:rsid w:val="008427AA"/>
    <w:pPr>
      <w:tabs>
        <w:tab w:val="center" w:pos="4153"/>
        <w:tab w:val="right" w:pos="8306"/>
      </w:tabs>
    </w:pPr>
  </w:style>
  <w:style w:type="paragraph" w:styleId="Footer">
    <w:name w:val="footer"/>
    <w:basedOn w:val="Normal"/>
    <w:rsid w:val="008427AA"/>
    <w:pPr>
      <w:tabs>
        <w:tab w:val="center" w:pos="4153"/>
        <w:tab w:val="right" w:pos="8306"/>
      </w:tabs>
    </w:pPr>
  </w:style>
  <w:style w:type="paragraph" w:styleId="BodyTextIndent">
    <w:name w:val="Body Text Indent"/>
    <w:basedOn w:val="Normal"/>
    <w:rsid w:val="008427AA"/>
    <w:pPr>
      <w:ind w:right="-45"/>
      <w:jc w:val="both"/>
    </w:pPr>
    <w:rPr>
      <w:b/>
      <w:i/>
      <w:lang w:val="en-NZ"/>
    </w:rPr>
  </w:style>
  <w:style w:type="paragraph" w:styleId="BodyText2">
    <w:name w:val="Body Text 2"/>
    <w:basedOn w:val="Normal"/>
    <w:rsid w:val="008427AA"/>
    <w:pPr>
      <w:jc w:val="both"/>
    </w:pPr>
    <w:rPr>
      <w:b/>
      <w:i/>
    </w:rPr>
  </w:style>
  <w:style w:type="character" w:styleId="PageNumber">
    <w:name w:val="page number"/>
    <w:basedOn w:val="DefaultParagraphFont"/>
    <w:rsid w:val="008427AA"/>
  </w:style>
  <w:style w:type="paragraph" w:customStyle="1" w:styleId="CharChar1">
    <w:name w:val="Char Char1"/>
    <w:basedOn w:val="Normal"/>
    <w:rsid w:val="008427AA"/>
    <w:pPr>
      <w:spacing w:after="160" w:line="240" w:lineRule="exact"/>
    </w:pPr>
    <w:rPr>
      <w:lang w:val="en-US"/>
    </w:rPr>
  </w:style>
  <w:style w:type="paragraph" w:customStyle="1" w:styleId="TEXT">
    <w:name w:val="TEXT"/>
    <w:basedOn w:val="Normal"/>
    <w:rsid w:val="008427AA"/>
    <w:pPr>
      <w:jc w:val="both"/>
    </w:pPr>
    <w:rPr>
      <w:rFonts w:ascii="Arial Mäori" w:hAnsi="Arial Mäori"/>
    </w:rPr>
  </w:style>
  <w:style w:type="character" w:styleId="CommentReference">
    <w:name w:val="annotation reference"/>
    <w:basedOn w:val="DefaultParagraphFont"/>
    <w:semiHidden/>
    <w:rsid w:val="008427AA"/>
    <w:rPr>
      <w:sz w:val="16"/>
      <w:szCs w:val="16"/>
    </w:rPr>
  </w:style>
  <w:style w:type="paragraph" w:styleId="CommentText">
    <w:name w:val="annotation text"/>
    <w:basedOn w:val="Normal"/>
    <w:semiHidden/>
    <w:rsid w:val="008427AA"/>
  </w:style>
  <w:style w:type="paragraph" w:styleId="BalloonText">
    <w:name w:val="Balloon Text"/>
    <w:basedOn w:val="Normal"/>
    <w:semiHidden/>
    <w:rsid w:val="008427AA"/>
    <w:rPr>
      <w:rFonts w:ascii="Tahoma" w:hAnsi="Tahoma" w:cs="Tahoma"/>
      <w:sz w:val="16"/>
      <w:szCs w:val="16"/>
    </w:rPr>
  </w:style>
  <w:style w:type="paragraph" w:styleId="BodyText">
    <w:name w:val="Body Text"/>
    <w:basedOn w:val="Normal"/>
    <w:rsid w:val="00EA19FC"/>
    <w:pPr>
      <w:spacing w:after="120"/>
    </w:pPr>
    <w:rPr>
      <w:lang w:val="en-NZ"/>
    </w:rPr>
  </w:style>
  <w:style w:type="paragraph" w:styleId="BodyText3">
    <w:name w:val="Body Text 3"/>
    <w:basedOn w:val="Normal"/>
    <w:rsid w:val="005129AB"/>
    <w:pPr>
      <w:spacing w:after="120"/>
    </w:pPr>
    <w:rPr>
      <w:sz w:val="16"/>
      <w:szCs w:val="16"/>
    </w:rPr>
  </w:style>
  <w:style w:type="paragraph" w:customStyle="1" w:styleId="1">
    <w:name w:val="1."/>
    <w:basedOn w:val="Subtitle"/>
    <w:rsid w:val="005129AB"/>
    <w:pPr>
      <w:numPr>
        <w:numId w:val="12"/>
      </w:numPr>
      <w:tabs>
        <w:tab w:val="clear" w:pos="360"/>
      </w:tabs>
      <w:spacing w:after="0"/>
      <w:ind w:left="567" w:hanging="567"/>
      <w:jc w:val="both"/>
      <w:outlineLvl w:val="9"/>
    </w:pPr>
    <w:rPr>
      <w:b/>
      <w:sz w:val="22"/>
      <w:szCs w:val="20"/>
      <w:lang w:val="en-US"/>
    </w:rPr>
  </w:style>
  <w:style w:type="paragraph" w:customStyle="1" w:styleId="11">
    <w:name w:val="1.1"/>
    <w:basedOn w:val="1"/>
    <w:rsid w:val="005129AB"/>
    <w:pPr>
      <w:numPr>
        <w:ilvl w:val="1"/>
      </w:numPr>
      <w:tabs>
        <w:tab w:val="clear" w:pos="792"/>
        <w:tab w:val="num" w:pos="360"/>
        <w:tab w:val="left" w:pos="567"/>
      </w:tabs>
      <w:ind w:left="567" w:hanging="567"/>
    </w:pPr>
    <w:rPr>
      <w:i/>
      <w:iCs/>
      <w:sz w:val="20"/>
    </w:rPr>
  </w:style>
  <w:style w:type="paragraph" w:styleId="Subtitle">
    <w:name w:val="Subtitle"/>
    <w:basedOn w:val="Normal"/>
    <w:qFormat/>
    <w:rsid w:val="005129AB"/>
    <w:pPr>
      <w:spacing w:after="60"/>
      <w:jc w:val="center"/>
      <w:outlineLvl w:val="1"/>
    </w:pPr>
  </w:style>
  <w:style w:type="paragraph" w:styleId="BodyTextIndent2">
    <w:name w:val="Body Text Indent 2"/>
    <w:basedOn w:val="Normal"/>
    <w:rsid w:val="00274A3C"/>
    <w:pPr>
      <w:spacing w:after="120" w:line="480" w:lineRule="auto"/>
      <w:ind w:left="283"/>
    </w:pPr>
  </w:style>
  <w:style w:type="paragraph" w:styleId="CommentSubject">
    <w:name w:val="annotation subject"/>
    <w:basedOn w:val="CommentText"/>
    <w:next w:val="CommentText"/>
    <w:semiHidden/>
    <w:rsid w:val="00A2233E"/>
    <w:rPr>
      <w:b/>
      <w:bCs/>
    </w:rPr>
  </w:style>
  <w:style w:type="paragraph" w:styleId="NormalIndent">
    <w:name w:val="Normal Indent"/>
    <w:basedOn w:val="Normal"/>
    <w:rsid w:val="00F66032"/>
    <w:pPr>
      <w:tabs>
        <w:tab w:val="left" w:pos="709"/>
        <w:tab w:val="left" w:pos="1418"/>
      </w:tabs>
      <w:ind w:left="720"/>
    </w:pPr>
  </w:style>
  <w:style w:type="character" w:customStyle="1" w:styleId="Heading2Char">
    <w:name w:val="Heading 2 Char"/>
    <w:aliases w:val="H1 Char"/>
    <w:basedOn w:val="DefaultParagraphFont"/>
    <w:link w:val="Heading2"/>
    <w:rsid w:val="001A09C9"/>
    <w:rPr>
      <w:rFonts w:ascii="Arial" w:hAnsi="Arial" w:cs="Arial"/>
      <w:b/>
      <w:sz w:val="24"/>
      <w:szCs w:val="24"/>
      <w:lang w:val="en-US" w:eastAsia="en-US"/>
    </w:rPr>
  </w:style>
  <w:style w:type="table" w:styleId="TableGrid">
    <w:name w:val="Table Grid"/>
    <w:basedOn w:val="TableNormal"/>
    <w:rsid w:val="00F66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75595B"/>
    <w:pPr>
      <w:spacing w:after="160" w:line="240" w:lineRule="exact"/>
    </w:pPr>
    <w:rPr>
      <w:lang w:val="en-US"/>
    </w:rPr>
  </w:style>
  <w:style w:type="paragraph" w:styleId="FootnoteText">
    <w:name w:val="footnote text"/>
    <w:basedOn w:val="Normal"/>
    <w:link w:val="FootnoteTextChar"/>
    <w:uiPriority w:val="99"/>
    <w:unhideWhenUsed/>
    <w:rsid w:val="00B1596E"/>
  </w:style>
  <w:style w:type="character" w:customStyle="1" w:styleId="FootnoteTextChar">
    <w:name w:val="Footnote Text Char"/>
    <w:basedOn w:val="DefaultParagraphFont"/>
    <w:link w:val="FootnoteText"/>
    <w:uiPriority w:val="99"/>
    <w:rsid w:val="00B1596E"/>
    <w:rPr>
      <w:lang w:val="en-GB" w:eastAsia="en-US"/>
    </w:rPr>
  </w:style>
  <w:style w:type="character" w:styleId="FootnoteReference">
    <w:name w:val="footnote reference"/>
    <w:basedOn w:val="DefaultParagraphFont"/>
    <w:uiPriority w:val="99"/>
    <w:semiHidden/>
    <w:unhideWhenUsed/>
    <w:rsid w:val="00B1596E"/>
    <w:rPr>
      <w:vertAlign w:val="superscript"/>
    </w:rPr>
  </w:style>
  <w:style w:type="paragraph" w:styleId="Revision">
    <w:name w:val="Revision"/>
    <w:hidden/>
    <w:uiPriority w:val="99"/>
    <w:semiHidden/>
    <w:rsid w:val="003B3602"/>
    <w:rPr>
      <w:lang w:val="en-GB" w:eastAsia="en-US"/>
    </w:rPr>
  </w:style>
  <w:style w:type="paragraph" w:styleId="ListParagraph">
    <w:name w:val="List Paragraph"/>
    <w:basedOn w:val="Normal"/>
    <w:autoRedefine/>
    <w:uiPriority w:val="99"/>
    <w:qFormat/>
    <w:rsid w:val="00AB4895"/>
    <w:pPr>
      <w:numPr>
        <w:numId w:val="55"/>
      </w:numPr>
      <w:spacing w:before="120" w:after="120"/>
      <w:contextualSpacing/>
    </w:pPr>
  </w:style>
  <w:style w:type="numbering" w:customStyle="1" w:styleId="HeadingsNrs">
    <w:name w:val="HeadingsNrs"/>
    <w:rsid w:val="00CA598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4178">
      <w:bodyDiv w:val="1"/>
      <w:marLeft w:val="0"/>
      <w:marRight w:val="0"/>
      <w:marTop w:val="0"/>
      <w:marBottom w:val="0"/>
      <w:divBdr>
        <w:top w:val="none" w:sz="0" w:space="0" w:color="auto"/>
        <w:left w:val="none" w:sz="0" w:space="0" w:color="auto"/>
        <w:bottom w:val="none" w:sz="0" w:space="0" w:color="auto"/>
        <w:right w:val="none" w:sz="0" w:space="0" w:color="auto"/>
      </w:divBdr>
    </w:div>
    <w:div w:id="92171165">
      <w:bodyDiv w:val="1"/>
      <w:marLeft w:val="0"/>
      <w:marRight w:val="0"/>
      <w:marTop w:val="0"/>
      <w:marBottom w:val="0"/>
      <w:divBdr>
        <w:top w:val="none" w:sz="0" w:space="0" w:color="auto"/>
        <w:left w:val="none" w:sz="0" w:space="0" w:color="auto"/>
        <w:bottom w:val="none" w:sz="0" w:space="0" w:color="auto"/>
        <w:right w:val="none" w:sz="0" w:space="0" w:color="auto"/>
      </w:divBdr>
    </w:div>
    <w:div w:id="352072018">
      <w:bodyDiv w:val="1"/>
      <w:marLeft w:val="0"/>
      <w:marRight w:val="0"/>
      <w:marTop w:val="0"/>
      <w:marBottom w:val="0"/>
      <w:divBdr>
        <w:top w:val="none" w:sz="0" w:space="0" w:color="auto"/>
        <w:left w:val="none" w:sz="0" w:space="0" w:color="auto"/>
        <w:bottom w:val="none" w:sz="0" w:space="0" w:color="auto"/>
        <w:right w:val="none" w:sz="0" w:space="0" w:color="auto"/>
      </w:divBdr>
    </w:div>
    <w:div w:id="378283784">
      <w:bodyDiv w:val="1"/>
      <w:marLeft w:val="0"/>
      <w:marRight w:val="0"/>
      <w:marTop w:val="0"/>
      <w:marBottom w:val="0"/>
      <w:divBdr>
        <w:top w:val="none" w:sz="0" w:space="0" w:color="auto"/>
        <w:left w:val="none" w:sz="0" w:space="0" w:color="auto"/>
        <w:bottom w:val="none" w:sz="0" w:space="0" w:color="auto"/>
        <w:right w:val="none" w:sz="0" w:space="0" w:color="auto"/>
      </w:divBdr>
    </w:div>
    <w:div w:id="454298708">
      <w:bodyDiv w:val="1"/>
      <w:marLeft w:val="0"/>
      <w:marRight w:val="0"/>
      <w:marTop w:val="0"/>
      <w:marBottom w:val="0"/>
      <w:divBdr>
        <w:top w:val="none" w:sz="0" w:space="0" w:color="auto"/>
        <w:left w:val="none" w:sz="0" w:space="0" w:color="auto"/>
        <w:bottom w:val="none" w:sz="0" w:space="0" w:color="auto"/>
        <w:right w:val="none" w:sz="0" w:space="0" w:color="auto"/>
      </w:divBdr>
    </w:div>
    <w:div w:id="472213936">
      <w:bodyDiv w:val="1"/>
      <w:marLeft w:val="0"/>
      <w:marRight w:val="0"/>
      <w:marTop w:val="0"/>
      <w:marBottom w:val="0"/>
      <w:divBdr>
        <w:top w:val="none" w:sz="0" w:space="0" w:color="auto"/>
        <w:left w:val="none" w:sz="0" w:space="0" w:color="auto"/>
        <w:bottom w:val="none" w:sz="0" w:space="0" w:color="auto"/>
        <w:right w:val="none" w:sz="0" w:space="0" w:color="auto"/>
      </w:divBdr>
    </w:div>
    <w:div w:id="547843474">
      <w:bodyDiv w:val="1"/>
      <w:marLeft w:val="0"/>
      <w:marRight w:val="0"/>
      <w:marTop w:val="0"/>
      <w:marBottom w:val="0"/>
      <w:divBdr>
        <w:top w:val="none" w:sz="0" w:space="0" w:color="auto"/>
        <w:left w:val="none" w:sz="0" w:space="0" w:color="auto"/>
        <w:bottom w:val="none" w:sz="0" w:space="0" w:color="auto"/>
        <w:right w:val="none" w:sz="0" w:space="0" w:color="auto"/>
      </w:divBdr>
    </w:div>
    <w:div w:id="781266152">
      <w:bodyDiv w:val="1"/>
      <w:marLeft w:val="0"/>
      <w:marRight w:val="0"/>
      <w:marTop w:val="0"/>
      <w:marBottom w:val="0"/>
      <w:divBdr>
        <w:top w:val="none" w:sz="0" w:space="0" w:color="auto"/>
        <w:left w:val="none" w:sz="0" w:space="0" w:color="auto"/>
        <w:bottom w:val="none" w:sz="0" w:space="0" w:color="auto"/>
        <w:right w:val="none" w:sz="0" w:space="0" w:color="auto"/>
      </w:divBdr>
    </w:div>
    <w:div w:id="816729078">
      <w:bodyDiv w:val="1"/>
      <w:marLeft w:val="0"/>
      <w:marRight w:val="0"/>
      <w:marTop w:val="0"/>
      <w:marBottom w:val="0"/>
      <w:divBdr>
        <w:top w:val="none" w:sz="0" w:space="0" w:color="auto"/>
        <w:left w:val="none" w:sz="0" w:space="0" w:color="auto"/>
        <w:bottom w:val="none" w:sz="0" w:space="0" w:color="auto"/>
        <w:right w:val="none" w:sz="0" w:space="0" w:color="auto"/>
      </w:divBdr>
    </w:div>
    <w:div w:id="968828149">
      <w:bodyDiv w:val="1"/>
      <w:marLeft w:val="0"/>
      <w:marRight w:val="0"/>
      <w:marTop w:val="0"/>
      <w:marBottom w:val="0"/>
      <w:divBdr>
        <w:top w:val="none" w:sz="0" w:space="0" w:color="auto"/>
        <w:left w:val="none" w:sz="0" w:space="0" w:color="auto"/>
        <w:bottom w:val="none" w:sz="0" w:space="0" w:color="auto"/>
        <w:right w:val="none" w:sz="0" w:space="0" w:color="auto"/>
      </w:divBdr>
    </w:div>
    <w:div w:id="1109621854">
      <w:bodyDiv w:val="1"/>
      <w:marLeft w:val="0"/>
      <w:marRight w:val="0"/>
      <w:marTop w:val="0"/>
      <w:marBottom w:val="0"/>
      <w:divBdr>
        <w:top w:val="none" w:sz="0" w:space="0" w:color="auto"/>
        <w:left w:val="none" w:sz="0" w:space="0" w:color="auto"/>
        <w:bottom w:val="none" w:sz="0" w:space="0" w:color="auto"/>
        <w:right w:val="none" w:sz="0" w:space="0" w:color="auto"/>
      </w:divBdr>
    </w:div>
    <w:div w:id="1188714523">
      <w:bodyDiv w:val="1"/>
      <w:marLeft w:val="0"/>
      <w:marRight w:val="0"/>
      <w:marTop w:val="0"/>
      <w:marBottom w:val="0"/>
      <w:divBdr>
        <w:top w:val="none" w:sz="0" w:space="0" w:color="auto"/>
        <w:left w:val="none" w:sz="0" w:space="0" w:color="auto"/>
        <w:bottom w:val="none" w:sz="0" w:space="0" w:color="auto"/>
        <w:right w:val="none" w:sz="0" w:space="0" w:color="auto"/>
      </w:divBdr>
    </w:div>
    <w:div w:id="1319382408">
      <w:bodyDiv w:val="1"/>
      <w:marLeft w:val="0"/>
      <w:marRight w:val="0"/>
      <w:marTop w:val="0"/>
      <w:marBottom w:val="0"/>
      <w:divBdr>
        <w:top w:val="none" w:sz="0" w:space="0" w:color="auto"/>
        <w:left w:val="none" w:sz="0" w:space="0" w:color="auto"/>
        <w:bottom w:val="none" w:sz="0" w:space="0" w:color="auto"/>
        <w:right w:val="none" w:sz="0" w:space="0" w:color="auto"/>
      </w:divBdr>
    </w:div>
    <w:div w:id="1845244825">
      <w:bodyDiv w:val="1"/>
      <w:marLeft w:val="0"/>
      <w:marRight w:val="0"/>
      <w:marTop w:val="0"/>
      <w:marBottom w:val="0"/>
      <w:divBdr>
        <w:top w:val="none" w:sz="0" w:space="0" w:color="auto"/>
        <w:left w:val="none" w:sz="0" w:space="0" w:color="auto"/>
        <w:bottom w:val="none" w:sz="0" w:space="0" w:color="auto"/>
        <w:right w:val="none" w:sz="0" w:space="0" w:color="auto"/>
      </w:divBdr>
    </w:div>
    <w:div w:id="1863738444">
      <w:bodyDiv w:val="1"/>
      <w:marLeft w:val="0"/>
      <w:marRight w:val="0"/>
      <w:marTop w:val="0"/>
      <w:marBottom w:val="0"/>
      <w:divBdr>
        <w:top w:val="none" w:sz="0" w:space="0" w:color="auto"/>
        <w:left w:val="none" w:sz="0" w:space="0" w:color="auto"/>
        <w:bottom w:val="none" w:sz="0" w:space="0" w:color="auto"/>
        <w:right w:val="none" w:sz="0" w:space="0" w:color="auto"/>
      </w:divBdr>
    </w:div>
    <w:div w:id="1903060133">
      <w:bodyDiv w:val="1"/>
      <w:marLeft w:val="0"/>
      <w:marRight w:val="0"/>
      <w:marTop w:val="0"/>
      <w:marBottom w:val="0"/>
      <w:divBdr>
        <w:top w:val="none" w:sz="0" w:space="0" w:color="auto"/>
        <w:left w:val="none" w:sz="0" w:space="0" w:color="auto"/>
        <w:bottom w:val="none" w:sz="0" w:space="0" w:color="auto"/>
        <w:right w:val="none" w:sz="0" w:space="0" w:color="auto"/>
      </w:divBdr>
    </w:div>
    <w:div w:id="1905140995">
      <w:bodyDiv w:val="1"/>
      <w:marLeft w:val="0"/>
      <w:marRight w:val="0"/>
      <w:marTop w:val="0"/>
      <w:marBottom w:val="0"/>
      <w:divBdr>
        <w:top w:val="none" w:sz="0" w:space="0" w:color="auto"/>
        <w:left w:val="none" w:sz="0" w:space="0" w:color="auto"/>
        <w:bottom w:val="none" w:sz="0" w:space="0" w:color="auto"/>
        <w:right w:val="none" w:sz="0" w:space="0" w:color="auto"/>
      </w:divBdr>
    </w:div>
    <w:div w:id="206236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BB66-CA66-4556-BD9A-AE448C9A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Emily Black</dc:creator>
  <cp:keywords/>
  <dc:description/>
  <cp:lastModifiedBy>Jane Craven</cp:lastModifiedBy>
  <cp:revision>3</cp:revision>
  <cp:lastPrinted>2008-08-22T00:38:00Z</cp:lastPrinted>
  <dcterms:created xsi:type="dcterms:W3CDTF">2020-06-02T00:23:00Z</dcterms:created>
  <dcterms:modified xsi:type="dcterms:W3CDTF">2020-07-09T01:30:00Z</dcterms:modified>
</cp:coreProperties>
</file>