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4191"/>
        <w:gridCol w:w="2263"/>
        <w:gridCol w:w="3518"/>
      </w:tblGrid>
      <w:tr w:rsidR="006F546C" w:rsidRPr="00B32CA3" w:rsidTr="001D112F">
        <w:trPr>
          <w:cantSplit/>
        </w:trPr>
        <w:tc>
          <w:tcPr>
            <w:tcW w:w="4191" w:type="dxa"/>
            <w:vAlign w:val="center"/>
          </w:tcPr>
          <w:p w:rsidR="006F546C" w:rsidRPr="00B32CA3" w:rsidRDefault="00FF6D19">
            <w:pPr>
              <w:jc w:val="center"/>
              <w:rPr>
                <w:rFonts w:ascii="Arial" w:hAnsi="Arial" w:cs="Arial"/>
                <w:b/>
                <w:bCs/>
                <w:sz w:val="36"/>
              </w:rPr>
            </w:pPr>
            <w:r w:rsidRPr="00B32CA3">
              <w:rPr>
                <w:rFonts w:ascii="Arial" w:hAnsi="Arial" w:cs="Arial"/>
                <w:b/>
                <w:noProof/>
                <w:lang w:eastAsia="en-NZ"/>
              </w:rPr>
              <w:drawing>
                <wp:inline distT="0" distB="0" distL="0" distR="0" wp14:anchorId="19049867" wp14:editId="6057645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81" w:type="dxa"/>
            <w:gridSpan w:val="2"/>
            <w:vAlign w:val="center"/>
          </w:tcPr>
          <w:p w:rsidR="006F546C" w:rsidRPr="00B32CA3" w:rsidRDefault="00912EF5" w:rsidP="009B1D58">
            <w:pPr>
              <w:jc w:val="right"/>
              <w:rPr>
                <w:rFonts w:ascii="Arial" w:hAnsi="Arial" w:cs="Arial"/>
                <w:b/>
                <w:bCs/>
                <w:sz w:val="36"/>
              </w:rPr>
            </w:pPr>
            <w:r w:rsidRPr="00B32CA3">
              <w:rPr>
                <w:rFonts w:ascii="Arial" w:hAnsi="Arial" w:cs="Arial"/>
                <w:b/>
                <w:noProof/>
                <w:sz w:val="32"/>
                <w:szCs w:val="32"/>
                <w:lang w:eastAsia="en-NZ"/>
              </w:rPr>
              <w:t>All District Health Boards</w:t>
            </w:r>
          </w:p>
        </w:tc>
      </w:tr>
      <w:tr w:rsidR="006F546C" w:rsidRPr="00B32CA3" w:rsidTr="001D112F">
        <w:tc>
          <w:tcPr>
            <w:tcW w:w="9972" w:type="dxa"/>
            <w:gridSpan w:val="3"/>
          </w:tcPr>
          <w:p w:rsidR="009B1D58" w:rsidRPr="00B32CA3" w:rsidRDefault="009B1D58" w:rsidP="00982DB1">
            <w:pPr>
              <w:pStyle w:val="Heading10"/>
              <w:spacing w:before="480" w:after="120"/>
              <w:jc w:val="center"/>
              <w:rPr>
                <w:rFonts w:ascii="Arial" w:hAnsi="Arial" w:cs="Arial"/>
                <w:bCs/>
                <w:sz w:val="36"/>
                <w:szCs w:val="36"/>
              </w:rPr>
            </w:pPr>
            <w:r w:rsidRPr="00B32CA3">
              <w:rPr>
                <w:rFonts w:ascii="Arial" w:hAnsi="Arial" w:cs="Arial"/>
                <w:bCs/>
                <w:sz w:val="36"/>
                <w:szCs w:val="36"/>
              </w:rPr>
              <w:t>SPECIALIST MEDICAL AND SURGICAL SERVICES</w:t>
            </w:r>
            <w:r w:rsidR="00B32CA3" w:rsidRPr="00B32CA3">
              <w:rPr>
                <w:rFonts w:ascii="Arial" w:hAnsi="Arial" w:cs="Arial"/>
                <w:bCs/>
                <w:sz w:val="36"/>
                <w:szCs w:val="36"/>
              </w:rPr>
              <w:t xml:space="preserve"> </w:t>
            </w:r>
            <w:r w:rsidRPr="00B32CA3">
              <w:rPr>
                <w:rFonts w:ascii="Arial" w:hAnsi="Arial" w:cs="Arial"/>
                <w:bCs/>
                <w:sz w:val="36"/>
                <w:szCs w:val="36"/>
              </w:rPr>
              <w:t>-</w:t>
            </w:r>
            <w:r w:rsidR="00B32CA3" w:rsidRPr="00B32CA3">
              <w:rPr>
                <w:rFonts w:ascii="Arial" w:hAnsi="Arial" w:cs="Arial"/>
                <w:bCs/>
                <w:sz w:val="36"/>
                <w:szCs w:val="36"/>
              </w:rPr>
              <w:t xml:space="preserve"> </w:t>
            </w:r>
          </w:p>
          <w:p w:rsidR="006F546C" w:rsidRPr="00B32CA3" w:rsidRDefault="006F546C" w:rsidP="009B1D58">
            <w:pPr>
              <w:pStyle w:val="Heading10"/>
              <w:spacing w:before="120" w:after="120"/>
              <w:jc w:val="center"/>
              <w:rPr>
                <w:rFonts w:ascii="Arial" w:hAnsi="Arial" w:cs="Arial"/>
                <w:bCs/>
                <w:caps/>
                <w:sz w:val="36"/>
                <w:szCs w:val="36"/>
              </w:rPr>
            </w:pPr>
            <w:r w:rsidRPr="00B32CA3">
              <w:rPr>
                <w:rFonts w:ascii="Arial" w:hAnsi="Arial" w:cs="Arial"/>
                <w:bCs/>
                <w:sz w:val="36"/>
                <w:szCs w:val="36"/>
              </w:rPr>
              <w:t>SOLID ORGAN TRANSPLANT SERVICES</w:t>
            </w:r>
          </w:p>
          <w:p w:rsidR="006F546C" w:rsidRPr="00B32CA3" w:rsidRDefault="006F546C" w:rsidP="00912EF5">
            <w:pPr>
              <w:pStyle w:val="Heading10"/>
              <w:spacing w:after="120"/>
              <w:jc w:val="center"/>
              <w:rPr>
                <w:rFonts w:ascii="Arial" w:hAnsi="Arial" w:cs="Arial"/>
                <w:caps/>
                <w:sz w:val="36"/>
                <w:szCs w:val="36"/>
              </w:rPr>
            </w:pPr>
            <w:r w:rsidRPr="00B32CA3">
              <w:rPr>
                <w:rFonts w:ascii="Arial" w:hAnsi="Arial" w:cs="Arial"/>
                <w:caps/>
                <w:sz w:val="36"/>
                <w:szCs w:val="36"/>
              </w:rPr>
              <w:t>Service Specification</w:t>
            </w:r>
          </w:p>
          <w:p w:rsidR="006F546C" w:rsidRPr="00B32CA3" w:rsidRDefault="006F546C" w:rsidP="00982DB1">
            <w:pPr>
              <w:spacing w:after="720"/>
              <w:jc w:val="center"/>
              <w:rPr>
                <w:rFonts w:ascii="Arial" w:hAnsi="Arial" w:cs="Arial"/>
                <w:b/>
              </w:rPr>
            </w:pPr>
            <w:r w:rsidRPr="00B32CA3">
              <w:rPr>
                <w:rFonts w:ascii="Arial" w:hAnsi="Arial" w:cs="Arial"/>
                <w:b/>
                <w:caps/>
                <w:sz w:val="36"/>
                <w:szCs w:val="36"/>
              </w:rPr>
              <w:t>Tier two</w:t>
            </w:r>
          </w:p>
        </w:tc>
      </w:tr>
      <w:tr w:rsidR="006F546C" w:rsidRPr="00B32CA3" w:rsidTr="001D112F">
        <w:tc>
          <w:tcPr>
            <w:tcW w:w="6454" w:type="dxa"/>
            <w:gridSpan w:val="2"/>
          </w:tcPr>
          <w:p w:rsidR="006F546C" w:rsidRPr="00B32CA3" w:rsidRDefault="006F546C" w:rsidP="006F546C">
            <w:pPr>
              <w:pStyle w:val="Heading10"/>
              <w:spacing w:before="120" w:after="240"/>
              <w:rPr>
                <w:rFonts w:ascii="Arial" w:hAnsi="Arial" w:cs="Arial"/>
                <w:caps/>
                <w:sz w:val="28"/>
                <w:szCs w:val="28"/>
              </w:rPr>
            </w:pPr>
            <w:r w:rsidRPr="00B32CA3">
              <w:rPr>
                <w:rFonts w:ascii="Arial" w:hAnsi="Arial" w:cs="Arial"/>
                <w:caps/>
                <w:sz w:val="28"/>
                <w:szCs w:val="28"/>
              </w:rPr>
              <w:t>Status:</w:t>
            </w:r>
          </w:p>
          <w:p w:rsidR="006F546C" w:rsidRPr="001D64FC" w:rsidRDefault="00912EF5" w:rsidP="006F546C">
            <w:pPr>
              <w:pStyle w:val="Heading10"/>
              <w:spacing w:before="240" w:after="240"/>
              <w:rPr>
                <w:rFonts w:ascii="Arial" w:hAnsi="Arial" w:cs="Arial"/>
                <w:b w:val="0"/>
                <w:bCs/>
                <w:caps/>
                <w:sz w:val="28"/>
                <w:szCs w:val="28"/>
              </w:rPr>
            </w:pPr>
            <w:r w:rsidRPr="001D64FC">
              <w:rPr>
                <w:rFonts w:ascii="Arial" w:hAnsi="Arial" w:cs="Arial"/>
                <w:b w:val="0"/>
                <w:sz w:val="28"/>
                <w:szCs w:val="28"/>
                <w:lang w:val="en-US"/>
              </w:rPr>
              <w:t>It is compulsory to use this nationwide service specification when purchasing this service.</w:t>
            </w:r>
          </w:p>
        </w:tc>
        <w:tc>
          <w:tcPr>
            <w:tcW w:w="3518" w:type="dxa"/>
          </w:tcPr>
          <w:p w:rsidR="00DC5A12" w:rsidRDefault="006F546C" w:rsidP="006F546C">
            <w:pPr>
              <w:pStyle w:val="Heading10"/>
              <w:spacing w:before="120" w:after="240"/>
              <w:rPr>
                <w:rFonts w:ascii="Arial" w:hAnsi="Arial" w:cs="Arial"/>
                <w:caps/>
                <w:sz w:val="28"/>
                <w:szCs w:val="28"/>
              </w:rPr>
            </w:pPr>
            <w:r w:rsidRPr="00B32CA3">
              <w:rPr>
                <w:rFonts w:ascii="Arial" w:hAnsi="Arial" w:cs="Arial"/>
                <w:caps/>
                <w:sz w:val="28"/>
                <w:szCs w:val="28"/>
              </w:rPr>
              <w:t xml:space="preserve">MANDATORY </w:t>
            </w:r>
          </w:p>
          <w:p w:rsidR="006F546C" w:rsidRPr="00B32CA3" w:rsidRDefault="006F546C" w:rsidP="00D439D6">
            <w:pPr>
              <w:pStyle w:val="Heading10"/>
              <w:spacing w:before="120" w:after="240"/>
              <w:rPr>
                <w:rFonts w:ascii="Arial" w:hAnsi="Arial" w:cs="Arial"/>
                <w:bCs/>
                <w:caps/>
                <w:sz w:val="28"/>
                <w:szCs w:val="28"/>
              </w:rPr>
            </w:pPr>
          </w:p>
        </w:tc>
      </w:tr>
      <w:tr w:rsidR="00912EF5" w:rsidRPr="00B32CA3" w:rsidTr="001D112F">
        <w:trPr>
          <w:trHeight w:val="297"/>
        </w:trPr>
        <w:tc>
          <w:tcPr>
            <w:tcW w:w="6454" w:type="dxa"/>
            <w:gridSpan w:val="2"/>
            <w:tcBorders>
              <w:top w:val="single" w:sz="4" w:space="0" w:color="auto"/>
              <w:bottom w:val="single" w:sz="4" w:space="0" w:color="auto"/>
            </w:tcBorders>
            <w:shd w:val="clear" w:color="auto" w:fill="CCCCCC"/>
          </w:tcPr>
          <w:p w:rsidR="00912EF5" w:rsidRPr="00B32CA3" w:rsidRDefault="00912EF5" w:rsidP="00357E38">
            <w:pPr>
              <w:spacing w:before="120" w:after="120"/>
              <w:rPr>
                <w:rFonts w:ascii="Arial" w:hAnsi="Arial"/>
                <w:b/>
                <w:sz w:val="32"/>
                <w:szCs w:val="32"/>
                <w:lang w:val="en-GB" w:eastAsia="en-GB"/>
              </w:rPr>
            </w:pPr>
            <w:bookmarkStart w:id="0" w:name="_Toc206389500"/>
            <w:bookmarkStart w:id="1" w:name="_Toc206401875"/>
            <w:bookmarkStart w:id="2" w:name="_Toc206403844"/>
            <w:bookmarkStart w:id="3" w:name="_Toc206404572"/>
            <w:bookmarkStart w:id="4" w:name="_Toc206405302"/>
            <w:bookmarkStart w:id="5" w:name="_Toc206405338"/>
            <w:bookmarkStart w:id="6" w:name="_Toc206406065"/>
            <w:bookmarkStart w:id="7" w:name="_Toc215319110"/>
            <w:r w:rsidRPr="00B32CA3">
              <w:rPr>
                <w:rFonts w:ascii="Arial" w:hAnsi="Arial"/>
                <w:b/>
                <w:sz w:val="32"/>
                <w:szCs w:val="32"/>
                <w:lang w:val="en-GB" w:eastAsia="en-GB"/>
              </w:rPr>
              <w:t>Review History</w:t>
            </w:r>
            <w:bookmarkEnd w:id="0"/>
            <w:bookmarkEnd w:id="1"/>
            <w:bookmarkEnd w:id="2"/>
            <w:bookmarkEnd w:id="3"/>
            <w:bookmarkEnd w:id="4"/>
            <w:bookmarkEnd w:id="5"/>
            <w:bookmarkEnd w:id="6"/>
            <w:bookmarkEnd w:id="7"/>
          </w:p>
        </w:tc>
        <w:tc>
          <w:tcPr>
            <w:tcW w:w="3518" w:type="dxa"/>
            <w:tcBorders>
              <w:top w:val="single" w:sz="4" w:space="0" w:color="auto"/>
              <w:bottom w:val="single" w:sz="4" w:space="0" w:color="auto"/>
            </w:tcBorders>
            <w:shd w:val="clear" w:color="auto" w:fill="CCCCCC"/>
          </w:tcPr>
          <w:p w:rsidR="00912EF5" w:rsidRPr="00B32CA3" w:rsidRDefault="00912EF5" w:rsidP="00357E38">
            <w:pPr>
              <w:spacing w:before="120" w:after="120"/>
              <w:rPr>
                <w:rFonts w:ascii="Arial" w:hAnsi="Arial"/>
                <w:b/>
                <w:sz w:val="32"/>
                <w:szCs w:val="32"/>
                <w:lang w:val="en-GB" w:eastAsia="en-GB"/>
              </w:rPr>
            </w:pPr>
            <w:bookmarkStart w:id="8" w:name="_Toc206389501"/>
            <w:bookmarkStart w:id="9" w:name="_Toc206401876"/>
            <w:bookmarkStart w:id="10" w:name="_Toc206403845"/>
            <w:bookmarkStart w:id="11" w:name="_Toc206404573"/>
            <w:bookmarkStart w:id="12" w:name="_Toc206405303"/>
            <w:bookmarkStart w:id="13" w:name="_Toc206405339"/>
            <w:bookmarkStart w:id="14" w:name="_Toc206406066"/>
            <w:bookmarkStart w:id="15" w:name="_Toc206406493"/>
            <w:bookmarkStart w:id="16" w:name="_Toc215319111"/>
            <w:r w:rsidRPr="00B32CA3">
              <w:rPr>
                <w:rFonts w:ascii="Arial" w:hAnsi="Arial"/>
                <w:b/>
                <w:sz w:val="32"/>
                <w:szCs w:val="32"/>
                <w:lang w:val="en-GB" w:eastAsia="en-GB"/>
              </w:rPr>
              <w:t>Date</w:t>
            </w:r>
            <w:bookmarkEnd w:id="8"/>
            <w:bookmarkEnd w:id="9"/>
            <w:bookmarkEnd w:id="10"/>
            <w:bookmarkEnd w:id="11"/>
            <w:bookmarkEnd w:id="12"/>
            <w:bookmarkEnd w:id="13"/>
            <w:bookmarkEnd w:id="14"/>
            <w:bookmarkEnd w:id="15"/>
            <w:bookmarkEnd w:id="16"/>
          </w:p>
        </w:tc>
      </w:tr>
      <w:tr w:rsidR="006F546C" w:rsidRPr="00B32CA3" w:rsidTr="001D112F">
        <w:tc>
          <w:tcPr>
            <w:tcW w:w="6454" w:type="dxa"/>
            <w:gridSpan w:val="2"/>
            <w:tcBorders>
              <w:top w:val="single" w:sz="4" w:space="0" w:color="auto"/>
              <w:left w:val="single" w:sz="4" w:space="0" w:color="auto"/>
              <w:bottom w:val="single" w:sz="6" w:space="0" w:color="auto"/>
              <w:right w:val="single" w:sz="6" w:space="0" w:color="auto"/>
            </w:tcBorders>
          </w:tcPr>
          <w:p w:rsidR="006F546C" w:rsidRPr="00B32CA3" w:rsidRDefault="00912EF5" w:rsidP="006F546C">
            <w:pPr>
              <w:pStyle w:val="Heading5"/>
              <w:keepNext w:val="0"/>
              <w:numPr>
                <w:ilvl w:val="4"/>
                <w:numId w:val="0"/>
              </w:numPr>
              <w:spacing w:before="240" w:after="60"/>
              <w:jc w:val="left"/>
              <w:rPr>
                <w:i w:val="0"/>
                <w:sz w:val="28"/>
                <w:szCs w:val="28"/>
              </w:rPr>
            </w:pPr>
            <w:r w:rsidRPr="00B32CA3">
              <w:rPr>
                <w:i w:val="0"/>
                <w:sz w:val="28"/>
                <w:szCs w:val="28"/>
              </w:rPr>
              <w:t>First Published on NSFL</w:t>
            </w:r>
            <w:r w:rsidRPr="00B32CA3" w:rsidDel="00912EF5">
              <w:rPr>
                <w:i w:val="0"/>
                <w:sz w:val="28"/>
                <w:szCs w:val="28"/>
              </w:rPr>
              <w:t xml:space="preserve"> </w:t>
            </w:r>
          </w:p>
        </w:tc>
        <w:tc>
          <w:tcPr>
            <w:tcW w:w="3518" w:type="dxa"/>
            <w:tcBorders>
              <w:top w:val="single" w:sz="4" w:space="0" w:color="auto"/>
              <w:left w:val="single" w:sz="6" w:space="0" w:color="auto"/>
              <w:bottom w:val="single" w:sz="6" w:space="0" w:color="auto"/>
              <w:right w:val="single" w:sz="4" w:space="0" w:color="auto"/>
            </w:tcBorders>
          </w:tcPr>
          <w:p w:rsidR="006F546C" w:rsidRPr="00B32CA3" w:rsidRDefault="00912EF5" w:rsidP="00912EF5">
            <w:pPr>
              <w:spacing w:before="120"/>
              <w:jc w:val="left"/>
              <w:rPr>
                <w:rFonts w:ascii="Arial" w:hAnsi="Arial" w:cs="Arial"/>
                <w:b/>
                <w:bCs/>
                <w:sz w:val="28"/>
                <w:szCs w:val="28"/>
              </w:rPr>
            </w:pPr>
            <w:r w:rsidRPr="00B32CA3">
              <w:rPr>
                <w:rFonts w:ascii="Arial" w:hAnsi="Arial" w:cs="Arial"/>
                <w:b/>
                <w:sz w:val="28"/>
                <w:szCs w:val="28"/>
              </w:rPr>
              <w:t>April 2004</w:t>
            </w:r>
          </w:p>
        </w:tc>
      </w:tr>
      <w:tr w:rsidR="006F546C" w:rsidRPr="00B32CA3" w:rsidTr="001D112F">
        <w:tc>
          <w:tcPr>
            <w:tcW w:w="6454" w:type="dxa"/>
            <w:gridSpan w:val="2"/>
            <w:tcBorders>
              <w:top w:val="single" w:sz="4" w:space="0" w:color="auto"/>
              <w:left w:val="single" w:sz="4" w:space="0" w:color="auto"/>
              <w:bottom w:val="single" w:sz="6" w:space="0" w:color="auto"/>
              <w:right w:val="single" w:sz="6" w:space="0" w:color="auto"/>
            </w:tcBorders>
            <w:vAlign w:val="center"/>
          </w:tcPr>
          <w:p w:rsidR="006F546C" w:rsidRPr="001D64FC" w:rsidRDefault="006F546C" w:rsidP="00ED6D69">
            <w:pPr>
              <w:pStyle w:val="Heading5"/>
              <w:keepNext w:val="0"/>
              <w:numPr>
                <w:ilvl w:val="4"/>
                <w:numId w:val="0"/>
              </w:numPr>
              <w:spacing w:before="120"/>
              <w:jc w:val="left"/>
              <w:rPr>
                <w:i w:val="0"/>
                <w:szCs w:val="24"/>
              </w:rPr>
            </w:pPr>
            <w:r w:rsidRPr="001D64FC">
              <w:rPr>
                <w:i w:val="0"/>
                <w:szCs w:val="24"/>
              </w:rPr>
              <w:t>Amendments</w:t>
            </w:r>
            <w:r w:rsidR="009B1D58" w:rsidRPr="001D64FC">
              <w:rPr>
                <w:i w:val="0"/>
                <w:szCs w:val="24"/>
              </w:rPr>
              <w:t>:</w:t>
            </w:r>
            <w:r w:rsidR="009B1D58" w:rsidRPr="001D64FC">
              <w:rPr>
                <w:b w:val="0"/>
                <w:i w:val="0"/>
                <w:szCs w:val="24"/>
              </w:rPr>
              <w:t xml:space="preserve"> </w:t>
            </w:r>
            <w:r w:rsidR="005C7D61" w:rsidRPr="001D64FC">
              <w:rPr>
                <w:b w:val="0"/>
                <w:i w:val="0"/>
                <w:szCs w:val="24"/>
              </w:rPr>
              <w:t xml:space="preserve">edited </w:t>
            </w:r>
            <w:r w:rsidR="009B1D58" w:rsidRPr="001D64FC">
              <w:rPr>
                <w:b w:val="0"/>
                <w:i w:val="0"/>
                <w:szCs w:val="24"/>
              </w:rPr>
              <w:t xml:space="preserve">for consistency with other service specifications, </w:t>
            </w:r>
            <w:r w:rsidR="005C7D61" w:rsidRPr="001D64FC">
              <w:rPr>
                <w:b w:val="0"/>
                <w:i w:val="0"/>
                <w:szCs w:val="24"/>
              </w:rPr>
              <w:t>update</w:t>
            </w:r>
            <w:r w:rsidR="009B1D58" w:rsidRPr="001D64FC">
              <w:rPr>
                <w:b w:val="0"/>
                <w:i w:val="0"/>
                <w:szCs w:val="24"/>
              </w:rPr>
              <w:t>d</w:t>
            </w:r>
            <w:r w:rsidR="005C7D61" w:rsidRPr="001D64FC">
              <w:rPr>
                <w:b w:val="0"/>
                <w:i w:val="0"/>
                <w:szCs w:val="24"/>
              </w:rPr>
              <w:t xml:space="preserve"> </w:t>
            </w:r>
            <w:r w:rsidR="00475731" w:rsidRPr="001D64FC">
              <w:rPr>
                <w:b w:val="0"/>
                <w:i w:val="0"/>
                <w:szCs w:val="24"/>
              </w:rPr>
              <w:t xml:space="preserve">terminology, </w:t>
            </w:r>
            <w:r w:rsidR="005C7D61" w:rsidRPr="001D64FC">
              <w:rPr>
                <w:b w:val="0"/>
                <w:i w:val="0"/>
                <w:szCs w:val="24"/>
              </w:rPr>
              <w:t>references, links to other services,</w:t>
            </w:r>
            <w:r w:rsidRPr="001D64FC">
              <w:rPr>
                <w:b w:val="0"/>
                <w:i w:val="0"/>
                <w:szCs w:val="24"/>
              </w:rPr>
              <w:t xml:space="preserve"> and reporting requirements.</w:t>
            </w:r>
          </w:p>
        </w:tc>
        <w:tc>
          <w:tcPr>
            <w:tcW w:w="3518" w:type="dxa"/>
            <w:tcBorders>
              <w:top w:val="single" w:sz="4" w:space="0" w:color="auto"/>
              <w:left w:val="single" w:sz="6" w:space="0" w:color="auto"/>
              <w:bottom w:val="single" w:sz="6" w:space="0" w:color="auto"/>
              <w:right w:val="single" w:sz="4" w:space="0" w:color="auto"/>
            </w:tcBorders>
            <w:vAlign w:val="center"/>
          </w:tcPr>
          <w:p w:rsidR="006F546C" w:rsidRPr="00B32CA3" w:rsidRDefault="00DF08F0" w:rsidP="00ED6D69">
            <w:pPr>
              <w:spacing w:before="120"/>
              <w:jc w:val="left"/>
              <w:rPr>
                <w:rFonts w:ascii="Arial" w:hAnsi="Arial" w:cs="Arial"/>
                <w:b/>
                <w:bCs/>
                <w:sz w:val="28"/>
                <w:szCs w:val="28"/>
              </w:rPr>
            </w:pPr>
            <w:r>
              <w:rPr>
                <w:rFonts w:ascii="Arial" w:hAnsi="Arial" w:cs="Arial"/>
                <w:b/>
                <w:sz w:val="28"/>
              </w:rPr>
              <w:t>9 April</w:t>
            </w:r>
            <w:r w:rsidR="00475731">
              <w:rPr>
                <w:rFonts w:ascii="Arial" w:hAnsi="Arial" w:cs="Arial"/>
                <w:b/>
                <w:sz w:val="28"/>
              </w:rPr>
              <w:t xml:space="preserve"> 2</w:t>
            </w:r>
            <w:r w:rsidR="00C30E29">
              <w:rPr>
                <w:rFonts w:ascii="Arial" w:hAnsi="Arial" w:cs="Arial"/>
                <w:b/>
                <w:sz w:val="28"/>
              </w:rPr>
              <w:t>014</w:t>
            </w:r>
          </w:p>
        </w:tc>
      </w:tr>
      <w:tr w:rsidR="00C50AE2" w:rsidRPr="00B32CA3" w:rsidTr="001D112F">
        <w:tc>
          <w:tcPr>
            <w:tcW w:w="6454" w:type="dxa"/>
            <w:gridSpan w:val="2"/>
            <w:tcBorders>
              <w:top w:val="single" w:sz="4" w:space="0" w:color="auto"/>
              <w:left w:val="single" w:sz="4" w:space="0" w:color="auto"/>
              <w:bottom w:val="single" w:sz="6" w:space="0" w:color="auto"/>
              <w:right w:val="single" w:sz="6" w:space="0" w:color="auto"/>
            </w:tcBorders>
            <w:vAlign w:val="center"/>
          </w:tcPr>
          <w:p w:rsidR="00C50AE2" w:rsidRDefault="00C50AE2" w:rsidP="00ED6D69">
            <w:pPr>
              <w:pStyle w:val="Heading5"/>
              <w:keepNext w:val="0"/>
              <w:numPr>
                <w:ilvl w:val="4"/>
                <w:numId w:val="0"/>
              </w:numPr>
              <w:spacing w:before="120"/>
              <w:jc w:val="left"/>
              <w:rPr>
                <w:b w:val="0"/>
                <w:i w:val="0"/>
                <w:szCs w:val="24"/>
              </w:rPr>
            </w:pPr>
            <w:r w:rsidRPr="001D64FC">
              <w:rPr>
                <w:i w:val="0"/>
                <w:szCs w:val="24"/>
              </w:rPr>
              <w:t>Amendments</w:t>
            </w:r>
            <w:r w:rsidR="008E30D2">
              <w:rPr>
                <w:i w:val="0"/>
                <w:szCs w:val="24"/>
              </w:rPr>
              <w:t>:</w:t>
            </w:r>
            <w:r w:rsidRPr="001D64FC">
              <w:rPr>
                <w:b w:val="0"/>
                <w:i w:val="0"/>
                <w:szCs w:val="24"/>
              </w:rPr>
              <w:t xml:space="preserve"> </w:t>
            </w:r>
            <w:r w:rsidR="007C5DBE">
              <w:rPr>
                <w:b w:val="0"/>
                <w:i w:val="0"/>
                <w:szCs w:val="24"/>
              </w:rPr>
              <w:t xml:space="preserve">Updated unit of measure in </w:t>
            </w:r>
            <w:r w:rsidRPr="001D64FC">
              <w:rPr>
                <w:b w:val="0"/>
                <w:i w:val="0"/>
                <w:szCs w:val="24"/>
              </w:rPr>
              <w:t>Purchase Unit Code table</w:t>
            </w:r>
            <w:r w:rsidR="001D64FC">
              <w:rPr>
                <w:b w:val="0"/>
                <w:i w:val="0"/>
                <w:szCs w:val="24"/>
              </w:rPr>
              <w:t xml:space="preserve"> for PU codes T0</w:t>
            </w:r>
            <w:r w:rsidR="008E30D2">
              <w:rPr>
                <w:b w:val="0"/>
                <w:i w:val="0"/>
                <w:szCs w:val="24"/>
              </w:rPr>
              <w:t>103</w:t>
            </w:r>
            <w:r w:rsidR="001D64FC">
              <w:rPr>
                <w:b w:val="0"/>
                <w:i w:val="0"/>
                <w:szCs w:val="24"/>
              </w:rPr>
              <w:t xml:space="preserve"> and T0</w:t>
            </w:r>
            <w:r w:rsidR="008E30D2">
              <w:rPr>
                <w:b w:val="0"/>
                <w:i w:val="0"/>
                <w:szCs w:val="24"/>
              </w:rPr>
              <w:t>106</w:t>
            </w:r>
            <w:r w:rsidR="001D64FC">
              <w:rPr>
                <w:b w:val="0"/>
                <w:i w:val="0"/>
                <w:szCs w:val="24"/>
              </w:rPr>
              <w:t xml:space="preserve">, </w:t>
            </w:r>
            <w:r w:rsidR="008E30D2">
              <w:rPr>
                <w:b w:val="0"/>
                <w:i w:val="0"/>
                <w:szCs w:val="24"/>
              </w:rPr>
              <w:t xml:space="preserve">updated references </w:t>
            </w:r>
            <w:r w:rsidR="001D64FC">
              <w:rPr>
                <w:b w:val="0"/>
                <w:i w:val="0"/>
                <w:szCs w:val="24"/>
              </w:rPr>
              <w:t>and aligned reporting to the Operational Policy Framework requirements 20</w:t>
            </w:r>
            <w:r w:rsidR="008E30D2">
              <w:rPr>
                <w:b w:val="0"/>
                <w:i w:val="0"/>
                <w:szCs w:val="24"/>
              </w:rPr>
              <w:t>/</w:t>
            </w:r>
            <w:r w:rsidR="001D64FC">
              <w:rPr>
                <w:b w:val="0"/>
                <w:i w:val="0"/>
                <w:szCs w:val="24"/>
              </w:rPr>
              <w:t>21</w:t>
            </w:r>
            <w:r w:rsidRPr="001D64FC">
              <w:rPr>
                <w:b w:val="0"/>
                <w:i w:val="0"/>
                <w:szCs w:val="24"/>
              </w:rPr>
              <w:t xml:space="preserve">. </w:t>
            </w:r>
          </w:p>
          <w:p w:rsidR="00A60A9B" w:rsidRPr="00A60A9B" w:rsidRDefault="00A60A9B" w:rsidP="00ED6D69">
            <w:pPr>
              <w:spacing w:before="120"/>
              <w:rPr>
                <w:lang w:val="en-GB"/>
              </w:rPr>
            </w:pPr>
            <w:r w:rsidRPr="00426465">
              <w:rPr>
                <w:rFonts w:ascii="Arial" w:hAnsi="Arial" w:cs="Arial"/>
                <w:bCs/>
                <w:iCs/>
                <w:lang w:val="en-GB"/>
              </w:rPr>
              <w:t xml:space="preserve">Addition </w:t>
            </w:r>
            <w:r w:rsidR="00426465" w:rsidRPr="00426465">
              <w:rPr>
                <w:rFonts w:ascii="Arial" w:hAnsi="Arial" w:cs="Arial"/>
                <w:bCs/>
                <w:iCs/>
                <w:lang w:val="en-GB"/>
              </w:rPr>
              <w:t xml:space="preserve">of </w:t>
            </w:r>
            <w:r w:rsidR="00E95128">
              <w:rPr>
                <w:rFonts w:ascii="Arial" w:hAnsi="Arial" w:cs="Arial"/>
                <w:bCs/>
                <w:iCs/>
                <w:lang w:val="en-GB"/>
              </w:rPr>
              <w:t>reference to</w:t>
            </w:r>
            <w:r w:rsidR="00E95128" w:rsidRPr="00426465">
              <w:rPr>
                <w:rFonts w:ascii="Arial" w:hAnsi="Arial" w:cs="Arial"/>
                <w:bCs/>
                <w:iCs/>
                <w:lang w:val="en-GB"/>
              </w:rPr>
              <w:t xml:space="preserve"> Increasing</w:t>
            </w:r>
            <w:r w:rsidR="00426465" w:rsidRPr="00426465">
              <w:rPr>
                <w:rFonts w:ascii="Arial" w:hAnsi="Arial" w:cs="Arial"/>
                <w:bCs/>
                <w:iCs/>
                <w:lang w:val="en-GB"/>
              </w:rPr>
              <w:t xml:space="preserve"> Deceased Organ Donation and Transplantation: A National Strategy 2017 to introduction</w:t>
            </w:r>
            <w:r w:rsidR="00426465">
              <w:rPr>
                <w:rFonts w:ascii="Arial" w:hAnsi="Arial" w:cs="Arial"/>
                <w:bCs/>
                <w:iCs/>
                <w:lang w:val="en-GB"/>
              </w:rPr>
              <w:t>.</w:t>
            </w:r>
          </w:p>
        </w:tc>
        <w:tc>
          <w:tcPr>
            <w:tcW w:w="3518" w:type="dxa"/>
            <w:tcBorders>
              <w:top w:val="single" w:sz="4" w:space="0" w:color="auto"/>
              <w:left w:val="single" w:sz="6" w:space="0" w:color="auto"/>
              <w:bottom w:val="single" w:sz="6" w:space="0" w:color="auto"/>
              <w:right w:val="single" w:sz="4" w:space="0" w:color="auto"/>
            </w:tcBorders>
            <w:vAlign w:val="center"/>
          </w:tcPr>
          <w:p w:rsidR="00C50AE2" w:rsidRDefault="008E30D2" w:rsidP="00ED6D69">
            <w:pPr>
              <w:spacing w:before="120"/>
              <w:jc w:val="left"/>
              <w:rPr>
                <w:rFonts w:ascii="Arial" w:hAnsi="Arial" w:cs="Arial"/>
                <w:b/>
                <w:sz w:val="28"/>
              </w:rPr>
            </w:pPr>
            <w:r>
              <w:rPr>
                <w:rFonts w:ascii="Arial" w:hAnsi="Arial" w:cs="Arial"/>
                <w:b/>
                <w:sz w:val="28"/>
              </w:rPr>
              <w:t xml:space="preserve">June </w:t>
            </w:r>
            <w:r w:rsidR="001D64FC">
              <w:rPr>
                <w:rFonts w:ascii="Arial" w:hAnsi="Arial" w:cs="Arial"/>
                <w:b/>
                <w:sz w:val="28"/>
              </w:rPr>
              <w:t>2020</w:t>
            </w:r>
          </w:p>
        </w:tc>
      </w:tr>
      <w:tr w:rsidR="006F546C" w:rsidRPr="00B32CA3" w:rsidTr="001D112F">
        <w:tc>
          <w:tcPr>
            <w:tcW w:w="6454" w:type="dxa"/>
            <w:gridSpan w:val="2"/>
            <w:tcBorders>
              <w:top w:val="single" w:sz="4" w:space="0" w:color="auto"/>
              <w:left w:val="single" w:sz="4" w:space="0" w:color="auto"/>
              <w:bottom w:val="single" w:sz="6" w:space="0" w:color="auto"/>
              <w:right w:val="single" w:sz="6" w:space="0" w:color="auto"/>
            </w:tcBorders>
            <w:vAlign w:val="center"/>
          </w:tcPr>
          <w:p w:rsidR="006F546C" w:rsidRPr="00B32CA3" w:rsidRDefault="006F546C" w:rsidP="006F546C">
            <w:pPr>
              <w:pStyle w:val="Heading5"/>
              <w:keepNext w:val="0"/>
              <w:numPr>
                <w:ilvl w:val="4"/>
                <w:numId w:val="0"/>
              </w:numPr>
              <w:spacing w:before="240" w:after="60"/>
              <w:jc w:val="left"/>
              <w:rPr>
                <w:i w:val="0"/>
                <w:sz w:val="28"/>
                <w:szCs w:val="28"/>
              </w:rPr>
            </w:pPr>
            <w:r w:rsidRPr="00B32CA3">
              <w:rPr>
                <w:i w:val="0"/>
                <w:sz w:val="28"/>
                <w:szCs w:val="24"/>
                <w:lang w:val="en-NZ"/>
              </w:rPr>
              <w:t>Consideration for next Service Specification Review</w:t>
            </w:r>
          </w:p>
        </w:tc>
        <w:tc>
          <w:tcPr>
            <w:tcW w:w="3518" w:type="dxa"/>
            <w:tcBorders>
              <w:top w:val="single" w:sz="4" w:space="0" w:color="auto"/>
              <w:left w:val="single" w:sz="6" w:space="0" w:color="auto"/>
              <w:bottom w:val="single" w:sz="6" w:space="0" w:color="auto"/>
              <w:right w:val="single" w:sz="4" w:space="0" w:color="auto"/>
            </w:tcBorders>
            <w:vAlign w:val="center"/>
          </w:tcPr>
          <w:p w:rsidR="006F546C" w:rsidRPr="00B32CA3" w:rsidRDefault="006F546C" w:rsidP="00B32CA3">
            <w:pPr>
              <w:jc w:val="left"/>
              <w:rPr>
                <w:rFonts w:ascii="Arial" w:hAnsi="Arial" w:cs="Arial"/>
                <w:b/>
                <w:bCs/>
                <w:sz w:val="28"/>
                <w:szCs w:val="28"/>
              </w:rPr>
            </w:pPr>
            <w:r w:rsidRPr="00B32CA3">
              <w:rPr>
                <w:rFonts w:ascii="Arial" w:hAnsi="Arial" w:cs="Arial"/>
                <w:b/>
                <w:sz w:val="28"/>
              </w:rPr>
              <w:t xml:space="preserve">within </w:t>
            </w:r>
            <w:r w:rsidR="00B32CA3" w:rsidRPr="00B32CA3">
              <w:rPr>
                <w:rFonts w:ascii="Arial" w:hAnsi="Arial" w:cs="Arial"/>
                <w:b/>
                <w:sz w:val="28"/>
              </w:rPr>
              <w:t xml:space="preserve">five </w:t>
            </w:r>
            <w:r w:rsidRPr="00B32CA3">
              <w:rPr>
                <w:rFonts w:ascii="Arial" w:hAnsi="Arial" w:cs="Arial"/>
                <w:b/>
                <w:sz w:val="28"/>
              </w:rPr>
              <w:t>years</w:t>
            </w:r>
          </w:p>
        </w:tc>
      </w:tr>
    </w:tbl>
    <w:p w:rsidR="00982DB1" w:rsidRPr="00982DB1" w:rsidRDefault="00982DB1" w:rsidP="00ED6D69">
      <w:pPr>
        <w:autoSpaceDE w:val="0"/>
        <w:autoSpaceDN w:val="0"/>
        <w:adjustRightInd w:val="0"/>
        <w:spacing w:before="100" w:beforeAutospacing="1" w:line="240" w:lineRule="atLeast"/>
        <w:jc w:val="left"/>
        <w:rPr>
          <w:rFonts w:ascii="Arial" w:hAnsi="Arial" w:cs="Arial"/>
          <w:lang w:val="en-US" w:eastAsia="en-NZ"/>
        </w:rPr>
      </w:pPr>
      <w:r w:rsidRPr="00982DB1">
        <w:rPr>
          <w:rFonts w:ascii="Arial" w:hAnsi="Arial" w:cs="Arial"/>
          <w:lang w:val="en-US" w:eastAsia="en-NZ"/>
        </w:rPr>
        <w:t>Note: Contact the Service Specification Programme Manager, Ministry of Health nsfl@health.govt.nz for queries about this service specification.</w:t>
      </w:r>
    </w:p>
    <w:p w:rsidR="006F546C" w:rsidRPr="00912EF5" w:rsidRDefault="00982DB1" w:rsidP="00982DB1">
      <w:pPr>
        <w:autoSpaceDE w:val="0"/>
        <w:autoSpaceDN w:val="0"/>
        <w:adjustRightInd w:val="0"/>
        <w:spacing w:line="240" w:lineRule="atLeast"/>
        <w:jc w:val="left"/>
        <w:rPr>
          <w:rFonts w:ascii="Arial" w:hAnsi="Arial" w:cs="Arial"/>
        </w:rPr>
      </w:pPr>
      <w:r w:rsidRPr="00982DB1">
        <w:rPr>
          <w:rFonts w:ascii="Arial" w:hAnsi="Arial" w:cs="Arial"/>
          <w:lang w:val="en-US" w:eastAsia="en-NZ"/>
        </w:rPr>
        <w:t>Nationwide Service Framework Library website http://www.nsfl.health.govt.nz</w:t>
      </w:r>
      <w:r w:rsidR="006F546C" w:rsidRPr="00912EF5">
        <w:rPr>
          <w:rFonts w:ascii="Arial" w:hAnsi="Arial" w:cs="Arial"/>
        </w:rPr>
        <w:br w:type="page"/>
      </w:r>
    </w:p>
    <w:p w:rsidR="00912EF5" w:rsidRDefault="00912EF5" w:rsidP="00576BC7">
      <w:pPr>
        <w:pStyle w:val="Subtitle"/>
        <w:pBdr>
          <w:top w:val="single" w:sz="4" w:space="1" w:color="auto"/>
          <w:left w:val="single" w:sz="4" w:space="4" w:color="auto"/>
          <w:bottom w:val="single" w:sz="4" w:space="2" w:color="auto"/>
          <w:right w:val="single" w:sz="4" w:space="4" w:color="auto"/>
        </w:pBdr>
        <w:rPr>
          <w:rFonts w:ascii="Arial" w:hAnsi="Arial" w:cs="Arial"/>
          <w:szCs w:val="24"/>
        </w:rPr>
      </w:pPr>
      <w:r>
        <w:rPr>
          <w:rFonts w:ascii="Arial" w:hAnsi="Arial" w:cs="Arial"/>
          <w:szCs w:val="24"/>
        </w:rPr>
        <w:lastRenderedPageBreak/>
        <w:t xml:space="preserve">SPECIALIST MEDICAL AND SURGICAL SERVICES- </w:t>
      </w:r>
    </w:p>
    <w:p w:rsidR="00576BC7" w:rsidRPr="00912EF5" w:rsidRDefault="00576BC7" w:rsidP="00576BC7">
      <w:pPr>
        <w:pStyle w:val="Subtitle"/>
        <w:pBdr>
          <w:top w:val="single" w:sz="4" w:space="1" w:color="auto"/>
          <w:left w:val="single" w:sz="4" w:space="4" w:color="auto"/>
          <w:bottom w:val="single" w:sz="4" w:space="2" w:color="auto"/>
          <w:right w:val="single" w:sz="4" w:space="4" w:color="auto"/>
        </w:pBdr>
        <w:rPr>
          <w:rFonts w:ascii="Arial" w:hAnsi="Arial" w:cs="Arial"/>
          <w:szCs w:val="24"/>
        </w:rPr>
      </w:pPr>
      <w:r w:rsidRPr="00912EF5">
        <w:rPr>
          <w:rFonts w:ascii="Arial" w:hAnsi="Arial" w:cs="Arial"/>
          <w:szCs w:val="24"/>
        </w:rPr>
        <w:t>SOLID ORGAN TRANSPLANT SERVICES</w:t>
      </w:r>
    </w:p>
    <w:p w:rsidR="00C50AE2" w:rsidRPr="00912EF5" w:rsidRDefault="00576BC7" w:rsidP="00C50AE2">
      <w:pPr>
        <w:pStyle w:val="Title"/>
        <w:pBdr>
          <w:top w:val="single" w:sz="4" w:space="1" w:color="auto"/>
          <w:left w:val="single" w:sz="4" w:space="4" w:color="auto"/>
          <w:bottom w:val="single" w:sz="4" w:space="2" w:color="auto"/>
          <w:right w:val="single" w:sz="4" w:space="4" w:color="auto"/>
        </w:pBdr>
        <w:rPr>
          <w:rFonts w:ascii="Arial" w:hAnsi="Arial" w:cs="Arial"/>
          <w:b/>
          <w:szCs w:val="24"/>
        </w:rPr>
      </w:pPr>
      <w:r w:rsidRPr="00912EF5">
        <w:rPr>
          <w:rFonts w:ascii="Arial" w:hAnsi="Arial" w:cs="Arial"/>
          <w:b/>
          <w:szCs w:val="24"/>
        </w:rPr>
        <w:t>TIER TWO</w:t>
      </w:r>
      <w:r w:rsidR="00C50AE2">
        <w:rPr>
          <w:rFonts w:ascii="Arial" w:hAnsi="Arial" w:cs="Arial"/>
          <w:b/>
          <w:szCs w:val="24"/>
        </w:rPr>
        <w:t xml:space="preserve"> </w:t>
      </w:r>
      <w:r w:rsidR="00C50AE2" w:rsidRPr="00912EF5">
        <w:rPr>
          <w:rFonts w:ascii="Arial" w:hAnsi="Arial" w:cs="Arial"/>
          <w:b/>
          <w:szCs w:val="24"/>
        </w:rPr>
        <w:t>SERVICE SPECIFICATION</w:t>
      </w:r>
    </w:p>
    <w:p w:rsidR="00D439D6" w:rsidRPr="00D439D6" w:rsidRDefault="00D439D6" w:rsidP="00576BC7">
      <w:pPr>
        <w:pStyle w:val="Title"/>
        <w:pBdr>
          <w:top w:val="single" w:sz="4" w:space="1" w:color="auto"/>
          <w:left w:val="single" w:sz="4" w:space="4" w:color="auto"/>
          <w:bottom w:val="single" w:sz="4" w:space="2" w:color="auto"/>
          <w:right w:val="single" w:sz="4" w:space="4" w:color="auto"/>
        </w:pBdr>
        <w:rPr>
          <w:rFonts w:ascii="Arial" w:hAnsi="Arial" w:cs="Arial"/>
          <w:b/>
          <w:szCs w:val="24"/>
        </w:rPr>
      </w:pPr>
      <w:r w:rsidRPr="00D439D6">
        <w:rPr>
          <w:rFonts w:ascii="Arial" w:hAnsi="Arial" w:cs="Arial"/>
          <w:b/>
          <w:bCs/>
          <w:szCs w:val="24"/>
        </w:rPr>
        <w:t>ADJ101, T0102 to T</w:t>
      </w:r>
      <w:r w:rsidR="00BC50E4">
        <w:rPr>
          <w:rFonts w:ascii="Arial" w:hAnsi="Arial" w:cs="Arial"/>
          <w:b/>
          <w:bCs/>
          <w:szCs w:val="24"/>
        </w:rPr>
        <w:t>0</w:t>
      </w:r>
      <w:r w:rsidRPr="00D439D6">
        <w:rPr>
          <w:rFonts w:ascii="Arial" w:hAnsi="Arial" w:cs="Arial"/>
          <w:b/>
          <w:bCs/>
          <w:szCs w:val="24"/>
        </w:rPr>
        <w:t>113</w:t>
      </w:r>
      <w:r w:rsidR="00B87001">
        <w:rPr>
          <w:rFonts w:ascii="Arial" w:hAnsi="Arial" w:cs="Arial"/>
          <w:b/>
          <w:bCs/>
          <w:szCs w:val="24"/>
        </w:rPr>
        <w:t>, M600</w:t>
      </w:r>
      <w:r w:rsidR="008E30D2">
        <w:rPr>
          <w:rFonts w:ascii="Arial" w:hAnsi="Arial" w:cs="Arial"/>
          <w:b/>
          <w:bCs/>
          <w:szCs w:val="24"/>
        </w:rPr>
        <w:t>1</w:t>
      </w:r>
    </w:p>
    <w:p w:rsidR="00912EF5" w:rsidRDefault="00912EF5" w:rsidP="00975608">
      <w:pPr>
        <w:pStyle w:val="heading1"/>
        <w:numPr>
          <w:ilvl w:val="0"/>
          <w:numId w:val="0"/>
        </w:numPr>
        <w:spacing w:before="120"/>
        <w:jc w:val="left"/>
        <w:rPr>
          <w:b w:val="0"/>
          <w:sz w:val="24"/>
        </w:rPr>
      </w:pPr>
      <w:r w:rsidRPr="00912EF5">
        <w:rPr>
          <w:b w:val="0"/>
          <w:sz w:val="24"/>
        </w:rPr>
        <w:t xml:space="preserve">The tier one </w:t>
      </w:r>
      <w:r w:rsidR="00C83EA0" w:rsidRPr="00912EF5">
        <w:rPr>
          <w:b w:val="0"/>
          <w:sz w:val="24"/>
        </w:rPr>
        <w:t>Specialist Medical and Surgical</w:t>
      </w:r>
      <w:r w:rsidR="00C83EA0">
        <w:rPr>
          <w:b w:val="0"/>
          <w:sz w:val="24"/>
        </w:rPr>
        <w:t xml:space="preserve"> Services </w:t>
      </w:r>
      <w:r w:rsidRPr="00912EF5">
        <w:rPr>
          <w:b w:val="0"/>
          <w:sz w:val="24"/>
        </w:rPr>
        <w:t>specification contain</w:t>
      </w:r>
      <w:r w:rsidR="00C03077">
        <w:rPr>
          <w:b w:val="0"/>
          <w:sz w:val="24"/>
        </w:rPr>
        <w:t>s</w:t>
      </w:r>
      <w:r w:rsidRPr="00912EF5">
        <w:rPr>
          <w:b w:val="0"/>
          <w:sz w:val="24"/>
        </w:rPr>
        <w:t xml:space="preserve"> generic principles and content common to all tiers of </w:t>
      </w:r>
      <w:r>
        <w:rPr>
          <w:b w:val="0"/>
          <w:sz w:val="24"/>
        </w:rPr>
        <w:t xml:space="preserve">linked service </w:t>
      </w:r>
      <w:r w:rsidRPr="00912EF5">
        <w:rPr>
          <w:b w:val="0"/>
          <w:sz w:val="24"/>
        </w:rPr>
        <w:t>specifications below it.  Th</w:t>
      </w:r>
      <w:r w:rsidR="00C512D4">
        <w:rPr>
          <w:b w:val="0"/>
          <w:sz w:val="24"/>
        </w:rPr>
        <w:t>e</w:t>
      </w:r>
      <w:r w:rsidRPr="00912EF5">
        <w:rPr>
          <w:b w:val="0"/>
          <w:sz w:val="24"/>
        </w:rPr>
        <w:t xml:space="preserve"> tier two service specification for </w:t>
      </w:r>
      <w:r>
        <w:rPr>
          <w:b w:val="0"/>
          <w:sz w:val="24"/>
        </w:rPr>
        <w:t>Solid Organ Transplant</w:t>
      </w:r>
      <w:r w:rsidRPr="00912EF5">
        <w:rPr>
          <w:b w:val="0"/>
          <w:sz w:val="24"/>
        </w:rPr>
        <w:t xml:space="preserve"> Services (the Service) must be used in conjunction with the tier one Specialist Medical and Surgical</w:t>
      </w:r>
      <w:r>
        <w:rPr>
          <w:b w:val="0"/>
          <w:sz w:val="24"/>
        </w:rPr>
        <w:t xml:space="preserve"> Services service specification and where age applicable</w:t>
      </w:r>
      <w:r w:rsidR="00C83EA0">
        <w:rPr>
          <w:b w:val="0"/>
          <w:sz w:val="24"/>
        </w:rPr>
        <w:t>,</w:t>
      </w:r>
      <w:r>
        <w:rPr>
          <w:b w:val="0"/>
          <w:sz w:val="24"/>
        </w:rPr>
        <w:t xml:space="preserve"> the tier one Services for Children and Young People</w:t>
      </w:r>
      <w:r w:rsidR="00C03077" w:rsidRPr="00C03077">
        <w:rPr>
          <w:b w:val="0"/>
          <w:sz w:val="24"/>
        </w:rPr>
        <w:t xml:space="preserve"> </w:t>
      </w:r>
      <w:r w:rsidR="00C03077">
        <w:rPr>
          <w:b w:val="0"/>
          <w:sz w:val="24"/>
        </w:rPr>
        <w:t>service specification</w:t>
      </w:r>
      <w:r>
        <w:rPr>
          <w:b w:val="0"/>
          <w:sz w:val="24"/>
        </w:rPr>
        <w:t>.</w:t>
      </w:r>
    </w:p>
    <w:p w:rsidR="00912EF5" w:rsidRDefault="00912EF5" w:rsidP="00975608">
      <w:pPr>
        <w:pStyle w:val="heading1"/>
        <w:numPr>
          <w:ilvl w:val="0"/>
          <w:numId w:val="0"/>
        </w:numPr>
        <w:spacing w:before="120"/>
        <w:jc w:val="left"/>
        <w:rPr>
          <w:b w:val="0"/>
          <w:sz w:val="24"/>
        </w:rPr>
      </w:pPr>
      <w:r>
        <w:rPr>
          <w:b w:val="0"/>
          <w:sz w:val="24"/>
        </w:rPr>
        <w:t>In addition, refer to the relevant linked tier two service specifications such as:</w:t>
      </w:r>
    </w:p>
    <w:p w:rsidR="00912EF5" w:rsidRDefault="00912EF5" w:rsidP="00C50AE2">
      <w:pPr>
        <w:pStyle w:val="heading1"/>
        <w:numPr>
          <w:ilvl w:val="0"/>
          <w:numId w:val="5"/>
        </w:numPr>
        <w:ind w:left="567" w:hanging="567"/>
        <w:jc w:val="left"/>
        <w:rPr>
          <w:b w:val="0"/>
          <w:sz w:val="24"/>
        </w:rPr>
      </w:pPr>
      <w:r>
        <w:rPr>
          <w:b w:val="0"/>
          <w:sz w:val="24"/>
        </w:rPr>
        <w:t>General Surgery</w:t>
      </w:r>
    </w:p>
    <w:p w:rsidR="00C50AE2" w:rsidRDefault="00C50AE2" w:rsidP="00C50AE2">
      <w:pPr>
        <w:pStyle w:val="heading1"/>
        <w:numPr>
          <w:ilvl w:val="0"/>
          <w:numId w:val="5"/>
        </w:numPr>
        <w:ind w:left="567" w:hanging="567"/>
        <w:jc w:val="left"/>
        <w:rPr>
          <w:b w:val="0"/>
          <w:sz w:val="24"/>
        </w:rPr>
      </w:pPr>
      <w:r>
        <w:rPr>
          <w:b w:val="0"/>
          <w:sz w:val="24"/>
        </w:rPr>
        <w:t>Vascular Surgery</w:t>
      </w:r>
    </w:p>
    <w:p w:rsidR="00912EF5" w:rsidRDefault="00912EF5" w:rsidP="00C50AE2">
      <w:pPr>
        <w:pStyle w:val="heading1"/>
        <w:numPr>
          <w:ilvl w:val="0"/>
          <w:numId w:val="5"/>
        </w:numPr>
        <w:ind w:left="567" w:hanging="567"/>
        <w:jc w:val="left"/>
        <w:rPr>
          <w:b w:val="0"/>
          <w:sz w:val="24"/>
        </w:rPr>
      </w:pPr>
      <w:r>
        <w:rPr>
          <w:b w:val="0"/>
          <w:sz w:val="24"/>
        </w:rPr>
        <w:t>Renal Services</w:t>
      </w:r>
    </w:p>
    <w:p w:rsidR="00720538" w:rsidRDefault="00912EF5" w:rsidP="00210D36">
      <w:pPr>
        <w:pStyle w:val="heading1"/>
        <w:numPr>
          <w:ilvl w:val="0"/>
          <w:numId w:val="5"/>
        </w:numPr>
        <w:ind w:left="567" w:hanging="567"/>
        <w:jc w:val="left"/>
        <w:rPr>
          <w:b w:val="0"/>
          <w:sz w:val="24"/>
        </w:rPr>
      </w:pPr>
      <w:r>
        <w:rPr>
          <w:b w:val="0"/>
          <w:sz w:val="24"/>
        </w:rPr>
        <w:t>Paediatric and Congenital Cardiac Service</w:t>
      </w:r>
      <w:r w:rsidR="00C03077">
        <w:rPr>
          <w:b w:val="0"/>
          <w:sz w:val="24"/>
        </w:rPr>
        <w:t>s</w:t>
      </w:r>
    </w:p>
    <w:p w:rsidR="00912EF5" w:rsidRDefault="00720538" w:rsidP="00720538">
      <w:pPr>
        <w:pStyle w:val="heading1"/>
        <w:numPr>
          <w:ilvl w:val="0"/>
          <w:numId w:val="5"/>
        </w:numPr>
        <w:ind w:left="567" w:hanging="567"/>
        <w:jc w:val="left"/>
        <w:rPr>
          <w:b w:val="0"/>
          <w:sz w:val="24"/>
        </w:rPr>
      </w:pPr>
      <w:r w:rsidRPr="00720538">
        <w:rPr>
          <w:b w:val="0"/>
          <w:sz w:val="24"/>
        </w:rPr>
        <w:t>Organ Donation, Coordination, Education and Information Services</w:t>
      </w:r>
      <w:r w:rsidR="006C0479">
        <w:rPr>
          <w:b w:val="0"/>
          <w:sz w:val="24"/>
        </w:rPr>
        <w:t>.</w:t>
      </w:r>
    </w:p>
    <w:p w:rsidR="008E30D2" w:rsidRPr="00912EF5" w:rsidRDefault="006C0479" w:rsidP="00E95128">
      <w:pPr>
        <w:pStyle w:val="heading1"/>
        <w:numPr>
          <w:ilvl w:val="0"/>
          <w:numId w:val="0"/>
        </w:numPr>
        <w:spacing w:before="120"/>
        <w:jc w:val="left"/>
        <w:rPr>
          <w:b w:val="0"/>
          <w:sz w:val="24"/>
        </w:rPr>
      </w:pPr>
      <w:r>
        <w:rPr>
          <w:b w:val="0"/>
          <w:sz w:val="24"/>
        </w:rPr>
        <w:t>See also Increasing Deceased Organ Donation and Transplantation: A National Strategy 2017</w:t>
      </w:r>
      <w:r>
        <w:rPr>
          <w:rStyle w:val="FootnoteReference"/>
          <w:b w:val="0"/>
          <w:sz w:val="24"/>
        </w:rPr>
        <w:footnoteReference w:id="1"/>
      </w:r>
      <w:r w:rsidR="00975828">
        <w:rPr>
          <w:b w:val="0"/>
          <w:sz w:val="24"/>
        </w:rPr>
        <w:t xml:space="preserve">, </w:t>
      </w:r>
      <w:r w:rsidR="00DB77AE">
        <w:rPr>
          <w:b w:val="0"/>
          <w:sz w:val="24"/>
        </w:rPr>
        <w:t>that</w:t>
      </w:r>
      <w:r w:rsidR="00993CD2">
        <w:rPr>
          <w:b w:val="0"/>
          <w:sz w:val="24"/>
        </w:rPr>
        <w:t xml:space="preserve"> sets out actions under six priority areas </w:t>
      </w:r>
      <w:r w:rsidR="00975828">
        <w:rPr>
          <w:b w:val="0"/>
          <w:sz w:val="24"/>
        </w:rPr>
        <w:t>to</w:t>
      </w:r>
      <w:r w:rsidR="00993CD2">
        <w:rPr>
          <w:b w:val="0"/>
          <w:sz w:val="24"/>
        </w:rPr>
        <w:t xml:space="preserve"> increase deceased organ donation in New Zealand</w:t>
      </w:r>
      <w:r w:rsidR="00DB77AE">
        <w:rPr>
          <w:b w:val="0"/>
          <w:sz w:val="24"/>
        </w:rPr>
        <w:t>.</w:t>
      </w:r>
    </w:p>
    <w:p w:rsidR="006F546C" w:rsidRPr="00912EF5" w:rsidRDefault="00BE6B7B" w:rsidP="00BE6B7B">
      <w:pPr>
        <w:pStyle w:val="heading1"/>
        <w:tabs>
          <w:tab w:val="clear" w:pos="720"/>
          <w:tab w:val="num" w:pos="540"/>
        </w:tabs>
        <w:spacing w:before="240" w:after="120"/>
        <w:ind w:left="539" w:hanging="539"/>
        <w:jc w:val="left"/>
        <w:rPr>
          <w:sz w:val="24"/>
        </w:rPr>
      </w:pPr>
      <w:r w:rsidRPr="00912EF5">
        <w:rPr>
          <w:sz w:val="24"/>
        </w:rPr>
        <w:t xml:space="preserve">Service </w:t>
      </w:r>
      <w:r w:rsidR="006F546C" w:rsidRPr="00912EF5">
        <w:rPr>
          <w:sz w:val="24"/>
        </w:rPr>
        <w:t>D</w:t>
      </w:r>
      <w:r w:rsidRPr="00912EF5">
        <w:rPr>
          <w:sz w:val="24"/>
        </w:rPr>
        <w:t>efinition</w:t>
      </w:r>
    </w:p>
    <w:p w:rsidR="00A7092C" w:rsidRDefault="006F546C" w:rsidP="00B32CA3">
      <w:pPr>
        <w:jc w:val="left"/>
        <w:rPr>
          <w:rFonts w:ascii="Arial" w:hAnsi="Arial" w:cs="Arial"/>
        </w:rPr>
      </w:pPr>
      <w:r w:rsidRPr="00912EF5">
        <w:rPr>
          <w:rFonts w:ascii="Arial" w:hAnsi="Arial" w:cs="Arial"/>
          <w:bCs/>
        </w:rPr>
        <w:t xml:space="preserve">This </w:t>
      </w:r>
      <w:r w:rsidR="00A90341">
        <w:rPr>
          <w:rFonts w:ascii="Arial" w:hAnsi="Arial" w:cs="Arial"/>
          <w:bCs/>
        </w:rPr>
        <w:t>Service</w:t>
      </w:r>
      <w:r w:rsidRPr="00912EF5">
        <w:rPr>
          <w:rFonts w:ascii="Arial" w:hAnsi="Arial" w:cs="Arial"/>
          <w:bCs/>
        </w:rPr>
        <w:t xml:space="preserve"> is for the care required from a </w:t>
      </w:r>
      <w:r w:rsidR="00B32CA3">
        <w:rPr>
          <w:rFonts w:ascii="Arial" w:hAnsi="Arial" w:cs="Arial"/>
          <w:bCs/>
        </w:rPr>
        <w:t xml:space="preserve">specialist </w:t>
      </w:r>
      <w:r w:rsidRPr="00912EF5">
        <w:rPr>
          <w:rFonts w:ascii="Arial" w:hAnsi="Arial" w:cs="Arial"/>
          <w:bCs/>
        </w:rPr>
        <w:t xml:space="preserve">hospital service to treat </w:t>
      </w:r>
      <w:r w:rsidR="00CB7C56">
        <w:rPr>
          <w:rFonts w:ascii="Arial" w:hAnsi="Arial" w:cs="Arial"/>
          <w:bCs/>
        </w:rPr>
        <w:t xml:space="preserve">eligible </w:t>
      </w:r>
      <w:r w:rsidR="00B32CA3">
        <w:rPr>
          <w:rFonts w:ascii="Arial" w:hAnsi="Arial" w:cs="Arial"/>
          <w:bCs/>
        </w:rPr>
        <w:t xml:space="preserve">people </w:t>
      </w:r>
      <w:r w:rsidRPr="00912EF5">
        <w:rPr>
          <w:rFonts w:ascii="Arial" w:hAnsi="Arial" w:cs="Arial"/>
          <w:bCs/>
        </w:rPr>
        <w:t xml:space="preserve">undergoing a </w:t>
      </w:r>
      <w:r w:rsidR="00B32CA3">
        <w:rPr>
          <w:rFonts w:ascii="Arial" w:hAnsi="Arial" w:cs="Arial"/>
          <w:bCs/>
        </w:rPr>
        <w:t xml:space="preserve">solid organ </w:t>
      </w:r>
      <w:r w:rsidRPr="00912EF5">
        <w:rPr>
          <w:rFonts w:ascii="Arial" w:hAnsi="Arial" w:cs="Arial"/>
          <w:bCs/>
        </w:rPr>
        <w:t>transplant procedure</w:t>
      </w:r>
      <w:r w:rsidR="00CB7C56">
        <w:rPr>
          <w:rFonts w:ascii="Arial" w:hAnsi="Arial" w:cs="Arial"/>
          <w:bCs/>
        </w:rPr>
        <w:t xml:space="preserve"> (Service Users)</w:t>
      </w:r>
      <w:r w:rsidRPr="00912EF5">
        <w:rPr>
          <w:rFonts w:ascii="Arial" w:hAnsi="Arial" w:cs="Arial"/>
          <w:bCs/>
        </w:rPr>
        <w:t xml:space="preserve">. </w:t>
      </w:r>
      <w:r w:rsidR="00B32CA3">
        <w:rPr>
          <w:rFonts w:ascii="Arial" w:hAnsi="Arial" w:cs="Arial"/>
          <w:bCs/>
        </w:rPr>
        <w:t xml:space="preserve"> </w:t>
      </w:r>
      <w:r w:rsidR="00C30E29">
        <w:rPr>
          <w:rFonts w:ascii="Arial" w:hAnsi="Arial" w:cs="Arial"/>
          <w:bCs/>
        </w:rPr>
        <w:t>The Service</w:t>
      </w:r>
      <w:r w:rsidRPr="00912EF5">
        <w:rPr>
          <w:rFonts w:ascii="Arial" w:hAnsi="Arial" w:cs="Arial"/>
        </w:rPr>
        <w:t xml:space="preserve"> provide</w:t>
      </w:r>
      <w:r w:rsidR="00C30E29">
        <w:rPr>
          <w:rFonts w:ascii="Arial" w:hAnsi="Arial" w:cs="Arial"/>
        </w:rPr>
        <w:t>s</w:t>
      </w:r>
      <w:r w:rsidRPr="00912EF5">
        <w:rPr>
          <w:rFonts w:ascii="Arial" w:hAnsi="Arial" w:cs="Arial"/>
        </w:rPr>
        <w:t xml:space="preserve"> a comprehensive assessment, </w:t>
      </w:r>
      <w:r w:rsidR="00975608" w:rsidRPr="00975608">
        <w:rPr>
          <w:rFonts w:ascii="Arial" w:hAnsi="Arial" w:cs="Arial"/>
        </w:rPr>
        <w:t>pre-transplant care and/or advice</w:t>
      </w:r>
      <w:r w:rsidR="00975608">
        <w:rPr>
          <w:rFonts w:ascii="Arial" w:hAnsi="Arial" w:cs="Arial"/>
        </w:rPr>
        <w:t xml:space="preserve">, </w:t>
      </w:r>
      <w:r w:rsidR="00B32CA3" w:rsidRPr="00B32CA3">
        <w:rPr>
          <w:rFonts w:ascii="Arial" w:hAnsi="Arial" w:cs="Arial"/>
        </w:rPr>
        <w:t xml:space="preserve">solid organ </w:t>
      </w:r>
      <w:r w:rsidR="00B32CA3">
        <w:rPr>
          <w:rFonts w:ascii="Arial" w:hAnsi="Arial" w:cs="Arial"/>
        </w:rPr>
        <w:t>transplant surgery</w:t>
      </w:r>
      <w:r w:rsidR="004E567E">
        <w:rPr>
          <w:rFonts w:ascii="Arial" w:hAnsi="Arial" w:cs="Arial"/>
        </w:rPr>
        <w:t>,</w:t>
      </w:r>
      <w:r w:rsidRPr="00912EF5">
        <w:rPr>
          <w:rFonts w:ascii="Arial" w:hAnsi="Arial" w:cs="Arial"/>
        </w:rPr>
        <w:t xml:space="preserve"> </w:t>
      </w:r>
      <w:r w:rsidR="004E567E" w:rsidRPr="004E567E">
        <w:rPr>
          <w:rFonts w:ascii="Arial" w:hAnsi="Arial" w:cs="Arial"/>
        </w:rPr>
        <w:t xml:space="preserve">rehabilitation </w:t>
      </w:r>
      <w:r w:rsidRPr="00912EF5">
        <w:rPr>
          <w:rFonts w:ascii="Arial" w:hAnsi="Arial" w:cs="Arial"/>
        </w:rPr>
        <w:t xml:space="preserve">and </w:t>
      </w:r>
      <w:r w:rsidR="004E567E">
        <w:rPr>
          <w:rFonts w:ascii="Arial" w:hAnsi="Arial" w:cs="Arial"/>
        </w:rPr>
        <w:t xml:space="preserve">permanent </w:t>
      </w:r>
      <w:r w:rsidRPr="00912EF5">
        <w:rPr>
          <w:rFonts w:ascii="Arial" w:hAnsi="Arial" w:cs="Arial"/>
        </w:rPr>
        <w:t>follow-up service</w:t>
      </w:r>
      <w:r w:rsidR="00B32CA3">
        <w:rPr>
          <w:rFonts w:ascii="Arial" w:hAnsi="Arial" w:cs="Arial"/>
        </w:rPr>
        <w:t>.</w:t>
      </w:r>
      <w:r w:rsidRPr="00912EF5">
        <w:rPr>
          <w:rFonts w:ascii="Arial" w:hAnsi="Arial" w:cs="Arial"/>
        </w:rPr>
        <w:t xml:space="preserve"> </w:t>
      </w:r>
    </w:p>
    <w:p w:rsidR="004E567E" w:rsidRDefault="004E567E" w:rsidP="004E567E">
      <w:pPr>
        <w:spacing w:before="120"/>
        <w:jc w:val="left"/>
        <w:rPr>
          <w:rFonts w:ascii="Arial" w:hAnsi="Arial" w:cs="Arial"/>
        </w:rPr>
      </w:pPr>
      <w:r>
        <w:rPr>
          <w:rFonts w:ascii="Arial" w:hAnsi="Arial" w:cs="Arial"/>
        </w:rPr>
        <w:t>P</w:t>
      </w:r>
      <w:r w:rsidRPr="004E567E">
        <w:rPr>
          <w:rFonts w:ascii="Arial" w:hAnsi="Arial" w:cs="Arial"/>
        </w:rPr>
        <w:t xml:space="preserve">ermanent follow-up </w:t>
      </w:r>
      <w:r w:rsidR="00C30E29">
        <w:rPr>
          <w:rFonts w:ascii="Arial" w:hAnsi="Arial" w:cs="Arial"/>
        </w:rPr>
        <w:t>services are</w:t>
      </w:r>
      <w:r>
        <w:rPr>
          <w:rFonts w:ascii="Arial" w:hAnsi="Arial" w:cs="Arial"/>
        </w:rPr>
        <w:t xml:space="preserve"> provided </w:t>
      </w:r>
      <w:r w:rsidRPr="004E567E">
        <w:rPr>
          <w:rFonts w:ascii="Arial" w:hAnsi="Arial" w:cs="Arial"/>
        </w:rPr>
        <w:t>in collaboratio</w:t>
      </w:r>
      <w:r>
        <w:rPr>
          <w:rFonts w:ascii="Arial" w:hAnsi="Arial" w:cs="Arial"/>
        </w:rPr>
        <w:t xml:space="preserve">n </w:t>
      </w:r>
      <w:r w:rsidR="00C03077">
        <w:rPr>
          <w:rFonts w:ascii="Arial" w:hAnsi="Arial" w:cs="Arial"/>
        </w:rPr>
        <w:t xml:space="preserve">with </w:t>
      </w:r>
      <w:r>
        <w:rPr>
          <w:rFonts w:ascii="Arial" w:hAnsi="Arial" w:cs="Arial"/>
        </w:rPr>
        <w:t>primary health care providers</w:t>
      </w:r>
      <w:r w:rsidRPr="004E567E">
        <w:rPr>
          <w:rFonts w:ascii="Arial" w:hAnsi="Arial" w:cs="Arial"/>
        </w:rPr>
        <w:t>.</w:t>
      </w:r>
      <w:r>
        <w:rPr>
          <w:rFonts w:ascii="Arial" w:hAnsi="Arial" w:cs="Arial"/>
        </w:rPr>
        <w:t xml:space="preserve"> </w:t>
      </w:r>
      <w:r w:rsidR="00C83EA0">
        <w:rPr>
          <w:rFonts w:ascii="Arial" w:hAnsi="Arial" w:cs="Arial"/>
        </w:rPr>
        <w:t xml:space="preserve"> </w:t>
      </w:r>
      <w:r w:rsidR="00CB7C56" w:rsidRPr="00CB7C56">
        <w:rPr>
          <w:rFonts w:ascii="Arial" w:hAnsi="Arial" w:cs="Arial"/>
        </w:rPr>
        <w:t>Service Users</w:t>
      </w:r>
      <w:r w:rsidR="00CB7C56" w:rsidRPr="00CB7C56" w:rsidDel="00C03077">
        <w:rPr>
          <w:rFonts w:ascii="Arial" w:hAnsi="Arial" w:cs="Arial"/>
        </w:rPr>
        <w:t xml:space="preserve"> </w:t>
      </w:r>
      <w:r w:rsidRPr="004E567E">
        <w:rPr>
          <w:rFonts w:ascii="Arial" w:hAnsi="Arial" w:cs="Arial"/>
        </w:rPr>
        <w:t>are normally returned to their referring physician/hospital for ongoing care</w:t>
      </w:r>
      <w:r w:rsidR="00C03077" w:rsidRPr="00C03077">
        <w:rPr>
          <w:rFonts w:ascii="Arial" w:hAnsi="Arial" w:cs="Arial"/>
        </w:rPr>
        <w:t xml:space="preserve"> </w:t>
      </w:r>
      <w:r w:rsidR="00C03077">
        <w:rPr>
          <w:rFonts w:ascii="Arial" w:hAnsi="Arial" w:cs="Arial"/>
        </w:rPr>
        <w:t>a</w:t>
      </w:r>
      <w:r w:rsidR="00C03077" w:rsidRPr="004E567E">
        <w:rPr>
          <w:rFonts w:ascii="Arial" w:hAnsi="Arial" w:cs="Arial"/>
        </w:rPr>
        <w:t xml:space="preserve">fter </w:t>
      </w:r>
      <w:r w:rsidR="00C03077">
        <w:rPr>
          <w:rFonts w:ascii="Arial" w:hAnsi="Arial" w:cs="Arial"/>
        </w:rPr>
        <w:t xml:space="preserve">an agreed period </w:t>
      </w:r>
      <w:r w:rsidR="00C03077" w:rsidRPr="004E567E">
        <w:rPr>
          <w:rFonts w:ascii="Arial" w:hAnsi="Arial" w:cs="Arial"/>
        </w:rPr>
        <w:t>of post-transplant care</w:t>
      </w:r>
      <w:r w:rsidRPr="004E567E">
        <w:rPr>
          <w:rFonts w:ascii="Arial" w:hAnsi="Arial" w:cs="Arial"/>
        </w:rPr>
        <w:t>.</w:t>
      </w:r>
    </w:p>
    <w:p w:rsidR="00511C3E" w:rsidRDefault="00CE3A51" w:rsidP="00912EF5">
      <w:pPr>
        <w:spacing w:before="120"/>
        <w:jc w:val="left"/>
        <w:rPr>
          <w:rFonts w:ascii="Arial" w:hAnsi="Arial" w:cs="Arial"/>
        </w:rPr>
      </w:pPr>
      <w:r w:rsidRPr="00CE3A51">
        <w:rPr>
          <w:rFonts w:ascii="Arial" w:hAnsi="Arial" w:cs="Arial"/>
        </w:rPr>
        <w:t>The</w:t>
      </w:r>
      <w:r w:rsidR="00B820DB">
        <w:rPr>
          <w:rFonts w:ascii="Arial" w:hAnsi="Arial" w:cs="Arial"/>
        </w:rPr>
        <w:t xml:space="preserve"> Service must use </w:t>
      </w:r>
      <w:r w:rsidRPr="00CE3A51">
        <w:rPr>
          <w:rFonts w:ascii="Arial" w:hAnsi="Arial" w:cs="Arial"/>
        </w:rPr>
        <w:t>eligibility criteria for any given organ transplant</w:t>
      </w:r>
      <w:r w:rsidR="00DC5A12">
        <w:rPr>
          <w:rFonts w:ascii="Arial" w:hAnsi="Arial" w:cs="Arial"/>
        </w:rPr>
        <w:t>,</w:t>
      </w:r>
      <w:r w:rsidRPr="00CE3A51">
        <w:rPr>
          <w:rFonts w:ascii="Arial" w:hAnsi="Arial" w:cs="Arial"/>
        </w:rPr>
        <w:t xml:space="preserve"> and organ allocation criteria that determine which of the </w:t>
      </w:r>
      <w:r w:rsidR="00CB7C56" w:rsidRPr="00CB7C56">
        <w:rPr>
          <w:rFonts w:ascii="Arial" w:hAnsi="Arial" w:cs="Arial"/>
        </w:rPr>
        <w:t>Service Users</w:t>
      </w:r>
      <w:r w:rsidR="00CB7C56" w:rsidRPr="00CB7C56" w:rsidDel="00CB7C56">
        <w:rPr>
          <w:rFonts w:ascii="Arial" w:hAnsi="Arial" w:cs="Arial"/>
        </w:rPr>
        <w:t xml:space="preserve"> </w:t>
      </w:r>
      <w:r w:rsidRPr="00CE3A51">
        <w:rPr>
          <w:rFonts w:ascii="Arial" w:hAnsi="Arial" w:cs="Arial"/>
        </w:rPr>
        <w:t>will be assigned a particular organ when it becomes available. These criteria are dependent on agreed guidelines that are published under the auspices of the Transplantation Society of Australia and New Zealand</w:t>
      </w:r>
      <w:r w:rsidR="0070165C">
        <w:rPr>
          <w:rFonts w:ascii="Arial" w:hAnsi="Arial" w:cs="Arial"/>
        </w:rPr>
        <w:t xml:space="preserve"> (TSANZ).</w:t>
      </w:r>
      <w:r w:rsidRPr="00CE3A51">
        <w:rPr>
          <w:rFonts w:ascii="Arial" w:hAnsi="Arial" w:cs="Arial"/>
        </w:rPr>
        <w:t xml:space="preserve"> </w:t>
      </w:r>
    </w:p>
    <w:p w:rsidR="006F546C" w:rsidRPr="00912EF5" w:rsidRDefault="006F546C" w:rsidP="00912EF5">
      <w:pPr>
        <w:spacing w:before="120"/>
        <w:jc w:val="left"/>
        <w:rPr>
          <w:rFonts w:ascii="Arial" w:hAnsi="Arial" w:cs="Arial"/>
        </w:rPr>
      </w:pPr>
      <w:r w:rsidRPr="00912EF5">
        <w:rPr>
          <w:rFonts w:ascii="Arial" w:hAnsi="Arial" w:cs="Arial"/>
        </w:rPr>
        <w:t>The</w:t>
      </w:r>
      <w:r w:rsidR="00975608">
        <w:rPr>
          <w:rFonts w:ascii="Arial" w:hAnsi="Arial" w:cs="Arial"/>
        </w:rPr>
        <w:t xml:space="preserve"> S</w:t>
      </w:r>
      <w:r w:rsidRPr="00912EF5">
        <w:rPr>
          <w:rFonts w:ascii="Arial" w:hAnsi="Arial" w:cs="Arial"/>
        </w:rPr>
        <w:t xml:space="preserve">ervice may be part of a regional and national </w:t>
      </w:r>
      <w:r w:rsidR="00975608">
        <w:rPr>
          <w:rFonts w:ascii="Arial" w:hAnsi="Arial" w:cs="Arial"/>
        </w:rPr>
        <w:t xml:space="preserve">organ transplant </w:t>
      </w:r>
      <w:r w:rsidRPr="00912EF5">
        <w:rPr>
          <w:rFonts w:ascii="Arial" w:hAnsi="Arial" w:cs="Arial"/>
        </w:rPr>
        <w:t xml:space="preserve">service </w:t>
      </w:r>
      <w:r w:rsidR="00975608">
        <w:rPr>
          <w:rFonts w:ascii="Arial" w:hAnsi="Arial" w:cs="Arial"/>
        </w:rPr>
        <w:t>listed below</w:t>
      </w:r>
      <w:r w:rsidRPr="00912EF5">
        <w:rPr>
          <w:rFonts w:ascii="Arial" w:hAnsi="Arial" w:cs="Arial"/>
        </w:rPr>
        <w:t>:</w:t>
      </w:r>
    </w:p>
    <w:p w:rsidR="006F546C" w:rsidRPr="00912EF5" w:rsidRDefault="006F546C" w:rsidP="00912EF5">
      <w:pPr>
        <w:pStyle w:val="bullet"/>
        <w:spacing w:before="120"/>
        <w:ind w:left="539" w:hanging="539"/>
        <w:jc w:val="left"/>
        <w:rPr>
          <w:sz w:val="24"/>
        </w:rPr>
      </w:pPr>
      <w:r w:rsidRPr="00912EF5">
        <w:rPr>
          <w:sz w:val="24"/>
        </w:rPr>
        <w:t>Heart transplant</w:t>
      </w:r>
    </w:p>
    <w:p w:rsidR="006F546C" w:rsidRPr="00912EF5" w:rsidRDefault="006F546C" w:rsidP="00912EF5">
      <w:pPr>
        <w:pStyle w:val="bullet"/>
        <w:ind w:left="539" w:hanging="539"/>
        <w:jc w:val="left"/>
        <w:rPr>
          <w:sz w:val="24"/>
        </w:rPr>
      </w:pPr>
      <w:r w:rsidRPr="00912EF5">
        <w:rPr>
          <w:sz w:val="24"/>
        </w:rPr>
        <w:t>Lung transplant</w:t>
      </w:r>
    </w:p>
    <w:p w:rsidR="006F546C" w:rsidRDefault="006F546C" w:rsidP="00912EF5">
      <w:pPr>
        <w:pStyle w:val="bullet"/>
        <w:ind w:left="539" w:hanging="539"/>
        <w:jc w:val="left"/>
        <w:rPr>
          <w:sz w:val="24"/>
        </w:rPr>
      </w:pPr>
      <w:r w:rsidRPr="00912EF5">
        <w:rPr>
          <w:sz w:val="24"/>
        </w:rPr>
        <w:t>Heart-Lung transplant</w:t>
      </w:r>
    </w:p>
    <w:p w:rsidR="00F33687" w:rsidRPr="00F23108" w:rsidRDefault="00F33687" w:rsidP="00F33687">
      <w:pPr>
        <w:pStyle w:val="bullet"/>
        <w:ind w:left="567" w:hanging="567"/>
        <w:rPr>
          <w:sz w:val="24"/>
        </w:rPr>
      </w:pPr>
      <w:r w:rsidRPr="00F23108">
        <w:rPr>
          <w:sz w:val="24"/>
        </w:rPr>
        <w:t>Liver transplant - adults and children</w:t>
      </w:r>
    </w:p>
    <w:p w:rsidR="006F546C" w:rsidRPr="00F23108" w:rsidRDefault="006F546C" w:rsidP="00912EF5">
      <w:pPr>
        <w:pStyle w:val="bullet"/>
        <w:ind w:left="539" w:hanging="539"/>
        <w:jc w:val="left"/>
        <w:rPr>
          <w:sz w:val="24"/>
        </w:rPr>
      </w:pPr>
      <w:r w:rsidRPr="00F23108">
        <w:rPr>
          <w:sz w:val="24"/>
        </w:rPr>
        <w:t>Pancreas transplant</w:t>
      </w:r>
    </w:p>
    <w:p w:rsidR="000D22A1" w:rsidRPr="00F23108" w:rsidRDefault="000D22A1" w:rsidP="00912EF5">
      <w:pPr>
        <w:pStyle w:val="bullet"/>
        <w:ind w:left="539" w:hanging="539"/>
        <w:jc w:val="left"/>
        <w:rPr>
          <w:sz w:val="24"/>
        </w:rPr>
      </w:pPr>
      <w:r w:rsidRPr="00F23108">
        <w:rPr>
          <w:sz w:val="24"/>
        </w:rPr>
        <w:t>Paired Kidney Exchange</w:t>
      </w:r>
    </w:p>
    <w:p w:rsidR="00F33687" w:rsidRPr="00F23108" w:rsidRDefault="00F33687" w:rsidP="00F33687">
      <w:pPr>
        <w:pStyle w:val="bullet"/>
        <w:ind w:left="567" w:hanging="567"/>
        <w:rPr>
          <w:sz w:val="24"/>
        </w:rPr>
      </w:pPr>
      <w:r w:rsidRPr="00F23108">
        <w:rPr>
          <w:sz w:val="24"/>
        </w:rPr>
        <w:t>Simultaneous Pancreas/ Kidney transplant</w:t>
      </w:r>
    </w:p>
    <w:p w:rsidR="006F546C" w:rsidRPr="00F23108" w:rsidRDefault="006F546C" w:rsidP="00912EF5">
      <w:pPr>
        <w:pStyle w:val="bullet"/>
        <w:ind w:left="539" w:hanging="539"/>
        <w:jc w:val="left"/>
        <w:rPr>
          <w:sz w:val="24"/>
        </w:rPr>
      </w:pPr>
      <w:r w:rsidRPr="00F23108">
        <w:rPr>
          <w:sz w:val="24"/>
        </w:rPr>
        <w:t>Renal transplant –</w:t>
      </w:r>
      <w:r w:rsidR="00B45431" w:rsidRPr="00F23108">
        <w:rPr>
          <w:sz w:val="24"/>
        </w:rPr>
        <w:t>deceased</w:t>
      </w:r>
      <w:r w:rsidRPr="00F23108">
        <w:rPr>
          <w:sz w:val="24"/>
        </w:rPr>
        <w:t xml:space="preserve"> donor</w:t>
      </w:r>
    </w:p>
    <w:p w:rsidR="006F546C" w:rsidRPr="00F23108" w:rsidRDefault="006F546C" w:rsidP="00912EF5">
      <w:pPr>
        <w:pStyle w:val="bullet"/>
        <w:ind w:left="539" w:hanging="539"/>
        <w:jc w:val="left"/>
        <w:rPr>
          <w:sz w:val="24"/>
        </w:rPr>
      </w:pPr>
      <w:r w:rsidRPr="00F23108">
        <w:rPr>
          <w:sz w:val="24"/>
        </w:rPr>
        <w:t>Renal transplant – live donor</w:t>
      </w:r>
      <w:r w:rsidR="00B6624D" w:rsidRPr="00F23108">
        <w:rPr>
          <w:sz w:val="24"/>
        </w:rPr>
        <w:t>.</w:t>
      </w:r>
    </w:p>
    <w:p w:rsidR="008D1854" w:rsidRPr="008D1854" w:rsidRDefault="008D1854" w:rsidP="00C30E29">
      <w:pPr>
        <w:pStyle w:val="heading1"/>
        <w:tabs>
          <w:tab w:val="clear" w:pos="720"/>
          <w:tab w:val="num" w:pos="540"/>
        </w:tabs>
        <w:spacing w:before="240" w:after="120"/>
        <w:ind w:left="539" w:hanging="539"/>
        <w:jc w:val="left"/>
        <w:rPr>
          <w:sz w:val="24"/>
        </w:rPr>
      </w:pPr>
      <w:r w:rsidRPr="008D1854">
        <w:rPr>
          <w:sz w:val="24"/>
        </w:rPr>
        <w:t>Exclusions</w:t>
      </w:r>
    </w:p>
    <w:p w:rsidR="006F546C" w:rsidRDefault="008D1854" w:rsidP="00475731">
      <w:pPr>
        <w:pStyle w:val="heading1"/>
        <w:numPr>
          <w:ilvl w:val="0"/>
          <w:numId w:val="0"/>
        </w:numPr>
        <w:rPr>
          <w:b w:val="0"/>
          <w:sz w:val="24"/>
        </w:rPr>
      </w:pPr>
      <w:r w:rsidRPr="00840785">
        <w:rPr>
          <w:b w:val="0"/>
          <w:sz w:val="24"/>
        </w:rPr>
        <w:t xml:space="preserve">People eligible for </w:t>
      </w:r>
      <w:r w:rsidR="00C03077">
        <w:rPr>
          <w:b w:val="0"/>
          <w:sz w:val="24"/>
        </w:rPr>
        <w:t xml:space="preserve">transplant </w:t>
      </w:r>
      <w:r w:rsidRPr="00840785">
        <w:rPr>
          <w:b w:val="0"/>
          <w:sz w:val="24"/>
        </w:rPr>
        <w:t xml:space="preserve">treatment </w:t>
      </w:r>
      <w:r w:rsidR="00C03077">
        <w:rPr>
          <w:b w:val="0"/>
          <w:sz w:val="24"/>
        </w:rPr>
        <w:t>funded by</w:t>
      </w:r>
      <w:r w:rsidRPr="00840785">
        <w:rPr>
          <w:b w:val="0"/>
          <w:sz w:val="24"/>
        </w:rPr>
        <w:t xml:space="preserve"> Accident Compensation Corporation are excluded from this specification.</w:t>
      </w:r>
    </w:p>
    <w:p w:rsidR="00C03077" w:rsidRPr="00840785" w:rsidRDefault="00F64C2A" w:rsidP="00720538">
      <w:pPr>
        <w:pStyle w:val="heading1"/>
        <w:numPr>
          <w:ilvl w:val="0"/>
          <w:numId w:val="0"/>
        </w:numPr>
        <w:spacing w:before="120"/>
        <w:jc w:val="left"/>
        <w:rPr>
          <w:b w:val="0"/>
          <w:sz w:val="24"/>
        </w:rPr>
      </w:pPr>
      <w:r>
        <w:rPr>
          <w:b w:val="0"/>
          <w:sz w:val="24"/>
        </w:rPr>
        <w:t>Transplant c</w:t>
      </w:r>
      <w:r w:rsidR="00E74500" w:rsidRPr="00E74500">
        <w:rPr>
          <w:b w:val="0"/>
          <w:sz w:val="24"/>
        </w:rPr>
        <w:t xml:space="preserve">o-ordination and </w:t>
      </w:r>
      <w:r>
        <w:rPr>
          <w:b w:val="0"/>
          <w:sz w:val="24"/>
        </w:rPr>
        <w:t xml:space="preserve">organ </w:t>
      </w:r>
      <w:r w:rsidR="00E74500" w:rsidRPr="00E74500">
        <w:rPr>
          <w:b w:val="0"/>
          <w:sz w:val="24"/>
        </w:rPr>
        <w:t>retrieval services</w:t>
      </w:r>
      <w:r w:rsidR="00E74500">
        <w:rPr>
          <w:b w:val="0"/>
          <w:sz w:val="24"/>
        </w:rPr>
        <w:t xml:space="preserve"> and other education and support s</w:t>
      </w:r>
      <w:r w:rsidR="00C03077">
        <w:rPr>
          <w:b w:val="0"/>
          <w:sz w:val="24"/>
        </w:rPr>
        <w:t xml:space="preserve">ervices </w:t>
      </w:r>
      <w:r w:rsidR="00475731">
        <w:rPr>
          <w:b w:val="0"/>
          <w:sz w:val="24"/>
        </w:rPr>
        <w:t xml:space="preserve">are </w:t>
      </w:r>
      <w:r w:rsidR="006C0479">
        <w:rPr>
          <w:b w:val="0"/>
          <w:sz w:val="24"/>
        </w:rPr>
        <w:t xml:space="preserve">funded and </w:t>
      </w:r>
      <w:r w:rsidR="00C03077">
        <w:rPr>
          <w:b w:val="0"/>
          <w:sz w:val="24"/>
        </w:rPr>
        <w:t xml:space="preserve">provided </w:t>
      </w:r>
      <w:r w:rsidR="00720538">
        <w:rPr>
          <w:b w:val="0"/>
          <w:sz w:val="24"/>
        </w:rPr>
        <w:t xml:space="preserve">under the tier two </w:t>
      </w:r>
      <w:r w:rsidR="00C03077">
        <w:rPr>
          <w:b w:val="0"/>
          <w:sz w:val="24"/>
        </w:rPr>
        <w:t>Organ Donation</w:t>
      </w:r>
      <w:r w:rsidR="00720538">
        <w:rPr>
          <w:b w:val="0"/>
          <w:sz w:val="24"/>
        </w:rPr>
        <w:t>,</w:t>
      </w:r>
      <w:r w:rsidR="00C03077">
        <w:rPr>
          <w:b w:val="0"/>
          <w:sz w:val="24"/>
        </w:rPr>
        <w:t xml:space="preserve"> Coordination</w:t>
      </w:r>
      <w:r w:rsidR="00720538">
        <w:rPr>
          <w:b w:val="0"/>
          <w:sz w:val="24"/>
        </w:rPr>
        <w:t>,</w:t>
      </w:r>
      <w:r w:rsidR="00C03077">
        <w:rPr>
          <w:b w:val="0"/>
          <w:sz w:val="24"/>
        </w:rPr>
        <w:t xml:space="preserve"> Education and</w:t>
      </w:r>
      <w:r w:rsidR="00E74500">
        <w:rPr>
          <w:b w:val="0"/>
          <w:sz w:val="24"/>
        </w:rPr>
        <w:t xml:space="preserve"> Information Services</w:t>
      </w:r>
      <w:r w:rsidR="00720538">
        <w:rPr>
          <w:b w:val="0"/>
          <w:sz w:val="24"/>
        </w:rPr>
        <w:t xml:space="preserve"> service specification.</w:t>
      </w:r>
    </w:p>
    <w:p w:rsidR="006F546C" w:rsidRPr="00912EF5" w:rsidRDefault="006F546C" w:rsidP="00C83EA0">
      <w:pPr>
        <w:numPr>
          <w:ilvl w:val="0"/>
          <w:numId w:val="1"/>
        </w:numPr>
        <w:tabs>
          <w:tab w:val="clear" w:pos="720"/>
          <w:tab w:val="num" w:pos="540"/>
        </w:tabs>
        <w:spacing w:before="240" w:after="120"/>
        <w:ind w:left="539" w:hanging="539"/>
        <w:jc w:val="left"/>
        <w:rPr>
          <w:rFonts w:ascii="Arial" w:hAnsi="Arial" w:cs="Arial"/>
          <w:b/>
          <w:bCs/>
        </w:rPr>
      </w:pPr>
      <w:r w:rsidRPr="00912EF5">
        <w:rPr>
          <w:rFonts w:ascii="Arial" w:hAnsi="Arial" w:cs="Arial"/>
          <w:b/>
          <w:bCs/>
        </w:rPr>
        <w:t>S</w:t>
      </w:r>
      <w:r w:rsidR="00BE6B7B" w:rsidRPr="00912EF5">
        <w:rPr>
          <w:rFonts w:ascii="Arial" w:hAnsi="Arial" w:cs="Arial"/>
          <w:b/>
          <w:bCs/>
        </w:rPr>
        <w:t>ervice</w:t>
      </w:r>
      <w:r w:rsidRPr="00912EF5">
        <w:rPr>
          <w:rFonts w:ascii="Arial" w:hAnsi="Arial" w:cs="Arial"/>
          <w:b/>
          <w:bCs/>
        </w:rPr>
        <w:t xml:space="preserve"> O</w:t>
      </w:r>
      <w:r w:rsidR="00BE6B7B" w:rsidRPr="00912EF5">
        <w:rPr>
          <w:rFonts w:ascii="Arial" w:hAnsi="Arial" w:cs="Arial"/>
          <w:b/>
          <w:bCs/>
        </w:rPr>
        <w:t>bjectives</w:t>
      </w:r>
    </w:p>
    <w:p w:rsidR="006F546C" w:rsidRPr="004E567E" w:rsidRDefault="008D1854" w:rsidP="004E567E">
      <w:pPr>
        <w:rPr>
          <w:rFonts w:ascii="Arial" w:hAnsi="Arial" w:cs="Arial"/>
          <w:b/>
        </w:rPr>
      </w:pPr>
      <w:r w:rsidRPr="004E567E">
        <w:rPr>
          <w:rFonts w:ascii="Arial" w:hAnsi="Arial" w:cs="Arial"/>
          <w:b/>
        </w:rPr>
        <w:t>3</w:t>
      </w:r>
      <w:r w:rsidR="006F546C" w:rsidRPr="004E567E">
        <w:rPr>
          <w:rFonts w:ascii="Arial" w:hAnsi="Arial" w:cs="Arial"/>
          <w:b/>
        </w:rPr>
        <w:t>.1</w:t>
      </w:r>
      <w:r w:rsidR="006F546C" w:rsidRPr="004E567E">
        <w:rPr>
          <w:rFonts w:ascii="Arial" w:hAnsi="Arial" w:cs="Arial"/>
          <w:b/>
        </w:rPr>
        <w:tab/>
        <w:t>General</w:t>
      </w:r>
    </w:p>
    <w:p w:rsidR="00CB7C56" w:rsidRDefault="00840785" w:rsidP="004E567E">
      <w:pPr>
        <w:pStyle w:val="BodyText"/>
        <w:spacing w:before="120" w:after="120"/>
        <w:jc w:val="left"/>
        <w:rPr>
          <w:rFonts w:ascii="Arial" w:hAnsi="Arial" w:cs="Arial"/>
          <w:szCs w:val="24"/>
        </w:rPr>
      </w:pPr>
      <w:r>
        <w:rPr>
          <w:rFonts w:ascii="Arial" w:hAnsi="Arial" w:cs="Arial"/>
          <w:szCs w:val="24"/>
        </w:rPr>
        <w:t>The key objective</w:t>
      </w:r>
      <w:r w:rsidR="00CB7C56">
        <w:rPr>
          <w:rFonts w:ascii="Arial" w:hAnsi="Arial" w:cs="Arial"/>
          <w:szCs w:val="24"/>
        </w:rPr>
        <w:t>s</w:t>
      </w:r>
      <w:r>
        <w:rPr>
          <w:rFonts w:ascii="Arial" w:hAnsi="Arial" w:cs="Arial"/>
          <w:szCs w:val="24"/>
        </w:rPr>
        <w:t xml:space="preserve"> of the Service</w:t>
      </w:r>
      <w:r w:rsidR="006F546C" w:rsidRPr="00912EF5">
        <w:rPr>
          <w:rFonts w:ascii="Arial" w:hAnsi="Arial" w:cs="Arial"/>
          <w:szCs w:val="24"/>
        </w:rPr>
        <w:t xml:space="preserve"> </w:t>
      </w:r>
      <w:r w:rsidR="00CB7C56">
        <w:rPr>
          <w:rFonts w:ascii="Arial" w:hAnsi="Arial" w:cs="Arial"/>
          <w:szCs w:val="24"/>
        </w:rPr>
        <w:t>are:</w:t>
      </w:r>
    </w:p>
    <w:p w:rsidR="00840785" w:rsidRDefault="006F546C" w:rsidP="00210D36">
      <w:pPr>
        <w:pStyle w:val="BodyText"/>
        <w:numPr>
          <w:ilvl w:val="0"/>
          <w:numId w:val="10"/>
        </w:numPr>
        <w:spacing w:before="120" w:after="120"/>
        <w:ind w:left="567" w:hanging="567"/>
        <w:jc w:val="left"/>
        <w:rPr>
          <w:rFonts w:ascii="Arial" w:hAnsi="Arial" w:cs="Arial"/>
          <w:szCs w:val="24"/>
        </w:rPr>
      </w:pPr>
      <w:r w:rsidRPr="00912EF5">
        <w:rPr>
          <w:rFonts w:ascii="Arial" w:hAnsi="Arial" w:cs="Arial"/>
          <w:szCs w:val="24"/>
        </w:rPr>
        <w:t xml:space="preserve">to improve the chances of </w:t>
      </w:r>
      <w:r w:rsidR="00CB7C56">
        <w:rPr>
          <w:rFonts w:ascii="Arial" w:hAnsi="Arial" w:cs="Arial"/>
          <w:szCs w:val="24"/>
        </w:rPr>
        <w:t xml:space="preserve">a </w:t>
      </w:r>
      <w:r w:rsidR="00CB7C56" w:rsidRPr="00CB7C56">
        <w:rPr>
          <w:rFonts w:ascii="Arial" w:hAnsi="Arial" w:cs="Arial"/>
          <w:szCs w:val="24"/>
        </w:rPr>
        <w:t>Service User</w:t>
      </w:r>
      <w:r w:rsidR="00CB7C56">
        <w:rPr>
          <w:rFonts w:ascii="Arial" w:hAnsi="Arial" w:cs="Arial"/>
          <w:szCs w:val="24"/>
        </w:rPr>
        <w:t>’</w:t>
      </w:r>
      <w:r w:rsidR="00CB7C56" w:rsidRPr="00CB7C56">
        <w:rPr>
          <w:rFonts w:ascii="Arial" w:hAnsi="Arial" w:cs="Arial"/>
          <w:szCs w:val="24"/>
        </w:rPr>
        <w:t>s</w:t>
      </w:r>
      <w:r w:rsidR="00B32CA3" w:rsidRPr="00B32CA3">
        <w:rPr>
          <w:rFonts w:ascii="Arial" w:hAnsi="Arial" w:cs="Arial"/>
          <w:szCs w:val="24"/>
        </w:rPr>
        <w:t xml:space="preserve"> </w:t>
      </w:r>
      <w:r w:rsidRPr="00912EF5">
        <w:rPr>
          <w:rFonts w:ascii="Arial" w:hAnsi="Arial" w:cs="Arial"/>
          <w:szCs w:val="24"/>
        </w:rPr>
        <w:t>survival and quality of life</w:t>
      </w:r>
    </w:p>
    <w:p w:rsidR="00B32CA3" w:rsidRDefault="00B32CA3" w:rsidP="00210D36">
      <w:pPr>
        <w:pStyle w:val="BodyText"/>
        <w:numPr>
          <w:ilvl w:val="0"/>
          <w:numId w:val="10"/>
        </w:numPr>
        <w:ind w:left="567" w:hanging="567"/>
        <w:jc w:val="left"/>
        <w:rPr>
          <w:rFonts w:ascii="Arial" w:hAnsi="Arial" w:cs="Arial"/>
          <w:szCs w:val="24"/>
        </w:rPr>
      </w:pPr>
      <w:r>
        <w:rPr>
          <w:rFonts w:ascii="Arial" w:hAnsi="Arial" w:cs="Arial"/>
          <w:szCs w:val="24"/>
        </w:rPr>
        <w:t>to achieve</w:t>
      </w:r>
      <w:r w:rsidR="006F546C" w:rsidRPr="00B32CA3">
        <w:rPr>
          <w:rFonts w:ascii="Arial" w:hAnsi="Arial" w:cs="Arial"/>
          <w:szCs w:val="24"/>
        </w:rPr>
        <w:t xml:space="preserve"> successful co-ordination and integration of medical/nursing/allied health personnel working </w:t>
      </w:r>
      <w:r>
        <w:rPr>
          <w:rFonts w:ascii="Arial" w:hAnsi="Arial" w:cs="Arial"/>
          <w:szCs w:val="24"/>
        </w:rPr>
        <w:t>within</w:t>
      </w:r>
      <w:r w:rsidR="006F546C" w:rsidRPr="00B32CA3">
        <w:rPr>
          <w:rFonts w:ascii="Arial" w:hAnsi="Arial" w:cs="Arial"/>
          <w:szCs w:val="24"/>
        </w:rPr>
        <w:t xml:space="preserve"> multidisciplinary teams</w:t>
      </w:r>
      <w:r w:rsidR="00A10664">
        <w:rPr>
          <w:rFonts w:ascii="Arial" w:hAnsi="Arial" w:cs="Arial"/>
          <w:szCs w:val="24"/>
        </w:rPr>
        <w:t xml:space="preserve"> </w:t>
      </w:r>
      <w:r w:rsidR="00A10664" w:rsidRPr="00A10664">
        <w:rPr>
          <w:rFonts w:ascii="Arial" w:hAnsi="Arial" w:cs="Arial"/>
          <w:szCs w:val="24"/>
        </w:rPr>
        <w:t>work</w:t>
      </w:r>
      <w:r w:rsidR="00A10664">
        <w:rPr>
          <w:rFonts w:ascii="Arial" w:hAnsi="Arial" w:cs="Arial"/>
          <w:szCs w:val="24"/>
        </w:rPr>
        <w:t>ing</w:t>
      </w:r>
      <w:r w:rsidR="00A10664" w:rsidRPr="00A10664">
        <w:rPr>
          <w:rFonts w:ascii="Arial" w:hAnsi="Arial" w:cs="Arial"/>
          <w:szCs w:val="24"/>
        </w:rPr>
        <w:t xml:space="preserve"> in a highly integrated manner</w:t>
      </w:r>
    </w:p>
    <w:p w:rsidR="00F33687" w:rsidRPr="00B32CA3" w:rsidRDefault="00F33687" w:rsidP="00F33687">
      <w:pPr>
        <w:pStyle w:val="BodyText"/>
        <w:numPr>
          <w:ilvl w:val="0"/>
          <w:numId w:val="10"/>
        </w:numPr>
        <w:ind w:left="567" w:hanging="567"/>
        <w:jc w:val="left"/>
        <w:rPr>
          <w:rFonts w:ascii="Arial" w:hAnsi="Arial" w:cs="Arial"/>
          <w:szCs w:val="24"/>
        </w:rPr>
      </w:pPr>
      <w:r w:rsidRPr="00F33687">
        <w:rPr>
          <w:rFonts w:ascii="Arial" w:hAnsi="Arial" w:cs="Arial"/>
          <w:szCs w:val="24"/>
        </w:rPr>
        <w:t xml:space="preserve">to comprehensively prepare Service Users for transplantation including diabetes control, coronary artery revascularisation and/or carotid artery </w:t>
      </w:r>
      <w:proofErr w:type="spellStart"/>
      <w:r w:rsidRPr="00F33687">
        <w:rPr>
          <w:rFonts w:ascii="Arial" w:hAnsi="Arial" w:cs="Arial"/>
          <w:szCs w:val="24"/>
        </w:rPr>
        <w:t>disobliteration</w:t>
      </w:r>
      <w:proofErr w:type="spellEnd"/>
      <w:r w:rsidRPr="00F33687">
        <w:rPr>
          <w:rFonts w:ascii="Arial" w:hAnsi="Arial" w:cs="Arial"/>
          <w:szCs w:val="24"/>
        </w:rPr>
        <w:t>.</w:t>
      </w:r>
    </w:p>
    <w:p w:rsidR="006F546C" w:rsidRPr="00B32CA3" w:rsidRDefault="00B32CA3" w:rsidP="00B32CA3">
      <w:pPr>
        <w:pStyle w:val="BodyText"/>
        <w:spacing w:before="120"/>
        <w:rPr>
          <w:rFonts w:ascii="Arial" w:hAnsi="Arial" w:cs="Arial"/>
          <w:b/>
          <w:bCs/>
          <w:iCs/>
        </w:rPr>
      </w:pPr>
      <w:r w:rsidRPr="00B32CA3">
        <w:rPr>
          <w:rFonts w:ascii="Arial" w:hAnsi="Arial" w:cs="Arial"/>
          <w:b/>
          <w:szCs w:val="24"/>
        </w:rPr>
        <w:t>3.2</w:t>
      </w:r>
      <w:r w:rsidRPr="00B32CA3">
        <w:rPr>
          <w:rFonts w:ascii="Arial" w:hAnsi="Arial" w:cs="Arial"/>
          <w:b/>
          <w:szCs w:val="24"/>
        </w:rPr>
        <w:tab/>
      </w:r>
      <w:r w:rsidR="006F546C" w:rsidRPr="00B32CA3">
        <w:rPr>
          <w:rFonts w:ascii="Arial" w:hAnsi="Arial" w:cs="Arial"/>
          <w:b/>
          <w:bCs/>
          <w:iCs/>
        </w:rPr>
        <w:t>M</w:t>
      </w:r>
      <w:r w:rsidR="00912EF5" w:rsidRPr="00B32CA3">
        <w:rPr>
          <w:rFonts w:ascii="Arial" w:hAnsi="Arial" w:cs="Arial" w:hint="eastAsia"/>
          <w:b/>
          <w:bCs/>
          <w:iCs/>
        </w:rPr>
        <w:t>ā</w:t>
      </w:r>
      <w:r w:rsidR="006F546C" w:rsidRPr="00B32CA3">
        <w:rPr>
          <w:rFonts w:ascii="Arial" w:hAnsi="Arial" w:cs="Arial"/>
          <w:b/>
          <w:bCs/>
          <w:iCs/>
        </w:rPr>
        <w:t>ori Health</w:t>
      </w:r>
    </w:p>
    <w:p w:rsidR="006F546C" w:rsidRPr="00912EF5" w:rsidRDefault="003C567A" w:rsidP="004E567E">
      <w:pPr>
        <w:pStyle w:val="BodyTextIndent2"/>
        <w:tabs>
          <w:tab w:val="left" w:pos="4111"/>
        </w:tabs>
        <w:spacing w:before="120"/>
        <w:ind w:left="0"/>
        <w:jc w:val="left"/>
        <w:rPr>
          <w:sz w:val="24"/>
        </w:rPr>
      </w:pPr>
      <w:r w:rsidRPr="00511C3E">
        <w:rPr>
          <w:color w:val="000000"/>
          <w:sz w:val="24"/>
          <w:lang w:val="en-US"/>
        </w:rPr>
        <w:t>Refer to tier one Specialist Medical and Surgical Service specification</w:t>
      </w:r>
      <w:r w:rsidR="00475731">
        <w:rPr>
          <w:color w:val="000000"/>
          <w:sz w:val="24"/>
          <w:lang w:val="en-US"/>
        </w:rPr>
        <w:t>.</w:t>
      </w:r>
    </w:p>
    <w:p w:rsidR="00E74500" w:rsidRDefault="00F33687" w:rsidP="00C30E29">
      <w:pPr>
        <w:spacing w:before="120"/>
        <w:jc w:val="left"/>
        <w:rPr>
          <w:rFonts w:ascii="Arial" w:hAnsi="Arial" w:cs="Arial"/>
          <w:b/>
        </w:rPr>
      </w:pPr>
      <w:r>
        <w:rPr>
          <w:rFonts w:ascii="Arial" w:hAnsi="Arial" w:cs="Arial"/>
        </w:rPr>
        <w:t>The Service</w:t>
      </w:r>
      <w:r w:rsidR="006F546C" w:rsidRPr="00912EF5">
        <w:rPr>
          <w:rFonts w:ascii="Arial" w:hAnsi="Arial" w:cs="Arial"/>
        </w:rPr>
        <w:t xml:space="preserve"> must recognise the cultural values and beliefs that influence the effectiveness for services for </w:t>
      </w:r>
      <w:r w:rsidR="00BE6B7B" w:rsidRPr="00912EF5">
        <w:rPr>
          <w:rFonts w:ascii="Arial" w:hAnsi="Arial" w:cs="Arial"/>
          <w:color w:val="000000"/>
          <w:lang w:val="en-US"/>
        </w:rPr>
        <w:t>M</w:t>
      </w:r>
      <w:r w:rsidR="00912EF5">
        <w:rPr>
          <w:rFonts w:ascii="Arial" w:hAnsi="Arial" w:cs="Arial"/>
          <w:color w:val="000000"/>
          <w:lang w:val="en-US"/>
        </w:rPr>
        <w:t>ā</w:t>
      </w:r>
      <w:r w:rsidR="00BE6B7B" w:rsidRPr="00912EF5">
        <w:rPr>
          <w:rFonts w:ascii="Arial" w:hAnsi="Arial" w:cs="Arial"/>
          <w:color w:val="000000"/>
          <w:lang w:val="en-US"/>
        </w:rPr>
        <w:t>ori</w:t>
      </w:r>
      <w:r w:rsidR="006F546C" w:rsidRPr="00912EF5">
        <w:rPr>
          <w:rFonts w:ascii="Arial" w:hAnsi="Arial" w:cs="Arial"/>
        </w:rPr>
        <w:t xml:space="preserve"> people and must consult and include M</w:t>
      </w:r>
      <w:r w:rsidR="00840785">
        <w:rPr>
          <w:rFonts w:ascii="Arial" w:hAnsi="Arial" w:cs="Arial"/>
        </w:rPr>
        <w:t>ā</w:t>
      </w:r>
      <w:r w:rsidR="006F546C" w:rsidRPr="00912EF5">
        <w:rPr>
          <w:rFonts w:ascii="Arial" w:hAnsi="Arial" w:cs="Arial"/>
        </w:rPr>
        <w:t>ori in service design and delivery</w:t>
      </w:r>
      <w:r>
        <w:rPr>
          <w:rFonts w:ascii="Arial" w:hAnsi="Arial" w:cs="Arial"/>
        </w:rPr>
        <w:t>.</w:t>
      </w:r>
    </w:p>
    <w:p w:rsidR="006F546C" w:rsidRPr="00912EF5" w:rsidRDefault="008D1854" w:rsidP="00A10664">
      <w:pPr>
        <w:tabs>
          <w:tab w:val="left" w:pos="540"/>
        </w:tabs>
        <w:spacing w:before="240" w:after="120"/>
        <w:jc w:val="left"/>
        <w:rPr>
          <w:rFonts w:ascii="Arial" w:hAnsi="Arial" w:cs="Arial"/>
        </w:rPr>
      </w:pPr>
      <w:r>
        <w:rPr>
          <w:rFonts w:ascii="Arial" w:hAnsi="Arial" w:cs="Arial"/>
          <w:b/>
        </w:rPr>
        <w:t>4</w:t>
      </w:r>
      <w:r w:rsidR="006F546C" w:rsidRPr="00912EF5">
        <w:rPr>
          <w:rFonts w:ascii="Arial" w:hAnsi="Arial" w:cs="Arial"/>
          <w:b/>
        </w:rPr>
        <w:t>.</w:t>
      </w:r>
      <w:r w:rsidR="006F546C" w:rsidRPr="00912EF5">
        <w:rPr>
          <w:rFonts w:ascii="Arial" w:hAnsi="Arial" w:cs="Arial"/>
          <w:b/>
        </w:rPr>
        <w:tab/>
        <w:t>S</w:t>
      </w:r>
      <w:r w:rsidR="00BE6B7B" w:rsidRPr="00912EF5">
        <w:rPr>
          <w:rFonts w:ascii="Arial" w:hAnsi="Arial" w:cs="Arial"/>
          <w:b/>
        </w:rPr>
        <w:t>ervice</w:t>
      </w:r>
      <w:r w:rsidR="006F546C" w:rsidRPr="00912EF5">
        <w:rPr>
          <w:rFonts w:ascii="Arial" w:hAnsi="Arial" w:cs="Arial"/>
          <w:b/>
        </w:rPr>
        <w:t xml:space="preserve"> U</w:t>
      </w:r>
      <w:r w:rsidR="00BE6B7B" w:rsidRPr="00912EF5">
        <w:rPr>
          <w:rFonts w:ascii="Arial" w:hAnsi="Arial" w:cs="Arial"/>
          <w:b/>
        </w:rPr>
        <w:t>sers</w:t>
      </w:r>
    </w:p>
    <w:p w:rsidR="006F546C" w:rsidRPr="00912EF5" w:rsidRDefault="00B32CA3" w:rsidP="006F546C">
      <w:pPr>
        <w:pStyle w:val="BodyText"/>
        <w:jc w:val="left"/>
        <w:rPr>
          <w:rFonts w:ascii="Arial" w:hAnsi="Arial" w:cs="Arial"/>
          <w:szCs w:val="24"/>
        </w:rPr>
      </w:pPr>
      <w:r>
        <w:rPr>
          <w:rFonts w:ascii="Arial" w:hAnsi="Arial" w:cs="Arial"/>
          <w:szCs w:val="24"/>
        </w:rPr>
        <w:t>Service Users are e</w:t>
      </w:r>
      <w:r w:rsidR="006F546C" w:rsidRPr="00912EF5">
        <w:rPr>
          <w:rFonts w:ascii="Arial" w:hAnsi="Arial" w:cs="Arial"/>
          <w:szCs w:val="24"/>
        </w:rPr>
        <w:t xml:space="preserve">ligible </w:t>
      </w:r>
      <w:r>
        <w:rPr>
          <w:rFonts w:ascii="Arial" w:hAnsi="Arial" w:cs="Arial"/>
          <w:szCs w:val="24"/>
        </w:rPr>
        <w:t xml:space="preserve">people </w:t>
      </w:r>
      <w:r w:rsidR="006F546C" w:rsidRPr="00912EF5">
        <w:rPr>
          <w:rFonts w:ascii="Arial" w:hAnsi="Arial" w:cs="Arial"/>
          <w:szCs w:val="24"/>
        </w:rPr>
        <w:t>according to the</w:t>
      </w:r>
      <w:r w:rsidR="00840785">
        <w:rPr>
          <w:rFonts w:ascii="Arial" w:hAnsi="Arial" w:cs="Arial"/>
          <w:szCs w:val="24"/>
        </w:rPr>
        <w:t xml:space="preserve"> Service’s </w:t>
      </w:r>
      <w:r w:rsidR="000E4BB1">
        <w:rPr>
          <w:rFonts w:ascii="Arial" w:hAnsi="Arial" w:cs="Arial"/>
          <w:szCs w:val="24"/>
        </w:rPr>
        <w:t>entry</w:t>
      </w:r>
      <w:r w:rsidR="006F546C" w:rsidRPr="00912EF5">
        <w:rPr>
          <w:rFonts w:ascii="Arial" w:hAnsi="Arial" w:cs="Arial"/>
          <w:szCs w:val="24"/>
        </w:rPr>
        <w:t xml:space="preserve"> criteria</w:t>
      </w:r>
      <w:r w:rsidR="000E4BB1">
        <w:rPr>
          <w:rFonts w:ascii="Arial" w:hAnsi="Arial" w:cs="Arial"/>
          <w:szCs w:val="24"/>
        </w:rPr>
        <w:t xml:space="preserve"> see 5.1 below</w:t>
      </w:r>
      <w:r>
        <w:rPr>
          <w:rFonts w:ascii="Arial" w:hAnsi="Arial" w:cs="Arial"/>
          <w:szCs w:val="24"/>
        </w:rPr>
        <w:t>.</w:t>
      </w:r>
    </w:p>
    <w:p w:rsidR="006F546C" w:rsidRPr="00912EF5" w:rsidRDefault="008D1854" w:rsidP="00DC5A12">
      <w:pPr>
        <w:tabs>
          <w:tab w:val="left" w:pos="540"/>
        </w:tabs>
        <w:spacing w:before="240" w:after="120"/>
        <w:jc w:val="left"/>
        <w:rPr>
          <w:rFonts w:ascii="Arial" w:hAnsi="Arial" w:cs="Arial"/>
          <w:b/>
        </w:rPr>
      </w:pPr>
      <w:r>
        <w:rPr>
          <w:rFonts w:ascii="Arial" w:hAnsi="Arial" w:cs="Arial"/>
          <w:b/>
        </w:rPr>
        <w:t>5</w:t>
      </w:r>
      <w:r w:rsidR="006F546C" w:rsidRPr="00912EF5">
        <w:rPr>
          <w:rFonts w:ascii="Arial" w:hAnsi="Arial" w:cs="Arial"/>
          <w:b/>
        </w:rPr>
        <w:t>.</w:t>
      </w:r>
      <w:r w:rsidR="006F546C" w:rsidRPr="00912EF5">
        <w:rPr>
          <w:rFonts w:ascii="Arial" w:hAnsi="Arial" w:cs="Arial"/>
          <w:b/>
        </w:rPr>
        <w:tab/>
        <w:t>A</w:t>
      </w:r>
      <w:r w:rsidR="00BE6B7B" w:rsidRPr="00912EF5">
        <w:rPr>
          <w:rFonts w:ascii="Arial" w:hAnsi="Arial" w:cs="Arial"/>
          <w:b/>
        </w:rPr>
        <w:t>ccess</w:t>
      </w:r>
    </w:p>
    <w:p w:rsidR="00965C82" w:rsidRDefault="008D1854" w:rsidP="00BE6B7B">
      <w:pPr>
        <w:pStyle w:val="BodyText3"/>
        <w:numPr>
          <w:ilvl w:val="0"/>
          <w:numId w:val="0"/>
        </w:numPr>
        <w:spacing w:before="120" w:after="60"/>
        <w:jc w:val="left"/>
        <w:rPr>
          <w:rFonts w:ascii="Arial" w:hAnsi="Arial" w:cs="Arial"/>
          <w:b/>
          <w:szCs w:val="24"/>
          <w:lang w:val="en-US"/>
        </w:rPr>
      </w:pPr>
      <w:r>
        <w:rPr>
          <w:rFonts w:ascii="Arial" w:hAnsi="Arial" w:cs="Arial"/>
          <w:b/>
          <w:szCs w:val="24"/>
          <w:lang w:val="en-US"/>
        </w:rPr>
        <w:t>5</w:t>
      </w:r>
      <w:r w:rsidR="00A90341" w:rsidRPr="004E567E">
        <w:rPr>
          <w:rFonts w:ascii="Arial" w:hAnsi="Arial" w:cs="Arial"/>
          <w:b/>
          <w:szCs w:val="24"/>
          <w:lang w:val="en-US"/>
        </w:rPr>
        <w:t>.1</w:t>
      </w:r>
      <w:r w:rsidR="00965C82">
        <w:rPr>
          <w:rFonts w:ascii="Arial" w:hAnsi="Arial" w:cs="Arial"/>
          <w:b/>
          <w:szCs w:val="24"/>
          <w:lang w:val="en-US"/>
        </w:rPr>
        <w:t>.</w:t>
      </w:r>
      <w:r w:rsidR="00A90341" w:rsidRPr="004E567E">
        <w:rPr>
          <w:rFonts w:ascii="Arial" w:hAnsi="Arial" w:cs="Arial"/>
          <w:b/>
          <w:szCs w:val="24"/>
          <w:lang w:val="en-US"/>
        </w:rPr>
        <w:tab/>
      </w:r>
      <w:r w:rsidR="000E4BB1" w:rsidRPr="000E4BB1">
        <w:rPr>
          <w:rFonts w:ascii="Arial" w:hAnsi="Arial" w:cs="Arial"/>
          <w:b/>
          <w:szCs w:val="24"/>
          <w:lang w:val="en-US"/>
        </w:rPr>
        <w:t>Entry Criteria</w:t>
      </w:r>
    </w:p>
    <w:p w:rsidR="000E4BB1" w:rsidRPr="00425607" w:rsidRDefault="00840785" w:rsidP="000E4BB1">
      <w:pPr>
        <w:spacing w:before="120"/>
        <w:jc w:val="left"/>
        <w:rPr>
          <w:rFonts w:ascii="Arial" w:hAnsi="Arial" w:cs="Arial"/>
        </w:rPr>
      </w:pPr>
      <w:r w:rsidRPr="00840785">
        <w:rPr>
          <w:rFonts w:ascii="Arial" w:hAnsi="Arial" w:cs="Arial"/>
          <w:lang w:val="en-US"/>
        </w:rPr>
        <w:t xml:space="preserve">Each solid organ transplant programme has defined selection criteria </w:t>
      </w:r>
      <w:r w:rsidR="00C30E29">
        <w:rPr>
          <w:rFonts w:ascii="Arial" w:hAnsi="Arial" w:cs="Arial"/>
          <w:lang w:val="en-US"/>
        </w:rPr>
        <w:t xml:space="preserve">that must be used </w:t>
      </w:r>
      <w:r w:rsidRPr="00840785">
        <w:rPr>
          <w:rFonts w:ascii="Arial" w:hAnsi="Arial" w:cs="Arial"/>
          <w:lang w:val="en-US"/>
        </w:rPr>
        <w:t>for patients referred for consideration of transplantation</w:t>
      </w:r>
      <w:r w:rsidR="00C30E29">
        <w:rPr>
          <w:rFonts w:ascii="Arial" w:hAnsi="Arial" w:cs="Arial"/>
          <w:lang w:val="en-US"/>
        </w:rPr>
        <w:t xml:space="preserve"> </w:t>
      </w:r>
      <w:r w:rsidR="00C30E29" w:rsidRPr="00C30E29">
        <w:rPr>
          <w:rFonts w:ascii="Arial" w:hAnsi="Arial" w:cs="Arial"/>
          <w:lang w:val="en-US"/>
        </w:rPr>
        <w:t xml:space="preserve">that determine which of the Service Users will be assigned a particular organ when it becomes available. </w:t>
      </w:r>
      <w:r w:rsidR="009935BF" w:rsidRPr="00425607">
        <w:rPr>
          <w:rFonts w:ascii="Arial" w:hAnsi="Arial" w:cs="Arial"/>
        </w:rPr>
        <w:t xml:space="preserve">The </w:t>
      </w:r>
      <w:r w:rsidR="001822EA" w:rsidRPr="00425607">
        <w:rPr>
          <w:rFonts w:ascii="Arial" w:hAnsi="Arial" w:cs="Arial"/>
        </w:rPr>
        <w:t xml:space="preserve">links to the </w:t>
      </w:r>
      <w:r w:rsidR="009935BF" w:rsidRPr="00425607">
        <w:rPr>
          <w:rFonts w:ascii="Arial" w:hAnsi="Arial" w:cs="Arial"/>
        </w:rPr>
        <w:t xml:space="preserve">eligibility criteria for all organ transplant recipients in Australia and NZ </w:t>
      </w:r>
      <w:r w:rsidR="001822EA" w:rsidRPr="00425607">
        <w:rPr>
          <w:rFonts w:ascii="Arial" w:hAnsi="Arial" w:cs="Arial"/>
        </w:rPr>
        <w:t>(</w:t>
      </w:r>
      <w:r w:rsidR="009935BF" w:rsidRPr="00425607">
        <w:rPr>
          <w:rFonts w:ascii="Arial" w:hAnsi="Arial" w:cs="Arial"/>
        </w:rPr>
        <w:t xml:space="preserve">published </w:t>
      </w:r>
      <w:r w:rsidR="001822EA" w:rsidRPr="00425607">
        <w:rPr>
          <w:rFonts w:ascii="Arial" w:hAnsi="Arial" w:cs="Arial"/>
        </w:rPr>
        <w:t>by the</w:t>
      </w:r>
      <w:r w:rsidR="009935BF" w:rsidRPr="00425607">
        <w:rPr>
          <w:rFonts w:ascii="Arial" w:hAnsi="Arial" w:cs="Arial"/>
        </w:rPr>
        <w:t xml:space="preserve"> Transplantation Society of Australia and NZ (TSANZ)</w:t>
      </w:r>
      <w:r w:rsidR="00ED605F">
        <w:rPr>
          <w:rFonts w:ascii="Arial" w:hAnsi="Arial" w:cs="Arial"/>
        </w:rPr>
        <w:t>)</w:t>
      </w:r>
      <w:r w:rsidR="009935BF" w:rsidRPr="00425607">
        <w:rPr>
          <w:rFonts w:ascii="Arial" w:hAnsi="Arial" w:cs="Arial"/>
        </w:rPr>
        <w:t xml:space="preserve"> </w:t>
      </w:r>
      <w:r w:rsidR="001822EA" w:rsidRPr="00425607">
        <w:rPr>
          <w:rFonts w:ascii="Arial" w:hAnsi="Arial" w:cs="Arial"/>
        </w:rPr>
        <w:t xml:space="preserve">and </w:t>
      </w:r>
      <w:r w:rsidR="00ED605F" w:rsidRPr="00ED605F">
        <w:rPr>
          <w:rFonts w:ascii="Arial" w:hAnsi="Arial" w:cs="Arial"/>
        </w:rPr>
        <w:t xml:space="preserve">The New Zealand Kidney Allocation Scheme </w:t>
      </w:r>
      <w:r w:rsidR="000E4BB1" w:rsidRPr="00425607">
        <w:rPr>
          <w:rFonts w:ascii="Arial" w:hAnsi="Arial" w:cs="Arial"/>
        </w:rPr>
        <w:t xml:space="preserve">are provided in Appendix One. </w:t>
      </w:r>
    </w:p>
    <w:p w:rsidR="00965C82" w:rsidRPr="00425607" w:rsidRDefault="000E4BB1" w:rsidP="000E4BB1">
      <w:pPr>
        <w:spacing w:before="120"/>
        <w:jc w:val="left"/>
        <w:rPr>
          <w:rFonts w:ascii="Arial" w:hAnsi="Arial" w:cs="Arial"/>
          <w:szCs w:val="20"/>
          <w:lang w:val="en-GB" w:eastAsia="en-NZ"/>
        </w:rPr>
      </w:pPr>
      <w:r w:rsidRPr="00425607">
        <w:rPr>
          <w:rFonts w:ascii="Arial" w:hAnsi="Arial" w:cs="Arial"/>
        </w:rPr>
        <w:t>Not all patients who are referred or present to the Service are eligible for publicly funded services.</w:t>
      </w:r>
    </w:p>
    <w:p w:rsidR="00357E38" w:rsidRDefault="00D33862" w:rsidP="00720538">
      <w:pPr>
        <w:pStyle w:val="BodyTextIndent"/>
        <w:tabs>
          <w:tab w:val="left" w:pos="720"/>
          <w:tab w:val="left" w:pos="1440"/>
          <w:tab w:val="left" w:pos="2160"/>
          <w:tab w:val="left" w:pos="4035"/>
        </w:tabs>
        <w:spacing w:before="120"/>
        <w:ind w:left="0"/>
        <w:jc w:val="left"/>
        <w:rPr>
          <w:rFonts w:ascii="Arial" w:hAnsi="Arial" w:cs="Arial"/>
          <w:b/>
          <w:bCs/>
          <w:szCs w:val="24"/>
        </w:rPr>
      </w:pPr>
      <w:r>
        <w:rPr>
          <w:rFonts w:ascii="Arial" w:hAnsi="Arial" w:cs="Arial"/>
          <w:b/>
          <w:szCs w:val="24"/>
        </w:rPr>
        <w:t>5.</w:t>
      </w:r>
      <w:r w:rsidR="000E4BB1">
        <w:rPr>
          <w:rFonts w:ascii="Arial" w:hAnsi="Arial" w:cs="Arial"/>
          <w:b/>
          <w:szCs w:val="24"/>
        </w:rPr>
        <w:t>2</w:t>
      </w:r>
      <w:r>
        <w:rPr>
          <w:rFonts w:ascii="Arial" w:hAnsi="Arial" w:cs="Arial"/>
          <w:b/>
          <w:szCs w:val="24"/>
        </w:rPr>
        <w:tab/>
      </w:r>
      <w:r w:rsidR="005C7D61" w:rsidRPr="00CA63C5">
        <w:rPr>
          <w:rFonts w:ascii="Arial" w:hAnsi="Arial" w:cs="Arial"/>
          <w:b/>
          <w:szCs w:val="24"/>
        </w:rPr>
        <w:t>Exit</w:t>
      </w:r>
      <w:r w:rsidR="00357E38">
        <w:rPr>
          <w:rFonts w:ascii="Arial" w:hAnsi="Arial" w:cs="Arial"/>
          <w:b/>
          <w:bCs/>
          <w:szCs w:val="24"/>
        </w:rPr>
        <w:t xml:space="preserve"> </w:t>
      </w:r>
      <w:r w:rsidR="004E567E">
        <w:rPr>
          <w:rFonts w:ascii="Arial" w:hAnsi="Arial" w:cs="Arial"/>
          <w:b/>
          <w:bCs/>
          <w:szCs w:val="24"/>
        </w:rPr>
        <w:t>C</w:t>
      </w:r>
      <w:r w:rsidR="00357E38">
        <w:rPr>
          <w:rFonts w:ascii="Arial" w:hAnsi="Arial" w:cs="Arial"/>
          <w:b/>
          <w:bCs/>
          <w:szCs w:val="24"/>
        </w:rPr>
        <w:t>riteria</w:t>
      </w:r>
    </w:p>
    <w:p w:rsidR="00410A73" w:rsidRDefault="00410A73" w:rsidP="00210D36">
      <w:pPr>
        <w:pStyle w:val="BodyTextIndent"/>
        <w:numPr>
          <w:ilvl w:val="0"/>
          <w:numId w:val="8"/>
        </w:numPr>
        <w:spacing w:before="120"/>
        <w:jc w:val="left"/>
        <w:rPr>
          <w:rFonts w:ascii="Arial" w:hAnsi="Arial" w:cs="Arial"/>
          <w:szCs w:val="24"/>
        </w:rPr>
      </w:pPr>
      <w:r>
        <w:rPr>
          <w:rFonts w:ascii="Arial" w:hAnsi="Arial" w:cs="Arial"/>
          <w:szCs w:val="24"/>
        </w:rPr>
        <w:t>D</w:t>
      </w:r>
      <w:r w:rsidR="006F546C" w:rsidRPr="00912EF5">
        <w:rPr>
          <w:rFonts w:ascii="Arial" w:hAnsi="Arial" w:cs="Arial"/>
          <w:szCs w:val="24"/>
        </w:rPr>
        <w:t>e-listing for</w:t>
      </w:r>
      <w:r>
        <w:rPr>
          <w:rFonts w:ascii="Arial" w:hAnsi="Arial" w:cs="Arial"/>
          <w:szCs w:val="24"/>
        </w:rPr>
        <w:t>:</w:t>
      </w:r>
    </w:p>
    <w:p w:rsidR="00410A73" w:rsidRDefault="006F546C" w:rsidP="00210D36">
      <w:pPr>
        <w:pStyle w:val="BodyTextIndent"/>
        <w:numPr>
          <w:ilvl w:val="0"/>
          <w:numId w:val="9"/>
        </w:numPr>
        <w:spacing w:before="120"/>
        <w:jc w:val="left"/>
        <w:rPr>
          <w:rFonts w:ascii="Arial" w:hAnsi="Arial" w:cs="Arial"/>
          <w:szCs w:val="24"/>
        </w:rPr>
      </w:pPr>
      <w:r w:rsidRPr="00912EF5">
        <w:rPr>
          <w:rFonts w:ascii="Arial" w:hAnsi="Arial" w:cs="Arial"/>
          <w:szCs w:val="24"/>
        </w:rPr>
        <w:t>disease progression/development of a contraindication to transplantation</w:t>
      </w:r>
    </w:p>
    <w:p w:rsidR="00860F3F" w:rsidRDefault="006F546C" w:rsidP="00D62B50">
      <w:pPr>
        <w:pStyle w:val="BodyTextIndent"/>
        <w:numPr>
          <w:ilvl w:val="0"/>
          <w:numId w:val="9"/>
        </w:numPr>
        <w:jc w:val="left"/>
        <w:rPr>
          <w:rFonts w:ascii="Arial" w:hAnsi="Arial" w:cs="Arial"/>
          <w:szCs w:val="24"/>
        </w:rPr>
      </w:pPr>
      <w:r w:rsidRPr="00912EF5">
        <w:rPr>
          <w:rFonts w:ascii="Arial" w:hAnsi="Arial" w:cs="Arial"/>
          <w:szCs w:val="24"/>
        </w:rPr>
        <w:t>disease regression</w:t>
      </w:r>
    </w:p>
    <w:p w:rsidR="00410A73" w:rsidRDefault="006F546C" w:rsidP="00D62B50">
      <w:pPr>
        <w:pStyle w:val="BodyTextIndent"/>
        <w:numPr>
          <w:ilvl w:val="0"/>
          <w:numId w:val="9"/>
        </w:numPr>
        <w:jc w:val="left"/>
        <w:rPr>
          <w:rFonts w:ascii="Arial" w:hAnsi="Arial" w:cs="Arial"/>
          <w:szCs w:val="24"/>
        </w:rPr>
      </w:pPr>
      <w:r w:rsidRPr="00912EF5">
        <w:rPr>
          <w:rFonts w:ascii="Arial" w:hAnsi="Arial" w:cs="Arial"/>
          <w:szCs w:val="24"/>
        </w:rPr>
        <w:t>transplantation</w:t>
      </w:r>
    </w:p>
    <w:p w:rsidR="00DF08F0" w:rsidRDefault="00DF08F0" w:rsidP="00D62B50">
      <w:pPr>
        <w:pStyle w:val="BodyTextIndent"/>
        <w:numPr>
          <w:ilvl w:val="0"/>
          <w:numId w:val="9"/>
        </w:numPr>
        <w:jc w:val="left"/>
        <w:rPr>
          <w:rFonts w:ascii="Arial" w:hAnsi="Arial" w:cs="Arial"/>
          <w:szCs w:val="24"/>
        </w:rPr>
      </w:pPr>
      <w:r w:rsidRPr="00DF08F0">
        <w:rPr>
          <w:rFonts w:ascii="Arial" w:hAnsi="Arial" w:cs="Arial"/>
          <w:szCs w:val="24"/>
        </w:rPr>
        <w:t>no longer meeting listing criteria including utilitarian concepts given limited donor organ availability</w:t>
      </w:r>
      <w:r w:rsidR="00ED605F">
        <w:rPr>
          <w:rFonts w:ascii="Arial" w:hAnsi="Arial" w:cs="Arial"/>
          <w:szCs w:val="24"/>
        </w:rPr>
        <w:t>.</w:t>
      </w:r>
    </w:p>
    <w:p w:rsidR="0072109C" w:rsidRDefault="00410A73" w:rsidP="00DF08F0">
      <w:pPr>
        <w:pStyle w:val="BodyTextIndent"/>
        <w:numPr>
          <w:ilvl w:val="0"/>
          <w:numId w:val="7"/>
        </w:numPr>
        <w:spacing w:before="120"/>
        <w:ind w:left="567" w:hanging="567"/>
        <w:jc w:val="left"/>
        <w:rPr>
          <w:rFonts w:ascii="Arial" w:hAnsi="Arial" w:cs="Arial"/>
          <w:szCs w:val="24"/>
        </w:rPr>
      </w:pPr>
      <w:r w:rsidRPr="009935BF">
        <w:rPr>
          <w:rFonts w:ascii="Arial" w:hAnsi="Arial" w:cs="Arial"/>
          <w:szCs w:val="24"/>
        </w:rPr>
        <w:t>C</w:t>
      </w:r>
      <w:r w:rsidR="006F546C" w:rsidRPr="009935BF">
        <w:rPr>
          <w:rFonts w:ascii="Arial" w:hAnsi="Arial" w:cs="Arial"/>
          <w:szCs w:val="24"/>
        </w:rPr>
        <w:t xml:space="preserve">ompletion </w:t>
      </w:r>
      <w:r w:rsidR="0078324E" w:rsidRPr="009935BF">
        <w:rPr>
          <w:rFonts w:ascii="Arial" w:hAnsi="Arial" w:cs="Arial"/>
          <w:szCs w:val="24"/>
        </w:rPr>
        <w:t xml:space="preserve">of the </w:t>
      </w:r>
      <w:r w:rsidR="006F546C" w:rsidRPr="009935BF">
        <w:rPr>
          <w:rFonts w:ascii="Arial" w:hAnsi="Arial" w:cs="Arial"/>
          <w:szCs w:val="24"/>
        </w:rPr>
        <w:t>follow up interval</w:t>
      </w:r>
      <w:r w:rsidR="0078324E" w:rsidRPr="009935BF">
        <w:rPr>
          <w:rFonts w:ascii="Arial" w:hAnsi="Arial" w:cs="Arial"/>
          <w:szCs w:val="24"/>
        </w:rPr>
        <w:t xml:space="preserve"> by the Service, or</w:t>
      </w:r>
      <w:r w:rsidR="009935BF" w:rsidRPr="009935BF">
        <w:rPr>
          <w:rFonts w:ascii="Arial" w:hAnsi="Arial" w:cs="Arial"/>
          <w:szCs w:val="24"/>
        </w:rPr>
        <w:t xml:space="preserve"> e</w:t>
      </w:r>
      <w:r w:rsidR="006F546C" w:rsidRPr="009935BF">
        <w:rPr>
          <w:rFonts w:ascii="Arial" w:hAnsi="Arial" w:cs="Arial"/>
          <w:szCs w:val="24"/>
        </w:rPr>
        <w:t>migration</w:t>
      </w:r>
      <w:r w:rsidR="0078324E" w:rsidRPr="009935BF">
        <w:rPr>
          <w:rFonts w:ascii="Arial" w:hAnsi="Arial" w:cs="Arial"/>
          <w:szCs w:val="24"/>
        </w:rPr>
        <w:t>, or</w:t>
      </w:r>
      <w:r w:rsidR="009935BF" w:rsidRPr="009935BF">
        <w:rPr>
          <w:rFonts w:ascii="Arial" w:hAnsi="Arial" w:cs="Arial"/>
          <w:szCs w:val="24"/>
        </w:rPr>
        <w:t xml:space="preserve"> d</w:t>
      </w:r>
      <w:r w:rsidR="00A10664" w:rsidRPr="00DF08F0">
        <w:rPr>
          <w:rFonts w:ascii="Arial" w:hAnsi="Arial" w:cs="Arial"/>
          <w:szCs w:val="24"/>
        </w:rPr>
        <w:t>eath</w:t>
      </w:r>
      <w:r w:rsidR="0078324E" w:rsidRPr="00DF08F0">
        <w:rPr>
          <w:rFonts w:ascii="Arial" w:hAnsi="Arial" w:cs="Arial"/>
          <w:szCs w:val="24"/>
        </w:rPr>
        <w:t>.</w:t>
      </w:r>
    </w:p>
    <w:p w:rsidR="006F546C" w:rsidRPr="00912EF5" w:rsidRDefault="008D1854" w:rsidP="006C0479">
      <w:pPr>
        <w:spacing w:before="120"/>
        <w:jc w:val="left"/>
        <w:rPr>
          <w:rFonts w:ascii="Arial" w:hAnsi="Arial" w:cs="Arial"/>
          <w:b/>
          <w:bCs/>
          <w:iCs/>
        </w:rPr>
      </w:pPr>
      <w:r>
        <w:rPr>
          <w:rFonts w:ascii="Arial" w:hAnsi="Arial" w:cs="Arial"/>
          <w:b/>
          <w:bCs/>
          <w:iCs/>
        </w:rPr>
        <w:t>5.</w:t>
      </w:r>
      <w:r w:rsidR="000E4BB1">
        <w:rPr>
          <w:rFonts w:ascii="Arial" w:hAnsi="Arial" w:cs="Arial"/>
          <w:b/>
          <w:bCs/>
          <w:iCs/>
        </w:rPr>
        <w:t>3</w:t>
      </w:r>
      <w:r w:rsidR="006F546C" w:rsidRPr="00912EF5">
        <w:rPr>
          <w:rFonts w:ascii="Arial" w:hAnsi="Arial" w:cs="Arial"/>
          <w:b/>
          <w:bCs/>
          <w:iCs/>
        </w:rPr>
        <w:tab/>
        <w:t>Distance</w:t>
      </w:r>
    </w:p>
    <w:p w:rsidR="00DF08F0" w:rsidRDefault="00425607" w:rsidP="004E567E">
      <w:pPr>
        <w:pStyle w:val="BodyTextIndent"/>
        <w:spacing w:before="120"/>
        <w:ind w:left="0"/>
        <w:jc w:val="left"/>
        <w:rPr>
          <w:rFonts w:ascii="Arial" w:hAnsi="Arial" w:cs="Arial"/>
          <w:szCs w:val="24"/>
        </w:rPr>
      </w:pPr>
      <w:r>
        <w:rPr>
          <w:rFonts w:ascii="Arial" w:hAnsi="Arial" w:cs="Arial"/>
          <w:szCs w:val="24"/>
        </w:rPr>
        <w:t xml:space="preserve">Ideally, </w:t>
      </w:r>
      <w:r w:rsidR="0078324E">
        <w:rPr>
          <w:rFonts w:ascii="Arial" w:hAnsi="Arial" w:cs="Arial"/>
          <w:szCs w:val="24"/>
        </w:rPr>
        <w:t>Service Users</w:t>
      </w:r>
      <w:r w:rsidR="0078324E" w:rsidRPr="00912EF5">
        <w:rPr>
          <w:rFonts w:ascii="Arial" w:hAnsi="Arial" w:cs="Arial"/>
          <w:szCs w:val="24"/>
        </w:rPr>
        <w:t xml:space="preserve"> </w:t>
      </w:r>
      <w:r w:rsidR="006F546C" w:rsidRPr="00912EF5">
        <w:rPr>
          <w:rFonts w:ascii="Arial" w:hAnsi="Arial" w:cs="Arial"/>
          <w:szCs w:val="24"/>
        </w:rPr>
        <w:t xml:space="preserve">awaiting transplantation </w:t>
      </w:r>
      <w:r>
        <w:rPr>
          <w:rFonts w:ascii="Arial" w:hAnsi="Arial" w:cs="Arial"/>
          <w:szCs w:val="24"/>
        </w:rPr>
        <w:t>should</w:t>
      </w:r>
      <w:r w:rsidR="006F546C" w:rsidRPr="00912EF5">
        <w:rPr>
          <w:rFonts w:ascii="Arial" w:hAnsi="Arial" w:cs="Arial"/>
          <w:szCs w:val="24"/>
        </w:rPr>
        <w:t xml:space="preserve"> be able to get to the transplant centre within 4-6 hours of being notified that an organ is available</w:t>
      </w:r>
      <w:r w:rsidR="00DF08F0">
        <w:rPr>
          <w:rFonts w:ascii="Arial" w:hAnsi="Arial" w:cs="Arial"/>
          <w:szCs w:val="24"/>
        </w:rPr>
        <w:t>.</w:t>
      </w:r>
    </w:p>
    <w:p w:rsidR="006F546C" w:rsidRPr="00912EF5" w:rsidRDefault="00CA63C5" w:rsidP="004E567E">
      <w:pPr>
        <w:pStyle w:val="BodyTextIndent"/>
        <w:spacing w:before="120"/>
        <w:ind w:left="0"/>
        <w:jc w:val="left"/>
        <w:rPr>
          <w:rFonts w:ascii="Arial" w:hAnsi="Arial" w:cs="Arial"/>
          <w:szCs w:val="24"/>
        </w:rPr>
      </w:pPr>
      <w:r>
        <w:rPr>
          <w:rFonts w:ascii="Arial" w:hAnsi="Arial" w:cs="Arial"/>
          <w:szCs w:val="24"/>
        </w:rPr>
        <w:t>I</w:t>
      </w:r>
      <w:r w:rsidR="006F546C" w:rsidRPr="00912EF5">
        <w:rPr>
          <w:rFonts w:ascii="Arial" w:hAnsi="Arial" w:cs="Arial"/>
          <w:szCs w:val="24"/>
        </w:rPr>
        <w:t>n the post-transplant period</w:t>
      </w:r>
      <w:r>
        <w:rPr>
          <w:rFonts w:ascii="Arial" w:hAnsi="Arial" w:cs="Arial"/>
          <w:szCs w:val="24"/>
        </w:rPr>
        <w:t>,</w:t>
      </w:r>
      <w:r w:rsidR="006F546C" w:rsidRPr="00912EF5">
        <w:rPr>
          <w:rFonts w:ascii="Arial" w:hAnsi="Arial" w:cs="Arial"/>
          <w:szCs w:val="24"/>
        </w:rPr>
        <w:t xml:space="preserve"> intensive follow up at the transplant centre means that </w:t>
      </w:r>
      <w:r w:rsidR="00210D36">
        <w:rPr>
          <w:rFonts w:ascii="Arial" w:hAnsi="Arial" w:cs="Arial"/>
          <w:szCs w:val="24"/>
        </w:rPr>
        <w:t xml:space="preserve">some Service Users </w:t>
      </w:r>
      <w:r w:rsidR="006F546C" w:rsidRPr="00912EF5">
        <w:rPr>
          <w:rFonts w:ascii="Arial" w:hAnsi="Arial" w:cs="Arial"/>
          <w:szCs w:val="24"/>
        </w:rPr>
        <w:t xml:space="preserve">are required to live within a one hour driving distance of that centre. </w:t>
      </w:r>
      <w:r w:rsidR="00A7092C" w:rsidRPr="00912EF5">
        <w:rPr>
          <w:rFonts w:ascii="Arial" w:hAnsi="Arial" w:cs="Arial"/>
          <w:szCs w:val="24"/>
        </w:rPr>
        <w:t xml:space="preserve"> </w:t>
      </w:r>
      <w:r w:rsidR="006F546C" w:rsidRPr="00912EF5">
        <w:rPr>
          <w:rFonts w:ascii="Arial" w:hAnsi="Arial" w:cs="Arial"/>
          <w:szCs w:val="24"/>
        </w:rPr>
        <w:t xml:space="preserve">Many </w:t>
      </w:r>
      <w:r w:rsidR="00210D36" w:rsidRPr="00210D36">
        <w:rPr>
          <w:rFonts w:ascii="Arial" w:hAnsi="Arial" w:cs="Arial"/>
          <w:szCs w:val="24"/>
        </w:rPr>
        <w:t>Service Users</w:t>
      </w:r>
      <w:r w:rsidR="006F546C" w:rsidRPr="00912EF5">
        <w:rPr>
          <w:rFonts w:ascii="Arial" w:hAnsi="Arial" w:cs="Arial"/>
          <w:szCs w:val="24"/>
        </w:rPr>
        <w:t xml:space="preserve"> need accommodation close to the transplant centre for up to 90 days post-transplant.</w:t>
      </w:r>
    </w:p>
    <w:p w:rsidR="006F546C" w:rsidRPr="00912EF5" w:rsidRDefault="008D1854" w:rsidP="00BE6B7B">
      <w:pPr>
        <w:tabs>
          <w:tab w:val="left" w:pos="540"/>
        </w:tabs>
        <w:spacing w:before="120" w:after="60"/>
        <w:jc w:val="left"/>
        <w:rPr>
          <w:rFonts w:ascii="Arial" w:hAnsi="Arial" w:cs="Arial"/>
          <w:iCs/>
          <w:u w:val="single"/>
        </w:rPr>
      </w:pPr>
      <w:r>
        <w:rPr>
          <w:rFonts w:ascii="Arial" w:hAnsi="Arial" w:cs="Arial"/>
          <w:b/>
          <w:bCs/>
          <w:iCs/>
        </w:rPr>
        <w:t>5</w:t>
      </w:r>
      <w:r w:rsidR="006F546C" w:rsidRPr="00912EF5">
        <w:rPr>
          <w:rFonts w:ascii="Arial" w:hAnsi="Arial" w:cs="Arial"/>
          <w:b/>
          <w:bCs/>
          <w:iCs/>
        </w:rPr>
        <w:t>.</w:t>
      </w:r>
      <w:r w:rsidR="000E4BB1">
        <w:rPr>
          <w:rFonts w:ascii="Arial" w:hAnsi="Arial" w:cs="Arial"/>
          <w:b/>
          <w:bCs/>
          <w:iCs/>
        </w:rPr>
        <w:t>4</w:t>
      </w:r>
      <w:r w:rsidR="006F546C" w:rsidRPr="00912EF5">
        <w:rPr>
          <w:rFonts w:ascii="Arial" w:hAnsi="Arial" w:cs="Arial"/>
          <w:b/>
          <w:bCs/>
          <w:iCs/>
        </w:rPr>
        <w:tab/>
        <w:t>Time</w:t>
      </w:r>
    </w:p>
    <w:p w:rsidR="003E742B" w:rsidRDefault="006F546C" w:rsidP="004E567E">
      <w:pPr>
        <w:pStyle w:val="BodyText"/>
        <w:spacing w:before="120"/>
        <w:jc w:val="left"/>
        <w:rPr>
          <w:rFonts w:ascii="Arial" w:hAnsi="Arial" w:cs="Arial"/>
          <w:szCs w:val="24"/>
        </w:rPr>
      </w:pPr>
      <w:r w:rsidRPr="00912EF5">
        <w:rPr>
          <w:rFonts w:ascii="Arial" w:hAnsi="Arial" w:cs="Arial"/>
          <w:szCs w:val="24"/>
        </w:rPr>
        <w:t xml:space="preserve">While many </w:t>
      </w:r>
      <w:r w:rsidR="0078324E" w:rsidRPr="0078324E">
        <w:rPr>
          <w:rFonts w:ascii="Arial" w:hAnsi="Arial" w:cs="Arial"/>
          <w:szCs w:val="24"/>
        </w:rPr>
        <w:t xml:space="preserve">Service Users </w:t>
      </w:r>
      <w:r w:rsidRPr="00912EF5">
        <w:rPr>
          <w:rFonts w:ascii="Arial" w:hAnsi="Arial" w:cs="Arial"/>
          <w:szCs w:val="24"/>
        </w:rPr>
        <w:t>require</w:t>
      </w:r>
      <w:r w:rsidR="00CA63C5">
        <w:rPr>
          <w:rFonts w:ascii="Arial" w:hAnsi="Arial" w:cs="Arial"/>
          <w:szCs w:val="24"/>
        </w:rPr>
        <w:t>,</w:t>
      </w:r>
      <w:r w:rsidRPr="00912EF5">
        <w:rPr>
          <w:rFonts w:ascii="Arial" w:hAnsi="Arial" w:cs="Arial"/>
          <w:szCs w:val="24"/>
        </w:rPr>
        <w:t xml:space="preserve"> or could benefit from urgent or semi-urgent transplantation, the rate-limiting step in transplant programmes is usually the availability of a suitable </w:t>
      </w:r>
      <w:r w:rsidR="00B45431" w:rsidRPr="00B45431">
        <w:rPr>
          <w:rFonts w:ascii="Arial" w:hAnsi="Arial" w:cs="Arial"/>
          <w:szCs w:val="24"/>
        </w:rPr>
        <w:t xml:space="preserve">deceased </w:t>
      </w:r>
      <w:r w:rsidR="003E742B">
        <w:rPr>
          <w:rFonts w:ascii="Arial" w:hAnsi="Arial" w:cs="Arial"/>
          <w:szCs w:val="24"/>
        </w:rPr>
        <w:t xml:space="preserve">or live </w:t>
      </w:r>
      <w:r w:rsidR="00B45431" w:rsidRPr="00B45431">
        <w:rPr>
          <w:rFonts w:ascii="Arial" w:hAnsi="Arial" w:cs="Arial"/>
          <w:szCs w:val="24"/>
        </w:rPr>
        <w:t xml:space="preserve">donor </w:t>
      </w:r>
      <w:r w:rsidRPr="00912EF5">
        <w:rPr>
          <w:rFonts w:ascii="Arial" w:hAnsi="Arial" w:cs="Arial"/>
          <w:szCs w:val="24"/>
        </w:rPr>
        <w:t xml:space="preserve">organ. </w:t>
      </w:r>
      <w:r w:rsidR="00A7092C" w:rsidRPr="00912EF5">
        <w:rPr>
          <w:rFonts w:ascii="Arial" w:hAnsi="Arial" w:cs="Arial"/>
          <w:szCs w:val="24"/>
        </w:rPr>
        <w:t xml:space="preserve"> </w:t>
      </w:r>
      <w:r w:rsidRPr="00912EF5">
        <w:rPr>
          <w:rFonts w:ascii="Arial" w:hAnsi="Arial" w:cs="Arial"/>
          <w:szCs w:val="24"/>
        </w:rPr>
        <w:t xml:space="preserve">There is </w:t>
      </w:r>
      <w:r w:rsidR="00B31AF7">
        <w:rPr>
          <w:rFonts w:ascii="Arial" w:hAnsi="Arial" w:cs="Arial"/>
          <w:szCs w:val="24"/>
        </w:rPr>
        <w:t xml:space="preserve">no </w:t>
      </w:r>
      <w:r w:rsidRPr="00912EF5">
        <w:rPr>
          <w:rFonts w:ascii="Arial" w:hAnsi="Arial" w:cs="Arial"/>
          <w:szCs w:val="24"/>
        </w:rPr>
        <w:t>stipulat</w:t>
      </w:r>
      <w:r w:rsidR="00B31AF7">
        <w:rPr>
          <w:rFonts w:ascii="Arial" w:hAnsi="Arial" w:cs="Arial"/>
          <w:szCs w:val="24"/>
        </w:rPr>
        <w:t>ed</w:t>
      </w:r>
      <w:r w:rsidRPr="00912EF5">
        <w:rPr>
          <w:rFonts w:ascii="Arial" w:hAnsi="Arial" w:cs="Arial"/>
          <w:szCs w:val="24"/>
        </w:rPr>
        <w:t xml:space="preserve"> maximum waiting time for any solid organ transplant procedure. </w:t>
      </w:r>
      <w:r w:rsidR="00A7092C" w:rsidRPr="00912EF5">
        <w:rPr>
          <w:rFonts w:ascii="Arial" w:hAnsi="Arial" w:cs="Arial"/>
          <w:szCs w:val="24"/>
        </w:rPr>
        <w:t xml:space="preserve"> </w:t>
      </w:r>
    </w:p>
    <w:p w:rsidR="00F46189" w:rsidRPr="00F46189" w:rsidRDefault="003B3BBC" w:rsidP="00F46189">
      <w:pPr>
        <w:pStyle w:val="BodyText"/>
        <w:spacing w:before="120"/>
        <w:jc w:val="left"/>
        <w:rPr>
          <w:rFonts w:ascii="Arial" w:hAnsi="Arial" w:cs="Arial"/>
          <w:b/>
          <w:szCs w:val="24"/>
        </w:rPr>
      </w:pPr>
      <w:r>
        <w:rPr>
          <w:rFonts w:ascii="Arial" w:hAnsi="Arial" w:cs="Arial"/>
          <w:b/>
          <w:szCs w:val="24"/>
        </w:rPr>
        <w:t>5</w:t>
      </w:r>
      <w:r w:rsidR="00F46189" w:rsidRPr="00F46189">
        <w:rPr>
          <w:rFonts w:ascii="Arial" w:hAnsi="Arial" w:cs="Arial"/>
          <w:b/>
          <w:szCs w:val="24"/>
        </w:rPr>
        <w:t>.</w:t>
      </w:r>
      <w:r w:rsidR="000E4BB1">
        <w:rPr>
          <w:rFonts w:ascii="Arial" w:hAnsi="Arial" w:cs="Arial"/>
          <w:b/>
          <w:szCs w:val="24"/>
        </w:rPr>
        <w:t>5</w:t>
      </w:r>
      <w:r w:rsidR="00F46189" w:rsidRPr="00F46189">
        <w:rPr>
          <w:rFonts w:ascii="Arial" w:hAnsi="Arial" w:cs="Arial"/>
          <w:b/>
          <w:szCs w:val="24"/>
        </w:rPr>
        <w:tab/>
        <w:t>Organs</w:t>
      </w:r>
    </w:p>
    <w:p w:rsidR="00F46189" w:rsidRDefault="00F46189" w:rsidP="00F46189">
      <w:pPr>
        <w:pStyle w:val="BodyText"/>
        <w:spacing w:before="120"/>
        <w:jc w:val="left"/>
        <w:rPr>
          <w:rFonts w:ascii="Arial" w:hAnsi="Arial" w:cs="Arial"/>
          <w:szCs w:val="24"/>
        </w:rPr>
      </w:pPr>
      <w:r w:rsidRPr="00F46189">
        <w:rPr>
          <w:rFonts w:ascii="Arial" w:hAnsi="Arial" w:cs="Arial"/>
          <w:szCs w:val="24"/>
        </w:rPr>
        <w:t xml:space="preserve">Transplanted organs are derived from deceased </w:t>
      </w:r>
      <w:r w:rsidR="00993CD2">
        <w:rPr>
          <w:rFonts w:ascii="Arial" w:hAnsi="Arial" w:cs="Arial"/>
          <w:szCs w:val="24"/>
        </w:rPr>
        <w:t xml:space="preserve">donors for heart, lung, liver, pancreas and kidneys </w:t>
      </w:r>
      <w:r w:rsidRPr="00F46189">
        <w:rPr>
          <w:rFonts w:ascii="Arial" w:hAnsi="Arial" w:cs="Arial"/>
          <w:szCs w:val="24"/>
        </w:rPr>
        <w:t>or living donors</w:t>
      </w:r>
      <w:r w:rsidR="00993CD2">
        <w:rPr>
          <w:rFonts w:ascii="Arial" w:hAnsi="Arial" w:cs="Arial"/>
          <w:szCs w:val="24"/>
        </w:rPr>
        <w:t xml:space="preserve"> for kidneys and liver</w:t>
      </w:r>
      <w:r w:rsidRPr="00F46189">
        <w:rPr>
          <w:rFonts w:ascii="Arial" w:hAnsi="Arial" w:cs="Arial"/>
          <w:szCs w:val="24"/>
        </w:rPr>
        <w:t>.  The restricted number of organ donors is the rate-limiting step for solid organ transplant service provision in New Zealand.</w:t>
      </w:r>
      <w:r w:rsidRPr="00F46189">
        <w:t xml:space="preserve"> </w:t>
      </w:r>
      <w:r w:rsidRPr="00F46189">
        <w:rPr>
          <w:rFonts w:ascii="Arial" w:hAnsi="Arial" w:cs="Arial"/>
          <w:szCs w:val="24"/>
        </w:rPr>
        <w:t xml:space="preserve">Services are provided at the level necessary to ensure both optimal access and outcomes for the Service User. To balance these needs using a limited resource (organ availability) international best-practice </w:t>
      </w:r>
      <w:r w:rsidR="000E4BB1">
        <w:rPr>
          <w:rFonts w:ascii="Arial" w:hAnsi="Arial" w:cs="Arial"/>
          <w:szCs w:val="24"/>
        </w:rPr>
        <w:t>protocols</w:t>
      </w:r>
      <w:r w:rsidR="000E4BB1" w:rsidRPr="00F46189">
        <w:rPr>
          <w:rFonts w:ascii="Arial" w:hAnsi="Arial" w:cs="Arial"/>
          <w:szCs w:val="24"/>
        </w:rPr>
        <w:t xml:space="preserve"> </w:t>
      </w:r>
      <w:r w:rsidRPr="00F46189">
        <w:rPr>
          <w:rFonts w:ascii="Arial" w:hAnsi="Arial" w:cs="Arial"/>
          <w:szCs w:val="24"/>
        </w:rPr>
        <w:t>are used</w:t>
      </w:r>
      <w:r w:rsidR="000E4BB1">
        <w:rPr>
          <w:rFonts w:ascii="Arial" w:hAnsi="Arial" w:cs="Arial"/>
          <w:szCs w:val="24"/>
        </w:rPr>
        <w:t>, r</w:t>
      </w:r>
      <w:r w:rsidR="005D7F7C">
        <w:rPr>
          <w:rFonts w:ascii="Arial" w:hAnsi="Arial" w:cs="Arial"/>
          <w:szCs w:val="24"/>
        </w:rPr>
        <w:t xml:space="preserve">efer to </w:t>
      </w:r>
      <w:r w:rsidR="005D1EB1">
        <w:rPr>
          <w:rFonts w:ascii="Arial" w:hAnsi="Arial" w:cs="Arial"/>
          <w:szCs w:val="24"/>
        </w:rPr>
        <w:t xml:space="preserve">the </w:t>
      </w:r>
      <w:r w:rsidR="005D7F7C">
        <w:rPr>
          <w:rFonts w:ascii="Arial" w:hAnsi="Arial" w:cs="Arial"/>
          <w:szCs w:val="24"/>
        </w:rPr>
        <w:t xml:space="preserve">Appendix </w:t>
      </w:r>
      <w:r w:rsidR="000E4BB1">
        <w:rPr>
          <w:rFonts w:ascii="Arial" w:hAnsi="Arial" w:cs="Arial"/>
          <w:szCs w:val="24"/>
        </w:rPr>
        <w:t>One.</w:t>
      </w:r>
    </w:p>
    <w:p w:rsidR="006F546C" w:rsidRPr="00912EF5" w:rsidRDefault="008D1854" w:rsidP="00DC5A12">
      <w:pPr>
        <w:tabs>
          <w:tab w:val="left" w:pos="567"/>
        </w:tabs>
        <w:spacing w:before="240" w:after="120"/>
        <w:jc w:val="left"/>
        <w:rPr>
          <w:rFonts w:ascii="Arial" w:hAnsi="Arial" w:cs="Arial"/>
          <w:b/>
        </w:rPr>
      </w:pPr>
      <w:r>
        <w:rPr>
          <w:rFonts w:ascii="Arial" w:hAnsi="Arial" w:cs="Arial"/>
          <w:b/>
        </w:rPr>
        <w:t>6</w:t>
      </w:r>
      <w:r>
        <w:rPr>
          <w:rFonts w:ascii="Arial" w:hAnsi="Arial" w:cs="Arial"/>
          <w:b/>
        </w:rPr>
        <w:tab/>
        <w:t>S</w:t>
      </w:r>
      <w:r w:rsidR="00BE6B7B" w:rsidRPr="00912EF5">
        <w:rPr>
          <w:rFonts w:ascii="Arial" w:hAnsi="Arial" w:cs="Arial"/>
          <w:b/>
        </w:rPr>
        <w:t>ervice</w:t>
      </w:r>
      <w:r w:rsidR="006F546C" w:rsidRPr="00912EF5">
        <w:rPr>
          <w:rFonts w:ascii="Arial" w:hAnsi="Arial" w:cs="Arial"/>
          <w:b/>
        </w:rPr>
        <w:t xml:space="preserve"> C</w:t>
      </w:r>
      <w:r w:rsidR="00BE6B7B" w:rsidRPr="00912EF5">
        <w:rPr>
          <w:rFonts w:ascii="Arial" w:hAnsi="Arial" w:cs="Arial"/>
          <w:b/>
        </w:rPr>
        <w:t>omponents</w:t>
      </w:r>
    </w:p>
    <w:p w:rsidR="006F546C" w:rsidRPr="00912EF5" w:rsidRDefault="008D1854" w:rsidP="00BE6B7B">
      <w:pPr>
        <w:tabs>
          <w:tab w:val="left" w:pos="540"/>
        </w:tabs>
        <w:spacing w:after="120"/>
        <w:jc w:val="left"/>
        <w:rPr>
          <w:rFonts w:ascii="Arial" w:hAnsi="Arial" w:cs="Arial"/>
          <w:b/>
          <w:bCs/>
          <w:iCs/>
        </w:rPr>
      </w:pPr>
      <w:r>
        <w:rPr>
          <w:rFonts w:ascii="Arial" w:hAnsi="Arial" w:cs="Arial"/>
          <w:b/>
          <w:bCs/>
          <w:iCs/>
        </w:rPr>
        <w:t>6</w:t>
      </w:r>
      <w:r w:rsidR="006F546C" w:rsidRPr="00912EF5">
        <w:rPr>
          <w:rFonts w:ascii="Arial" w:hAnsi="Arial" w:cs="Arial"/>
          <w:b/>
          <w:bCs/>
          <w:iCs/>
        </w:rPr>
        <w:t>.1</w:t>
      </w:r>
      <w:r w:rsidR="006F546C" w:rsidRPr="00912EF5">
        <w:rPr>
          <w:rFonts w:ascii="Arial" w:hAnsi="Arial" w:cs="Arial"/>
          <w:b/>
          <w:bCs/>
          <w:iCs/>
        </w:rPr>
        <w:tab/>
        <w:t>Processes</w:t>
      </w:r>
    </w:p>
    <w:p w:rsidR="00206A10" w:rsidRDefault="00206A10" w:rsidP="00206A10">
      <w:pPr>
        <w:pStyle w:val="BodyText"/>
        <w:jc w:val="left"/>
        <w:rPr>
          <w:rFonts w:ascii="Arial" w:hAnsi="Arial" w:cs="Arial"/>
          <w:szCs w:val="24"/>
        </w:rPr>
      </w:pPr>
      <w:r>
        <w:rPr>
          <w:rFonts w:ascii="Arial" w:hAnsi="Arial" w:cs="Arial"/>
          <w:szCs w:val="24"/>
        </w:rPr>
        <w:t>The Service will</w:t>
      </w:r>
      <w:r w:rsidRPr="00206A10">
        <w:rPr>
          <w:rFonts w:ascii="Arial" w:hAnsi="Arial" w:cs="Arial"/>
          <w:szCs w:val="24"/>
        </w:rPr>
        <w:t xml:space="preserve"> </w:t>
      </w:r>
      <w:r>
        <w:rPr>
          <w:rFonts w:ascii="Arial" w:hAnsi="Arial" w:cs="Arial"/>
          <w:szCs w:val="24"/>
        </w:rPr>
        <w:t>provide</w:t>
      </w:r>
      <w:r w:rsidRPr="00206A10">
        <w:rPr>
          <w:rFonts w:ascii="Arial" w:hAnsi="Arial" w:cs="Arial"/>
          <w:szCs w:val="24"/>
        </w:rPr>
        <w:t xml:space="preserve"> </w:t>
      </w:r>
      <w:r w:rsidR="00FD4F63">
        <w:rPr>
          <w:rFonts w:ascii="Arial" w:hAnsi="Arial" w:cs="Arial"/>
          <w:szCs w:val="24"/>
        </w:rPr>
        <w:t xml:space="preserve">appropriate written </w:t>
      </w:r>
      <w:r w:rsidRPr="00206A10">
        <w:rPr>
          <w:rFonts w:ascii="Arial" w:hAnsi="Arial" w:cs="Arial"/>
          <w:szCs w:val="24"/>
        </w:rPr>
        <w:t xml:space="preserve">information about the Service </w:t>
      </w:r>
      <w:r w:rsidR="00FD4F63" w:rsidRPr="00FD4F63">
        <w:rPr>
          <w:rFonts w:ascii="Arial" w:hAnsi="Arial" w:cs="Arial"/>
          <w:szCs w:val="24"/>
        </w:rPr>
        <w:t xml:space="preserve">to potential Service Users </w:t>
      </w:r>
      <w:r w:rsidR="00FD4F63">
        <w:rPr>
          <w:rFonts w:ascii="Arial" w:hAnsi="Arial" w:cs="Arial"/>
          <w:szCs w:val="24"/>
        </w:rPr>
        <w:t xml:space="preserve">and </w:t>
      </w:r>
      <w:r w:rsidRPr="00206A10">
        <w:rPr>
          <w:rFonts w:ascii="Arial" w:hAnsi="Arial" w:cs="Arial"/>
          <w:szCs w:val="24"/>
        </w:rPr>
        <w:t xml:space="preserve">all </w:t>
      </w:r>
      <w:r w:rsidR="00FD4F63">
        <w:rPr>
          <w:rFonts w:ascii="Arial" w:hAnsi="Arial" w:cs="Arial"/>
          <w:szCs w:val="24"/>
        </w:rPr>
        <w:t xml:space="preserve">referring </w:t>
      </w:r>
      <w:r w:rsidRPr="00206A10">
        <w:rPr>
          <w:rFonts w:ascii="Arial" w:hAnsi="Arial" w:cs="Arial"/>
          <w:szCs w:val="24"/>
        </w:rPr>
        <w:t>agencies</w:t>
      </w:r>
      <w:r w:rsidR="0078324E">
        <w:rPr>
          <w:rFonts w:ascii="Arial" w:hAnsi="Arial" w:cs="Arial"/>
          <w:szCs w:val="24"/>
        </w:rPr>
        <w:t xml:space="preserve">. </w:t>
      </w:r>
      <w:r w:rsidR="0078324E" w:rsidRPr="0078324E">
        <w:rPr>
          <w:rFonts w:ascii="Arial" w:hAnsi="Arial" w:cs="Arial"/>
          <w:szCs w:val="24"/>
        </w:rPr>
        <w:t xml:space="preserve">The Service will </w:t>
      </w:r>
      <w:r w:rsidR="0078324E">
        <w:rPr>
          <w:rFonts w:ascii="Arial" w:hAnsi="Arial" w:cs="Arial"/>
          <w:szCs w:val="24"/>
        </w:rPr>
        <w:t xml:space="preserve">also </w:t>
      </w:r>
      <w:r w:rsidR="0078324E" w:rsidRPr="0078324E">
        <w:rPr>
          <w:rFonts w:ascii="Arial" w:hAnsi="Arial" w:cs="Arial"/>
          <w:szCs w:val="24"/>
        </w:rPr>
        <w:t xml:space="preserve">maintain formal (two-way) referral processes </w:t>
      </w:r>
      <w:r w:rsidR="0078324E">
        <w:rPr>
          <w:rFonts w:ascii="Arial" w:hAnsi="Arial" w:cs="Arial"/>
          <w:szCs w:val="24"/>
        </w:rPr>
        <w:t>including</w:t>
      </w:r>
      <w:r w:rsidR="0078324E" w:rsidRPr="0078324E">
        <w:rPr>
          <w:rFonts w:ascii="Arial" w:hAnsi="Arial" w:cs="Arial"/>
          <w:szCs w:val="24"/>
        </w:rPr>
        <w:t xml:space="preserve"> documenting outcome of </w:t>
      </w:r>
      <w:r w:rsidR="0078324E">
        <w:rPr>
          <w:rFonts w:ascii="Arial" w:hAnsi="Arial" w:cs="Arial"/>
          <w:szCs w:val="24"/>
        </w:rPr>
        <w:t xml:space="preserve">the </w:t>
      </w:r>
      <w:r w:rsidR="0078324E" w:rsidRPr="0078324E">
        <w:rPr>
          <w:rFonts w:ascii="Arial" w:hAnsi="Arial" w:cs="Arial"/>
          <w:szCs w:val="24"/>
        </w:rPr>
        <w:t>referral.</w:t>
      </w:r>
    </w:p>
    <w:p w:rsidR="006F546C" w:rsidRPr="00912EF5" w:rsidRDefault="006F546C" w:rsidP="00206A10">
      <w:pPr>
        <w:pStyle w:val="BodyText"/>
        <w:spacing w:before="120"/>
        <w:jc w:val="left"/>
        <w:rPr>
          <w:rFonts w:ascii="Arial" w:hAnsi="Arial" w:cs="Arial"/>
          <w:szCs w:val="24"/>
        </w:rPr>
      </w:pPr>
      <w:r w:rsidRPr="00912EF5">
        <w:rPr>
          <w:rFonts w:ascii="Arial" w:hAnsi="Arial" w:cs="Arial"/>
          <w:szCs w:val="24"/>
        </w:rPr>
        <w:t xml:space="preserve">The </w:t>
      </w:r>
      <w:r w:rsidR="00A90341">
        <w:rPr>
          <w:rFonts w:ascii="Arial" w:hAnsi="Arial" w:cs="Arial"/>
          <w:szCs w:val="24"/>
        </w:rPr>
        <w:t>S</w:t>
      </w:r>
      <w:r w:rsidRPr="00912EF5">
        <w:rPr>
          <w:rFonts w:ascii="Arial" w:hAnsi="Arial" w:cs="Arial"/>
          <w:szCs w:val="24"/>
        </w:rPr>
        <w:t>ervice may include:</w:t>
      </w:r>
    </w:p>
    <w:p w:rsidR="006F546C" w:rsidRPr="00912EF5" w:rsidRDefault="00BE6B7B" w:rsidP="00A90341">
      <w:pPr>
        <w:pStyle w:val="bullet"/>
        <w:spacing w:before="120"/>
        <w:ind w:left="567" w:hanging="567"/>
        <w:jc w:val="left"/>
        <w:rPr>
          <w:sz w:val="24"/>
        </w:rPr>
      </w:pPr>
      <w:r w:rsidRPr="00912EF5">
        <w:rPr>
          <w:sz w:val="24"/>
        </w:rPr>
        <w:t>c</w:t>
      </w:r>
      <w:r w:rsidR="006F546C" w:rsidRPr="00912EF5">
        <w:rPr>
          <w:sz w:val="24"/>
        </w:rPr>
        <w:t>onsultation with/without simple investigation and/or opinion</w:t>
      </w:r>
    </w:p>
    <w:p w:rsidR="006F546C" w:rsidRPr="00912EF5" w:rsidRDefault="00BE6B7B" w:rsidP="00A90341">
      <w:pPr>
        <w:pStyle w:val="bullet"/>
        <w:ind w:left="567" w:hanging="567"/>
        <w:jc w:val="left"/>
        <w:rPr>
          <w:sz w:val="24"/>
        </w:rPr>
      </w:pPr>
      <w:r w:rsidRPr="00912EF5">
        <w:rPr>
          <w:sz w:val="24"/>
        </w:rPr>
        <w:t>c</w:t>
      </w:r>
      <w:r w:rsidR="006F546C" w:rsidRPr="00912EF5">
        <w:rPr>
          <w:sz w:val="24"/>
        </w:rPr>
        <w:t>onsultation with complex investigation and/or opinion/treatment</w:t>
      </w:r>
    </w:p>
    <w:p w:rsidR="006F546C" w:rsidRPr="00912EF5" w:rsidRDefault="00BE6B7B" w:rsidP="00A90341">
      <w:pPr>
        <w:pStyle w:val="bullet"/>
        <w:ind w:left="567" w:hanging="567"/>
        <w:jc w:val="left"/>
        <w:rPr>
          <w:sz w:val="24"/>
        </w:rPr>
      </w:pPr>
      <w:r w:rsidRPr="00912EF5">
        <w:rPr>
          <w:sz w:val="24"/>
        </w:rPr>
        <w:t>r</w:t>
      </w:r>
      <w:r w:rsidR="006F546C" w:rsidRPr="00912EF5">
        <w:rPr>
          <w:sz w:val="24"/>
        </w:rPr>
        <w:t>eferral to another specialty for an opinion, opinion/management, or opinion/shared management</w:t>
      </w:r>
    </w:p>
    <w:p w:rsidR="006F546C" w:rsidRPr="00912EF5" w:rsidRDefault="00BE6B7B" w:rsidP="00A90341">
      <w:pPr>
        <w:pStyle w:val="bullet"/>
        <w:ind w:left="567" w:hanging="567"/>
        <w:jc w:val="left"/>
        <w:rPr>
          <w:sz w:val="24"/>
        </w:rPr>
      </w:pPr>
      <w:r w:rsidRPr="00912EF5">
        <w:rPr>
          <w:sz w:val="24"/>
        </w:rPr>
        <w:t>e</w:t>
      </w:r>
      <w:r w:rsidR="006F546C" w:rsidRPr="00912EF5">
        <w:rPr>
          <w:sz w:val="24"/>
        </w:rPr>
        <w:t>lective, acute or emergency surgery</w:t>
      </w:r>
    </w:p>
    <w:p w:rsidR="006F546C" w:rsidRPr="00912EF5" w:rsidRDefault="00BE6B7B" w:rsidP="00A90341">
      <w:pPr>
        <w:pStyle w:val="bullet"/>
        <w:ind w:left="567" w:hanging="567"/>
        <w:jc w:val="left"/>
        <w:rPr>
          <w:sz w:val="24"/>
        </w:rPr>
      </w:pPr>
      <w:r w:rsidRPr="00912EF5">
        <w:rPr>
          <w:sz w:val="24"/>
        </w:rPr>
        <w:t>i</w:t>
      </w:r>
      <w:r w:rsidR="006F546C" w:rsidRPr="00912EF5">
        <w:rPr>
          <w:sz w:val="24"/>
        </w:rPr>
        <w:t>ntegrated transplant processes including:</w:t>
      </w:r>
    </w:p>
    <w:p w:rsidR="006F546C" w:rsidRPr="00912EF5" w:rsidRDefault="006F546C" w:rsidP="00BE6B7B">
      <w:pPr>
        <w:ind w:left="900" w:hanging="360"/>
        <w:jc w:val="left"/>
        <w:rPr>
          <w:rFonts w:ascii="Arial" w:hAnsi="Arial" w:cs="Arial"/>
        </w:rPr>
      </w:pPr>
      <w:r w:rsidRPr="00912EF5">
        <w:rPr>
          <w:rFonts w:ascii="Arial" w:hAnsi="Arial" w:cs="Arial"/>
        </w:rPr>
        <w:t>-</w:t>
      </w:r>
      <w:r w:rsidRPr="00912EF5">
        <w:rPr>
          <w:rFonts w:ascii="Arial" w:hAnsi="Arial" w:cs="Arial"/>
        </w:rPr>
        <w:tab/>
        <w:t>pre-operative assessment and diagnostic intervention</w:t>
      </w:r>
    </w:p>
    <w:p w:rsidR="006F546C" w:rsidRPr="00912EF5" w:rsidRDefault="006F546C" w:rsidP="00BE6B7B">
      <w:pPr>
        <w:ind w:left="900" w:hanging="360"/>
        <w:jc w:val="left"/>
        <w:rPr>
          <w:rFonts w:ascii="Arial" w:hAnsi="Arial" w:cs="Arial"/>
        </w:rPr>
      </w:pPr>
      <w:r w:rsidRPr="00912EF5">
        <w:rPr>
          <w:rFonts w:ascii="Arial" w:hAnsi="Arial" w:cs="Arial"/>
        </w:rPr>
        <w:t>-</w:t>
      </w:r>
      <w:r w:rsidRPr="00912EF5">
        <w:rPr>
          <w:rFonts w:ascii="Arial" w:hAnsi="Arial" w:cs="Arial"/>
        </w:rPr>
        <w:tab/>
        <w:t>surgical intervention for diagnosis</w:t>
      </w:r>
      <w:r w:rsidR="00B31AF7">
        <w:rPr>
          <w:rFonts w:ascii="Arial" w:hAnsi="Arial" w:cs="Arial"/>
        </w:rPr>
        <w:t xml:space="preserve"> </w:t>
      </w:r>
      <w:r w:rsidRPr="00912EF5">
        <w:rPr>
          <w:rFonts w:ascii="Arial" w:hAnsi="Arial" w:cs="Arial"/>
        </w:rPr>
        <w:t>/</w:t>
      </w:r>
      <w:r w:rsidR="00B31AF7">
        <w:rPr>
          <w:rFonts w:ascii="Arial" w:hAnsi="Arial" w:cs="Arial"/>
        </w:rPr>
        <w:t xml:space="preserve"> </w:t>
      </w:r>
      <w:r w:rsidRPr="00912EF5">
        <w:rPr>
          <w:rFonts w:ascii="Arial" w:hAnsi="Arial" w:cs="Arial"/>
        </w:rPr>
        <w:t>treatment</w:t>
      </w:r>
    </w:p>
    <w:p w:rsidR="006F546C" w:rsidRPr="00912EF5" w:rsidRDefault="006F546C" w:rsidP="00BE6B7B">
      <w:pPr>
        <w:ind w:left="900" w:hanging="360"/>
        <w:jc w:val="left"/>
        <w:rPr>
          <w:rFonts w:ascii="Arial" w:hAnsi="Arial" w:cs="Arial"/>
        </w:rPr>
      </w:pPr>
      <w:r w:rsidRPr="00912EF5">
        <w:rPr>
          <w:rFonts w:ascii="Arial" w:hAnsi="Arial" w:cs="Arial"/>
        </w:rPr>
        <w:t>-</w:t>
      </w:r>
      <w:r w:rsidRPr="00912EF5">
        <w:rPr>
          <w:rFonts w:ascii="Arial" w:hAnsi="Arial" w:cs="Arial"/>
        </w:rPr>
        <w:tab/>
        <w:t>post operative follow up</w:t>
      </w:r>
    </w:p>
    <w:p w:rsidR="006F546C" w:rsidRPr="00912EF5" w:rsidRDefault="006F546C" w:rsidP="00BE6B7B">
      <w:pPr>
        <w:ind w:left="900" w:hanging="360"/>
        <w:jc w:val="left"/>
        <w:rPr>
          <w:rFonts w:ascii="Arial" w:hAnsi="Arial" w:cs="Arial"/>
        </w:rPr>
      </w:pPr>
      <w:r w:rsidRPr="00912EF5">
        <w:rPr>
          <w:rFonts w:ascii="Arial" w:hAnsi="Arial" w:cs="Arial"/>
        </w:rPr>
        <w:t>-</w:t>
      </w:r>
      <w:r w:rsidRPr="00912EF5">
        <w:rPr>
          <w:rFonts w:ascii="Arial" w:hAnsi="Arial" w:cs="Arial"/>
        </w:rPr>
        <w:tab/>
        <w:t>outpatient follow up</w:t>
      </w:r>
    </w:p>
    <w:p w:rsidR="006F546C" w:rsidRPr="00912EF5" w:rsidRDefault="006F546C" w:rsidP="00210D36">
      <w:pPr>
        <w:numPr>
          <w:ilvl w:val="0"/>
          <w:numId w:val="4"/>
        </w:numPr>
        <w:tabs>
          <w:tab w:val="clear" w:pos="720"/>
          <w:tab w:val="num" w:pos="900"/>
        </w:tabs>
        <w:ind w:left="900"/>
        <w:jc w:val="left"/>
        <w:rPr>
          <w:rFonts w:ascii="Arial" w:hAnsi="Arial" w:cs="Arial"/>
        </w:rPr>
      </w:pPr>
      <w:r w:rsidRPr="00912EF5">
        <w:rPr>
          <w:rFonts w:ascii="Arial" w:hAnsi="Arial" w:cs="Arial"/>
        </w:rPr>
        <w:t>continuation of care in the community after discharge</w:t>
      </w:r>
    </w:p>
    <w:p w:rsidR="00B31AF7" w:rsidRDefault="00A90341" w:rsidP="00210D36">
      <w:pPr>
        <w:numPr>
          <w:ilvl w:val="0"/>
          <w:numId w:val="4"/>
        </w:numPr>
        <w:tabs>
          <w:tab w:val="clear" w:pos="720"/>
          <w:tab w:val="num" w:pos="900"/>
        </w:tabs>
        <w:ind w:left="900"/>
        <w:jc w:val="left"/>
        <w:rPr>
          <w:rFonts w:ascii="Arial" w:hAnsi="Arial" w:cs="Arial"/>
        </w:rPr>
      </w:pPr>
      <w:r>
        <w:rPr>
          <w:rFonts w:ascii="Arial" w:hAnsi="Arial" w:cs="Arial"/>
        </w:rPr>
        <w:t>s</w:t>
      </w:r>
      <w:r w:rsidR="006F546C" w:rsidRPr="00912EF5">
        <w:rPr>
          <w:rFonts w:ascii="Arial" w:hAnsi="Arial" w:cs="Arial"/>
        </w:rPr>
        <w:t>upport from clinical support services.</w:t>
      </w:r>
    </w:p>
    <w:p w:rsidR="009935BF" w:rsidRDefault="009935BF">
      <w:pPr>
        <w:jc w:val="left"/>
        <w:rPr>
          <w:rFonts w:ascii="Arial" w:hAnsi="Arial" w:cs="Arial"/>
          <w:b/>
          <w:bCs/>
          <w:iCs/>
        </w:rPr>
      </w:pPr>
    </w:p>
    <w:p w:rsidR="006F546C" w:rsidRPr="00912EF5" w:rsidRDefault="008D1854" w:rsidP="00D62B50">
      <w:pPr>
        <w:tabs>
          <w:tab w:val="left" w:pos="540"/>
        </w:tabs>
        <w:spacing w:after="120"/>
        <w:jc w:val="left"/>
        <w:rPr>
          <w:rFonts w:ascii="Arial" w:hAnsi="Arial" w:cs="Arial"/>
          <w:b/>
          <w:bCs/>
          <w:iCs/>
        </w:rPr>
      </w:pPr>
      <w:r>
        <w:rPr>
          <w:rFonts w:ascii="Arial" w:hAnsi="Arial" w:cs="Arial"/>
          <w:b/>
          <w:bCs/>
          <w:iCs/>
        </w:rPr>
        <w:t>6</w:t>
      </w:r>
      <w:r w:rsidR="006F546C" w:rsidRPr="00912EF5">
        <w:rPr>
          <w:rFonts w:ascii="Arial" w:hAnsi="Arial" w:cs="Arial"/>
          <w:b/>
          <w:bCs/>
          <w:iCs/>
        </w:rPr>
        <w:t>.2</w:t>
      </w:r>
      <w:r w:rsidR="006F546C" w:rsidRPr="00912EF5">
        <w:rPr>
          <w:rFonts w:ascii="Arial" w:hAnsi="Arial" w:cs="Arial"/>
          <w:b/>
          <w:bCs/>
          <w:iCs/>
        </w:rPr>
        <w:tab/>
        <w:t>Settings and Facilities</w:t>
      </w:r>
    </w:p>
    <w:p w:rsidR="00FD4F63" w:rsidRDefault="006F546C" w:rsidP="00FD4F63">
      <w:pPr>
        <w:pStyle w:val="BodyText"/>
        <w:spacing w:before="120"/>
        <w:jc w:val="left"/>
        <w:rPr>
          <w:rFonts w:ascii="Arial" w:hAnsi="Arial" w:cs="Arial"/>
          <w:szCs w:val="24"/>
        </w:rPr>
      </w:pPr>
      <w:r w:rsidRPr="00912EF5">
        <w:rPr>
          <w:rFonts w:ascii="Arial" w:hAnsi="Arial" w:cs="Arial"/>
          <w:szCs w:val="24"/>
        </w:rPr>
        <w:t xml:space="preserve">Assessments are carried out in outpatient </w:t>
      </w:r>
      <w:r w:rsidR="00FD4F63">
        <w:rPr>
          <w:rFonts w:ascii="Arial" w:hAnsi="Arial" w:cs="Arial"/>
          <w:szCs w:val="24"/>
        </w:rPr>
        <w:t>settings</w:t>
      </w:r>
      <w:r w:rsidR="00FD4F63" w:rsidRPr="00912EF5">
        <w:rPr>
          <w:rFonts w:ascii="Arial" w:hAnsi="Arial" w:cs="Arial"/>
          <w:szCs w:val="24"/>
        </w:rPr>
        <w:t xml:space="preserve"> </w:t>
      </w:r>
      <w:r w:rsidRPr="00912EF5">
        <w:rPr>
          <w:rFonts w:ascii="Arial" w:hAnsi="Arial" w:cs="Arial"/>
          <w:szCs w:val="24"/>
        </w:rPr>
        <w:t xml:space="preserve">whenever possible. </w:t>
      </w:r>
    </w:p>
    <w:p w:rsidR="006F546C" w:rsidRPr="00912EF5" w:rsidRDefault="006F546C" w:rsidP="00FD4F63">
      <w:pPr>
        <w:pStyle w:val="BodyText"/>
        <w:spacing w:before="120"/>
        <w:jc w:val="left"/>
        <w:rPr>
          <w:rFonts w:ascii="Arial" w:hAnsi="Arial" w:cs="Arial"/>
          <w:szCs w:val="24"/>
        </w:rPr>
      </w:pPr>
      <w:r w:rsidRPr="00912EF5">
        <w:rPr>
          <w:rFonts w:ascii="Arial" w:hAnsi="Arial" w:cs="Arial"/>
          <w:szCs w:val="24"/>
        </w:rPr>
        <w:t>Transplantation is carried out in a hospital (operating room, intensive care, and specialist ward).</w:t>
      </w:r>
    </w:p>
    <w:p w:rsidR="005C7D61" w:rsidRDefault="006F546C" w:rsidP="00FD4F63">
      <w:pPr>
        <w:pStyle w:val="BodyText"/>
        <w:spacing w:before="120"/>
        <w:jc w:val="left"/>
        <w:rPr>
          <w:rFonts w:ascii="Arial" w:hAnsi="Arial" w:cs="Arial"/>
          <w:szCs w:val="24"/>
        </w:rPr>
      </w:pPr>
      <w:r w:rsidRPr="00912EF5">
        <w:rPr>
          <w:rFonts w:ascii="Arial" w:hAnsi="Arial" w:cs="Arial"/>
          <w:szCs w:val="24"/>
        </w:rPr>
        <w:t xml:space="preserve">Follow-up is carried out mostly in the outpatient clinic setting. </w:t>
      </w:r>
    </w:p>
    <w:p w:rsidR="006F546C" w:rsidRPr="00912EF5" w:rsidRDefault="008D1854" w:rsidP="00B31AF7">
      <w:pPr>
        <w:spacing w:before="120" w:after="120"/>
        <w:jc w:val="left"/>
        <w:rPr>
          <w:rFonts w:ascii="Arial" w:hAnsi="Arial" w:cs="Arial"/>
          <w:b/>
          <w:bCs/>
          <w:iCs/>
          <w:u w:val="single"/>
        </w:rPr>
      </w:pPr>
      <w:r>
        <w:rPr>
          <w:rFonts w:ascii="Arial" w:hAnsi="Arial" w:cs="Arial"/>
          <w:b/>
          <w:bCs/>
          <w:iCs/>
        </w:rPr>
        <w:t>6.3</w:t>
      </w:r>
      <w:r>
        <w:rPr>
          <w:rFonts w:ascii="Arial" w:hAnsi="Arial" w:cs="Arial"/>
          <w:b/>
          <w:bCs/>
          <w:iCs/>
        </w:rPr>
        <w:tab/>
      </w:r>
      <w:r w:rsidR="006F546C" w:rsidRPr="00912EF5">
        <w:rPr>
          <w:rFonts w:ascii="Arial" w:hAnsi="Arial" w:cs="Arial"/>
          <w:b/>
          <w:bCs/>
          <w:iCs/>
        </w:rPr>
        <w:t xml:space="preserve">Service </w:t>
      </w:r>
      <w:r w:rsidR="00BE6B7B" w:rsidRPr="00912EF5">
        <w:rPr>
          <w:rFonts w:ascii="Arial" w:hAnsi="Arial" w:cs="Arial"/>
          <w:b/>
          <w:bCs/>
          <w:iCs/>
        </w:rPr>
        <w:t>L</w:t>
      </w:r>
      <w:r w:rsidR="006F546C" w:rsidRPr="00912EF5">
        <w:rPr>
          <w:rFonts w:ascii="Arial" w:hAnsi="Arial" w:cs="Arial"/>
          <w:b/>
          <w:bCs/>
          <w:iCs/>
        </w:rPr>
        <w:t>evels</w:t>
      </w:r>
    </w:p>
    <w:p w:rsidR="008458A7" w:rsidRDefault="008458A7" w:rsidP="00511C3E">
      <w:pPr>
        <w:pStyle w:val="BodyTextIndent"/>
        <w:ind w:left="0"/>
        <w:jc w:val="left"/>
        <w:rPr>
          <w:rFonts w:ascii="Arial" w:hAnsi="Arial" w:cs="Arial"/>
          <w:szCs w:val="24"/>
        </w:rPr>
      </w:pPr>
      <w:r w:rsidRPr="008458A7">
        <w:rPr>
          <w:rFonts w:ascii="Arial" w:hAnsi="Arial" w:cs="Arial"/>
          <w:szCs w:val="24"/>
        </w:rPr>
        <w:t xml:space="preserve">The management of </w:t>
      </w:r>
      <w:r w:rsidR="0078324E" w:rsidRPr="0078324E">
        <w:rPr>
          <w:rFonts w:ascii="Arial" w:hAnsi="Arial" w:cs="Arial"/>
          <w:szCs w:val="24"/>
        </w:rPr>
        <w:t>Service Users</w:t>
      </w:r>
      <w:r w:rsidRPr="008458A7">
        <w:rPr>
          <w:rFonts w:ascii="Arial" w:hAnsi="Arial" w:cs="Arial"/>
          <w:szCs w:val="24"/>
        </w:rPr>
        <w:t xml:space="preserve"> involve</w:t>
      </w:r>
      <w:r w:rsidR="00B32CA3">
        <w:rPr>
          <w:rFonts w:ascii="Arial" w:hAnsi="Arial" w:cs="Arial"/>
          <w:szCs w:val="24"/>
        </w:rPr>
        <w:t>s</w:t>
      </w:r>
      <w:r w:rsidRPr="008458A7">
        <w:rPr>
          <w:rFonts w:ascii="Arial" w:hAnsi="Arial" w:cs="Arial"/>
          <w:szCs w:val="24"/>
        </w:rPr>
        <w:t xml:space="preserve"> a complex sequence of relationships and events. The level of intervention varies according to the </w:t>
      </w:r>
      <w:r w:rsidR="0078324E">
        <w:rPr>
          <w:rFonts w:ascii="Arial" w:hAnsi="Arial" w:cs="Arial"/>
          <w:szCs w:val="24"/>
        </w:rPr>
        <w:t>Service User</w:t>
      </w:r>
      <w:r w:rsidRPr="008458A7">
        <w:rPr>
          <w:rFonts w:ascii="Arial" w:hAnsi="Arial" w:cs="Arial"/>
          <w:szCs w:val="24"/>
        </w:rPr>
        <w:t>’s clinical condition, recognised clinical guidelines, the capacity of the D</w:t>
      </w:r>
      <w:r w:rsidR="00FD4F63">
        <w:rPr>
          <w:rFonts w:ascii="Arial" w:hAnsi="Arial" w:cs="Arial"/>
          <w:szCs w:val="24"/>
        </w:rPr>
        <w:t>istrict Health Board</w:t>
      </w:r>
      <w:r w:rsidRPr="008458A7">
        <w:rPr>
          <w:rFonts w:ascii="Arial" w:hAnsi="Arial" w:cs="Arial"/>
          <w:szCs w:val="24"/>
        </w:rPr>
        <w:t>, qualification/training of the medical staff, and the level of clinical support available</w:t>
      </w:r>
      <w:r>
        <w:rPr>
          <w:rFonts w:ascii="Arial" w:hAnsi="Arial" w:cs="Arial"/>
          <w:szCs w:val="24"/>
        </w:rPr>
        <w:t>.</w:t>
      </w:r>
    </w:p>
    <w:p w:rsidR="006F546C" w:rsidRPr="00912EF5" w:rsidRDefault="005C7D61" w:rsidP="005C7D61">
      <w:pPr>
        <w:tabs>
          <w:tab w:val="left" w:pos="709"/>
        </w:tabs>
        <w:autoSpaceDE w:val="0"/>
        <w:autoSpaceDN w:val="0"/>
        <w:adjustRightInd w:val="0"/>
        <w:spacing w:before="120" w:after="120" w:line="240" w:lineRule="atLeast"/>
        <w:jc w:val="left"/>
        <w:rPr>
          <w:rFonts w:ascii="Arial" w:hAnsi="Arial" w:cs="Arial"/>
          <w:b/>
          <w:bCs/>
          <w:iCs/>
          <w:u w:val="single"/>
        </w:rPr>
      </w:pPr>
      <w:r>
        <w:rPr>
          <w:rFonts w:ascii="Arial" w:hAnsi="Arial" w:cs="Arial"/>
          <w:b/>
          <w:bCs/>
          <w:iCs/>
        </w:rPr>
        <w:t>6.</w:t>
      </w:r>
      <w:r w:rsidR="003B3BBC">
        <w:rPr>
          <w:rFonts w:ascii="Arial" w:hAnsi="Arial" w:cs="Arial"/>
          <w:b/>
          <w:bCs/>
          <w:iCs/>
        </w:rPr>
        <w:t>4</w:t>
      </w:r>
      <w:r>
        <w:rPr>
          <w:rFonts w:ascii="Arial" w:hAnsi="Arial" w:cs="Arial"/>
          <w:b/>
          <w:bCs/>
          <w:iCs/>
        </w:rPr>
        <w:tab/>
      </w:r>
      <w:r w:rsidR="00357E38">
        <w:rPr>
          <w:rFonts w:ascii="Arial" w:hAnsi="Arial" w:cs="Arial"/>
          <w:b/>
          <w:bCs/>
          <w:iCs/>
        </w:rPr>
        <w:t>K</w:t>
      </w:r>
      <w:r w:rsidR="006F546C" w:rsidRPr="00912EF5">
        <w:rPr>
          <w:rFonts w:ascii="Arial" w:hAnsi="Arial" w:cs="Arial"/>
          <w:b/>
          <w:bCs/>
          <w:iCs/>
        </w:rPr>
        <w:t xml:space="preserve">ey </w:t>
      </w:r>
      <w:r w:rsidR="00DC5A12">
        <w:rPr>
          <w:rFonts w:ascii="Arial" w:hAnsi="Arial" w:cs="Arial"/>
          <w:b/>
          <w:bCs/>
          <w:iCs/>
        </w:rPr>
        <w:t>I</w:t>
      </w:r>
      <w:r w:rsidR="006F546C" w:rsidRPr="00912EF5">
        <w:rPr>
          <w:rFonts w:ascii="Arial" w:hAnsi="Arial" w:cs="Arial"/>
          <w:b/>
          <w:bCs/>
          <w:iCs/>
        </w:rPr>
        <w:t>nputs</w:t>
      </w:r>
    </w:p>
    <w:p w:rsidR="006F546C" w:rsidRPr="00912EF5" w:rsidRDefault="006F546C" w:rsidP="006F546C">
      <w:pPr>
        <w:ind w:left="-57"/>
        <w:jc w:val="left"/>
        <w:rPr>
          <w:rFonts w:ascii="Arial" w:hAnsi="Arial" w:cs="Arial"/>
        </w:rPr>
      </w:pPr>
      <w:r w:rsidRPr="00912EF5">
        <w:rPr>
          <w:rFonts w:ascii="Arial" w:hAnsi="Arial" w:cs="Arial"/>
        </w:rPr>
        <w:t xml:space="preserve">The following is an indicative list of key inputs to be included in the </w:t>
      </w:r>
      <w:r w:rsidR="00357E38">
        <w:rPr>
          <w:rFonts w:ascii="Arial" w:hAnsi="Arial" w:cs="Arial"/>
        </w:rPr>
        <w:t>S</w:t>
      </w:r>
      <w:r w:rsidRPr="00912EF5">
        <w:rPr>
          <w:rFonts w:ascii="Arial" w:hAnsi="Arial" w:cs="Arial"/>
        </w:rPr>
        <w:t>ervice:</w:t>
      </w:r>
    </w:p>
    <w:p w:rsidR="006F546C" w:rsidRPr="004E567E" w:rsidRDefault="006F546C" w:rsidP="004E567E">
      <w:pPr>
        <w:spacing w:before="120"/>
        <w:ind w:left="57"/>
        <w:jc w:val="left"/>
        <w:rPr>
          <w:rFonts w:ascii="Arial" w:hAnsi="Arial" w:cs="Arial"/>
          <w:b/>
          <w:i/>
        </w:rPr>
      </w:pPr>
      <w:r w:rsidRPr="004E567E">
        <w:rPr>
          <w:rFonts w:ascii="Arial" w:hAnsi="Arial" w:cs="Arial"/>
          <w:b/>
          <w:i/>
        </w:rPr>
        <w:t xml:space="preserve">For </w:t>
      </w:r>
      <w:r w:rsidR="00A90341" w:rsidRPr="004E567E">
        <w:rPr>
          <w:rFonts w:ascii="Arial" w:hAnsi="Arial" w:cs="Arial"/>
          <w:b/>
          <w:i/>
        </w:rPr>
        <w:t xml:space="preserve">in patient </w:t>
      </w:r>
      <w:r w:rsidR="007D032A" w:rsidRPr="004E567E">
        <w:rPr>
          <w:rFonts w:ascii="Arial" w:hAnsi="Arial" w:cs="Arial"/>
          <w:b/>
          <w:i/>
        </w:rPr>
        <w:t>Diagnosis Related Groups (</w:t>
      </w:r>
      <w:r w:rsidRPr="004E567E">
        <w:rPr>
          <w:rFonts w:ascii="Arial" w:hAnsi="Arial" w:cs="Arial"/>
          <w:b/>
          <w:i/>
        </w:rPr>
        <w:t>DRG</w:t>
      </w:r>
      <w:r w:rsidR="007D032A" w:rsidRPr="004E567E">
        <w:rPr>
          <w:rFonts w:ascii="Arial" w:hAnsi="Arial" w:cs="Arial"/>
          <w:b/>
          <w:i/>
        </w:rPr>
        <w:t>)</w:t>
      </w:r>
      <w:r w:rsidRPr="004E567E">
        <w:rPr>
          <w:rFonts w:ascii="Arial" w:hAnsi="Arial" w:cs="Arial"/>
          <w:b/>
          <w:i/>
        </w:rPr>
        <w:t xml:space="preserve"> services:</w:t>
      </w:r>
    </w:p>
    <w:p w:rsidR="006F546C" w:rsidRDefault="006C6D65" w:rsidP="003B4B1B">
      <w:pPr>
        <w:pStyle w:val="bullet"/>
        <w:ind w:left="540" w:hanging="540"/>
        <w:jc w:val="left"/>
        <w:rPr>
          <w:sz w:val="24"/>
        </w:rPr>
      </w:pPr>
      <w:r w:rsidRPr="00912EF5">
        <w:rPr>
          <w:sz w:val="24"/>
        </w:rPr>
        <w:t>p</w:t>
      </w:r>
      <w:r w:rsidR="006F546C" w:rsidRPr="00912EF5">
        <w:rPr>
          <w:sz w:val="24"/>
        </w:rPr>
        <w:t>re-admission clinic</w:t>
      </w:r>
    </w:p>
    <w:p w:rsidR="00DF08F0" w:rsidRPr="00912EF5" w:rsidRDefault="00DF08F0" w:rsidP="00DF08F0">
      <w:pPr>
        <w:pStyle w:val="bullet"/>
        <w:ind w:left="567" w:hanging="567"/>
        <w:rPr>
          <w:sz w:val="24"/>
        </w:rPr>
      </w:pPr>
      <w:r w:rsidRPr="00DF08F0">
        <w:rPr>
          <w:sz w:val="24"/>
        </w:rPr>
        <w:t>pretransplant assessment clinics (transplant coordinator, medical and surgical</w:t>
      </w:r>
      <w:r>
        <w:rPr>
          <w:sz w:val="24"/>
        </w:rPr>
        <w:t>)</w:t>
      </w:r>
    </w:p>
    <w:p w:rsidR="006F546C" w:rsidRPr="00912EF5" w:rsidRDefault="006C6D65" w:rsidP="003B4B1B">
      <w:pPr>
        <w:pStyle w:val="bullet"/>
        <w:ind w:left="540" w:hanging="540"/>
        <w:jc w:val="left"/>
        <w:rPr>
          <w:sz w:val="24"/>
        </w:rPr>
      </w:pPr>
      <w:r w:rsidRPr="00912EF5">
        <w:rPr>
          <w:sz w:val="24"/>
        </w:rPr>
        <w:t>e</w:t>
      </w:r>
      <w:r w:rsidR="006F546C" w:rsidRPr="00912EF5">
        <w:rPr>
          <w:sz w:val="24"/>
        </w:rPr>
        <w:t>mergency and elective access to operating rooms</w:t>
      </w:r>
    </w:p>
    <w:p w:rsidR="006F546C" w:rsidRPr="00912EF5" w:rsidRDefault="006C6D65" w:rsidP="003B4B1B">
      <w:pPr>
        <w:pStyle w:val="bullet"/>
        <w:ind w:left="540" w:hanging="540"/>
        <w:jc w:val="left"/>
        <w:rPr>
          <w:sz w:val="24"/>
        </w:rPr>
      </w:pPr>
      <w:r w:rsidRPr="00912EF5">
        <w:rPr>
          <w:sz w:val="24"/>
        </w:rPr>
        <w:t>t</w:t>
      </w:r>
      <w:r w:rsidR="006F546C" w:rsidRPr="00912EF5">
        <w:rPr>
          <w:sz w:val="24"/>
        </w:rPr>
        <w:t>ransport of organs/patients</w:t>
      </w:r>
    </w:p>
    <w:p w:rsidR="006F546C" w:rsidRPr="00DC5A12" w:rsidRDefault="00B45431" w:rsidP="003B4B1B">
      <w:pPr>
        <w:pStyle w:val="bullet"/>
        <w:ind w:left="540" w:hanging="540"/>
        <w:rPr>
          <w:sz w:val="24"/>
        </w:rPr>
      </w:pPr>
      <w:r w:rsidRPr="00B45431">
        <w:rPr>
          <w:sz w:val="24"/>
        </w:rPr>
        <w:t xml:space="preserve">deceased </w:t>
      </w:r>
      <w:r w:rsidR="006F546C" w:rsidRPr="00DC5A12">
        <w:rPr>
          <w:sz w:val="24"/>
        </w:rPr>
        <w:t>or live-donor</w:t>
      </w:r>
      <w:r w:rsidR="00511C3E">
        <w:rPr>
          <w:sz w:val="24"/>
        </w:rPr>
        <w:t xml:space="preserve"> </w:t>
      </w:r>
      <w:r w:rsidR="006F546C" w:rsidRPr="00DC5A12">
        <w:rPr>
          <w:sz w:val="24"/>
        </w:rPr>
        <w:t>derived organs</w:t>
      </w:r>
    </w:p>
    <w:p w:rsidR="006F546C" w:rsidRPr="00912EF5" w:rsidRDefault="006C6D65" w:rsidP="003B4B1B">
      <w:pPr>
        <w:pStyle w:val="bullet"/>
        <w:ind w:left="540" w:hanging="540"/>
        <w:jc w:val="left"/>
        <w:rPr>
          <w:sz w:val="24"/>
        </w:rPr>
      </w:pPr>
      <w:r w:rsidRPr="00912EF5">
        <w:rPr>
          <w:sz w:val="24"/>
        </w:rPr>
        <w:t>s</w:t>
      </w:r>
      <w:r w:rsidR="006F546C" w:rsidRPr="00912EF5">
        <w:rPr>
          <w:sz w:val="24"/>
        </w:rPr>
        <w:t xml:space="preserve">pecialist services including: </w:t>
      </w:r>
      <w:r w:rsidRPr="00912EF5">
        <w:rPr>
          <w:sz w:val="24"/>
        </w:rPr>
        <w:t>c</w:t>
      </w:r>
      <w:r w:rsidR="006F546C" w:rsidRPr="00912EF5">
        <w:rPr>
          <w:sz w:val="24"/>
        </w:rPr>
        <w:t>ardiology, respiratory, hepatology, nephrology, haematology, infecti</w:t>
      </w:r>
      <w:r w:rsidR="00A90341">
        <w:rPr>
          <w:sz w:val="24"/>
        </w:rPr>
        <w:t>on control</w:t>
      </w:r>
      <w:r w:rsidR="006F546C" w:rsidRPr="00912EF5">
        <w:rPr>
          <w:sz w:val="24"/>
        </w:rPr>
        <w:t>, intensive care, anaestheology, immunology, psychiatry, urology, neurology, and gastroenterology</w:t>
      </w:r>
    </w:p>
    <w:p w:rsidR="006F546C" w:rsidRPr="005C7D61" w:rsidRDefault="006C6D65" w:rsidP="003B4B1B">
      <w:pPr>
        <w:pStyle w:val="bullet"/>
        <w:ind w:left="540" w:hanging="540"/>
        <w:rPr>
          <w:sz w:val="24"/>
        </w:rPr>
      </w:pPr>
      <w:r w:rsidRPr="005C7D61">
        <w:rPr>
          <w:sz w:val="24"/>
        </w:rPr>
        <w:t>c</w:t>
      </w:r>
      <w:r w:rsidR="006F546C" w:rsidRPr="005C7D61">
        <w:rPr>
          <w:sz w:val="24"/>
        </w:rPr>
        <w:t xml:space="preserve">linical support services eg, </w:t>
      </w:r>
      <w:r w:rsidR="005C7D61">
        <w:rPr>
          <w:sz w:val="24"/>
        </w:rPr>
        <w:t xml:space="preserve">diagnostic </w:t>
      </w:r>
      <w:r w:rsidR="00206A10">
        <w:rPr>
          <w:sz w:val="24"/>
        </w:rPr>
        <w:t xml:space="preserve">imaging </w:t>
      </w:r>
      <w:r w:rsidR="005C7D61">
        <w:rPr>
          <w:sz w:val="24"/>
        </w:rPr>
        <w:t>services</w:t>
      </w:r>
      <w:r w:rsidR="005C7D61" w:rsidRPr="005C7D61">
        <w:rPr>
          <w:sz w:val="24"/>
        </w:rPr>
        <w:t>, pathology</w:t>
      </w:r>
      <w:r w:rsidR="006F546C" w:rsidRPr="005C7D61">
        <w:rPr>
          <w:sz w:val="24"/>
        </w:rPr>
        <w:t xml:space="preserve">, laboratory, allied health </w:t>
      </w:r>
    </w:p>
    <w:p w:rsidR="006F546C" w:rsidRPr="00912EF5" w:rsidRDefault="006C6D65" w:rsidP="006C6D65">
      <w:pPr>
        <w:pStyle w:val="bullet"/>
        <w:ind w:left="540" w:hanging="540"/>
        <w:jc w:val="left"/>
        <w:rPr>
          <w:sz w:val="24"/>
        </w:rPr>
      </w:pPr>
      <w:r w:rsidRPr="00912EF5">
        <w:rPr>
          <w:sz w:val="24"/>
        </w:rPr>
        <w:t>c</w:t>
      </w:r>
      <w:r w:rsidR="006F546C" w:rsidRPr="00912EF5">
        <w:rPr>
          <w:sz w:val="24"/>
        </w:rPr>
        <w:t xml:space="preserve">onsumable supplies eg, </w:t>
      </w:r>
      <w:r w:rsidR="00F64C2A" w:rsidRPr="00F64C2A">
        <w:rPr>
          <w:sz w:val="24"/>
        </w:rPr>
        <w:t>New Zealand Blood Service</w:t>
      </w:r>
      <w:r w:rsidR="00F64C2A">
        <w:rPr>
          <w:sz w:val="24"/>
        </w:rPr>
        <w:t>,</w:t>
      </w:r>
      <w:r w:rsidR="00F64C2A" w:rsidRPr="00F64C2A">
        <w:rPr>
          <w:sz w:val="24"/>
        </w:rPr>
        <w:t xml:space="preserve"> </w:t>
      </w:r>
      <w:r w:rsidR="006F546C" w:rsidRPr="00912EF5">
        <w:rPr>
          <w:sz w:val="24"/>
        </w:rPr>
        <w:t>pharmaceuticals, and prostheses</w:t>
      </w:r>
    </w:p>
    <w:p w:rsidR="00DF08F0" w:rsidRDefault="006C6D65" w:rsidP="006C6D65">
      <w:pPr>
        <w:pStyle w:val="bullet"/>
        <w:ind w:left="540" w:hanging="540"/>
        <w:jc w:val="left"/>
        <w:rPr>
          <w:sz w:val="24"/>
        </w:rPr>
      </w:pPr>
      <w:r w:rsidRPr="00912EF5">
        <w:rPr>
          <w:sz w:val="24"/>
        </w:rPr>
        <w:t>c</w:t>
      </w:r>
      <w:r w:rsidR="006F546C" w:rsidRPr="00912EF5">
        <w:rPr>
          <w:sz w:val="24"/>
        </w:rPr>
        <w:t>ommercial support services eg, accommodation and meals</w:t>
      </w:r>
      <w:r w:rsidR="00DF08F0">
        <w:rPr>
          <w:sz w:val="24"/>
        </w:rPr>
        <w:t>.</w:t>
      </w:r>
    </w:p>
    <w:p w:rsidR="006F546C" w:rsidRPr="004E567E" w:rsidRDefault="006F546C" w:rsidP="00A7092C">
      <w:pPr>
        <w:pStyle w:val="text"/>
        <w:spacing w:before="120"/>
        <w:ind w:hanging="17"/>
        <w:jc w:val="left"/>
        <w:rPr>
          <w:b/>
          <w:i/>
          <w:sz w:val="24"/>
          <w:szCs w:val="24"/>
        </w:rPr>
      </w:pPr>
      <w:r w:rsidRPr="004E567E">
        <w:rPr>
          <w:b/>
          <w:i/>
          <w:sz w:val="24"/>
          <w:szCs w:val="24"/>
        </w:rPr>
        <w:t xml:space="preserve">For </w:t>
      </w:r>
      <w:r w:rsidR="00A90341" w:rsidRPr="004E567E">
        <w:rPr>
          <w:b/>
          <w:i/>
          <w:sz w:val="24"/>
          <w:szCs w:val="24"/>
        </w:rPr>
        <w:t xml:space="preserve">outpatient </w:t>
      </w:r>
      <w:r w:rsidRPr="004E567E">
        <w:rPr>
          <w:b/>
          <w:i/>
          <w:sz w:val="24"/>
          <w:szCs w:val="24"/>
        </w:rPr>
        <w:t>non-DRG services:</w:t>
      </w:r>
    </w:p>
    <w:p w:rsidR="006F546C" w:rsidRPr="00912EF5" w:rsidRDefault="006C6D65" w:rsidP="006C6D65">
      <w:pPr>
        <w:pStyle w:val="bullet"/>
        <w:ind w:left="540" w:hanging="540"/>
        <w:jc w:val="left"/>
        <w:rPr>
          <w:sz w:val="24"/>
        </w:rPr>
      </w:pPr>
      <w:r w:rsidRPr="00912EF5">
        <w:rPr>
          <w:sz w:val="24"/>
        </w:rPr>
        <w:t>t</w:t>
      </w:r>
      <w:r w:rsidR="006F546C" w:rsidRPr="00912EF5">
        <w:rPr>
          <w:sz w:val="24"/>
        </w:rPr>
        <w:t>reatment, therapy, advice, diagnostic or investigatory procedures</w:t>
      </w:r>
    </w:p>
    <w:p w:rsidR="006F546C" w:rsidRDefault="006C6D65" w:rsidP="006C6D65">
      <w:pPr>
        <w:pStyle w:val="bullet"/>
        <w:ind w:left="540" w:hanging="540"/>
        <w:jc w:val="left"/>
        <w:rPr>
          <w:sz w:val="24"/>
        </w:rPr>
      </w:pPr>
      <w:r w:rsidRPr="00912EF5">
        <w:rPr>
          <w:sz w:val="24"/>
        </w:rPr>
        <w:t>o</w:t>
      </w:r>
      <w:r w:rsidR="006F546C" w:rsidRPr="00912EF5">
        <w:rPr>
          <w:sz w:val="24"/>
        </w:rPr>
        <w:t xml:space="preserve">ther health professionals including additional medical practitioners </w:t>
      </w:r>
    </w:p>
    <w:p w:rsidR="00DF08F0" w:rsidRPr="00912EF5" w:rsidRDefault="00DF08F0" w:rsidP="00DF08F0">
      <w:pPr>
        <w:pStyle w:val="bullet"/>
        <w:ind w:left="567" w:hanging="567"/>
        <w:rPr>
          <w:sz w:val="24"/>
        </w:rPr>
      </w:pPr>
      <w:r w:rsidRPr="00DF08F0">
        <w:rPr>
          <w:sz w:val="24"/>
        </w:rPr>
        <w:t>pretransplant patient education sessions</w:t>
      </w:r>
    </w:p>
    <w:p w:rsidR="006F546C" w:rsidRPr="00912EF5" w:rsidRDefault="006C6D65" w:rsidP="006C6D65">
      <w:pPr>
        <w:pStyle w:val="bullet"/>
        <w:ind w:left="540" w:hanging="540"/>
        <w:jc w:val="left"/>
        <w:rPr>
          <w:sz w:val="24"/>
        </w:rPr>
      </w:pPr>
      <w:r w:rsidRPr="00912EF5">
        <w:rPr>
          <w:sz w:val="24"/>
        </w:rPr>
        <w:t>t</w:t>
      </w:r>
      <w:r w:rsidR="006F546C" w:rsidRPr="00912EF5">
        <w:rPr>
          <w:sz w:val="24"/>
        </w:rPr>
        <w:t>ests requested during an attendance but carried out at another place and time</w:t>
      </w:r>
    </w:p>
    <w:p w:rsidR="006F546C" w:rsidRPr="00912EF5" w:rsidRDefault="006C6D65" w:rsidP="006C6D65">
      <w:pPr>
        <w:pStyle w:val="bullet"/>
        <w:ind w:left="540" w:hanging="540"/>
        <w:jc w:val="left"/>
        <w:rPr>
          <w:sz w:val="24"/>
        </w:rPr>
      </w:pPr>
      <w:r w:rsidRPr="00912EF5">
        <w:rPr>
          <w:sz w:val="24"/>
        </w:rPr>
        <w:t>p</w:t>
      </w:r>
      <w:r w:rsidR="006F546C" w:rsidRPr="00912EF5">
        <w:rPr>
          <w:sz w:val="24"/>
        </w:rPr>
        <w:t>harmaceuticals used or consumed during assessment or treatment</w:t>
      </w:r>
    </w:p>
    <w:p w:rsidR="006F546C" w:rsidRPr="00912EF5" w:rsidRDefault="00A75A91" w:rsidP="006C6D65">
      <w:pPr>
        <w:pStyle w:val="bullet"/>
        <w:ind w:left="540" w:hanging="540"/>
        <w:jc w:val="left"/>
        <w:rPr>
          <w:sz w:val="24"/>
        </w:rPr>
      </w:pPr>
      <w:r>
        <w:rPr>
          <w:sz w:val="24"/>
        </w:rPr>
        <w:t>virtual health/</w:t>
      </w:r>
      <w:r w:rsidR="00F46189">
        <w:rPr>
          <w:sz w:val="24"/>
        </w:rPr>
        <w:t>telehealth</w:t>
      </w:r>
      <w:r w:rsidR="003B4B1B">
        <w:rPr>
          <w:rStyle w:val="FootnoteReference"/>
          <w:sz w:val="24"/>
        </w:rPr>
        <w:footnoteReference w:id="2"/>
      </w:r>
      <w:r w:rsidR="003B4B1B">
        <w:rPr>
          <w:sz w:val="24"/>
        </w:rPr>
        <w:t>/</w:t>
      </w:r>
      <w:r w:rsidR="006C6D65" w:rsidRPr="00912EF5">
        <w:rPr>
          <w:sz w:val="24"/>
        </w:rPr>
        <w:t>t</w:t>
      </w:r>
      <w:r w:rsidR="006F546C" w:rsidRPr="00912EF5">
        <w:rPr>
          <w:sz w:val="24"/>
        </w:rPr>
        <w:t>elephone consultations</w:t>
      </w:r>
    </w:p>
    <w:p w:rsidR="006F546C" w:rsidRPr="00912EF5" w:rsidRDefault="006C6D65" w:rsidP="006C6D65">
      <w:pPr>
        <w:pStyle w:val="bullet"/>
        <w:ind w:left="540" w:hanging="540"/>
        <w:jc w:val="left"/>
        <w:rPr>
          <w:sz w:val="24"/>
        </w:rPr>
      </w:pPr>
      <w:r w:rsidRPr="00912EF5">
        <w:rPr>
          <w:sz w:val="24"/>
        </w:rPr>
        <w:t>s</w:t>
      </w:r>
      <w:r w:rsidR="006F546C" w:rsidRPr="00912EF5">
        <w:rPr>
          <w:sz w:val="24"/>
        </w:rPr>
        <w:t>taff travel</w:t>
      </w:r>
    </w:p>
    <w:p w:rsidR="00820893" w:rsidRPr="003C567A" w:rsidRDefault="006C6D65" w:rsidP="003C567A">
      <w:pPr>
        <w:pStyle w:val="bullet"/>
        <w:ind w:left="540" w:hanging="540"/>
        <w:jc w:val="left"/>
        <w:rPr>
          <w:b/>
          <w:i/>
        </w:rPr>
      </w:pPr>
      <w:r w:rsidRPr="00912EF5">
        <w:rPr>
          <w:sz w:val="24"/>
        </w:rPr>
        <w:t>s</w:t>
      </w:r>
      <w:r w:rsidR="006F546C" w:rsidRPr="00912EF5">
        <w:rPr>
          <w:sz w:val="24"/>
        </w:rPr>
        <w:t>upply or loan of essential equipment</w:t>
      </w:r>
      <w:r w:rsidRPr="00912EF5">
        <w:rPr>
          <w:sz w:val="24"/>
        </w:rPr>
        <w:t>.</w:t>
      </w:r>
    </w:p>
    <w:p w:rsidR="006F546C" w:rsidRPr="00912EF5" w:rsidRDefault="006F546C" w:rsidP="00A7092C">
      <w:pPr>
        <w:pStyle w:val="List"/>
        <w:spacing w:before="120"/>
        <w:ind w:left="0" w:firstLine="0"/>
        <w:jc w:val="left"/>
        <w:rPr>
          <w:rFonts w:ascii="Arial" w:hAnsi="Arial" w:cs="Arial"/>
          <w:szCs w:val="24"/>
          <w:lang w:val="en-NZ"/>
        </w:rPr>
      </w:pPr>
      <w:r w:rsidRPr="004E567E">
        <w:rPr>
          <w:rFonts w:ascii="Arial" w:hAnsi="Arial" w:cs="Arial"/>
          <w:b/>
          <w:i/>
          <w:szCs w:val="24"/>
          <w:lang w:val="en-NZ"/>
        </w:rPr>
        <w:t>Boarders:</w:t>
      </w:r>
      <w:r w:rsidRPr="00912EF5">
        <w:rPr>
          <w:rFonts w:ascii="Arial" w:hAnsi="Arial" w:cs="Arial"/>
          <w:szCs w:val="24"/>
          <w:lang w:val="en-NZ"/>
        </w:rPr>
        <w:t xml:space="preserve"> a well person accompanying a </w:t>
      </w:r>
      <w:r w:rsidR="005C7D61">
        <w:rPr>
          <w:rFonts w:ascii="Arial" w:hAnsi="Arial" w:cs="Arial"/>
          <w:szCs w:val="24"/>
          <w:lang w:val="en-NZ"/>
        </w:rPr>
        <w:t>patient</w:t>
      </w:r>
      <w:r w:rsidRPr="00912EF5">
        <w:rPr>
          <w:rFonts w:ascii="Arial" w:hAnsi="Arial" w:cs="Arial"/>
          <w:szCs w:val="24"/>
          <w:lang w:val="en-NZ"/>
        </w:rPr>
        <w:t xml:space="preserve"> in hospital will be accommodated by </w:t>
      </w:r>
      <w:r w:rsidR="00357E38">
        <w:rPr>
          <w:rFonts w:ascii="Arial" w:hAnsi="Arial" w:cs="Arial"/>
          <w:szCs w:val="24"/>
          <w:lang w:val="en-NZ"/>
        </w:rPr>
        <w:t xml:space="preserve">the Service </w:t>
      </w:r>
      <w:r w:rsidR="00357E38" w:rsidRPr="00912EF5">
        <w:rPr>
          <w:rFonts w:ascii="Arial" w:hAnsi="Arial" w:cs="Arial"/>
          <w:szCs w:val="24"/>
          <w:lang w:val="en-NZ"/>
        </w:rPr>
        <w:t>as</w:t>
      </w:r>
      <w:r w:rsidRPr="00912EF5">
        <w:rPr>
          <w:rFonts w:ascii="Arial" w:hAnsi="Arial" w:cs="Arial"/>
          <w:szCs w:val="24"/>
          <w:lang w:val="en-NZ"/>
        </w:rPr>
        <w:t xml:space="preserve"> directed by the patient’s medical consultant or the senior nurse on duty. The costs associated with the boarder stay (one day’s stay or more) will be an input to the particular medical or surgical service. </w:t>
      </w:r>
      <w:r w:rsidR="00820893">
        <w:rPr>
          <w:rFonts w:ascii="Arial" w:hAnsi="Arial" w:cs="Arial"/>
          <w:szCs w:val="24"/>
          <w:lang w:val="en-NZ"/>
        </w:rPr>
        <w:t xml:space="preserve"> </w:t>
      </w:r>
      <w:r w:rsidRPr="00912EF5">
        <w:rPr>
          <w:rFonts w:ascii="Arial" w:hAnsi="Arial" w:cs="Arial"/>
          <w:szCs w:val="24"/>
          <w:lang w:val="en-NZ"/>
        </w:rPr>
        <w:t>No charge will be made to the boarder apart from the cost of meals.</w:t>
      </w:r>
    </w:p>
    <w:p w:rsidR="006F546C" w:rsidRPr="004E567E" w:rsidRDefault="006F546C" w:rsidP="00210D36">
      <w:pPr>
        <w:pStyle w:val="heading1"/>
        <w:numPr>
          <w:ilvl w:val="0"/>
          <w:numId w:val="6"/>
        </w:numPr>
        <w:spacing w:before="240" w:after="120"/>
        <w:jc w:val="left"/>
        <w:rPr>
          <w:sz w:val="24"/>
        </w:rPr>
      </w:pPr>
      <w:r w:rsidRPr="004E567E">
        <w:rPr>
          <w:sz w:val="24"/>
        </w:rPr>
        <w:t>S</w:t>
      </w:r>
      <w:r w:rsidR="007D032A" w:rsidRPr="004E567E">
        <w:rPr>
          <w:sz w:val="24"/>
        </w:rPr>
        <w:t>ervice</w:t>
      </w:r>
      <w:r w:rsidRPr="004E567E">
        <w:rPr>
          <w:sz w:val="24"/>
        </w:rPr>
        <w:t xml:space="preserve"> L</w:t>
      </w:r>
      <w:r w:rsidR="007D032A" w:rsidRPr="004E567E">
        <w:rPr>
          <w:sz w:val="24"/>
        </w:rPr>
        <w:t>inkages</w:t>
      </w:r>
    </w:p>
    <w:p w:rsidR="006F546C" w:rsidRPr="00912EF5" w:rsidRDefault="006F546C" w:rsidP="008D461F">
      <w:pPr>
        <w:pStyle w:val="BodyText"/>
        <w:spacing w:after="120"/>
        <w:jc w:val="left"/>
        <w:rPr>
          <w:rFonts w:ascii="Arial" w:hAnsi="Arial" w:cs="Arial"/>
          <w:szCs w:val="24"/>
        </w:rPr>
      </w:pPr>
      <w:r w:rsidRPr="00912EF5">
        <w:rPr>
          <w:rFonts w:ascii="Arial" w:hAnsi="Arial" w:cs="Arial"/>
          <w:szCs w:val="24"/>
        </w:rPr>
        <w:t>This section specif</w:t>
      </w:r>
      <w:r w:rsidR="00357E38">
        <w:rPr>
          <w:rFonts w:ascii="Arial" w:hAnsi="Arial" w:cs="Arial"/>
          <w:szCs w:val="24"/>
        </w:rPr>
        <w:t>ies</w:t>
      </w:r>
      <w:r w:rsidRPr="00912EF5">
        <w:rPr>
          <w:rFonts w:ascii="Arial" w:hAnsi="Arial" w:cs="Arial"/>
          <w:szCs w:val="24"/>
        </w:rPr>
        <w:t xml:space="preserve"> services that are linked to the </w:t>
      </w:r>
      <w:r w:rsidR="00501393">
        <w:rPr>
          <w:rFonts w:ascii="Arial" w:hAnsi="Arial" w:cs="Arial"/>
          <w:szCs w:val="24"/>
        </w:rPr>
        <w:t>S</w:t>
      </w:r>
      <w:r w:rsidRPr="00912EF5">
        <w:rPr>
          <w:rFonts w:ascii="Arial" w:hAnsi="Arial" w:cs="Arial"/>
          <w:szCs w:val="24"/>
        </w:rPr>
        <w:t xml:space="preserve">ervice but are not purchased as a direct, integral component of the </w:t>
      </w:r>
      <w:r w:rsidR="004E567E">
        <w:rPr>
          <w:rFonts w:ascii="Arial" w:hAnsi="Arial" w:cs="Arial"/>
          <w:szCs w:val="24"/>
        </w:rPr>
        <w:t>S</w:t>
      </w:r>
      <w:r w:rsidRPr="00912EF5">
        <w:rPr>
          <w:rFonts w:ascii="Arial" w:hAnsi="Arial" w:cs="Arial"/>
          <w:szCs w:val="24"/>
        </w:rPr>
        <w:t>ervice.</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845"/>
        <w:gridCol w:w="5102"/>
      </w:tblGrid>
      <w:tr w:rsidR="007D032A" w:rsidRPr="00912EF5" w:rsidTr="005B268A">
        <w:trPr>
          <w:tblHeader/>
        </w:trPr>
        <w:tc>
          <w:tcPr>
            <w:tcW w:w="1498" w:type="pct"/>
            <w:shd w:val="clear" w:color="auto" w:fill="D9D9D9"/>
          </w:tcPr>
          <w:p w:rsidR="007D032A" w:rsidRPr="00912EF5" w:rsidRDefault="007D032A" w:rsidP="007D032A">
            <w:pPr>
              <w:spacing w:before="120"/>
              <w:rPr>
                <w:rFonts w:ascii="Arial" w:hAnsi="Arial" w:cs="Arial"/>
                <w:b/>
              </w:rPr>
            </w:pPr>
            <w:bookmarkStart w:id="17" w:name="_Toc215319002"/>
            <w:r w:rsidRPr="00912EF5">
              <w:rPr>
                <w:rFonts w:ascii="Arial" w:hAnsi="Arial" w:cs="Arial"/>
                <w:b/>
              </w:rPr>
              <w:t>Service Provider</w:t>
            </w:r>
            <w:bookmarkEnd w:id="17"/>
          </w:p>
        </w:tc>
        <w:tc>
          <w:tcPr>
            <w:tcW w:w="930" w:type="pct"/>
            <w:shd w:val="clear" w:color="auto" w:fill="D9D9D9"/>
          </w:tcPr>
          <w:p w:rsidR="007D032A" w:rsidRPr="00912EF5" w:rsidDel="00E3468B" w:rsidRDefault="007D032A" w:rsidP="005C7255">
            <w:pPr>
              <w:spacing w:before="120"/>
              <w:jc w:val="left"/>
              <w:rPr>
                <w:rFonts w:ascii="Arial" w:hAnsi="Arial" w:cs="Arial"/>
                <w:b/>
              </w:rPr>
            </w:pPr>
            <w:bookmarkStart w:id="18" w:name="_Toc215319003"/>
            <w:r w:rsidRPr="00912EF5">
              <w:rPr>
                <w:rFonts w:ascii="Arial" w:hAnsi="Arial" w:cs="Arial"/>
                <w:b/>
              </w:rPr>
              <w:t>Nature of Linkage</w:t>
            </w:r>
            <w:bookmarkEnd w:id="18"/>
          </w:p>
        </w:tc>
        <w:tc>
          <w:tcPr>
            <w:tcW w:w="2572" w:type="pct"/>
            <w:shd w:val="clear" w:color="auto" w:fill="D9D9D9"/>
          </w:tcPr>
          <w:p w:rsidR="007D032A" w:rsidRPr="00912EF5" w:rsidRDefault="00097563" w:rsidP="007D032A">
            <w:pPr>
              <w:spacing w:before="120"/>
              <w:rPr>
                <w:rFonts w:ascii="Arial" w:hAnsi="Arial" w:cs="Arial"/>
                <w:b/>
              </w:rPr>
            </w:pPr>
            <w:r w:rsidRPr="00912EF5">
              <w:rPr>
                <w:rFonts w:ascii="Arial" w:hAnsi="Arial" w:cs="Arial"/>
                <w:b/>
              </w:rPr>
              <w:t>Accountabilit</w:t>
            </w:r>
            <w:r>
              <w:rPr>
                <w:rFonts w:ascii="Arial" w:hAnsi="Arial" w:cs="Arial"/>
                <w:b/>
              </w:rPr>
              <w:t>ies</w:t>
            </w:r>
          </w:p>
        </w:tc>
      </w:tr>
      <w:tr w:rsidR="007D032A" w:rsidRPr="00912EF5" w:rsidTr="005B268A">
        <w:tc>
          <w:tcPr>
            <w:tcW w:w="1498" w:type="pct"/>
          </w:tcPr>
          <w:p w:rsidR="007D032A" w:rsidRPr="00820893" w:rsidRDefault="007D032A" w:rsidP="00D0627B">
            <w:pPr>
              <w:jc w:val="left"/>
              <w:rPr>
                <w:rFonts w:ascii="Arial" w:hAnsi="Arial" w:cs="Arial"/>
                <w:sz w:val="22"/>
                <w:szCs w:val="22"/>
              </w:rPr>
            </w:pPr>
            <w:bookmarkStart w:id="19" w:name="_Toc215319005"/>
            <w:r w:rsidRPr="00820893">
              <w:rPr>
                <w:rFonts w:ascii="Arial" w:hAnsi="Arial" w:cs="Arial"/>
                <w:sz w:val="22"/>
                <w:szCs w:val="22"/>
              </w:rPr>
              <w:t>General Practitioner (GP) and primary health carers</w:t>
            </w:r>
            <w:bookmarkEnd w:id="19"/>
          </w:p>
        </w:tc>
        <w:tc>
          <w:tcPr>
            <w:tcW w:w="930" w:type="pct"/>
          </w:tcPr>
          <w:p w:rsidR="007D032A" w:rsidRPr="00820893" w:rsidRDefault="007D032A" w:rsidP="00D0627B">
            <w:pPr>
              <w:jc w:val="left"/>
              <w:rPr>
                <w:rFonts w:ascii="Arial" w:hAnsi="Arial" w:cs="Arial"/>
                <w:sz w:val="22"/>
                <w:szCs w:val="22"/>
              </w:rPr>
            </w:pPr>
            <w:bookmarkStart w:id="20" w:name="_Toc215319006"/>
            <w:r w:rsidRPr="00820893">
              <w:rPr>
                <w:rFonts w:ascii="Arial" w:hAnsi="Arial" w:cs="Arial"/>
                <w:sz w:val="22"/>
                <w:szCs w:val="22"/>
              </w:rPr>
              <w:t>Referral and consultation</w:t>
            </w:r>
            <w:bookmarkEnd w:id="20"/>
          </w:p>
        </w:tc>
        <w:tc>
          <w:tcPr>
            <w:tcW w:w="2572" w:type="pct"/>
          </w:tcPr>
          <w:p w:rsidR="007D032A" w:rsidRPr="00820893" w:rsidRDefault="00E83E5E" w:rsidP="00D0627B">
            <w:pPr>
              <w:jc w:val="left"/>
              <w:rPr>
                <w:rFonts w:ascii="Arial" w:hAnsi="Arial" w:cs="Arial"/>
                <w:sz w:val="22"/>
                <w:szCs w:val="22"/>
              </w:rPr>
            </w:pPr>
            <w:bookmarkStart w:id="21" w:name="_Toc215319007"/>
            <w:r w:rsidRPr="00820893">
              <w:rPr>
                <w:rFonts w:ascii="Arial" w:hAnsi="Arial" w:cs="Arial"/>
                <w:sz w:val="22"/>
                <w:szCs w:val="22"/>
              </w:rPr>
              <w:t xml:space="preserve">Refer </w:t>
            </w:r>
            <w:r w:rsidR="005C7D61" w:rsidRPr="00820893">
              <w:rPr>
                <w:rFonts w:ascii="Arial" w:hAnsi="Arial" w:cs="Arial"/>
                <w:sz w:val="22"/>
                <w:szCs w:val="22"/>
              </w:rPr>
              <w:t xml:space="preserve">patients </w:t>
            </w:r>
            <w:r w:rsidRPr="00820893">
              <w:rPr>
                <w:rFonts w:ascii="Arial" w:hAnsi="Arial" w:cs="Arial"/>
                <w:sz w:val="22"/>
                <w:szCs w:val="22"/>
              </w:rPr>
              <w:t xml:space="preserve">as per referral protocols </w:t>
            </w:r>
            <w:bookmarkEnd w:id="21"/>
          </w:p>
        </w:tc>
      </w:tr>
      <w:tr w:rsidR="007D032A" w:rsidRPr="00912EF5" w:rsidTr="005B268A">
        <w:tc>
          <w:tcPr>
            <w:tcW w:w="1498" w:type="pct"/>
          </w:tcPr>
          <w:p w:rsidR="007D032A" w:rsidRPr="00820893" w:rsidRDefault="00501393" w:rsidP="00D0627B">
            <w:pPr>
              <w:jc w:val="left"/>
              <w:rPr>
                <w:rFonts w:ascii="Arial" w:hAnsi="Arial" w:cs="Arial"/>
                <w:sz w:val="22"/>
                <w:szCs w:val="22"/>
              </w:rPr>
            </w:pPr>
            <w:bookmarkStart w:id="22" w:name="_Toc215319008"/>
            <w:r w:rsidRPr="00820893">
              <w:rPr>
                <w:rFonts w:ascii="Arial" w:hAnsi="Arial" w:cs="Arial"/>
                <w:sz w:val="22"/>
                <w:szCs w:val="22"/>
              </w:rPr>
              <w:t xml:space="preserve">Other </w:t>
            </w:r>
            <w:r w:rsidR="00206A10" w:rsidRPr="00820893">
              <w:rPr>
                <w:rFonts w:ascii="Arial" w:hAnsi="Arial" w:cs="Arial"/>
                <w:sz w:val="22"/>
                <w:szCs w:val="22"/>
              </w:rPr>
              <w:t xml:space="preserve">Specialist </w:t>
            </w:r>
            <w:r w:rsidR="00E83E5E" w:rsidRPr="00820893">
              <w:rPr>
                <w:rFonts w:ascii="Arial" w:hAnsi="Arial" w:cs="Arial"/>
                <w:sz w:val="22"/>
                <w:szCs w:val="22"/>
              </w:rPr>
              <w:t>Services</w:t>
            </w:r>
            <w:r w:rsidR="00206A10" w:rsidRPr="00820893">
              <w:rPr>
                <w:rFonts w:ascii="Arial" w:hAnsi="Arial" w:cs="Arial"/>
                <w:sz w:val="22"/>
                <w:szCs w:val="22"/>
              </w:rPr>
              <w:t xml:space="preserve"> and Allied Health</w:t>
            </w:r>
            <w:bookmarkEnd w:id="22"/>
          </w:p>
        </w:tc>
        <w:tc>
          <w:tcPr>
            <w:tcW w:w="930" w:type="pct"/>
          </w:tcPr>
          <w:p w:rsidR="007D032A" w:rsidRPr="00820893" w:rsidRDefault="007D032A" w:rsidP="00D0627B">
            <w:pPr>
              <w:jc w:val="left"/>
              <w:rPr>
                <w:rFonts w:ascii="Arial" w:hAnsi="Arial" w:cs="Arial"/>
                <w:sz w:val="22"/>
                <w:szCs w:val="22"/>
              </w:rPr>
            </w:pPr>
            <w:bookmarkStart w:id="23" w:name="_Toc215319020"/>
            <w:r w:rsidRPr="00820893">
              <w:rPr>
                <w:rFonts w:ascii="Arial" w:hAnsi="Arial" w:cs="Arial"/>
                <w:sz w:val="22"/>
                <w:szCs w:val="22"/>
              </w:rPr>
              <w:t>Referral and consultation</w:t>
            </w:r>
            <w:bookmarkEnd w:id="23"/>
          </w:p>
        </w:tc>
        <w:tc>
          <w:tcPr>
            <w:tcW w:w="2572" w:type="pct"/>
          </w:tcPr>
          <w:p w:rsidR="007D032A" w:rsidRPr="00820893" w:rsidRDefault="00E83E5E" w:rsidP="00D0627B">
            <w:pPr>
              <w:jc w:val="left"/>
              <w:rPr>
                <w:rFonts w:ascii="Arial" w:hAnsi="Arial" w:cs="Arial"/>
                <w:sz w:val="22"/>
                <w:szCs w:val="22"/>
              </w:rPr>
            </w:pPr>
            <w:bookmarkStart w:id="24" w:name="_Toc215319021"/>
            <w:r w:rsidRPr="00820893">
              <w:rPr>
                <w:rFonts w:ascii="Arial" w:hAnsi="Arial" w:cs="Arial"/>
                <w:sz w:val="22"/>
                <w:szCs w:val="22"/>
              </w:rPr>
              <w:t>Refer for clinical assessment, treatment and intervention</w:t>
            </w:r>
            <w:bookmarkEnd w:id="24"/>
            <w:r w:rsidR="005C7255">
              <w:rPr>
                <w:rFonts w:ascii="Arial" w:hAnsi="Arial" w:cs="Arial"/>
                <w:sz w:val="22"/>
                <w:szCs w:val="22"/>
              </w:rPr>
              <w:t>.</w:t>
            </w:r>
          </w:p>
        </w:tc>
      </w:tr>
      <w:tr w:rsidR="00E83E5E" w:rsidRPr="00912EF5" w:rsidTr="005B268A">
        <w:trPr>
          <w:trHeight w:val="966"/>
        </w:trPr>
        <w:tc>
          <w:tcPr>
            <w:tcW w:w="1498" w:type="pct"/>
          </w:tcPr>
          <w:p w:rsidR="00E83E5E" w:rsidRPr="00820893" w:rsidRDefault="008D1854" w:rsidP="00D0627B">
            <w:pPr>
              <w:jc w:val="left"/>
              <w:rPr>
                <w:rFonts w:ascii="Arial" w:hAnsi="Arial" w:cs="Arial"/>
                <w:sz w:val="22"/>
                <w:szCs w:val="22"/>
              </w:rPr>
            </w:pPr>
            <w:r w:rsidRPr="00820893">
              <w:rPr>
                <w:rFonts w:ascii="Arial" w:hAnsi="Arial" w:cs="Arial"/>
                <w:sz w:val="22"/>
                <w:szCs w:val="22"/>
              </w:rPr>
              <w:t>The Australia and New Zealand Dialysis and Transplant Registry (</w:t>
            </w:r>
            <w:r w:rsidR="00E83E5E" w:rsidRPr="00820893">
              <w:rPr>
                <w:rFonts w:ascii="Arial" w:hAnsi="Arial" w:cs="Arial"/>
                <w:sz w:val="22"/>
                <w:szCs w:val="22"/>
              </w:rPr>
              <w:t>ANZDATA</w:t>
            </w:r>
            <w:r w:rsidRPr="00820893">
              <w:rPr>
                <w:rFonts w:ascii="Arial" w:hAnsi="Arial" w:cs="Arial"/>
                <w:sz w:val="22"/>
                <w:szCs w:val="22"/>
              </w:rPr>
              <w:t>)</w:t>
            </w:r>
          </w:p>
        </w:tc>
        <w:tc>
          <w:tcPr>
            <w:tcW w:w="930" w:type="pct"/>
          </w:tcPr>
          <w:p w:rsidR="00E83E5E" w:rsidRPr="00820893" w:rsidRDefault="00E83E5E" w:rsidP="00D0627B">
            <w:pPr>
              <w:jc w:val="left"/>
              <w:rPr>
                <w:rFonts w:ascii="Arial" w:hAnsi="Arial" w:cs="Arial"/>
                <w:sz w:val="22"/>
                <w:szCs w:val="22"/>
              </w:rPr>
            </w:pPr>
            <w:r w:rsidRPr="00820893">
              <w:rPr>
                <w:rFonts w:ascii="Arial" w:hAnsi="Arial" w:cs="Arial"/>
                <w:sz w:val="22"/>
                <w:szCs w:val="22"/>
              </w:rPr>
              <w:t xml:space="preserve">Facilitate Service </w:t>
            </w:r>
            <w:r w:rsidR="00206A10" w:rsidRPr="00820893">
              <w:rPr>
                <w:rFonts w:ascii="Arial" w:hAnsi="Arial" w:cs="Arial"/>
                <w:sz w:val="22"/>
                <w:szCs w:val="22"/>
              </w:rPr>
              <w:t xml:space="preserve">planning </w:t>
            </w:r>
          </w:p>
        </w:tc>
        <w:tc>
          <w:tcPr>
            <w:tcW w:w="2572" w:type="pct"/>
          </w:tcPr>
          <w:p w:rsidR="00E83E5E" w:rsidRPr="00820893" w:rsidRDefault="00E83E5E" w:rsidP="00D0627B">
            <w:pPr>
              <w:jc w:val="left"/>
              <w:rPr>
                <w:rFonts w:ascii="Arial" w:hAnsi="Arial" w:cs="Arial"/>
                <w:sz w:val="22"/>
                <w:szCs w:val="22"/>
              </w:rPr>
            </w:pPr>
            <w:r w:rsidRPr="00820893">
              <w:rPr>
                <w:rFonts w:ascii="Arial" w:hAnsi="Arial" w:cs="Arial"/>
                <w:sz w:val="22"/>
                <w:szCs w:val="22"/>
              </w:rPr>
              <w:t>Monitor outcome</w:t>
            </w:r>
            <w:r w:rsidR="00775532">
              <w:rPr>
                <w:rFonts w:ascii="Arial" w:hAnsi="Arial" w:cs="Arial"/>
                <w:sz w:val="22"/>
                <w:szCs w:val="22"/>
              </w:rPr>
              <w:t>s</w:t>
            </w:r>
            <w:r w:rsidRPr="00820893">
              <w:rPr>
                <w:rFonts w:ascii="Arial" w:hAnsi="Arial" w:cs="Arial"/>
                <w:sz w:val="22"/>
                <w:szCs w:val="22"/>
              </w:rPr>
              <w:t xml:space="preserve"> in relation to Australasian register through the provision of accurate data.</w:t>
            </w:r>
          </w:p>
        </w:tc>
      </w:tr>
      <w:tr w:rsidR="007D032A" w:rsidRPr="00912EF5" w:rsidTr="005B268A">
        <w:trPr>
          <w:trHeight w:val="1232"/>
        </w:trPr>
        <w:tc>
          <w:tcPr>
            <w:tcW w:w="1498" w:type="pct"/>
          </w:tcPr>
          <w:p w:rsidR="007D032A" w:rsidRPr="00820893" w:rsidRDefault="008D1854" w:rsidP="00D0627B">
            <w:pPr>
              <w:jc w:val="left"/>
              <w:rPr>
                <w:rFonts w:ascii="Arial" w:hAnsi="Arial" w:cs="Arial"/>
                <w:sz w:val="22"/>
                <w:szCs w:val="22"/>
              </w:rPr>
            </w:pPr>
            <w:bookmarkStart w:id="25" w:name="_Toc215319022"/>
            <w:r w:rsidRPr="00820893">
              <w:rPr>
                <w:rFonts w:ascii="Arial" w:hAnsi="Arial" w:cs="Arial"/>
                <w:sz w:val="22"/>
                <w:szCs w:val="22"/>
              </w:rPr>
              <w:t>S</w:t>
            </w:r>
            <w:r w:rsidR="007D032A" w:rsidRPr="00820893">
              <w:rPr>
                <w:rFonts w:ascii="Arial" w:hAnsi="Arial" w:cs="Arial"/>
                <w:sz w:val="22"/>
                <w:szCs w:val="22"/>
              </w:rPr>
              <w:t>ocial services, counselling, home help, community services</w:t>
            </w:r>
            <w:bookmarkEnd w:id="25"/>
            <w:r w:rsidR="00206A10" w:rsidRPr="00820893">
              <w:rPr>
                <w:rFonts w:ascii="Arial" w:hAnsi="Arial" w:cs="Arial"/>
                <w:sz w:val="22"/>
                <w:szCs w:val="22"/>
              </w:rPr>
              <w:t xml:space="preserve"> Specialist community nursing services</w:t>
            </w:r>
          </w:p>
        </w:tc>
        <w:tc>
          <w:tcPr>
            <w:tcW w:w="930" w:type="pct"/>
          </w:tcPr>
          <w:p w:rsidR="007D032A" w:rsidRPr="00820893" w:rsidRDefault="007D032A" w:rsidP="00D0627B">
            <w:pPr>
              <w:jc w:val="left"/>
              <w:rPr>
                <w:rFonts w:ascii="Arial" w:hAnsi="Arial" w:cs="Arial"/>
                <w:sz w:val="22"/>
                <w:szCs w:val="22"/>
              </w:rPr>
            </w:pPr>
            <w:bookmarkStart w:id="26" w:name="_Toc215319023"/>
            <w:r w:rsidRPr="00820893">
              <w:rPr>
                <w:rFonts w:ascii="Arial" w:hAnsi="Arial" w:cs="Arial"/>
                <w:sz w:val="22"/>
                <w:szCs w:val="22"/>
              </w:rPr>
              <w:t>Referral and consultation</w:t>
            </w:r>
            <w:bookmarkEnd w:id="26"/>
          </w:p>
        </w:tc>
        <w:tc>
          <w:tcPr>
            <w:tcW w:w="2572" w:type="pct"/>
          </w:tcPr>
          <w:p w:rsidR="007D032A" w:rsidRPr="00820893" w:rsidRDefault="007D032A" w:rsidP="00D0627B">
            <w:pPr>
              <w:jc w:val="left"/>
              <w:rPr>
                <w:rFonts w:ascii="Arial" w:hAnsi="Arial" w:cs="Arial"/>
                <w:sz w:val="22"/>
                <w:szCs w:val="22"/>
              </w:rPr>
            </w:pPr>
            <w:bookmarkStart w:id="27" w:name="_Toc215319024"/>
            <w:r w:rsidRPr="00820893">
              <w:rPr>
                <w:rFonts w:ascii="Arial" w:hAnsi="Arial" w:cs="Arial"/>
                <w:sz w:val="22"/>
                <w:szCs w:val="22"/>
              </w:rPr>
              <w:t>Assessment, treatment and intervention that supports seamless service delivery and continuity of care</w:t>
            </w:r>
            <w:r w:rsidR="005C7255">
              <w:rPr>
                <w:rFonts w:ascii="Arial" w:hAnsi="Arial" w:cs="Arial"/>
                <w:sz w:val="22"/>
                <w:szCs w:val="22"/>
              </w:rPr>
              <w:t>.</w:t>
            </w:r>
            <w:bookmarkEnd w:id="27"/>
          </w:p>
        </w:tc>
      </w:tr>
      <w:tr w:rsidR="007D032A" w:rsidRPr="00912EF5" w:rsidTr="005B268A">
        <w:tc>
          <w:tcPr>
            <w:tcW w:w="1498" w:type="pct"/>
            <w:tcBorders>
              <w:bottom w:val="nil"/>
            </w:tcBorders>
          </w:tcPr>
          <w:p w:rsidR="007D032A" w:rsidRPr="00820893" w:rsidRDefault="008D1854" w:rsidP="00D0627B">
            <w:pPr>
              <w:jc w:val="left"/>
              <w:rPr>
                <w:rFonts w:ascii="Arial" w:hAnsi="Arial" w:cs="Arial"/>
                <w:sz w:val="22"/>
                <w:szCs w:val="22"/>
              </w:rPr>
            </w:pPr>
            <w:bookmarkStart w:id="28" w:name="_Toc215319028"/>
            <w:r w:rsidRPr="00820893">
              <w:rPr>
                <w:rFonts w:ascii="Arial" w:hAnsi="Arial" w:cs="Arial"/>
                <w:sz w:val="22"/>
                <w:szCs w:val="22"/>
              </w:rPr>
              <w:t>Māori</w:t>
            </w:r>
            <w:r w:rsidR="007D032A" w:rsidRPr="00820893">
              <w:rPr>
                <w:rFonts w:ascii="Arial" w:hAnsi="Arial" w:cs="Arial"/>
                <w:sz w:val="22"/>
                <w:szCs w:val="22"/>
              </w:rPr>
              <w:t xml:space="preserve"> iwi and </w:t>
            </w:r>
            <w:r w:rsidRPr="00820893">
              <w:rPr>
                <w:rFonts w:ascii="Arial" w:hAnsi="Arial" w:cs="Arial"/>
                <w:sz w:val="22"/>
                <w:szCs w:val="22"/>
              </w:rPr>
              <w:t>Māori</w:t>
            </w:r>
            <w:r w:rsidR="007D032A" w:rsidRPr="00820893">
              <w:rPr>
                <w:rFonts w:ascii="Arial" w:hAnsi="Arial" w:cs="Arial"/>
                <w:sz w:val="22"/>
                <w:szCs w:val="22"/>
              </w:rPr>
              <w:t xml:space="preserve"> communities</w:t>
            </w:r>
            <w:bookmarkEnd w:id="28"/>
          </w:p>
        </w:tc>
        <w:tc>
          <w:tcPr>
            <w:tcW w:w="930" w:type="pct"/>
            <w:tcBorders>
              <w:bottom w:val="nil"/>
            </w:tcBorders>
          </w:tcPr>
          <w:p w:rsidR="007D032A" w:rsidRPr="00820893" w:rsidRDefault="007D032A" w:rsidP="00D0627B">
            <w:pPr>
              <w:jc w:val="left"/>
              <w:rPr>
                <w:rFonts w:ascii="Arial" w:hAnsi="Arial" w:cs="Arial"/>
                <w:sz w:val="22"/>
                <w:szCs w:val="22"/>
              </w:rPr>
            </w:pPr>
            <w:bookmarkStart w:id="29" w:name="_Toc215319029"/>
            <w:r w:rsidRPr="00820893">
              <w:rPr>
                <w:rFonts w:ascii="Arial" w:hAnsi="Arial" w:cs="Arial"/>
                <w:sz w:val="22"/>
                <w:szCs w:val="22"/>
              </w:rPr>
              <w:t>Facilitate Service access and participation</w:t>
            </w:r>
            <w:bookmarkEnd w:id="29"/>
          </w:p>
        </w:tc>
        <w:tc>
          <w:tcPr>
            <w:tcW w:w="2572" w:type="pct"/>
            <w:tcBorders>
              <w:bottom w:val="nil"/>
            </w:tcBorders>
          </w:tcPr>
          <w:p w:rsidR="007D032A" w:rsidRPr="00820893" w:rsidRDefault="007D032A" w:rsidP="00D0627B">
            <w:pPr>
              <w:jc w:val="left"/>
              <w:rPr>
                <w:rFonts w:ascii="Arial" w:hAnsi="Arial" w:cs="Arial"/>
                <w:sz w:val="22"/>
                <w:szCs w:val="22"/>
              </w:rPr>
            </w:pPr>
            <w:bookmarkStart w:id="30" w:name="_Toc215319030"/>
            <w:r w:rsidRPr="00820893">
              <w:rPr>
                <w:rFonts w:ascii="Arial" w:hAnsi="Arial" w:cs="Arial"/>
                <w:sz w:val="22"/>
                <w:szCs w:val="22"/>
              </w:rPr>
              <w:t>Liaise with local iwi and communities to ensure culturally appropriateness and accessibility to services.</w:t>
            </w:r>
            <w:bookmarkEnd w:id="30"/>
          </w:p>
        </w:tc>
      </w:tr>
      <w:tr w:rsidR="007D032A" w:rsidRPr="00912EF5" w:rsidTr="005B268A">
        <w:tc>
          <w:tcPr>
            <w:tcW w:w="1498" w:type="pct"/>
          </w:tcPr>
          <w:p w:rsidR="007D032A" w:rsidRPr="00820893" w:rsidRDefault="007D032A" w:rsidP="00D0627B">
            <w:pPr>
              <w:jc w:val="left"/>
              <w:rPr>
                <w:rFonts w:ascii="Arial" w:hAnsi="Arial" w:cs="Arial"/>
                <w:sz w:val="22"/>
                <w:szCs w:val="22"/>
              </w:rPr>
            </w:pPr>
            <w:bookmarkStart w:id="31" w:name="_Toc215319031"/>
            <w:r w:rsidRPr="00820893">
              <w:rPr>
                <w:rFonts w:ascii="Arial" w:hAnsi="Arial" w:cs="Arial"/>
                <w:sz w:val="22"/>
                <w:szCs w:val="22"/>
              </w:rPr>
              <w:t xml:space="preserve">Pacific </w:t>
            </w:r>
            <w:r w:rsidR="008D1854" w:rsidRPr="00820893">
              <w:rPr>
                <w:rFonts w:ascii="Arial" w:hAnsi="Arial" w:cs="Arial"/>
                <w:sz w:val="22"/>
                <w:szCs w:val="22"/>
              </w:rPr>
              <w:t xml:space="preserve">Peoples </w:t>
            </w:r>
            <w:r w:rsidRPr="00820893">
              <w:rPr>
                <w:rFonts w:ascii="Arial" w:hAnsi="Arial" w:cs="Arial"/>
                <w:sz w:val="22"/>
                <w:szCs w:val="22"/>
              </w:rPr>
              <w:t>and new migrant Community Health Workers</w:t>
            </w:r>
            <w:bookmarkEnd w:id="31"/>
          </w:p>
        </w:tc>
        <w:tc>
          <w:tcPr>
            <w:tcW w:w="930" w:type="pct"/>
          </w:tcPr>
          <w:p w:rsidR="007D032A" w:rsidRPr="00820893" w:rsidRDefault="007D032A" w:rsidP="00D0627B">
            <w:pPr>
              <w:jc w:val="left"/>
              <w:rPr>
                <w:rFonts w:ascii="Arial" w:hAnsi="Arial" w:cs="Arial"/>
                <w:sz w:val="22"/>
                <w:szCs w:val="22"/>
              </w:rPr>
            </w:pPr>
            <w:bookmarkStart w:id="32" w:name="_Toc215319032"/>
            <w:r w:rsidRPr="00820893">
              <w:rPr>
                <w:rFonts w:ascii="Arial" w:hAnsi="Arial" w:cs="Arial"/>
                <w:sz w:val="22"/>
                <w:szCs w:val="22"/>
              </w:rPr>
              <w:t>Facilitate Service access and participation</w:t>
            </w:r>
            <w:bookmarkEnd w:id="32"/>
          </w:p>
        </w:tc>
        <w:tc>
          <w:tcPr>
            <w:tcW w:w="2572" w:type="pct"/>
          </w:tcPr>
          <w:p w:rsidR="00775532" w:rsidRPr="00820893" w:rsidRDefault="007D032A" w:rsidP="00D0627B">
            <w:pPr>
              <w:jc w:val="left"/>
              <w:rPr>
                <w:rFonts w:ascii="Arial" w:hAnsi="Arial" w:cs="Arial"/>
                <w:sz w:val="22"/>
                <w:szCs w:val="22"/>
              </w:rPr>
            </w:pPr>
            <w:bookmarkStart w:id="33" w:name="_Toc215319033"/>
            <w:r w:rsidRPr="00820893">
              <w:rPr>
                <w:rFonts w:ascii="Arial" w:hAnsi="Arial" w:cs="Arial"/>
                <w:sz w:val="22"/>
                <w:szCs w:val="22"/>
              </w:rPr>
              <w:t>Liaise with local communities, community leaders</w:t>
            </w:r>
            <w:r w:rsidR="00775532">
              <w:rPr>
                <w:rFonts w:ascii="Arial" w:hAnsi="Arial" w:cs="Arial"/>
                <w:sz w:val="22"/>
                <w:szCs w:val="22"/>
              </w:rPr>
              <w:t xml:space="preserve"> as appropriate </w:t>
            </w:r>
            <w:r w:rsidR="00775532" w:rsidRPr="00775532">
              <w:rPr>
                <w:rFonts w:ascii="Arial" w:hAnsi="Arial" w:cs="Arial"/>
                <w:sz w:val="22"/>
                <w:szCs w:val="22"/>
              </w:rPr>
              <w:t>to ensure culturally appropriateness and accessibility to services.</w:t>
            </w:r>
            <w:bookmarkEnd w:id="33"/>
          </w:p>
        </w:tc>
      </w:tr>
      <w:tr w:rsidR="00613168" w:rsidRPr="00912EF5" w:rsidTr="005B268A">
        <w:tc>
          <w:tcPr>
            <w:tcW w:w="1498" w:type="pct"/>
          </w:tcPr>
          <w:p w:rsidR="00613168" w:rsidRPr="00820893" w:rsidRDefault="00613168" w:rsidP="00D0627B">
            <w:pPr>
              <w:jc w:val="left"/>
              <w:rPr>
                <w:rFonts w:ascii="Arial" w:hAnsi="Arial" w:cs="Arial"/>
                <w:sz w:val="22"/>
                <w:szCs w:val="22"/>
              </w:rPr>
            </w:pPr>
            <w:r w:rsidRPr="00820893">
              <w:rPr>
                <w:rFonts w:ascii="Arial" w:hAnsi="Arial" w:cs="Arial"/>
                <w:sz w:val="22"/>
                <w:szCs w:val="22"/>
              </w:rPr>
              <w:t xml:space="preserve">Australian and New Zealand Intensive Care Society -Committee on Death and Organ Donation </w:t>
            </w:r>
          </w:p>
        </w:tc>
        <w:tc>
          <w:tcPr>
            <w:tcW w:w="930" w:type="pct"/>
          </w:tcPr>
          <w:p w:rsidR="00613168" w:rsidRPr="00820893" w:rsidRDefault="00613168" w:rsidP="00D0627B">
            <w:pPr>
              <w:jc w:val="left"/>
              <w:rPr>
                <w:rFonts w:ascii="Arial" w:hAnsi="Arial" w:cs="Arial"/>
                <w:sz w:val="22"/>
                <w:szCs w:val="22"/>
              </w:rPr>
            </w:pPr>
            <w:r w:rsidRPr="00820893">
              <w:rPr>
                <w:rFonts w:ascii="Arial" w:hAnsi="Arial" w:cs="Arial"/>
                <w:sz w:val="22"/>
                <w:szCs w:val="22"/>
              </w:rPr>
              <w:t>Provides advice and liaison</w:t>
            </w:r>
          </w:p>
        </w:tc>
        <w:tc>
          <w:tcPr>
            <w:tcW w:w="2572" w:type="pct"/>
          </w:tcPr>
          <w:p w:rsidR="005C7255" w:rsidRDefault="00613168" w:rsidP="00D0627B">
            <w:pPr>
              <w:jc w:val="left"/>
              <w:rPr>
                <w:rFonts w:ascii="Arial" w:hAnsi="Arial" w:cs="Arial"/>
                <w:sz w:val="22"/>
                <w:szCs w:val="22"/>
              </w:rPr>
            </w:pPr>
            <w:r w:rsidRPr="00820893">
              <w:rPr>
                <w:rFonts w:ascii="Arial" w:hAnsi="Arial" w:cs="Arial"/>
                <w:sz w:val="22"/>
                <w:szCs w:val="22"/>
              </w:rPr>
              <w:t xml:space="preserve">Provide advice on strategies to improve organ and tissue donation, </w:t>
            </w:r>
            <w:r w:rsidR="005C7255">
              <w:rPr>
                <w:rFonts w:ascii="Arial" w:hAnsi="Arial" w:cs="Arial"/>
                <w:sz w:val="22"/>
                <w:szCs w:val="22"/>
              </w:rPr>
              <w:t>and</w:t>
            </w:r>
            <w:r w:rsidRPr="00820893">
              <w:rPr>
                <w:rFonts w:ascii="Arial" w:hAnsi="Arial" w:cs="Arial"/>
                <w:sz w:val="22"/>
                <w:szCs w:val="22"/>
              </w:rPr>
              <w:t xml:space="preserve"> on the educational needs of intensive care doctors with regard to brain death and organ and tissue donation. </w:t>
            </w:r>
          </w:p>
          <w:p w:rsidR="00613168" w:rsidRPr="00820893" w:rsidRDefault="00613168" w:rsidP="00D0627B">
            <w:pPr>
              <w:jc w:val="left"/>
              <w:rPr>
                <w:rFonts w:ascii="Arial" w:hAnsi="Arial" w:cs="Arial"/>
                <w:sz w:val="22"/>
                <w:szCs w:val="22"/>
              </w:rPr>
            </w:pPr>
            <w:r w:rsidRPr="00820893">
              <w:rPr>
                <w:rFonts w:ascii="Arial" w:hAnsi="Arial" w:cs="Arial"/>
                <w:sz w:val="22"/>
                <w:szCs w:val="22"/>
              </w:rPr>
              <w:t>Liaising with other organisations, groups, and Government on issues related to organ and tissue donation.</w:t>
            </w:r>
          </w:p>
        </w:tc>
      </w:tr>
      <w:tr w:rsidR="00613168" w:rsidRPr="00912EF5" w:rsidTr="005B268A">
        <w:tc>
          <w:tcPr>
            <w:tcW w:w="1498" w:type="pct"/>
          </w:tcPr>
          <w:p w:rsidR="00613168" w:rsidRPr="00820893" w:rsidRDefault="00613168" w:rsidP="00D0627B">
            <w:pPr>
              <w:jc w:val="left"/>
              <w:rPr>
                <w:rFonts w:ascii="Arial" w:hAnsi="Arial" w:cs="Arial"/>
                <w:sz w:val="22"/>
                <w:szCs w:val="22"/>
              </w:rPr>
            </w:pPr>
            <w:r w:rsidRPr="00820893">
              <w:rPr>
                <w:rFonts w:ascii="Arial" w:hAnsi="Arial" w:cs="Arial"/>
                <w:sz w:val="22"/>
                <w:szCs w:val="22"/>
              </w:rPr>
              <w:t>Organ Donation N</w:t>
            </w:r>
            <w:r w:rsidR="005C7255">
              <w:rPr>
                <w:rFonts w:ascii="Arial" w:hAnsi="Arial" w:cs="Arial"/>
                <w:sz w:val="22"/>
                <w:szCs w:val="22"/>
              </w:rPr>
              <w:t>ew Zealand</w:t>
            </w:r>
          </w:p>
        </w:tc>
        <w:tc>
          <w:tcPr>
            <w:tcW w:w="930" w:type="pct"/>
          </w:tcPr>
          <w:p w:rsidR="00613168" w:rsidRPr="00820893" w:rsidRDefault="00613168" w:rsidP="00D0627B">
            <w:pPr>
              <w:jc w:val="left"/>
              <w:rPr>
                <w:rFonts w:ascii="Arial" w:hAnsi="Arial" w:cs="Arial"/>
                <w:sz w:val="22"/>
                <w:szCs w:val="22"/>
              </w:rPr>
            </w:pPr>
            <w:r w:rsidRPr="00820893">
              <w:rPr>
                <w:rFonts w:ascii="Arial" w:hAnsi="Arial" w:cs="Arial"/>
                <w:sz w:val="22"/>
                <w:szCs w:val="22"/>
              </w:rPr>
              <w:t>Liaison</w:t>
            </w:r>
            <w:r w:rsidR="003C567A">
              <w:rPr>
                <w:rFonts w:ascii="Arial" w:hAnsi="Arial" w:cs="Arial"/>
                <w:sz w:val="22"/>
                <w:szCs w:val="22"/>
              </w:rPr>
              <w:t>.</w:t>
            </w:r>
            <w:r w:rsidR="003C567A">
              <w:t xml:space="preserve"> </w:t>
            </w:r>
            <w:r w:rsidR="003C567A" w:rsidRPr="003C567A">
              <w:rPr>
                <w:rFonts w:ascii="Arial" w:hAnsi="Arial" w:cs="Arial"/>
                <w:sz w:val="22"/>
                <w:szCs w:val="22"/>
              </w:rPr>
              <w:t>Facilitate Service access and participation</w:t>
            </w:r>
          </w:p>
        </w:tc>
        <w:tc>
          <w:tcPr>
            <w:tcW w:w="2572" w:type="pct"/>
          </w:tcPr>
          <w:p w:rsidR="00613168" w:rsidRPr="00820893" w:rsidRDefault="003C567A" w:rsidP="00D0627B">
            <w:pPr>
              <w:jc w:val="left"/>
              <w:rPr>
                <w:rFonts w:ascii="Arial" w:hAnsi="Arial" w:cs="Arial"/>
                <w:sz w:val="22"/>
                <w:szCs w:val="22"/>
              </w:rPr>
            </w:pPr>
            <w:r w:rsidRPr="00820893">
              <w:rPr>
                <w:rFonts w:ascii="Arial" w:hAnsi="Arial" w:cs="Arial"/>
                <w:sz w:val="22"/>
                <w:szCs w:val="22"/>
              </w:rPr>
              <w:t>Coordination of all aspects related to solid organ transplantations between and within DHB of donation and DHB of transplantation to achieve a continuum of care and ensure equitable access.</w:t>
            </w:r>
            <w:r>
              <w:rPr>
                <w:rFonts w:ascii="Arial" w:hAnsi="Arial" w:cs="Arial"/>
                <w:sz w:val="22"/>
                <w:szCs w:val="22"/>
              </w:rPr>
              <w:t xml:space="preserve"> </w:t>
            </w:r>
            <w:r w:rsidR="00613168" w:rsidRPr="00820893">
              <w:rPr>
                <w:rFonts w:ascii="Arial" w:hAnsi="Arial" w:cs="Arial"/>
                <w:sz w:val="22"/>
                <w:szCs w:val="22"/>
              </w:rPr>
              <w:t>Liaison to ensure that the person donating and the family are treated with respect and dignity throughout the donation process.</w:t>
            </w:r>
          </w:p>
        </w:tc>
      </w:tr>
      <w:tr w:rsidR="00D0627B" w:rsidRPr="00912EF5" w:rsidTr="005B268A">
        <w:tc>
          <w:tcPr>
            <w:tcW w:w="1498" w:type="pct"/>
          </w:tcPr>
          <w:p w:rsidR="00D0627B" w:rsidRPr="00820893" w:rsidRDefault="00D0627B" w:rsidP="00D0627B">
            <w:pPr>
              <w:jc w:val="left"/>
              <w:rPr>
                <w:rFonts w:ascii="Arial" w:hAnsi="Arial" w:cs="Arial"/>
                <w:sz w:val="22"/>
                <w:szCs w:val="22"/>
              </w:rPr>
            </w:pPr>
            <w:r>
              <w:rPr>
                <w:rFonts w:ascii="Arial" w:hAnsi="Arial" w:cs="Arial"/>
                <w:sz w:val="22"/>
                <w:szCs w:val="22"/>
              </w:rPr>
              <w:t>New Zealand Blood Service</w:t>
            </w:r>
          </w:p>
        </w:tc>
        <w:tc>
          <w:tcPr>
            <w:tcW w:w="930" w:type="pct"/>
          </w:tcPr>
          <w:p w:rsidR="00D0627B" w:rsidRPr="00820893" w:rsidRDefault="005B268A" w:rsidP="00D0627B">
            <w:pPr>
              <w:jc w:val="left"/>
              <w:rPr>
                <w:rFonts w:ascii="Arial" w:hAnsi="Arial" w:cs="Arial"/>
                <w:sz w:val="22"/>
                <w:szCs w:val="22"/>
              </w:rPr>
            </w:pPr>
            <w:r w:rsidRPr="005B268A">
              <w:rPr>
                <w:rFonts w:ascii="Arial" w:hAnsi="Arial" w:cs="Arial"/>
                <w:sz w:val="22"/>
                <w:szCs w:val="22"/>
              </w:rPr>
              <w:t>Facilitates service access</w:t>
            </w:r>
            <w:r>
              <w:rPr>
                <w:rFonts w:ascii="Arial" w:hAnsi="Arial" w:cs="Arial"/>
                <w:sz w:val="22"/>
                <w:szCs w:val="22"/>
              </w:rPr>
              <w:t>.</w:t>
            </w:r>
            <w:r w:rsidRPr="005B268A">
              <w:rPr>
                <w:rFonts w:ascii="Arial" w:hAnsi="Arial" w:cs="Arial"/>
                <w:sz w:val="22"/>
                <w:szCs w:val="22"/>
              </w:rPr>
              <w:t xml:space="preserve"> </w:t>
            </w:r>
            <w:r w:rsidR="00D0627B">
              <w:rPr>
                <w:rFonts w:ascii="Arial" w:hAnsi="Arial" w:cs="Arial"/>
                <w:sz w:val="22"/>
                <w:szCs w:val="22"/>
              </w:rPr>
              <w:t xml:space="preserve">Provides services </w:t>
            </w:r>
          </w:p>
        </w:tc>
        <w:tc>
          <w:tcPr>
            <w:tcW w:w="2572" w:type="pct"/>
          </w:tcPr>
          <w:p w:rsidR="00D0627B" w:rsidRPr="00820893" w:rsidRDefault="00D0627B" w:rsidP="00D0627B">
            <w:pPr>
              <w:jc w:val="left"/>
              <w:rPr>
                <w:rFonts w:ascii="Arial" w:hAnsi="Arial" w:cs="Arial"/>
                <w:sz w:val="22"/>
                <w:szCs w:val="22"/>
              </w:rPr>
            </w:pPr>
            <w:r>
              <w:rPr>
                <w:rFonts w:ascii="Arial" w:hAnsi="Arial" w:cs="Arial"/>
                <w:sz w:val="22"/>
                <w:szCs w:val="22"/>
              </w:rPr>
              <w:t>M</w:t>
            </w:r>
            <w:r w:rsidRPr="00D0627B">
              <w:rPr>
                <w:rFonts w:ascii="Arial" w:hAnsi="Arial" w:cs="Arial"/>
                <w:sz w:val="22"/>
                <w:szCs w:val="22"/>
              </w:rPr>
              <w:t>anages the wait list for heart, lung, pancreas and kidneys</w:t>
            </w:r>
            <w:r>
              <w:rPr>
                <w:rFonts w:ascii="Arial" w:hAnsi="Arial" w:cs="Arial"/>
                <w:sz w:val="22"/>
                <w:szCs w:val="22"/>
              </w:rPr>
              <w:t xml:space="preserve">, </w:t>
            </w:r>
            <w:r w:rsidR="005B268A">
              <w:rPr>
                <w:rFonts w:ascii="Arial" w:hAnsi="Arial" w:cs="Arial"/>
                <w:sz w:val="22"/>
                <w:szCs w:val="22"/>
              </w:rPr>
              <w:t xml:space="preserve">provides </w:t>
            </w:r>
            <w:r>
              <w:rPr>
                <w:rFonts w:ascii="Arial" w:hAnsi="Arial" w:cs="Arial"/>
                <w:sz w:val="22"/>
                <w:szCs w:val="22"/>
              </w:rPr>
              <w:t>cross matching tests etc</w:t>
            </w:r>
          </w:p>
        </w:tc>
      </w:tr>
      <w:tr w:rsidR="00F460AB" w:rsidRPr="00912EF5" w:rsidTr="005B268A">
        <w:tc>
          <w:tcPr>
            <w:tcW w:w="1498" w:type="pct"/>
          </w:tcPr>
          <w:p w:rsidR="00F460AB" w:rsidRDefault="00F460AB" w:rsidP="00D0627B">
            <w:pPr>
              <w:jc w:val="left"/>
              <w:rPr>
                <w:rFonts w:ascii="Arial" w:hAnsi="Arial" w:cs="Arial"/>
                <w:sz w:val="22"/>
                <w:szCs w:val="22"/>
              </w:rPr>
            </w:pPr>
            <w:r>
              <w:rPr>
                <w:rFonts w:ascii="Arial" w:hAnsi="Arial" w:cs="Arial"/>
                <w:sz w:val="22"/>
                <w:szCs w:val="22"/>
              </w:rPr>
              <w:t xml:space="preserve">New Zealand Liver Transplant Unit </w:t>
            </w:r>
          </w:p>
        </w:tc>
        <w:tc>
          <w:tcPr>
            <w:tcW w:w="930" w:type="pct"/>
          </w:tcPr>
          <w:p w:rsidR="00F460AB" w:rsidRDefault="005B268A" w:rsidP="00D0627B">
            <w:pPr>
              <w:jc w:val="left"/>
              <w:rPr>
                <w:rFonts w:ascii="Arial" w:hAnsi="Arial" w:cs="Arial"/>
                <w:sz w:val="22"/>
                <w:szCs w:val="22"/>
              </w:rPr>
            </w:pPr>
            <w:r>
              <w:rPr>
                <w:rFonts w:ascii="Arial" w:hAnsi="Arial" w:cs="Arial"/>
                <w:sz w:val="22"/>
                <w:szCs w:val="22"/>
              </w:rPr>
              <w:t>Facilitates s</w:t>
            </w:r>
            <w:r w:rsidRPr="005B268A">
              <w:rPr>
                <w:rFonts w:ascii="Arial" w:hAnsi="Arial" w:cs="Arial"/>
                <w:sz w:val="22"/>
                <w:szCs w:val="22"/>
              </w:rPr>
              <w:t>ervice access</w:t>
            </w:r>
          </w:p>
        </w:tc>
        <w:tc>
          <w:tcPr>
            <w:tcW w:w="2572" w:type="pct"/>
          </w:tcPr>
          <w:p w:rsidR="00F460AB" w:rsidRDefault="00F460AB" w:rsidP="00D0627B">
            <w:pPr>
              <w:jc w:val="left"/>
              <w:rPr>
                <w:rFonts w:ascii="Arial" w:hAnsi="Arial" w:cs="Arial"/>
                <w:sz w:val="22"/>
                <w:szCs w:val="22"/>
              </w:rPr>
            </w:pPr>
            <w:r>
              <w:rPr>
                <w:rFonts w:ascii="Arial" w:hAnsi="Arial" w:cs="Arial"/>
                <w:sz w:val="22"/>
                <w:szCs w:val="22"/>
              </w:rPr>
              <w:t>Manages liver transplant wait list.</w:t>
            </w:r>
          </w:p>
        </w:tc>
      </w:tr>
    </w:tbl>
    <w:p w:rsidR="00D0627B" w:rsidRDefault="00D0627B">
      <w:pPr>
        <w:jc w:val="left"/>
        <w:rPr>
          <w:rFonts w:ascii="Arial" w:hAnsi="Arial" w:cs="Arial"/>
          <w:b/>
        </w:rPr>
      </w:pPr>
      <w:bookmarkStart w:id="34" w:name="_GoBack"/>
      <w:bookmarkEnd w:id="34"/>
      <w:r>
        <w:br w:type="page"/>
      </w:r>
    </w:p>
    <w:p w:rsidR="006F546C" w:rsidRPr="005044B7" w:rsidRDefault="006F546C" w:rsidP="00DF08F0">
      <w:pPr>
        <w:pStyle w:val="heading1"/>
        <w:numPr>
          <w:ilvl w:val="0"/>
          <w:numId w:val="6"/>
        </w:numPr>
        <w:spacing w:after="120"/>
        <w:jc w:val="left"/>
        <w:rPr>
          <w:sz w:val="24"/>
        </w:rPr>
      </w:pPr>
      <w:r w:rsidRPr="005044B7">
        <w:rPr>
          <w:sz w:val="24"/>
        </w:rPr>
        <w:t>Q</w:t>
      </w:r>
      <w:r w:rsidR="00DF29C6" w:rsidRPr="005044B7">
        <w:rPr>
          <w:sz w:val="24"/>
        </w:rPr>
        <w:t>uality</w:t>
      </w:r>
      <w:r w:rsidRPr="005044B7">
        <w:rPr>
          <w:sz w:val="24"/>
        </w:rPr>
        <w:t xml:space="preserve"> R</w:t>
      </w:r>
      <w:r w:rsidR="00DF29C6" w:rsidRPr="005044B7">
        <w:rPr>
          <w:sz w:val="24"/>
        </w:rPr>
        <w:t>equirements</w:t>
      </w:r>
    </w:p>
    <w:p w:rsidR="00DF29C6" w:rsidRPr="00912EF5" w:rsidRDefault="00DF29C6" w:rsidP="00E83E5E">
      <w:pPr>
        <w:jc w:val="left"/>
        <w:rPr>
          <w:rFonts w:ascii="Arial" w:hAnsi="Arial" w:cs="Arial"/>
        </w:rPr>
      </w:pPr>
      <w:r w:rsidRPr="00912EF5">
        <w:rPr>
          <w:rFonts w:ascii="Arial" w:hAnsi="Arial" w:cs="Arial"/>
          <w:lang w:val="en-US"/>
        </w:rPr>
        <w:t xml:space="preserve">The </w:t>
      </w:r>
      <w:r w:rsidR="008D1854">
        <w:rPr>
          <w:rFonts w:ascii="Arial" w:hAnsi="Arial" w:cs="Arial"/>
          <w:lang w:val="en-US"/>
        </w:rPr>
        <w:t>S</w:t>
      </w:r>
      <w:r w:rsidRPr="00912EF5">
        <w:rPr>
          <w:rFonts w:ascii="Arial" w:hAnsi="Arial" w:cs="Arial"/>
          <w:lang w:val="en-US"/>
        </w:rPr>
        <w:t xml:space="preserve">ervice must comply with the Provider Quality Standards described in the Operational Policy Framework </w:t>
      </w:r>
      <w:r w:rsidR="00FD62F4">
        <w:rPr>
          <w:rStyle w:val="FootnoteReference"/>
          <w:rFonts w:ascii="Arial" w:hAnsi="Arial" w:cs="Arial"/>
          <w:lang w:val="en-US"/>
        </w:rPr>
        <w:footnoteReference w:id="3"/>
      </w:r>
      <w:r w:rsidR="005044B7">
        <w:rPr>
          <w:rFonts w:ascii="Arial" w:hAnsi="Arial" w:cs="Arial"/>
          <w:lang w:val="en-US"/>
        </w:rPr>
        <w:t xml:space="preserve"> </w:t>
      </w:r>
      <w:r w:rsidRPr="00912EF5">
        <w:rPr>
          <w:rFonts w:ascii="Arial" w:hAnsi="Arial" w:cs="Arial"/>
          <w:lang w:val="en-US"/>
        </w:rPr>
        <w:t>or, as applicable, Crown Funding Agreement Variations, contracts or service level agreements.</w:t>
      </w:r>
      <w:r w:rsidRPr="00912EF5">
        <w:rPr>
          <w:rFonts w:ascii="Arial" w:hAnsi="Arial" w:cs="Arial"/>
        </w:rPr>
        <w:t xml:space="preserve"> </w:t>
      </w:r>
    </w:p>
    <w:p w:rsidR="00511C3E" w:rsidRDefault="00511C3E" w:rsidP="00912EF5">
      <w:pPr>
        <w:pStyle w:val="BodyText3"/>
        <w:spacing w:before="120"/>
        <w:jc w:val="left"/>
        <w:rPr>
          <w:rFonts w:ascii="Arial" w:hAnsi="Arial" w:cs="Arial"/>
          <w:szCs w:val="24"/>
        </w:rPr>
      </w:pPr>
      <w:r>
        <w:rPr>
          <w:rFonts w:ascii="Arial" w:hAnsi="Arial" w:cs="Arial"/>
          <w:szCs w:val="24"/>
        </w:rPr>
        <w:t xml:space="preserve">The Services will use the </w:t>
      </w:r>
      <w:r w:rsidRPr="00511C3E">
        <w:rPr>
          <w:rFonts w:ascii="Arial" w:hAnsi="Arial" w:cs="Arial"/>
          <w:szCs w:val="24"/>
        </w:rPr>
        <w:t xml:space="preserve">agreed guidelines that are published </w:t>
      </w:r>
      <w:r w:rsidR="00273FD1">
        <w:rPr>
          <w:rFonts w:ascii="Arial" w:hAnsi="Arial" w:cs="Arial"/>
          <w:szCs w:val="24"/>
        </w:rPr>
        <w:t xml:space="preserve">to members of </w:t>
      </w:r>
      <w:r>
        <w:rPr>
          <w:rFonts w:ascii="Arial" w:hAnsi="Arial" w:cs="Arial"/>
          <w:szCs w:val="24"/>
        </w:rPr>
        <w:t>the</w:t>
      </w:r>
      <w:r w:rsidRPr="00511C3E">
        <w:rPr>
          <w:rFonts w:ascii="Arial" w:hAnsi="Arial" w:cs="Arial"/>
          <w:szCs w:val="24"/>
        </w:rPr>
        <w:t xml:space="preserve"> Transplantation Society of Australia and New Zealand</w:t>
      </w:r>
      <w:r>
        <w:rPr>
          <w:rFonts w:ascii="Arial" w:hAnsi="Arial" w:cs="Arial"/>
          <w:szCs w:val="24"/>
        </w:rPr>
        <w:t>.</w:t>
      </w:r>
    </w:p>
    <w:p w:rsidR="00BC1752" w:rsidRDefault="00511C3E" w:rsidP="00912EF5">
      <w:pPr>
        <w:pStyle w:val="BodyText3"/>
        <w:spacing w:before="120"/>
        <w:jc w:val="left"/>
        <w:rPr>
          <w:rFonts w:ascii="Arial" w:hAnsi="Arial" w:cs="Arial"/>
          <w:szCs w:val="24"/>
        </w:rPr>
      </w:pPr>
      <w:r w:rsidRPr="00511C3E">
        <w:rPr>
          <w:rFonts w:ascii="Arial" w:hAnsi="Arial" w:cs="Arial"/>
          <w:szCs w:val="24"/>
        </w:rPr>
        <w:t>The Australian Transplant Authority undertakes audits of individual transplant units</w:t>
      </w:r>
      <w:r>
        <w:rPr>
          <w:rFonts w:ascii="Arial" w:hAnsi="Arial" w:cs="Arial"/>
          <w:szCs w:val="24"/>
        </w:rPr>
        <w:t xml:space="preserve"> within New Zealand,</w:t>
      </w:r>
      <w:r w:rsidRPr="00511C3E">
        <w:rPr>
          <w:rFonts w:ascii="Arial" w:hAnsi="Arial" w:cs="Arial"/>
          <w:szCs w:val="24"/>
        </w:rPr>
        <w:t xml:space="preserve"> especially when organs are shared between countries (livers and, to a lesser extent, kidneys, hearts and lungs)</w:t>
      </w:r>
      <w:r w:rsidR="007C5DBE">
        <w:rPr>
          <w:rFonts w:ascii="Arial" w:hAnsi="Arial" w:cs="Arial"/>
          <w:szCs w:val="24"/>
        </w:rPr>
        <w:t>.</w:t>
      </w:r>
    </w:p>
    <w:p w:rsidR="006F546C" w:rsidRPr="005044B7" w:rsidRDefault="006F546C" w:rsidP="00475731">
      <w:pPr>
        <w:pStyle w:val="heading1"/>
        <w:spacing w:before="240"/>
        <w:rPr>
          <w:sz w:val="24"/>
        </w:rPr>
      </w:pPr>
      <w:r w:rsidRPr="005044B7">
        <w:rPr>
          <w:sz w:val="24"/>
        </w:rPr>
        <w:t>P</w:t>
      </w:r>
      <w:r w:rsidR="00DF29C6" w:rsidRPr="005044B7">
        <w:rPr>
          <w:sz w:val="24"/>
        </w:rPr>
        <w:t>urchase</w:t>
      </w:r>
      <w:r w:rsidRPr="005044B7">
        <w:rPr>
          <w:sz w:val="24"/>
        </w:rPr>
        <w:t xml:space="preserve"> U</w:t>
      </w:r>
      <w:r w:rsidR="00DF29C6" w:rsidRPr="005044B7">
        <w:rPr>
          <w:sz w:val="24"/>
        </w:rPr>
        <w:t xml:space="preserve">nits </w:t>
      </w:r>
      <w:r w:rsidR="00355F48">
        <w:rPr>
          <w:sz w:val="24"/>
        </w:rPr>
        <w:t>a</w:t>
      </w:r>
      <w:r w:rsidR="00DF29C6" w:rsidRPr="005044B7">
        <w:rPr>
          <w:sz w:val="24"/>
        </w:rPr>
        <w:t>nd</w:t>
      </w:r>
      <w:r w:rsidRPr="005044B7">
        <w:rPr>
          <w:sz w:val="24"/>
        </w:rPr>
        <w:t xml:space="preserve"> R</w:t>
      </w:r>
      <w:r w:rsidR="00DF29C6" w:rsidRPr="005044B7">
        <w:rPr>
          <w:sz w:val="24"/>
        </w:rPr>
        <w:t>eporting</w:t>
      </w:r>
      <w:r w:rsidRPr="005044B7">
        <w:rPr>
          <w:sz w:val="24"/>
        </w:rPr>
        <w:t xml:space="preserve"> R</w:t>
      </w:r>
      <w:r w:rsidR="00DF29C6" w:rsidRPr="005044B7">
        <w:rPr>
          <w:sz w:val="24"/>
        </w:rPr>
        <w:t>equirements</w:t>
      </w:r>
    </w:p>
    <w:p w:rsidR="00AB3ECF" w:rsidRDefault="00355F48" w:rsidP="00425607">
      <w:pPr>
        <w:spacing w:before="120" w:after="120"/>
        <w:jc w:val="left"/>
        <w:rPr>
          <w:rFonts w:ascii="Arial" w:hAnsi="Arial" w:cs="Arial"/>
        </w:rPr>
      </w:pPr>
      <w:r w:rsidRPr="00475731">
        <w:rPr>
          <w:rFonts w:ascii="Arial" w:hAnsi="Arial" w:cs="Arial"/>
          <w:b/>
        </w:rPr>
        <w:t>9.1</w:t>
      </w:r>
      <w:r w:rsidRPr="00475731">
        <w:rPr>
          <w:rFonts w:ascii="Arial" w:hAnsi="Arial" w:cs="Arial"/>
          <w:b/>
        </w:rPr>
        <w:tab/>
      </w:r>
      <w:r w:rsidR="00E83E5E" w:rsidRPr="00912EF5">
        <w:rPr>
          <w:rFonts w:ascii="Arial" w:hAnsi="Arial" w:cs="Arial"/>
        </w:rPr>
        <w:t>Purchase Unit</w:t>
      </w:r>
      <w:r w:rsidR="00B87001">
        <w:rPr>
          <w:rFonts w:ascii="Arial" w:hAnsi="Arial" w:cs="Arial"/>
        </w:rPr>
        <w:t xml:space="preserve"> (PU) codes</w:t>
      </w:r>
      <w:r w:rsidR="00E83E5E" w:rsidRPr="00912EF5">
        <w:rPr>
          <w:rFonts w:ascii="Arial" w:hAnsi="Arial" w:cs="Arial"/>
        </w:rPr>
        <w:t xml:space="preserve"> are defined in the DHB and Ministry’s Nationwide Service Framework Purchase Unit Data Dictionary.  </w:t>
      </w:r>
      <w:r w:rsidR="00185C3E" w:rsidRPr="00185C3E">
        <w:rPr>
          <w:rFonts w:ascii="Arial" w:hAnsi="Arial" w:cs="Arial"/>
        </w:rPr>
        <w:t>The following specific purchase unit codes apply to this Service</w:t>
      </w:r>
      <w:r w:rsidR="00185C3E">
        <w:rPr>
          <w:rFonts w:ascii="Arial" w:hAnsi="Arial" w:cs="Arial"/>
        </w:rPr>
        <w:t>.</w:t>
      </w:r>
    </w:p>
    <w:p w:rsidR="00C50AE2" w:rsidRDefault="00C50AE2" w:rsidP="00B87001">
      <w:pPr>
        <w:spacing w:before="120" w:after="120"/>
        <w:jc w:val="left"/>
        <w:rPr>
          <w:rFonts w:ascii="Arial" w:hAnsi="Arial" w:cs="Arial"/>
        </w:rPr>
      </w:pPr>
      <w:r>
        <w:rPr>
          <w:rFonts w:ascii="Arial" w:hAnsi="Arial" w:cs="Arial"/>
        </w:rPr>
        <w:t>Hea</w:t>
      </w:r>
      <w:r w:rsidR="00F8428A">
        <w:rPr>
          <w:rFonts w:ascii="Arial" w:hAnsi="Arial" w:cs="Arial"/>
        </w:rPr>
        <w:t>r</w:t>
      </w:r>
      <w:r>
        <w:rPr>
          <w:rFonts w:ascii="Arial" w:hAnsi="Arial" w:cs="Arial"/>
        </w:rPr>
        <w:t>t, lung and liver transplantation codes.</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9"/>
        <w:gridCol w:w="2694"/>
        <w:gridCol w:w="4536"/>
        <w:gridCol w:w="1417"/>
      </w:tblGrid>
      <w:tr w:rsidR="00F8428A" w:rsidRPr="00912EF5" w:rsidTr="00AD2180">
        <w:trPr>
          <w:cantSplit/>
          <w:tblHeader/>
        </w:trPr>
        <w:tc>
          <w:tcPr>
            <w:tcW w:w="1129" w:type="dxa"/>
            <w:tcBorders>
              <w:top w:val="single" w:sz="4" w:space="0" w:color="auto"/>
              <w:left w:val="single" w:sz="4" w:space="0" w:color="auto"/>
              <w:bottom w:val="single" w:sz="4" w:space="0" w:color="auto"/>
              <w:right w:val="single" w:sz="4" w:space="0" w:color="auto"/>
            </w:tcBorders>
            <w:shd w:val="pct12" w:color="auto" w:fill="auto"/>
          </w:tcPr>
          <w:p w:rsidR="00F8428A" w:rsidRPr="00206A10" w:rsidRDefault="00F8428A" w:rsidP="00B87001">
            <w:pPr>
              <w:spacing w:before="120" w:after="120"/>
              <w:jc w:val="left"/>
              <w:rPr>
                <w:rFonts w:ascii="Arial" w:hAnsi="Arial" w:cs="Arial"/>
                <w:b/>
                <w:bCs/>
                <w:sz w:val="22"/>
                <w:szCs w:val="22"/>
              </w:rPr>
            </w:pPr>
            <w:r w:rsidRPr="00206A10">
              <w:rPr>
                <w:rFonts w:ascii="Arial" w:hAnsi="Arial" w:cs="Arial"/>
                <w:b/>
                <w:bCs/>
                <w:sz w:val="22"/>
                <w:szCs w:val="22"/>
              </w:rPr>
              <w:t>PU Code</w:t>
            </w:r>
          </w:p>
        </w:tc>
        <w:tc>
          <w:tcPr>
            <w:tcW w:w="2694" w:type="dxa"/>
            <w:tcBorders>
              <w:top w:val="single" w:sz="4" w:space="0" w:color="auto"/>
              <w:left w:val="single" w:sz="4" w:space="0" w:color="auto"/>
              <w:bottom w:val="single" w:sz="4" w:space="0" w:color="auto"/>
              <w:right w:val="single" w:sz="4" w:space="0" w:color="auto"/>
            </w:tcBorders>
            <w:shd w:val="pct12" w:color="auto" w:fill="auto"/>
          </w:tcPr>
          <w:p w:rsidR="00F8428A" w:rsidRPr="00206A10" w:rsidRDefault="00F8428A" w:rsidP="00B87001">
            <w:pPr>
              <w:spacing w:before="120" w:after="120"/>
              <w:jc w:val="left"/>
              <w:rPr>
                <w:rFonts w:ascii="Arial" w:hAnsi="Arial" w:cs="Arial"/>
                <w:b/>
                <w:sz w:val="22"/>
                <w:szCs w:val="22"/>
                <w:lang w:val="en-US"/>
              </w:rPr>
            </w:pPr>
            <w:r w:rsidRPr="00206A10">
              <w:rPr>
                <w:rFonts w:ascii="Arial" w:hAnsi="Arial" w:cs="Arial"/>
                <w:b/>
                <w:sz w:val="22"/>
                <w:szCs w:val="22"/>
                <w:lang w:val="en-US"/>
              </w:rPr>
              <w:t>PU Description</w:t>
            </w:r>
          </w:p>
        </w:tc>
        <w:tc>
          <w:tcPr>
            <w:tcW w:w="4536" w:type="dxa"/>
            <w:tcBorders>
              <w:top w:val="single" w:sz="4" w:space="0" w:color="auto"/>
              <w:left w:val="single" w:sz="4" w:space="0" w:color="auto"/>
              <w:bottom w:val="single" w:sz="4" w:space="0" w:color="auto"/>
              <w:right w:val="single" w:sz="4" w:space="0" w:color="auto"/>
            </w:tcBorders>
            <w:shd w:val="pct12" w:color="auto" w:fill="auto"/>
          </w:tcPr>
          <w:p w:rsidR="00F8428A" w:rsidRPr="00206A10" w:rsidRDefault="00F8428A" w:rsidP="00B87001">
            <w:pPr>
              <w:spacing w:before="120" w:after="120"/>
              <w:jc w:val="left"/>
              <w:rPr>
                <w:rFonts w:ascii="Arial" w:hAnsi="Arial" w:cs="Arial"/>
                <w:b/>
                <w:sz w:val="22"/>
                <w:szCs w:val="22"/>
              </w:rPr>
            </w:pPr>
            <w:r w:rsidRPr="00206A10">
              <w:rPr>
                <w:rFonts w:ascii="Arial" w:hAnsi="Arial" w:cs="Arial"/>
                <w:b/>
                <w:sz w:val="22"/>
                <w:szCs w:val="22"/>
              </w:rPr>
              <w:t>PU Definition</w:t>
            </w:r>
          </w:p>
        </w:tc>
        <w:tc>
          <w:tcPr>
            <w:tcW w:w="1417" w:type="dxa"/>
            <w:tcBorders>
              <w:top w:val="single" w:sz="4" w:space="0" w:color="auto"/>
              <w:left w:val="single" w:sz="4" w:space="0" w:color="auto"/>
              <w:bottom w:val="single" w:sz="4" w:space="0" w:color="auto"/>
              <w:right w:val="single" w:sz="4" w:space="0" w:color="auto"/>
            </w:tcBorders>
            <w:shd w:val="pct12" w:color="auto" w:fill="auto"/>
          </w:tcPr>
          <w:p w:rsidR="00F8428A" w:rsidRPr="00206A10" w:rsidRDefault="00F8428A" w:rsidP="00B87001">
            <w:pPr>
              <w:spacing w:before="120" w:after="120"/>
              <w:jc w:val="left"/>
              <w:rPr>
                <w:rFonts w:ascii="Arial" w:hAnsi="Arial" w:cs="Arial"/>
                <w:b/>
                <w:sz w:val="22"/>
                <w:szCs w:val="22"/>
              </w:rPr>
            </w:pPr>
            <w:r w:rsidRPr="00206A10">
              <w:rPr>
                <w:rFonts w:ascii="Arial" w:hAnsi="Arial" w:cs="Arial"/>
                <w:b/>
                <w:sz w:val="22"/>
                <w:szCs w:val="22"/>
              </w:rPr>
              <w:t>Unit of Measure</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bCs/>
                <w:sz w:val="22"/>
                <w:szCs w:val="22"/>
              </w:rPr>
              <w:t>T0102</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proofErr w:type="spellStart"/>
            <w:r w:rsidRPr="00B87001">
              <w:rPr>
                <w:rFonts w:ascii="Arial" w:hAnsi="Arial" w:cs="Arial"/>
                <w:sz w:val="22"/>
                <w:szCs w:val="22"/>
                <w:lang w:val="en-US"/>
              </w:rPr>
              <w:t>Specialised</w:t>
            </w:r>
            <w:proofErr w:type="spellEnd"/>
            <w:r w:rsidRPr="00B87001">
              <w:rPr>
                <w:rFonts w:ascii="Arial" w:hAnsi="Arial" w:cs="Arial"/>
                <w:sz w:val="22"/>
                <w:szCs w:val="22"/>
                <w:lang w:val="en-US"/>
              </w:rPr>
              <w:t xml:space="preserve"> Heart/Lung Transplant Services - Heart transplant assessment</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 against agreed criteria for access for cardiac transplant.</w:t>
            </w:r>
            <w:r w:rsidRPr="00B87001" w:rsidDel="00357E38">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w:t>
            </w:r>
            <w:r w:rsidRPr="00B87001" w:rsidDel="00357E38">
              <w:rPr>
                <w:rFonts w:ascii="Arial" w:hAnsi="Arial" w:cs="Arial"/>
                <w:sz w:val="22"/>
                <w:szCs w:val="22"/>
              </w:rPr>
              <w:t xml:space="preserve"> </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T0103</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proofErr w:type="spellStart"/>
            <w:r w:rsidRPr="00B87001">
              <w:rPr>
                <w:rFonts w:ascii="Arial" w:hAnsi="Arial" w:cs="Arial"/>
                <w:sz w:val="22"/>
                <w:szCs w:val="22"/>
                <w:lang w:val="en-US"/>
              </w:rPr>
              <w:t>Specialised</w:t>
            </w:r>
            <w:proofErr w:type="spellEnd"/>
            <w:r w:rsidRPr="00B87001">
              <w:rPr>
                <w:rFonts w:ascii="Arial" w:hAnsi="Arial" w:cs="Arial"/>
                <w:sz w:val="22"/>
                <w:szCs w:val="22"/>
                <w:lang w:val="en-US"/>
              </w:rPr>
              <w:t xml:space="preserve"> Heart/Lung Transplant Services - Heart transplant</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Transplantation as an accepted treatment for selected patients with end-stage cardiac failure.</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1D64FC" w:rsidP="00425607">
            <w:pPr>
              <w:spacing w:after="60"/>
              <w:jc w:val="left"/>
              <w:rPr>
                <w:rFonts w:ascii="Arial" w:hAnsi="Arial" w:cs="Arial"/>
                <w:sz w:val="22"/>
                <w:szCs w:val="22"/>
              </w:rPr>
            </w:pPr>
            <w:r w:rsidRPr="00B87001">
              <w:rPr>
                <w:rFonts w:ascii="Arial" w:hAnsi="Arial" w:cs="Arial"/>
                <w:sz w:val="22"/>
                <w:szCs w:val="22"/>
              </w:rPr>
              <w:t>P</w:t>
            </w:r>
            <w:r>
              <w:rPr>
                <w:rFonts w:ascii="Arial" w:hAnsi="Arial" w:cs="Arial"/>
                <w:sz w:val="22"/>
                <w:szCs w:val="22"/>
              </w:rPr>
              <w:t>rocedure</w:t>
            </w:r>
            <w:r w:rsidRPr="00B87001">
              <w:rPr>
                <w:rFonts w:ascii="Arial" w:hAnsi="Arial" w:cs="Arial"/>
                <w:sz w:val="22"/>
                <w:szCs w:val="22"/>
              </w:rPr>
              <w:t xml:space="preserve"> </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bCs/>
                <w:sz w:val="22"/>
                <w:szCs w:val="22"/>
              </w:rPr>
            </w:pPr>
            <w:r w:rsidRPr="00B87001">
              <w:rPr>
                <w:rFonts w:ascii="Arial" w:hAnsi="Arial" w:cs="Arial"/>
                <w:bCs/>
                <w:sz w:val="22"/>
                <w:szCs w:val="22"/>
              </w:rPr>
              <w:t>T0105</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proofErr w:type="spellStart"/>
            <w:r w:rsidRPr="00B87001">
              <w:rPr>
                <w:rFonts w:ascii="Arial" w:hAnsi="Arial" w:cs="Arial"/>
                <w:sz w:val="22"/>
                <w:szCs w:val="22"/>
                <w:lang w:val="en-US"/>
              </w:rPr>
              <w:t>Specialised</w:t>
            </w:r>
            <w:proofErr w:type="spellEnd"/>
            <w:r w:rsidRPr="00B87001">
              <w:rPr>
                <w:rFonts w:ascii="Arial" w:hAnsi="Arial" w:cs="Arial"/>
                <w:sz w:val="22"/>
                <w:szCs w:val="22"/>
                <w:lang w:val="en-US"/>
              </w:rPr>
              <w:t xml:space="preserve"> Heart/Lung Transplant Services - Lung transplant assessment</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 against agreed criteria for access for lung transplant.</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bCs/>
                <w:sz w:val="22"/>
                <w:szCs w:val="22"/>
              </w:rPr>
            </w:pPr>
            <w:r w:rsidRPr="00B87001">
              <w:rPr>
                <w:rFonts w:ascii="Arial" w:hAnsi="Arial" w:cs="Arial"/>
                <w:bCs/>
                <w:sz w:val="22"/>
                <w:szCs w:val="22"/>
              </w:rPr>
              <w:t>T0106</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proofErr w:type="spellStart"/>
            <w:r w:rsidRPr="00B87001">
              <w:rPr>
                <w:rFonts w:ascii="Arial" w:hAnsi="Arial" w:cs="Arial"/>
                <w:sz w:val="22"/>
                <w:szCs w:val="22"/>
                <w:lang w:val="en-US"/>
              </w:rPr>
              <w:t>Specialised</w:t>
            </w:r>
            <w:proofErr w:type="spellEnd"/>
            <w:r w:rsidRPr="00B87001">
              <w:rPr>
                <w:rFonts w:ascii="Arial" w:hAnsi="Arial" w:cs="Arial"/>
                <w:sz w:val="22"/>
                <w:szCs w:val="22"/>
                <w:lang w:val="en-US"/>
              </w:rPr>
              <w:t xml:space="preserve"> Heart/Lung Transplant Services - Lung transplant</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Transplantation as an accepted treatment- single lung transplantation / bilateral-sequential lung transplantation.</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1D64FC" w:rsidP="00425607">
            <w:pPr>
              <w:spacing w:after="60"/>
              <w:jc w:val="left"/>
              <w:rPr>
                <w:rFonts w:ascii="Arial" w:hAnsi="Arial" w:cs="Arial"/>
                <w:sz w:val="22"/>
                <w:szCs w:val="22"/>
              </w:rPr>
            </w:pPr>
            <w:r>
              <w:rPr>
                <w:rFonts w:ascii="Arial" w:hAnsi="Arial" w:cs="Arial"/>
                <w:sz w:val="22"/>
                <w:szCs w:val="22"/>
              </w:rPr>
              <w:t>Procedure</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T0109</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Deceased Donor Collection</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Collection of Deceased Donor for harvesting organs for transplants</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Service</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T0110</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Liver Transplant - Assessments for Children</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 against agreed criteria for access for liver transplantation</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T0111</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Liver Transplant Inpatient services for adults</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Transplantation as an accepted treatment for selected patients with liver failure</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Procedure</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T0112</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Liver Transplant – Adult assessments</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425607">
            <w:pPr>
              <w:spacing w:after="60"/>
              <w:jc w:val="left"/>
              <w:rPr>
                <w:rFonts w:ascii="Arial" w:hAnsi="Arial" w:cs="Arial"/>
                <w:sz w:val="22"/>
                <w:szCs w:val="22"/>
              </w:rPr>
            </w:pPr>
            <w:r w:rsidRPr="00B87001">
              <w:rPr>
                <w:rFonts w:ascii="Arial" w:hAnsi="Arial" w:cs="Arial"/>
                <w:sz w:val="22"/>
                <w:szCs w:val="22"/>
              </w:rPr>
              <w:t>Assessment against agreed criteria for access for Liver transplantation</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Del="00357E38" w:rsidRDefault="00F8428A" w:rsidP="00425607">
            <w:pPr>
              <w:spacing w:after="60"/>
              <w:jc w:val="left"/>
              <w:rPr>
                <w:rFonts w:ascii="Arial" w:hAnsi="Arial" w:cs="Arial"/>
                <w:sz w:val="22"/>
                <w:szCs w:val="22"/>
              </w:rPr>
            </w:pPr>
            <w:r w:rsidRPr="00B87001">
              <w:rPr>
                <w:rFonts w:ascii="Arial" w:hAnsi="Arial" w:cs="Arial"/>
                <w:sz w:val="22"/>
                <w:szCs w:val="22"/>
              </w:rPr>
              <w:t>Assessment</w:t>
            </w:r>
          </w:p>
        </w:tc>
      </w:tr>
      <w:tr w:rsidR="00F8428A" w:rsidRPr="00912EF5" w:rsidTr="00AD2180">
        <w:trPr>
          <w:cantSplit/>
        </w:trPr>
        <w:tc>
          <w:tcPr>
            <w:tcW w:w="1129" w:type="dxa"/>
            <w:tcBorders>
              <w:top w:val="single" w:sz="4" w:space="0" w:color="auto"/>
              <w:left w:val="single" w:sz="4" w:space="0" w:color="auto"/>
              <w:bottom w:val="single" w:sz="4" w:space="0" w:color="auto"/>
              <w:right w:val="single" w:sz="4" w:space="0" w:color="auto"/>
            </w:tcBorders>
          </w:tcPr>
          <w:p w:rsidR="00F8428A" w:rsidRPr="00B87001" w:rsidRDefault="00F8428A" w:rsidP="006F546C">
            <w:pPr>
              <w:jc w:val="left"/>
              <w:rPr>
                <w:rFonts w:ascii="Arial" w:hAnsi="Arial" w:cs="Arial"/>
                <w:sz w:val="22"/>
                <w:szCs w:val="22"/>
              </w:rPr>
            </w:pPr>
            <w:r w:rsidRPr="00B87001">
              <w:rPr>
                <w:rFonts w:ascii="Arial" w:hAnsi="Arial" w:cs="Arial"/>
                <w:sz w:val="22"/>
                <w:szCs w:val="22"/>
              </w:rPr>
              <w:t>T0113</w:t>
            </w:r>
          </w:p>
        </w:tc>
        <w:tc>
          <w:tcPr>
            <w:tcW w:w="2694" w:type="dxa"/>
            <w:tcBorders>
              <w:top w:val="single" w:sz="4" w:space="0" w:color="auto"/>
              <w:left w:val="single" w:sz="4" w:space="0" w:color="auto"/>
              <w:bottom w:val="single" w:sz="4" w:space="0" w:color="auto"/>
              <w:right w:val="single" w:sz="4" w:space="0" w:color="auto"/>
            </w:tcBorders>
          </w:tcPr>
          <w:p w:rsidR="00F8428A" w:rsidRPr="00B87001" w:rsidRDefault="00F8428A" w:rsidP="00DC000A">
            <w:pPr>
              <w:jc w:val="left"/>
              <w:rPr>
                <w:rFonts w:ascii="Arial" w:hAnsi="Arial" w:cs="Arial"/>
                <w:sz w:val="22"/>
                <w:szCs w:val="22"/>
              </w:rPr>
            </w:pPr>
            <w:r w:rsidRPr="00B87001">
              <w:rPr>
                <w:rFonts w:ascii="Arial" w:hAnsi="Arial" w:cs="Arial"/>
                <w:sz w:val="22"/>
                <w:szCs w:val="22"/>
                <w:lang w:val="en-US"/>
              </w:rPr>
              <w:t>Liver Transplant Inpatient services for children</w:t>
            </w:r>
          </w:p>
        </w:tc>
        <w:tc>
          <w:tcPr>
            <w:tcW w:w="4536" w:type="dxa"/>
            <w:tcBorders>
              <w:top w:val="single" w:sz="4" w:space="0" w:color="auto"/>
              <w:left w:val="single" w:sz="4" w:space="0" w:color="auto"/>
              <w:bottom w:val="single" w:sz="4" w:space="0" w:color="auto"/>
              <w:right w:val="single" w:sz="4" w:space="0" w:color="auto"/>
            </w:tcBorders>
          </w:tcPr>
          <w:p w:rsidR="00F8428A" w:rsidRPr="00B87001" w:rsidRDefault="00F8428A" w:rsidP="002C3318">
            <w:pPr>
              <w:jc w:val="left"/>
              <w:rPr>
                <w:rFonts w:ascii="Arial" w:hAnsi="Arial" w:cs="Arial"/>
                <w:sz w:val="22"/>
                <w:szCs w:val="22"/>
              </w:rPr>
            </w:pPr>
            <w:r w:rsidRPr="00B87001">
              <w:rPr>
                <w:rFonts w:ascii="Arial" w:hAnsi="Arial" w:cs="Arial"/>
                <w:sz w:val="22"/>
                <w:szCs w:val="22"/>
              </w:rPr>
              <w:t>Transplantation as an accepted treatment for selected patients with liver failure</w:t>
            </w:r>
            <w:r w:rsidRPr="00B87001" w:rsidDel="00AF547A">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F8428A" w:rsidRPr="00B87001" w:rsidRDefault="00F8428A" w:rsidP="00357E38">
            <w:pPr>
              <w:jc w:val="left"/>
              <w:rPr>
                <w:rFonts w:ascii="Arial" w:hAnsi="Arial" w:cs="Arial"/>
                <w:sz w:val="22"/>
                <w:szCs w:val="22"/>
              </w:rPr>
            </w:pPr>
            <w:r w:rsidRPr="00B87001">
              <w:rPr>
                <w:rFonts w:ascii="Arial" w:hAnsi="Arial" w:cs="Arial"/>
                <w:sz w:val="22"/>
                <w:szCs w:val="22"/>
              </w:rPr>
              <w:t>Procedure</w:t>
            </w:r>
          </w:p>
        </w:tc>
      </w:tr>
    </w:tbl>
    <w:p w:rsidR="00C50AE2" w:rsidRDefault="00C50AE2" w:rsidP="00E95128">
      <w:pPr>
        <w:spacing w:before="120" w:after="120"/>
        <w:jc w:val="left"/>
        <w:rPr>
          <w:rFonts w:ascii="Arial" w:hAnsi="Arial" w:cs="Arial"/>
          <w:shd w:val="clear" w:color="auto" w:fill="FFFFFF"/>
          <w:lang w:val="en-US"/>
        </w:rPr>
      </w:pPr>
      <w:r>
        <w:rPr>
          <w:rFonts w:ascii="Arial" w:hAnsi="Arial" w:cs="Arial"/>
          <w:shd w:val="clear" w:color="auto" w:fill="FFFFFF"/>
          <w:lang w:val="en-US"/>
        </w:rPr>
        <w:t>Renal Transplant codes</w:t>
      </w:r>
    </w:p>
    <w:tbl>
      <w:tblPr>
        <w:tblW w:w="979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4"/>
        <w:gridCol w:w="2366"/>
        <w:gridCol w:w="4580"/>
        <w:gridCol w:w="1701"/>
      </w:tblGrid>
      <w:tr w:rsidR="00F8428A" w:rsidRPr="00206A10" w:rsidTr="00F64C2A">
        <w:trPr>
          <w:cantSplit/>
          <w:tblHeader/>
        </w:trPr>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28A" w:rsidRPr="00F64C2A" w:rsidRDefault="00F8428A" w:rsidP="00B87001">
            <w:pPr>
              <w:spacing w:before="120" w:after="120"/>
              <w:jc w:val="left"/>
              <w:rPr>
                <w:rFonts w:ascii="Arial" w:hAnsi="Arial" w:cs="Arial"/>
                <w:b/>
                <w:sz w:val="22"/>
                <w:szCs w:val="22"/>
                <w:lang w:val="en-US"/>
              </w:rPr>
            </w:pPr>
            <w:r w:rsidRPr="00F64C2A">
              <w:rPr>
                <w:rFonts w:ascii="Arial" w:hAnsi="Arial" w:cs="Arial"/>
                <w:b/>
                <w:sz w:val="22"/>
                <w:szCs w:val="22"/>
                <w:lang w:val="en-US"/>
              </w:rPr>
              <w:t>PU Code</w:t>
            </w:r>
          </w:p>
        </w:tc>
        <w:tc>
          <w:tcPr>
            <w:tcW w:w="2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28A" w:rsidRPr="00F64C2A" w:rsidRDefault="00F8428A" w:rsidP="00B87001">
            <w:pPr>
              <w:spacing w:before="120" w:after="120"/>
              <w:jc w:val="left"/>
              <w:rPr>
                <w:rFonts w:ascii="Arial" w:hAnsi="Arial" w:cs="Arial"/>
                <w:b/>
                <w:sz w:val="22"/>
                <w:szCs w:val="22"/>
                <w:lang w:val="en-US"/>
              </w:rPr>
            </w:pPr>
            <w:r w:rsidRPr="00F64C2A">
              <w:rPr>
                <w:rFonts w:ascii="Arial" w:hAnsi="Arial" w:cs="Arial"/>
                <w:b/>
                <w:sz w:val="22"/>
                <w:szCs w:val="22"/>
                <w:lang w:val="en-US"/>
              </w:rPr>
              <w:t>PU Description</w:t>
            </w:r>
          </w:p>
        </w:tc>
        <w:tc>
          <w:tcPr>
            <w:tcW w:w="4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28A" w:rsidRPr="00F64C2A" w:rsidRDefault="00F8428A" w:rsidP="00B87001">
            <w:pPr>
              <w:spacing w:before="120" w:after="120"/>
              <w:jc w:val="left"/>
              <w:rPr>
                <w:rFonts w:ascii="Arial" w:hAnsi="Arial" w:cs="Arial"/>
                <w:b/>
                <w:sz w:val="22"/>
                <w:szCs w:val="22"/>
                <w:lang w:val="en-US"/>
              </w:rPr>
            </w:pPr>
            <w:r w:rsidRPr="00F64C2A">
              <w:rPr>
                <w:rFonts w:ascii="Arial" w:hAnsi="Arial" w:cs="Arial"/>
                <w:b/>
                <w:sz w:val="22"/>
                <w:szCs w:val="22"/>
                <w:lang w:val="en-US"/>
              </w:rPr>
              <w:t>PU Definition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28A" w:rsidRPr="00F64C2A" w:rsidRDefault="00F8428A" w:rsidP="00B87001">
            <w:pPr>
              <w:spacing w:before="120" w:after="120"/>
              <w:jc w:val="left"/>
              <w:rPr>
                <w:rFonts w:ascii="Arial" w:hAnsi="Arial" w:cs="Arial"/>
                <w:b/>
                <w:sz w:val="22"/>
                <w:szCs w:val="22"/>
                <w:lang w:val="en-US"/>
              </w:rPr>
            </w:pPr>
            <w:r w:rsidRPr="00F64C2A">
              <w:rPr>
                <w:rFonts w:ascii="Arial" w:hAnsi="Arial" w:cs="Arial"/>
                <w:b/>
                <w:sz w:val="22"/>
                <w:szCs w:val="22"/>
                <w:lang w:val="en-US"/>
              </w:rPr>
              <w:t>Unit of Measure</w:t>
            </w:r>
          </w:p>
        </w:tc>
      </w:tr>
      <w:tr w:rsidR="00F8428A" w:rsidRPr="00FD62F4" w:rsidTr="00B87001">
        <w:trPr>
          <w:cantSplit/>
        </w:trPr>
        <w:tc>
          <w:tcPr>
            <w:tcW w:w="1144" w:type="dxa"/>
            <w:tcBorders>
              <w:top w:val="single" w:sz="4" w:space="0" w:color="auto"/>
              <w:left w:val="single" w:sz="4" w:space="0" w:color="auto"/>
              <w:bottom w:val="single" w:sz="4" w:space="0" w:color="auto"/>
              <w:right w:val="single" w:sz="4" w:space="0" w:color="auto"/>
            </w:tcBorders>
          </w:tcPr>
          <w:p w:rsidR="00F8428A" w:rsidRPr="00B87001" w:rsidRDefault="00F8428A" w:rsidP="00C50AE2">
            <w:pPr>
              <w:spacing w:after="60"/>
              <w:jc w:val="left"/>
              <w:rPr>
                <w:rFonts w:ascii="Arial" w:hAnsi="Arial" w:cs="Arial"/>
                <w:bCs/>
                <w:sz w:val="22"/>
                <w:szCs w:val="22"/>
              </w:rPr>
            </w:pPr>
            <w:r w:rsidRPr="00B87001">
              <w:rPr>
                <w:rFonts w:ascii="Arial" w:hAnsi="Arial" w:cs="Arial"/>
                <w:bCs/>
                <w:sz w:val="22"/>
                <w:szCs w:val="22"/>
              </w:rPr>
              <w:t>ADJ101</w:t>
            </w:r>
          </w:p>
        </w:tc>
        <w:tc>
          <w:tcPr>
            <w:tcW w:w="2366" w:type="dxa"/>
            <w:tcBorders>
              <w:top w:val="single" w:sz="4" w:space="0" w:color="auto"/>
              <w:left w:val="single" w:sz="4" w:space="0" w:color="auto"/>
              <w:bottom w:val="single" w:sz="4" w:space="0" w:color="auto"/>
              <w:right w:val="single" w:sz="4" w:space="0" w:color="auto"/>
            </w:tcBorders>
          </w:tcPr>
          <w:p w:rsidR="00F8428A" w:rsidRPr="00B87001" w:rsidRDefault="00F8428A" w:rsidP="00C50AE2">
            <w:pPr>
              <w:spacing w:after="60"/>
              <w:jc w:val="left"/>
              <w:rPr>
                <w:rFonts w:ascii="Arial" w:hAnsi="Arial" w:cs="Arial"/>
                <w:bCs/>
                <w:sz w:val="22"/>
                <w:szCs w:val="22"/>
              </w:rPr>
            </w:pPr>
            <w:r w:rsidRPr="00B87001">
              <w:rPr>
                <w:rFonts w:ascii="Arial" w:hAnsi="Arial" w:cs="Arial"/>
                <w:sz w:val="22"/>
                <w:szCs w:val="22"/>
                <w:lang w:val="en-US"/>
              </w:rPr>
              <w:t>Severity/Complexity Adjuster - Medical/Surgical</w:t>
            </w:r>
          </w:p>
        </w:tc>
        <w:tc>
          <w:tcPr>
            <w:tcW w:w="4580" w:type="dxa"/>
            <w:tcBorders>
              <w:top w:val="single" w:sz="4" w:space="0" w:color="auto"/>
              <w:left w:val="single" w:sz="4" w:space="0" w:color="auto"/>
              <w:bottom w:val="single" w:sz="4" w:space="0" w:color="auto"/>
              <w:right w:val="single" w:sz="4" w:space="0" w:color="auto"/>
            </w:tcBorders>
          </w:tcPr>
          <w:p w:rsidR="00F8428A" w:rsidRPr="00B87001" w:rsidRDefault="00F8428A" w:rsidP="00C50AE2">
            <w:pPr>
              <w:spacing w:after="60"/>
              <w:jc w:val="left"/>
              <w:rPr>
                <w:rFonts w:ascii="Arial" w:hAnsi="Arial" w:cs="Arial"/>
                <w:sz w:val="22"/>
                <w:szCs w:val="22"/>
              </w:rPr>
            </w:pPr>
            <w:r w:rsidRPr="00B87001">
              <w:rPr>
                <w:rFonts w:ascii="Arial" w:hAnsi="Arial" w:cs="Arial"/>
                <w:sz w:val="22"/>
                <w:szCs w:val="22"/>
              </w:rPr>
              <w:t>Severity and Complexity pricing adjuster for National Medical, Surgical and Neonatal Purchase units.</w:t>
            </w:r>
            <w:r w:rsidRPr="00B87001" w:rsidDel="00AF547A">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F8428A" w:rsidRPr="00B87001" w:rsidRDefault="00F8428A" w:rsidP="00C50AE2">
            <w:pPr>
              <w:spacing w:after="60"/>
              <w:jc w:val="left"/>
              <w:rPr>
                <w:rFonts w:ascii="Arial" w:hAnsi="Arial" w:cs="Arial"/>
                <w:sz w:val="22"/>
                <w:szCs w:val="22"/>
              </w:rPr>
            </w:pPr>
            <w:r w:rsidRPr="00B87001">
              <w:rPr>
                <w:rFonts w:ascii="Arial" w:hAnsi="Arial" w:cs="Arial"/>
                <w:sz w:val="22"/>
                <w:szCs w:val="22"/>
              </w:rPr>
              <w:t>Adjuster</w:t>
            </w:r>
          </w:p>
        </w:tc>
      </w:tr>
      <w:tr w:rsidR="00E95128" w:rsidRPr="00FD62F4" w:rsidTr="00B87001">
        <w:trPr>
          <w:cantSplit/>
        </w:trPr>
        <w:tc>
          <w:tcPr>
            <w:tcW w:w="1144" w:type="dxa"/>
            <w:tcBorders>
              <w:top w:val="single" w:sz="4" w:space="0" w:color="auto"/>
              <w:left w:val="single" w:sz="4" w:space="0" w:color="auto"/>
              <w:bottom w:val="single" w:sz="4" w:space="0" w:color="auto"/>
              <w:right w:val="single" w:sz="4" w:space="0" w:color="auto"/>
            </w:tcBorders>
          </w:tcPr>
          <w:p w:rsidR="00E95128" w:rsidRPr="00E95128" w:rsidRDefault="00E95128" w:rsidP="00E95128">
            <w:pPr>
              <w:spacing w:after="60"/>
              <w:jc w:val="left"/>
              <w:rPr>
                <w:rFonts w:ascii="Arial" w:hAnsi="Arial" w:cs="Arial"/>
                <w:sz w:val="22"/>
                <w:szCs w:val="22"/>
              </w:rPr>
            </w:pPr>
            <w:r w:rsidRPr="00E95128">
              <w:rPr>
                <w:rFonts w:ascii="Arial" w:hAnsi="Arial" w:cs="Arial"/>
                <w:sz w:val="22"/>
                <w:szCs w:val="22"/>
              </w:rPr>
              <w:t>M60001</w:t>
            </w:r>
          </w:p>
        </w:tc>
        <w:tc>
          <w:tcPr>
            <w:tcW w:w="2366" w:type="dxa"/>
            <w:tcBorders>
              <w:top w:val="single" w:sz="4" w:space="0" w:color="auto"/>
              <w:left w:val="single" w:sz="4" w:space="0" w:color="auto"/>
              <w:bottom w:val="single" w:sz="4" w:space="0" w:color="auto"/>
              <w:right w:val="single" w:sz="4" w:space="0" w:color="auto"/>
            </w:tcBorders>
          </w:tcPr>
          <w:p w:rsidR="00E95128" w:rsidRPr="00E95128" w:rsidRDefault="00E95128" w:rsidP="00E95128">
            <w:pPr>
              <w:spacing w:after="60"/>
              <w:jc w:val="left"/>
              <w:rPr>
                <w:rFonts w:ascii="Arial" w:hAnsi="Arial" w:cs="Arial"/>
                <w:sz w:val="22"/>
                <w:szCs w:val="22"/>
              </w:rPr>
            </w:pPr>
            <w:r w:rsidRPr="00E95128">
              <w:rPr>
                <w:rFonts w:ascii="Arial" w:hAnsi="Arial" w:cs="Arial"/>
                <w:sz w:val="22"/>
                <w:szCs w:val="22"/>
              </w:rPr>
              <w:t>Renal Medicine - Inpatient Services (DRGs)</w:t>
            </w:r>
          </w:p>
        </w:tc>
        <w:tc>
          <w:tcPr>
            <w:tcW w:w="4580" w:type="dxa"/>
            <w:tcBorders>
              <w:top w:val="single" w:sz="4" w:space="0" w:color="auto"/>
              <w:left w:val="single" w:sz="4" w:space="0" w:color="auto"/>
              <w:bottom w:val="single" w:sz="4" w:space="0" w:color="auto"/>
              <w:right w:val="single" w:sz="4" w:space="0" w:color="auto"/>
            </w:tcBorders>
          </w:tcPr>
          <w:p w:rsidR="00E95128" w:rsidRPr="00B87001" w:rsidRDefault="00E95128" w:rsidP="00E95128">
            <w:pPr>
              <w:spacing w:after="60"/>
              <w:jc w:val="left"/>
              <w:rPr>
                <w:rFonts w:ascii="Arial" w:hAnsi="Arial" w:cs="Arial"/>
                <w:sz w:val="22"/>
                <w:szCs w:val="22"/>
              </w:rPr>
            </w:pPr>
            <w:r w:rsidRPr="00E95128">
              <w:rPr>
                <w:rFonts w:ascii="Arial" w:hAnsi="Arial" w:cs="Arial"/>
                <w:sz w:val="22"/>
                <w:szCs w:val="22"/>
              </w:rPr>
              <w:t>DRG WIESNZ Discharge.  Additional Information is found in the NZ Casemix Framework for Publicly Funded Hospitals which gets updated every year.</w:t>
            </w:r>
          </w:p>
        </w:tc>
        <w:tc>
          <w:tcPr>
            <w:tcW w:w="1701" w:type="dxa"/>
            <w:tcBorders>
              <w:top w:val="single" w:sz="4" w:space="0" w:color="auto"/>
              <w:left w:val="single" w:sz="4" w:space="0" w:color="auto"/>
              <w:bottom w:val="single" w:sz="4" w:space="0" w:color="auto"/>
              <w:right w:val="single" w:sz="4" w:space="0" w:color="auto"/>
            </w:tcBorders>
          </w:tcPr>
          <w:p w:rsidR="00E95128" w:rsidRPr="00B87001" w:rsidRDefault="00E95128" w:rsidP="00E95128">
            <w:pPr>
              <w:spacing w:after="60"/>
              <w:jc w:val="left"/>
              <w:rPr>
                <w:rFonts w:ascii="Arial" w:hAnsi="Arial" w:cs="Arial"/>
                <w:sz w:val="22"/>
                <w:szCs w:val="22"/>
              </w:rPr>
            </w:pPr>
            <w:r w:rsidRPr="00E95128">
              <w:rPr>
                <w:rFonts w:ascii="Arial" w:hAnsi="Arial" w:cs="Arial"/>
                <w:sz w:val="22"/>
                <w:szCs w:val="22"/>
              </w:rPr>
              <w:t>Cost Weighted Discharge</w:t>
            </w:r>
          </w:p>
        </w:tc>
      </w:tr>
      <w:tr w:rsidR="00B87001" w:rsidRPr="00FD62F4" w:rsidTr="00B87001">
        <w:trPr>
          <w:cantSplit/>
        </w:trPr>
        <w:tc>
          <w:tcPr>
            <w:tcW w:w="1144" w:type="dxa"/>
            <w:tcBorders>
              <w:top w:val="single" w:sz="4" w:space="0" w:color="auto"/>
              <w:left w:val="single" w:sz="4" w:space="0" w:color="auto"/>
              <w:bottom w:val="single" w:sz="4" w:space="0" w:color="auto"/>
              <w:right w:val="single" w:sz="4" w:space="0" w:color="auto"/>
            </w:tcBorders>
          </w:tcPr>
          <w:p w:rsidR="00B87001" w:rsidRPr="00B87001" w:rsidRDefault="00B87001" w:rsidP="00B87001">
            <w:pPr>
              <w:jc w:val="left"/>
              <w:rPr>
                <w:rFonts w:ascii="Arial" w:hAnsi="Arial" w:cs="Arial"/>
                <w:sz w:val="22"/>
                <w:szCs w:val="22"/>
                <w:lang w:val="en-US"/>
              </w:rPr>
            </w:pPr>
            <w:r w:rsidRPr="00B87001">
              <w:rPr>
                <w:rFonts w:ascii="Arial" w:hAnsi="Arial" w:cs="Arial"/>
                <w:sz w:val="22"/>
                <w:szCs w:val="22"/>
              </w:rPr>
              <w:t>T0109</w:t>
            </w:r>
          </w:p>
        </w:tc>
        <w:tc>
          <w:tcPr>
            <w:tcW w:w="2366" w:type="dxa"/>
            <w:tcBorders>
              <w:top w:val="single" w:sz="4" w:space="0" w:color="auto"/>
              <w:left w:val="single" w:sz="4" w:space="0" w:color="auto"/>
              <w:bottom w:val="single" w:sz="4" w:space="0" w:color="auto"/>
              <w:right w:val="single" w:sz="4" w:space="0" w:color="auto"/>
            </w:tcBorders>
          </w:tcPr>
          <w:p w:rsidR="00B87001" w:rsidRPr="00B87001" w:rsidRDefault="00B87001" w:rsidP="00B87001">
            <w:pPr>
              <w:spacing w:after="60"/>
              <w:jc w:val="left"/>
              <w:rPr>
                <w:rFonts w:ascii="Arial" w:hAnsi="Arial" w:cs="Arial"/>
                <w:sz w:val="22"/>
                <w:szCs w:val="22"/>
                <w:lang w:val="en-US"/>
              </w:rPr>
            </w:pPr>
            <w:r w:rsidRPr="00B87001">
              <w:rPr>
                <w:rFonts w:ascii="Arial" w:hAnsi="Arial" w:cs="Arial"/>
                <w:sz w:val="22"/>
                <w:szCs w:val="22"/>
              </w:rPr>
              <w:t>Deceased Donor Collection</w:t>
            </w:r>
          </w:p>
        </w:tc>
        <w:tc>
          <w:tcPr>
            <w:tcW w:w="4580" w:type="dxa"/>
            <w:tcBorders>
              <w:top w:val="single" w:sz="4" w:space="0" w:color="auto"/>
              <w:left w:val="single" w:sz="4" w:space="0" w:color="auto"/>
              <w:bottom w:val="single" w:sz="4" w:space="0" w:color="auto"/>
              <w:right w:val="single" w:sz="4" w:space="0" w:color="auto"/>
            </w:tcBorders>
          </w:tcPr>
          <w:p w:rsidR="00B87001" w:rsidRPr="00B87001" w:rsidRDefault="00B87001" w:rsidP="00B87001">
            <w:pPr>
              <w:spacing w:after="60"/>
              <w:jc w:val="left"/>
              <w:rPr>
                <w:rFonts w:ascii="Arial" w:hAnsi="Arial" w:cs="Arial"/>
                <w:sz w:val="22"/>
                <w:szCs w:val="22"/>
                <w:lang w:val="en-US"/>
              </w:rPr>
            </w:pPr>
            <w:r w:rsidRPr="00B87001">
              <w:rPr>
                <w:rFonts w:ascii="Arial" w:hAnsi="Arial" w:cs="Arial"/>
                <w:sz w:val="22"/>
                <w:szCs w:val="22"/>
              </w:rPr>
              <w:t>Collection of Deceased Donor for harvesting organs for transplants</w:t>
            </w:r>
            <w:r w:rsidRPr="00B87001" w:rsidDel="00AF547A">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B87001" w:rsidRPr="00B87001" w:rsidRDefault="00B87001" w:rsidP="00B87001">
            <w:pPr>
              <w:spacing w:after="60"/>
              <w:jc w:val="left"/>
              <w:rPr>
                <w:rFonts w:ascii="Arial" w:hAnsi="Arial" w:cs="Arial"/>
                <w:sz w:val="22"/>
                <w:szCs w:val="22"/>
                <w:lang w:val="en-US"/>
              </w:rPr>
            </w:pPr>
            <w:r w:rsidRPr="00B87001">
              <w:rPr>
                <w:rFonts w:ascii="Arial" w:hAnsi="Arial" w:cs="Arial"/>
                <w:sz w:val="22"/>
                <w:szCs w:val="22"/>
              </w:rPr>
              <w:t>Service</w:t>
            </w:r>
          </w:p>
        </w:tc>
      </w:tr>
    </w:tbl>
    <w:p w:rsidR="00E95128" w:rsidRDefault="00E95128" w:rsidP="00E95128">
      <w:pPr>
        <w:spacing w:before="120"/>
        <w:jc w:val="left"/>
        <w:rPr>
          <w:rFonts w:ascii="Arial" w:hAnsi="Arial" w:cs="Arial"/>
          <w:shd w:val="clear" w:color="auto" w:fill="FFFFFF"/>
          <w:lang w:val="en-US"/>
        </w:rPr>
      </w:pPr>
    </w:p>
    <w:tbl>
      <w:tblPr>
        <w:tblStyle w:val="TableGrid"/>
        <w:tblW w:w="0" w:type="auto"/>
        <w:tblLook w:val="04A0" w:firstRow="1" w:lastRow="0" w:firstColumn="1" w:lastColumn="0" w:noHBand="0" w:noVBand="1"/>
      </w:tblPr>
      <w:tblGrid>
        <w:gridCol w:w="2381"/>
        <w:gridCol w:w="7395"/>
      </w:tblGrid>
      <w:tr w:rsidR="00357E38" w:rsidRPr="008D461F" w:rsidTr="00F64C2A">
        <w:tc>
          <w:tcPr>
            <w:tcW w:w="2381" w:type="dxa"/>
            <w:shd w:val="pct12" w:color="auto" w:fill="auto"/>
          </w:tcPr>
          <w:p w:rsidR="00357E38" w:rsidRPr="00B87001" w:rsidRDefault="00357E38" w:rsidP="008D461F">
            <w:pPr>
              <w:spacing w:before="120" w:after="120"/>
              <w:jc w:val="left"/>
              <w:rPr>
                <w:rFonts w:ascii="Arial" w:hAnsi="Arial" w:cs="Arial"/>
                <w:b/>
                <w:sz w:val="22"/>
                <w:szCs w:val="22"/>
                <w:lang w:val="en-US"/>
              </w:rPr>
            </w:pPr>
            <w:r w:rsidRPr="00B87001">
              <w:rPr>
                <w:rFonts w:ascii="Arial" w:hAnsi="Arial" w:cs="Arial"/>
                <w:b/>
                <w:sz w:val="22"/>
                <w:szCs w:val="22"/>
                <w:lang w:val="en-US"/>
              </w:rPr>
              <w:t>Unit of Measure</w:t>
            </w:r>
          </w:p>
        </w:tc>
        <w:tc>
          <w:tcPr>
            <w:tcW w:w="7395" w:type="dxa"/>
            <w:shd w:val="pct12" w:color="auto" w:fill="auto"/>
          </w:tcPr>
          <w:p w:rsidR="00357E38" w:rsidRPr="00B87001" w:rsidRDefault="00357E38" w:rsidP="008D461F">
            <w:pPr>
              <w:spacing w:before="120" w:after="120"/>
              <w:jc w:val="left"/>
              <w:rPr>
                <w:rFonts w:ascii="Arial" w:hAnsi="Arial" w:cs="Arial"/>
                <w:b/>
                <w:sz w:val="22"/>
                <w:szCs w:val="22"/>
                <w:lang w:val="en-US"/>
              </w:rPr>
            </w:pPr>
            <w:r w:rsidRPr="00B87001">
              <w:rPr>
                <w:rFonts w:ascii="Arial" w:hAnsi="Arial" w:cs="Arial"/>
                <w:b/>
                <w:sz w:val="22"/>
                <w:szCs w:val="22"/>
                <w:lang w:val="en-US"/>
              </w:rPr>
              <w:t>Unit of Measure Definition</w:t>
            </w:r>
          </w:p>
        </w:tc>
      </w:tr>
      <w:tr w:rsidR="00357E38" w:rsidTr="00F64C2A">
        <w:tc>
          <w:tcPr>
            <w:tcW w:w="2381" w:type="dxa"/>
          </w:tcPr>
          <w:p w:rsidR="00357E38" w:rsidRPr="00B87001" w:rsidRDefault="00357E3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Adjuster</w:t>
            </w:r>
          </w:p>
        </w:tc>
        <w:tc>
          <w:tcPr>
            <w:tcW w:w="7395" w:type="dxa"/>
          </w:tcPr>
          <w:p w:rsidR="00357E38" w:rsidRPr="00B87001" w:rsidRDefault="0097560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Price adjustment for cost elements not adequately recognised within national purchase unit base prices.</w:t>
            </w:r>
          </w:p>
        </w:tc>
      </w:tr>
      <w:tr w:rsidR="00357E38" w:rsidTr="00F64C2A">
        <w:tc>
          <w:tcPr>
            <w:tcW w:w="2381" w:type="dxa"/>
          </w:tcPr>
          <w:p w:rsidR="00357E38" w:rsidRPr="00B87001" w:rsidRDefault="00357E3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Assessment</w:t>
            </w:r>
          </w:p>
        </w:tc>
        <w:tc>
          <w:tcPr>
            <w:tcW w:w="7395" w:type="dxa"/>
          </w:tcPr>
          <w:p w:rsidR="00357E38" w:rsidRPr="00B87001" w:rsidRDefault="0097560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Number of assessments.  Initial assessments and reassessments should be counted separately.</w:t>
            </w:r>
          </w:p>
        </w:tc>
      </w:tr>
      <w:tr w:rsidR="005C7255" w:rsidTr="00F64C2A">
        <w:tc>
          <w:tcPr>
            <w:tcW w:w="2381" w:type="dxa"/>
          </w:tcPr>
          <w:p w:rsidR="005C7255" w:rsidRPr="00B87001" w:rsidRDefault="005C7255"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Cost Weighted Discharge</w:t>
            </w:r>
          </w:p>
        </w:tc>
        <w:tc>
          <w:tcPr>
            <w:tcW w:w="7395" w:type="dxa"/>
          </w:tcPr>
          <w:p w:rsidR="005C7255" w:rsidRPr="00B87001" w:rsidRDefault="005C7255"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A numerical measure representing the relative cost of treating a patient through to discharge</w:t>
            </w:r>
          </w:p>
        </w:tc>
      </w:tr>
      <w:tr w:rsidR="00357E38" w:rsidTr="00F64C2A">
        <w:tc>
          <w:tcPr>
            <w:tcW w:w="2381" w:type="dxa"/>
          </w:tcPr>
          <w:p w:rsidR="00357E38" w:rsidRPr="00B87001" w:rsidRDefault="00F64C2A" w:rsidP="00FE4044">
            <w:pPr>
              <w:spacing w:before="120"/>
              <w:jc w:val="left"/>
              <w:rPr>
                <w:rFonts w:ascii="Arial" w:hAnsi="Arial" w:cs="Arial"/>
                <w:sz w:val="22"/>
                <w:szCs w:val="22"/>
                <w:shd w:val="clear" w:color="auto" w:fill="FFFFFF"/>
                <w:lang w:val="en-US"/>
              </w:rPr>
            </w:pPr>
            <w:r>
              <w:rPr>
                <w:rFonts w:ascii="Arial" w:hAnsi="Arial" w:cs="Arial"/>
                <w:sz w:val="22"/>
                <w:szCs w:val="22"/>
                <w:shd w:val="clear" w:color="auto" w:fill="FFFFFF"/>
                <w:lang w:val="en-US"/>
              </w:rPr>
              <w:t>Procedure</w:t>
            </w:r>
          </w:p>
        </w:tc>
        <w:tc>
          <w:tcPr>
            <w:tcW w:w="7395" w:type="dxa"/>
          </w:tcPr>
          <w:p w:rsidR="00357E38" w:rsidRPr="00B87001" w:rsidRDefault="00F64C2A" w:rsidP="00FE4044">
            <w:pPr>
              <w:spacing w:before="120"/>
              <w:jc w:val="left"/>
              <w:rPr>
                <w:rFonts w:ascii="Arial" w:hAnsi="Arial" w:cs="Arial"/>
                <w:sz w:val="22"/>
                <w:szCs w:val="22"/>
                <w:shd w:val="clear" w:color="auto" w:fill="FFFFFF"/>
                <w:lang w:val="en-US"/>
              </w:rPr>
            </w:pPr>
            <w:r w:rsidRPr="00F64C2A">
              <w:rPr>
                <w:rFonts w:ascii="Arial" w:hAnsi="Arial" w:cs="Arial"/>
                <w:sz w:val="22"/>
                <w:szCs w:val="22"/>
                <w:shd w:val="clear" w:color="auto" w:fill="FFFFFF"/>
                <w:lang w:val="en-US"/>
              </w:rPr>
              <w:t>The number of individual operative/diagnostic/assessment procedures in the period (period is annual 1st July - 30th June).</w:t>
            </w:r>
          </w:p>
        </w:tc>
      </w:tr>
      <w:tr w:rsidR="002C3318" w:rsidTr="00F64C2A">
        <w:tc>
          <w:tcPr>
            <w:tcW w:w="2381" w:type="dxa"/>
          </w:tcPr>
          <w:p w:rsidR="002C3318" w:rsidRPr="00B87001" w:rsidRDefault="002C331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Service</w:t>
            </w:r>
          </w:p>
        </w:tc>
        <w:tc>
          <w:tcPr>
            <w:tcW w:w="7395" w:type="dxa"/>
          </w:tcPr>
          <w:p w:rsidR="002C3318" w:rsidRPr="00B87001" w:rsidRDefault="002C3318" w:rsidP="00FE4044">
            <w:pPr>
              <w:spacing w:before="120"/>
              <w:jc w:val="left"/>
              <w:rPr>
                <w:rFonts w:ascii="Arial" w:hAnsi="Arial" w:cs="Arial"/>
                <w:sz w:val="22"/>
                <w:szCs w:val="22"/>
                <w:shd w:val="clear" w:color="auto" w:fill="FFFFFF"/>
                <w:lang w:val="en-US"/>
              </w:rPr>
            </w:pPr>
            <w:r w:rsidRPr="00B87001">
              <w:rPr>
                <w:rFonts w:ascii="Arial" w:hAnsi="Arial" w:cs="Arial"/>
                <w:sz w:val="22"/>
                <w:szCs w:val="22"/>
                <w:shd w:val="clear" w:color="auto" w:fill="FFFFFF"/>
                <w:lang w:val="en-US"/>
              </w:rPr>
              <w:t>Service purchased in a block arrangement uniquely agreed between the parties to the agreement</w:t>
            </w:r>
          </w:p>
        </w:tc>
      </w:tr>
    </w:tbl>
    <w:p w:rsidR="00355F48" w:rsidRDefault="00355F48" w:rsidP="00E95128">
      <w:pPr>
        <w:spacing w:before="120"/>
        <w:jc w:val="left"/>
        <w:rPr>
          <w:rFonts w:ascii="Arial" w:hAnsi="Arial" w:cs="Arial"/>
          <w:b/>
        </w:rPr>
      </w:pPr>
      <w:r>
        <w:rPr>
          <w:rFonts w:ascii="Arial" w:hAnsi="Arial" w:cs="Arial"/>
          <w:b/>
        </w:rPr>
        <w:t>9.2</w:t>
      </w:r>
      <w:r>
        <w:rPr>
          <w:rFonts w:ascii="Arial" w:hAnsi="Arial" w:cs="Arial"/>
          <w:b/>
        </w:rPr>
        <w:tab/>
      </w:r>
      <w:r w:rsidRPr="00355F48">
        <w:rPr>
          <w:rFonts w:ascii="Arial" w:hAnsi="Arial" w:cs="Arial"/>
          <w:b/>
        </w:rPr>
        <w:t>Reporting Requirements</w:t>
      </w:r>
    </w:p>
    <w:p w:rsidR="00F64C2A" w:rsidRPr="00F64C2A" w:rsidRDefault="00F64C2A" w:rsidP="008E30D2">
      <w:pPr>
        <w:spacing w:before="120"/>
        <w:jc w:val="left"/>
        <w:rPr>
          <w:rFonts w:ascii="Arial" w:hAnsi="Arial" w:cs="Arial"/>
        </w:rPr>
      </w:pPr>
      <w:r w:rsidRPr="00F64C2A">
        <w:rPr>
          <w:rFonts w:ascii="Arial" w:hAnsi="Arial" w:cs="Arial"/>
        </w:rPr>
        <w:t>The Service must comply with the requirements of the Ministry’s national data collections.</w:t>
      </w:r>
    </w:p>
    <w:p w:rsidR="00F64C2A" w:rsidRPr="00F64C2A" w:rsidRDefault="00F64C2A" w:rsidP="00F64C2A">
      <w:pPr>
        <w:jc w:val="left"/>
        <w:rPr>
          <w:rFonts w:ascii="Arial" w:hAnsi="Arial" w:cs="Arial"/>
        </w:rPr>
      </w:pPr>
      <w:r w:rsidRPr="00F64C2A">
        <w:rPr>
          <w:rFonts w:ascii="Arial" w:hAnsi="Arial" w:cs="Arial"/>
        </w:rPr>
        <w:t>DHBs must accurately report activity to the Ministry’s National Collections as outlined in the Operational Policy Framework</w:t>
      </w:r>
      <w:r>
        <w:rPr>
          <w:rStyle w:val="FootnoteReference"/>
          <w:rFonts w:ascii="Arial" w:hAnsi="Arial" w:cs="Arial"/>
        </w:rPr>
        <w:footnoteReference w:id="4"/>
      </w:r>
      <w:r>
        <w:rPr>
          <w:rFonts w:ascii="Arial" w:hAnsi="Arial" w:cs="Arial"/>
        </w:rPr>
        <w:t>,</w:t>
      </w:r>
      <w:r w:rsidRPr="00F64C2A">
        <w:rPr>
          <w:rFonts w:ascii="Arial" w:hAnsi="Arial" w:cs="Arial"/>
        </w:rPr>
        <w:t xml:space="preserve"> Monitoring and Reporting chapter, this includes but is not limited to National Minimum Data Set (NMDS), National Non-Admitted Patient Collection, (NNPAC), National Booking Reporting System (NBRS) and National Patient Flow (NPF).</w:t>
      </w:r>
    </w:p>
    <w:p w:rsidR="00F64C2A" w:rsidRPr="00355F48" w:rsidRDefault="00F64C2A" w:rsidP="00F64C2A">
      <w:pPr>
        <w:spacing w:before="120"/>
        <w:jc w:val="left"/>
        <w:rPr>
          <w:rFonts w:ascii="Arial" w:hAnsi="Arial" w:cs="Arial"/>
          <w:b/>
        </w:rPr>
      </w:pPr>
      <w:r w:rsidRPr="00F64C2A">
        <w:rPr>
          <w:rFonts w:ascii="Arial" w:hAnsi="Arial" w:cs="Arial"/>
        </w:rPr>
        <w:t>Organisations that provide any services purchased by DHBs directly will also supply the Ministry with data required for inclusion in the National Collections (particularly the NMDS, NPF, NBRS and NNPAC). Organisations will notify the Ministry (operations@health.govt.nz) of any changes to their data definitions, standards or computer systems that may or will affect the supply of the above data.</w:t>
      </w:r>
    </w:p>
    <w:p w:rsidR="00355F48" w:rsidRDefault="00355F48" w:rsidP="005C300D">
      <w:pPr>
        <w:spacing w:before="120"/>
        <w:jc w:val="left"/>
        <w:rPr>
          <w:rFonts w:ascii="Arial" w:hAnsi="Arial" w:cs="Arial"/>
        </w:rPr>
      </w:pPr>
      <w:r>
        <w:rPr>
          <w:rFonts w:ascii="Arial" w:hAnsi="Arial" w:cs="Arial"/>
        </w:rPr>
        <w:t xml:space="preserve">All transplant data will be reported as specified to </w:t>
      </w:r>
      <w:r w:rsidRPr="00355F48">
        <w:rPr>
          <w:rFonts w:ascii="Arial" w:hAnsi="Arial" w:cs="Arial"/>
        </w:rPr>
        <w:t>The Australia and New Zealand Dialysis and Transplant Registry (ANZDATA)</w:t>
      </w:r>
      <w:r>
        <w:rPr>
          <w:rFonts w:ascii="Arial" w:hAnsi="Arial" w:cs="Arial"/>
        </w:rPr>
        <w:t>.</w:t>
      </w:r>
    </w:p>
    <w:p w:rsidR="00D72AB2" w:rsidRDefault="00D72AB2">
      <w:pPr>
        <w:jc w:val="left"/>
        <w:rPr>
          <w:rFonts w:ascii="Arial" w:hAnsi="Arial" w:cs="Arial"/>
        </w:rPr>
      </w:pPr>
      <w:r>
        <w:rPr>
          <w:rFonts w:ascii="Arial" w:hAnsi="Arial" w:cs="Arial"/>
        </w:rPr>
        <w:br w:type="page"/>
      </w:r>
    </w:p>
    <w:p w:rsidR="009935BF" w:rsidRDefault="00D72AB2" w:rsidP="00D72AB2">
      <w:pPr>
        <w:jc w:val="left"/>
        <w:rPr>
          <w:rFonts w:ascii="Arial" w:hAnsi="Arial" w:cs="Arial"/>
          <w:b/>
        </w:rPr>
      </w:pPr>
      <w:r w:rsidRPr="00475731">
        <w:rPr>
          <w:rFonts w:ascii="Arial" w:hAnsi="Arial" w:cs="Arial"/>
          <w:b/>
        </w:rPr>
        <w:t>Appendix</w:t>
      </w:r>
      <w:r w:rsidR="00ED605F">
        <w:rPr>
          <w:rFonts w:ascii="Arial" w:hAnsi="Arial" w:cs="Arial"/>
          <w:b/>
        </w:rPr>
        <w:t xml:space="preserve"> One</w:t>
      </w:r>
      <w:r w:rsidRPr="00475731">
        <w:rPr>
          <w:rFonts w:ascii="Arial" w:hAnsi="Arial" w:cs="Arial"/>
          <w:b/>
        </w:rPr>
        <w:t xml:space="preserve"> – </w:t>
      </w:r>
      <w:r w:rsidR="009935BF">
        <w:rPr>
          <w:rFonts w:ascii="Arial" w:hAnsi="Arial" w:cs="Arial"/>
          <w:b/>
        </w:rPr>
        <w:t>Organ Allocation</w:t>
      </w:r>
      <w:r w:rsidR="001822EA">
        <w:rPr>
          <w:rFonts w:ascii="Arial" w:hAnsi="Arial" w:cs="Arial"/>
          <w:b/>
        </w:rPr>
        <w:t xml:space="preserve"> Protocols</w:t>
      </w:r>
    </w:p>
    <w:p w:rsidR="009935BF" w:rsidRDefault="001822EA" w:rsidP="00F6783F">
      <w:pPr>
        <w:spacing w:before="240"/>
        <w:jc w:val="left"/>
        <w:rPr>
          <w:rFonts w:ascii="Arial" w:hAnsi="Arial" w:cs="Arial"/>
          <w:b/>
        </w:rPr>
      </w:pPr>
      <w:r w:rsidRPr="00D02F98">
        <w:rPr>
          <w:rFonts w:ascii="Arial" w:hAnsi="Arial" w:cs="Arial"/>
          <w:b/>
        </w:rPr>
        <w:t>Organ Transplantation from Diseased Donors: Consensus Statement on Eligibility Criteria and Allocation Protocols</w:t>
      </w:r>
      <w:r w:rsidRPr="001822EA">
        <w:rPr>
          <w:rFonts w:ascii="Arial" w:hAnsi="Arial" w:cs="Arial"/>
        </w:rPr>
        <w:t xml:space="preserve"> </w:t>
      </w:r>
      <w:r w:rsidR="00D02F98">
        <w:rPr>
          <w:rFonts w:ascii="Arial" w:hAnsi="Arial" w:cs="Arial"/>
        </w:rPr>
        <w:t>is</w:t>
      </w:r>
      <w:r w:rsidRPr="001822EA">
        <w:rPr>
          <w:rFonts w:ascii="Arial" w:hAnsi="Arial" w:cs="Arial"/>
        </w:rPr>
        <w:t xml:space="preserve"> published on the Transplantation Society of Australia and NZ (TSANZ) </w:t>
      </w:r>
      <w:r w:rsidR="00DB77AE" w:rsidRPr="001822EA">
        <w:rPr>
          <w:rFonts w:ascii="Arial" w:hAnsi="Arial" w:cs="Arial"/>
        </w:rPr>
        <w:t>website</w:t>
      </w:r>
      <w:r w:rsidRPr="001822EA">
        <w:rPr>
          <w:rFonts w:ascii="Arial" w:hAnsi="Arial" w:cs="Arial"/>
        </w:rPr>
        <w:t>.</w:t>
      </w:r>
      <w:r>
        <w:rPr>
          <w:rFonts w:ascii="Arial" w:hAnsi="Arial" w:cs="Arial"/>
          <w:b/>
        </w:rPr>
        <w:t xml:space="preserve"> </w:t>
      </w:r>
      <w:r w:rsidRPr="001822EA">
        <w:rPr>
          <w:rFonts w:ascii="Arial" w:hAnsi="Arial" w:cs="Arial"/>
        </w:rPr>
        <w:t>It includes</w:t>
      </w:r>
      <w:r>
        <w:rPr>
          <w:rFonts w:ascii="Arial" w:hAnsi="Arial" w:cs="Arial"/>
          <w:b/>
        </w:rPr>
        <w:t xml:space="preserve"> </w:t>
      </w:r>
      <w:r w:rsidRPr="001822EA">
        <w:rPr>
          <w:rFonts w:ascii="Arial" w:hAnsi="Arial" w:cs="Arial"/>
        </w:rPr>
        <w:t xml:space="preserve">heart, </w:t>
      </w:r>
      <w:r>
        <w:rPr>
          <w:rFonts w:ascii="Arial" w:hAnsi="Arial" w:cs="Arial"/>
        </w:rPr>
        <w:t>kidney, liver, lung</w:t>
      </w:r>
      <w:r w:rsidRPr="001822EA">
        <w:rPr>
          <w:rFonts w:ascii="Arial" w:hAnsi="Arial" w:cs="Arial"/>
        </w:rPr>
        <w:t xml:space="preserve"> </w:t>
      </w:r>
      <w:r>
        <w:rPr>
          <w:rFonts w:ascii="Arial" w:hAnsi="Arial" w:cs="Arial"/>
        </w:rPr>
        <w:t xml:space="preserve">and pancreas </w:t>
      </w:r>
      <w:r w:rsidRPr="001822EA">
        <w:rPr>
          <w:rFonts w:ascii="Arial" w:hAnsi="Arial" w:cs="Arial"/>
        </w:rPr>
        <w:t>recipients</w:t>
      </w:r>
      <w:r>
        <w:rPr>
          <w:rFonts w:ascii="Arial" w:hAnsi="Arial" w:cs="Arial"/>
        </w:rPr>
        <w:t>.</w:t>
      </w:r>
    </w:p>
    <w:p w:rsidR="00F6783F" w:rsidRPr="00F6783F" w:rsidRDefault="00F6783F" w:rsidP="00F6783F">
      <w:pPr>
        <w:spacing w:before="240"/>
        <w:jc w:val="left"/>
        <w:rPr>
          <w:rFonts w:ascii="Arial" w:hAnsi="Arial" w:cs="Arial"/>
          <w:b/>
        </w:rPr>
      </w:pPr>
      <w:r>
        <w:rPr>
          <w:rFonts w:ascii="Arial" w:hAnsi="Arial" w:cs="Arial"/>
          <w:b/>
        </w:rPr>
        <w:t>Pancreas Allocation</w:t>
      </w:r>
    </w:p>
    <w:p w:rsidR="00F6783F" w:rsidRPr="00F6783F" w:rsidRDefault="00F6783F" w:rsidP="00F6783F">
      <w:pPr>
        <w:spacing w:before="240"/>
        <w:jc w:val="left"/>
        <w:rPr>
          <w:rFonts w:ascii="Arial" w:hAnsi="Arial" w:cs="Arial"/>
        </w:rPr>
      </w:pPr>
      <w:r w:rsidRPr="00F6783F">
        <w:rPr>
          <w:rFonts w:ascii="Arial" w:hAnsi="Arial" w:cs="Arial"/>
        </w:rPr>
        <w:t xml:space="preserve">Pancreas allocation: Allocation is by waiting time since listed. </w:t>
      </w:r>
    </w:p>
    <w:p w:rsidR="006C0479" w:rsidRPr="00D459AD" w:rsidRDefault="00F6783F" w:rsidP="00F6783F">
      <w:pPr>
        <w:spacing w:before="240"/>
        <w:jc w:val="left"/>
        <w:rPr>
          <w:rFonts w:ascii="Arial" w:hAnsi="Arial" w:cs="Arial"/>
        </w:rPr>
      </w:pPr>
      <w:r w:rsidRPr="00F6783F">
        <w:rPr>
          <w:rFonts w:ascii="Arial" w:hAnsi="Arial" w:cs="Arial"/>
          <w:b/>
        </w:rPr>
        <w:t xml:space="preserve">New Zealand </w:t>
      </w:r>
      <w:r w:rsidR="006C0479">
        <w:rPr>
          <w:rFonts w:ascii="Arial" w:hAnsi="Arial" w:cs="Arial"/>
          <w:b/>
        </w:rPr>
        <w:t xml:space="preserve">Renal Transplant Service papers and reports </w:t>
      </w:r>
      <w:r w:rsidR="006C0479" w:rsidRPr="00D459AD">
        <w:rPr>
          <w:rFonts w:ascii="Arial" w:hAnsi="Arial" w:cs="Arial"/>
        </w:rPr>
        <w:t xml:space="preserve">are published on </w:t>
      </w:r>
      <w:bookmarkStart w:id="35" w:name="_Hlk42013547"/>
      <w:r w:rsidR="006C0479" w:rsidRPr="00D459AD">
        <w:rPr>
          <w:rFonts w:ascii="Arial" w:hAnsi="Arial" w:cs="Arial"/>
        </w:rPr>
        <w:t>www.health.govt.nz/about-ministry/leadership-ministry/expert-groups/national-renal-transplant-service/nrts-papers-and-reports</w:t>
      </w:r>
      <w:bookmarkEnd w:id="35"/>
    </w:p>
    <w:p w:rsidR="006C0479" w:rsidRDefault="006C0479" w:rsidP="00F6783F">
      <w:pPr>
        <w:spacing w:before="240"/>
        <w:jc w:val="left"/>
        <w:rPr>
          <w:rFonts w:ascii="Arial" w:hAnsi="Arial" w:cs="Arial"/>
        </w:rPr>
      </w:pPr>
      <w:bookmarkStart w:id="36" w:name="_Hlk42069936"/>
      <w:r>
        <w:rPr>
          <w:rFonts w:ascii="Arial" w:hAnsi="Arial" w:cs="Arial"/>
          <w:b/>
        </w:rPr>
        <w:t>The N</w:t>
      </w:r>
      <w:r w:rsidR="00D459AD">
        <w:rPr>
          <w:rFonts w:ascii="Arial" w:hAnsi="Arial" w:cs="Arial"/>
          <w:b/>
        </w:rPr>
        <w:t xml:space="preserve">ew Zealand </w:t>
      </w:r>
      <w:r w:rsidR="00F6783F" w:rsidRPr="00F6783F">
        <w:rPr>
          <w:rFonts w:ascii="Arial" w:hAnsi="Arial" w:cs="Arial"/>
          <w:b/>
        </w:rPr>
        <w:t>Kidney Allocation Scheme</w:t>
      </w:r>
      <w:bookmarkEnd w:id="36"/>
      <w:r w:rsidR="00F6783F" w:rsidRPr="00F6783F">
        <w:rPr>
          <w:rFonts w:ascii="Arial" w:hAnsi="Arial" w:cs="Arial"/>
        </w:rPr>
        <w:t xml:space="preserve"> </w:t>
      </w:r>
      <w:r w:rsidR="00D459AD">
        <w:rPr>
          <w:rStyle w:val="FootnoteReference"/>
          <w:rFonts w:ascii="Arial" w:hAnsi="Arial" w:cs="Arial"/>
        </w:rPr>
        <w:footnoteReference w:id="5"/>
      </w:r>
      <w:r w:rsidR="00D459AD" w:rsidRPr="00D459AD">
        <w:rPr>
          <w:rFonts w:ascii="Arial" w:hAnsi="Arial" w:cs="Arial"/>
        </w:rPr>
        <w:t xml:space="preserve">has been developed to ensure that kidney allocation in NZ is performed on an equitable, accountable and transparent basis.  This algorithm is used for the allocation of all deceased donor kidneys and non-directed live donors. </w:t>
      </w:r>
    </w:p>
    <w:p w:rsidR="00573B0A" w:rsidRPr="00912EF5" w:rsidRDefault="00573B0A" w:rsidP="00D459AD">
      <w:pPr>
        <w:spacing w:before="240"/>
        <w:jc w:val="left"/>
        <w:rPr>
          <w:rFonts w:ascii="Arial" w:hAnsi="Arial" w:cs="Arial"/>
        </w:rPr>
      </w:pPr>
    </w:p>
    <w:sectPr w:rsidR="00573B0A" w:rsidRPr="00912EF5" w:rsidSect="0072109C">
      <w:footerReference w:type="even" r:id="rId9"/>
      <w:footerReference w:type="default" r:id="rId10"/>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7B" w:rsidRDefault="00D0627B">
      <w:r>
        <w:separator/>
      </w:r>
    </w:p>
  </w:endnote>
  <w:endnote w:type="continuationSeparator" w:id="0">
    <w:p w:rsidR="00D0627B" w:rsidRDefault="00D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7B" w:rsidRDefault="00D0627B" w:rsidP="005E3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27B" w:rsidRDefault="00D0627B" w:rsidP="00912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7B" w:rsidRPr="005E397A" w:rsidRDefault="00D0627B" w:rsidP="005E397A">
    <w:pPr>
      <w:pStyle w:val="Footer"/>
      <w:framePr w:wrap="around" w:vAnchor="text" w:hAnchor="margin" w:xAlign="right" w:y="1"/>
      <w:rPr>
        <w:rStyle w:val="PageNumber"/>
        <w:rFonts w:ascii="Arial Mäori" w:hAnsi="Arial Mäori"/>
      </w:rPr>
    </w:pPr>
    <w:r w:rsidRPr="005E397A">
      <w:rPr>
        <w:rStyle w:val="PageNumber"/>
        <w:rFonts w:ascii="Arial Mäori" w:hAnsi="Arial Mäori"/>
      </w:rPr>
      <w:fldChar w:fldCharType="begin"/>
    </w:r>
    <w:r w:rsidRPr="005E397A">
      <w:rPr>
        <w:rStyle w:val="PageNumber"/>
        <w:rFonts w:ascii="Arial Mäori" w:hAnsi="Arial Mäori"/>
      </w:rPr>
      <w:instrText xml:space="preserve">PAGE  </w:instrText>
    </w:r>
    <w:r w:rsidRPr="005E397A">
      <w:rPr>
        <w:rStyle w:val="PageNumber"/>
        <w:rFonts w:ascii="Arial Mäori" w:hAnsi="Arial Mäori"/>
      </w:rPr>
      <w:fldChar w:fldCharType="separate"/>
    </w:r>
    <w:r>
      <w:rPr>
        <w:rStyle w:val="PageNumber"/>
        <w:rFonts w:ascii="Arial Mäori" w:hAnsi="Arial Mäori"/>
        <w:noProof/>
      </w:rPr>
      <w:t>3</w:t>
    </w:r>
    <w:r w:rsidRPr="005E397A">
      <w:rPr>
        <w:rStyle w:val="PageNumber"/>
        <w:rFonts w:ascii="Arial Mäori" w:hAnsi="Arial Mäori"/>
      </w:rPr>
      <w:fldChar w:fldCharType="end"/>
    </w:r>
  </w:p>
  <w:p w:rsidR="00D0627B" w:rsidRDefault="00D0627B" w:rsidP="00912EF5">
    <w:pPr>
      <w:pStyle w:val="Footer"/>
      <w:pBdr>
        <w:top w:val="single" w:sz="4" w:space="1" w:color="auto"/>
      </w:pBdr>
      <w:tabs>
        <w:tab w:val="left" w:pos="3686"/>
      </w:tabs>
      <w:ind w:right="360"/>
      <w:rPr>
        <w:rFonts w:ascii="Arial Mäori" w:hAnsi="Arial Mäori"/>
      </w:rPr>
    </w:pPr>
    <w:r>
      <w:rPr>
        <w:rFonts w:ascii="Arial Mäori" w:hAnsi="Arial Mäori"/>
      </w:rPr>
      <w:t>Specialist Medical and Surgical Services- Solid Organ Transplant Service Spec</w:t>
    </w:r>
    <w:r w:rsidRPr="00114AAC">
      <w:rPr>
        <w:rFonts w:ascii="Arial Mäori" w:hAnsi="Arial Mäori"/>
      </w:rPr>
      <w:t>ification,</w:t>
    </w:r>
    <w:r>
      <w:rPr>
        <w:rFonts w:ascii="Arial Mäori" w:hAnsi="Arial Mäori"/>
      </w:rPr>
      <w:t xml:space="preserve"> Tier Two Service Specification June 2020</w:t>
    </w:r>
  </w:p>
  <w:p w:rsidR="00D0627B" w:rsidRDefault="00D0627B" w:rsidP="00D62B50">
    <w:pPr>
      <w:pStyle w:val="Footer"/>
      <w:ind w:right="360"/>
      <w:rPr>
        <w:rFonts w:ascii="Arial" w:hAnsi="Arial" w:cs="Arial"/>
        <w:b/>
        <w:bCs/>
      </w:rPr>
    </w:pPr>
    <w:r w:rsidRPr="00114AAC">
      <w:rPr>
        <w:rFonts w:ascii="Arial Mäori" w:hAnsi="Arial Mäori"/>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7B" w:rsidRDefault="00D0627B">
      <w:r>
        <w:separator/>
      </w:r>
    </w:p>
  </w:footnote>
  <w:footnote w:type="continuationSeparator" w:id="0">
    <w:p w:rsidR="00D0627B" w:rsidRDefault="00D0627B">
      <w:r>
        <w:continuationSeparator/>
      </w:r>
    </w:p>
  </w:footnote>
  <w:footnote w:id="1">
    <w:p w:rsidR="00D0627B" w:rsidRDefault="00D0627B">
      <w:pPr>
        <w:pStyle w:val="FootnoteText"/>
      </w:pPr>
      <w:r>
        <w:rPr>
          <w:rStyle w:val="FootnoteReference"/>
        </w:rPr>
        <w:footnoteRef/>
      </w:r>
      <w:r>
        <w:t xml:space="preserve"> </w:t>
      </w:r>
      <w:r w:rsidRPr="00E95128">
        <w:rPr>
          <w:rFonts w:ascii="Arial" w:hAnsi="Arial" w:cs="Arial"/>
        </w:rPr>
        <w:t>www.health.govt.nz/publication/increasing-deceased-organ-donation-and-transplantation-national-strategy</w:t>
      </w:r>
    </w:p>
  </w:footnote>
  <w:footnote w:id="2">
    <w:p w:rsidR="00D0627B" w:rsidRPr="003B4B1B" w:rsidRDefault="00D0627B" w:rsidP="003B4B1B">
      <w:pPr>
        <w:pStyle w:val="Default"/>
        <w:rPr>
          <w:sz w:val="20"/>
          <w:szCs w:val="20"/>
        </w:rPr>
      </w:pPr>
      <w:r>
        <w:rPr>
          <w:rStyle w:val="FootnoteReference"/>
        </w:rPr>
        <w:footnoteRef/>
      </w:r>
      <w:r>
        <w:rPr>
          <w:rFonts w:ascii="Arial" w:hAnsi="Arial" w:cs="Arial"/>
        </w:rPr>
        <w:t xml:space="preserve"> </w:t>
      </w:r>
      <w:r w:rsidRPr="00A75A91">
        <w:rPr>
          <w:rFonts w:ascii="Arial" w:hAnsi="Arial" w:cs="Arial"/>
          <w:sz w:val="20"/>
          <w:szCs w:val="20"/>
        </w:rPr>
        <w:t>www.health.govt.nz/our-work/digital-health/other-digital-health-initiatives/telehealth</w:t>
      </w:r>
    </w:p>
    <w:p w:rsidR="00D0627B" w:rsidRPr="003B4B1B" w:rsidRDefault="00D0627B" w:rsidP="003B4B1B">
      <w:pPr>
        <w:pStyle w:val="FootnoteText"/>
        <w:jc w:val="left"/>
        <w:rPr>
          <w:rFonts w:ascii="Arial" w:hAnsi="Arial" w:cs="Arial"/>
          <w:sz w:val="22"/>
          <w:szCs w:val="22"/>
        </w:rPr>
      </w:pPr>
      <w:r w:rsidRPr="003B4B1B">
        <w:rPr>
          <w:rFonts w:ascii="Arial" w:hAnsi="Arial" w:cs="Arial"/>
          <w:color w:val="000000"/>
        </w:rPr>
        <w:t>The Council defines telehealth as “the use of information and communications technologies, to deliver health services and transmit health information over both long and short distances”.</w:t>
      </w:r>
    </w:p>
  </w:footnote>
  <w:footnote w:id="3">
    <w:p w:rsidR="00D0627B" w:rsidRDefault="00D0627B" w:rsidP="00FD62F4">
      <w:pPr>
        <w:pStyle w:val="FootnoteText"/>
        <w:jc w:val="left"/>
      </w:pPr>
      <w:r>
        <w:rPr>
          <w:rStyle w:val="FootnoteReference"/>
        </w:rPr>
        <w:footnoteRef/>
      </w:r>
      <w:r>
        <w:t xml:space="preserve"> </w:t>
      </w:r>
      <w:r w:rsidRPr="00FD62F4">
        <w:rPr>
          <w:rFonts w:ascii="Arial" w:hAnsi="Arial" w:cs="Arial"/>
        </w:rPr>
        <w:t xml:space="preserve">The Operational Policy Framework is updated annually and published at:  </w:t>
      </w:r>
      <w:r w:rsidRPr="00F64C2A">
        <w:rPr>
          <w:rFonts w:ascii="Arial" w:hAnsi="Arial" w:cs="Arial"/>
        </w:rPr>
        <w:t>http://nsfl.health.govt.nz/accountability/operational-policy-framework-0</w:t>
      </w:r>
    </w:p>
  </w:footnote>
  <w:footnote w:id="4">
    <w:p w:rsidR="00D0627B" w:rsidRDefault="00D0627B">
      <w:pPr>
        <w:pStyle w:val="FootnoteText"/>
      </w:pPr>
      <w:r>
        <w:rPr>
          <w:rStyle w:val="FootnoteReference"/>
        </w:rPr>
        <w:footnoteRef/>
      </w:r>
      <w:r>
        <w:t xml:space="preserve"> </w:t>
      </w:r>
      <w:r w:rsidRPr="00F64C2A">
        <w:rPr>
          <w:rFonts w:ascii="Arial" w:hAnsi="Arial" w:cs="Arial"/>
        </w:rPr>
        <w:t>Operational; Policy Framework see https://nsfl.health.govt.nz/accountability/operational-policy-framework-0</w:t>
      </w:r>
    </w:p>
  </w:footnote>
  <w:footnote w:id="5">
    <w:p w:rsidR="00D0627B" w:rsidRPr="00D459AD" w:rsidRDefault="00D0627B" w:rsidP="00E95128">
      <w:pPr>
        <w:pStyle w:val="FootnoteText"/>
        <w:tabs>
          <w:tab w:val="left" w:pos="284"/>
        </w:tabs>
        <w:rPr>
          <w:rFonts w:ascii="Arial" w:hAnsi="Arial" w:cs="Arial"/>
        </w:rPr>
      </w:pPr>
      <w:r>
        <w:rPr>
          <w:rStyle w:val="FootnoteReference"/>
        </w:rPr>
        <w:footnoteRef/>
      </w:r>
      <w:r>
        <w:t xml:space="preserve"> </w:t>
      </w:r>
      <w:r w:rsidRPr="00D459AD">
        <w:rPr>
          <w:rFonts w:ascii="Arial" w:hAnsi="Arial" w:cs="Arial"/>
        </w:rPr>
        <w:t>www.health.govt.nz/about-ministry/leadership-ministry/expert-groups/national-renal-transplant-service/nrts-papers-and-reports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7B3"/>
    <w:multiLevelType w:val="hybridMultilevel"/>
    <w:tmpl w:val="5E041A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1CF06AE"/>
    <w:multiLevelType w:val="hybridMultilevel"/>
    <w:tmpl w:val="6B529DC0"/>
    <w:lvl w:ilvl="0" w:tplc="7E7CCE66">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E426E"/>
    <w:multiLevelType w:val="hybridMultilevel"/>
    <w:tmpl w:val="BC28F000"/>
    <w:lvl w:ilvl="0" w:tplc="B374EA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1C30D8"/>
    <w:multiLevelType w:val="multilevel"/>
    <w:tmpl w:val="E0163760"/>
    <w:lvl w:ilvl="0">
      <w:start w:val="1"/>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CBA1A9B"/>
    <w:multiLevelType w:val="hybridMultilevel"/>
    <w:tmpl w:val="E926EF50"/>
    <w:lvl w:ilvl="0" w:tplc="BE88F38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B13129"/>
    <w:multiLevelType w:val="hybridMultilevel"/>
    <w:tmpl w:val="520C2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963575"/>
    <w:multiLevelType w:val="hybridMultilevel"/>
    <w:tmpl w:val="F93AC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0A71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D8297F"/>
    <w:multiLevelType w:val="hybridMultilevel"/>
    <w:tmpl w:val="39C23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7C2237C"/>
    <w:multiLevelType w:val="hybridMultilevel"/>
    <w:tmpl w:val="19AEA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3"/>
    <w:lvlOverride w:ilvl="0">
      <w:startOverride w:val="7"/>
    </w:lvlOverride>
  </w:num>
  <w:num w:numId="7">
    <w:abstractNumId w:val="0"/>
  </w:num>
  <w:num w:numId="8">
    <w:abstractNumId w:val="8"/>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6C"/>
    <w:rsid w:val="000259F1"/>
    <w:rsid w:val="00040BA3"/>
    <w:rsid w:val="00042E43"/>
    <w:rsid w:val="0008332B"/>
    <w:rsid w:val="00097278"/>
    <w:rsid w:val="00097563"/>
    <w:rsid w:val="000D22A1"/>
    <w:rsid w:val="000E1001"/>
    <w:rsid w:val="000E4BB1"/>
    <w:rsid w:val="00113678"/>
    <w:rsid w:val="00140A08"/>
    <w:rsid w:val="00155B09"/>
    <w:rsid w:val="0016416A"/>
    <w:rsid w:val="001822EA"/>
    <w:rsid w:val="00185C3E"/>
    <w:rsid w:val="001919B3"/>
    <w:rsid w:val="001C60AF"/>
    <w:rsid w:val="001D112F"/>
    <w:rsid w:val="001D64FC"/>
    <w:rsid w:val="001E5E23"/>
    <w:rsid w:val="00206A10"/>
    <w:rsid w:val="00210D36"/>
    <w:rsid w:val="0024280C"/>
    <w:rsid w:val="002626E3"/>
    <w:rsid w:val="002701B9"/>
    <w:rsid w:val="00273FD1"/>
    <w:rsid w:val="002C3318"/>
    <w:rsid w:val="002F0E44"/>
    <w:rsid w:val="00331D6D"/>
    <w:rsid w:val="003323A2"/>
    <w:rsid w:val="00355F48"/>
    <w:rsid w:val="00357E38"/>
    <w:rsid w:val="003B3BBC"/>
    <w:rsid w:val="003B4B1B"/>
    <w:rsid w:val="003C567A"/>
    <w:rsid w:val="003E742B"/>
    <w:rsid w:val="003F6C3C"/>
    <w:rsid w:val="00410A73"/>
    <w:rsid w:val="00425607"/>
    <w:rsid w:val="00426465"/>
    <w:rsid w:val="00427B73"/>
    <w:rsid w:val="00475731"/>
    <w:rsid w:val="00482FC2"/>
    <w:rsid w:val="00495B00"/>
    <w:rsid w:val="004E567E"/>
    <w:rsid w:val="00501393"/>
    <w:rsid w:val="005044B7"/>
    <w:rsid w:val="00505531"/>
    <w:rsid w:val="00511C3E"/>
    <w:rsid w:val="00534E29"/>
    <w:rsid w:val="005445BB"/>
    <w:rsid w:val="00573B0A"/>
    <w:rsid w:val="00576BC7"/>
    <w:rsid w:val="00590CFF"/>
    <w:rsid w:val="005A6461"/>
    <w:rsid w:val="005B268A"/>
    <w:rsid w:val="005C300D"/>
    <w:rsid w:val="005C7255"/>
    <w:rsid w:val="005C7D61"/>
    <w:rsid w:val="005D1EB1"/>
    <w:rsid w:val="005D7F7C"/>
    <w:rsid w:val="005E397A"/>
    <w:rsid w:val="00612F4C"/>
    <w:rsid w:val="00613168"/>
    <w:rsid w:val="0062707D"/>
    <w:rsid w:val="006C0479"/>
    <w:rsid w:val="006C1B7B"/>
    <w:rsid w:val="006C6D65"/>
    <w:rsid w:val="006E05F0"/>
    <w:rsid w:val="006F546C"/>
    <w:rsid w:val="0070165C"/>
    <w:rsid w:val="00715346"/>
    <w:rsid w:val="00720538"/>
    <w:rsid w:val="0072109C"/>
    <w:rsid w:val="00725051"/>
    <w:rsid w:val="0074473E"/>
    <w:rsid w:val="00775532"/>
    <w:rsid w:val="0078324E"/>
    <w:rsid w:val="007C5DBE"/>
    <w:rsid w:val="007D032A"/>
    <w:rsid w:val="007D2E51"/>
    <w:rsid w:val="007F4584"/>
    <w:rsid w:val="00820893"/>
    <w:rsid w:val="00840785"/>
    <w:rsid w:val="00841FD7"/>
    <w:rsid w:val="008458A7"/>
    <w:rsid w:val="00860F3F"/>
    <w:rsid w:val="0086339B"/>
    <w:rsid w:val="008A3584"/>
    <w:rsid w:val="008D1854"/>
    <w:rsid w:val="008D4435"/>
    <w:rsid w:val="008D461F"/>
    <w:rsid w:val="008E30D2"/>
    <w:rsid w:val="00912EF5"/>
    <w:rsid w:val="00931108"/>
    <w:rsid w:val="00965C82"/>
    <w:rsid w:val="00975608"/>
    <w:rsid w:val="00975828"/>
    <w:rsid w:val="00982DB1"/>
    <w:rsid w:val="009935BF"/>
    <w:rsid w:val="00993CD2"/>
    <w:rsid w:val="00994132"/>
    <w:rsid w:val="009B0D3F"/>
    <w:rsid w:val="009B192F"/>
    <w:rsid w:val="009B1D58"/>
    <w:rsid w:val="009D2848"/>
    <w:rsid w:val="00A10664"/>
    <w:rsid w:val="00A571BC"/>
    <w:rsid w:val="00A60A9B"/>
    <w:rsid w:val="00A7092C"/>
    <w:rsid w:val="00A73C69"/>
    <w:rsid w:val="00A75A91"/>
    <w:rsid w:val="00A90341"/>
    <w:rsid w:val="00AB09EF"/>
    <w:rsid w:val="00AB3ECF"/>
    <w:rsid w:val="00AB66BE"/>
    <w:rsid w:val="00AD2180"/>
    <w:rsid w:val="00AF547A"/>
    <w:rsid w:val="00B31129"/>
    <w:rsid w:val="00B31AF7"/>
    <w:rsid w:val="00B32CA3"/>
    <w:rsid w:val="00B45431"/>
    <w:rsid w:val="00B45C52"/>
    <w:rsid w:val="00B6624D"/>
    <w:rsid w:val="00B820DB"/>
    <w:rsid w:val="00B87001"/>
    <w:rsid w:val="00BB3815"/>
    <w:rsid w:val="00BC1752"/>
    <w:rsid w:val="00BC50E4"/>
    <w:rsid w:val="00BE0D81"/>
    <w:rsid w:val="00BE6B7B"/>
    <w:rsid w:val="00C03077"/>
    <w:rsid w:val="00C269BA"/>
    <w:rsid w:val="00C30E29"/>
    <w:rsid w:val="00C370A3"/>
    <w:rsid w:val="00C50AE2"/>
    <w:rsid w:val="00C512D4"/>
    <w:rsid w:val="00C75274"/>
    <w:rsid w:val="00C83EA0"/>
    <w:rsid w:val="00CA63C5"/>
    <w:rsid w:val="00CB138A"/>
    <w:rsid w:val="00CB3E7D"/>
    <w:rsid w:val="00CB7C56"/>
    <w:rsid w:val="00CE3A51"/>
    <w:rsid w:val="00D02F98"/>
    <w:rsid w:val="00D0627B"/>
    <w:rsid w:val="00D33862"/>
    <w:rsid w:val="00D439D6"/>
    <w:rsid w:val="00D459AD"/>
    <w:rsid w:val="00D62B50"/>
    <w:rsid w:val="00D72AB2"/>
    <w:rsid w:val="00DA2088"/>
    <w:rsid w:val="00DB77AE"/>
    <w:rsid w:val="00DC000A"/>
    <w:rsid w:val="00DC5A12"/>
    <w:rsid w:val="00DE155D"/>
    <w:rsid w:val="00DF08F0"/>
    <w:rsid w:val="00DF1415"/>
    <w:rsid w:val="00DF29C6"/>
    <w:rsid w:val="00E74500"/>
    <w:rsid w:val="00E83E5E"/>
    <w:rsid w:val="00E95128"/>
    <w:rsid w:val="00ED605F"/>
    <w:rsid w:val="00ED6D69"/>
    <w:rsid w:val="00F01B66"/>
    <w:rsid w:val="00F23108"/>
    <w:rsid w:val="00F33687"/>
    <w:rsid w:val="00F460AB"/>
    <w:rsid w:val="00F46189"/>
    <w:rsid w:val="00F64C2A"/>
    <w:rsid w:val="00F6783F"/>
    <w:rsid w:val="00F8428A"/>
    <w:rsid w:val="00FC1E53"/>
    <w:rsid w:val="00FD4F63"/>
    <w:rsid w:val="00FD62F4"/>
    <w:rsid w:val="00FE4044"/>
    <w:rsid w:val="00FF6D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289D0"/>
  <w15:docId w15:val="{B3DBD7F0-BB9F-4267-A8A7-0F111E29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Mäori" w:hAnsi="Times New Roman Mäori"/>
      <w:sz w:val="24"/>
      <w:szCs w:val="24"/>
      <w:lang w:eastAsia="en-US"/>
    </w:rPr>
  </w:style>
  <w:style w:type="paragraph" w:styleId="Heading10">
    <w:name w:val="heading 1"/>
    <w:basedOn w:val="Normal"/>
    <w:next w:val="Normal"/>
    <w:qFormat/>
    <w:pPr>
      <w:keepNext/>
      <w:jc w:val="left"/>
      <w:outlineLvl w:val="0"/>
    </w:pPr>
    <w:rPr>
      <w:rFonts w:ascii="Times New Roman" w:hAnsi="Times New Roman"/>
      <w:b/>
      <w:sz w:val="22"/>
      <w:szCs w:val="20"/>
    </w:rPr>
  </w:style>
  <w:style w:type="paragraph" w:styleId="Heading2">
    <w:name w:val="heading 2"/>
    <w:aliases w:val="H1"/>
    <w:basedOn w:val="Normal"/>
    <w:next w:val="Normal"/>
    <w:qFormat/>
    <w:pPr>
      <w:keepNext/>
      <w:outlineLvl w:val="1"/>
    </w:pPr>
    <w:rPr>
      <w:rFonts w:ascii="Times New Roman" w:hAnsi="Times New Roman"/>
      <w:b/>
      <w:szCs w:val="20"/>
      <w:lang w:val="en-GB"/>
    </w:rPr>
  </w:style>
  <w:style w:type="paragraph" w:styleId="Heading3">
    <w:name w:val="heading 3"/>
    <w:aliases w:val="H2"/>
    <w:basedOn w:val="Normal"/>
    <w:next w:val="Normal"/>
    <w:qFormat/>
    <w:pPr>
      <w:keepNext/>
      <w:jc w:val="center"/>
      <w:outlineLvl w:val="2"/>
    </w:pPr>
    <w:rPr>
      <w:rFonts w:ascii="Times New Roman" w:hAnsi="Times New Roman"/>
      <w:b/>
      <w:szCs w:val="20"/>
      <w:lang w:val="en-GB"/>
    </w:rPr>
  </w:style>
  <w:style w:type="paragraph" w:styleId="Heading4">
    <w:name w:val="heading 4"/>
    <w:basedOn w:val="Normal"/>
    <w:next w:val="Normal"/>
    <w:qFormat/>
    <w:pPr>
      <w:keepNext/>
      <w:jc w:val="center"/>
      <w:outlineLvl w:val="3"/>
    </w:pPr>
    <w:rPr>
      <w:rFonts w:ascii="Times New Roman" w:hAnsi="Times New Roman"/>
      <w:szCs w:val="20"/>
      <w:lang w:val="en-GB"/>
    </w:rPr>
  </w:style>
  <w:style w:type="paragraph" w:styleId="Heading5">
    <w:name w:val="heading 5"/>
    <w:basedOn w:val="Normal"/>
    <w:next w:val="Normal"/>
    <w:qFormat/>
    <w:pPr>
      <w:keepNext/>
      <w:outlineLvl w:val="4"/>
    </w:pPr>
    <w:rPr>
      <w:rFonts w:ascii="Arial" w:hAnsi="Arial" w:cs="Arial"/>
      <w:b/>
      <w:bCs/>
      <w:i/>
      <w:iCs/>
      <w:szCs w:val="20"/>
      <w:lang w:val="en-GB"/>
    </w:rPr>
  </w:style>
  <w:style w:type="paragraph" w:styleId="Heading6">
    <w:name w:val="heading 6"/>
    <w:basedOn w:val="Normal"/>
    <w:next w:val="Normal"/>
    <w:qFormat/>
    <w:rsid w:val="006F546C"/>
    <w:pPr>
      <w:spacing w:before="240" w:after="60"/>
      <w:jc w:val="left"/>
      <w:outlineLvl w:val="5"/>
    </w:pPr>
    <w:rPr>
      <w:rFonts w:ascii="Arial" w:hAnsi="Arial"/>
      <w:i/>
      <w:sz w:val="22"/>
      <w:szCs w:val="20"/>
      <w:lang w:val="en-GB"/>
    </w:rPr>
  </w:style>
  <w:style w:type="paragraph" w:styleId="Heading7">
    <w:name w:val="heading 7"/>
    <w:basedOn w:val="Normal"/>
    <w:next w:val="Normal"/>
    <w:qFormat/>
    <w:rsid w:val="006F546C"/>
    <w:pPr>
      <w:spacing w:before="240" w:after="60"/>
      <w:jc w:val="left"/>
      <w:outlineLvl w:val="6"/>
    </w:pPr>
    <w:rPr>
      <w:rFonts w:ascii="Arial" w:hAnsi="Arial"/>
      <w:sz w:val="20"/>
      <w:szCs w:val="20"/>
      <w:lang w:val="en-GB"/>
    </w:rPr>
  </w:style>
  <w:style w:type="paragraph" w:styleId="Heading8">
    <w:name w:val="heading 8"/>
    <w:basedOn w:val="Normal"/>
    <w:next w:val="Normal"/>
    <w:qFormat/>
    <w:rsid w:val="006F546C"/>
    <w:pPr>
      <w:spacing w:before="240" w:after="60"/>
      <w:jc w:val="left"/>
      <w:outlineLvl w:val="7"/>
    </w:pPr>
    <w:rPr>
      <w:rFonts w:ascii="Arial" w:hAnsi="Arial"/>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Cs w:val="20"/>
      <w:lang w:val="en-GB"/>
    </w:rPr>
  </w:style>
  <w:style w:type="paragraph" w:styleId="Title">
    <w:name w:val="Title"/>
    <w:basedOn w:val="Normal"/>
    <w:qFormat/>
    <w:pPr>
      <w:jc w:val="center"/>
    </w:pPr>
    <w:rPr>
      <w:rFonts w:ascii="Times New Roman" w:hAnsi="Times New Roman"/>
      <w:szCs w:val="20"/>
      <w:lang w:val="en-GB"/>
    </w:rPr>
  </w:style>
  <w:style w:type="paragraph" w:styleId="Subtitle">
    <w:name w:val="Subtitle"/>
    <w:basedOn w:val="Normal"/>
    <w:qFormat/>
    <w:pPr>
      <w:jc w:val="center"/>
    </w:pPr>
    <w:rPr>
      <w:rFonts w:ascii="Times New Roman" w:hAnsi="Times New Roman"/>
      <w:b/>
      <w:szCs w:val="20"/>
      <w:lang w:val="en-GB"/>
    </w:rPr>
  </w:style>
  <w:style w:type="paragraph" w:styleId="BodyTextIndent2">
    <w:name w:val="Body Text Indent 2"/>
    <w:basedOn w:val="Normal"/>
    <w:pPr>
      <w:ind w:left="684"/>
    </w:pPr>
    <w:rPr>
      <w:rFonts w:ascii="Arial" w:hAnsi="Arial" w:cs="Arial"/>
      <w:sz w:val="22"/>
    </w:rPr>
  </w:style>
  <w:style w:type="paragraph" w:styleId="BodyText3">
    <w:name w:val="Body Text 3"/>
    <w:basedOn w:val="Normal"/>
    <w:pPr>
      <w:numPr>
        <w:ilvl w:val="12"/>
      </w:numPr>
    </w:pPr>
    <w:rPr>
      <w:rFonts w:ascii="Times New Roman" w:hAnsi="Times New Roman"/>
      <w:szCs w:val="20"/>
      <w:lang w:val="en-GB"/>
    </w:rPr>
  </w:style>
  <w:style w:type="paragraph" w:styleId="BodyTextIndent">
    <w:name w:val="Body Text Indent"/>
    <w:basedOn w:val="Normal"/>
    <w:pPr>
      <w:ind w:left="720"/>
    </w:pPr>
    <w:rPr>
      <w:rFonts w:ascii="Times New Roman" w:hAnsi="Times New Roman"/>
      <w:szCs w:val="20"/>
      <w:lang w:val="en-GB"/>
    </w:rPr>
  </w:style>
  <w:style w:type="paragraph" w:styleId="List">
    <w:name w:val="List"/>
    <w:basedOn w:val="Normal"/>
    <w:pPr>
      <w:ind w:left="360" w:hanging="360"/>
    </w:pPr>
    <w:rPr>
      <w:rFonts w:ascii="Times New Roman" w:hAnsi="Times New Roman"/>
      <w:szCs w:val="20"/>
      <w:lang w:val="en-GB"/>
    </w:rPr>
  </w:style>
  <w:style w:type="paragraph" w:styleId="Footer">
    <w:name w:val="footer"/>
    <w:basedOn w:val="Normal"/>
    <w:pPr>
      <w:tabs>
        <w:tab w:val="center" w:pos="4153"/>
        <w:tab w:val="right" w:pos="8306"/>
      </w:tabs>
      <w:jc w:val="left"/>
    </w:pPr>
    <w:rPr>
      <w:rFonts w:ascii="Times New Roman" w:hAnsi="Times New Roman"/>
      <w:sz w:val="20"/>
      <w:szCs w:val="20"/>
      <w:lang w:val="en-GB"/>
    </w:rPr>
  </w:style>
  <w:style w:type="paragraph" w:styleId="Header">
    <w:name w:val="header"/>
    <w:basedOn w:val="Normal"/>
    <w:pPr>
      <w:tabs>
        <w:tab w:val="center" w:pos="4153"/>
        <w:tab w:val="right" w:pos="8306"/>
      </w:tabs>
      <w:jc w:val="left"/>
    </w:pPr>
    <w:rPr>
      <w:rFonts w:ascii="Times New Roman" w:hAnsi="Times New Roman"/>
      <w:sz w:val="20"/>
      <w:szCs w:val="20"/>
      <w:lang w:val="en-GB"/>
    </w:rPr>
  </w:style>
  <w:style w:type="character" w:styleId="PageNumber">
    <w:name w:val="page number"/>
    <w:basedOn w:val="DefaultParagraphFont"/>
  </w:style>
  <w:style w:type="paragraph" w:customStyle="1" w:styleId="heading1">
    <w:name w:val="heading1"/>
    <w:basedOn w:val="Normal"/>
    <w:pPr>
      <w:numPr>
        <w:numId w:val="1"/>
      </w:numPr>
    </w:pPr>
    <w:rPr>
      <w:rFonts w:ascii="Arial" w:hAnsi="Arial" w:cs="Arial"/>
      <w:b/>
      <w:sz w:val="20"/>
    </w:rPr>
  </w:style>
  <w:style w:type="paragraph" w:customStyle="1" w:styleId="bullet">
    <w:name w:val="bullet"/>
    <w:basedOn w:val="Normal"/>
    <w:pPr>
      <w:numPr>
        <w:numId w:val="2"/>
      </w:numPr>
      <w:tabs>
        <w:tab w:val="clear" w:pos="720"/>
      </w:tabs>
      <w:ind w:left="360"/>
    </w:pPr>
    <w:rPr>
      <w:rFonts w:ascii="Arial" w:hAnsi="Arial" w:cs="Arial"/>
      <w:sz w:val="20"/>
      <w:lang w:val="en-US"/>
    </w:rPr>
  </w:style>
  <w:style w:type="paragraph" w:customStyle="1" w:styleId="text">
    <w:name w:val="text"/>
    <w:basedOn w:val="List"/>
    <w:pPr>
      <w:ind w:left="0" w:hanging="18"/>
    </w:pPr>
    <w:rPr>
      <w:rFonts w:ascii="Arial" w:hAnsi="Arial" w:cs="Arial"/>
      <w:sz w:val="20"/>
      <w:lang w:val="en-NZ"/>
    </w:rPr>
  </w:style>
  <w:style w:type="paragraph" w:styleId="BalloonText">
    <w:name w:val="Balloon Text"/>
    <w:basedOn w:val="Normal"/>
    <w:semiHidden/>
    <w:rsid w:val="006F546C"/>
    <w:rPr>
      <w:rFonts w:ascii="Tahoma" w:hAnsi="Tahoma" w:cs="Tahoma"/>
      <w:sz w:val="16"/>
      <w:szCs w:val="16"/>
    </w:rPr>
  </w:style>
  <w:style w:type="paragraph" w:customStyle="1" w:styleId="Char1CharChar">
    <w:name w:val="Char1 Char Char"/>
    <w:basedOn w:val="Normal"/>
    <w:rsid w:val="006F546C"/>
    <w:pPr>
      <w:spacing w:after="160" w:line="240" w:lineRule="exact"/>
      <w:jc w:val="left"/>
    </w:pPr>
    <w:rPr>
      <w:rFonts w:ascii="Arial" w:hAnsi="Arial"/>
      <w:sz w:val="20"/>
      <w:szCs w:val="20"/>
      <w:lang w:val="en-US"/>
    </w:rPr>
  </w:style>
  <w:style w:type="character" w:styleId="CommentReference">
    <w:name w:val="annotation reference"/>
    <w:basedOn w:val="DefaultParagraphFont"/>
    <w:semiHidden/>
    <w:rsid w:val="00BE6B7B"/>
    <w:rPr>
      <w:sz w:val="16"/>
      <w:szCs w:val="16"/>
    </w:rPr>
  </w:style>
  <w:style w:type="paragraph" w:styleId="CommentText">
    <w:name w:val="annotation text"/>
    <w:basedOn w:val="Normal"/>
    <w:semiHidden/>
    <w:rsid w:val="00BE6B7B"/>
    <w:rPr>
      <w:sz w:val="20"/>
      <w:szCs w:val="20"/>
    </w:rPr>
  </w:style>
  <w:style w:type="paragraph" w:styleId="CommentSubject">
    <w:name w:val="annotation subject"/>
    <w:basedOn w:val="CommentText"/>
    <w:next w:val="CommentText"/>
    <w:semiHidden/>
    <w:rsid w:val="00BE6B7B"/>
    <w:rPr>
      <w:b/>
      <w:bCs/>
    </w:rPr>
  </w:style>
  <w:style w:type="paragraph" w:styleId="FootnoteText">
    <w:name w:val="footnote text"/>
    <w:basedOn w:val="Normal"/>
    <w:link w:val="FootnoteTextChar"/>
    <w:uiPriority w:val="99"/>
    <w:semiHidden/>
    <w:unhideWhenUsed/>
    <w:rsid w:val="00A90341"/>
    <w:rPr>
      <w:sz w:val="20"/>
      <w:szCs w:val="20"/>
    </w:rPr>
  </w:style>
  <w:style w:type="character" w:customStyle="1" w:styleId="FootnoteTextChar">
    <w:name w:val="Footnote Text Char"/>
    <w:basedOn w:val="DefaultParagraphFont"/>
    <w:link w:val="FootnoteText"/>
    <w:uiPriority w:val="99"/>
    <w:semiHidden/>
    <w:rsid w:val="00A90341"/>
    <w:rPr>
      <w:rFonts w:ascii="Times New Roman Mäori" w:hAnsi="Times New Roman Mäori"/>
      <w:lang w:eastAsia="en-US"/>
    </w:rPr>
  </w:style>
  <w:style w:type="character" w:styleId="FootnoteReference">
    <w:name w:val="footnote reference"/>
    <w:basedOn w:val="DefaultParagraphFont"/>
    <w:uiPriority w:val="99"/>
    <w:semiHidden/>
    <w:unhideWhenUsed/>
    <w:rsid w:val="00A90341"/>
    <w:rPr>
      <w:vertAlign w:val="superscript"/>
    </w:rPr>
  </w:style>
  <w:style w:type="paragraph" w:styleId="ListParagraph">
    <w:name w:val="List Paragraph"/>
    <w:basedOn w:val="Normal"/>
    <w:uiPriority w:val="34"/>
    <w:qFormat/>
    <w:rsid w:val="008D1854"/>
    <w:pPr>
      <w:ind w:left="720"/>
      <w:contextualSpacing/>
    </w:pPr>
  </w:style>
  <w:style w:type="table" w:styleId="TableGrid">
    <w:name w:val="Table Grid"/>
    <w:basedOn w:val="TableNormal"/>
    <w:uiPriority w:val="59"/>
    <w:rsid w:val="0035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A12"/>
    <w:rPr>
      <w:color w:val="0000FF" w:themeColor="hyperlink"/>
      <w:u w:val="single"/>
    </w:rPr>
  </w:style>
  <w:style w:type="paragraph" w:customStyle="1" w:styleId="Default">
    <w:name w:val="Default"/>
    <w:rsid w:val="003B4B1B"/>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935BF"/>
    <w:rPr>
      <w:color w:val="800080" w:themeColor="followedHyperlink"/>
      <w:u w:val="single"/>
    </w:rPr>
  </w:style>
  <w:style w:type="character" w:styleId="UnresolvedMention">
    <w:name w:val="Unresolved Mention"/>
    <w:basedOn w:val="DefaultParagraphFont"/>
    <w:uiPriority w:val="99"/>
    <w:semiHidden/>
    <w:unhideWhenUsed/>
    <w:rsid w:val="008E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0300">
      <w:bodyDiv w:val="1"/>
      <w:marLeft w:val="0"/>
      <w:marRight w:val="0"/>
      <w:marTop w:val="0"/>
      <w:marBottom w:val="0"/>
      <w:divBdr>
        <w:top w:val="none" w:sz="0" w:space="0" w:color="auto"/>
        <w:left w:val="none" w:sz="0" w:space="0" w:color="auto"/>
        <w:bottom w:val="none" w:sz="0" w:space="0" w:color="auto"/>
        <w:right w:val="none" w:sz="0" w:space="0" w:color="auto"/>
      </w:divBdr>
    </w:div>
    <w:div w:id="431515212">
      <w:bodyDiv w:val="1"/>
      <w:marLeft w:val="0"/>
      <w:marRight w:val="0"/>
      <w:marTop w:val="0"/>
      <w:marBottom w:val="0"/>
      <w:divBdr>
        <w:top w:val="none" w:sz="0" w:space="0" w:color="auto"/>
        <w:left w:val="none" w:sz="0" w:space="0" w:color="auto"/>
        <w:bottom w:val="none" w:sz="0" w:space="0" w:color="auto"/>
        <w:right w:val="none" w:sz="0" w:space="0" w:color="auto"/>
      </w:divBdr>
    </w:div>
    <w:div w:id="478890172">
      <w:bodyDiv w:val="1"/>
      <w:marLeft w:val="0"/>
      <w:marRight w:val="0"/>
      <w:marTop w:val="0"/>
      <w:marBottom w:val="0"/>
      <w:divBdr>
        <w:top w:val="none" w:sz="0" w:space="0" w:color="auto"/>
        <w:left w:val="none" w:sz="0" w:space="0" w:color="auto"/>
        <w:bottom w:val="none" w:sz="0" w:space="0" w:color="auto"/>
        <w:right w:val="none" w:sz="0" w:space="0" w:color="auto"/>
      </w:divBdr>
    </w:div>
    <w:div w:id="1107700814">
      <w:bodyDiv w:val="1"/>
      <w:marLeft w:val="0"/>
      <w:marRight w:val="0"/>
      <w:marTop w:val="0"/>
      <w:marBottom w:val="0"/>
      <w:divBdr>
        <w:top w:val="none" w:sz="0" w:space="0" w:color="auto"/>
        <w:left w:val="none" w:sz="0" w:space="0" w:color="auto"/>
        <w:bottom w:val="none" w:sz="0" w:space="0" w:color="auto"/>
        <w:right w:val="none" w:sz="0" w:space="0" w:color="auto"/>
      </w:divBdr>
    </w:div>
    <w:div w:id="1237742981">
      <w:bodyDiv w:val="1"/>
      <w:marLeft w:val="0"/>
      <w:marRight w:val="0"/>
      <w:marTop w:val="0"/>
      <w:marBottom w:val="0"/>
      <w:divBdr>
        <w:top w:val="none" w:sz="0" w:space="0" w:color="auto"/>
        <w:left w:val="none" w:sz="0" w:space="0" w:color="auto"/>
        <w:bottom w:val="none" w:sz="0" w:space="0" w:color="auto"/>
        <w:right w:val="none" w:sz="0" w:space="0" w:color="auto"/>
      </w:divBdr>
    </w:div>
    <w:div w:id="1484204192">
      <w:bodyDiv w:val="1"/>
      <w:marLeft w:val="0"/>
      <w:marRight w:val="0"/>
      <w:marTop w:val="0"/>
      <w:marBottom w:val="0"/>
      <w:divBdr>
        <w:top w:val="none" w:sz="0" w:space="0" w:color="auto"/>
        <w:left w:val="none" w:sz="0" w:space="0" w:color="auto"/>
        <w:bottom w:val="none" w:sz="0" w:space="0" w:color="auto"/>
        <w:right w:val="none" w:sz="0" w:space="0" w:color="auto"/>
      </w:divBdr>
    </w:div>
    <w:div w:id="1624270070">
      <w:bodyDiv w:val="1"/>
      <w:marLeft w:val="0"/>
      <w:marRight w:val="0"/>
      <w:marTop w:val="0"/>
      <w:marBottom w:val="0"/>
      <w:divBdr>
        <w:top w:val="none" w:sz="0" w:space="0" w:color="auto"/>
        <w:left w:val="none" w:sz="0" w:space="0" w:color="auto"/>
        <w:bottom w:val="none" w:sz="0" w:space="0" w:color="auto"/>
        <w:right w:val="none" w:sz="0" w:space="0" w:color="auto"/>
      </w:divBdr>
    </w:div>
    <w:div w:id="1711152863">
      <w:bodyDiv w:val="1"/>
      <w:marLeft w:val="0"/>
      <w:marRight w:val="0"/>
      <w:marTop w:val="0"/>
      <w:marBottom w:val="0"/>
      <w:divBdr>
        <w:top w:val="none" w:sz="0" w:space="0" w:color="auto"/>
        <w:left w:val="none" w:sz="0" w:space="0" w:color="auto"/>
        <w:bottom w:val="none" w:sz="0" w:space="0" w:color="auto"/>
        <w:right w:val="none" w:sz="0" w:space="0" w:color="auto"/>
      </w:divBdr>
    </w:div>
    <w:div w:id="17451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CE5E-B99D-4667-931D-E69365F1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27</TotalTime>
  <Pages>10</Pages>
  <Words>2410</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2020-06-07T23:24:00Z</dcterms:created>
  <dcterms:modified xsi:type="dcterms:W3CDTF">2020-06-08T02:44:00Z</dcterms:modified>
</cp:coreProperties>
</file>