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ook w:val="0000" w:firstRow="0" w:lastRow="0" w:firstColumn="0" w:lastColumn="0" w:noHBand="0" w:noVBand="0"/>
      </w:tblPr>
      <w:tblGrid>
        <w:gridCol w:w="4608"/>
        <w:gridCol w:w="1737"/>
        <w:gridCol w:w="3544"/>
      </w:tblGrid>
      <w:tr w:rsidR="00355500" w:rsidRPr="002A404C" w14:paraId="2550A239" w14:textId="77777777" w:rsidTr="002D55CA">
        <w:trPr>
          <w:cantSplit/>
        </w:trPr>
        <w:tc>
          <w:tcPr>
            <w:tcW w:w="4608" w:type="dxa"/>
            <w:vAlign w:val="center"/>
          </w:tcPr>
          <w:p w14:paraId="4D897D60" w14:textId="77777777" w:rsidR="00355500" w:rsidRPr="009741D5" w:rsidRDefault="000E70E9" w:rsidP="002D55CA">
            <w:pPr>
              <w:jc w:val="center"/>
              <w:rPr>
                <w:rFonts w:cs="Arial"/>
                <w:bCs/>
              </w:rPr>
            </w:pPr>
            <w:r>
              <w:rPr>
                <w:rFonts w:cs="Arial"/>
                <w:noProof/>
                <w:lang w:val="en-NZ" w:eastAsia="en-NZ"/>
              </w:rPr>
              <w:drawing>
                <wp:inline distT="0" distB="0" distL="0" distR="0" wp14:anchorId="1E472DD8" wp14:editId="2BB66C4B">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281" w:type="dxa"/>
            <w:gridSpan w:val="2"/>
            <w:vAlign w:val="center"/>
          </w:tcPr>
          <w:p w14:paraId="2E9BAD35" w14:textId="77777777" w:rsidR="00355500" w:rsidRPr="00F46C3A" w:rsidRDefault="00355500" w:rsidP="002D55CA">
            <w:pPr>
              <w:jc w:val="right"/>
              <w:rPr>
                <w:rFonts w:cs="Arial"/>
                <w:b/>
                <w:bCs/>
                <w:sz w:val="32"/>
                <w:szCs w:val="32"/>
              </w:rPr>
            </w:pPr>
            <w:r w:rsidRPr="00F46C3A">
              <w:rPr>
                <w:rFonts w:cs="Arial"/>
                <w:b/>
                <w:sz w:val="32"/>
                <w:szCs w:val="32"/>
              </w:rPr>
              <w:t>All District Health Boards</w:t>
            </w:r>
          </w:p>
        </w:tc>
      </w:tr>
      <w:tr w:rsidR="00355500" w:rsidRPr="002A404C" w14:paraId="327AE611" w14:textId="77777777" w:rsidTr="002D55CA">
        <w:tc>
          <w:tcPr>
            <w:tcW w:w="9889" w:type="dxa"/>
            <w:gridSpan w:val="3"/>
          </w:tcPr>
          <w:p w14:paraId="216C21A0" w14:textId="77777777" w:rsidR="000E3394" w:rsidRPr="000E3394" w:rsidRDefault="00355500" w:rsidP="000E3394">
            <w:pPr>
              <w:pStyle w:val="Heading4"/>
              <w:spacing w:before="1000"/>
            </w:pPr>
            <w:r w:rsidRPr="00334F2F">
              <w:t xml:space="preserve">SPECIALIST MEDICAL AND SURGICAL SERVICES </w:t>
            </w:r>
          </w:p>
          <w:p w14:paraId="4C52C473" w14:textId="77777777" w:rsidR="000E3394" w:rsidRDefault="00355500" w:rsidP="000E3394">
            <w:pPr>
              <w:pStyle w:val="Heading4"/>
            </w:pPr>
            <w:r w:rsidRPr="009741D5">
              <w:t>GYNAECOLOGY SERVICES</w:t>
            </w:r>
          </w:p>
          <w:p w14:paraId="1E475B01" w14:textId="64579CBF" w:rsidR="00355500" w:rsidRPr="009741D5" w:rsidRDefault="00355500" w:rsidP="000E3394">
            <w:pPr>
              <w:pStyle w:val="Heading4"/>
              <w:spacing w:after="1000"/>
              <w:rPr>
                <w:lang w:val="en-US"/>
              </w:rPr>
            </w:pPr>
            <w:r w:rsidRPr="009741D5">
              <w:t>T</w:t>
            </w:r>
            <w:r w:rsidR="00DF24E0">
              <w:t>IER</w:t>
            </w:r>
            <w:r w:rsidRPr="009741D5">
              <w:t xml:space="preserve"> TWO</w:t>
            </w:r>
            <w:r w:rsidR="000E3394">
              <w:t xml:space="preserve"> </w:t>
            </w:r>
            <w:r w:rsidRPr="009741D5">
              <w:t>S</w:t>
            </w:r>
            <w:r w:rsidR="00DF24E0">
              <w:t>ERVICE SPECIFIC</w:t>
            </w:r>
            <w:r w:rsidR="00562BC7">
              <w:t>A</w:t>
            </w:r>
            <w:bookmarkStart w:id="0" w:name="_GoBack"/>
            <w:bookmarkEnd w:id="0"/>
            <w:r w:rsidR="00DF24E0">
              <w:t>TION</w:t>
            </w:r>
          </w:p>
        </w:tc>
      </w:tr>
      <w:tr w:rsidR="00F000C0" w:rsidRPr="002A404C" w14:paraId="3E7DBC82" w14:textId="77777777" w:rsidTr="002D55CA">
        <w:tc>
          <w:tcPr>
            <w:tcW w:w="6345" w:type="dxa"/>
            <w:gridSpan w:val="2"/>
          </w:tcPr>
          <w:p w14:paraId="2FD8F690" w14:textId="19C5DDB7" w:rsidR="00F000C0" w:rsidRPr="00DC165E" w:rsidRDefault="00F000C0" w:rsidP="00DF24E0">
            <w:pPr>
              <w:pStyle w:val="Heading4"/>
              <w:jc w:val="left"/>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rsidRPr="00DC165E">
              <w:t>S</w:t>
            </w:r>
            <w:r>
              <w:t>TATUS</w:t>
            </w:r>
            <w:r w:rsidRPr="00DC165E">
              <w:t>:</w:t>
            </w:r>
            <w:r w:rsidR="00D62D2C">
              <w:t xml:space="preserve"> </w:t>
            </w:r>
          </w:p>
          <w:p w14:paraId="3177CABB" w14:textId="77777777" w:rsidR="00F000C0" w:rsidRPr="00A846E4" w:rsidRDefault="00F000C0" w:rsidP="002D55CA">
            <w:pPr>
              <w:spacing w:before="120" w:after="120"/>
              <w:rPr>
                <w:rFonts w:cs="Arial"/>
                <w:sz w:val="32"/>
                <w:szCs w:val="32"/>
              </w:rPr>
            </w:pPr>
            <w:r w:rsidRPr="00F46C3A">
              <w:rPr>
                <w:rFonts w:cs="Arial"/>
                <w:sz w:val="32"/>
                <w:szCs w:val="32"/>
                <w:lang w:eastAsia="en-NZ"/>
              </w:rPr>
              <w:t>It is compulsory to use this nationwide service specification when purchasing this service.</w:t>
            </w:r>
            <w:bookmarkEnd w:id="1"/>
            <w:bookmarkEnd w:id="2"/>
            <w:bookmarkEnd w:id="3"/>
            <w:bookmarkEnd w:id="4"/>
            <w:bookmarkEnd w:id="5"/>
            <w:bookmarkEnd w:id="6"/>
            <w:bookmarkEnd w:id="7"/>
            <w:bookmarkEnd w:id="8"/>
          </w:p>
        </w:tc>
        <w:tc>
          <w:tcPr>
            <w:tcW w:w="3544" w:type="dxa"/>
          </w:tcPr>
          <w:p w14:paraId="037BC694" w14:textId="56D76EF3" w:rsidR="00F000C0" w:rsidRPr="00DC165E" w:rsidRDefault="00F000C0" w:rsidP="00B3295D">
            <w:pPr>
              <w:spacing w:before="60"/>
              <w:rPr>
                <w:sz w:val="36"/>
                <w:szCs w:val="36"/>
              </w:rPr>
            </w:pPr>
            <w:r w:rsidRPr="00F000C0">
              <w:rPr>
                <w:rFonts w:cs="Arial"/>
                <w:b/>
                <w:sz w:val="36"/>
                <w:szCs w:val="36"/>
              </w:rPr>
              <w:t>MANDATORY</w:t>
            </w:r>
            <w:r w:rsidRPr="00F000C0">
              <w:rPr>
                <w:rFonts w:cs="Arial"/>
                <w:sz w:val="36"/>
                <w:szCs w:val="36"/>
              </w:rPr>
              <w:t xml:space="preserve"> </w:t>
            </w:r>
          </w:p>
        </w:tc>
      </w:tr>
      <w:tr w:rsidR="00F000C0" w:rsidRPr="00B06AB5" w14:paraId="581E6531" w14:textId="77777777" w:rsidTr="002D55CA">
        <w:trPr>
          <w:trHeight w:val="297"/>
        </w:trPr>
        <w:tc>
          <w:tcPr>
            <w:tcW w:w="6345" w:type="dxa"/>
            <w:gridSpan w:val="2"/>
            <w:tcBorders>
              <w:top w:val="single" w:sz="4" w:space="0" w:color="auto"/>
              <w:bottom w:val="single" w:sz="4" w:space="0" w:color="auto"/>
            </w:tcBorders>
            <w:shd w:val="clear" w:color="auto" w:fill="CCCCCC"/>
          </w:tcPr>
          <w:p w14:paraId="78B5AF86" w14:textId="77777777" w:rsidR="00F000C0" w:rsidRPr="00B06AB5" w:rsidRDefault="00F000C0" w:rsidP="00533EC9">
            <w:pPr>
              <w:pStyle w:val="Heading1"/>
              <w:numPr>
                <w:ilvl w:val="0"/>
                <w:numId w:val="0"/>
              </w:numPr>
            </w:pPr>
            <w:r w:rsidRPr="00B06AB5">
              <w:t>Review History</w:t>
            </w:r>
          </w:p>
        </w:tc>
        <w:tc>
          <w:tcPr>
            <w:tcW w:w="3544" w:type="dxa"/>
            <w:tcBorders>
              <w:top w:val="single" w:sz="4" w:space="0" w:color="auto"/>
              <w:bottom w:val="single" w:sz="4" w:space="0" w:color="auto"/>
            </w:tcBorders>
            <w:shd w:val="clear" w:color="auto" w:fill="CCCCCC"/>
          </w:tcPr>
          <w:p w14:paraId="6D1BA1E3" w14:textId="77777777" w:rsidR="00F000C0" w:rsidRPr="00B06AB5" w:rsidRDefault="00F000C0" w:rsidP="00533EC9">
            <w:pPr>
              <w:pStyle w:val="Heading1"/>
              <w:numPr>
                <w:ilvl w:val="0"/>
                <w:numId w:val="0"/>
              </w:numPr>
            </w:pPr>
            <w:r w:rsidRPr="00B06AB5">
              <w:t>Date</w:t>
            </w:r>
          </w:p>
        </w:tc>
      </w:tr>
      <w:tr w:rsidR="00F000C0" w:rsidRPr="002A404C" w14:paraId="5103B8C7" w14:textId="77777777" w:rsidTr="002D55CA">
        <w:tc>
          <w:tcPr>
            <w:tcW w:w="6345" w:type="dxa"/>
            <w:gridSpan w:val="2"/>
            <w:tcBorders>
              <w:top w:val="single" w:sz="4" w:space="0" w:color="auto"/>
              <w:left w:val="single" w:sz="4" w:space="0" w:color="auto"/>
              <w:bottom w:val="single" w:sz="6" w:space="0" w:color="auto"/>
              <w:right w:val="single" w:sz="6" w:space="0" w:color="auto"/>
            </w:tcBorders>
            <w:vAlign w:val="center"/>
          </w:tcPr>
          <w:p w14:paraId="211D0004" w14:textId="77777777" w:rsidR="00F000C0" w:rsidRPr="000E3394" w:rsidRDefault="00F000C0" w:rsidP="000E3394">
            <w:pPr>
              <w:pStyle w:val="Heading5"/>
              <w:spacing w:before="60"/>
              <w:rPr>
                <w:rFonts w:cs="Arial"/>
                <w:sz w:val="28"/>
                <w:szCs w:val="28"/>
              </w:rPr>
            </w:pPr>
            <w:r w:rsidRPr="000E3394">
              <w:rPr>
                <w:rFonts w:cs="Arial"/>
                <w:b/>
                <w:sz w:val="28"/>
                <w:szCs w:val="28"/>
                <w:lang w:val="en-NZ"/>
              </w:rPr>
              <w:t>First Published on NSFL</w:t>
            </w:r>
          </w:p>
        </w:tc>
        <w:tc>
          <w:tcPr>
            <w:tcW w:w="3544" w:type="dxa"/>
            <w:tcBorders>
              <w:top w:val="single" w:sz="4" w:space="0" w:color="auto"/>
              <w:left w:val="single" w:sz="6" w:space="0" w:color="auto"/>
              <w:bottom w:val="single" w:sz="6" w:space="0" w:color="auto"/>
              <w:right w:val="single" w:sz="4" w:space="0" w:color="auto"/>
            </w:tcBorders>
            <w:vAlign w:val="center"/>
          </w:tcPr>
          <w:p w14:paraId="70964C8D" w14:textId="77777777" w:rsidR="00F000C0" w:rsidRPr="000E3394" w:rsidRDefault="00F000C0" w:rsidP="000E3394">
            <w:pPr>
              <w:rPr>
                <w:rFonts w:cs="Arial"/>
                <w:b/>
                <w:sz w:val="28"/>
                <w:szCs w:val="28"/>
              </w:rPr>
            </w:pPr>
            <w:r w:rsidRPr="000E3394">
              <w:rPr>
                <w:rFonts w:cs="Arial"/>
                <w:b/>
                <w:sz w:val="28"/>
                <w:szCs w:val="28"/>
              </w:rPr>
              <w:t>2003</w:t>
            </w:r>
          </w:p>
        </w:tc>
      </w:tr>
      <w:tr w:rsidR="00F000C0" w:rsidRPr="002A404C" w14:paraId="4A10F716" w14:textId="77777777" w:rsidTr="002D55CA">
        <w:tc>
          <w:tcPr>
            <w:tcW w:w="6345" w:type="dxa"/>
            <w:gridSpan w:val="2"/>
            <w:tcBorders>
              <w:top w:val="single" w:sz="6" w:space="0" w:color="auto"/>
              <w:left w:val="single" w:sz="4" w:space="0" w:color="auto"/>
              <w:bottom w:val="single" w:sz="6" w:space="0" w:color="auto"/>
              <w:right w:val="single" w:sz="6" w:space="0" w:color="auto"/>
            </w:tcBorders>
            <w:vAlign w:val="center"/>
          </w:tcPr>
          <w:p w14:paraId="16D4985E" w14:textId="77777777" w:rsidR="00F000C0" w:rsidRDefault="00F000C0" w:rsidP="00D01CE5">
            <w:pPr>
              <w:pStyle w:val="BodyText"/>
              <w:spacing w:before="60" w:after="0"/>
              <w:ind w:left="0"/>
              <w:rPr>
                <w:rFonts w:cs="Arial"/>
              </w:rPr>
            </w:pPr>
            <w:r>
              <w:rPr>
                <w:rFonts w:cs="Arial"/>
                <w:b/>
              </w:rPr>
              <w:t>R</w:t>
            </w:r>
            <w:r w:rsidRPr="009741D5">
              <w:rPr>
                <w:rFonts w:cs="Arial"/>
                <w:b/>
              </w:rPr>
              <w:t xml:space="preserve">eview of Tier </w:t>
            </w:r>
            <w:r>
              <w:rPr>
                <w:rFonts w:cs="Arial"/>
                <w:b/>
              </w:rPr>
              <w:t>T</w:t>
            </w:r>
            <w:r w:rsidRPr="009741D5">
              <w:rPr>
                <w:rFonts w:cs="Arial"/>
                <w:b/>
              </w:rPr>
              <w:t>wo Gynaecology Service (2003)</w:t>
            </w:r>
          </w:p>
          <w:p w14:paraId="74E5FB1A" w14:textId="77777777" w:rsidR="00F000C0" w:rsidRPr="009741D5" w:rsidRDefault="00F000C0" w:rsidP="000E3394">
            <w:pPr>
              <w:pStyle w:val="BodyText"/>
              <w:ind w:left="0"/>
              <w:rPr>
                <w:rFonts w:cs="Arial"/>
              </w:rPr>
            </w:pPr>
            <w:r w:rsidRPr="00E559F0">
              <w:rPr>
                <w:rFonts w:cs="Arial"/>
                <w:b/>
              </w:rPr>
              <w:t>Amendments</w:t>
            </w:r>
            <w:r w:rsidRPr="00F27B1A">
              <w:rPr>
                <w:rFonts w:cs="Arial"/>
                <w:sz w:val="22"/>
                <w:szCs w:val="22"/>
              </w:rPr>
              <w:t>:</w:t>
            </w:r>
            <w:r w:rsidR="00E2531D">
              <w:rPr>
                <w:rFonts w:cs="Arial"/>
                <w:sz w:val="22"/>
                <w:szCs w:val="22"/>
              </w:rPr>
              <w:t xml:space="preserve"> </w:t>
            </w:r>
            <w:r w:rsidRPr="00F27B1A">
              <w:rPr>
                <w:rFonts w:cs="Arial"/>
                <w:sz w:val="22"/>
                <w:szCs w:val="22"/>
              </w:rPr>
              <w:t>updated service definition and termination of pregnancy content.  Added purchase unit codes Non-</w:t>
            </w:r>
            <w:r w:rsidR="009A4DCE">
              <w:rPr>
                <w:rFonts w:cs="Arial"/>
                <w:sz w:val="22"/>
                <w:szCs w:val="22"/>
              </w:rPr>
              <w:t>c</w:t>
            </w:r>
            <w:r w:rsidRPr="00F27B1A">
              <w:rPr>
                <w:rFonts w:cs="Arial"/>
                <w:sz w:val="22"/>
                <w:szCs w:val="22"/>
              </w:rPr>
              <w:t>ontact First Specialist Assessment</w:t>
            </w:r>
            <w:r w:rsidR="009A4DCE">
              <w:rPr>
                <w:rFonts w:cs="Arial"/>
                <w:sz w:val="22"/>
                <w:szCs w:val="22"/>
              </w:rPr>
              <w:t>, Non-contact follow up</w:t>
            </w:r>
            <w:r w:rsidRPr="00F27B1A">
              <w:rPr>
                <w:rFonts w:cs="Arial"/>
                <w:sz w:val="22"/>
                <w:szCs w:val="22"/>
              </w:rPr>
              <w:t xml:space="preserve"> and S00011, S30009, S30PRE, S30CANC</w:t>
            </w:r>
            <w:r>
              <w:rPr>
                <w:rFonts w:cs="Arial"/>
                <w:sz w:val="22"/>
                <w:szCs w:val="22"/>
              </w:rPr>
              <w:t>,</w:t>
            </w:r>
            <w:r w:rsidRPr="00F27B1A">
              <w:rPr>
                <w:rFonts w:cs="Arial"/>
                <w:sz w:val="22"/>
                <w:szCs w:val="22"/>
              </w:rPr>
              <w:t xml:space="preserve"> new PU</w:t>
            </w:r>
            <w:r>
              <w:rPr>
                <w:rFonts w:cs="Arial"/>
                <w:sz w:val="22"/>
                <w:szCs w:val="22"/>
              </w:rPr>
              <w:t xml:space="preserve"> </w:t>
            </w:r>
            <w:r w:rsidRPr="00F27B1A">
              <w:rPr>
                <w:rFonts w:cs="Arial"/>
                <w:sz w:val="22"/>
                <w:szCs w:val="22"/>
              </w:rPr>
              <w:t>C</w:t>
            </w:r>
            <w:r>
              <w:rPr>
                <w:rFonts w:cs="Arial"/>
                <w:sz w:val="22"/>
                <w:szCs w:val="22"/>
              </w:rPr>
              <w:t>ode</w:t>
            </w:r>
            <w:r w:rsidRPr="00F27B1A">
              <w:rPr>
                <w:rFonts w:cs="Arial"/>
                <w:sz w:val="22"/>
                <w:szCs w:val="22"/>
              </w:rPr>
              <w:t xml:space="preserve"> for </w:t>
            </w:r>
            <w:r>
              <w:rPr>
                <w:rFonts w:cs="Arial"/>
                <w:sz w:val="22"/>
                <w:szCs w:val="22"/>
              </w:rPr>
              <w:t>m</w:t>
            </w:r>
            <w:r w:rsidRPr="00F27B1A">
              <w:rPr>
                <w:rFonts w:cs="Arial"/>
                <w:sz w:val="22"/>
                <w:szCs w:val="22"/>
              </w:rPr>
              <w:t>edical termination of pregnancy.</w:t>
            </w:r>
            <w:r w:rsidRPr="009741D5">
              <w:rPr>
                <w:rFonts w:cs="Arial"/>
              </w:rPr>
              <w:t xml:space="preserve"> </w:t>
            </w:r>
          </w:p>
        </w:tc>
        <w:tc>
          <w:tcPr>
            <w:tcW w:w="3544" w:type="dxa"/>
            <w:tcBorders>
              <w:top w:val="single" w:sz="6" w:space="0" w:color="auto"/>
              <w:left w:val="single" w:sz="6" w:space="0" w:color="auto"/>
              <w:bottom w:val="single" w:sz="6" w:space="0" w:color="auto"/>
              <w:right w:val="single" w:sz="4" w:space="0" w:color="auto"/>
            </w:tcBorders>
            <w:vAlign w:val="center"/>
          </w:tcPr>
          <w:p w14:paraId="35DF140D" w14:textId="77777777" w:rsidR="00F000C0" w:rsidRPr="000E3394" w:rsidRDefault="00E2531D" w:rsidP="000E3394">
            <w:pPr>
              <w:rPr>
                <w:rFonts w:cs="Arial"/>
                <w:b/>
                <w:sz w:val="28"/>
                <w:szCs w:val="28"/>
              </w:rPr>
            </w:pPr>
            <w:r w:rsidRPr="000E3394">
              <w:rPr>
                <w:rFonts w:cs="Arial"/>
                <w:b/>
                <w:sz w:val="28"/>
                <w:szCs w:val="28"/>
              </w:rPr>
              <w:t>September</w:t>
            </w:r>
            <w:r w:rsidR="00F000C0" w:rsidRPr="000E3394">
              <w:rPr>
                <w:rFonts w:cs="Arial"/>
                <w:b/>
                <w:sz w:val="28"/>
                <w:szCs w:val="28"/>
              </w:rPr>
              <w:t xml:space="preserve"> 2014</w:t>
            </w:r>
          </w:p>
        </w:tc>
      </w:tr>
      <w:tr w:rsidR="0058148B" w:rsidRPr="002A404C" w14:paraId="22C88979" w14:textId="77777777" w:rsidTr="002D55CA">
        <w:tc>
          <w:tcPr>
            <w:tcW w:w="6345" w:type="dxa"/>
            <w:gridSpan w:val="2"/>
            <w:tcBorders>
              <w:top w:val="single" w:sz="6" w:space="0" w:color="auto"/>
              <w:left w:val="single" w:sz="4" w:space="0" w:color="auto"/>
              <w:bottom w:val="single" w:sz="6" w:space="0" w:color="auto"/>
              <w:right w:val="single" w:sz="6" w:space="0" w:color="auto"/>
            </w:tcBorders>
            <w:vAlign w:val="center"/>
          </w:tcPr>
          <w:p w14:paraId="07E3E1F5" w14:textId="44BA32FC" w:rsidR="0058148B" w:rsidRDefault="0058148B" w:rsidP="000E3394">
            <w:pPr>
              <w:pStyle w:val="BodyText"/>
              <w:spacing w:before="60"/>
              <w:ind w:left="0"/>
              <w:rPr>
                <w:rFonts w:cs="Arial"/>
                <w:b/>
              </w:rPr>
            </w:pPr>
            <w:r>
              <w:rPr>
                <w:rFonts w:cs="Arial"/>
                <w:b/>
              </w:rPr>
              <w:t xml:space="preserve">Amendments: </w:t>
            </w:r>
            <w:r w:rsidRPr="0058148B">
              <w:rPr>
                <w:rFonts w:cs="Arial"/>
                <w:sz w:val="22"/>
                <w:szCs w:val="22"/>
              </w:rPr>
              <w:t>amended purchase unit</w:t>
            </w:r>
            <w:r w:rsidR="00D01CE5">
              <w:rPr>
                <w:rFonts w:cs="Arial"/>
                <w:sz w:val="22"/>
                <w:szCs w:val="22"/>
              </w:rPr>
              <w:t xml:space="preserve"> codes</w:t>
            </w:r>
            <w:r w:rsidRPr="0058148B">
              <w:rPr>
                <w:rFonts w:cs="Arial"/>
                <w:sz w:val="22"/>
                <w:szCs w:val="22"/>
              </w:rPr>
              <w:t xml:space="preserve"> to align with purchase unit data dictionary</w:t>
            </w:r>
          </w:p>
        </w:tc>
        <w:tc>
          <w:tcPr>
            <w:tcW w:w="3544" w:type="dxa"/>
            <w:tcBorders>
              <w:top w:val="single" w:sz="6" w:space="0" w:color="auto"/>
              <w:left w:val="single" w:sz="6" w:space="0" w:color="auto"/>
              <w:bottom w:val="single" w:sz="6" w:space="0" w:color="auto"/>
              <w:right w:val="single" w:sz="4" w:space="0" w:color="auto"/>
            </w:tcBorders>
            <w:vAlign w:val="center"/>
          </w:tcPr>
          <w:p w14:paraId="4C603B1C" w14:textId="087E70F8" w:rsidR="0058148B" w:rsidRPr="000E3394" w:rsidRDefault="0058148B" w:rsidP="000E3394">
            <w:pPr>
              <w:rPr>
                <w:rFonts w:cs="Arial"/>
                <w:b/>
                <w:sz w:val="28"/>
                <w:szCs w:val="28"/>
              </w:rPr>
            </w:pPr>
            <w:r w:rsidRPr="000E3394">
              <w:rPr>
                <w:rFonts w:cs="Arial"/>
                <w:b/>
                <w:sz w:val="28"/>
                <w:szCs w:val="28"/>
              </w:rPr>
              <w:t>July 2015</w:t>
            </w:r>
          </w:p>
        </w:tc>
      </w:tr>
      <w:tr w:rsidR="00D856BA" w:rsidRPr="002A404C" w14:paraId="283371CC" w14:textId="77777777" w:rsidTr="002D55CA">
        <w:tc>
          <w:tcPr>
            <w:tcW w:w="6345" w:type="dxa"/>
            <w:gridSpan w:val="2"/>
            <w:tcBorders>
              <w:top w:val="single" w:sz="6" w:space="0" w:color="auto"/>
              <w:left w:val="single" w:sz="4" w:space="0" w:color="auto"/>
              <w:bottom w:val="single" w:sz="6" w:space="0" w:color="auto"/>
              <w:right w:val="single" w:sz="6" w:space="0" w:color="auto"/>
            </w:tcBorders>
            <w:vAlign w:val="center"/>
          </w:tcPr>
          <w:p w14:paraId="024EBACE" w14:textId="11AC2A5F" w:rsidR="00D856BA" w:rsidRDefault="00D856BA" w:rsidP="000E3394">
            <w:pPr>
              <w:pStyle w:val="BodyText"/>
              <w:spacing w:before="60"/>
              <w:ind w:left="0"/>
              <w:rPr>
                <w:rFonts w:cs="Arial"/>
                <w:b/>
              </w:rPr>
            </w:pPr>
            <w:r>
              <w:rPr>
                <w:rFonts w:cs="Arial"/>
                <w:b/>
              </w:rPr>
              <w:t>Amendmen</w:t>
            </w:r>
            <w:r w:rsidR="00B3295D">
              <w:rPr>
                <w:rFonts w:cs="Arial"/>
                <w:b/>
              </w:rPr>
              <w:t>ts</w:t>
            </w:r>
            <w:r>
              <w:rPr>
                <w:rFonts w:cs="Arial"/>
                <w:b/>
              </w:rPr>
              <w:t xml:space="preserve">: </w:t>
            </w:r>
            <w:r w:rsidRPr="00EA7B31">
              <w:rPr>
                <w:rFonts w:cs="Arial"/>
                <w:sz w:val="22"/>
                <w:szCs w:val="22"/>
              </w:rPr>
              <w:t>updated we</w:t>
            </w:r>
            <w:r w:rsidR="00EA7B31">
              <w:rPr>
                <w:rFonts w:cs="Arial"/>
                <w:sz w:val="22"/>
                <w:szCs w:val="22"/>
              </w:rPr>
              <w:t>d</w:t>
            </w:r>
            <w:r w:rsidRPr="00EA7B31">
              <w:rPr>
                <w:rFonts w:cs="Arial"/>
                <w:sz w:val="22"/>
                <w:szCs w:val="22"/>
              </w:rPr>
              <w:t xml:space="preserve"> links</w:t>
            </w:r>
            <w:r w:rsidR="00EA7B31">
              <w:rPr>
                <w:rFonts w:cs="Arial"/>
                <w:sz w:val="22"/>
                <w:szCs w:val="22"/>
              </w:rPr>
              <w:t>, minor formatting.</w:t>
            </w:r>
          </w:p>
        </w:tc>
        <w:tc>
          <w:tcPr>
            <w:tcW w:w="3544" w:type="dxa"/>
            <w:tcBorders>
              <w:top w:val="single" w:sz="6" w:space="0" w:color="auto"/>
              <w:left w:val="single" w:sz="6" w:space="0" w:color="auto"/>
              <w:bottom w:val="single" w:sz="6" w:space="0" w:color="auto"/>
              <w:right w:val="single" w:sz="4" w:space="0" w:color="auto"/>
            </w:tcBorders>
            <w:vAlign w:val="center"/>
          </w:tcPr>
          <w:p w14:paraId="21612E21" w14:textId="77777777" w:rsidR="00D856BA" w:rsidRPr="000E3394" w:rsidRDefault="00D856BA" w:rsidP="000E3394">
            <w:pPr>
              <w:rPr>
                <w:rFonts w:cs="Arial"/>
                <w:b/>
                <w:sz w:val="28"/>
                <w:szCs w:val="28"/>
              </w:rPr>
            </w:pPr>
            <w:r>
              <w:rPr>
                <w:rFonts w:cs="Arial"/>
                <w:b/>
                <w:sz w:val="28"/>
                <w:szCs w:val="28"/>
              </w:rPr>
              <w:t>September 2017</w:t>
            </w:r>
          </w:p>
        </w:tc>
      </w:tr>
      <w:tr w:rsidR="00B06AB5" w:rsidRPr="002A404C" w14:paraId="4AFE55C8" w14:textId="77777777" w:rsidTr="002D55CA">
        <w:tc>
          <w:tcPr>
            <w:tcW w:w="6345" w:type="dxa"/>
            <w:gridSpan w:val="2"/>
            <w:tcBorders>
              <w:top w:val="single" w:sz="6" w:space="0" w:color="auto"/>
              <w:left w:val="single" w:sz="4" w:space="0" w:color="auto"/>
              <w:bottom w:val="single" w:sz="6" w:space="0" w:color="auto"/>
              <w:right w:val="single" w:sz="6" w:space="0" w:color="auto"/>
            </w:tcBorders>
            <w:vAlign w:val="center"/>
          </w:tcPr>
          <w:p w14:paraId="58A1665D" w14:textId="26C6A435" w:rsidR="00B06AB5" w:rsidRDefault="00B06AB5" w:rsidP="000E3394">
            <w:pPr>
              <w:pStyle w:val="BodyText"/>
              <w:spacing w:before="60"/>
              <w:ind w:left="0"/>
              <w:rPr>
                <w:rFonts w:cs="Arial"/>
                <w:b/>
              </w:rPr>
            </w:pPr>
            <w:r>
              <w:rPr>
                <w:rFonts w:cs="Arial"/>
                <w:b/>
              </w:rPr>
              <w:t>Amendmen</w:t>
            </w:r>
            <w:r w:rsidR="00B3295D">
              <w:rPr>
                <w:rFonts w:cs="Arial"/>
                <w:b/>
              </w:rPr>
              <w:t>ts</w:t>
            </w:r>
            <w:r w:rsidRPr="00D01CE5">
              <w:rPr>
                <w:rFonts w:cs="Arial"/>
                <w:b/>
                <w:sz w:val="22"/>
                <w:szCs w:val="22"/>
              </w:rPr>
              <w:t xml:space="preserve">: </w:t>
            </w:r>
            <w:r w:rsidR="00D01CE5" w:rsidRPr="00D01CE5">
              <w:rPr>
                <w:rFonts w:cs="Arial"/>
                <w:sz w:val="22"/>
                <w:szCs w:val="22"/>
              </w:rPr>
              <w:t xml:space="preserve"> The</w:t>
            </w:r>
            <w:r w:rsidR="00D01CE5">
              <w:rPr>
                <w:rFonts w:cs="Arial"/>
                <w:b/>
              </w:rPr>
              <w:t xml:space="preserve"> </w:t>
            </w:r>
            <w:r w:rsidR="00D62D2C" w:rsidRPr="00D62D2C">
              <w:rPr>
                <w:rFonts w:cs="Arial"/>
                <w:sz w:val="22"/>
                <w:szCs w:val="22"/>
              </w:rPr>
              <w:t>Contraception, Sterilisation, and Abortion Act</w:t>
            </w:r>
            <w:r w:rsidR="00D62D2C">
              <w:rPr>
                <w:rFonts w:cs="Arial"/>
                <w:sz w:val="22"/>
                <w:szCs w:val="22"/>
              </w:rPr>
              <w:t xml:space="preserve"> </w:t>
            </w:r>
            <w:r w:rsidR="00B3295D">
              <w:rPr>
                <w:rFonts w:cs="Arial"/>
                <w:sz w:val="22"/>
                <w:szCs w:val="22"/>
              </w:rPr>
              <w:t xml:space="preserve">new </w:t>
            </w:r>
            <w:r w:rsidR="00D62D2C">
              <w:rPr>
                <w:rFonts w:cs="Arial"/>
                <w:sz w:val="22"/>
                <w:szCs w:val="22"/>
              </w:rPr>
              <w:t>requirements</w:t>
            </w:r>
            <w:r w:rsidR="00B3295D">
              <w:rPr>
                <w:rFonts w:cs="Arial"/>
                <w:sz w:val="22"/>
                <w:szCs w:val="22"/>
              </w:rPr>
              <w:t xml:space="preserve">, </w:t>
            </w:r>
            <w:r w:rsidR="00913758">
              <w:rPr>
                <w:rFonts w:cs="Arial"/>
                <w:sz w:val="22"/>
                <w:szCs w:val="22"/>
              </w:rPr>
              <w:t xml:space="preserve">refreshed Gynaecology tool, </w:t>
            </w:r>
            <w:r w:rsidR="00B3295D">
              <w:rPr>
                <w:rFonts w:cs="Arial"/>
                <w:sz w:val="22"/>
                <w:szCs w:val="22"/>
              </w:rPr>
              <w:t>updated links and references.</w:t>
            </w:r>
          </w:p>
        </w:tc>
        <w:tc>
          <w:tcPr>
            <w:tcW w:w="3544" w:type="dxa"/>
            <w:tcBorders>
              <w:top w:val="single" w:sz="6" w:space="0" w:color="auto"/>
              <w:left w:val="single" w:sz="6" w:space="0" w:color="auto"/>
              <w:bottom w:val="single" w:sz="6" w:space="0" w:color="auto"/>
              <w:right w:val="single" w:sz="4" w:space="0" w:color="auto"/>
            </w:tcBorders>
            <w:vAlign w:val="center"/>
          </w:tcPr>
          <w:p w14:paraId="42E0F406" w14:textId="1F656E5B" w:rsidR="00B06AB5" w:rsidRDefault="00B3295D" w:rsidP="000E3394">
            <w:pPr>
              <w:rPr>
                <w:rFonts w:cs="Arial"/>
                <w:b/>
                <w:sz w:val="28"/>
                <w:szCs w:val="28"/>
              </w:rPr>
            </w:pPr>
            <w:r>
              <w:rPr>
                <w:rFonts w:cs="Arial"/>
                <w:b/>
                <w:sz w:val="28"/>
                <w:szCs w:val="28"/>
              </w:rPr>
              <w:t xml:space="preserve">May </w:t>
            </w:r>
            <w:r w:rsidR="00B06AB5">
              <w:rPr>
                <w:rFonts w:cs="Arial"/>
                <w:b/>
                <w:sz w:val="28"/>
                <w:szCs w:val="28"/>
              </w:rPr>
              <w:t>2020</w:t>
            </w:r>
          </w:p>
        </w:tc>
      </w:tr>
      <w:tr w:rsidR="00F000C0" w:rsidRPr="002A404C" w14:paraId="44C4912C" w14:textId="77777777" w:rsidTr="002D55CA">
        <w:tc>
          <w:tcPr>
            <w:tcW w:w="6345" w:type="dxa"/>
            <w:gridSpan w:val="2"/>
            <w:tcBorders>
              <w:top w:val="single" w:sz="6" w:space="0" w:color="auto"/>
              <w:left w:val="single" w:sz="4" w:space="0" w:color="auto"/>
              <w:bottom w:val="single" w:sz="6" w:space="0" w:color="auto"/>
              <w:right w:val="single" w:sz="6" w:space="0" w:color="auto"/>
            </w:tcBorders>
            <w:vAlign w:val="center"/>
          </w:tcPr>
          <w:p w14:paraId="1A2DBE10" w14:textId="77777777" w:rsidR="00F000C0" w:rsidRPr="000E3394" w:rsidRDefault="00F000C0" w:rsidP="000E3394">
            <w:pPr>
              <w:pStyle w:val="Heading5"/>
              <w:spacing w:before="60"/>
              <w:rPr>
                <w:rFonts w:cs="Arial"/>
                <w:b/>
                <w:sz w:val="28"/>
                <w:szCs w:val="28"/>
              </w:rPr>
            </w:pPr>
            <w:r w:rsidRPr="000E3394">
              <w:rPr>
                <w:rFonts w:cs="Arial"/>
                <w:b/>
                <w:sz w:val="28"/>
                <w:szCs w:val="28"/>
                <w:lang w:val="en-NZ"/>
              </w:rPr>
              <w:t>Consideration for next Service Specification Review</w:t>
            </w:r>
          </w:p>
        </w:tc>
        <w:tc>
          <w:tcPr>
            <w:tcW w:w="3544" w:type="dxa"/>
            <w:tcBorders>
              <w:top w:val="single" w:sz="6" w:space="0" w:color="auto"/>
              <w:left w:val="single" w:sz="6" w:space="0" w:color="auto"/>
              <w:bottom w:val="single" w:sz="6" w:space="0" w:color="auto"/>
              <w:right w:val="single" w:sz="4" w:space="0" w:color="auto"/>
            </w:tcBorders>
            <w:vAlign w:val="center"/>
          </w:tcPr>
          <w:p w14:paraId="67E12E92" w14:textId="77777777" w:rsidR="00F000C0" w:rsidRPr="000E3394" w:rsidRDefault="00F000C0" w:rsidP="002D55CA">
            <w:pPr>
              <w:spacing w:before="120" w:after="120"/>
              <w:rPr>
                <w:rFonts w:cs="Arial"/>
                <w:b/>
                <w:sz w:val="28"/>
                <w:szCs w:val="28"/>
              </w:rPr>
            </w:pPr>
            <w:r w:rsidRPr="000E3394">
              <w:rPr>
                <w:rFonts w:cs="Arial"/>
                <w:b/>
                <w:sz w:val="28"/>
                <w:szCs w:val="28"/>
              </w:rPr>
              <w:t>within five years</w:t>
            </w:r>
          </w:p>
        </w:tc>
      </w:tr>
    </w:tbl>
    <w:p w14:paraId="440221AC" w14:textId="77777777" w:rsidR="00B06AB5" w:rsidRDefault="00B06AB5" w:rsidP="00B06AB5">
      <w:pPr>
        <w:spacing w:before="120"/>
        <w:rPr>
          <w:lang w:eastAsia="en-GB"/>
        </w:rPr>
      </w:pPr>
      <w:bookmarkStart w:id="9" w:name="_Toc215319119"/>
      <w:r w:rsidRPr="00970609">
        <w:rPr>
          <w:b/>
          <w:lang w:eastAsia="en-GB"/>
        </w:rPr>
        <w:t>Note:</w:t>
      </w:r>
      <w:r w:rsidRPr="00970609">
        <w:rPr>
          <w:lang w:eastAsia="en-GB"/>
        </w:rPr>
        <w:t xml:space="preserve"> </w:t>
      </w:r>
      <w:r w:rsidRPr="00F665C8">
        <w:rPr>
          <w:lang w:eastAsia="en-GB"/>
        </w:rPr>
        <w:t>Contact the Service Specification Programme Manager, Ministry of Health nsfl@health.govt.nz for queries about this service specification.</w:t>
      </w:r>
    </w:p>
    <w:p w14:paraId="20D29169" w14:textId="77777777" w:rsidR="00355500" w:rsidRPr="0001593F" w:rsidRDefault="00355500" w:rsidP="00C56ACD">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ind w:right="685"/>
        <w:rPr>
          <w:rFonts w:cs="Arial"/>
          <w:lang w:eastAsia="en-GB"/>
        </w:rPr>
      </w:pPr>
      <w:r w:rsidRPr="0001593F">
        <w:rPr>
          <w:rFonts w:cs="Arial"/>
          <w:lang w:eastAsia="en-GB"/>
        </w:rPr>
        <w:t xml:space="preserve">Nationwide Service Framework Library website </w:t>
      </w:r>
      <w:hyperlink r:id="rId12" w:history="1">
        <w:r w:rsidRPr="0001593F">
          <w:rPr>
            <w:rFonts w:cs="Arial"/>
            <w:color w:val="0000FF"/>
            <w:u w:val="single"/>
            <w:lang w:eastAsia="en-GB"/>
          </w:rPr>
          <w:t>http://www.nsfl.health.govt.nz</w:t>
        </w:r>
      </w:hyperlink>
    </w:p>
    <w:bookmarkEnd w:id="9"/>
    <w:p w14:paraId="49213F63" w14:textId="77777777" w:rsidR="00355500" w:rsidRDefault="00355500" w:rsidP="00F27B1A">
      <w:pPr>
        <w:pStyle w:val="Title"/>
        <w:pBdr>
          <w:top w:val="single" w:sz="4" w:space="1" w:color="auto"/>
          <w:left w:val="single" w:sz="4" w:space="1" w:color="auto"/>
          <w:bottom w:val="single" w:sz="4" w:space="1" w:color="auto"/>
          <w:right w:val="single" w:sz="4" w:space="1" w:color="auto"/>
        </w:pBdr>
        <w:rPr>
          <w:rFonts w:cs="Arial"/>
          <w:sz w:val="24"/>
          <w:szCs w:val="24"/>
        </w:rPr>
        <w:sectPr w:rsidR="00355500" w:rsidSect="00F27B1A">
          <w:footerReference w:type="default" r:id="rId13"/>
          <w:pgSz w:w="11906" w:h="16838"/>
          <w:pgMar w:top="1440" w:right="1440" w:bottom="1440" w:left="1440" w:header="708" w:footer="708" w:gutter="0"/>
          <w:cols w:space="708"/>
          <w:titlePg/>
          <w:rtlGutter/>
          <w:docGrid w:linePitch="360"/>
        </w:sectPr>
      </w:pPr>
    </w:p>
    <w:p w14:paraId="1B89956E" w14:textId="77777777" w:rsidR="008D2A3E" w:rsidRDefault="00355500" w:rsidP="00F27B1A">
      <w:pPr>
        <w:pStyle w:val="Title"/>
        <w:pBdr>
          <w:top w:val="single" w:sz="4" w:space="1" w:color="auto"/>
          <w:left w:val="single" w:sz="4" w:space="1" w:color="auto"/>
          <w:bottom w:val="single" w:sz="4" w:space="1" w:color="auto"/>
          <w:right w:val="single" w:sz="4" w:space="1" w:color="auto"/>
        </w:pBdr>
        <w:rPr>
          <w:rFonts w:cs="Arial"/>
          <w:sz w:val="24"/>
          <w:szCs w:val="24"/>
        </w:rPr>
      </w:pPr>
      <w:r w:rsidRPr="002A404C">
        <w:rPr>
          <w:rFonts w:cs="Arial"/>
          <w:sz w:val="24"/>
          <w:szCs w:val="24"/>
        </w:rPr>
        <w:lastRenderedPageBreak/>
        <w:t xml:space="preserve">SPECIALIST MEDICAL AND SURGICAL SERVICES </w:t>
      </w:r>
      <w:r w:rsidR="008D2A3E">
        <w:rPr>
          <w:rFonts w:cs="Arial"/>
          <w:sz w:val="24"/>
          <w:szCs w:val="24"/>
        </w:rPr>
        <w:t>–</w:t>
      </w:r>
      <w:r>
        <w:rPr>
          <w:rFonts w:cs="Arial"/>
          <w:sz w:val="24"/>
          <w:szCs w:val="24"/>
        </w:rPr>
        <w:t xml:space="preserve"> </w:t>
      </w:r>
    </w:p>
    <w:p w14:paraId="083655FC" w14:textId="77777777" w:rsidR="00355500" w:rsidRPr="002A404C" w:rsidRDefault="00355500" w:rsidP="00F27B1A">
      <w:pPr>
        <w:pStyle w:val="Title"/>
        <w:pBdr>
          <w:top w:val="single" w:sz="4" w:space="1" w:color="auto"/>
          <w:left w:val="single" w:sz="4" w:space="1" w:color="auto"/>
          <w:bottom w:val="single" w:sz="4" w:space="1" w:color="auto"/>
          <w:right w:val="single" w:sz="4" w:space="1" w:color="auto"/>
        </w:pBdr>
        <w:rPr>
          <w:rFonts w:cs="Arial"/>
          <w:b w:val="0"/>
          <w:sz w:val="24"/>
          <w:szCs w:val="24"/>
        </w:rPr>
      </w:pPr>
      <w:r w:rsidRPr="002A404C">
        <w:rPr>
          <w:rFonts w:cs="Arial"/>
          <w:sz w:val="24"/>
          <w:szCs w:val="24"/>
        </w:rPr>
        <w:t>GYNAECOLOGY SERVICES</w:t>
      </w:r>
    </w:p>
    <w:p w14:paraId="278D60CB" w14:textId="77777777" w:rsidR="000E3394" w:rsidRPr="000E3394" w:rsidRDefault="00355500" w:rsidP="008C31B6">
      <w:pPr>
        <w:pStyle w:val="Title"/>
        <w:pBdr>
          <w:top w:val="single" w:sz="4" w:space="1" w:color="auto"/>
          <w:left w:val="single" w:sz="4" w:space="1" w:color="auto"/>
          <w:bottom w:val="single" w:sz="4" w:space="1" w:color="auto"/>
          <w:right w:val="single" w:sz="4" w:space="1" w:color="auto"/>
        </w:pBdr>
        <w:rPr>
          <w:rFonts w:cs="Arial"/>
          <w:sz w:val="24"/>
          <w:szCs w:val="24"/>
        </w:rPr>
      </w:pPr>
      <w:r w:rsidRPr="002A404C">
        <w:rPr>
          <w:rFonts w:cs="Arial"/>
          <w:sz w:val="24"/>
          <w:szCs w:val="24"/>
        </w:rPr>
        <w:t>TIER TWO</w:t>
      </w:r>
      <w:r w:rsidR="008C31B6">
        <w:rPr>
          <w:rFonts w:cs="Arial"/>
          <w:sz w:val="24"/>
          <w:szCs w:val="24"/>
        </w:rPr>
        <w:t xml:space="preserve"> </w:t>
      </w:r>
      <w:r w:rsidRPr="002A404C">
        <w:rPr>
          <w:rFonts w:cs="Arial"/>
          <w:sz w:val="24"/>
          <w:szCs w:val="24"/>
        </w:rPr>
        <w:t>SERVICE SPECIFICATION</w:t>
      </w:r>
    </w:p>
    <w:p w14:paraId="75C700B8" w14:textId="77777777" w:rsidR="008D2A3E" w:rsidRDefault="00355500" w:rsidP="00F27B1A">
      <w:pPr>
        <w:pStyle w:val="Title"/>
        <w:pBdr>
          <w:top w:val="single" w:sz="4" w:space="1" w:color="auto"/>
          <w:left w:val="single" w:sz="4" w:space="1" w:color="auto"/>
          <w:bottom w:val="single" w:sz="4" w:space="1" w:color="auto"/>
          <w:right w:val="single" w:sz="4" w:space="1" w:color="auto"/>
        </w:pBdr>
        <w:rPr>
          <w:rFonts w:cs="Arial"/>
          <w:sz w:val="24"/>
          <w:szCs w:val="24"/>
        </w:rPr>
      </w:pPr>
      <w:r w:rsidRPr="002A404C">
        <w:rPr>
          <w:rFonts w:cs="Arial"/>
          <w:sz w:val="24"/>
          <w:szCs w:val="24"/>
        </w:rPr>
        <w:t xml:space="preserve">S00011, </w:t>
      </w:r>
      <w:r w:rsidR="008D2A3E" w:rsidRPr="008D2A3E">
        <w:rPr>
          <w:rFonts w:cs="Arial"/>
          <w:sz w:val="24"/>
          <w:szCs w:val="24"/>
        </w:rPr>
        <w:t xml:space="preserve">S00012, </w:t>
      </w:r>
      <w:r w:rsidRPr="002A404C">
        <w:rPr>
          <w:rFonts w:cs="Arial"/>
          <w:sz w:val="24"/>
          <w:szCs w:val="24"/>
        </w:rPr>
        <w:t xml:space="preserve">S30PRE, S30CANC, S30001, </w:t>
      </w:r>
      <w:r w:rsidR="008D2A3E">
        <w:rPr>
          <w:rFonts w:cs="Arial"/>
          <w:sz w:val="24"/>
          <w:szCs w:val="24"/>
        </w:rPr>
        <w:t xml:space="preserve">S30002, S30003, S30006, </w:t>
      </w:r>
      <w:r w:rsidR="00BD53C1">
        <w:rPr>
          <w:rFonts w:cs="Arial"/>
          <w:sz w:val="24"/>
          <w:szCs w:val="24"/>
        </w:rPr>
        <w:t xml:space="preserve">S30007, </w:t>
      </w:r>
      <w:r w:rsidR="008D2A3E">
        <w:rPr>
          <w:rFonts w:cs="Arial"/>
          <w:sz w:val="24"/>
          <w:szCs w:val="24"/>
        </w:rPr>
        <w:t>S30008,</w:t>
      </w:r>
    </w:p>
    <w:p w14:paraId="6E737CCA" w14:textId="77777777" w:rsidR="00355500" w:rsidRPr="002A404C" w:rsidRDefault="00355500" w:rsidP="00F27B1A">
      <w:pPr>
        <w:pStyle w:val="Title"/>
        <w:pBdr>
          <w:top w:val="single" w:sz="4" w:space="1" w:color="auto"/>
          <w:left w:val="single" w:sz="4" w:space="1" w:color="auto"/>
          <w:bottom w:val="single" w:sz="4" w:space="1" w:color="auto"/>
          <w:right w:val="single" w:sz="4" w:space="1" w:color="auto"/>
        </w:pBdr>
        <w:rPr>
          <w:rFonts w:cs="Arial"/>
          <w:sz w:val="24"/>
          <w:szCs w:val="24"/>
        </w:rPr>
      </w:pPr>
      <w:r w:rsidRPr="002A404C">
        <w:rPr>
          <w:rFonts w:cs="Arial"/>
          <w:sz w:val="24"/>
          <w:szCs w:val="24"/>
        </w:rPr>
        <w:t>S30009</w:t>
      </w:r>
      <w:r>
        <w:rPr>
          <w:rFonts w:cs="Arial"/>
          <w:sz w:val="24"/>
          <w:szCs w:val="24"/>
        </w:rPr>
        <w:t xml:space="preserve">, </w:t>
      </w:r>
      <w:r w:rsidRPr="00010CB4">
        <w:rPr>
          <w:rFonts w:cs="Arial"/>
          <w:sz w:val="24"/>
          <w:szCs w:val="24"/>
        </w:rPr>
        <w:t>S30</w:t>
      </w:r>
      <w:r w:rsidR="00010CB4">
        <w:rPr>
          <w:rFonts w:cs="Arial"/>
          <w:sz w:val="24"/>
          <w:szCs w:val="24"/>
        </w:rPr>
        <w:t>010,</w:t>
      </w:r>
      <w:r w:rsidR="00D461AD" w:rsidRPr="00010CB4">
        <w:rPr>
          <w:rFonts w:cs="Arial"/>
          <w:sz w:val="24"/>
          <w:szCs w:val="24"/>
        </w:rPr>
        <w:t xml:space="preserve"> </w:t>
      </w:r>
      <w:r w:rsidR="00010CB4" w:rsidRPr="00010CB4">
        <w:rPr>
          <w:rFonts w:cs="Arial"/>
          <w:sz w:val="24"/>
          <w:szCs w:val="24"/>
        </w:rPr>
        <w:t>S3001</w:t>
      </w:r>
      <w:r w:rsidR="00010CB4">
        <w:rPr>
          <w:rFonts w:cs="Arial"/>
          <w:sz w:val="24"/>
          <w:szCs w:val="24"/>
        </w:rPr>
        <w:t>1</w:t>
      </w:r>
    </w:p>
    <w:p w14:paraId="5F874B97" w14:textId="77777777" w:rsidR="00355500" w:rsidRPr="002A404C" w:rsidRDefault="00355500" w:rsidP="00F27B1A">
      <w:pPr>
        <w:pStyle w:val="MoHHeading1"/>
        <w:spacing w:before="120"/>
        <w:rPr>
          <w:rFonts w:ascii="Arial" w:hAnsi="Arial" w:cs="Arial"/>
          <w:b w:val="0"/>
          <w:caps w:val="0"/>
          <w:lang w:val="en-US"/>
        </w:rPr>
      </w:pPr>
      <w:r w:rsidRPr="002A404C">
        <w:rPr>
          <w:rFonts w:ascii="Arial" w:hAnsi="Arial" w:cs="Arial"/>
          <w:b w:val="0"/>
          <w:caps w:val="0"/>
          <w:lang w:val="en-US"/>
        </w:rPr>
        <w:t xml:space="preserve">This tier two service specification for Gynaecology Services </w:t>
      </w:r>
      <w:r>
        <w:rPr>
          <w:rFonts w:ascii="Arial" w:hAnsi="Arial" w:cs="Arial"/>
          <w:b w:val="0"/>
          <w:caps w:val="0"/>
          <w:lang w:val="en-US"/>
        </w:rPr>
        <w:t xml:space="preserve">(the Service) </w:t>
      </w:r>
      <w:r w:rsidRPr="002A404C">
        <w:rPr>
          <w:rFonts w:ascii="Arial" w:hAnsi="Arial" w:cs="Arial"/>
          <w:b w:val="0"/>
          <w:caps w:val="0"/>
          <w:lang w:val="en-US"/>
        </w:rPr>
        <w:t xml:space="preserve">must be used in conjunction with the </w:t>
      </w:r>
      <w:r w:rsidR="00FE01CC">
        <w:rPr>
          <w:rFonts w:ascii="Arial" w:hAnsi="Arial" w:cs="Arial"/>
          <w:b w:val="0"/>
          <w:caps w:val="0"/>
          <w:lang w:val="en-US"/>
        </w:rPr>
        <w:t>tier one</w:t>
      </w:r>
      <w:r w:rsidRPr="002A404C">
        <w:rPr>
          <w:rFonts w:ascii="Arial" w:hAnsi="Arial" w:cs="Arial"/>
          <w:b w:val="0"/>
          <w:caps w:val="0"/>
          <w:lang w:val="en-US"/>
        </w:rPr>
        <w:t xml:space="preserve"> Specialist Medical and Surgical Services and</w:t>
      </w:r>
      <w:r>
        <w:rPr>
          <w:rFonts w:ascii="Arial" w:hAnsi="Arial" w:cs="Arial"/>
          <w:b w:val="0"/>
          <w:caps w:val="0"/>
          <w:lang w:val="en-US"/>
        </w:rPr>
        <w:t>, as age appropriate,</w:t>
      </w:r>
      <w:r w:rsidRPr="002A404C">
        <w:rPr>
          <w:rFonts w:ascii="Arial" w:hAnsi="Arial" w:cs="Arial"/>
          <w:b w:val="0"/>
          <w:caps w:val="0"/>
          <w:lang w:val="en-US"/>
        </w:rPr>
        <w:t xml:space="preserve"> the </w:t>
      </w:r>
      <w:r w:rsidR="00FE01CC">
        <w:rPr>
          <w:rFonts w:ascii="Arial" w:hAnsi="Arial" w:cs="Arial"/>
          <w:b w:val="0"/>
          <w:caps w:val="0"/>
          <w:lang w:val="en-US"/>
        </w:rPr>
        <w:t>tier one</w:t>
      </w:r>
      <w:r w:rsidRPr="002A404C">
        <w:rPr>
          <w:rFonts w:ascii="Arial" w:hAnsi="Arial" w:cs="Arial"/>
          <w:b w:val="0"/>
          <w:caps w:val="0"/>
          <w:lang w:val="en-US"/>
        </w:rPr>
        <w:t xml:space="preserve"> Services for Children and Young People service specifications.</w:t>
      </w:r>
    </w:p>
    <w:p w14:paraId="646BC395" w14:textId="77777777" w:rsidR="00355500" w:rsidRPr="002A404C" w:rsidRDefault="00355500" w:rsidP="00F27B1A">
      <w:pPr>
        <w:pStyle w:val="MoHHeading1"/>
        <w:spacing w:before="120"/>
        <w:rPr>
          <w:rFonts w:ascii="Arial" w:hAnsi="Arial" w:cs="Arial"/>
          <w:b w:val="0"/>
          <w:caps w:val="0"/>
          <w:lang w:val="en-US"/>
        </w:rPr>
      </w:pPr>
      <w:r w:rsidRPr="002A404C">
        <w:rPr>
          <w:rFonts w:ascii="Arial" w:hAnsi="Arial" w:cs="Arial"/>
          <w:b w:val="0"/>
          <w:caps w:val="0"/>
          <w:lang w:val="en-US"/>
        </w:rPr>
        <w:t xml:space="preserve">Refer to </w:t>
      </w:r>
      <w:r>
        <w:rPr>
          <w:rFonts w:ascii="Arial" w:hAnsi="Arial" w:cs="Arial"/>
          <w:b w:val="0"/>
          <w:caps w:val="0"/>
          <w:lang w:val="en-US"/>
        </w:rPr>
        <w:t>relevant</w:t>
      </w:r>
      <w:r w:rsidRPr="002A404C">
        <w:rPr>
          <w:rFonts w:ascii="Arial" w:hAnsi="Arial" w:cs="Arial"/>
          <w:b w:val="0"/>
          <w:caps w:val="0"/>
          <w:lang w:val="en-US"/>
        </w:rPr>
        <w:t xml:space="preserve"> </w:t>
      </w:r>
      <w:r w:rsidR="00FE01CC">
        <w:rPr>
          <w:rFonts w:ascii="Arial" w:hAnsi="Arial" w:cs="Arial"/>
          <w:b w:val="0"/>
          <w:caps w:val="0"/>
          <w:lang w:val="en-US"/>
        </w:rPr>
        <w:t>tier one</w:t>
      </w:r>
      <w:r w:rsidRPr="002A404C">
        <w:rPr>
          <w:rFonts w:ascii="Arial" w:hAnsi="Arial" w:cs="Arial"/>
          <w:b w:val="0"/>
          <w:caps w:val="0"/>
          <w:lang w:val="en-US"/>
        </w:rPr>
        <w:t xml:space="preserve"> service specifications for </w:t>
      </w:r>
      <w:r>
        <w:rPr>
          <w:rFonts w:ascii="Arial" w:hAnsi="Arial" w:cs="Arial"/>
          <w:b w:val="0"/>
          <w:caps w:val="0"/>
          <w:lang w:val="en-US"/>
        </w:rPr>
        <w:t xml:space="preserve">generic principles and </w:t>
      </w:r>
      <w:r w:rsidR="006019EF">
        <w:rPr>
          <w:rFonts w:ascii="Arial" w:hAnsi="Arial" w:cs="Arial"/>
          <w:b w:val="0"/>
          <w:caps w:val="0"/>
          <w:lang w:val="en-US"/>
        </w:rPr>
        <w:t>requirements</w:t>
      </w:r>
      <w:r>
        <w:rPr>
          <w:rFonts w:ascii="Arial" w:hAnsi="Arial" w:cs="Arial"/>
          <w:b w:val="0"/>
          <w:caps w:val="0"/>
          <w:lang w:val="en-US"/>
        </w:rPr>
        <w:t>.</w:t>
      </w:r>
      <w:r w:rsidRPr="002A404C">
        <w:rPr>
          <w:rFonts w:ascii="Arial" w:hAnsi="Arial" w:cs="Arial"/>
          <w:b w:val="0"/>
          <w:caps w:val="0"/>
          <w:lang w:val="en-US"/>
        </w:rPr>
        <w:t xml:space="preserve"> </w:t>
      </w:r>
    </w:p>
    <w:p w14:paraId="153B2245" w14:textId="20DDBF69" w:rsidR="00355500" w:rsidRDefault="00355500" w:rsidP="000A09E5">
      <w:pPr>
        <w:spacing w:before="120"/>
        <w:rPr>
          <w:rFonts w:cs="Arial"/>
        </w:rPr>
      </w:pPr>
      <w:r>
        <w:rPr>
          <w:rFonts w:cs="Arial"/>
        </w:rPr>
        <w:t>Th</w:t>
      </w:r>
      <w:r w:rsidR="006019EF">
        <w:rPr>
          <w:rFonts w:cs="Arial"/>
        </w:rPr>
        <w:t>e S</w:t>
      </w:r>
      <w:r w:rsidR="00460ED8">
        <w:rPr>
          <w:rFonts w:cs="Arial"/>
        </w:rPr>
        <w:t xml:space="preserve">ervice </w:t>
      </w:r>
      <w:r>
        <w:rPr>
          <w:rFonts w:cs="Arial"/>
        </w:rPr>
        <w:t>is also linked to</w:t>
      </w:r>
      <w:r w:rsidR="006019EF">
        <w:rPr>
          <w:rFonts w:cs="Arial"/>
        </w:rPr>
        <w:t xml:space="preserve"> other services described in the following service specifications</w:t>
      </w:r>
      <w:r w:rsidR="00AF2278">
        <w:rPr>
          <w:rFonts w:cs="Arial"/>
        </w:rPr>
        <w:t xml:space="preserve"> including</w:t>
      </w:r>
      <w:r>
        <w:rPr>
          <w:rFonts w:cs="Arial"/>
        </w:rPr>
        <w:t>:</w:t>
      </w:r>
    </w:p>
    <w:p w14:paraId="189E5D34" w14:textId="77777777" w:rsidR="00AE415D" w:rsidRDefault="00AE415D" w:rsidP="00AE415D">
      <w:pPr>
        <w:pStyle w:val="ListParagraph"/>
        <w:ind w:hanging="567"/>
      </w:pPr>
      <w:r>
        <w:t>tier two Urology Services</w:t>
      </w:r>
    </w:p>
    <w:p w14:paraId="0E6A46D8" w14:textId="77777777" w:rsidR="00460ED8" w:rsidRDefault="00460ED8" w:rsidP="00A46BD5">
      <w:pPr>
        <w:pStyle w:val="ListParagraph"/>
        <w:ind w:hanging="567"/>
      </w:pPr>
      <w:r w:rsidRPr="00460ED8">
        <w:t xml:space="preserve">tier two </w:t>
      </w:r>
      <w:r>
        <w:t>Oncology</w:t>
      </w:r>
      <w:r w:rsidRPr="00460ED8">
        <w:t xml:space="preserve"> Services</w:t>
      </w:r>
    </w:p>
    <w:p w14:paraId="1E2C93BA" w14:textId="77777777" w:rsidR="00AA7F44" w:rsidRPr="00460ED8" w:rsidRDefault="00AA7F44" w:rsidP="00A46BD5">
      <w:pPr>
        <w:pStyle w:val="ListParagraph"/>
        <w:ind w:hanging="567"/>
      </w:pPr>
      <w:r>
        <w:t>tier two Radiotherapy Services</w:t>
      </w:r>
    </w:p>
    <w:p w14:paraId="2F2C1672" w14:textId="77777777" w:rsidR="00460ED8" w:rsidRPr="00460ED8" w:rsidRDefault="00460ED8" w:rsidP="00A46BD5">
      <w:pPr>
        <w:pStyle w:val="ListParagraph"/>
        <w:ind w:hanging="567"/>
      </w:pPr>
      <w:r>
        <w:t xml:space="preserve">tier two </w:t>
      </w:r>
      <w:r w:rsidRPr="00460ED8">
        <w:t>Assisted Reproductive Technology Services</w:t>
      </w:r>
    </w:p>
    <w:p w14:paraId="642980DB" w14:textId="77777777" w:rsidR="00E70B1F" w:rsidRDefault="00FE01CC" w:rsidP="000A09E5">
      <w:pPr>
        <w:pStyle w:val="ListParagraph"/>
        <w:ind w:hanging="567"/>
      </w:pPr>
      <w:r>
        <w:t>tier one</w:t>
      </w:r>
      <w:r w:rsidR="00355500" w:rsidRPr="002D55CA">
        <w:t xml:space="preserve"> Community Health, Transitional and Support Service</w:t>
      </w:r>
      <w:r w:rsidR="00E70B1F">
        <w:t>s</w:t>
      </w:r>
      <w:r w:rsidR="00355500" w:rsidRPr="00F80B29">
        <w:t xml:space="preserve"> and its relevant </w:t>
      </w:r>
      <w:r w:rsidR="00355500">
        <w:t>tier two service specifications</w:t>
      </w:r>
    </w:p>
    <w:p w14:paraId="27413AAF" w14:textId="77777777" w:rsidR="00825CAA" w:rsidRDefault="00FE01CC">
      <w:pPr>
        <w:pStyle w:val="ListParagraph"/>
        <w:ind w:hanging="567"/>
      </w:pPr>
      <w:r>
        <w:t>tier one</w:t>
      </w:r>
      <w:r w:rsidR="00E70B1F">
        <w:t xml:space="preserve"> Maternity Services</w:t>
      </w:r>
      <w:r w:rsidR="00E70B1F" w:rsidRPr="00E70B1F">
        <w:t xml:space="preserve"> and its relevant tier two service specifications</w:t>
      </w:r>
    </w:p>
    <w:p w14:paraId="0C751F59" w14:textId="77777777" w:rsidR="009F6AEC" w:rsidRDefault="009F6AEC" w:rsidP="00DF24E0">
      <w:pPr>
        <w:pStyle w:val="ListParagraph"/>
        <w:ind w:hanging="567"/>
      </w:pPr>
      <w:r>
        <w:t>tier two Public Health Preventative Intervention</w:t>
      </w:r>
      <w:r w:rsidRPr="009F6AEC">
        <w:t xml:space="preserve"> service specification</w:t>
      </w:r>
      <w:r>
        <w:t>.</w:t>
      </w:r>
    </w:p>
    <w:p w14:paraId="04404FA9" w14:textId="77777777" w:rsidR="00355500" w:rsidRDefault="00355500" w:rsidP="00533EC9">
      <w:pPr>
        <w:pStyle w:val="Heading1"/>
      </w:pPr>
      <w:r w:rsidRPr="00C56ACD">
        <w:t>Service</w:t>
      </w:r>
      <w:r w:rsidRPr="002E21E7">
        <w:t xml:space="preserve"> </w:t>
      </w:r>
      <w:r w:rsidRPr="00DF24E0">
        <w:t>Definition</w:t>
      </w:r>
    </w:p>
    <w:p w14:paraId="323CADF5" w14:textId="286600F7" w:rsidR="00355500" w:rsidRPr="002A404C" w:rsidRDefault="00355500" w:rsidP="00C56ACD">
      <w:r>
        <w:t xml:space="preserve">The </w:t>
      </w:r>
      <w:r w:rsidRPr="002A404C">
        <w:t xml:space="preserve">Service </w:t>
      </w:r>
      <w:r>
        <w:t>provides access to</w:t>
      </w:r>
      <w:r w:rsidRPr="002A404C">
        <w:t xml:space="preserve"> assessment, management and treatment of gynaecological diseases and conditions, primarily those of the genital tract for </w:t>
      </w:r>
      <w:r>
        <w:t>females and</w:t>
      </w:r>
      <w:r w:rsidRPr="002A404C">
        <w:t xml:space="preserve"> includes reproductive medicine</w:t>
      </w:r>
      <w:r>
        <w:t>, management of early pregnancies</w:t>
      </w:r>
      <w:r w:rsidRPr="002A404C">
        <w:t xml:space="preserve"> </w:t>
      </w:r>
      <w:r>
        <w:t xml:space="preserve">with complications </w:t>
      </w:r>
      <w:r w:rsidRPr="002A404C">
        <w:t>and ter</w:t>
      </w:r>
      <w:r>
        <w:t>mination of pregnancies.</w:t>
      </w:r>
    </w:p>
    <w:p w14:paraId="5CEA663F" w14:textId="77777777" w:rsidR="00355500" w:rsidRPr="002A404C" w:rsidRDefault="00355500" w:rsidP="00533EC9">
      <w:pPr>
        <w:pStyle w:val="Heading1"/>
      </w:pPr>
      <w:r w:rsidRPr="00DF24E0">
        <w:t>Exclusions</w:t>
      </w:r>
    </w:p>
    <w:p w14:paraId="27615B5A" w14:textId="77777777" w:rsidR="00355500" w:rsidRPr="005F17F4" w:rsidRDefault="00355500" w:rsidP="00DF24E0">
      <w:r w:rsidRPr="00CF70AF">
        <w:t xml:space="preserve">This Service will not duplicate services already contracted for by the Ministry of Health, Accident </w:t>
      </w:r>
      <w:r w:rsidRPr="00C56ACD">
        <w:t>Compensation</w:t>
      </w:r>
      <w:r w:rsidRPr="00CF70AF">
        <w:t xml:space="preserve"> Corporation (ACC), or </w:t>
      </w:r>
      <w:r>
        <w:t xml:space="preserve">other Government </w:t>
      </w:r>
      <w:r w:rsidR="00533EC9">
        <w:t>d</w:t>
      </w:r>
      <w:r>
        <w:t xml:space="preserve">epartments and </w:t>
      </w:r>
      <w:r w:rsidR="00533EC9">
        <w:t>a</w:t>
      </w:r>
      <w:r>
        <w:t xml:space="preserve">gencies or </w:t>
      </w:r>
      <w:r w:rsidR="00533EC9">
        <w:t>d</w:t>
      </w:r>
      <w:r w:rsidRPr="00CF70AF">
        <w:t xml:space="preserve">istrict </w:t>
      </w:r>
      <w:r w:rsidR="00533EC9">
        <w:t>h</w:t>
      </w:r>
      <w:r w:rsidRPr="00CF70AF">
        <w:t xml:space="preserve">ealth </w:t>
      </w:r>
      <w:r w:rsidR="00533EC9">
        <w:t>b</w:t>
      </w:r>
      <w:r w:rsidRPr="00CF70AF">
        <w:t>oard</w:t>
      </w:r>
      <w:r w:rsidR="00533EC9">
        <w:t>s</w:t>
      </w:r>
      <w:r w:rsidRPr="00CF70AF">
        <w:t xml:space="preserve"> (DHB</w:t>
      </w:r>
      <w:r w:rsidR="00533EC9">
        <w:t>s</w:t>
      </w:r>
      <w:r w:rsidRPr="00CF70AF">
        <w:t>)</w:t>
      </w:r>
      <w:r>
        <w:t>, such as specified in:</w:t>
      </w:r>
      <w:r w:rsidR="00263A11">
        <w:t xml:space="preserve"> </w:t>
      </w:r>
      <w:r w:rsidR="00FE01CC">
        <w:t xml:space="preserve">the </w:t>
      </w:r>
      <w:r w:rsidRPr="005F17F4">
        <w:t xml:space="preserve">National Cervical Screening Programme </w:t>
      </w:r>
      <w:r w:rsidR="000A0795">
        <w:t xml:space="preserve">(NCSP) </w:t>
      </w:r>
      <w:r w:rsidRPr="005F17F4">
        <w:t>service specification</w:t>
      </w:r>
      <w:r w:rsidR="00DF24E0">
        <w:t xml:space="preserve">, or the </w:t>
      </w:r>
      <w:r w:rsidRPr="005F17F4">
        <w:t>2007 Maternity Services Notice Section 88 of the New Zealand Public Health and Disability Act 2000.</w:t>
      </w:r>
    </w:p>
    <w:p w14:paraId="5CFA44B7" w14:textId="77777777" w:rsidR="00DF24E0" w:rsidRDefault="00DF24E0" w:rsidP="00533EC9">
      <w:pPr>
        <w:pStyle w:val="Heading1"/>
      </w:pPr>
      <w:r>
        <w:t>Service Users</w:t>
      </w:r>
    </w:p>
    <w:p w14:paraId="082B0317" w14:textId="77777777" w:rsidR="00DF24E0" w:rsidRDefault="00DF24E0" w:rsidP="00DF24E0">
      <w:r>
        <w:t>Service Users are people who meet the Service’s eligibility criteria and require specialist gynaecological services to improve their health status.</w:t>
      </w:r>
    </w:p>
    <w:p w14:paraId="75223E54" w14:textId="77777777" w:rsidR="00355500" w:rsidRPr="002A404C" w:rsidRDefault="00355500" w:rsidP="00533EC9">
      <w:pPr>
        <w:pStyle w:val="Heading1"/>
      </w:pPr>
      <w:r w:rsidRPr="00C56ACD">
        <w:t>Service</w:t>
      </w:r>
      <w:r w:rsidRPr="002A404C">
        <w:t xml:space="preserve"> </w:t>
      </w:r>
      <w:r w:rsidRPr="005F17F4">
        <w:t>Objectives</w:t>
      </w:r>
    </w:p>
    <w:p w14:paraId="3F1588DF" w14:textId="3642D878" w:rsidR="000E6CBB" w:rsidRDefault="00355500" w:rsidP="00F27B1A">
      <w:r w:rsidRPr="002A404C">
        <w:t>Refer to</w:t>
      </w:r>
      <w:r>
        <w:t xml:space="preserve"> </w:t>
      </w:r>
      <w:r w:rsidR="00460ED8">
        <w:t xml:space="preserve">the generic service </w:t>
      </w:r>
      <w:r>
        <w:t>objectives listed</w:t>
      </w:r>
      <w:r w:rsidRPr="002A404C">
        <w:t xml:space="preserve"> </w:t>
      </w:r>
      <w:r>
        <w:t xml:space="preserve">in </w:t>
      </w:r>
      <w:r w:rsidRPr="002A404C">
        <w:t xml:space="preserve">the </w:t>
      </w:r>
      <w:r w:rsidR="00FE01CC">
        <w:t>tier one</w:t>
      </w:r>
      <w:r w:rsidRPr="002A404C">
        <w:t xml:space="preserve"> </w:t>
      </w:r>
      <w:r w:rsidRPr="002A404C">
        <w:rPr>
          <w:lang w:val="en-US"/>
        </w:rPr>
        <w:t>Specialist Medical and Surgical Services</w:t>
      </w:r>
      <w:r w:rsidR="00DF24E0">
        <w:rPr>
          <w:lang w:val="en-US"/>
        </w:rPr>
        <w:t xml:space="preserve"> service specification</w:t>
      </w:r>
      <w:r>
        <w:rPr>
          <w:lang w:val="en-US"/>
        </w:rPr>
        <w:t>,</w:t>
      </w:r>
      <w:r w:rsidRPr="002A404C">
        <w:rPr>
          <w:lang w:val="en-US"/>
        </w:rPr>
        <w:t xml:space="preserve"> and </w:t>
      </w:r>
      <w:r>
        <w:rPr>
          <w:lang w:val="en-US"/>
        </w:rPr>
        <w:t>as</w:t>
      </w:r>
      <w:r w:rsidRPr="002A404C">
        <w:rPr>
          <w:lang w:val="en-US"/>
        </w:rPr>
        <w:t xml:space="preserve"> age appropriate, </w:t>
      </w:r>
      <w:r>
        <w:rPr>
          <w:lang w:val="en-US"/>
        </w:rPr>
        <w:t xml:space="preserve">the </w:t>
      </w:r>
      <w:r w:rsidR="00FE01CC">
        <w:rPr>
          <w:lang w:val="en-US"/>
        </w:rPr>
        <w:t>tier one</w:t>
      </w:r>
      <w:r w:rsidRPr="002A404C">
        <w:rPr>
          <w:lang w:val="en-US"/>
        </w:rPr>
        <w:t xml:space="preserve"> </w:t>
      </w:r>
      <w:r w:rsidRPr="002A404C">
        <w:t>Services for Children and Young People service specification.</w:t>
      </w:r>
    </w:p>
    <w:p w14:paraId="3E0AD713" w14:textId="77777777" w:rsidR="00355500" w:rsidRPr="002A404C" w:rsidRDefault="00355500" w:rsidP="000E6CBB">
      <w:pPr>
        <w:pStyle w:val="Heading1"/>
      </w:pPr>
      <w:r w:rsidRPr="005F17F4">
        <w:t>Access</w:t>
      </w:r>
    </w:p>
    <w:p w14:paraId="40E9D78F" w14:textId="77777777" w:rsidR="00355500" w:rsidRPr="00896CF1" w:rsidRDefault="00533EC9" w:rsidP="008023B2">
      <w:pPr>
        <w:pStyle w:val="Heading2"/>
        <w:rPr>
          <w:i/>
        </w:rPr>
      </w:pPr>
      <w:r>
        <w:t>5.1</w:t>
      </w:r>
      <w:r>
        <w:tab/>
      </w:r>
      <w:r w:rsidR="00355500" w:rsidRPr="00896CF1">
        <w:t>Entry Criteria</w:t>
      </w:r>
    </w:p>
    <w:p w14:paraId="2EB2A4B5" w14:textId="271DA536" w:rsidR="00D62D2C" w:rsidRDefault="00D62D2C" w:rsidP="000A0795">
      <w:pPr>
        <w:spacing w:before="120" w:after="120"/>
        <w:rPr>
          <w:lang w:val="en-AU"/>
        </w:rPr>
      </w:pPr>
      <w:r>
        <w:rPr>
          <w:lang w:val="en-AU"/>
        </w:rPr>
        <w:t>5.1.1</w:t>
      </w:r>
      <w:r>
        <w:rPr>
          <w:lang w:val="en-AU"/>
        </w:rPr>
        <w:tab/>
        <w:t>General</w:t>
      </w:r>
    </w:p>
    <w:p w14:paraId="3777C17A" w14:textId="134AB728" w:rsidR="001D7E43" w:rsidRDefault="001D7E43" w:rsidP="000A0795">
      <w:pPr>
        <w:spacing w:before="120" w:after="120"/>
        <w:rPr>
          <w:lang w:val="en-AU"/>
        </w:rPr>
      </w:pPr>
      <w:r w:rsidRPr="001D7E43">
        <w:rPr>
          <w:lang w:val="en-AU"/>
        </w:rPr>
        <w:t>Access may be limited by the referral prioritisation framework where access is restricted.</w:t>
      </w:r>
      <w:r w:rsidRPr="001D7E43">
        <w:t xml:space="preserve"> </w:t>
      </w:r>
      <w:r w:rsidRPr="001D7E43">
        <w:rPr>
          <w:lang w:val="en-AU"/>
        </w:rPr>
        <w:t>Service Users will be eligible for the Service based on the clinical assessment of their health status risk</w:t>
      </w:r>
    </w:p>
    <w:p w14:paraId="65FF52C0" w14:textId="19B5F78F" w:rsidR="00A46BD5" w:rsidRDefault="00355500" w:rsidP="000A0795">
      <w:pPr>
        <w:spacing w:before="120" w:after="120"/>
      </w:pPr>
      <w:r>
        <w:rPr>
          <w:lang w:val="en-AU"/>
        </w:rPr>
        <w:lastRenderedPageBreak/>
        <w:t xml:space="preserve">Access to the Service is only by referral from an </w:t>
      </w:r>
      <w:r>
        <w:t>appropriate health professional</w:t>
      </w:r>
      <w:r w:rsidR="007B451B">
        <w:t>, except for termination services</w:t>
      </w:r>
      <w:r w:rsidR="00167311">
        <w:t xml:space="preserve"> (which </w:t>
      </w:r>
      <w:r w:rsidR="000829AB">
        <w:t>must allow self-</w:t>
      </w:r>
      <w:r w:rsidR="00167311">
        <w:t>referral</w:t>
      </w:r>
      <w:r w:rsidR="000C33D8">
        <w:t xml:space="preserve"> </w:t>
      </w:r>
      <w:r w:rsidR="00E901E5">
        <w:t>(</w:t>
      </w:r>
      <w:r w:rsidR="000C33D8">
        <w:t>see 5.1.2 below</w:t>
      </w:r>
      <w:r w:rsidR="00B3295D">
        <w:t>.</w:t>
      </w:r>
      <w:r w:rsidR="00167311">
        <w:t>)</w:t>
      </w:r>
      <w:r w:rsidR="00234689">
        <w:rPr>
          <w:i/>
        </w:rPr>
        <w:t xml:space="preserve"> </w:t>
      </w:r>
      <w:r w:rsidR="00234689" w:rsidRPr="000A0795">
        <w:t>Service</w:t>
      </w:r>
      <w:r w:rsidR="00234689">
        <w:rPr>
          <w:i/>
        </w:rPr>
        <w:t xml:space="preserve"> </w:t>
      </w:r>
      <w:r w:rsidR="00234689" w:rsidRPr="000A0795">
        <w:t>Providers will use the Electronic Gynaecology Surgery Clinical Prioritisation Tool</w:t>
      </w:r>
      <w:r w:rsidR="00234689">
        <w:rPr>
          <w:rStyle w:val="FootnoteReference"/>
        </w:rPr>
        <w:footnoteReference w:id="1"/>
      </w:r>
      <w:r w:rsidR="00234689" w:rsidRPr="000A0795">
        <w:t>.</w:t>
      </w:r>
      <w:r w:rsidR="000A0795">
        <w:t xml:space="preserve"> </w:t>
      </w:r>
    </w:p>
    <w:p w14:paraId="0F168CBC" w14:textId="79AEE943" w:rsidR="00355500" w:rsidRPr="00234689" w:rsidRDefault="00263A11" w:rsidP="000A0795">
      <w:pPr>
        <w:spacing w:before="120" w:after="120"/>
      </w:pPr>
      <w:r>
        <w:t>For women</w:t>
      </w:r>
      <w:r w:rsidR="00A46BD5" w:rsidRPr="00A46BD5">
        <w:t xml:space="preserve"> </w:t>
      </w:r>
      <w:r w:rsidR="00A46BD5">
        <w:t>referr</w:t>
      </w:r>
      <w:r>
        <w:t>ed to the Service</w:t>
      </w:r>
      <w:r w:rsidR="00A46BD5">
        <w:t xml:space="preserve"> from the </w:t>
      </w:r>
      <w:r w:rsidR="00A46BD5" w:rsidRPr="00A46BD5">
        <w:t>NCSP</w:t>
      </w:r>
      <w:r>
        <w:t>,</w:t>
      </w:r>
      <w:r w:rsidR="00A46BD5" w:rsidRPr="00A46BD5">
        <w:t xml:space="preserve"> see the Guidelines for Cervical Screening in New Zealand</w:t>
      </w:r>
      <w:r w:rsidR="00FE01CC">
        <w:rPr>
          <w:rStyle w:val="FootnoteReference"/>
        </w:rPr>
        <w:footnoteReference w:id="2"/>
      </w:r>
      <w:r w:rsidR="00A46BD5" w:rsidRPr="00A46BD5">
        <w:t>, and any subsequent updates:</w:t>
      </w:r>
    </w:p>
    <w:p w14:paraId="6F21BADF" w14:textId="77777777" w:rsidR="00355500" w:rsidRPr="002A404C" w:rsidRDefault="00355500" w:rsidP="000A0795">
      <w:pPr>
        <w:rPr>
          <w:rFonts w:cs="Arial"/>
        </w:rPr>
      </w:pPr>
      <w:r>
        <w:rPr>
          <w:rFonts w:cs="Arial"/>
        </w:rPr>
        <w:t>M</w:t>
      </w:r>
      <w:r w:rsidRPr="002A404C">
        <w:rPr>
          <w:rFonts w:cs="Arial"/>
        </w:rPr>
        <w:t xml:space="preserve">en may be referred </w:t>
      </w:r>
      <w:r w:rsidR="00263A11">
        <w:rPr>
          <w:rFonts w:cs="Arial"/>
        </w:rPr>
        <w:t xml:space="preserve">to the Service </w:t>
      </w:r>
      <w:r>
        <w:rPr>
          <w:rFonts w:cs="Arial"/>
        </w:rPr>
        <w:t>as clinically appropriate.</w:t>
      </w:r>
    </w:p>
    <w:p w14:paraId="3F98B9A6" w14:textId="3262AEA0" w:rsidR="00A84788" w:rsidRPr="00AF2278" w:rsidRDefault="00D62D2C" w:rsidP="000A0795">
      <w:pPr>
        <w:pStyle w:val="BodyText3"/>
        <w:spacing w:before="120" w:after="0"/>
        <w:rPr>
          <w:sz w:val="24"/>
          <w:szCs w:val="24"/>
        </w:rPr>
      </w:pPr>
      <w:r w:rsidRPr="00AF2278">
        <w:rPr>
          <w:sz w:val="24"/>
          <w:szCs w:val="24"/>
        </w:rPr>
        <w:t>5.1.2</w:t>
      </w:r>
      <w:r w:rsidRPr="00AF2278">
        <w:rPr>
          <w:sz w:val="24"/>
          <w:szCs w:val="24"/>
        </w:rPr>
        <w:tab/>
      </w:r>
      <w:r w:rsidR="00A84788" w:rsidRPr="00AF2278">
        <w:rPr>
          <w:sz w:val="24"/>
          <w:szCs w:val="24"/>
        </w:rPr>
        <w:t xml:space="preserve">Termination of </w:t>
      </w:r>
      <w:r w:rsidR="00DF473F" w:rsidRPr="00AF2278">
        <w:rPr>
          <w:sz w:val="24"/>
          <w:szCs w:val="24"/>
        </w:rPr>
        <w:t>Pregnancy</w:t>
      </w:r>
      <w:r w:rsidR="00A84788" w:rsidRPr="00AF2278">
        <w:rPr>
          <w:sz w:val="24"/>
          <w:szCs w:val="24"/>
        </w:rPr>
        <w:t xml:space="preserve"> Services</w:t>
      </w:r>
      <w:r w:rsidRPr="00AF2278">
        <w:rPr>
          <w:sz w:val="24"/>
          <w:szCs w:val="24"/>
        </w:rPr>
        <w:t xml:space="preserve"> entry criteria</w:t>
      </w:r>
    </w:p>
    <w:p w14:paraId="454702E9" w14:textId="70006BC7" w:rsidR="00A84788" w:rsidRPr="00AF2278" w:rsidRDefault="00F62FDF" w:rsidP="000A0795">
      <w:pPr>
        <w:pStyle w:val="BodyText3"/>
        <w:spacing w:before="120" w:after="0"/>
        <w:rPr>
          <w:sz w:val="24"/>
          <w:szCs w:val="24"/>
        </w:rPr>
      </w:pPr>
      <w:r w:rsidRPr="00AF2278">
        <w:rPr>
          <w:rFonts w:cs="Arial"/>
          <w:color w:val="002639"/>
          <w:sz w:val="24"/>
          <w:szCs w:val="24"/>
          <w:lang w:val="en-US"/>
        </w:rPr>
        <w:t>On 24 March 2020 changes were made to the law</w:t>
      </w:r>
      <w:r w:rsidRPr="00AF2278">
        <w:rPr>
          <w:rStyle w:val="FootnoteReference"/>
          <w:color w:val="002639"/>
          <w:sz w:val="24"/>
          <w:szCs w:val="24"/>
          <w:lang w:val="en-US"/>
        </w:rPr>
        <w:footnoteReference w:id="3"/>
      </w:r>
      <w:r w:rsidR="00A84788" w:rsidRPr="00AF2278">
        <w:rPr>
          <w:rFonts w:cs="Arial"/>
          <w:color w:val="002639"/>
          <w:sz w:val="24"/>
          <w:szCs w:val="24"/>
          <w:lang w:val="en-US"/>
        </w:rPr>
        <w:t xml:space="preserve"> </w:t>
      </w:r>
      <w:r w:rsidRPr="00AF2278">
        <w:rPr>
          <w:rFonts w:cs="Arial"/>
          <w:color w:val="002639"/>
          <w:sz w:val="24"/>
          <w:szCs w:val="24"/>
          <w:lang w:val="en-US"/>
        </w:rPr>
        <w:t xml:space="preserve">to decriminalise abortion, better align the regulation of abortion services with other health services and modernise the legal framework for abortion services in New Zealand. </w:t>
      </w:r>
      <w:r w:rsidR="009C2239" w:rsidRPr="00AF2278">
        <w:rPr>
          <w:rFonts w:cs="Arial"/>
          <w:color w:val="002639"/>
          <w:sz w:val="24"/>
          <w:szCs w:val="24"/>
          <w:lang w:val="en-US"/>
        </w:rPr>
        <w:t>Following this change</w:t>
      </w:r>
      <w:r w:rsidRPr="00AF2278">
        <w:rPr>
          <w:rFonts w:cs="Arial"/>
          <w:color w:val="002639"/>
          <w:sz w:val="24"/>
          <w:szCs w:val="24"/>
          <w:lang w:val="en-US"/>
        </w:rPr>
        <w:t xml:space="preserve"> </w:t>
      </w:r>
      <w:r w:rsidR="00D01CE5">
        <w:rPr>
          <w:rFonts w:cs="Arial"/>
          <w:color w:val="002639"/>
          <w:sz w:val="24"/>
          <w:szCs w:val="24"/>
          <w:lang w:val="en-US"/>
        </w:rPr>
        <w:t>a</w:t>
      </w:r>
      <w:r w:rsidRPr="00AF2278">
        <w:rPr>
          <w:sz w:val="24"/>
          <w:szCs w:val="24"/>
        </w:rPr>
        <w:t xml:space="preserve">ny woman seeking a termination of pregnancy </w:t>
      </w:r>
      <w:r w:rsidR="00511136" w:rsidRPr="00AF2278">
        <w:rPr>
          <w:sz w:val="24"/>
          <w:szCs w:val="24"/>
        </w:rPr>
        <w:t xml:space="preserve">(TOP) </w:t>
      </w:r>
      <w:r w:rsidRPr="00AF2278">
        <w:rPr>
          <w:sz w:val="24"/>
          <w:szCs w:val="24"/>
        </w:rPr>
        <w:t>can access services from a qualified health practitioner</w:t>
      </w:r>
      <w:r w:rsidR="00167311" w:rsidRPr="00AF2278">
        <w:rPr>
          <w:sz w:val="24"/>
          <w:szCs w:val="24"/>
        </w:rPr>
        <w:t xml:space="preserve"> without a referral</w:t>
      </w:r>
      <w:r w:rsidR="00167311" w:rsidRPr="00AF2278">
        <w:rPr>
          <w:rStyle w:val="FootnoteReference"/>
          <w:sz w:val="24"/>
          <w:szCs w:val="24"/>
        </w:rPr>
        <w:footnoteReference w:id="4"/>
      </w:r>
      <w:r w:rsidRPr="00AF2278">
        <w:rPr>
          <w:sz w:val="24"/>
          <w:szCs w:val="24"/>
        </w:rPr>
        <w:t>.</w:t>
      </w:r>
      <w:r w:rsidR="004E65FA" w:rsidRPr="00AF2278">
        <w:rPr>
          <w:sz w:val="24"/>
          <w:szCs w:val="24"/>
        </w:rPr>
        <w:t xml:space="preserve"> The k</w:t>
      </w:r>
      <w:r w:rsidR="00A84788" w:rsidRPr="00AF2278">
        <w:rPr>
          <w:sz w:val="24"/>
          <w:szCs w:val="24"/>
        </w:rPr>
        <w:t>ey changes</w:t>
      </w:r>
      <w:r w:rsidR="009C2239" w:rsidRPr="00AF2278">
        <w:rPr>
          <w:sz w:val="24"/>
          <w:szCs w:val="24"/>
        </w:rPr>
        <w:t xml:space="preserve"> to access</w:t>
      </w:r>
      <w:r w:rsidR="00A84788" w:rsidRPr="00AF2278">
        <w:rPr>
          <w:sz w:val="24"/>
          <w:szCs w:val="24"/>
        </w:rPr>
        <w:t xml:space="preserve"> include:</w:t>
      </w:r>
    </w:p>
    <w:p w14:paraId="1C15387F" w14:textId="78B7AE9E" w:rsidR="00A84788" w:rsidRPr="00AF2278" w:rsidRDefault="00A84788" w:rsidP="004E65FA">
      <w:pPr>
        <w:pStyle w:val="NormalWeb"/>
        <w:numPr>
          <w:ilvl w:val="0"/>
          <w:numId w:val="9"/>
        </w:numPr>
        <w:spacing w:before="120" w:beforeAutospacing="0" w:after="0" w:afterAutospacing="0"/>
        <w:rPr>
          <w:rFonts w:ascii="Arial" w:hAnsi="Arial" w:cs="Arial"/>
          <w:color w:val="002639"/>
        </w:rPr>
      </w:pPr>
      <w:r w:rsidRPr="00AF2278">
        <w:rPr>
          <w:rFonts w:ascii="Arial" w:hAnsi="Arial" w:cs="Arial"/>
          <w:color w:val="002639"/>
        </w:rPr>
        <w:t xml:space="preserve">a qualified health practitioner may provide </w:t>
      </w:r>
      <w:r w:rsidR="004E65FA" w:rsidRPr="00AF2278">
        <w:rPr>
          <w:rFonts w:ascii="Arial" w:hAnsi="Arial" w:cs="Arial"/>
          <w:color w:val="002639"/>
        </w:rPr>
        <w:t>TOP</w:t>
      </w:r>
      <w:r w:rsidRPr="00AF2278">
        <w:rPr>
          <w:rFonts w:ascii="Arial" w:hAnsi="Arial" w:cs="Arial"/>
          <w:color w:val="002639"/>
        </w:rPr>
        <w:t xml:space="preserve"> services to a woman who is not more than 20 weeks pregnant (no statutory test requirements)</w:t>
      </w:r>
    </w:p>
    <w:p w14:paraId="5E582E34" w14:textId="7D2A4D00" w:rsidR="009C2239" w:rsidRPr="00AF2278" w:rsidRDefault="00A84788" w:rsidP="00681D3F">
      <w:pPr>
        <w:pStyle w:val="NormalWeb"/>
        <w:numPr>
          <w:ilvl w:val="0"/>
          <w:numId w:val="9"/>
        </w:numPr>
        <w:spacing w:before="0" w:beforeAutospacing="0" w:after="0" w:afterAutospacing="0"/>
        <w:rPr>
          <w:rFonts w:ascii="Arial" w:hAnsi="Arial" w:cs="Arial"/>
          <w:color w:val="002639"/>
        </w:rPr>
      </w:pPr>
      <w:r w:rsidRPr="00AF2278">
        <w:rPr>
          <w:rFonts w:ascii="Arial" w:hAnsi="Arial" w:cs="Arial"/>
          <w:color w:val="002639"/>
        </w:rPr>
        <w:t xml:space="preserve">a qualified health practitioner may provide </w:t>
      </w:r>
      <w:r w:rsidR="004E65FA" w:rsidRPr="00AF2278">
        <w:rPr>
          <w:rFonts w:ascii="Arial" w:hAnsi="Arial" w:cs="Arial"/>
          <w:color w:val="002639"/>
        </w:rPr>
        <w:t>TOP</w:t>
      </w:r>
      <w:r w:rsidRPr="00AF2278">
        <w:rPr>
          <w:rFonts w:ascii="Arial" w:hAnsi="Arial" w:cs="Arial"/>
          <w:color w:val="002639"/>
        </w:rPr>
        <w:t xml:space="preserve"> services to a woman who is more than 20 weeks pregnant if they reasonably believe that </w:t>
      </w:r>
      <w:r w:rsidR="004E65FA" w:rsidRPr="00AF2278">
        <w:rPr>
          <w:rFonts w:ascii="Arial" w:hAnsi="Arial" w:cs="Arial"/>
          <w:color w:val="002639"/>
        </w:rPr>
        <w:t xml:space="preserve">it </w:t>
      </w:r>
      <w:r w:rsidRPr="00AF2278">
        <w:rPr>
          <w:rFonts w:ascii="Arial" w:hAnsi="Arial" w:cs="Arial"/>
          <w:color w:val="002639"/>
        </w:rPr>
        <w:t xml:space="preserve">is clinically appropriate in the circumstances. In considering whether the </w:t>
      </w:r>
      <w:r w:rsidR="004E65FA" w:rsidRPr="00AF2278">
        <w:rPr>
          <w:rFonts w:ascii="Arial" w:hAnsi="Arial" w:cs="Arial"/>
          <w:color w:val="002639"/>
        </w:rPr>
        <w:t>TOP</w:t>
      </w:r>
      <w:r w:rsidRPr="00AF2278">
        <w:rPr>
          <w:rFonts w:ascii="Arial" w:hAnsi="Arial" w:cs="Arial"/>
          <w:color w:val="002639"/>
        </w:rPr>
        <w:t xml:space="preserve"> is clinically appropriate in the circumstances, the qualified health practitioner must: </w:t>
      </w:r>
    </w:p>
    <w:p w14:paraId="75252B83" w14:textId="42089C59" w:rsidR="00A84788" w:rsidRPr="00AF2278" w:rsidRDefault="00A84788" w:rsidP="00D62D2C">
      <w:pPr>
        <w:pStyle w:val="NormalWeb"/>
        <w:numPr>
          <w:ilvl w:val="0"/>
          <w:numId w:val="10"/>
        </w:numPr>
        <w:spacing w:before="0" w:beforeAutospacing="0" w:after="0" w:afterAutospacing="0"/>
        <w:rPr>
          <w:rFonts w:ascii="Arial" w:hAnsi="Arial" w:cs="Arial"/>
          <w:color w:val="002639"/>
        </w:rPr>
      </w:pPr>
      <w:r w:rsidRPr="00AF2278">
        <w:rPr>
          <w:rFonts w:ascii="Arial" w:hAnsi="Arial" w:cs="Arial"/>
          <w:color w:val="002639"/>
        </w:rPr>
        <w:t>consult at least one other qualified health practitioner</w:t>
      </w:r>
    </w:p>
    <w:p w14:paraId="123D3AB1" w14:textId="77777777" w:rsidR="009C2239" w:rsidRPr="00AF2278" w:rsidRDefault="00A84788" w:rsidP="00D62D2C">
      <w:pPr>
        <w:pStyle w:val="NormalWeb"/>
        <w:numPr>
          <w:ilvl w:val="0"/>
          <w:numId w:val="10"/>
        </w:numPr>
        <w:spacing w:before="0" w:beforeAutospacing="0" w:after="0" w:afterAutospacing="0"/>
        <w:rPr>
          <w:rFonts w:ascii="Arial" w:hAnsi="Arial" w:cs="Arial"/>
          <w:color w:val="002639"/>
        </w:rPr>
      </w:pPr>
      <w:r w:rsidRPr="00AF2278">
        <w:rPr>
          <w:rFonts w:ascii="Arial" w:hAnsi="Arial" w:cs="Arial"/>
          <w:color w:val="002639"/>
        </w:rPr>
        <w:t xml:space="preserve">have regard to: </w:t>
      </w:r>
    </w:p>
    <w:p w14:paraId="2E033674" w14:textId="141F5CF1" w:rsidR="00A84788" w:rsidRPr="00AF2278" w:rsidRDefault="00A84788" w:rsidP="00D62D2C">
      <w:pPr>
        <w:pStyle w:val="NormalWeb"/>
        <w:spacing w:before="0" w:beforeAutospacing="0" w:after="0" w:afterAutospacing="0"/>
        <w:ind w:left="1080"/>
        <w:rPr>
          <w:rFonts w:ascii="Arial" w:hAnsi="Arial" w:cs="Arial"/>
          <w:color w:val="002639"/>
        </w:rPr>
      </w:pPr>
      <w:r w:rsidRPr="00AF2278">
        <w:rPr>
          <w:rFonts w:ascii="Arial" w:hAnsi="Arial" w:cs="Arial"/>
          <w:color w:val="002639"/>
        </w:rPr>
        <w:t>i.</w:t>
      </w:r>
      <w:r w:rsidR="009C2239" w:rsidRPr="00AF2278">
        <w:rPr>
          <w:rFonts w:ascii="Arial" w:hAnsi="Arial" w:cs="Arial"/>
          <w:color w:val="002639"/>
        </w:rPr>
        <w:t xml:space="preserve"> </w:t>
      </w:r>
      <w:r w:rsidRPr="00AF2278">
        <w:rPr>
          <w:rFonts w:ascii="Arial" w:hAnsi="Arial" w:cs="Arial"/>
          <w:color w:val="002639"/>
        </w:rPr>
        <w:t>all relevant legal, professional and ethical standards to which the qualified health practitioner is subject</w:t>
      </w:r>
    </w:p>
    <w:p w14:paraId="4C4CCF57" w14:textId="7E8BA79C" w:rsidR="00A84788" w:rsidRPr="00AF2278" w:rsidRDefault="00A84788" w:rsidP="00D62D2C">
      <w:pPr>
        <w:pStyle w:val="NormalWeb"/>
        <w:spacing w:before="0" w:beforeAutospacing="0" w:after="0" w:afterAutospacing="0"/>
        <w:ind w:left="1080"/>
        <w:rPr>
          <w:rFonts w:ascii="Arial" w:hAnsi="Arial" w:cs="Arial"/>
          <w:color w:val="002639"/>
        </w:rPr>
      </w:pPr>
      <w:r w:rsidRPr="00AF2278">
        <w:rPr>
          <w:rFonts w:ascii="Arial" w:hAnsi="Arial" w:cs="Arial"/>
          <w:color w:val="002639"/>
        </w:rPr>
        <w:t>ii.</w:t>
      </w:r>
      <w:r w:rsidR="0078584C" w:rsidRPr="00AF2278">
        <w:rPr>
          <w:rFonts w:ascii="Arial" w:hAnsi="Arial" w:cs="Arial"/>
          <w:color w:val="002639"/>
        </w:rPr>
        <w:t xml:space="preserve"> </w:t>
      </w:r>
      <w:r w:rsidRPr="00AF2278">
        <w:rPr>
          <w:rFonts w:ascii="Arial" w:hAnsi="Arial" w:cs="Arial"/>
          <w:color w:val="002639"/>
        </w:rPr>
        <w:t>the woman’s: A.</w:t>
      </w:r>
      <w:r w:rsidR="0022436F" w:rsidRPr="00AF2278">
        <w:rPr>
          <w:rFonts w:ascii="Arial" w:hAnsi="Arial" w:cs="Arial"/>
          <w:color w:val="002639"/>
        </w:rPr>
        <w:t xml:space="preserve"> </w:t>
      </w:r>
      <w:r w:rsidRPr="00AF2278">
        <w:rPr>
          <w:rFonts w:ascii="Arial" w:hAnsi="Arial" w:cs="Arial"/>
          <w:color w:val="002639"/>
        </w:rPr>
        <w:t>physical health</w:t>
      </w:r>
    </w:p>
    <w:p w14:paraId="39BB1638" w14:textId="5748C0AE" w:rsidR="00A84788" w:rsidRPr="00AF2278" w:rsidRDefault="003F7123" w:rsidP="00D62D2C">
      <w:pPr>
        <w:pStyle w:val="NormalWeb"/>
        <w:spacing w:before="0" w:beforeAutospacing="0" w:after="0" w:afterAutospacing="0"/>
        <w:ind w:left="2520"/>
        <w:rPr>
          <w:rFonts w:ascii="Arial" w:hAnsi="Arial" w:cs="Arial"/>
          <w:color w:val="002639"/>
        </w:rPr>
      </w:pPr>
      <w:r>
        <w:rPr>
          <w:rFonts w:ascii="Arial" w:hAnsi="Arial" w:cs="Arial"/>
          <w:color w:val="002639"/>
        </w:rPr>
        <w:t xml:space="preserve">   </w:t>
      </w:r>
      <w:r w:rsidR="00681D3F" w:rsidRPr="00AF2278">
        <w:rPr>
          <w:rFonts w:ascii="Arial" w:hAnsi="Arial" w:cs="Arial"/>
          <w:color w:val="002639"/>
        </w:rPr>
        <w:t xml:space="preserve"> </w:t>
      </w:r>
      <w:r w:rsidR="00A84788" w:rsidRPr="00AF2278">
        <w:rPr>
          <w:rFonts w:ascii="Arial" w:hAnsi="Arial" w:cs="Arial"/>
          <w:color w:val="002639"/>
        </w:rPr>
        <w:t>B.</w:t>
      </w:r>
      <w:r w:rsidR="009C2239" w:rsidRPr="00AF2278">
        <w:rPr>
          <w:rFonts w:ascii="Arial" w:hAnsi="Arial" w:cs="Arial"/>
          <w:color w:val="002639"/>
        </w:rPr>
        <w:t xml:space="preserve"> </w:t>
      </w:r>
      <w:r w:rsidR="00A84788" w:rsidRPr="00AF2278">
        <w:rPr>
          <w:rFonts w:ascii="Arial" w:hAnsi="Arial" w:cs="Arial"/>
          <w:color w:val="002639"/>
        </w:rPr>
        <w:t>mental health</w:t>
      </w:r>
    </w:p>
    <w:p w14:paraId="59504579" w14:textId="1D14B84B" w:rsidR="00A84788" w:rsidRPr="00AF2278" w:rsidRDefault="003F7123" w:rsidP="00D62D2C">
      <w:pPr>
        <w:pStyle w:val="NormalWeb"/>
        <w:spacing w:before="0" w:beforeAutospacing="0" w:after="0" w:afterAutospacing="0"/>
        <w:ind w:left="2520"/>
        <w:rPr>
          <w:rFonts w:ascii="Arial" w:hAnsi="Arial" w:cs="Arial"/>
          <w:color w:val="002639"/>
        </w:rPr>
      </w:pPr>
      <w:r>
        <w:rPr>
          <w:rFonts w:ascii="Arial" w:hAnsi="Arial" w:cs="Arial"/>
          <w:color w:val="002639"/>
        </w:rPr>
        <w:t xml:space="preserve">   </w:t>
      </w:r>
      <w:r w:rsidR="00681D3F" w:rsidRPr="00AF2278">
        <w:rPr>
          <w:rFonts w:ascii="Arial" w:hAnsi="Arial" w:cs="Arial"/>
          <w:color w:val="002639"/>
        </w:rPr>
        <w:t xml:space="preserve"> </w:t>
      </w:r>
      <w:r w:rsidR="00A84788" w:rsidRPr="00AF2278">
        <w:rPr>
          <w:rFonts w:ascii="Arial" w:hAnsi="Arial" w:cs="Arial"/>
          <w:color w:val="002639"/>
        </w:rPr>
        <w:t>C.</w:t>
      </w:r>
      <w:r w:rsidR="009C2239" w:rsidRPr="00AF2278">
        <w:rPr>
          <w:rFonts w:ascii="Arial" w:hAnsi="Arial" w:cs="Arial"/>
          <w:color w:val="002639"/>
        </w:rPr>
        <w:t xml:space="preserve"> </w:t>
      </w:r>
      <w:r w:rsidR="00A84788" w:rsidRPr="00AF2278">
        <w:rPr>
          <w:rFonts w:ascii="Arial" w:hAnsi="Arial" w:cs="Arial"/>
          <w:color w:val="002639"/>
        </w:rPr>
        <w:t>overall wellbeing</w:t>
      </w:r>
    </w:p>
    <w:p w14:paraId="6E6ECB37" w14:textId="1C82C11D" w:rsidR="00A84788" w:rsidRPr="00AF2278" w:rsidRDefault="00A84788" w:rsidP="00D62D2C">
      <w:pPr>
        <w:pStyle w:val="NormalWeb"/>
        <w:spacing w:before="0" w:beforeAutospacing="0" w:after="0" w:afterAutospacing="0"/>
        <w:ind w:left="1080"/>
        <w:rPr>
          <w:rFonts w:ascii="Arial" w:hAnsi="Arial" w:cs="Arial"/>
          <w:color w:val="002639"/>
        </w:rPr>
      </w:pPr>
      <w:r w:rsidRPr="00AF2278">
        <w:rPr>
          <w:rFonts w:ascii="Arial" w:hAnsi="Arial" w:cs="Arial"/>
          <w:color w:val="002639"/>
        </w:rPr>
        <w:t>iii.</w:t>
      </w:r>
      <w:r w:rsidR="009C2239" w:rsidRPr="00AF2278">
        <w:rPr>
          <w:rFonts w:ascii="Arial" w:hAnsi="Arial" w:cs="Arial"/>
          <w:color w:val="002639"/>
        </w:rPr>
        <w:t xml:space="preserve"> </w:t>
      </w:r>
      <w:r w:rsidRPr="00AF2278">
        <w:rPr>
          <w:rFonts w:ascii="Arial" w:hAnsi="Arial" w:cs="Arial"/>
          <w:color w:val="002639"/>
        </w:rPr>
        <w:t>the gestational age of the fetus</w:t>
      </w:r>
      <w:r w:rsidR="0078584C" w:rsidRPr="00AF2278">
        <w:rPr>
          <w:rFonts w:ascii="Arial" w:hAnsi="Arial" w:cs="Arial"/>
          <w:color w:val="002639"/>
        </w:rPr>
        <w:t>.</w:t>
      </w:r>
    </w:p>
    <w:p w14:paraId="4F99E2AD" w14:textId="1634E77C" w:rsidR="00A84788" w:rsidRPr="00AF2278" w:rsidRDefault="00A84788" w:rsidP="004E65FA">
      <w:pPr>
        <w:pStyle w:val="NormalWeb"/>
        <w:numPr>
          <w:ilvl w:val="0"/>
          <w:numId w:val="11"/>
        </w:numPr>
        <w:spacing w:before="120" w:beforeAutospacing="0" w:after="0" w:afterAutospacing="0"/>
        <w:rPr>
          <w:rFonts w:ascii="Arial" w:hAnsi="Arial" w:cs="Arial"/>
          <w:color w:val="002639"/>
        </w:rPr>
      </w:pPr>
      <w:r w:rsidRPr="00AF2278">
        <w:rPr>
          <w:rFonts w:ascii="Arial" w:hAnsi="Arial" w:cs="Arial"/>
          <w:color w:val="002639"/>
        </w:rPr>
        <w:t>ensuring that health practitioners advise women of the availability of counselling services if they are considering a</w:t>
      </w:r>
      <w:r w:rsidR="005579AD" w:rsidRPr="00AF2278">
        <w:rPr>
          <w:rFonts w:ascii="Arial" w:hAnsi="Arial" w:cs="Arial"/>
          <w:color w:val="002639"/>
        </w:rPr>
        <w:t xml:space="preserve"> TOP</w:t>
      </w:r>
      <w:r w:rsidRPr="00AF2278">
        <w:rPr>
          <w:rFonts w:ascii="Arial" w:hAnsi="Arial" w:cs="Arial"/>
          <w:color w:val="002639"/>
        </w:rPr>
        <w:t xml:space="preserve"> or have had a</w:t>
      </w:r>
      <w:r w:rsidR="005579AD" w:rsidRPr="00AF2278">
        <w:rPr>
          <w:rFonts w:ascii="Arial" w:hAnsi="Arial" w:cs="Arial"/>
          <w:color w:val="002639"/>
        </w:rPr>
        <w:t xml:space="preserve"> termination</w:t>
      </w:r>
      <w:r w:rsidRPr="00AF2278">
        <w:rPr>
          <w:rFonts w:ascii="Arial" w:hAnsi="Arial" w:cs="Arial"/>
          <w:color w:val="002639"/>
        </w:rPr>
        <w:t xml:space="preserve">, although counselling </w:t>
      </w:r>
      <w:r w:rsidR="00167311" w:rsidRPr="00AF2278">
        <w:rPr>
          <w:rFonts w:ascii="Arial" w:hAnsi="Arial" w:cs="Arial"/>
          <w:color w:val="002639"/>
        </w:rPr>
        <w:t>must</w:t>
      </w:r>
      <w:r w:rsidRPr="00AF2278">
        <w:rPr>
          <w:rFonts w:ascii="Arial" w:hAnsi="Arial" w:cs="Arial"/>
          <w:color w:val="002639"/>
        </w:rPr>
        <w:t xml:space="preserve"> not be mandatory</w:t>
      </w:r>
      <w:r w:rsidR="009C2239" w:rsidRPr="00AF2278">
        <w:rPr>
          <w:rFonts w:ascii="Arial" w:hAnsi="Arial" w:cs="Arial"/>
          <w:color w:val="002639"/>
        </w:rPr>
        <w:t>.</w:t>
      </w:r>
    </w:p>
    <w:p w14:paraId="629C3DFB" w14:textId="494C7E49" w:rsidR="009C2239" w:rsidRPr="00AF2278" w:rsidRDefault="009C2239" w:rsidP="00D62D2C">
      <w:pPr>
        <w:pStyle w:val="NormalWeb"/>
        <w:spacing w:before="120" w:beforeAutospacing="0" w:after="0" w:afterAutospacing="0"/>
        <w:rPr>
          <w:rFonts w:ascii="Arial" w:hAnsi="Arial" w:cs="Arial"/>
          <w:color w:val="002639"/>
        </w:rPr>
      </w:pPr>
      <w:r w:rsidRPr="00AF2278">
        <w:rPr>
          <w:rFonts w:ascii="Arial" w:hAnsi="Arial" w:cs="Arial"/>
          <w:color w:val="002639"/>
        </w:rPr>
        <w:t>For full details please refer to the updated Contraception, Sterilisation, and Abortion Act</w:t>
      </w:r>
      <w:r w:rsidR="00167311" w:rsidRPr="00AF2278">
        <w:rPr>
          <w:rFonts w:ascii="Arial" w:hAnsi="Arial" w:cs="Arial"/>
          <w:color w:val="002639"/>
        </w:rPr>
        <w:t xml:space="preserve"> 1977</w:t>
      </w:r>
      <w:r w:rsidR="00167311" w:rsidRPr="00AF2278">
        <w:rPr>
          <w:rStyle w:val="FootnoteReference"/>
          <w:rFonts w:ascii="Arial" w:hAnsi="Arial"/>
          <w:color w:val="002639"/>
        </w:rPr>
        <w:footnoteReference w:id="5"/>
      </w:r>
      <w:r w:rsidRPr="00AF2278">
        <w:rPr>
          <w:rFonts w:ascii="Arial" w:hAnsi="Arial" w:cs="Arial"/>
          <w:color w:val="002639"/>
        </w:rPr>
        <w:t>.</w:t>
      </w:r>
    </w:p>
    <w:p w14:paraId="7C0AEE26" w14:textId="58BCC698" w:rsidR="00355500" w:rsidRDefault="00F62FDF" w:rsidP="000A0795">
      <w:pPr>
        <w:pStyle w:val="BodyText3"/>
        <w:spacing w:before="120" w:after="0"/>
        <w:rPr>
          <w:rFonts w:cs="Arial"/>
          <w:sz w:val="24"/>
          <w:szCs w:val="24"/>
        </w:rPr>
      </w:pPr>
      <w:r w:rsidRPr="00AF2278">
        <w:rPr>
          <w:sz w:val="24"/>
          <w:szCs w:val="24"/>
        </w:rPr>
        <w:t>I</w:t>
      </w:r>
      <w:r w:rsidR="00511136" w:rsidRPr="00AF2278">
        <w:rPr>
          <w:sz w:val="24"/>
          <w:szCs w:val="24"/>
        </w:rPr>
        <w:t>n</w:t>
      </w:r>
      <w:r w:rsidRPr="00AF2278">
        <w:rPr>
          <w:sz w:val="24"/>
          <w:szCs w:val="24"/>
        </w:rPr>
        <w:t xml:space="preserve"> some regions a woman may have to travel to a </w:t>
      </w:r>
      <w:r w:rsidR="009320FD" w:rsidRPr="00AF2278">
        <w:rPr>
          <w:sz w:val="24"/>
          <w:szCs w:val="24"/>
        </w:rPr>
        <w:t>different DHB</w:t>
      </w:r>
      <w:r w:rsidRPr="00AF2278">
        <w:rPr>
          <w:sz w:val="24"/>
          <w:szCs w:val="24"/>
        </w:rPr>
        <w:t xml:space="preserve"> area to access the </w:t>
      </w:r>
      <w:r w:rsidR="00511136" w:rsidRPr="00AF2278">
        <w:rPr>
          <w:sz w:val="24"/>
          <w:szCs w:val="24"/>
        </w:rPr>
        <w:t xml:space="preserve">TOP </w:t>
      </w:r>
      <w:r w:rsidRPr="00AF2278">
        <w:rPr>
          <w:sz w:val="24"/>
          <w:szCs w:val="24"/>
        </w:rPr>
        <w:t>service</w:t>
      </w:r>
      <w:r w:rsidR="00511136" w:rsidRPr="00B3295D">
        <w:rPr>
          <w:sz w:val="24"/>
          <w:szCs w:val="24"/>
        </w:rPr>
        <w:t xml:space="preserve">. </w:t>
      </w:r>
      <w:r w:rsidR="00511136" w:rsidRPr="005E05EB">
        <w:rPr>
          <w:sz w:val="24"/>
          <w:szCs w:val="24"/>
        </w:rPr>
        <w:t>T</w:t>
      </w:r>
      <w:r w:rsidR="00511136" w:rsidRPr="005E05EB">
        <w:rPr>
          <w:rFonts w:cs="Arial"/>
          <w:sz w:val="24"/>
          <w:szCs w:val="24"/>
        </w:rPr>
        <w:t>he National Travel Assistance Scheme (NTA)</w:t>
      </w:r>
      <w:r w:rsidR="00D62D2C" w:rsidRPr="005E05EB">
        <w:rPr>
          <w:rStyle w:val="FootnoteReference"/>
          <w:sz w:val="24"/>
          <w:szCs w:val="24"/>
        </w:rPr>
        <w:footnoteReference w:id="6"/>
      </w:r>
      <w:r w:rsidR="00B3295D">
        <w:rPr>
          <w:rFonts w:cs="Arial"/>
          <w:sz w:val="24"/>
          <w:szCs w:val="24"/>
        </w:rPr>
        <w:t xml:space="preserve"> </w:t>
      </w:r>
      <w:r w:rsidR="00511136" w:rsidRPr="005E05EB">
        <w:rPr>
          <w:rFonts w:cs="Arial"/>
          <w:sz w:val="24"/>
          <w:szCs w:val="24"/>
        </w:rPr>
        <w:t>applies to females travelling for terminations where the publicly funded secondary and tertiary services are not available locally</w:t>
      </w:r>
      <w:r w:rsidR="00671AC5" w:rsidRPr="005E05EB">
        <w:rPr>
          <w:rFonts w:cs="Arial"/>
          <w:sz w:val="24"/>
          <w:szCs w:val="24"/>
        </w:rPr>
        <w:t xml:space="preserve"> and the woman</w:t>
      </w:r>
      <w:r w:rsidR="00D62D2C" w:rsidRPr="00AF2278">
        <w:rPr>
          <w:rFonts w:cs="Arial"/>
          <w:sz w:val="24"/>
          <w:szCs w:val="24"/>
        </w:rPr>
        <w:t xml:space="preserve"> has been referred by a publicly funded health or disability </w:t>
      </w:r>
      <w:r w:rsidR="0078584C" w:rsidRPr="00AF2278">
        <w:rPr>
          <w:rFonts w:cs="Arial"/>
          <w:sz w:val="24"/>
          <w:szCs w:val="24"/>
        </w:rPr>
        <w:t>specialist.</w:t>
      </w:r>
      <w:r w:rsidR="00AF2278">
        <w:rPr>
          <w:rFonts w:cs="Arial"/>
          <w:sz w:val="24"/>
          <w:szCs w:val="24"/>
        </w:rPr>
        <w:t xml:space="preserve"> </w:t>
      </w:r>
      <w:r w:rsidR="009320FD" w:rsidRPr="00AF2278">
        <w:rPr>
          <w:rFonts w:cs="Arial"/>
          <w:sz w:val="24"/>
          <w:szCs w:val="24"/>
        </w:rPr>
        <w:t>DHBs may also have their own travel schemes that can be used</w:t>
      </w:r>
      <w:r w:rsidR="003D7B09" w:rsidRPr="00AF2278">
        <w:rPr>
          <w:rFonts w:cs="Arial"/>
          <w:sz w:val="24"/>
          <w:szCs w:val="24"/>
        </w:rPr>
        <w:t>.</w:t>
      </w:r>
    </w:p>
    <w:p w14:paraId="70B73CC1" w14:textId="491D88E9" w:rsidR="00243374" w:rsidRPr="00243374" w:rsidRDefault="00243374" w:rsidP="00243374">
      <w:pPr>
        <w:spacing w:before="120"/>
        <w:rPr>
          <w:szCs w:val="24"/>
        </w:rPr>
      </w:pPr>
      <w:r>
        <w:rPr>
          <w:szCs w:val="24"/>
        </w:rPr>
        <w:t xml:space="preserve">Information on </w:t>
      </w:r>
      <w:r w:rsidRPr="00243374">
        <w:rPr>
          <w:szCs w:val="24"/>
        </w:rPr>
        <w:t>termination of pregnancy service provider locations</w:t>
      </w:r>
      <w:r>
        <w:rPr>
          <w:rStyle w:val="FootnoteReference"/>
          <w:szCs w:val="24"/>
        </w:rPr>
        <w:footnoteReference w:id="7"/>
      </w:r>
      <w:r>
        <w:rPr>
          <w:szCs w:val="24"/>
        </w:rPr>
        <w:t xml:space="preserve">, decision making support and cost is available on the Ministry of Health website. </w:t>
      </w:r>
    </w:p>
    <w:p w14:paraId="4A5F32CC" w14:textId="77777777" w:rsidR="00355500" w:rsidRPr="002A404C" w:rsidRDefault="00355500" w:rsidP="00533EC9">
      <w:pPr>
        <w:pStyle w:val="Heading1"/>
      </w:pPr>
      <w:r w:rsidRPr="005F17F4">
        <w:lastRenderedPageBreak/>
        <w:t>Service</w:t>
      </w:r>
      <w:r w:rsidRPr="002A404C">
        <w:t xml:space="preserve"> </w:t>
      </w:r>
      <w:r w:rsidRPr="00DF24E0">
        <w:t>Components</w:t>
      </w:r>
    </w:p>
    <w:p w14:paraId="412C93DA" w14:textId="77777777" w:rsidR="00355500" w:rsidRPr="00A2649E" w:rsidRDefault="00533EC9" w:rsidP="008023B2">
      <w:pPr>
        <w:pStyle w:val="Heading2"/>
        <w:rPr>
          <w:i/>
        </w:rPr>
      </w:pPr>
      <w:r>
        <w:t>6.1</w:t>
      </w:r>
      <w:r>
        <w:tab/>
      </w:r>
      <w:r w:rsidR="00355500" w:rsidRPr="00DF24E0">
        <w:t>Processes</w:t>
      </w:r>
    </w:p>
    <w:p w14:paraId="6630E091" w14:textId="2A448118" w:rsidR="00355500" w:rsidRDefault="00355500" w:rsidP="00057206">
      <w:pPr>
        <w:spacing w:before="120"/>
        <w:rPr>
          <w:rFonts w:cs="Arial"/>
        </w:rPr>
      </w:pPr>
      <w:r>
        <w:rPr>
          <w:rFonts w:cs="Arial"/>
        </w:rPr>
        <w:t xml:space="preserve">The care of an individual and their family by a gynaecological service involves a complex sequence of relationships and events. The level of intervention will be dependent on the individual’s clinical condition and their desire for treatment, and the qualifications/training and experience of the clinical staff, and the level of clinical support. </w:t>
      </w:r>
    </w:p>
    <w:p w14:paraId="7C241ABA" w14:textId="77777777" w:rsidR="00E52A07" w:rsidRDefault="00E52A07" w:rsidP="00057206">
      <w:pPr>
        <w:spacing w:before="120"/>
        <w:rPr>
          <w:rFonts w:cs="Arial"/>
        </w:rPr>
      </w:pPr>
      <w:r>
        <w:rPr>
          <w:rFonts w:cs="Arial"/>
        </w:rPr>
        <w:t>The key components of the Service are:</w:t>
      </w:r>
    </w:p>
    <w:p w14:paraId="10223BAC" w14:textId="77777777" w:rsidR="00355500" w:rsidRPr="00BA3E74" w:rsidRDefault="00BA3E74" w:rsidP="00263A11">
      <w:pPr>
        <w:spacing w:before="120" w:after="120" w:line="276" w:lineRule="auto"/>
        <w:ind w:left="720"/>
        <w:rPr>
          <w:b/>
        </w:rPr>
      </w:pPr>
      <w:r w:rsidRPr="000A0795">
        <w:rPr>
          <w:rFonts w:cs="Arial"/>
          <w:b/>
          <w:szCs w:val="24"/>
          <w:lang w:val="en-US"/>
        </w:rPr>
        <w:t>6.1.1</w:t>
      </w:r>
      <w:r w:rsidRPr="000A0795">
        <w:rPr>
          <w:rFonts w:cs="Arial"/>
          <w:b/>
          <w:szCs w:val="24"/>
          <w:lang w:val="en-US"/>
        </w:rPr>
        <w:tab/>
      </w:r>
      <w:r w:rsidR="00355500" w:rsidRPr="00BA3E74">
        <w:rPr>
          <w:b/>
        </w:rPr>
        <w:t>Assessment</w:t>
      </w:r>
      <w:r w:rsidR="00E52A07" w:rsidRPr="00BA3E74">
        <w:rPr>
          <w:b/>
        </w:rPr>
        <w:t>,</w:t>
      </w:r>
      <w:r w:rsidR="00355500" w:rsidRPr="00BA3E74">
        <w:rPr>
          <w:b/>
        </w:rPr>
        <w:t xml:space="preserve"> </w:t>
      </w:r>
      <w:r w:rsidR="00E52A07" w:rsidRPr="00BA3E74">
        <w:rPr>
          <w:b/>
        </w:rPr>
        <w:t xml:space="preserve">Diagnosis </w:t>
      </w:r>
      <w:r w:rsidR="00355500" w:rsidRPr="00BA3E74">
        <w:rPr>
          <w:b/>
        </w:rPr>
        <w:t>and Treatment</w:t>
      </w:r>
    </w:p>
    <w:p w14:paraId="0C57F0C2" w14:textId="77777777" w:rsidR="00355500" w:rsidRPr="002A404C" w:rsidRDefault="00355500" w:rsidP="00533EC9">
      <w:pPr>
        <w:spacing w:after="120"/>
        <w:ind w:left="720"/>
        <w:jc w:val="both"/>
        <w:rPr>
          <w:rFonts w:cs="Arial"/>
        </w:rPr>
      </w:pPr>
      <w:r w:rsidRPr="002A404C">
        <w:rPr>
          <w:rFonts w:cs="Arial"/>
        </w:rPr>
        <w:t>The Service is responsible for:</w:t>
      </w:r>
    </w:p>
    <w:p w14:paraId="24BBE997" w14:textId="77777777" w:rsidR="00967D78" w:rsidRPr="005F17F4" w:rsidRDefault="00E52A07" w:rsidP="00263A11">
      <w:pPr>
        <w:pStyle w:val="ListParagraph"/>
        <w:spacing w:before="0"/>
        <w:ind w:left="1287" w:hanging="567"/>
      </w:pPr>
      <w:r>
        <w:t xml:space="preserve">assessment, diagnosis, </w:t>
      </w:r>
      <w:r w:rsidR="00967D78" w:rsidRPr="005F17F4">
        <w:t>appropriate treatment and follow up of all Service Users undergoing treatment in line with accepted standards of clinical practice</w:t>
      </w:r>
    </w:p>
    <w:p w14:paraId="57FD18A6" w14:textId="77777777" w:rsidR="00355500" w:rsidRDefault="00355500" w:rsidP="00263A11">
      <w:pPr>
        <w:pStyle w:val="ListParagraph"/>
        <w:ind w:left="1287" w:hanging="567"/>
      </w:pPr>
      <w:r w:rsidRPr="005F17F4">
        <w:t>provision of appropriate after hours care to Service Users undergoing day surgery, including arrangements for re-admission where required</w:t>
      </w:r>
    </w:p>
    <w:p w14:paraId="23A78D7F" w14:textId="77777777" w:rsidR="00967D78" w:rsidRDefault="00967D78" w:rsidP="00263A11">
      <w:pPr>
        <w:pStyle w:val="ListParagraph"/>
        <w:ind w:left="1287" w:hanging="567"/>
      </w:pPr>
      <w:r w:rsidRPr="005F17F4">
        <w:t>follow up, re-admission and treatment of all Service Users in whom complications arise in the course of treatment by the Service (this may include appropriate referral to more intensive levels of care)</w:t>
      </w:r>
    </w:p>
    <w:p w14:paraId="6DEBF7E8" w14:textId="77777777" w:rsidR="00E52A07" w:rsidRPr="00E52A07" w:rsidRDefault="00E52A07" w:rsidP="00263A11">
      <w:pPr>
        <w:pStyle w:val="ListParagraph"/>
        <w:ind w:left="1287" w:hanging="567"/>
      </w:pPr>
      <w:r w:rsidRPr="00E52A07">
        <w:t xml:space="preserve">discharge planning including handover to the Service User’s </w:t>
      </w:r>
      <w:r w:rsidR="00533EC9">
        <w:t>g</w:t>
      </w:r>
      <w:r w:rsidRPr="00E52A07">
        <w:t xml:space="preserve">eneral </w:t>
      </w:r>
      <w:r w:rsidR="00533EC9">
        <w:t>p</w:t>
      </w:r>
      <w:r w:rsidRPr="00E52A07">
        <w:t>ractitioner (GP) or primary health care provider</w:t>
      </w:r>
    </w:p>
    <w:p w14:paraId="10927705" w14:textId="77777777" w:rsidR="00E52A07" w:rsidRPr="00E52A07" w:rsidRDefault="00E52A07" w:rsidP="00263A11">
      <w:pPr>
        <w:pStyle w:val="ListParagraph"/>
        <w:ind w:left="1287" w:hanging="567"/>
      </w:pPr>
      <w:r w:rsidRPr="00E52A07">
        <w:t>counselling services.</w:t>
      </w:r>
    </w:p>
    <w:p w14:paraId="5DECB87B" w14:textId="77777777" w:rsidR="00E52A07" w:rsidRDefault="00BA3E74" w:rsidP="00263A11">
      <w:pPr>
        <w:spacing w:before="120"/>
        <w:ind w:left="720"/>
        <w:rPr>
          <w:b/>
        </w:rPr>
      </w:pPr>
      <w:r>
        <w:rPr>
          <w:b/>
        </w:rPr>
        <w:t>6.1.2</w:t>
      </w:r>
      <w:r>
        <w:rPr>
          <w:b/>
        </w:rPr>
        <w:tab/>
      </w:r>
      <w:r w:rsidR="00E52A07" w:rsidRPr="00E52A07">
        <w:rPr>
          <w:b/>
        </w:rPr>
        <w:t>Education and Information</w:t>
      </w:r>
    </w:p>
    <w:p w14:paraId="5D6E3354" w14:textId="77777777" w:rsidR="00896CF1" w:rsidRPr="00263A11" w:rsidRDefault="00896CF1" w:rsidP="00263A11">
      <w:pPr>
        <w:spacing w:before="120"/>
        <w:ind w:left="720"/>
      </w:pPr>
      <w:r w:rsidRPr="00263A11">
        <w:t>The Service is responsible for:</w:t>
      </w:r>
    </w:p>
    <w:p w14:paraId="67B405E3" w14:textId="77777777" w:rsidR="00E52A07" w:rsidRDefault="00E52A07" w:rsidP="00B06AB5">
      <w:pPr>
        <w:pStyle w:val="ListParagraph"/>
        <w:ind w:left="1276" w:hanging="567"/>
      </w:pPr>
      <w:r>
        <w:t>providing opinion and assistance to primary health care providers in managing their patients with gynaecological conditions</w:t>
      </w:r>
      <w:r w:rsidR="009972E0">
        <w:t>,</w:t>
      </w:r>
      <w:r w:rsidR="009972E0" w:rsidRPr="009972E0">
        <w:t xml:space="preserve"> including informing women of the NCSP</w:t>
      </w:r>
    </w:p>
    <w:p w14:paraId="0052D6A5" w14:textId="77777777" w:rsidR="00051DB7" w:rsidRDefault="00E52A07" w:rsidP="00263A11">
      <w:pPr>
        <w:pStyle w:val="ListParagraph"/>
        <w:ind w:left="1287" w:hanging="567"/>
      </w:pPr>
      <w:r>
        <w:t xml:space="preserve">provision of written information about the </w:t>
      </w:r>
      <w:r w:rsidR="00051DB7">
        <w:t>S</w:t>
      </w:r>
      <w:r>
        <w:t>ervice to Services Users and referrers</w:t>
      </w:r>
    </w:p>
    <w:p w14:paraId="51A5C623" w14:textId="330F84F6" w:rsidR="009C2239" w:rsidRDefault="00E52A07" w:rsidP="007F487D">
      <w:pPr>
        <w:pStyle w:val="ListParagraph"/>
        <w:ind w:left="1276" w:hanging="567"/>
      </w:pPr>
      <w:r>
        <w:t>referral to another speciality for an opinion and/or (shared) management of the Service User</w:t>
      </w:r>
    </w:p>
    <w:p w14:paraId="4C2EDD0D" w14:textId="77777777" w:rsidR="004E65FA" w:rsidRPr="00B3295D" w:rsidRDefault="004E65FA" w:rsidP="004E65FA">
      <w:pPr>
        <w:pStyle w:val="ListParagraph"/>
        <w:ind w:left="1276" w:hanging="567"/>
      </w:pPr>
      <w:r w:rsidRPr="00B3295D">
        <w:t>compliance with the requirements of the Contraception, Sterilisation and Abortion Act (CSA Act) 1977 in relation to conscientious objection</w:t>
      </w:r>
    </w:p>
    <w:p w14:paraId="3CE31975" w14:textId="77777777" w:rsidR="004E65FA" w:rsidRPr="00B3295D" w:rsidRDefault="004E65FA" w:rsidP="004E65FA">
      <w:pPr>
        <w:pStyle w:val="ListParagraph"/>
        <w:ind w:left="1276" w:hanging="567"/>
      </w:pPr>
      <w:r w:rsidRPr="00B3295D">
        <w:t>ensuring that they have processes in place to ensure (to the extent practicable) that people seeking or considering abortion and sterilisation services are not put in the position of seeking advice or information from staff who have a conscientious objection to providing those services.</w:t>
      </w:r>
    </w:p>
    <w:p w14:paraId="598A20F2" w14:textId="77777777" w:rsidR="00355500" w:rsidRPr="003C287F" w:rsidRDefault="00BA3E74" w:rsidP="00B5460F">
      <w:pPr>
        <w:spacing w:before="120"/>
        <w:rPr>
          <w:b/>
        </w:rPr>
      </w:pPr>
      <w:bookmarkStart w:id="10" w:name="_Hlk38635114"/>
      <w:r w:rsidRPr="003C287F">
        <w:rPr>
          <w:b/>
        </w:rPr>
        <w:t>6.1.3</w:t>
      </w:r>
      <w:r w:rsidRPr="003C287F">
        <w:rPr>
          <w:b/>
        </w:rPr>
        <w:tab/>
      </w:r>
      <w:r w:rsidR="00355500" w:rsidRPr="003C287F">
        <w:rPr>
          <w:b/>
        </w:rPr>
        <w:t xml:space="preserve">Health Promotion and Disease </w:t>
      </w:r>
      <w:r w:rsidR="00F5039E" w:rsidRPr="003C287F">
        <w:rPr>
          <w:b/>
        </w:rPr>
        <w:t>P</w:t>
      </w:r>
      <w:r w:rsidR="00355500" w:rsidRPr="003C287F">
        <w:rPr>
          <w:b/>
        </w:rPr>
        <w:t>revention</w:t>
      </w:r>
    </w:p>
    <w:bookmarkEnd w:id="10"/>
    <w:p w14:paraId="231ED94B" w14:textId="77777777" w:rsidR="00896CF1" w:rsidRPr="00896CF1" w:rsidRDefault="00896CF1" w:rsidP="00533EC9">
      <w:pPr>
        <w:spacing w:before="120" w:after="120"/>
        <w:ind w:left="720"/>
      </w:pPr>
      <w:r w:rsidRPr="00896CF1">
        <w:t>The Service is responsible for:</w:t>
      </w:r>
    </w:p>
    <w:p w14:paraId="7182C74B" w14:textId="77777777" w:rsidR="00355500" w:rsidRPr="005F17F4" w:rsidRDefault="00355500" w:rsidP="00263A11">
      <w:pPr>
        <w:pStyle w:val="ListParagraph"/>
        <w:spacing w:before="0"/>
        <w:ind w:left="1287" w:hanging="567"/>
      </w:pPr>
      <w:r w:rsidRPr="005F17F4">
        <w:t xml:space="preserve">education and counselling of </w:t>
      </w:r>
      <w:r w:rsidR="00B21EFC">
        <w:t>Service Users</w:t>
      </w:r>
      <w:r w:rsidR="00B21EFC" w:rsidRPr="005F17F4">
        <w:t xml:space="preserve"> </w:t>
      </w:r>
      <w:r w:rsidRPr="005F17F4">
        <w:t>and/or caregiver concerning:</w:t>
      </w:r>
    </w:p>
    <w:p w14:paraId="4124792A" w14:textId="77777777" w:rsidR="00355500" w:rsidRDefault="00355500" w:rsidP="0078584C">
      <w:pPr>
        <w:pStyle w:val="ListParagraph"/>
        <w:numPr>
          <w:ilvl w:val="1"/>
          <w:numId w:val="7"/>
        </w:numPr>
        <w:ind w:left="1701" w:hanging="567"/>
      </w:pPr>
      <w:r>
        <w:t>condition</w:t>
      </w:r>
    </w:p>
    <w:p w14:paraId="2F490FE8" w14:textId="77777777" w:rsidR="00355500" w:rsidRPr="005F17F4" w:rsidRDefault="00355500" w:rsidP="0078584C">
      <w:pPr>
        <w:pStyle w:val="ListParagraph"/>
        <w:numPr>
          <w:ilvl w:val="1"/>
          <w:numId w:val="7"/>
        </w:numPr>
        <w:ind w:left="1701" w:hanging="567"/>
      </w:pPr>
      <w:r w:rsidRPr="005F17F4">
        <w:t>specific health education</w:t>
      </w:r>
    </w:p>
    <w:p w14:paraId="20F41458" w14:textId="77777777" w:rsidR="00355500" w:rsidRPr="005F17F4" w:rsidRDefault="00355500" w:rsidP="0078584C">
      <w:pPr>
        <w:pStyle w:val="ListParagraph"/>
        <w:numPr>
          <w:ilvl w:val="1"/>
          <w:numId w:val="7"/>
        </w:numPr>
        <w:ind w:left="1701" w:hanging="567"/>
      </w:pPr>
      <w:r w:rsidRPr="005F17F4">
        <w:t xml:space="preserve">reducing the possibility of recurrence of acute conditions </w:t>
      </w:r>
    </w:p>
    <w:p w14:paraId="4EBD3E5F" w14:textId="77777777" w:rsidR="00355500" w:rsidRPr="005F17F4" w:rsidRDefault="00355500" w:rsidP="0078584C">
      <w:pPr>
        <w:pStyle w:val="ListParagraph"/>
        <w:numPr>
          <w:ilvl w:val="1"/>
          <w:numId w:val="7"/>
        </w:numPr>
        <w:ind w:left="1701" w:hanging="567"/>
      </w:pPr>
      <w:r w:rsidRPr="005F17F4">
        <w:t xml:space="preserve">acceptance and management of chronic conditions including the efficient and appropriate use of medicines and equipment </w:t>
      </w:r>
    </w:p>
    <w:p w14:paraId="4D0EAA83" w14:textId="77777777" w:rsidR="00355500" w:rsidRPr="005F17F4" w:rsidRDefault="00355500" w:rsidP="0078584C">
      <w:pPr>
        <w:pStyle w:val="ListParagraph"/>
        <w:numPr>
          <w:ilvl w:val="1"/>
          <w:numId w:val="7"/>
        </w:numPr>
        <w:ind w:left="1701" w:hanging="567"/>
      </w:pPr>
      <w:r w:rsidRPr="005F17F4">
        <w:t>self-care and self-management</w:t>
      </w:r>
    </w:p>
    <w:p w14:paraId="46B041ED" w14:textId="77777777" w:rsidR="00355500" w:rsidRPr="005F17F4" w:rsidRDefault="00355500" w:rsidP="0078584C">
      <w:pPr>
        <w:pStyle w:val="ListParagraph"/>
        <w:numPr>
          <w:ilvl w:val="1"/>
          <w:numId w:val="7"/>
        </w:numPr>
        <w:ind w:left="1701" w:hanging="567"/>
      </w:pPr>
      <w:r w:rsidRPr="005F17F4">
        <w:t>prevention of further deterioration</w:t>
      </w:r>
    </w:p>
    <w:p w14:paraId="72DDEEDF" w14:textId="77777777" w:rsidR="00355500" w:rsidRPr="005F17F4" w:rsidRDefault="00355500" w:rsidP="0078584C">
      <w:pPr>
        <w:pStyle w:val="ListParagraph"/>
        <w:numPr>
          <w:ilvl w:val="1"/>
          <w:numId w:val="7"/>
        </w:numPr>
        <w:ind w:left="1701" w:hanging="567"/>
      </w:pPr>
      <w:r w:rsidRPr="005F17F4">
        <w:t xml:space="preserve">personal remedial action related to lifestyle risk factors </w:t>
      </w:r>
      <w:r>
        <w:t>(</w:t>
      </w:r>
      <w:r w:rsidR="002047A7" w:rsidRPr="005F17F4">
        <w:t>eg</w:t>
      </w:r>
      <w:r w:rsidRPr="005F17F4">
        <w:t xml:space="preserve"> </w:t>
      </w:r>
      <w:r w:rsidR="00B7649B">
        <w:t>stopping smoking</w:t>
      </w:r>
      <w:r w:rsidRPr="005F17F4">
        <w:t>, weight control</w:t>
      </w:r>
      <w:r w:rsidR="00967D78">
        <w:t xml:space="preserve"> advice</w:t>
      </w:r>
      <w:r>
        <w:t>)</w:t>
      </w:r>
    </w:p>
    <w:p w14:paraId="4721CFAE" w14:textId="107CC7FA" w:rsidR="00BA3E74" w:rsidRDefault="00F5039E" w:rsidP="0078584C">
      <w:pPr>
        <w:pStyle w:val="ListParagraph"/>
        <w:numPr>
          <w:ilvl w:val="1"/>
          <w:numId w:val="7"/>
        </w:numPr>
        <w:spacing w:after="240"/>
        <w:ind w:left="1701" w:hanging="567"/>
      </w:pPr>
      <w:r>
        <w:t xml:space="preserve">informing and educating women on HPV and </w:t>
      </w:r>
      <w:r w:rsidR="00355500" w:rsidRPr="005F17F4">
        <w:t xml:space="preserve">screening for </w:t>
      </w:r>
      <w:r w:rsidR="00967D78">
        <w:t>prevention of treatable</w:t>
      </w:r>
      <w:r w:rsidR="00355500" w:rsidRPr="005F17F4">
        <w:t xml:space="preserve"> disease</w:t>
      </w:r>
      <w:r>
        <w:t xml:space="preserve"> including </w:t>
      </w:r>
      <w:r w:rsidR="00E901E5">
        <w:t xml:space="preserve">the </w:t>
      </w:r>
      <w:r>
        <w:t>NCSP</w:t>
      </w:r>
    </w:p>
    <w:p w14:paraId="1CB46326" w14:textId="66FF9EC3" w:rsidR="00B5460F" w:rsidRDefault="00B5460F" w:rsidP="0078584C">
      <w:pPr>
        <w:pStyle w:val="ListParagraph"/>
        <w:numPr>
          <w:ilvl w:val="1"/>
          <w:numId w:val="7"/>
        </w:numPr>
        <w:spacing w:after="240"/>
        <w:ind w:left="1701" w:hanging="567"/>
      </w:pPr>
      <w:r>
        <w:t>providing contraception and advice (as part of termination of pregnancy services)</w:t>
      </w:r>
    </w:p>
    <w:p w14:paraId="77292AFD" w14:textId="77777777" w:rsidR="00355500" w:rsidRPr="005F17F4" w:rsidRDefault="00355500" w:rsidP="00533EC9">
      <w:pPr>
        <w:pStyle w:val="ListParagraph"/>
        <w:ind w:left="1276" w:hanging="567"/>
      </w:pPr>
      <w:r w:rsidRPr="005F17F4">
        <w:lastRenderedPageBreak/>
        <w:t>communicable disease control activities, including:</w:t>
      </w:r>
    </w:p>
    <w:p w14:paraId="01631184" w14:textId="77777777" w:rsidR="00967D78" w:rsidRDefault="00967D78" w:rsidP="0078584C">
      <w:pPr>
        <w:pStyle w:val="ListParagraph"/>
        <w:numPr>
          <w:ilvl w:val="0"/>
          <w:numId w:val="8"/>
        </w:numPr>
        <w:tabs>
          <w:tab w:val="left" w:pos="1134"/>
        </w:tabs>
        <w:spacing w:before="240"/>
        <w:ind w:left="1701"/>
      </w:pPr>
      <w:r>
        <w:t xml:space="preserve">report communicable diseases as required by the </w:t>
      </w:r>
      <w:r w:rsidR="00355500" w:rsidRPr="005F17F4">
        <w:t>Medical Officer of Health</w:t>
      </w:r>
    </w:p>
    <w:p w14:paraId="50A3B41E" w14:textId="77777777" w:rsidR="00C813F5" w:rsidRDefault="00967D78" w:rsidP="0078584C">
      <w:pPr>
        <w:pStyle w:val="ListParagraph"/>
        <w:numPr>
          <w:ilvl w:val="0"/>
          <w:numId w:val="8"/>
        </w:numPr>
        <w:tabs>
          <w:tab w:val="left" w:pos="1134"/>
        </w:tabs>
        <w:ind w:left="1701"/>
      </w:pPr>
      <w:r>
        <w:t>contact tracing and treatment of likely affected/infected sexual contacts</w:t>
      </w:r>
    </w:p>
    <w:p w14:paraId="3341C176" w14:textId="77777777" w:rsidR="00355500" w:rsidRPr="005F17F4" w:rsidRDefault="00967D78" w:rsidP="0078584C">
      <w:pPr>
        <w:pStyle w:val="ListParagraph"/>
        <w:numPr>
          <w:ilvl w:val="0"/>
          <w:numId w:val="8"/>
        </w:numPr>
        <w:tabs>
          <w:tab w:val="left" w:pos="1134"/>
        </w:tabs>
        <w:ind w:left="1701"/>
      </w:pPr>
      <w:r>
        <w:t xml:space="preserve">infectious disease </w:t>
      </w:r>
      <w:r w:rsidR="00355500" w:rsidRPr="005F17F4">
        <w:t>measures</w:t>
      </w:r>
      <w:r w:rsidR="00993A34">
        <w:t>,</w:t>
      </w:r>
      <w:r>
        <w:t xml:space="preserve"> including but not limited to</w:t>
      </w:r>
      <w:r w:rsidR="00993A34">
        <w:t>,</w:t>
      </w:r>
      <w:r>
        <w:t xml:space="preserve"> patient isolation. </w:t>
      </w:r>
    </w:p>
    <w:p w14:paraId="7CA793A5" w14:textId="77777777" w:rsidR="00355500" w:rsidRPr="00A2649E" w:rsidRDefault="00533EC9" w:rsidP="008023B2">
      <w:pPr>
        <w:pStyle w:val="Heading2"/>
      </w:pPr>
      <w:r>
        <w:t>6.2</w:t>
      </w:r>
      <w:r>
        <w:tab/>
      </w:r>
      <w:r w:rsidR="00E52A07" w:rsidRPr="00A2649E">
        <w:t xml:space="preserve">Service </w:t>
      </w:r>
      <w:r w:rsidR="00355500" w:rsidRPr="00A2649E">
        <w:t xml:space="preserve">Specific </w:t>
      </w:r>
      <w:r w:rsidR="00355500" w:rsidRPr="00DF24E0">
        <w:t>Deliverables</w:t>
      </w:r>
    </w:p>
    <w:p w14:paraId="43D82198" w14:textId="77777777" w:rsidR="00355500" w:rsidRPr="00636DD5" w:rsidRDefault="00355500" w:rsidP="00F27B1A">
      <w:pPr>
        <w:spacing w:before="120"/>
        <w:rPr>
          <w:rFonts w:cs="Arial"/>
          <w:b/>
        </w:rPr>
      </w:pPr>
      <w:r w:rsidRPr="00636DD5">
        <w:rPr>
          <w:rFonts w:cs="Arial"/>
        </w:rPr>
        <w:t xml:space="preserve">The level of the Service varies according to the Service User’s clinical condition, the qualification/training of medical/surgical staff, and the level of clinical support available.  </w:t>
      </w:r>
    </w:p>
    <w:p w14:paraId="558D9969" w14:textId="77777777" w:rsidR="00355500" w:rsidRDefault="00355500" w:rsidP="000E3394">
      <w:pPr>
        <w:spacing w:before="120" w:after="120"/>
        <w:jc w:val="both"/>
        <w:rPr>
          <w:rFonts w:cs="Arial"/>
        </w:rPr>
      </w:pPr>
      <w:r>
        <w:rPr>
          <w:rFonts w:cs="Arial"/>
        </w:rPr>
        <w:t>T</w:t>
      </w:r>
      <w:r w:rsidRPr="002B6D07">
        <w:rPr>
          <w:rFonts w:cs="Arial"/>
        </w:rPr>
        <w:t xml:space="preserve">he Service </w:t>
      </w:r>
      <w:r>
        <w:rPr>
          <w:rFonts w:cs="Arial"/>
        </w:rPr>
        <w:t>in</w:t>
      </w:r>
      <w:r w:rsidRPr="002B6D07">
        <w:rPr>
          <w:rFonts w:cs="Arial"/>
        </w:rPr>
        <w:t>clude</w:t>
      </w:r>
      <w:r>
        <w:rPr>
          <w:rFonts w:cs="Arial"/>
        </w:rPr>
        <w:t>s:</w:t>
      </w:r>
    </w:p>
    <w:p w14:paraId="34433F24" w14:textId="77777777" w:rsidR="00355500" w:rsidRPr="005F17F4" w:rsidRDefault="00355500" w:rsidP="00DF24E0">
      <w:pPr>
        <w:pStyle w:val="ListParagraph"/>
        <w:spacing w:before="0"/>
        <w:ind w:hanging="567"/>
      </w:pPr>
      <w:r>
        <w:t>g</w:t>
      </w:r>
      <w:r w:rsidRPr="005F17F4">
        <w:t>ynaecological surgery</w:t>
      </w:r>
    </w:p>
    <w:p w14:paraId="12DA146F" w14:textId="77777777" w:rsidR="00EB3253" w:rsidRPr="00EB3253" w:rsidRDefault="00EB3253" w:rsidP="00EB3253">
      <w:pPr>
        <w:pStyle w:val="ListParagraph"/>
        <w:ind w:hanging="567"/>
      </w:pPr>
      <w:r w:rsidRPr="00EB3253">
        <w:t>management of menstrual disorders</w:t>
      </w:r>
    </w:p>
    <w:p w14:paraId="534E9D52" w14:textId="77777777" w:rsidR="00355500" w:rsidRPr="005F17F4" w:rsidRDefault="00355500" w:rsidP="000A09E5">
      <w:pPr>
        <w:pStyle w:val="ListParagraph"/>
        <w:ind w:hanging="567"/>
      </w:pPr>
      <w:r>
        <w:t>e</w:t>
      </w:r>
      <w:r w:rsidRPr="005F17F4">
        <w:t>ndometriosis / pelvic pain services</w:t>
      </w:r>
    </w:p>
    <w:p w14:paraId="09F63912" w14:textId="77777777" w:rsidR="00355500" w:rsidRPr="005F17F4" w:rsidRDefault="00355500" w:rsidP="000A09E5">
      <w:pPr>
        <w:pStyle w:val="ListParagraph"/>
        <w:ind w:hanging="567"/>
      </w:pPr>
      <w:r>
        <w:t>m</w:t>
      </w:r>
      <w:r w:rsidRPr="005F17F4">
        <w:t>anagement of complications in early pregnancy</w:t>
      </w:r>
    </w:p>
    <w:p w14:paraId="45F818B1" w14:textId="77777777" w:rsidR="00355500" w:rsidRDefault="00355500" w:rsidP="000A09E5">
      <w:pPr>
        <w:pStyle w:val="ListParagraph"/>
        <w:ind w:hanging="567"/>
      </w:pPr>
      <w:r>
        <w:t>b</w:t>
      </w:r>
      <w:r w:rsidRPr="005F17F4">
        <w:t>asic fertility investigation and interpretation</w:t>
      </w:r>
    </w:p>
    <w:p w14:paraId="59D81E22" w14:textId="77777777" w:rsidR="00CC70F4" w:rsidRPr="00993A34" w:rsidRDefault="00EB3253" w:rsidP="00EB3253">
      <w:pPr>
        <w:pStyle w:val="ListParagraph"/>
        <w:ind w:hanging="567"/>
        <w:rPr>
          <w:rFonts w:cs="Arial"/>
        </w:rPr>
      </w:pPr>
      <w:r w:rsidRPr="00DF24E0">
        <w:t>adjuvant urological services</w:t>
      </w:r>
      <w:r w:rsidR="00993A34">
        <w:t>.</w:t>
      </w:r>
    </w:p>
    <w:p w14:paraId="5308E467" w14:textId="77777777" w:rsidR="00355500" w:rsidRDefault="00355500" w:rsidP="0020598D">
      <w:pPr>
        <w:spacing w:before="120"/>
        <w:jc w:val="both"/>
        <w:rPr>
          <w:rFonts w:cs="Arial"/>
        </w:rPr>
      </w:pPr>
      <w:r>
        <w:rPr>
          <w:rFonts w:cs="Arial"/>
        </w:rPr>
        <w:t>T</w:t>
      </w:r>
      <w:r w:rsidRPr="002B6D07">
        <w:rPr>
          <w:rFonts w:cs="Arial"/>
        </w:rPr>
        <w:t>he Service may include</w:t>
      </w:r>
      <w:r>
        <w:rPr>
          <w:rFonts w:cs="Arial"/>
        </w:rPr>
        <w:t>,</w:t>
      </w:r>
      <w:r w:rsidRPr="002B6D07">
        <w:rPr>
          <w:rFonts w:cs="Arial"/>
        </w:rPr>
        <w:t xml:space="preserve"> </w:t>
      </w:r>
      <w:r>
        <w:rPr>
          <w:rFonts w:cs="Arial"/>
        </w:rPr>
        <w:t xml:space="preserve">and / </w:t>
      </w:r>
      <w:r w:rsidRPr="002B6D07">
        <w:rPr>
          <w:rFonts w:cs="Arial"/>
        </w:rPr>
        <w:t xml:space="preserve">or be </w:t>
      </w:r>
      <w:r>
        <w:rPr>
          <w:rFonts w:cs="Arial"/>
        </w:rPr>
        <w:t>linked to other providers of,</w:t>
      </w:r>
      <w:r w:rsidRPr="002B6D07">
        <w:rPr>
          <w:rFonts w:cs="Arial"/>
        </w:rPr>
        <w:t xml:space="preserve"> the following services:</w:t>
      </w:r>
    </w:p>
    <w:p w14:paraId="172F2C65" w14:textId="77777777" w:rsidR="00355500" w:rsidRPr="005F17F4" w:rsidRDefault="00355500" w:rsidP="000E3394">
      <w:pPr>
        <w:pStyle w:val="ListParagraph"/>
        <w:ind w:hanging="567"/>
      </w:pPr>
      <w:r w:rsidRPr="005F17F4">
        <w:t>Family Planning Service</w:t>
      </w:r>
    </w:p>
    <w:p w14:paraId="07C6E487" w14:textId="77777777" w:rsidR="00355500" w:rsidRPr="005F17F4" w:rsidRDefault="00E52A07" w:rsidP="00EB3253">
      <w:pPr>
        <w:pStyle w:val="ListParagraph"/>
        <w:ind w:hanging="567"/>
      </w:pPr>
      <w:r>
        <w:t>S</w:t>
      </w:r>
      <w:r w:rsidR="00355500" w:rsidRPr="005F17F4">
        <w:t xml:space="preserve">terilisation </w:t>
      </w:r>
      <w:r>
        <w:t>S</w:t>
      </w:r>
      <w:r w:rsidR="00EB3253">
        <w:t>ervices</w:t>
      </w:r>
    </w:p>
    <w:p w14:paraId="7439CD9B" w14:textId="1CD6F3E8" w:rsidR="00355500" w:rsidRPr="007F487D" w:rsidRDefault="00355500" w:rsidP="00EB3253">
      <w:pPr>
        <w:pStyle w:val="ListParagraph"/>
        <w:ind w:hanging="567"/>
      </w:pPr>
      <w:r w:rsidRPr="007F487D">
        <w:t>Termination of Pregnancy</w:t>
      </w:r>
      <w:r w:rsidR="00EB3253" w:rsidRPr="007F487D">
        <w:t xml:space="preserve"> Services, including </w:t>
      </w:r>
      <w:r w:rsidRPr="007F487D">
        <w:t>counselling services</w:t>
      </w:r>
      <w:r w:rsidR="00993A34" w:rsidRPr="007F487D">
        <w:t>.</w:t>
      </w:r>
    </w:p>
    <w:p w14:paraId="6891A6D9" w14:textId="77777777" w:rsidR="00355500" w:rsidRPr="00CC31C1" w:rsidRDefault="00EB3253" w:rsidP="00051DB7">
      <w:pPr>
        <w:spacing w:before="120"/>
      </w:pPr>
      <w:r>
        <w:t xml:space="preserve">In addition to the </w:t>
      </w:r>
      <w:r w:rsidR="009E69CD">
        <w:t>above</w:t>
      </w:r>
      <w:r w:rsidR="00993A34">
        <w:t>,</w:t>
      </w:r>
      <w:r>
        <w:t xml:space="preserve"> </w:t>
      </w:r>
      <w:r w:rsidR="00355500" w:rsidRPr="00CC31C1">
        <w:t>tertiary hospital</w:t>
      </w:r>
      <w:r>
        <w:t xml:space="preserve"> </w:t>
      </w:r>
      <w:r w:rsidR="00993A34">
        <w:t xml:space="preserve">Gynaecology </w:t>
      </w:r>
      <w:r w:rsidR="00355500" w:rsidRPr="00CC31C1">
        <w:t>Service</w:t>
      </w:r>
      <w:r>
        <w:t>s</w:t>
      </w:r>
      <w:r w:rsidR="00355500" w:rsidRPr="00CC31C1">
        <w:t xml:space="preserve"> will include the following and/or be linked to other providers of, the following services:</w:t>
      </w:r>
    </w:p>
    <w:p w14:paraId="36BAB045" w14:textId="77777777" w:rsidR="00355500" w:rsidRPr="005F17F4" w:rsidRDefault="00355500" w:rsidP="004E29F1">
      <w:pPr>
        <w:pStyle w:val="ListParagraph"/>
        <w:ind w:hanging="567"/>
      </w:pPr>
      <w:r>
        <w:t>s</w:t>
      </w:r>
      <w:r w:rsidRPr="005F17F4">
        <w:t>pecialist micro-surgery</w:t>
      </w:r>
    </w:p>
    <w:p w14:paraId="33090DF3" w14:textId="77777777" w:rsidR="00355500" w:rsidRDefault="00355500" w:rsidP="004E29F1">
      <w:pPr>
        <w:pStyle w:val="ListParagraph"/>
        <w:ind w:hanging="567"/>
      </w:pPr>
      <w:r>
        <w:t>g</w:t>
      </w:r>
      <w:r w:rsidRPr="005F17F4">
        <w:t xml:space="preserve">ynaecological </w:t>
      </w:r>
      <w:r>
        <w:t>o</w:t>
      </w:r>
      <w:r w:rsidRPr="005F17F4">
        <w:t>ncology</w:t>
      </w:r>
    </w:p>
    <w:p w14:paraId="7D68F6AB" w14:textId="77777777" w:rsidR="00803369" w:rsidRPr="00803369" w:rsidRDefault="00803369" w:rsidP="00803369">
      <w:pPr>
        <w:pStyle w:val="ListParagraph"/>
        <w:ind w:hanging="567"/>
      </w:pPr>
      <w:r w:rsidRPr="00803369">
        <w:t>colposcopy services</w:t>
      </w:r>
    </w:p>
    <w:p w14:paraId="3ECC04B1" w14:textId="77777777" w:rsidR="00355500" w:rsidRPr="005F17F4" w:rsidRDefault="00355500" w:rsidP="004E29F1">
      <w:pPr>
        <w:pStyle w:val="ListParagraph"/>
        <w:ind w:hanging="567"/>
      </w:pPr>
      <w:r>
        <w:t>u</w:t>
      </w:r>
      <w:r w:rsidRPr="005F17F4">
        <w:t>ro</w:t>
      </w:r>
      <w:r w:rsidR="00346EB5">
        <w:t>-gynaecology</w:t>
      </w:r>
    </w:p>
    <w:p w14:paraId="33DCDCD5" w14:textId="77777777" w:rsidR="00803369" w:rsidRDefault="00355500" w:rsidP="004E29F1">
      <w:pPr>
        <w:pStyle w:val="ListParagraph"/>
        <w:ind w:hanging="567"/>
      </w:pPr>
      <w:r>
        <w:t>r</w:t>
      </w:r>
      <w:r w:rsidRPr="005F17F4">
        <w:t>eproductive endocrinology</w:t>
      </w:r>
    </w:p>
    <w:p w14:paraId="3B10ABC0" w14:textId="77777777" w:rsidR="00346EB5" w:rsidRDefault="00E2531D" w:rsidP="00803369">
      <w:pPr>
        <w:pStyle w:val="ListParagraph"/>
        <w:ind w:hanging="567"/>
      </w:pPr>
      <w:r>
        <w:t>t</w:t>
      </w:r>
      <w:r w:rsidR="00803369" w:rsidRPr="00803369">
        <w:t xml:space="preserve">he </w:t>
      </w:r>
      <w:r w:rsidR="002047A7">
        <w:t>NCSP</w:t>
      </w:r>
      <w:r>
        <w:t>.</w:t>
      </w:r>
    </w:p>
    <w:p w14:paraId="0999AC76" w14:textId="77777777" w:rsidR="00355500" w:rsidRPr="00AE415D" w:rsidRDefault="003C287F" w:rsidP="008023B2">
      <w:pPr>
        <w:pStyle w:val="Heading2"/>
        <w:rPr>
          <w:i/>
        </w:rPr>
      </w:pPr>
      <w:r>
        <w:t>6.3</w:t>
      </w:r>
      <w:r>
        <w:tab/>
      </w:r>
      <w:r w:rsidR="00355500" w:rsidRPr="00AE415D">
        <w:t>Settings</w:t>
      </w:r>
    </w:p>
    <w:p w14:paraId="3070A550" w14:textId="77777777" w:rsidR="00243374" w:rsidRDefault="00355500" w:rsidP="00DF24E0">
      <w:pPr>
        <w:spacing w:before="120" w:after="120"/>
        <w:rPr>
          <w:rFonts w:cs="Arial"/>
        </w:rPr>
      </w:pPr>
      <w:r w:rsidRPr="00DD1723">
        <w:rPr>
          <w:rFonts w:cs="Arial"/>
        </w:rPr>
        <w:t>The Services will be provided in a setting most appropriate for the delivery of the Services</w:t>
      </w:r>
      <w:r w:rsidR="00D873CA">
        <w:rPr>
          <w:rFonts w:cs="Arial"/>
        </w:rPr>
        <w:t xml:space="preserve">. Refer to the </w:t>
      </w:r>
      <w:r w:rsidR="00FE01CC">
        <w:rPr>
          <w:rFonts w:cs="Arial"/>
        </w:rPr>
        <w:t>tier one</w:t>
      </w:r>
      <w:r w:rsidR="00D873CA">
        <w:rPr>
          <w:rFonts w:cs="Arial"/>
        </w:rPr>
        <w:t xml:space="preserve"> Specialist Medical and Surgical Services service specification for </w:t>
      </w:r>
      <w:r w:rsidR="00FE01CC">
        <w:rPr>
          <w:rFonts w:cs="Arial"/>
        </w:rPr>
        <w:t>s</w:t>
      </w:r>
      <w:r w:rsidR="003443CE">
        <w:rPr>
          <w:rFonts w:cs="Arial"/>
        </w:rPr>
        <w:t xml:space="preserve">ettings </w:t>
      </w:r>
      <w:r w:rsidR="00FE01CC">
        <w:rPr>
          <w:rFonts w:cs="Arial"/>
        </w:rPr>
        <w:t>information.</w:t>
      </w:r>
    </w:p>
    <w:p w14:paraId="485992E4" w14:textId="77777777" w:rsidR="00355500" w:rsidRPr="00A93220" w:rsidRDefault="00D873CA" w:rsidP="00DF24E0">
      <w:pPr>
        <w:spacing w:before="120" w:after="120"/>
        <w:rPr>
          <w:szCs w:val="24"/>
        </w:rPr>
      </w:pPr>
      <w:r w:rsidRPr="00DF24E0">
        <w:rPr>
          <w:rFonts w:cs="Arial"/>
          <w:b/>
        </w:rPr>
        <w:t>6.4</w:t>
      </w:r>
      <w:r w:rsidRPr="00DF24E0">
        <w:rPr>
          <w:rFonts w:cs="Arial"/>
          <w:b/>
        </w:rPr>
        <w:tab/>
      </w:r>
      <w:bookmarkStart w:id="11" w:name="_Toc3079024"/>
      <w:r w:rsidRPr="00DF24E0">
        <w:rPr>
          <w:b/>
          <w:szCs w:val="24"/>
        </w:rPr>
        <w:t>K</w:t>
      </w:r>
      <w:r w:rsidR="00355500" w:rsidRPr="00DF24E0">
        <w:rPr>
          <w:b/>
          <w:szCs w:val="24"/>
        </w:rPr>
        <w:t>ey Inputs</w:t>
      </w:r>
      <w:bookmarkEnd w:id="11"/>
    </w:p>
    <w:p w14:paraId="2F651B7B" w14:textId="77777777" w:rsidR="00355500" w:rsidRDefault="00355500" w:rsidP="00DF24E0">
      <w:pPr>
        <w:rPr>
          <w:rFonts w:cs="Arial"/>
        </w:rPr>
      </w:pPr>
      <w:r w:rsidRPr="002A404C">
        <w:rPr>
          <w:rFonts w:cs="Arial"/>
        </w:rPr>
        <w:t xml:space="preserve">This Service is provided by Gynaecologists, Registrars, </w:t>
      </w:r>
      <w:r>
        <w:rPr>
          <w:rFonts w:cs="Arial"/>
        </w:rPr>
        <w:t>other Medical Practitioners</w:t>
      </w:r>
      <w:r w:rsidRPr="002A404C">
        <w:rPr>
          <w:rFonts w:cs="Arial"/>
        </w:rPr>
        <w:t xml:space="preserve">, Nurse Practitioners, Registered Nurses, </w:t>
      </w:r>
      <w:r w:rsidR="00D873CA">
        <w:rPr>
          <w:rFonts w:cs="Arial"/>
        </w:rPr>
        <w:t xml:space="preserve">and </w:t>
      </w:r>
      <w:r w:rsidRPr="002A404C">
        <w:rPr>
          <w:rFonts w:cs="Arial"/>
        </w:rPr>
        <w:t>other nurses</w:t>
      </w:r>
      <w:r w:rsidR="00D873CA">
        <w:rPr>
          <w:rFonts w:cs="Arial"/>
        </w:rPr>
        <w:t>.</w:t>
      </w:r>
    </w:p>
    <w:p w14:paraId="54DC11AD" w14:textId="77777777" w:rsidR="00355500" w:rsidRPr="002A404C" w:rsidRDefault="00355500" w:rsidP="00F27B1A">
      <w:pPr>
        <w:spacing w:before="120"/>
        <w:rPr>
          <w:rFonts w:cs="Arial"/>
        </w:rPr>
      </w:pPr>
      <w:r>
        <w:rPr>
          <w:rFonts w:cs="Arial"/>
        </w:rPr>
        <w:t>P</w:t>
      </w:r>
      <w:r w:rsidRPr="002A404C">
        <w:rPr>
          <w:rFonts w:cs="Arial"/>
        </w:rPr>
        <w:t>rocedural services such as</w:t>
      </w:r>
      <w:r>
        <w:rPr>
          <w:rFonts w:cs="Arial"/>
        </w:rPr>
        <w:t>:</w:t>
      </w:r>
      <w:r w:rsidRPr="002A404C">
        <w:rPr>
          <w:rFonts w:cs="Arial"/>
        </w:rPr>
        <w:t xml:space="preserve"> </w:t>
      </w:r>
      <w:r w:rsidR="00C61539" w:rsidRPr="00C61539">
        <w:rPr>
          <w:rFonts w:cs="Arial"/>
        </w:rPr>
        <w:t>diagnostic services</w:t>
      </w:r>
      <w:r w:rsidR="00C61539">
        <w:rPr>
          <w:rFonts w:cs="Arial"/>
        </w:rPr>
        <w:t>,</w:t>
      </w:r>
      <w:r w:rsidR="00C61539" w:rsidRPr="00C61539">
        <w:rPr>
          <w:rFonts w:cs="Arial"/>
        </w:rPr>
        <w:t xml:space="preserve"> </w:t>
      </w:r>
      <w:r w:rsidRPr="002A404C">
        <w:rPr>
          <w:rFonts w:cs="Arial"/>
        </w:rPr>
        <w:t xml:space="preserve">operating </w:t>
      </w:r>
      <w:r w:rsidR="00346EB5">
        <w:rPr>
          <w:rFonts w:cs="Arial"/>
        </w:rPr>
        <w:t>theatres</w:t>
      </w:r>
      <w:r w:rsidRPr="002A404C">
        <w:rPr>
          <w:rFonts w:cs="Arial"/>
        </w:rPr>
        <w:t>, pharmaceuticals, and the New Zealand Blood Service</w:t>
      </w:r>
      <w:r w:rsidR="00D873CA">
        <w:rPr>
          <w:rFonts w:cs="Arial"/>
        </w:rPr>
        <w:t>.</w:t>
      </w:r>
    </w:p>
    <w:p w14:paraId="199F0B71" w14:textId="77777777" w:rsidR="00355500" w:rsidRPr="00023802" w:rsidRDefault="00355500" w:rsidP="00533EC9">
      <w:pPr>
        <w:pStyle w:val="Heading1"/>
      </w:pPr>
      <w:r w:rsidRPr="005679A8">
        <w:t>Service</w:t>
      </w:r>
      <w:r w:rsidRPr="00023802">
        <w:t xml:space="preserve"> Linkages</w:t>
      </w:r>
    </w:p>
    <w:p w14:paraId="0586AF9E" w14:textId="77777777" w:rsidR="00051DB7" w:rsidRDefault="00355500" w:rsidP="00F27B1A">
      <w:pPr>
        <w:spacing w:before="120" w:after="120"/>
        <w:rPr>
          <w:rFonts w:cs="Arial"/>
        </w:rPr>
      </w:pPr>
      <w:r w:rsidRPr="002A404C">
        <w:rPr>
          <w:rFonts w:cs="Arial"/>
        </w:rPr>
        <w:t xml:space="preserve">The Service </w:t>
      </w:r>
      <w:r>
        <w:rPr>
          <w:rFonts w:cs="Arial"/>
        </w:rPr>
        <w:t>will</w:t>
      </w:r>
      <w:r w:rsidRPr="002A404C">
        <w:rPr>
          <w:rFonts w:cs="Arial"/>
        </w:rPr>
        <w:t xml:space="preserve"> be well integrated with other health services and ensure there is effective consultation, liaison and referral between services and sub-specialities</w:t>
      </w:r>
      <w:r w:rsidRPr="00BB3E48">
        <w:rPr>
          <w:rFonts w:cs="Arial"/>
        </w:rPr>
        <w:t xml:space="preserve"> that support seamless service delivery and continuity of care</w:t>
      </w:r>
      <w:r>
        <w:rPr>
          <w:rFonts w:cs="Arial"/>
        </w:rPr>
        <w:t>.</w:t>
      </w:r>
    </w:p>
    <w:p w14:paraId="1B0BF167" w14:textId="77777777" w:rsidR="00355500" w:rsidRDefault="00355500" w:rsidP="00F27B1A">
      <w:pPr>
        <w:spacing w:before="120" w:after="120"/>
        <w:rPr>
          <w:rFonts w:cs="Arial"/>
        </w:rPr>
      </w:pPr>
      <w:r>
        <w:rPr>
          <w:rFonts w:cs="Arial"/>
        </w:rPr>
        <w:t xml:space="preserve">In addition to the service linkages in </w:t>
      </w:r>
      <w:r w:rsidR="00FE01CC">
        <w:rPr>
          <w:rFonts w:cs="Arial"/>
        </w:rPr>
        <w:t>tier one</w:t>
      </w:r>
      <w:r>
        <w:rPr>
          <w:rFonts w:cs="Arial"/>
        </w:rPr>
        <w:t xml:space="preserve"> Specialist Medical and Surgical services t</w:t>
      </w:r>
      <w:r w:rsidRPr="002A404C">
        <w:rPr>
          <w:rFonts w:cs="Arial"/>
        </w:rPr>
        <w:t>he Service is required to establish effective links and working arrangements with, but not limited to, the following service providers:</w:t>
      </w:r>
    </w:p>
    <w:p w14:paraId="3438CE51" w14:textId="77777777" w:rsidR="00355500" w:rsidRPr="00914C26" w:rsidRDefault="00355500" w:rsidP="00914C26">
      <w:pPr>
        <w:pStyle w:val="ListParagraph"/>
        <w:ind w:hanging="567"/>
      </w:pPr>
      <w:r w:rsidRPr="00914C26">
        <w:t>Assisted Reproductive Technology Service</w:t>
      </w:r>
      <w:r>
        <w:t xml:space="preserve"> Providers</w:t>
      </w:r>
    </w:p>
    <w:p w14:paraId="024FC15C" w14:textId="09716318" w:rsidR="00355500" w:rsidRDefault="00355500" w:rsidP="00914C26">
      <w:pPr>
        <w:pStyle w:val="ListParagraph"/>
        <w:ind w:hanging="567"/>
      </w:pPr>
      <w:r w:rsidRPr="005679A8">
        <w:t xml:space="preserve">Allied Health </w:t>
      </w:r>
      <w:r w:rsidR="003032D0">
        <w:t>Services</w:t>
      </w:r>
      <w:r>
        <w:t xml:space="preserve"> </w:t>
      </w:r>
      <w:r w:rsidR="00F21022">
        <w:t>including:</w:t>
      </w:r>
      <w:r>
        <w:t xml:space="preserve"> p</w:t>
      </w:r>
      <w:r w:rsidRPr="005679A8">
        <w:t>hysiotherap</w:t>
      </w:r>
      <w:r w:rsidR="003032D0">
        <w:t>y</w:t>
      </w:r>
      <w:r w:rsidRPr="005679A8">
        <w:t xml:space="preserve">, social services, counselling services, </w:t>
      </w:r>
      <w:r>
        <w:t>sexual dysfunction therapists</w:t>
      </w:r>
    </w:p>
    <w:p w14:paraId="48B9A849" w14:textId="77777777" w:rsidR="00355500" w:rsidRDefault="00355500" w:rsidP="00914C26">
      <w:pPr>
        <w:pStyle w:val="ListParagraph"/>
        <w:ind w:hanging="567"/>
      </w:pPr>
      <w:r w:rsidRPr="00914C26">
        <w:lastRenderedPageBreak/>
        <w:t>Consumer support groups</w:t>
      </w:r>
    </w:p>
    <w:p w14:paraId="1579C567" w14:textId="77777777" w:rsidR="00C61539" w:rsidRDefault="00C61539" w:rsidP="00C61539">
      <w:pPr>
        <w:pStyle w:val="ListParagraph"/>
        <w:ind w:hanging="567"/>
      </w:pPr>
      <w:r>
        <w:t xml:space="preserve">Clinical Genetics </w:t>
      </w:r>
      <w:r w:rsidRPr="00C61539">
        <w:t>Services</w:t>
      </w:r>
    </w:p>
    <w:p w14:paraId="12D37CFF" w14:textId="383A2950" w:rsidR="00AF2278" w:rsidRDefault="00355500" w:rsidP="00AF2278">
      <w:pPr>
        <w:pStyle w:val="ListParagraph"/>
        <w:ind w:hanging="567"/>
      </w:pPr>
      <w:r w:rsidRPr="00914C26">
        <w:t xml:space="preserve">Family Planning </w:t>
      </w:r>
      <w:r w:rsidR="00AF2278">
        <w:t>Clinic</w:t>
      </w:r>
      <w:r w:rsidR="004D28E8">
        <w:t xml:space="preserve"> services</w:t>
      </w:r>
    </w:p>
    <w:p w14:paraId="5F498C52" w14:textId="415E64A9" w:rsidR="00C61539" w:rsidRPr="00914C26" w:rsidRDefault="00C61539" w:rsidP="00AF2278">
      <w:pPr>
        <w:pStyle w:val="ListParagraph"/>
        <w:ind w:hanging="567"/>
      </w:pPr>
      <w:r w:rsidRPr="00C61539">
        <w:t xml:space="preserve">General </w:t>
      </w:r>
      <w:r w:rsidR="00AF2278">
        <w:t>s</w:t>
      </w:r>
      <w:r w:rsidRPr="00C61539">
        <w:t>urgical, colorectal, and urological surgical services</w:t>
      </w:r>
      <w:r>
        <w:rPr>
          <w:rStyle w:val="FootnoteReference"/>
        </w:rPr>
        <w:footnoteReference w:id="8"/>
      </w:r>
    </w:p>
    <w:p w14:paraId="239900D4" w14:textId="77777777" w:rsidR="00355500" w:rsidRDefault="00355500" w:rsidP="00914C26">
      <w:pPr>
        <w:pStyle w:val="ListParagraph"/>
        <w:ind w:hanging="567"/>
      </w:pPr>
      <w:r w:rsidRPr="005679A8">
        <w:t>Pain Management Services</w:t>
      </w:r>
    </w:p>
    <w:p w14:paraId="3FC19317" w14:textId="3EA717C1" w:rsidR="00355500" w:rsidRDefault="00355500" w:rsidP="00914C26">
      <w:pPr>
        <w:pStyle w:val="ListParagraph"/>
        <w:ind w:hanging="567"/>
      </w:pPr>
      <w:r>
        <w:t>Palliative Care Services</w:t>
      </w:r>
    </w:p>
    <w:p w14:paraId="2B472E71" w14:textId="42CDC2CF" w:rsidR="00AF2278" w:rsidRPr="005679A8" w:rsidRDefault="008925F7" w:rsidP="00914C26">
      <w:pPr>
        <w:pStyle w:val="ListParagraph"/>
        <w:ind w:hanging="567"/>
      </w:pPr>
      <w:r>
        <w:t>Pharmaceutical</w:t>
      </w:r>
      <w:r w:rsidR="00AF2278">
        <w:t xml:space="preserve"> Services</w:t>
      </w:r>
    </w:p>
    <w:p w14:paraId="0034BD8A" w14:textId="77777777" w:rsidR="00355500" w:rsidRPr="005679A8" w:rsidRDefault="00355500" w:rsidP="00914C26">
      <w:pPr>
        <w:pStyle w:val="ListParagraph"/>
        <w:ind w:hanging="567"/>
      </w:pPr>
      <w:r w:rsidRPr="005679A8">
        <w:t>Specialist Community Nurses</w:t>
      </w:r>
    </w:p>
    <w:p w14:paraId="025804FE" w14:textId="41CC3E64" w:rsidR="00355500" w:rsidRPr="005679A8" w:rsidRDefault="00355500" w:rsidP="00914C26">
      <w:pPr>
        <w:pStyle w:val="ListParagraph"/>
        <w:ind w:hanging="567"/>
      </w:pPr>
      <w:r w:rsidRPr="005679A8">
        <w:t>Midwife/Lead Maternity Carer</w:t>
      </w:r>
      <w:r>
        <w:t>s</w:t>
      </w:r>
    </w:p>
    <w:p w14:paraId="05C43E0C" w14:textId="35D74743" w:rsidR="00355500" w:rsidRDefault="00355500" w:rsidP="00CA0559">
      <w:pPr>
        <w:pStyle w:val="ListParagraph"/>
        <w:ind w:hanging="567"/>
      </w:pPr>
      <w:r w:rsidRPr="005679A8">
        <w:t>National Screening Unit screening programmes</w:t>
      </w:r>
      <w:r w:rsidR="00263A11">
        <w:t xml:space="preserve">, </w:t>
      </w:r>
      <w:r w:rsidR="00263A11" w:rsidRPr="00263A11">
        <w:t>NCSP Regional Services Independent Service Providers and NCSP Laboratories</w:t>
      </w:r>
    </w:p>
    <w:p w14:paraId="548D15EF" w14:textId="77777777" w:rsidR="00355500" w:rsidRPr="00914C26" w:rsidRDefault="00355500" w:rsidP="00914C26">
      <w:pPr>
        <w:pStyle w:val="ListParagraph"/>
        <w:ind w:hanging="567"/>
      </w:pPr>
      <w:r w:rsidRPr="00914C26">
        <w:t>New migrant and refugee services, as appropriate</w:t>
      </w:r>
    </w:p>
    <w:p w14:paraId="438F45A2" w14:textId="77777777" w:rsidR="00355500" w:rsidRPr="00914C26" w:rsidRDefault="00355500" w:rsidP="00914C26">
      <w:pPr>
        <w:pStyle w:val="ListParagraph"/>
        <w:ind w:hanging="567"/>
      </w:pPr>
      <w:r w:rsidRPr="00914C26">
        <w:t>Primary Health Care Providers</w:t>
      </w:r>
    </w:p>
    <w:p w14:paraId="6A6F24E0" w14:textId="77777777" w:rsidR="00355500" w:rsidRDefault="00355500" w:rsidP="00914C26">
      <w:pPr>
        <w:pStyle w:val="ListParagraph"/>
        <w:ind w:hanging="567"/>
      </w:pPr>
      <w:r w:rsidRPr="005679A8">
        <w:t>Public Health communicable diseases programmes, education and promotion services</w:t>
      </w:r>
    </w:p>
    <w:p w14:paraId="44E69B16" w14:textId="77777777" w:rsidR="00C61539" w:rsidRPr="00C61539" w:rsidRDefault="00C61539" w:rsidP="00C61539">
      <w:pPr>
        <w:pStyle w:val="ListParagraph"/>
        <w:ind w:hanging="567"/>
      </w:pPr>
      <w:r w:rsidRPr="00C61539">
        <w:t xml:space="preserve">Regional Health Services </w:t>
      </w:r>
      <w:r w:rsidR="002047A7" w:rsidRPr="00C61539">
        <w:t>eg</w:t>
      </w:r>
      <w:r w:rsidRPr="00C61539">
        <w:t xml:space="preserve"> Youth One Stop </w:t>
      </w:r>
      <w:r>
        <w:t xml:space="preserve">Shop </w:t>
      </w:r>
      <w:r w:rsidRPr="00C61539">
        <w:t>Services</w:t>
      </w:r>
    </w:p>
    <w:p w14:paraId="5DD8828B" w14:textId="77777777" w:rsidR="00355500" w:rsidRPr="005679A8" w:rsidRDefault="00355500" w:rsidP="00914C26">
      <w:pPr>
        <w:pStyle w:val="ListParagraph"/>
        <w:ind w:hanging="567"/>
      </w:pPr>
      <w:r w:rsidRPr="005679A8">
        <w:t>Sexual Health Services</w:t>
      </w:r>
    </w:p>
    <w:p w14:paraId="5614E962" w14:textId="351340BB" w:rsidR="002C1A38" w:rsidRPr="002C1A38" w:rsidRDefault="00355500" w:rsidP="00914C26">
      <w:pPr>
        <w:pStyle w:val="ListParagraph"/>
        <w:ind w:hanging="567"/>
      </w:pPr>
      <w:r w:rsidRPr="002C1A38">
        <w:t xml:space="preserve">Termination of </w:t>
      </w:r>
      <w:r w:rsidR="00051DB7" w:rsidRPr="002C1A38">
        <w:t>P</w:t>
      </w:r>
      <w:r w:rsidRPr="002C1A38">
        <w:t>regnancy services</w:t>
      </w:r>
      <w:r w:rsidR="002C4A7A" w:rsidRPr="002C1A38">
        <w:t>.</w:t>
      </w:r>
    </w:p>
    <w:p w14:paraId="7B4A3B1A" w14:textId="77777777" w:rsidR="00355500" w:rsidRPr="002A404C" w:rsidRDefault="00355500" w:rsidP="00533EC9">
      <w:pPr>
        <w:pStyle w:val="Heading1"/>
      </w:pPr>
      <w:r w:rsidRPr="002A404C">
        <w:t xml:space="preserve">Quality </w:t>
      </w:r>
      <w:r w:rsidRPr="005679A8">
        <w:t>Requirements</w:t>
      </w:r>
    </w:p>
    <w:p w14:paraId="69CA40DD" w14:textId="77777777" w:rsidR="00355500" w:rsidRDefault="00355500" w:rsidP="00F27B1A">
      <w:pPr>
        <w:spacing w:before="120"/>
        <w:rPr>
          <w:rFonts w:cs="Arial"/>
          <w:color w:val="000000"/>
          <w:lang w:val="en-US"/>
        </w:rPr>
      </w:pPr>
      <w:r w:rsidRPr="002A404C">
        <w:rPr>
          <w:rFonts w:cs="Arial"/>
          <w:color w:val="000000"/>
          <w:lang w:val="en-US"/>
        </w:rPr>
        <w:t>The Service must comply with the Provider Quality Standards described in the Operational Policy Framework</w:t>
      </w:r>
      <w:r w:rsidR="00E2531D">
        <w:rPr>
          <w:rFonts w:cs="Arial"/>
          <w:color w:val="000000"/>
          <w:lang w:val="en-US"/>
        </w:rPr>
        <w:t xml:space="preserve"> (OPF)</w:t>
      </w:r>
      <w:r>
        <w:rPr>
          <w:rStyle w:val="FootnoteReference"/>
          <w:rFonts w:cs="Arial"/>
          <w:color w:val="000000"/>
          <w:lang w:val="en-US"/>
        </w:rPr>
        <w:footnoteReference w:id="9"/>
      </w:r>
      <w:r w:rsidRPr="002A404C">
        <w:rPr>
          <w:rFonts w:cs="Arial"/>
          <w:color w:val="000000"/>
          <w:lang w:val="en-US"/>
        </w:rPr>
        <w:t xml:space="preserve"> or, as applicable, Crown Funding Agreement Variations, contracts or service level agreements.</w:t>
      </w:r>
      <w:r>
        <w:rPr>
          <w:rFonts w:cs="Arial"/>
          <w:color w:val="000000"/>
          <w:lang w:val="en-US"/>
        </w:rPr>
        <w:t xml:space="preserve"> </w:t>
      </w:r>
    </w:p>
    <w:p w14:paraId="0F275832" w14:textId="77777777" w:rsidR="005D6DDF" w:rsidRPr="002D55CA" w:rsidRDefault="003443CE" w:rsidP="00F27B1A">
      <w:pPr>
        <w:spacing w:before="120" w:after="120"/>
        <w:ind w:right="-57"/>
        <w:rPr>
          <w:rFonts w:cs="Arial"/>
        </w:rPr>
      </w:pPr>
      <w:r w:rsidRPr="003443CE">
        <w:rPr>
          <w:rFonts w:cs="Arial"/>
        </w:rPr>
        <w:t xml:space="preserve">Refer to the </w:t>
      </w:r>
      <w:r w:rsidR="00FE01CC">
        <w:rPr>
          <w:rFonts w:cs="Arial"/>
        </w:rPr>
        <w:t>tier one</w:t>
      </w:r>
      <w:r w:rsidRPr="003443CE">
        <w:rPr>
          <w:rFonts w:cs="Arial"/>
        </w:rPr>
        <w:t xml:space="preserve"> Specialist Medical and Surgical Services service specification for </w:t>
      </w:r>
      <w:r>
        <w:rPr>
          <w:rFonts w:cs="Arial"/>
        </w:rPr>
        <w:t>generic</w:t>
      </w:r>
      <w:r w:rsidRPr="003443CE">
        <w:rPr>
          <w:rFonts w:cs="Arial"/>
        </w:rPr>
        <w:t xml:space="preserve"> </w:t>
      </w:r>
      <w:r w:rsidR="00960079">
        <w:rPr>
          <w:rFonts w:cs="Arial"/>
        </w:rPr>
        <w:t>requirements. In addition, t</w:t>
      </w:r>
      <w:r w:rsidR="005D6DDF" w:rsidRPr="005D6DDF">
        <w:rPr>
          <w:rFonts w:cs="Arial"/>
        </w:rPr>
        <w:t xml:space="preserve">he Service must </w:t>
      </w:r>
      <w:r w:rsidR="005D6DDF">
        <w:rPr>
          <w:rFonts w:cs="Arial"/>
        </w:rPr>
        <w:t>comply with the following standards and guidelines:</w:t>
      </w:r>
    </w:p>
    <w:p w14:paraId="736F3DF1" w14:textId="0D1277F9" w:rsidR="008023B2" w:rsidRPr="008023B2" w:rsidRDefault="008023B2" w:rsidP="0078584C">
      <w:pPr>
        <w:pStyle w:val="ListParagraph"/>
        <w:numPr>
          <w:ilvl w:val="0"/>
          <w:numId w:val="6"/>
        </w:numPr>
        <w:ind w:left="567" w:hanging="567"/>
        <w:rPr>
          <w:rFonts w:cs="Arial"/>
          <w:color w:val="000000"/>
          <w:lang w:val="en-US"/>
        </w:rPr>
      </w:pPr>
      <w:r w:rsidRPr="008023B2">
        <w:t>Standards of Service Provision for Gynaecological Cancer Patients in New Zealand</w:t>
      </w:r>
      <w:r>
        <w:t xml:space="preserve"> </w:t>
      </w:r>
      <w:r w:rsidRPr="008023B2">
        <w:t>Provision</w:t>
      </w:r>
      <w:r w:rsidR="00EF7801">
        <w:t>s</w:t>
      </w:r>
      <w:r w:rsidR="00B01309">
        <w:rPr>
          <w:rStyle w:val="FootnoteReference"/>
          <w:color w:val="000000"/>
          <w:lang w:val="en-US"/>
        </w:rPr>
        <w:footnoteReference w:id="10"/>
      </w:r>
      <w:r w:rsidR="00B01309">
        <w:rPr>
          <w:rFonts w:cs="Arial"/>
          <w:color w:val="000000"/>
          <w:lang w:val="en-US"/>
        </w:rPr>
        <w:t xml:space="preserve"> or </w:t>
      </w:r>
      <w:r w:rsidR="00B3295D">
        <w:rPr>
          <w:rFonts w:cs="Arial"/>
          <w:color w:val="000000"/>
          <w:lang w:val="en-US"/>
        </w:rPr>
        <w:t xml:space="preserve">any </w:t>
      </w:r>
      <w:r w:rsidR="00B01309">
        <w:rPr>
          <w:rFonts w:cs="Arial"/>
          <w:color w:val="000000"/>
          <w:lang w:val="en-US"/>
        </w:rPr>
        <w:t>subsequent updates</w:t>
      </w:r>
    </w:p>
    <w:p w14:paraId="0DA84735" w14:textId="4525DD47" w:rsidR="008C0AEA" w:rsidRPr="008C0AEA" w:rsidRDefault="008C0AEA" w:rsidP="0078584C">
      <w:pPr>
        <w:pStyle w:val="ListParagraph"/>
        <w:numPr>
          <w:ilvl w:val="0"/>
          <w:numId w:val="6"/>
        </w:numPr>
        <w:ind w:left="567" w:hanging="567"/>
        <w:rPr>
          <w:rFonts w:cs="Arial"/>
          <w:color w:val="000000"/>
          <w:lang w:val="en-US"/>
        </w:rPr>
      </w:pPr>
      <w:r w:rsidRPr="008C0AEA">
        <w:rPr>
          <w:rFonts w:cs="Arial"/>
          <w:color w:val="000000"/>
          <w:lang w:val="en-US"/>
        </w:rPr>
        <w:t>Guidelines for Cervical Screening in New Zealand</w:t>
      </w:r>
      <w:r w:rsidR="00560283">
        <w:rPr>
          <w:rStyle w:val="FootnoteReference"/>
          <w:color w:val="000000"/>
          <w:lang w:val="en-US"/>
        </w:rPr>
        <w:footnoteReference w:id="11"/>
      </w:r>
      <w:r w:rsidRPr="008C0AEA">
        <w:rPr>
          <w:rFonts w:cs="Arial"/>
          <w:color w:val="000000"/>
          <w:lang w:val="en-US"/>
        </w:rPr>
        <w:t xml:space="preserve"> </w:t>
      </w:r>
      <w:r w:rsidR="00B3295D">
        <w:rPr>
          <w:rFonts w:cs="Arial"/>
          <w:color w:val="000000"/>
          <w:lang w:val="en-US"/>
        </w:rPr>
        <w:t xml:space="preserve">or </w:t>
      </w:r>
      <w:r w:rsidR="008D2A3E">
        <w:rPr>
          <w:rFonts w:cs="Arial"/>
          <w:color w:val="000000"/>
          <w:lang w:val="en-US"/>
        </w:rPr>
        <w:t>any subsequent updates</w:t>
      </w:r>
    </w:p>
    <w:p w14:paraId="0BC06B16" w14:textId="2EBBC129" w:rsidR="00960079" w:rsidRDefault="004B540E" w:rsidP="0078584C">
      <w:pPr>
        <w:pStyle w:val="ListParagraph"/>
        <w:numPr>
          <w:ilvl w:val="0"/>
          <w:numId w:val="6"/>
        </w:numPr>
        <w:ind w:left="567" w:hanging="567"/>
        <w:rPr>
          <w:rFonts w:cs="Arial"/>
          <w:color w:val="000000"/>
          <w:lang w:val="en-US"/>
        </w:rPr>
      </w:pPr>
      <w:r>
        <w:rPr>
          <w:rFonts w:cs="Arial"/>
          <w:color w:val="000000"/>
          <w:lang w:val="en-US"/>
        </w:rPr>
        <w:t xml:space="preserve">Objectives for the provision of Elective Services (Clarity, Timeliness, </w:t>
      </w:r>
      <w:r w:rsidR="005C503B">
        <w:rPr>
          <w:rFonts w:cs="Arial"/>
          <w:color w:val="000000"/>
          <w:lang w:val="en-US"/>
        </w:rPr>
        <w:t>and Fairness</w:t>
      </w:r>
      <w:r>
        <w:rPr>
          <w:rFonts w:cs="Arial"/>
          <w:color w:val="000000"/>
          <w:lang w:val="en-US"/>
        </w:rPr>
        <w:t xml:space="preserve">) as outlined in Appendix One of </w:t>
      </w:r>
      <w:r w:rsidR="00FE01CC">
        <w:rPr>
          <w:rFonts w:cs="Arial"/>
          <w:color w:val="000000"/>
          <w:lang w:val="en-US"/>
        </w:rPr>
        <w:t>tier one</w:t>
      </w:r>
      <w:r>
        <w:rPr>
          <w:rFonts w:cs="Arial"/>
          <w:color w:val="000000"/>
          <w:lang w:val="en-US"/>
        </w:rPr>
        <w:t xml:space="preserve"> Specialist Medical and Surgical services, and within the OPF.</w:t>
      </w:r>
    </w:p>
    <w:p w14:paraId="73EE06C0" w14:textId="3EC4650A" w:rsidR="009C2239" w:rsidRDefault="007F487D" w:rsidP="0078584C">
      <w:pPr>
        <w:pStyle w:val="ListParagraph"/>
        <w:numPr>
          <w:ilvl w:val="0"/>
          <w:numId w:val="6"/>
        </w:numPr>
        <w:ind w:left="567" w:hanging="567"/>
        <w:rPr>
          <w:rFonts w:cs="Arial"/>
          <w:color w:val="000000"/>
          <w:lang w:val="en-US"/>
        </w:rPr>
      </w:pPr>
      <w:r>
        <w:rPr>
          <w:rFonts w:cs="Arial"/>
          <w:color w:val="000000"/>
          <w:lang w:val="en-US"/>
        </w:rPr>
        <w:t>T</w:t>
      </w:r>
      <w:r w:rsidR="009C2239" w:rsidRPr="009C2239">
        <w:rPr>
          <w:rFonts w:cs="Arial"/>
          <w:color w:val="000000"/>
          <w:lang w:val="en-US"/>
        </w:rPr>
        <w:t xml:space="preserve">he Interim Standards for Abortion Services </w:t>
      </w:r>
      <w:r w:rsidR="00167311">
        <w:rPr>
          <w:rFonts w:cs="Arial"/>
          <w:color w:val="000000"/>
          <w:lang w:val="en-US"/>
        </w:rPr>
        <w:t>in New Zealand</w:t>
      </w:r>
      <w:r>
        <w:rPr>
          <w:rStyle w:val="FootnoteReference"/>
          <w:color w:val="000000"/>
          <w:lang w:val="en-US"/>
        </w:rPr>
        <w:footnoteReference w:id="12"/>
      </w:r>
      <w:r>
        <w:rPr>
          <w:rFonts w:cs="Arial"/>
          <w:color w:val="000000"/>
          <w:lang w:val="en-US"/>
        </w:rPr>
        <w:t xml:space="preserve"> or</w:t>
      </w:r>
      <w:r w:rsidR="00273612">
        <w:rPr>
          <w:rFonts w:cs="Arial"/>
          <w:color w:val="000000"/>
          <w:lang w:val="en-US"/>
        </w:rPr>
        <w:t xml:space="preserve"> subsequent versions of the</w:t>
      </w:r>
      <w:r w:rsidR="005E05EB">
        <w:rPr>
          <w:rFonts w:cs="Arial"/>
          <w:color w:val="000000"/>
          <w:lang w:val="en-US"/>
        </w:rPr>
        <w:t>se</w:t>
      </w:r>
      <w:r w:rsidR="00273612">
        <w:rPr>
          <w:rFonts w:cs="Arial"/>
          <w:color w:val="000000"/>
          <w:lang w:val="en-US"/>
        </w:rPr>
        <w:t xml:space="preserve"> Standards</w:t>
      </w:r>
      <w:r w:rsidR="003204DC">
        <w:rPr>
          <w:rFonts w:cs="Arial"/>
          <w:color w:val="000000"/>
          <w:lang w:val="en-US"/>
        </w:rPr>
        <w:t>. The Interim Standards are</w:t>
      </w:r>
      <w:r w:rsidR="00167311">
        <w:rPr>
          <w:rFonts w:cs="Arial"/>
          <w:color w:val="000000"/>
          <w:lang w:val="en-US"/>
        </w:rPr>
        <w:t xml:space="preserve"> </w:t>
      </w:r>
      <w:r w:rsidR="003204DC">
        <w:rPr>
          <w:rFonts w:cs="Arial"/>
          <w:color w:val="000000"/>
          <w:lang w:val="en-US"/>
        </w:rPr>
        <w:t>based on the</w:t>
      </w:r>
      <w:r w:rsidR="009C2239" w:rsidRPr="009C2239">
        <w:rPr>
          <w:rFonts w:cs="Arial"/>
          <w:color w:val="000000"/>
          <w:lang w:val="en-US"/>
        </w:rPr>
        <w:t xml:space="preserve"> A</w:t>
      </w:r>
      <w:r w:rsidR="003204DC">
        <w:rPr>
          <w:rFonts w:cs="Arial"/>
          <w:color w:val="000000"/>
          <w:lang w:val="en-US"/>
        </w:rPr>
        <w:t xml:space="preserve">bortion </w:t>
      </w:r>
      <w:r w:rsidR="009C2239" w:rsidRPr="009C2239">
        <w:rPr>
          <w:rFonts w:cs="Arial"/>
          <w:color w:val="000000"/>
          <w:lang w:val="en-US"/>
        </w:rPr>
        <w:t>S</w:t>
      </w:r>
      <w:r w:rsidR="003204DC">
        <w:rPr>
          <w:rFonts w:cs="Arial"/>
          <w:color w:val="000000"/>
          <w:lang w:val="en-US"/>
        </w:rPr>
        <w:t xml:space="preserve">upervisory </w:t>
      </w:r>
      <w:r w:rsidR="009C2239" w:rsidRPr="009C2239">
        <w:rPr>
          <w:rFonts w:cs="Arial"/>
          <w:color w:val="000000"/>
          <w:lang w:val="en-US"/>
        </w:rPr>
        <w:t>C</w:t>
      </w:r>
      <w:r w:rsidR="003204DC">
        <w:rPr>
          <w:rFonts w:cs="Arial"/>
          <w:color w:val="000000"/>
          <w:lang w:val="en-US"/>
        </w:rPr>
        <w:t>ommittee</w:t>
      </w:r>
      <w:r w:rsidR="009C2239" w:rsidRPr="009C2239">
        <w:rPr>
          <w:rFonts w:cs="Arial"/>
          <w:color w:val="000000"/>
          <w:lang w:val="en-US"/>
        </w:rPr>
        <w:t xml:space="preserve"> Standards of Care, with amendments where necessary to comply with the new legislation</w:t>
      </w:r>
      <w:r w:rsidR="00560283">
        <w:rPr>
          <w:rFonts w:cs="Arial"/>
          <w:color w:val="000000"/>
          <w:lang w:val="en-US"/>
        </w:rPr>
        <w:t>.</w:t>
      </w:r>
    </w:p>
    <w:p w14:paraId="6FD8F29F" w14:textId="77777777" w:rsidR="00355500" w:rsidRPr="002A404C" w:rsidRDefault="00355500" w:rsidP="00533EC9">
      <w:pPr>
        <w:pStyle w:val="Heading1"/>
      </w:pPr>
      <w:r w:rsidRPr="005679A8">
        <w:t>Purchase</w:t>
      </w:r>
      <w:r w:rsidR="00BC0DBD">
        <w:t xml:space="preserve"> Unit Codes</w:t>
      </w:r>
      <w:r w:rsidRPr="002A404C">
        <w:t xml:space="preserve"> and Reporting Requirements</w:t>
      </w:r>
    </w:p>
    <w:p w14:paraId="70E0B079" w14:textId="77777777" w:rsidR="00355500" w:rsidRPr="0011517D" w:rsidRDefault="008023B2" w:rsidP="008023B2">
      <w:pPr>
        <w:pStyle w:val="Heading2"/>
        <w:rPr>
          <w:lang w:eastAsia="en-NZ"/>
        </w:rPr>
      </w:pPr>
      <w:r>
        <w:rPr>
          <w:lang w:eastAsia="en-NZ"/>
        </w:rPr>
        <w:t>9.1</w:t>
      </w:r>
      <w:r>
        <w:rPr>
          <w:lang w:eastAsia="en-NZ"/>
        </w:rPr>
        <w:tab/>
      </w:r>
      <w:r w:rsidR="00355500" w:rsidRPr="0011517D">
        <w:rPr>
          <w:lang w:eastAsia="en-NZ"/>
        </w:rPr>
        <w:t>Purchase Units</w:t>
      </w:r>
    </w:p>
    <w:p w14:paraId="76DF15C1" w14:textId="2D07867D" w:rsidR="00355500" w:rsidRPr="002A404C" w:rsidRDefault="008023B2" w:rsidP="008D2A3E">
      <w:pPr>
        <w:spacing w:before="120" w:after="120"/>
      </w:pPr>
      <w:r>
        <w:t xml:space="preserve">Purchase </w:t>
      </w:r>
      <w:r w:rsidR="00343773">
        <w:t>U</w:t>
      </w:r>
      <w:r w:rsidR="00355500" w:rsidRPr="002A404C">
        <w:t>nit</w:t>
      </w:r>
      <w:r w:rsidR="00BC0DBD">
        <w:t xml:space="preserve"> (PU) codes</w:t>
      </w:r>
      <w:r w:rsidR="00355500" w:rsidRPr="002A404C">
        <w:t xml:space="preserve"> are defined in the DHB and Ministry’s Nationwide Service Framework Purchase Unit Data Dictionary.  The following P</w:t>
      </w:r>
      <w:r w:rsidR="00343773">
        <w:t>U codes</w:t>
      </w:r>
      <w:r w:rsidR="00355500" w:rsidRPr="002A404C">
        <w:t xml:space="preserve"> </w:t>
      </w:r>
      <w:r w:rsidR="00581D91">
        <w:t>may be used to purchase</w:t>
      </w:r>
      <w:r>
        <w:t xml:space="preserve"> this Service.</w:t>
      </w:r>
    </w:p>
    <w:tbl>
      <w:tblPr>
        <w:tblW w:w="4959"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3"/>
        <w:gridCol w:w="1623"/>
        <w:gridCol w:w="5955"/>
        <w:gridCol w:w="1563"/>
      </w:tblGrid>
      <w:tr w:rsidR="005E7650" w:rsidRPr="002A404C" w14:paraId="192D940C" w14:textId="77777777" w:rsidTr="00BC0DBD">
        <w:trPr>
          <w:cantSplit/>
          <w:trHeight w:val="555"/>
          <w:tblHeader/>
        </w:trPr>
        <w:tc>
          <w:tcPr>
            <w:tcW w:w="590" w:type="pct"/>
            <w:shd w:val="clear" w:color="auto" w:fill="E0E0E0"/>
          </w:tcPr>
          <w:p w14:paraId="67527A6E" w14:textId="77777777" w:rsidR="005E7650" w:rsidRPr="002E21E7" w:rsidRDefault="005E7650" w:rsidP="002047A7">
            <w:pPr>
              <w:spacing w:before="60" w:after="60"/>
              <w:rPr>
                <w:rFonts w:cs="Arial"/>
                <w:b/>
                <w:sz w:val="20"/>
              </w:rPr>
            </w:pPr>
            <w:r w:rsidRPr="002E21E7">
              <w:rPr>
                <w:rFonts w:cs="Arial"/>
                <w:b/>
                <w:sz w:val="20"/>
              </w:rPr>
              <w:lastRenderedPageBreak/>
              <w:t>PU Code</w:t>
            </w:r>
          </w:p>
        </w:tc>
        <w:tc>
          <w:tcPr>
            <w:tcW w:w="783" w:type="pct"/>
            <w:shd w:val="clear" w:color="auto" w:fill="E0E0E0"/>
          </w:tcPr>
          <w:p w14:paraId="622FCEC3" w14:textId="77777777" w:rsidR="005E7650" w:rsidRPr="002E21E7" w:rsidRDefault="005E7650" w:rsidP="002047A7">
            <w:pPr>
              <w:pStyle w:val="Heading5"/>
              <w:spacing w:before="60"/>
              <w:rPr>
                <w:rFonts w:cs="Arial"/>
                <w:b/>
                <w:sz w:val="20"/>
              </w:rPr>
            </w:pPr>
            <w:r w:rsidRPr="002E21E7">
              <w:rPr>
                <w:rFonts w:cs="Arial"/>
                <w:b/>
                <w:sz w:val="20"/>
              </w:rPr>
              <w:t>PU Description</w:t>
            </w:r>
          </w:p>
        </w:tc>
        <w:tc>
          <w:tcPr>
            <w:tcW w:w="2873" w:type="pct"/>
            <w:shd w:val="clear" w:color="auto" w:fill="E0E0E0"/>
          </w:tcPr>
          <w:p w14:paraId="5F1BF1E5" w14:textId="77777777" w:rsidR="005E7650" w:rsidRPr="002E21E7" w:rsidRDefault="005E7650" w:rsidP="002047A7">
            <w:pPr>
              <w:spacing w:before="60" w:after="60"/>
              <w:rPr>
                <w:rFonts w:cs="Arial"/>
                <w:b/>
                <w:sz w:val="20"/>
              </w:rPr>
            </w:pPr>
            <w:r w:rsidRPr="002E21E7">
              <w:rPr>
                <w:rFonts w:cs="Arial"/>
                <w:b/>
                <w:sz w:val="20"/>
              </w:rPr>
              <w:t>PU Definition</w:t>
            </w:r>
          </w:p>
        </w:tc>
        <w:tc>
          <w:tcPr>
            <w:tcW w:w="754" w:type="pct"/>
            <w:shd w:val="clear" w:color="auto" w:fill="E0E0E0"/>
          </w:tcPr>
          <w:p w14:paraId="4E1BBCFA" w14:textId="77777777" w:rsidR="005E7650" w:rsidRPr="002E21E7" w:rsidRDefault="005E7650" w:rsidP="002047A7">
            <w:pPr>
              <w:spacing w:before="60" w:after="60"/>
              <w:rPr>
                <w:rFonts w:cs="Arial"/>
                <w:b/>
                <w:sz w:val="20"/>
              </w:rPr>
            </w:pPr>
            <w:r w:rsidRPr="002E21E7">
              <w:rPr>
                <w:rFonts w:cs="Arial"/>
                <w:b/>
                <w:sz w:val="20"/>
              </w:rPr>
              <w:t>Unit of Measure</w:t>
            </w:r>
          </w:p>
        </w:tc>
      </w:tr>
      <w:tr w:rsidR="005E7650" w:rsidRPr="002A404C" w14:paraId="0992EB18" w14:textId="77777777" w:rsidTr="00BC0DBD">
        <w:trPr>
          <w:cantSplit/>
        </w:trPr>
        <w:tc>
          <w:tcPr>
            <w:tcW w:w="590" w:type="pct"/>
            <w:tcBorders>
              <w:top w:val="single" w:sz="4" w:space="0" w:color="auto"/>
              <w:left w:val="single" w:sz="4" w:space="0" w:color="auto"/>
              <w:bottom w:val="single" w:sz="4" w:space="0" w:color="auto"/>
              <w:right w:val="single" w:sz="4" w:space="0" w:color="auto"/>
            </w:tcBorders>
          </w:tcPr>
          <w:p w14:paraId="04953FF1" w14:textId="77777777" w:rsidR="005E7650" w:rsidRPr="002E21E7" w:rsidRDefault="005E7650" w:rsidP="002047A7">
            <w:pPr>
              <w:spacing w:before="60" w:after="60"/>
              <w:rPr>
                <w:rFonts w:cs="Arial"/>
                <w:sz w:val="20"/>
              </w:rPr>
            </w:pPr>
            <w:r w:rsidRPr="002E21E7">
              <w:rPr>
                <w:rFonts w:cs="Arial"/>
                <w:sz w:val="20"/>
              </w:rPr>
              <w:t>S30PRE</w:t>
            </w:r>
          </w:p>
        </w:tc>
        <w:tc>
          <w:tcPr>
            <w:tcW w:w="783" w:type="pct"/>
            <w:tcBorders>
              <w:top w:val="single" w:sz="4" w:space="0" w:color="auto"/>
              <w:left w:val="single" w:sz="4" w:space="0" w:color="auto"/>
              <w:bottom w:val="single" w:sz="4" w:space="0" w:color="auto"/>
              <w:right w:val="single" w:sz="4" w:space="0" w:color="auto"/>
            </w:tcBorders>
          </w:tcPr>
          <w:p w14:paraId="6CC2C123" w14:textId="77777777" w:rsidR="005E7650" w:rsidRPr="002E21E7" w:rsidRDefault="005E7650" w:rsidP="002047A7">
            <w:pPr>
              <w:spacing w:before="60" w:after="60"/>
              <w:rPr>
                <w:rFonts w:cs="Arial"/>
                <w:sz w:val="20"/>
              </w:rPr>
            </w:pPr>
            <w:r w:rsidRPr="002E21E7">
              <w:rPr>
                <w:rFonts w:cs="Arial"/>
                <w:sz w:val="20"/>
              </w:rPr>
              <w:t>Gynaecology Preadmission visit</w:t>
            </w:r>
          </w:p>
        </w:tc>
        <w:tc>
          <w:tcPr>
            <w:tcW w:w="2873" w:type="pct"/>
            <w:tcBorders>
              <w:top w:val="single" w:sz="4" w:space="0" w:color="auto"/>
              <w:left w:val="single" w:sz="4" w:space="0" w:color="auto"/>
              <w:bottom w:val="single" w:sz="4" w:space="0" w:color="auto"/>
              <w:right w:val="single" w:sz="4" w:space="0" w:color="auto"/>
            </w:tcBorders>
          </w:tcPr>
          <w:p w14:paraId="06784B96" w14:textId="77777777" w:rsidR="005E7650" w:rsidRPr="002E21E7" w:rsidRDefault="005E7650" w:rsidP="002047A7">
            <w:pPr>
              <w:spacing w:before="60" w:after="60"/>
              <w:rPr>
                <w:rFonts w:cs="Arial"/>
                <w:sz w:val="20"/>
              </w:rPr>
            </w:pPr>
            <w:r w:rsidRPr="00022448">
              <w:rPr>
                <w:rFonts w:cs="Arial"/>
                <w:sz w:val="20"/>
              </w:rPr>
              <w:t>NOT PURCHASED; USE FOR REPORTING TO NNPAC FOR COUNTING ONLY. Preadmission visit for Gynaecology procedure paid for as part of CWD price</w:t>
            </w:r>
          </w:p>
        </w:tc>
        <w:tc>
          <w:tcPr>
            <w:tcW w:w="754" w:type="pct"/>
            <w:tcBorders>
              <w:top w:val="single" w:sz="4" w:space="0" w:color="auto"/>
              <w:left w:val="single" w:sz="4" w:space="0" w:color="auto"/>
              <w:bottom w:val="single" w:sz="4" w:space="0" w:color="auto"/>
              <w:right w:val="single" w:sz="4" w:space="0" w:color="auto"/>
            </w:tcBorders>
          </w:tcPr>
          <w:p w14:paraId="4FF8744F" w14:textId="77777777" w:rsidR="005E7650" w:rsidRPr="002E21E7" w:rsidRDefault="005E7650" w:rsidP="002047A7">
            <w:pPr>
              <w:spacing w:before="60" w:after="60"/>
              <w:rPr>
                <w:rFonts w:cs="Arial"/>
                <w:sz w:val="20"/>
              </w:rPr>
            </w:pPr>
            <w:r w:rsidRPr="002E21E7">
              <w:rPr>
                <w:rFonts w:cs="Arial"/>
                <w:sz w:val="20"/>
              </w:rPr>
              <w:t>Attendance</w:t>
            </w:r>
          </w:p>
        </w:tc>
      </w:tr>
      <w:tr w:rsidR="005E7650" w:rsidRPr="002A404C" w14:paraId="2E68BB9A" w14:textId="77777777" w:rsidTr="00BC0DBD">
        <w:trPr>
          <w:cantSplit/>
        </w:trPr>
        <w:tc>
          <w:tcPr>
            <w:tcW w:w="590" w:type="pct"/>
            <w:tcBorders>
              <w:top w:val="single" w:sz="4" w:space="0" w:color="auto"/>
              <w:left w:val="single" w:sz="4" w:space="0" w:color="auto"/>
              <w:bottom w:val="single" w:sz="4" w:space="0" w:color="auto"/>
              <w:right w:val="single" w:sz="4" w:space="0" w:color="auto"/>
            </w:tcBorders>
          </w:tcPr>
          <w:p w14:paraId="6451BCE0" w14:textId="77777777" w:rsidR="005E7650" w:rsidRPr="002E21E7" w:rsidRDefault="005E7650" w:rsidP="002047A7">
            <w:pPr>
              <w:spacing w:before="60" w:after="60"/>
              <w:rPr>
                <w:rFonts w:cs="Arial"/>
                <w:sz w:val="20"/>
              </w:rPr>
            </w:pPr>
            <w:r w:rsidRPr="002E21E7">
              <w:rPr>
                <w:rFonts w:cs="Arial"/>
                <w:sz w:val="20"/>
              </w:rPr>
              <w:t>S30CANC</w:t>
            </w:r>
          </w:p>
        </w:tc>
        <w:tc>
          <w:tcPr>
            <w:tcW w:w="783" w:type="pct"/>
            <w:tcBorders>
              <w:top w:val="single" w:sz="4" w:space="0" w:color="auto"/>
              <w:left w:val="single" w:sz="4" w:space="0" w:color="auto"/>
              <w:bottom w:val="single" w:sz="4" w:space="0" w:color="auto"/>
              <w:right w:val="single" w:sz="4" w:space="0" w:color="auto"/>
            </w:tcBorders>
          </w:tcPr>
          <w:p w14:paraId="2EC7D051" w14:textId="77777777" w:rsidR="005E7650" w:rsidRPr="002E21E7" w:rsidRDefault="005E7650" w:rsidP="002047A7">
            <w:pPr>
              <w:spacing w:before="60" w:after="60"/>
              <w:rPr>
                <w:rFonts w:cs="Arial"/>
                <w:sz w:val="20"/>
              </w:rPr>
            </w:pPr>
            <w:r w:rsidRPr="002E21E7">
              <w:rPr>
                <w:rFonts w:cs="Arial"/>
                <w:sz w:val="20"/>
              </w:rPr>
              <w:t>Gynaecology Cancelled Operation</w:t>
            </w:r>
          </w:p>
        </w:tc>
        <w:tc>
          <w:tcPr>
            <w:tcW w:w="2873" w:type="pct"/>
            <w:tcBorders>
              <w:top w:val="single" w:sz="4" w:space="0" w:color="auto"/>
              <w:left w:val="single" w:sz="4" w:space="0" w:color="auto"/>
              <w:bottom w:val="single" w:sz="4" w:space="0" w:color="auto"/>
              <w:right w:val="single" w:sz="4" w:space="0" w:color="auto"/>
            </w:tcBorders>
          </w:tcPr>
          <w:p w14:paraId="428F7F54" w14:textId="77777777" w:rsidR="005E7650" w:rsidRPr="002E21E7" w:rsidRDefault="005E7650" w:rsidP="002047A7">
            <w:pPr>
              <w:spacing w:before="60" w:after="60"/>
              <w:rPr>
                <w:rFonts w:cs="Arial"/>
                <w:sz w:val="20"/>
              </w:rPr>
            </w:pPr>
            <w:r w:rsidRPr="00022448">
              <w:rPr>
                <w:rFonts w:cs="Arial"/>
                <w:sz w:val="20"/>
              </w:rPr>
              <w:t>NOT PURCHASED; USE FOR REPORTING TO NNPAC FOR COUNTING ONLY. Gynaecology cancelled case.</w:t>
            </w:r>
          </w:p>
        </w:tc>
        <w:tc>
          <w:tcPr>
            <w:tcW w:w="754" w:type="pct"/>
            <w:tcBorders>
              <w:top w:val="single" w:sz="4" w:space="0" w:color="auto"/>
              <w:left w:val="single" w:sz="4" w:space="0" w:color="auto"/>
              <w:bottom w:val="single" w:sz="4" w:space="0" w:color="auto"/>
              <w:right w:val="single" w:sz="4" w:space="0" w:color="auto"/>
            </w:tcBorders>
          </w:tcPr>
          <w:p w14:paraId="1614936F" w14:textId="77777777" w:rsidR="005E7650" w:rsidRPr="002E21E7" w:rsidRDefault="005E7650" w:rsidP="002047A7">
            <w:pPr>
              <w:spacing w:before="60" w:after="60"/>
              <w:rPr>
                <w:rFonts w:cs="Arial"/>
                <w:sz w:val="20"/>
              </w:rPr>
            </w:pPr>
            <w:r w:rsidRPr="002E21E7">
              <w:rPr>
                <w:rFonts w:cs="Arial"/>
                <w:sz w:val="20"/>
              </w:rPr>
              <w:t>Attendance</w:t>
            </w:r>
          </w:p>
        </w:tc>
      </w:tr>
      <w:tr w:rsidR="005E7650" w:rsidRPr="002A404C" w14:paraId="1C5D9496" w14:textId="77777777" w:rsidTr="00BC0DBD">
        <w:trPr>
          <w:cantSplit/>
        </w:trPr>
        <w:tc>
          <w:tcPr>
            <w:tcW w:w="590" w:type="pct"/>
            <w:tcBorders>
              <w:top w:val="single" w:sz="4" w:space="0" w:color="auto"/>
              <w:left w:val="single" w:sz="4" w:space="0" w:color="auto"/>
              <w:bottom w:val="single" w:sz="4" w:space="0" w:color="auto"/>
              <w:right w:val="single" w:sz="4" w:space="0" w:color="auto"/>
            </w:tcBorders>
          </w:tcPr>
          <w:p w14:paraId="02F1D838" w14:textId="77777777" w:rsidR="005E7650" w:rsidRPr="002E21E7" w:rsidRDefault="005E7650" w:rsidP="002047A7">
            <w:pPr>
              <w:spacing w:before="60" w:after="60"/>
              <w:rPr>
                <w:rFonts w:cs="Arial"/>
                <w:sz w:val="20"/>
              </w:rPr>
            </w:pPr>
            <w:r>
              <w:rPr>
                <w:rFonts w:cs="Arial"/>
                <w:sz w:val="20"/>
              </w:rPr>
              <w:t>S00011</w:t>
            </w:r>
          </w:p>
        </w:tc>
        <w:tc>
          <w:tcPr>
            <w:tcW w:w="783" w:type="pct"/>
            <w:tcBorders>
              <w:top w:val="single" w:sz="4" w:space="0" w:color="auto"/>
              <w:left w:val="single" w:sz="4" w:space="0" w:color="auto"/>
              <w:bottom w:val="single" w:sz="4" w:space="0" w:color="auto"/>
              <w:right w:val="single" w:sz="4" w:space="0" w:color="auto"/>
            </w:tcBorders>
          </w:tcPr>
          <w:p w14:paraId="13008495" w14:textId="77777777" w:rsidR="005E7650" w:rsidRDefault="005E7650" w:rsidP="002047A7">
            <w:pPr>
              <w:spacing w:before="60" w:after="60"/>
              <w:rPr>
                <w:rFonts w:cs="Arial"/>
                <w:sz w:val="20"/>
              </w:rPr>
            </w:pPr>
            <w:r w:rsidRPr="00D27E7C">
              <w:rPr>
                <w:rFonts w:cs="Arial"/>
                <w:sz w:val="20"/>
              </w:rPr>
              <w:t>Surgical non-contact First Specialist Assessment - Any health specialty</w:t>
            </w:r>
          </w:p>
        </w:tc>
        <w:tc>
          <w:tcPr>
            <w:tcW w:w="2873" w:type="pct"/>
            <w:tcBorders>
              <w:top w:val="single" w:sz="4" w:space="0" w:color="auto"/>
              <w:left w:val="single" w:sz="4" w:space="0" w:color="auto"/>
              <w:bottom w:val="single" w:sz="4" w:space="0" w:color="auto"/>
              <w:right w:val="single" w:sz="4" w:space="0" w:color="auto"/>
            </w:tcBorders>
          </w:tcPr>
          <w:p w14:paraId="15EB105D" w14:textId="77777777" w:rsidR="005E7650" w:rsidRPr="002E21E7" w:rsidRDefault="005E7650" w:rsidP="002047A7">
            <w:pPr>
              <w:spacing w:before="60" w:after="60"/>
              <w:rPr>
                <w:rFonts w:cs="Arial"/>
                <w:sz w:val="20"/>
              </w:rPr>
            </w:pPr>
            <w:r w:rsidRPr="00D27E7C">
              <w:rPr>
                <w:rFonts w:cs="Arial"/>
                <w:sz w:val="20"/>
              </w:rPr>
              <w:t>A review is undertaken by a Registered Medical Practitioner of Registrar level or above, or a Registered Nurse Practitioner, of patient records and any diagnostic test results from Primary to Secondary or Secondary to Tertiary. GP referral can come from tertiary and secondary referrals. The original referral should only be generated after a face to face contact by the referrer. A written plan of care is developed for the patient and provision of that plan and other necessary advice is sent to the referring clinician and the patient.  The non-contact FSA does not include the triaging of referral letters. The patient should not be present during the assessment.</w:t>
            </w:r>
          </w:p>
        </w:tc>
        <w:tc>
          <w:tcPr>
            <w:tcW w:w="754" w:type="pct"/>
            <w:tcBorders>
              <w:top w:val="single" w:sz="4" w:space="0" w:color="auto"/>
              <w:left w:val="single" w:sz="4" w:space="0" w:color="auto"/>
              <w:bottom w:val="single" w:sz="4" w:space="0" w:color="auto"/>
              <w:right w:val="single" w:sz="4" w:space="0" w:color="auto"/>
            </w:tcBorders>
          </w:tcPr>
          <w:p w14:paraId="75DF8E28" w14:textId="77777777" w:rsidR="005E7650" w:rsidRPr="002E21E7" w:rsidRDefault="005E7650" w:rsidP="002047A7">
            <w:pPr>
              <w:spacing w:before="60" w:after="60"/>
              <w:rPr>
                <w:rFonts w:cs="Arial"/>
                <w:sz w:val="20"/>
              </w:rPr>
            </w:pPr>
            <w:r w:rsidRPr="00D27E7C">
              <w:rPr>
                <w:rFonts w:cs="Arial"/>
                <w:sz w:val="20"/>
              </w:rPr>
              <w:t>Written plan of care</w:t>
            </w:r>
          </w:p>
        </w:tc>
      </w:tr>
      <w:tr w:rsidR="005E7650" w:rsidRPr="002A404C" w14:paraId="22D7E87B" w14:textId="77777777" w:rsidTr="00BC0DBD">
        <w:trPr>
          <w:cantSplit/>
        </w:trPr>
        <w:tc>
          <w:tcPr>
            <w:tcW w:w="590" w:type="pct"/>
            <w:tcBorders>
              <w:top w:val="single" w:sz="4" w:space="0" w:color="auto"/>
              <w:left w:val="single" w:sz="4" w:space="0" w:color="auto"/>
              <w:bottom w:val="single" w:sz="4" w:space="0" w:color="auto"/>
              <w:right w:val="single" w:sz="4" w:space="0" w:color="auto"/>
            </w:tcBorders>
          </w:tcPr>
          <w:p w14:paraId="4D1A024D" w14:textId="77777777" w:rsidR="005E7650" w:rsidRDefault="005E7650" w:rsidP="002047A7">
            <w:pPr>
              <w:spacing w:before="60" w:after="60"/>
              <w:rPr>
                <w:rFonts w:cs="Arial"/>
                <w:sz w:val="20"/>
              </w:rPr>
            </w:pPr>
            <w:r>
              <w:rPr>
                <w:rFonts w:cs="Arial"/>
                <w:sz w:val="20"/>
              </w:rPr>
              <w:t>S00012</w:t>
            </w:r>
          </w:p>
        </w:tc>
        <w:tc>
          <w:tcPr>
            <w:tcW w:w="783" w:type="pct"/>
            <w:tcBorders>
              <w:top w:val="single" w:sz="4" w:space="0" w:color="auto"/>
              <w:left w:val="single" w:sz="4" w:space="0" w:color="auto"/>
              <w:bottom w:val="single" w:sz="4" w:space="0" w:color="auto"/>
              <w:right w:val="single" w:sz="4" w:space="0" w:color="auto"/>
            </w:tcBorders>
          </w:tcPr>
          <w:p w14:paraId="79D72C92" w14:textId="77777777" w:rsidR="005E7650" w:rsidRPr="00D27E7C" w:rsidRDefault="005E7650" w:rsidP="002047A7">
            <w:pPr>
              <w:spacing w:before="60" w:after="60"/>
              <w:rPr>
                <w:rFonts w:cs="Arial"/>
                <w:sz w:val="20"/>
              </w:rPr>
            </w:pPr>
            <w:r w:rsidRPr="00A25F89">
              <w:rPr>
                <w:rFonts w:cs="Arial"/>
                <w:sz w:val="20"/>
              </w:rPr>
              <w:t>Surgical non-contact Follow Up - Any health specialty</w:t>
            </w:r>
          </w:p>
        </w:tc>
        <w:tc>
          <w:tcPr>
            <w:tcW w:w="2873" w:type="pct"/>
            <w:tcBorders>
              <w:top w:val="single" w:sz="4" w:space="0" w:color="auto"/>
              <w:left w:val="single" w:sz="4" w:space="0" w:color="auto"/>
              <w:bottom w:val="single" w:sz="4" w:space="0" w:color="auto"/>
              <w:right w:val="single" w:sz="4" w:space="0" w:color="auto"/>
            </w:tcBorders>
          </w:tcPr>
          <w:p w14:paraId="4ED5CCC2" w14:textId="77777777" w:rsidR="005E7650" w:rsidRPr="00D27E7C" w:rsidRDefault="005E7650" w:rsidP="002047A7">
            <w:pPr>
              <w:spacing w:before="60" w:after="60"/>
              <w:rPr>
                <w:rFonts w:cs="Arial"/>
                <w:sz w:val="20"/>
              </w:rPr>
            </w:pPr>
            <w:r w:rsidRPr="00A25F89">
              <w:rPr>
                <w:rFonts w:cs="Arial"/>
                <w:sz w:val="20"/>
              </w:rPr>
              <w:t>A review is undertaken by a Registered Medical Practitioner of Registrar level or above, or a Registered Nurse Practitioner, of patient records and any relevant diagnostic test results. The patient is not present during this follow up that should only be undertaken after an original face to face contact by the specialty. A written plan of care is developed for the patient and that plan and other necessary advice is sent to the referring clinician and the patient. The non-contact follow up PU code excludes the costs of diagnostic tests.</w:t>
            </w:r>
          </w:p>
        </w:tc>
        <w:tc>
          <w:tcPr>
            <w:tcW w:w="754" w:type="pct"/>
            <w:tcBorders>
              <w:top w:val="single" w:sz="4" w:space="0" w:color="auto"/>
              <w:left w:val="single" w:sz="4" w:space="0" w:color="auto"/>
              <w:bottom w:val="single" w:sz="4" w:space="0" w:color="auto"/>
              <w:right w:val="single" w:sz="4" w:space="0" w:color="auto"/>
            </w:tcBorders>
          </w:tcPr>
          <w:p w14:paraId="7B1D01B8" w14:textId="77777777" w:rsidR="005E7650" w:rsidRPr="00A25F89" w:rsidRDefault="005E7650" w:rsidP="002047A7">
            <w:pPr>
              <w:spacing w:before="60" w:after="60"/>
              <w:rPr>
                <w:sz w:val="20"/>
              </w:rPr>
            </w:pPr>
            <w:r w:rsidRPr="00A25F89">
              <w:rPr>
                <w:sz w:val="20"/>
              </w:rPr>
              <w:t>Written plan of care</w:t>
            </w:r>
          </w:p>
        </w:tc>
      </w:tr>
      <w:tr w:rsidR="005E7650" w:rsidRPr="002A404C" w14:paraId="64A2292C" w14:textId="77777777" w:rsidTr="00BC0DBD">
        <w:trPr>
          <w:cantSplit/>
        </w:trPr>
        <w:tc>
          <w:tcPr>
            <w:tcW w:w="590" w:type="pct"/>
            <w:tcBorders>
              <w:top w:val="single" w:sz="4" w:space="0" w:color="auto"/>
              <w:left w:val="single" w:sz="4" w:space="0" w:color="auto"/>
              <w:bottom w:val="single" w:sz="4" w:space="0" w:color="auto"/>
              <w:right w:val="single" w:sz="4" w:space="0" w:color="auto"/>
            </w:tcBorders>
          </w:tcPr>
          <w:p w14:paraId="4FFE7B3E" w14:textId="77777777" w:rsidR="005E7650" w:rsidRPr="00BD53C1" w:rsidRDefault="005E7650" w:rsidP="002047A7">
            <w:pPr>
              <w:spacing w:before="60" w:after="60"/>
              <w:rPr>
                <w:rFonts w:cs="Arial"/>
                <w:sz w:val="20"/>
              </w:rPr>
            </w:pPr>
            <w:r w:rsidRPr="002047A7">
              <w:rPr>
                <w:rFonts w:cs="Arial"/>
                <w:sz w:val="20"/>
              </w:rPr>
              <w:t>S30001</w:t>
            </w:r>
          </w:p>
        </w:tc>
        <w:tc>
          <w:tcPr>
            <w:tcW w:w="783" w:type="pct"/>
            <w:tcBorders>
              <w:top w:val="single" w:sz="4" w:space="0" w:color="auto"/>
              <w:left w:val="single" w:sz="4" w:space="0" w:color="auto"/>
              <w:bottom w:val="single" w:sz="4" w:space="0" w:color="auto"/>
              <w:right w:val="single" w:sz="4" w:space="0" w:color="auto"/>
            </w:tcBorders>
          </w:tcPr>
          <w:p w14:paraId="70CADB14" w14:textId="77777777" w:rsidR="005E7650" w:rsidRPr="00BD53C1" w:rsidRDefault="005E7650" w:rsidP="002047A7">
            <w:pPr>
              <w:spacing w:before="60" w:after="60"/>
              <w:rPr>
                <w:rFonts w:cs="Arial"/>
                <w:sz w:val="20"/>
              </w:rPr>
            </w:pPr>
            <w:r w:rsidRPr="002047A7">
              <w:rPr>
                <w:rFonts w:cs="Arial"/>
                <w:sz w:val="20"/>
              </w:rPr>
              <w:t>Gynaecology - Inpatient Services (DRGs)</w:t>
            </w:r>
          </w:p>
        </w:tc>
        <w:tc>
          <w:tcPr>
            <w:tcW w:w="2873" w:type="pct"/>
            <w:tcBorders>
              <w:top w:val="single" w:sz="4" w:space="0" w:color="auto"/>
              <w:left w:val="single" w:sz="4" w:space="0" w:color="auto"/>
              <w:bottom w:val="single" w:sz="4" w:space="0" w:color="auto"/>
              <w:right w:val="single" w:sz="4" w:space="0" w:color="auto"/>
            </w:tcBorders>
          </w:tcPr>
          <w:p w14:paraId="31437B23" w14:textId="77777777" w:rsidR="005E7650" w:rsidRPr="00BD53C1" w:rsidRDefault="005E7650" w:rsidP="002047A7">
            <w:pPr>
              <w:spacing w:before="60" w:after="60"/>
              <w:rPr>
                <w:rFonts w:cs="Arial"/>
                <w:sz w:val="20"/>
              </w:rPr>
            </w:pPr>
            <w:r w:rsidRPr="002047A7">
              <w:rPr>
                <w:rFonts w:cs="Arial"/>
                <w:sz w:val="20"/>
              </w:rPr>
              <w:t>DRG WIESNZ Discharge.  Additio</w:t>
            </w:r>
            <w:r>
              <w:rPr>
                <w:rFonts w:cs="Arial"/>
                <w:sz w:val="20"/>
              </w:rPr>
              <w:t>nal Information is found in the</w:t>
            </w:r>
            <w:r w:rsidRPr="002047A7">
              <w:rPr>
                <w:rFonts w:cs="Arial"/>
                <w:sz w:val="20"/>
              </w:rPr>
              <w:t xml:space="preserve"> NZ Casemix Framework for Publicly Funded Hospitals which gets updated every year.</w:t>
            </w:r>
          </w:p>
        </w:tc>
        <w:tc>
          <w:tcPr>
            <w:tcW w:w="754" w:type="pct"/>
            <w:tcBorders>
              <w:top w:val="single" w:sz="4" w:space="0" w:color="auto"/>
              <w:left w:val="single" w:sz="4" w:space="0" w:color="auto"/>
              <w:bottom w:val="single" w:sz="4" w:space="0" w:color="auto"/>
              <w:right w:val="single" w:sz="4" w:space="0" w:color="auto"/>
            </w:tcBorders>
          </w:tcPr>
          <w:p w14:paraId="04D7C4B6" w14:textId="77777777" w:rsidR="005E7650" w:rsidRPr="00BD53C1" w:rsidRDefault="005E7650" w:rsidP="002047A7">
            <w:pPr>
              <w:spacing w:before="60" w:after="60"/>
              <w:rPr>
                <w:rFonts w:cs="Arial"/>
                <w:sz w:val="20"/>
              </w:rPr>
            </w:pPr>
            <w:r w:rsidRPr="002047A7">
              <w:rPr>
                <w:rFonts w:cs="Arial"/>
                <w:sz w:val="20"/>
              </w:rPr>
              <w:t>Cost Weighted Discharge</w:t>
            </w:r>
          </w:p>
        </w:tc>
      </w:tr>
      <w:tr w:rsidR="005E7650" w:rsidRPr="002A404C" w14:paraId="06BA5F3F" w14:textId="77777777" w:rsidTr="00BC0DBD">
        <w:trPr>
          <w:cantSplit/>
        </w:trPr>
        <w:tc>
          <w:tcPr>
            <w:tcW w:w="590" w:type="pct"/>
            <w:tcBorders>
              <w:top w:val="single" w:sz="4" w:space="0" w:color="auto"/>
              <w:left w:val="single" w:sz="4" w:space="0" w:color="auto"/>
              <w:bottom w:val="single" w:sz="4" w:space="0" w:color="auto"/>
              <w:right w:val="single" w:sz="4" w:space="0" w:color="auto"/>
            </w:tcBorders>
          </w:tcPr>
          <w:p w14:paraId="3C125985" w14:textId="77777777" w:rsidR="005E7650" w:rsidRPr="002E21E7" w:rsidRDefault="005E7650" w:rsidP="002047A7">
            <w:pPr>
              <w:spacing w:before="60" w:after="60"/>
              <w:rPr>
                <w:rFonts w:cs="Arial"/>
                <w:sz w:val="20"/>
              </w:rPr>
            </w:pPr>
            <w:r w:rsidRPr="002E21E7">
              <w:rPr>
                <w:rFonts w:cs="Arial"/>
                <w:sz w:val="20"/>
              </w:rPr>
              <w:t>S30002</w:t>
            </w:r>
          </w:p>
        </w:tc>
        <w:tc>
          <w:tcPr>
            <w:tcW w:w="783" w:type="pct"/>
            <w:tcBorders>
              <w:top w:val="single" w:sz="4" w:space="0" w:color="auto"/>
              <w:left w:val="single" w:sz="4" w:space="0" w:color="auto"/>
              <w:bottom w:val="single" w:sz="4" w:space="0" w:color="auto"/>
              <w:right w:val="single" w:sz="4" w:space="0" w:color="auto"/>
            </w:tcBorders>
          </w:tcPr>
          <w:p w14:paraId="270129AC" w14:textId="77777777" w:rsidR="005E7650" w:rsidRPr="002E21E7" w:rsidRDefault="005E7650" w:rsidP="002047A7">
            <w:pPr>
              <w:spacing w:before="60" w:after="60"/>
              <w:rPr>
                <w:rFonts w:cs="Arial"/>
                <w:sz w:val="20"/>
              </w:rPr>
            </w:pPr>
            <w:r w:rsidRPr="002E21E7">
              <w:rPr>
                <w:rFonts w:cs="Arial"/>
                <w:sz w:val="20"/>
              </w:rPr>
              <w:t>Gynaecology 1</w:t>
            </w:r>
            <w:r w:rsidRPr="002E21E7">
              <w:rPr>
                <w:rFonts w:cs="Arial"/>
                <w:sz w:val="20"/>
                <w:vertAlign w:val="superscript"/>
              </w:rPr>
              <w:t>st</w:t>
            </w:r>
            <w:r w:rsidRPr="002E21E7">
              <w:rPr>
                <w:rFonts w:cs="Arial"/>
                <w:sz w:val="20"/>
              </w:rPr>
              <w:t xml:space="preserve"> Attendance </w:t>
            </w:r>
          </w:p>
        </w:tc>
        <w:tc>
          <w:tcPr>
            <w:tcW w:w="2873" w:type="pct"/>
            <w:tcBorders>
              <w:top w:val="single" w:sz="4" w:space="0" w:color="auto"/>
              <w:left w:val="single" w:sz="4" w:space="0" w:color="auto"/>
              <w:bottom w:val="single" w:sz="4" w:space="0" w:color="auto"/>
              <w:right w:val="single" w:sz="4" w:space="0" w:color="auto"/>
            </w:tcBorders>
          </w:tcPr>
          <w:p w14:paraId="72A8639A" w14:textId="77777777" w:rsidR="005E7650" w:rsidRPr="002E21E7" w:rsidRDefault="005E7650" w:rsidP="002047A7">
            <w:pPr>
              <w:spacing w:before="60" w:after="60"/>
              <w:rPr>
                <w:rFonts w:cs="Arial"/>
                <w:sz w:val="20"/>
              </w:rPr>
            </w:pPr>
            <w:r w:rsidRPr="002E21E7">
              <w:rPr>
                <w:rFonts w:cs="Arial"/>
                <w:sz w:val="20"/>
              </w:rPr>
              <w:t>First attendance to gynaecologist or medical officer at registrar level or above or nurse practitioner for specialist assessment.</w:t>
            </w:r>
          </w:p>
        </w:tc>
        <w:tc>
          <w:tcPr>
            <w:tcW w:w="754" w:type="pct"/>
            <w:tcBorders>
              <w:top w:val="single" w:sz="4" w:space="0" w:color="auto"/>
              <w:left w:val="single" w:sz="4" w:space="0" w:color="auto"/>
              <w:bottom w:val="single" w:sz="4" w:space="0" w:color="auto"/>
              <w:right w:val="single" w:sz="4" w:space="0" w:color="auto"/>
            </w:tcBorders>
          </w:tcPr>
          <w:p w14:paraId="41020D05" w14:textId="77777777" w:rsidR="005E7650" w:rsidRPr="002E21E7" w:rsidRDefault="005E7650" w:rsidP="002047A7">
            <w:pPr>
              <w:spacing w:before="60" w:after="60"/>
              <w:rPr>
                <w:rFonts w:cs="Arial"/>
                <w:sz w:val="20"/>
              </w:rPr>
            </w:pPr>
            <w:r w:rsidRPr="002E21E7">
              <w:rPr>
                <w:rFonts w:cs="Arial"/>
                <w:sz w:val="20"/>
              </w:rPr>
              <w:t>Attendance</w:t>
            </w:r>
          </w:p>
        </w:tc>
      </w:tr>
      <w:tr w:rsidR="005E7650" w:rsidRPr="002A404C" w14:paraId="45D9C2D1" w14:textId="77777777" w:rsidTr="00BC0DBD">
        <w:trPr>
          <w:cantSplit/>
        </w:trPr>
        <w:tc>
          <w:tcPr>
            <w:tcW w:w="590" w:type="pct"/>
            <w:tcBorders>
              <w:top w:val="single" w:sz="4" w:space="0" w:color="auto"/>
              <w:left w:val="single" w:sz="4" w:space="0" w:color="auto"/>
              <w:bottom w:val="single" w:sz="4" w:space="0" w:color="auto"/>
              <w:right w:val="single" w:sz="4" w:space="0" w:color="auto"/>
            </w:tcBorders>
          </w:tcPr>
          <w:p w14:paraId="36E4B2FA" w14:textId="77777777" w:rsidR="005E7650" w:rsidRPr="002E21E7" w:rsidRDefault="005E7650" w:rsidP="002047A7">
            <w:pPr>
              <w:spacing w:before="60" w:after="60"/>
              <w:rPr>
                <w:rFonts w:cs="Arial"/>
                <w:sz w:val="20"/>
              </w:rPr>
            </w:pPr>
            <w:r w:rsidRPr="002E21E7">
              <w:rPr>
                <w:rFonts w:cs="Arial"/>
                <w:sz w:val="20"/>
              </w:rPr>
              <w:t>S30003</w:t>
            </w:r>
          </w:p>
        </w:tc>
        <w:tc>
          <w:tcPr>
            <w:tcW w:w="783" w:type="pct"/>
            <w:tcBorders>
              <w:top w:val="single" w:sz="4" w:space="0" w:color="auto"/>
              <w:left w:val="single" w:sz="4" w:space="0" w:color="auto"/>
              <w:bottom w:val="single" w:sz="4" w:space="0" w:color="auto"/>
              <w:right w:val="single" w:sz="4" w:space="0" w:color="auto"/>
            </w:tcBorders>
          </w:tcPr>
          <w:p w14:paraId="7EB2F868" w14:textId="77777777" w:rsidR="005E7650" w:rsidRPr="002E21E7" w:rsidRDefault="005E7650" w:rsidP="002047A7">
            <w:pPr>
              <w:spacing w:before="60" w:after="60"/>
              <w:rPr>
                <w:rFonts w:cs="Arial"/>
                <w:sz w:val="20"/>
              </w:rPr>
            </w:pPr>
            <w:r w:rsidRPr="002E21E7">
              <w:rPr>
                <w:rFonts w:cs="Arial"/>
                <w:sz w:val="20"/>
              </w:rPr>
              <w:t xml:space="preserve">Gynaecology –Subsequent attendance </w:t>
            </w:r>
          </w:p>
        </w:tc>
        <w:tc>
          <w:tcPr>
            <w:tcW w:w="2873" w:type="pct"/>
            <w:tcBorders>
              <w:top w:val="single" w:sz="4" w:space="0" w:color="auto"/>
              <w:left w:val="single" w:sz="4" w:space="0" w:color="auto"/>
              <w:bottom w:val="single" w:sz="4" w:space="0" w:color="auto"/>
              <w:right w:val="single" w:sz="4" w:space="0" w:color="auto"/>
            </w:tcBorders>
          </w:tcPr>
          <w:p w14:paraId="32F0BAF3" w14:textId="77777777" w:rsidR="005E7650" w:rsidRPr="002E21E7" w:rsidRDefault="005E7650" w:rsidP="002047A7">
            <w:pPr>
              <w:spacing w:before="60" w:after="60"/>
              <w:rPr>
                <w:rFonts w:cs="Arial"/>
                <w:sz w:val="20"/>
              </w:rPr>
            </w:pPr>
            <w:r w:rsidRPr="002E21E7">
              <w:rPr>
                <w:rFonts w:cs="Arial"/>
                <w:sz w:val="20"/>
              </w:rPr>
              <w:t>Follow-up attendances to gynaecologist or medical officer at registrar level or above or nurse practitioner. Excludes colposcopy and minor procedures.</w:t>
            </w:r>
          </w:p>
        </w:tc>
        <w:tc>
          <w:tcPr>
            <w:tcW w:w="754" w:type="pct"/>
            <w:tcBorders>
              <w:top w:val="single" w:sz="4" w:space="0" w:color="auto"/>
              <w:left w:val="single" w:sz="4" w:space="0" w:color="auto"/>
              <w:bottom w:val="single" w:sz="4" w:space="0" w:color="auto"/>
              <w:right w:val="single" w:sz="4" w:space="0" w:color="auto"/>
            </w:tcBorders>
          </w:tcPr>
          <w:p w14:paraId="5840B7D8" w14:textId="77777777" w:rsidR="005E7650" w:rsidRPr="002E21E7" w:rsidRDefault="005E7650" w:rsidP="002047A7">
            <w:pPr>
              <w:spacing w:before="60" w:after="60"/>
              <w:rPr>
                <w:rFonts w:cs="Arial"/>
                <w:sz w:val="20"/>
              </w:rPr>
            </w:pPr>
            <w:r w:rsidRPr="002E21E7">
              <w:rPr>
                <w:rFonts w:cs="Arial"/>
                <w:sz w:val="20"/>
              </w:rPr>
              <w:t xml:space="preserve">Attendance </w:t>
            </w:r>
          </w:p>
        </w:tc>
      </w:tr>
      <w:tr w:rsidR="005E7650" w:rsidRPr="002A404C" w14:paraId="60F712EC" w14:textId="77777777" w:rsidTr="00BC0DBD">
        <w:trPr>
          <w:cantSplit/>
        </w:trPr>
        <w:tc>
          <w:tcPr>
            <w:tcW w:w="590" w:type="pct"/>
            <w:tcBorders>
              <w:top w:val="single" w:sz="4" w:space="0" w:color="auto"/>
              <w:left w:val="single" w:sz="4" w:space="0" w:color="auto"/>
              <w:bottom w:val="single" w:sz="4" w:space="0" w:color="auto"/>
              <w:right w:val="single" w:sz="4" w:space="0" w:color="auto"/>
            </w:tcBorders>
          </w:tcPr>
          <w:p w14:paraId="4E13B49A" w14:textId="77777777" w:rsidR="005E7650" w:rsidRPr="002E21E7" w:rsidRDefault="005E7650" w:rsidP="002047A7">
            <w:pPr>
              <w:spacing w:before="60" w:after="60"/>
              <w:rPr>
                <w:rFonts w:cs="Arial"/>
                <w:sz w:val="20"/>
              </w:rPr>
            </w:pPr>
            <w:r w:rsidRPr="002E21E7">
              <w:rPr>
                <w:rFonts w:cs="Arial"/>
                <w:sz w:val="20"/>
              </w:rPr>
              <w:t>S30006</w:t>
            </w:r>
          </w:p>
        </w:tc>
        <w:tc>
          <w:tcPr>
            <w:tcW w:w="783" w:type="pct"/>
            <w:tcBorders>
              <w:top w:val="single" w:sz="4" w:space="0" w:color="auto"/>
              <w:left w:val="single" w:sz="4" w:space="0" w:color="auto"/>
              <w:bottom w:val="single" w:sz="4" w:space="0" w:color="auto"/>
              <w:right w:val="single" w:sz="4" w:space="0" w:color="auto"/>
            </w:tcBorders>
          </w:tcPr>
          <w:p w14:paraId="65044844" w14:textId="77777777" w:rsidR="005E7650" w:rsidRPr="002E21E7" w:rsidRDefault="005E7650" w:rsidP="002047A7">
            <w:pPr>
              <w:spacing w:before="60" w:after="60"/>
              <w:rPr>
                <w:rFonts w:cs="Arial"/>
                <w:sz w:val="20"/>
              </w:rPr>
            </w:pPr>
            <w:r>
              <w:rPr>
                <w:rFonts w:cs="Arial"/>
                <w:sz w:val="20"/>
              </w:rPr>
              <w:t xml:space="preserve">Surgical </w:t>
            </w:r>
            <w:r w:rsidRPr="002E21E7">
              <w:rPr>
                <w:rFonts w:cs="Arial"/>
                <w:sz w:val="20"/>
              </w:rPr>
              <w:t>Termination of Pregnancy Surgical –  1</w:t>
            </w:r>
            <w:r w:rsidRPr="002E21E7">
              <w:rPr>
                <w:rFonts w:cs="Arial"/>
                <w:sz w:val="20"/>
                <w:vertAlign w:val="superscript"/>
              </w:rPr>
              <w:t>st</w:t>
            </w:r>
            <w:r w:rsidRPr="002E21E7">
              <w:rPr>
                <w:rFonts w:cs="Arial"/>
                <w:sz w:val="20"/>
              </w:rPr>
              <w:t xml:space="preserve"> trimester</w:t>
            </w:r>
          </w:p>
        </w:tc>
        <w:tc>
          <w:tcPr>
            <w:tcW w:w="2873" w:type="pct"/>
            <w:tcBorders>
              <w:top w:val="single" w:sz="4" w:space="0" w:color="auto"/>
              <w:left w:val="single" w:sz="4" w:space="0" w:color="auto"/>
              <w:bottom w:val="single" w:sz="4" w:space="0" w:color="auto"/>
              <w:right w:val="single" w:sz="4" w:space="0" w:color="auto"/>
            </w:tcBorders>
          </w:tcPr>
          <w:p w14:paraId="70554E1D" w14:textId="77777777" w:rsidR="005E7650" w:rsidRPr="002E21E7" w:rsidRDefault="005E7650" w:rsidP="00BC0DBD">
            <w:pPr>
              <w:spacing w:before="60" w:after="60"/>
              <w:rPr>
                <w:rFonts w:cs="Arial"/>
                <w:sz w:val="20"/>
              </w:rPr>
            </w:pPr>
            <w:r w:rsidRPr="002047A7">
              <w:rPr>
                <w:rFonts w:cs="Arial"/>
                <w:sz w:val="20"/>
              </w:rPr>
              <w:t>Non-acute Surgical Termination of Pregnancy (ToP) performed as an outpatient or elective day case during the first trimester of pregnancy up to 13 weeks.  Includes specialist consultation.</w:t>
            </w:r>
          </w:p>
        </w:tc>
        <w:tc>
          <w:tcPr>
            <w:tcW w:w="754" w:type="pct"/>
            <w:tcBorders>
              <w:top w:val="single" w:sz="4" w:space="0" w:color="auto"/>
              <w:left w:val="single" w:sz="4" w:space="0" w:color="auto"/>
              <w:bottom w:val="single" w:sz="4" w:space="0" w:color="auto"/>
              <w:right w:val="single" w:sz="4" w:space="0" w:color="auto"/>
            </w:tcBorders>
          </w:tcPr>
          <w:p w14:paraId="13A2A094" w14:textId="77777777" w:rsidR="005E7650" w:rsidRPr="002E21E7" w:rsidRDefault="005E7650" w:rsidP="002047A7">
            <w:pPr>
              <w:spacing w:before="60" w:after="60"/>
              <w:rPr>
                <w:rFonts w:cs="Arial"/>
                <w:sz w:val="20"/>
              </w:rPr>
            </w:pPr>
            <w:r w:rsidRPr="002E21E7">
              <w:rPr>
                <w:rFonts w:cs="Arial"/>
                <w:sz w:val="20"/>
              </w:rPr>
              <w:t xml:space="preserve">Procedure </w:t>
            </w:r>
          </w:p>
        </w:tc>
      </w:tr>
      <w:tr w:rsidR="005E7650" w:rsidRPr="002A404C" w14:paraId="5D148D78" w14:textId="77777777" w:rsidTr="00BC0DBD">
        <w:trPr>
          <w:cantSplit/>
        </w:trPr>
        <w:tc>
          <w:tcPr>
            <w:tcW w:w="590" w:type="pct"/>
            <w:tcBorders>
              <w:top w:val="single" w:sz="4" w:space="0" w:color="auto"/>
              <w:left w:val="single" w:sz="4" w:space="0" w:color="auto"/>
              <w:bottom w:val="single" w:sz="4" w:space="0" w:color="auto"/>
              <w:right w:val="single" w:sz="4" w:space="0" w:color="auto"/>
            </w:tcBorders>
          </w:tcPr>
          <w:p w14:paraId="019DDAAE" w14:textId="77777777" w:rsidR="005E7650" w:rsidRPr="002E21E7" w:rsidRDefault="005E7650" w:rsidP="002047A7">
            <w:pPr>
              <w:spacing w:before="60" w:after="60"/>
              <w:rPr>
                <w:rFonts w:cs="Arial"/>
                <w:sz w:val="20"/>
              </w:rPr>
            </w:pPr>
            <w:r w:rsidRPr="002E21E7">
              <w:rPr>
                <w:rFonts w:cs="Arial"/>
                <w:sz w:val="20"/>
              </w:rPr>
              <w:t>S30007</w:t>
            </w:r>
          </w:p>
        </w:tc>
        <w:tc>
          <w:tcPr>
            <w:tcW w:w="783" w:type="pct"/>
            <w:tcBorders>
              <w:top w:val="single" w:sz="4" w:space="0" w:color="auto"/>
              <w:left w:val="single" w:sz="4" w:space="0" w:color="auto"/>
              <w:bottom w:val="single" w:sz="4" w:space="0" w:color="auto"/>
              <w:right w:val="single" w:sz="4" w:space="0" w:color="auto"/>
            </w:tcBorders>
          </w:tcPr>
          <w:p w14:paraId="1FDAEAC1" w14:textId="77777777" w:rsidR="005E7650" w:rsidRPr="002E21E7" w:rsidRDefault="005E7650" w:rsidP="002047A7">
            <w:pPr>
              <w:spacing w:before="60" w:after="60"/>
              <w:rPr>
                <w:rFonts w:cs="Arial"/>
                <w:sz w:val="20"/>
              </w:rPr>
            </w:pPr>
            <w:r>
              <w:rPr>
                <w:rFonts w:cs="Arial"/>
                <w:sz w:val="20"/>
              </w:rPr>
              <w:t>Tertiary</w:t>
            </w:r>
            <w:r w:rsidRPr="002E21E7">
              <w:rPr>
                <w:rFonts w:cs="Arial"/>
                <w:sz w:val="20"/>
              </w:rPr>
              <w:t xml:space="preserve"> Infertility Services</w:t>
            </w:r>
          </w:p>
        </w:tc>
        <w:tc>
          <w:tcPr>
            <w:tcW w:w="2873" w:type="pct"/>
            <w:tcBorders>
              <w:top w:val="single" w:sz="4" w:space="0" w:color="auto"/>
              <w:left w:val="single" w:sz="4" w:space="0" w:color="auto"/>
              <w:bottom w:val="single" w:sz="4" w:space="0" w:color="auto"/>
              <w:right w:val="single" w:sz="4" w:space="0" w:color="auto"/>
            </w:tcBorders>
          </w:tcPr>
          <w:p w14:paraId="2C6CA1AB" w14:textId="77777777" w:rsidR="005E7650" w:rsidRPr="002E21E7" w:rsidRDefault="005E7650" w:rsidP="002047A7">
            <w:pPr>
              <w:spacing w:before="60" w:after="60"/>
              <w:rPr>
                <w:rFonts w:cs="Arial"/>
                <w:sz w:val="20"/>
              </w:rPr>
            </w:pPr>
            <w:r w:rsidRPr="002E21E7">
              <w:rPr>
                <w:rFonts w:cs="Arial"/>
                <w:sz w:val="20"/>
              </w:rPr>
              <w:t>Assessments and work up for eligibility to access Fertility Services</w:t>
            </w:r>
          </w:p>
        </w:tc>
        <w:tc>
          <w:tcPr>
            <w:tcW w:w="754" w:type="pct"/>
            <w:tcBorders>
              <w:top w:val="single" w:sz="4" w:space="0" w:color="auto"/>
              <w:left w:val="single" w:sz="4" w:space="0" w:color="auto"/>
              <w:bottom w:val="single" w:sz="4" w:space="0" w:color="auto"/>
              <w:right w:val="single" w:sz="4" w:space="0" w:color="auto"/>
            </w:tcBorders>
          </w:tcPr>
          <w:p w14:paraId="5E82DAE6" w14:textId="77777777" w:rsidR="005E7650" w:rsidRPr="002E21E7" w:rsidRDefault="005E7650" w:rsidP="002047A7">
            <w:pPr>
              <w:spacing w:before="60" w:after="60"/>
              <w:rPr>
                <w:rFonts w:cs="Arial"/>
                <w:sz w:val="20"/>
              </w:rPr>
            </w:pPr>
            <w:r w:rsidRPr="002E21E7">
              <w:rPr>
                <w:rFonts w:cs="Arial"/>
                <w:sz w:val="20"/>
              </w:rPr>
              <w:t>Assessment</w:t>
            </w:r>
          </w:p>
        </w:tc>
      </w:tr>
      <w:tr w:rsidR="005E7650" w:rsidRPr="002A404C" w14:paraId="022DF62D" w14:textId="77777777" w:rsidTr="00BC0DBD">
        <w:trPr>
          <w:cantSplit/>
        </w:trPr>
        <w:tc>
          <w:tcPr>
            <w:tcW w:w="590" w:type="pct"/>
            <w:tcBorders>
              <w:top w:val="single" w:sz="4" w:space="0" w:color="auto"/>
              <w:left w:val="single" w:sz="4" w:space="0" w:color="auto"/>
              <w:bottom w:val="single" w:sz="4" w:space="0" w:color="auto"/>
              <w:right w:val="single" w:sz="4" w:space="0" w:color="auto"/>
            </w:tcBorders>
          </w:tcPr>
          <w:p w14:paraId="788429EE" w14:textId="77777777" w:rsidR="005E7650" w:rsidRPr="002E21E7" w:rsidRDefault="005E7650" w:rsidP="002047A7">
            <w:pPr>
              <w:spacing w:before="60" w:after="60"/>
              <w:rPr>
                <w:rFonts w:cs="Arial"/>
                <w:sz w:val="20"/>
              </w:rPr>
            </w:pPr>
            <w:r w:rsidRPr="002E21E7">
              <w:rPr>
                <w:rFonts w:cs="Arial"/>
                <w:sz w:val="20"/>
              </w:rPr>
              <w:t>S30008</w:t>
            </w:r>
          </w:p>
        </w:tc>
        <w:tc>
          <w:tcPr>
            <w:tcW w:w="783" w:type="pct"/>
            <w:tcBorders>
              <w:top w:val="single" w:sz="4" w:space="0" w:color="auto"/>
              <w:left w:val="single" w:sz="4" w:space="0" w:color="auto"/>
              <w:bottom w:val="single" w:sz="4" w:space="0" w:color="auto"/>
              <w:right w:val="single" w:sz="4" w:space="0" w:color="auto"/>
            </w:tcBorders>
          </w:tcPr>
          <w:p w14:paraId="01497A8A" w14:textId="77777777" w:rsidR="005E7650" w:rsidRPr="002E21E7" w:rsidRDefault="005E7650" w:rsidP="002047A7">
            <w:pPr>
              <w:spacing w:before="60" w:after="60"/>
              <w:rPr>
                <w:rFonts w:cs="Arial"/>
                <w:sz w:val="20"/>
              </w:rPr>
            </w:pPr>
            <w:r w:rsidRPr="002E21E7">
              <w:rPr>
                <w:rFonts w:cs="Arial"/>
                <w:sz w:val="20"/>
              </w:rPr>
              <w:t>Gynaecology  Minor Procedure – High Cost</w:t>
            </w:r>
          </w:p>
        </w:tc>
        <w:tc>
          <w:tcPr>
            <w:tcW w:w="2873" w:type="pct"/>
            <w:tcBorders>
              <w:top w:val="single" w:sz="4" w:space="0" w:color="auto"/>
              <w:left w:val="single" w:sz="4" w:space="0" w:color="auto"/>
              <w:bottom w:val="single" w:sz="4" w:space="0" w:color="auto"/>
              <w:right w:val="single" w:sz="4" w:space="0" w:color="auto"/>
            </w:tcBorders>
          </w:tcPr>
          <w:p w14:paraId="7AEEA2F9" w14:textId="77777777" w:rsidR="005E7650" w:rsidRPr="002E21E7" w:rsidRDefault="005E7650" w:rsidP="002047A7">
            <w:pPr>
              <w:spacing w:before="60" w:after="60"/>
              <w:rPr>
                <w:rFonts w:cs="Arial"/>
                <w:sz w:val="20"/>
              </w:rPr>
            </w:pPr>
            <w:r>
              <w:rPr>
                <w:rFonts w:cs="Arial"/>
                <w:sz w:val="20"/>
              </w:rPr>
              <w:t>Outpatient procedures where the purpose of the attendance is to receive the procedure and the patient is not admitted.  Includes Mirena procedures.  Excludes colposcopies and NCSP-20 purchases.</w:t>
            </w:r>
          </w:p>
        </w:tc>
        <w:tc>
          <w:tcPr>
            <w:tcW w:w="754" w:type="pct"/>
            <w:tcBorders>
              <w:top w:val="single" w:sz="4" w:space="0" w:color="auto"/>
              <w:left w:val="single" w:sz="4" w:space="0" w:color="auto"/>
              <w:bottom w:val="single" w:sz="4" w:space="0" w:color="auto"/>
              <w:right w:val="single" w:sz="4" w:space="0" w:color="auto"/>
            </w:tcBorders>
          </w:tcPr>
          <w:p w14:paraId="2FEF160E" w14:textId="77777777" w:rsidR="005E7650" w:rsidRPr="002E21E7" w:rsidRDefault="005E7650" w:rsidP="002047A7">
            <w:pPr>
              <w:spacing w:before="60" w:after="60"/>
              <w:rPr>
                <w:rFonts w:cs="Arial"/>
                <w:sz w:val="20"/>
              </w:rPr>
            </w:pPr>
            <w:r w:rsidRPr="002E21E7">
              <w:rPr>
                <w:rFonts w:cs="Arial"/>
                <w:sz w:val="20"/>
              </w:rPr>
              <w:t>Procedure</w:t>
            </w:r>
          </w:p>
        </w:tc>
      </w:tr>
      <w:tr w:rsidR="005E7650" w:rsidRPr="002A404C" w14:paraId="1752342C" w14:textId="77777777" w:rsidTr="00BC0DBD">
        <w:trPr>
          <w:cantSplit/>
        </w:trPr>
        <w:tc>
          <w:tcPr>
            <w:tcW w:w="590" w:type="pct"/>
            <w:tcBorders>
              <w:top w:val="single" w:sz="4" w:space="0" w:color="auto"/>
              <w:left w:val="single" w:sz="4" w:space="0" w:color="auto"/>
              <w:bottom w:val="single" w:sz="4" w:space="0" w:color="auto"/>
              <w:right w:val="single" w:sz="4" w:space="0" w:color="auto"/>
            </w:tcBorders>
          </w:tcPr>
          <w:p w14:paraId="3849BCB8" w14:textId="77777777" w:rsidR="005E7650" w:rsidRPr="002E21E7" w:rsidRDefault="005E7650" w:rsidP="002047A7">
            <w:pPr>
              <w:spacing w:before="60" w:after="60"/>
              <w:rPr>
                <w:rFonts w:cs="Arial"/>
                <w:sz w:val="20"/>
              </w:rPr>
            </w:pPr>
            <w:r w:rsidRPr="002E21E7">
              <w:rPr>
                <w:rFonts w:cs="Arial"/>
                <w:sz w:val="20"/>
              </w:rPr>
              <w:t>S30009</w:t>
            </w:r>
          </w:p>
        </w:tc>
        <w:tc>
          <w:tcPr>
            <w:tcW w:w="783" w:type="pct"/>
            <w:tcBorders>
              <w:top w:val="single" w:sz="4" w:space="0" w:color="auto"/>
              <w:left w:val="single" w:sz="4" w:space="0" w:color="auto"/>
              <w:bottom w:val="single" w:sz="4" w:space="0" w:color="auto"/>
              <w:right w:val="single" w:sz="4" w:space="0" w:color="auto"/>
            </w:tcBorders>
          </w:tcPr>
          <w:p w14:paraId="7FD9A44D" w14:textId="77777777" w:rsidR="005E7650" w:rsidRPr="002E21E7" w:rsidRDefault="005E7650" w:rsidP="002047A7">
            <w:pPr>
              <w:spacing w:before="60" w:after="60"/>
              <w:rPr>
                <w:rFonts w:cs="Arial"/>
                <w:sz w:val="20"/>
              </w:rPr>
            </w:pPr>
            <w:r>
              <w:rPr>
                <w:rFonts w:cs="Arial"/>
                <w:sz w:val="20"/>
              </w:rPr>
              <w:t xml:space="preserve">Surgical </w:t>
            </w:r>
            <w:r w:rsidRPr="002E21E7">
              <w:rPr>
                <w:rFonts w:cs="Arial"/>
                <w:sz w:val="20"/>
              </w:rPr>
              <w:t>Termination of Pregnancy Surgical – 2</w:t>
            </w:r>
            <w:r w:rsidRPr="002E21E7">
              <w:rPr>
                <w:rFonts w:cs="Arial"/>
                <w:sz w:val="20"/>
                <w:vertAlign w:val="superscript"/>
              </w:rPr>
              <w:t>nd</w:t>
            </w:r>
            <w:r w:rsidRPr="002E21E7">
              <w:rPr>
                <w:rFonts w:cs="Arial"/>
                <w:sz w:val="20"/>
              </w:rPr>
              <w:t xml:space="preserve"> trimester</w:t>
            </w:r>
          </w:p>
        </w:tc>
        <w:tc>
          <w:tcPr>
            <w:tcW w:w="2873" w:type="pct"/>
            <w:tcBorders>
              <w:top w:val="single" w:sz="4" w:space="0" w:color="auto"/>
              <w:left w:val="single" w:sz="4" w:space="0" w:color="auto"/>
              <w:bottom w:val="single" w:sz="4" w:space="0" w:color="auto"/>
              <w:right w:val="single" w:sz="4" w:space="0" w:color="auto"/>
            </w:tcBorders>
          </w:tcPr>
          <w:p w14:paraId="5B811D6D" w14:textId="77777777" w:rsidR="005E7650" w:rsidRPr="002047A7" w:rsidRDefault="005E7650" w:rsidP="002047A7">
            <w:pPr>
              <w:spacing w:before="60" w:after="60"/>
              <w:rPr>
                <w:rFonts w:cs="Arial"/>
                <w:color w:val="000000"/>
                <w:sz w:val="20"/>
              </w:rPr>
            </w:pPr>
            <w:r w:rsidRPr="002047A7">
              <w:rPr>
                <w:rFonts w:cs="Arial"/>
                <w:color w:val="000000"/>
                <w:sz w:val="20"/>
              </w:rPr>
              <w:t>Non-acute Surgical Termination of Pregnancy (ToP) performed as an outpatient or elective day case during the second trimester of pregnancy up to 19 weeks.  Includes obstetrics or gynaecology specialist consultation.</w:t>
            </w:r>
          </w:p>
        </w:tc>
        <w:tc>
          <w:tcPr>
            <w:tcW w:w="754" w:type="pct"/>
            <w:tcBorders>
              <w:top w:val="single" w:sz="4" w:space="0" w:color="auto"/>
              <w:left w:val="single" w:sz="4" w:space="0" w:color="auto"/>
              <w:bottom w:val="single" w:sz="4" w:space="0" w:color="auto"/>
              <w:right w:val="single" w:sz="4" w:space="0" w:color="auto"/>
            </w:tcBorders>
          </w:tcPr>
          <w:p w14:paraId="0352B764" w14:textId="77777777" w:rsidR="005E7650" w:rsidRPr="002E21E7" w:rsidRDefault="005E7650" w:rsidP="002047A7">
            <w:pPr>
              <w:spacing w:before="60" w:after="60"/>
              <w:rPr>
                <w:rFonts w:cs="Arial"/>
                <w:sz w:val="20"/>
              </w:rPr>
            </w:pPr>
            <w:r w:rsidRPr="002E21E7">
              <w:rPr>
                <w:rFonts w:cs="Arial"/>
                <w:sz w:val="20"/>
              </w:rPr>
              <w:t>Procedure</w:t>
            </w:r>
          </w:p>
        </w:tc>
      </w:tr>
      <w:tr w:rsidR="005E7650" w:rsidRPr="002A404C" w14:paraId="0053B746" w14:textId="77777777" w:rsidTr="00273612">
        <w:trPr>
          <w:cantSplit/>
        </w:trPr>
        <w:tc>
          <w:tcPr>
            <w:tcW w:w="590" w:type="pct"/>
            <w:tcBorders>
              <w:top w:val="single" w:sz="4" w:space="0" w:color="auto"/>
              <w:left w:val="single" w:sz="4" w:space="0" w:color="auto"/>
              <w:bottom w:val="single" w:sz="4" w:space="0" w:color="auto"/>
              <w:right w:val="single" w:sz="4" w:space="0" w:color="auto"/>
            </w:tcBorders>
          </w:tcPr>
          <w:p w14:paraId="47A84258" w14:textId="77777777" w:rsidR="005E7650" w:rsidRPr="00FE01CC" w:rsidRDefault="005E7650" w:rsidP="002047A7">
            <w:pPr>
              <w:spacing w:before="60" w:after="60"/>
              <w:rPr>
                <w:rFonts w:cs="Arial"/>
                <w:sz w:val="20"/>
              </w:rPr>
            </w:pPr>
            <w:r w:rsidRPr="00FE01CC">
              <w:rPr>
                <w:rFonts w:cs="Arial"/>
                <w:sz w:val="20"/>
              </w:rPr>
              <w:lastRenderedPageBreak/>
              <w:t>S300</w:t>
            </w:r>
            <w:r>
              <w:rPr>
                <w:rFonts w:cs="Arial"/>
                <w:sz w:val="20"/>
              </w:rPr>
              <w:t>10</w:t>
            </w:r>
          </w:p>
        </w:tc>
        <w:tc>
          <w:tcPr>
            <w:tcW w:w="783" w:type="pct"/>
            <w:tcBorders>
              <w:top w:val="single" w:sz="4" w:space="0" w:color="auto"/>
              <w:left w:val="single" w:sz="4" w:space="0" w:color="auto"/>
              <w:bottom w:val="single" w:sz="4" w:space="0" w:color="auto"/>
              <w:right w:val="single" w:sz="4" w:space="0" w:color="auto"/>
            </w:tcBorders>
            <w:vAlign w:val="center"/>
          </w:tcPr>
          <w:p w14:paraId="1D0609F4" w14:textId="77777777" w:rsidR="005E7650" w:rsidRPr="00FE01CC" w:rsidRDefault="005E7650" w:rsidP="002047A7">
            <w:pPr>
              <w:spacing w:before="60" w:after="60"/>
              <w:rPr>
                <w:rFonts w:cs="Arial"/>
                <w:sz w:val="20"/>
                <w:lang w:val="en-NZ" w:eastAsia="en-NZ"/>
              </w:rPr>
            </w:pPr>
            <w:r w:rsidRPr="00FE01CC">
              <w:rPr>
                <w:rFonts w:cs="Arial"/>
                <w:sz w:val="20"/>
                <w:lang w:val="en-NZ" w:eastAsia="en-NZ"/>
              </w:rPr>
              <w:t xml:space="preserve">Medical Termination of Pregnancy - treatment </w:t>
            </w:r>
          </w:p>
        </w:tc>
        <w:tc>
          <w:tcPr>
            <w:tcW w:w="2873" w:type="pct"/>
            <w:tcBorders>
              <w:top w:val="single" w:sz="4" w:space="0" w:color="auto"/>
              <w:left w:val="single" w:sz="4" w:space="0" w:color="auto"/>
              <w:bottom w:val="single" w:sz="4" w:space="0" w:color="auto"/>
              <w:right w:val="single" w:sz="4" w:space="0" w:color="auto"/>
            </w:tcBorders>
          </w:tcPr>
          <w:p w14:paraId="0BB8A345" w14:textId="77777777" w:rsidR="005E7650" w:rsidRPr="00FE01CC" w:rsidRDefault="005E7650" w:rsidP="002047A7">
            <w:pPr>
              <w:spacing w:before="60" w:after="60"/>
              <w:rPr>
                <w:rFonts w:cs="Arial"/>
                <w:sz w:val="20"/>
                <w:lang w:val="en-NZ" w:eastAsia="en-NZ"/>
              </w:rPr>
            </w:pPr>
            <w:r w:rsidRPr="00FE01CC">
              <w:rPr>
                <w:rFonts w:cs="Arial"/>
                <w:sz w:val="20"/>
                <w:lang w:val="en-NZ" w:eastAsia="en-NZ"/>
              </w:rPr>
              <w:t>Non-acute medical Termination of Pregnancy (ToP) performed as a non-surgical outpatient or elective day case</w:t>
            </w:r>
          </w:p>
        </w:tc>
        <w:tc>
          <w:tcPr>
            <w:tcW w:w="754" w:type="pct"/>
            <w:tcBorders>
              <w:top w:val="single" w:sz="4" w:space="0" w:color="auto"/>
              <w:left w:val="single" w:sz="4" w:space="0" w:color="auto"/>
              <w:bottom w:val="single" w:sz="4" w:space="0" w:color="auto"/>
              <w:right w:val="single" w:sz="4" w:space="0" w:color="auto"/>
            </w:tcBorders>
          </w:tcPr>
          <w:p w14:paraId="455C4870" w14:textId="77777777" w:rsidR="005E7650" w:rsidRPr="00FE01CC" w:rsidRDefault="005E7650" w:rsidP="002047A7">
            <w:pPr>
              <w:spacing w:before="60" w:after="60"/>
              <w:rPr>
                <w:rFonts w:cs="Arial"/>
                <w:sz w:val="20"/>
              </w:rPr>
            </w:pPr>
            <w:r w:rsidRPr="00FE01CC">
              <w:rPr>
                <w:rFonts w:cs="Arial"/>
                <w:sz w:val="20"/>
              </w:rPr>
              <w:t>Treatment</w:t>
            </w:r>
          </w:p>
        </w:tc>
      </w:tr>
      <w:tr w:rsidR="005E7650" w:rsidRPr="002A404C" w14:paraId="2894B7E9" w14:textId="77777777" w:rsidTr="00BC0DBD">
        <w:trPr>
          <w:cantSplit/>
        </w:trPr>
        <w:tc>
          <w:tcPr>
            <w:tcW w:w="590" w:type="pct"/>
            <w:tcBorders>
              <w:top w:val="single" w:sz="4" w:space="0" w:color="auto"/>
              <w:left w:val="single" w:sz="4" w:space="0" w:color="auto"/>
              <w:bottom w:val="single" w:sz="4" w:space="0" w:color="auto"/>
              <w:right w:val="single" w:sz="4" w:space="0" w:color="auto"/>
            </w:tcBorders>
          </w:tcPr>
          <w:p w14:paraId="26AAAFF4" w14:textId="77777777" w:rsidR="005E7650" w:rsidRPr="00FE01CC" w:rsidRDefault="005E7650" w:rsidP="002047A7">
            <w:pPr>
              <w:spacing w:before="60" w:after="60"/>
              <w:rPr>
                <w:rFonts w:cs="Arial"/>
                <w:sz w:val="20"/>
              </w:rPr>
            </w:pPr>
            <w:r w:rsidRPr="00FE01CC">
              <w:rPr>
                <w:rFonts w:cs="Arial"/>
                <w:sz w:val="20"/>
              </w:rPr>
              <w:t>S300</w:t>
            </w:r>
            <w:r>
              <w:rPr>
                <w:rFonts w:cs="Arial"/>
                <w:sz w:val="20"/>
              </w:rPr>
              <w:t>11</w:t>
            </w:r>
            <w:r w:rsidRPr="00FE01CC">
              <w:rPr>
                <w:rFonts w:cs="Arial"/>
                <w:sz w:val="20"/>
              </w:rPr>
              <w:t xml:space="preserve"> </w:t>
            </w:r>
          </w:p>
        </w:tc>
        <w:tc>
          <w:tcPr>
            <w:tcW w:w="783" w:type="pct"/>
            <w:tcBorders>
              <w:top w:val="single" w:sz="4" w:space="0" w:color="auto"/>
              <w:left w:val="single" w:sz="4" w:space="0" w:color="auto"/>
              <w:bottom w:val="single" w:sz="4" w:space="0" w:color="auto"/>
              <w:right w:val="single" w:sz="4" w:space="0" w:color="auto"/>
            </w:tcBorders>
            <w:vAlign w:val="center"/>
          </w:tcPr>
          <w:p w14:paraId="7D2CEDF8" w14:textId="77777777" w:rsidR="005E7650" w:rsidRPr="00FE01CC" w:rsidRDefault="005E7650" w:rsidP="002047A7">
            <w:pPr>
              <w:spacing w:before="60" w:after="60"/>
              <w:rPr>
                <w:rFonts w:cs="Arial"/>
                <w:sz w:val="20"/>
                <w:lang w:val="en-NZ" w:eastAsia="en-NZ"/>
              </w:rPr>
            </w:pPr>
            <w:r w:rsidRPr="00FE01CC">
              <w:rPr>
                <w:rFonts w:cs="Arial"/>
                <w:sz w:val="20"/>
                <w:lang w:val="en-NZ" w:eastAsia="en-NZ"/>
              </w:rPr>
              <w:t xml:space="preserve">Medical Termination of Pregnancy - FU </w:t>
            </w:r>
          </w:p>
        </w:tc>
        <w:tc>
          <w:tcPr>
            <w:tcW w:w="2873" w:type="pct"/>
            <w:tcBorders>
              <w:top w:val="single" w:sz="4" w:space="0" w:color="auto"/>
              <w:left w:val="single" w:sz="4" w:space="0" w:color="auto"/>
              <w:bottom w:val="single" w:sz="4" w:space="0" w:color="auto"/>
              <w:right w:val="single" w:sz="4" w:space="0" w:color="auto"/>
            </w:tcBorders>
            <w:vAlign w:val="center"/>
          </w:tcPr>
          <w:p w14:paraId="3FB23283" w14:textId="77777777" w:rsidR="005E7650" w:rsidRPr="00FE01CC" w:rsidRDefault="005E7650" w:rsidP="002047A7">
            <w:pPr>
              <w:spacing w:before="60" w:after="60"/>
              <w:rPr>
                <w:rFonts w:cs="Arial"/>
                <w:sz w:val="20"/>
                <w:lang w:val="en-NZ" w:eastAsia="en-NZ"/>
              </w:rPr>
            </w:pPr>
            <w:r w:rsidRPr="00FE01CC">
              <w:rPr>
                <w:rFonts w:cs="Arial"/>
                <w:sz w:val="20"/>
                <w:lang w:val="en-NZ" w:eastAsia="en-NZ"/>
              </w:rPr>
              <w:t xml:space="preserve">Follow up as part of a non-acute medical Termination of Pregnancy (ToP) performed as a non-surgical outpatient or elective day case. </w:t>
            </w:r>
          </w:p>
        </w:tc>
        <w:tc>
          <w:tcPr>
            <w:tcW w:w="754" w:type="pct"/>
            <w:tcBorders>
              <w:top w:val="single" w:sz="4" w:space="0" w:color="auto"/>
              <w:left w:val="single" w:sz="4" w:space="0" w:color="auto"/>
              <w:bottom w:val="single" w:sz="4" w:space="0" w:color="auto"/>
              <w:right w:val="single" w:sz="4" w:space="0" w:color="auto"/>
            </w:tcBorders>
          </w:tcPr>
          <w:p w14:paraId="3248A954" w14:textId="77777777" w:rsidR="005E7650" w:rsidRPr="00FE01CC" w:rsidRDefault="005E7650" w:rsidP="002047A7">
            <w:pPr>
              <w:spacing w:before="60" w:after="60"/>
              <w:rPr>
                <w:rFonts w:cs="Arial"/>
                <w:sz w:val="20"/>
              </w:rPr>
            </w:pPr>
            <w:r w:rsidRPr="00FE01CC">
              <w:rPr>
                <w:rFonts w:cs="Arial"/>
                <w:sz w:val="20"/>
              </w:rPr>
              <w:t>Treatment</w:t>
            </w:r>
            <w:r w:rsidRPr="00FE01CC" w:rsidDel="006E111A">
              <w:rPr>
                <w:rFonts w:cs="Arial"/>
                <w:sz w:val="20"/>
              </w:rPr>
              <w:t xml:space="preserve"> </w:t>
            </w:r>
          </w:p>
        </w:tc>
      </w:tr>
    </w:tbl>
    <w:p w14:paraId="6C60288E" w14:textId="77777777" w:rsidR="00355500" w:rsidRDefault="00355500" w:rsidP="00F27B1A">
      <w:pPr>
        <w:spacing w:before="120" w:after="120"/>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909"/>
      </w:tblGrid>
      <w:tr w:rsidR="00355500" w14:paraId="57A37AF9" w14:textId="77777777" w:rsidTr="00DE094C">
        <w:tc>
          <w:tcPr>
            <w:tcW w:w="2405" w:type="dxa"/>
            <w:shd w:val="pct12" w:color="auto" w:fill="auto"/>
          </w:tcPr>
          <w:p w14:paraId="4000B14B" w14:textId="77777777" w:rsidR="00355500" w:rsidRPr="00D80AC8" w:rsidRDefault="00355500" w:rsidP="00D80AC8">
            <w:pPr>
              <w:spacing w:before="120"/>
              <w:rPr>
                <w:rFonts w:cs="Arial"/>
                <w:b/>
                <w:szCs w:val="22"/>
                <w:lang w:val="en-US"/>
              </w:rPr>
            </w:pPr>
            <w:r w:rsidRPr="00D80AC8">
              <w:rPr>
                <w:rFonts w:cs="Arial"/>
                <w:b/>
                <w:szCs w:val="22"/>
                <w:lang w:val="en-US"/>
              </w:rPr>
              <w:t>Unit of Measure</w:t>
            </w:r>
            <w:r w:rsidRPr="00D80AC8">
              <w:rPr>
                <w:rStyle w:val="FootnoteReference"/>
                <w:rFonts w:cs="Arial"/>
                <w:b/>
                <w:szCs w:val="22"/>
                <w:lang w:val="en-US"/>
              </w:rPr>
              <w:footnoteReference w:id="13"/>
            </w:r>
          </w:p>
        </w:tc>
        <w:tc>
          <w:tcPr>
            <w:tcW w:w="7909" w:type="dxa"/>
            <w:shd w:val="pct12" w:color="auto" w:fill="auto"/>
          </w:tcPr>
          <w:p w14:paraId="759E5EB0" w14:textId="77777777" w:rsidR="00355500" w:rsidRPr="00D80AC8" w:rsidRDefault="00355500" w:rsidP="00D80AC8">
            <w:pPr>
              <w:spacing w:before="120"/>
              <w:rPr>
                <w:rFonts w:cs="Arial"/>
                <w:b/>
                <w:szCs w:val="22"/>
                <w:lang w:val="en-US"/>
              </w:rPr>
            </w:pPr>
            <w:r w:rsidRPr="00D80AC8">
              <w:rPr>
                <w:rFonts w:cs="Arial"/>
                <w:b/>
                <w:szCs w:val="22"/>
                <w:lang w:val="en-US"/>
              </w:rPr>
              <w:t>Unity of Measure Definition</w:t>
            </w:r>
          </w:p>
        </w:tc>
      </w:tr>
      <w:tr w:rsidR="0011517D" w14:paraId="7DF91FDE" w14:textId="77777777" w:rsidTr="00DE094C">
        <w:tc>
          <w:tcPr>
            <w:tcW w:w="2405" w:type="dxa"/>
          </w:tcPr>
          <w:p w14:paraId="35B1982C" w14:textId="77777777" w:rsidR="0011517D" w:rsidRPr="00F1207D" w:rsidRDefault="0011517D" w:rsidP="00343773">
            <w:pPr>
              <w:spacing w:before="120" w:after="120"/>
              <w:rPr>
                <w:rFonts w:cs="Arial"/>
                <w:sz w:val="22"/>
                <w:szCs w:val="22"/>
                <w:lang w:val="en-US"/>
              </w:rPr>
            </w:pPr>
            <w:r w:rsidRPr="00F1207D">
              <w:rPr>
                <w:rFonts w:cs="Arial"/>
                <w:sz w:val="22"/>
                <w:szCs w:val="22"/>
                <w:lang w:val="en-US"/>
              </w:rPr>
              <w:t>Assessment</w:t>
            </w:r>
          </w:p>
        </w:tc>
        <w:tc>
          <w:tcPr>
            <w:tcW w:w="7909" w:type="dxa"/>
          </w:tcPr>
          <w:p w14:paraId="7927912B" w14:textId="77777777" w:rsidR="0011517D" w:rsidRPr="00F1207D" w:rsidRDefault="0011517D" w:rsidP="00343773">
            <w:pPr>
              <w:spacing w:before="120" w:after="120"/>
              <w:rPr>
                <w:rFonts w:cs="Arial"/>
                <w:sz w:val="22"/>
                <w:szCs w:val="22"/>
                <w:lang w:val="en-US"/>
              </w:rPr>
            </w:pPr>
            <w:r w:rsidRPr="00F1207D">
              <w:rPr>
                <w:rFonts w:cs="Arial"/>
                <w:sz w:val="22"/>
                <w:szCs w:val="22"/>
                <w:lang w:val="en-US"/>
              </w:rPr>
              <w:t>Number of assessments.  Initial assessments and reassessments should be counted separately.</w:t>
            </w:r>
          </w:p>
        </w:tc>
      </w:tr>
      <w:tr w:rsidR="0011517D" w14:paraId="547E5A52" w14:textId="77777777" w:rsidTr="00DE094C">
        <w:tc>
          <w:tcPr>
            <w:tcW w:w="2405" w:type="dxa"/>
          </w:tcPr>
          <w:p w14:paraId="59489496" w14:textId="77777777" w:rsidR="0011517D" w:rsidRPr="00F1207D" w:rsidRDefault="0011517D" w:rsidP="00343773">
            <w:pPr>
              <w:spacing w:before="120" w:after="120"/>
              <w:rPr>
                <w:rFonts w:cs="Arial"/>
                <w:sz w:val="22"/>
                <w:szCs w:val="22"/>
                <w:lang w:val="en-US"/>
              </w:rPr>
            </w:pPr>
            <w:r w:rsidRPr="00F1207D">
              <w:rPr>
                <w:rFonts w:cs="Arial"/>
                <w:sz w:val="22"/>
                <w:szCs w:val="22"/>
                <w:lang w:val="en-US"/>
              </w:rPr>
              <w:t>Attendance</w:t>
            </w:r>
          </w:p>
        </w:tc>
        <w:tc>
          <w:tcPr>
            <w:tcW w:w="7909" w:type="dxa"/>
          </w:tcPr>
          <w:p w14:paraId="507931F5" w14:textId="77777777" w:rsidR="0011517D" w:rsidRPr="00F1207D" w:rsidRDefault="0011517D" w:rsidP="00343773">
            <w:pPr>
              <w:spacing w:before="120" w:after="120"/>
              <w:rPr>
                <w:rFonts w:cs="Arial"/>
                <w:sz w:val="22"/>
                <w:szCs w:val="22"/>
                <w:lang w:val="en-US"/>
              </w:rPr>
            </w:pPr>
            <w:r w:rsidRPr="00F1207D">
              <w:rPr>
                <w:rFonts w:cs="Arial"/>
                <w:sz w:val="22"/>
                <w:szCs w:val="22"/>
                <w:lang w:val="en-US"/>
              </w:rPr>
              <w:t>Number of attendances to a clinic/department/acute assessment unit or domiciliary.</w:t>
            </w:r>
          </w:p>
        </w:tc>
      </w:tr>
      <w:tr w:rsidR="0011517D" w14:paraId="13FB174B" w14:textId="77777777" w:rsidTr="00DE094C">
        <w:tc>
          <w:tcPr>
            <w:tcW w:w="2405" w:type="dxa"/>
          </w:tcPr>
          <w:p w14:paraId="0E5BDF39" w14:textId="77777777" w:rsidR="0011517D" w:rsidRPr="00F1207D" w:rsidRDefault="0011517D" w:rsidP="00343773">
            <w:pPr>
              <w:spacing w:before="120" w:after="120"/>
              <w:rPr>
                <w:rFonts w:cs="Arial"/>
                <w:sz w:val="22"/>
                <w:szCs w:val="22"/>
                <w:lang w:val="en-US"/>
              </w:rPr>
            </w:pPr>
            <w:r w:rsidRPr="00F1207D">
              <w:rPr>
                <w:rFonts w:cs="Arial"/>
                <w:sz w:val="22"/>
                <w:szCs w:val="22"/>
                <w:lang w:val="en-US"/>
              </w:rPr>
              <w:t>Cost Weighted Discharge</w:t>
            </w:r>
          </w:p>
        </w:tc>
        <w:tc>
          <w:tcPr>
            <w:tcW w:w="7909" w:type="dxa"/>
          </w:tcPr>
          <w:p w14:paraId="758F429A" w14:textId="77777777" w:rsidR="0011517D" w:rsidRPr="00F1207D" w:rsidRDefault="0011517D" w:rsidP="00343773">
            <w:pPr>
              <w:spacing w:before="120" w:after="120"/>
              <w:rPr>
                <w:rFonts w:cs="Arial"/>
                <w:sz w:val="22"/>
                <w:szCs w:val="22"/>
                <w:lang w:val="en-US"/>
              </w:rPr>
            </w:pPr>
            <w:r w:rsidRPr="00F1207D">
              <w:rPr>
                <w:rFonts w:cs="Arial"/>
                <w:sz w:val="22"/>
                <w:szCs w:val="22"/>
                <w:lang w:val="en-US"/>
              </w:rPr>
              <w:t>A numerical measure representing the relative cost of treating a patient through to discharge</w:t>
            </w:r>
          </w:p>
        </w:tc>
      </w:tr>
      <w:tr w:rsidR="0011517D" w14:paraId="4F18D4F8" w14:textId="77777777" w:rsidTr="00DE094C">
        <w:tc>
          <w:tcPr>
            <w:tcW w:w="2405" w:type="dxa"/>
          </w:tcPr>
          <w:p w14:paraId="22B949C7" w14:textId="77777777" w:rsidR="0011517D" w:rsidRPr="00F1207D" w:rsidRDefault="0011517D" w:rsidP="00343773">
            <w:pPr>
              <w:spacing w:before="120" w:after="120"/>
              <w:rPr>
                <w:rFonts w:cs="Arial"/>
                <w:sz w:val="22"/>
                <w:szCs w:val="22"/>
                <w:lang w:val="en-US"/>
              </w:rPr>
            </w:pPr>
            <w:r w:rsidRPr="00F1207D">
              <w:rPr>
                <w:rFonts w:cs="Arial"/>
                <w:sz w:val="22"/>
                <w:szCs w:val="22"/>
                <w:lang w:val="en-US"/>
              </w:rPr>
              <w:t>Procedure</w:t>
            </w:r>
          </w:p>
        </w:tc>
        <w:tc>
          <w:tcPr>
            <w:tcW w:w="7909" w:type="dxa"/>
          </w:tcPr>
          <w:p w14:paraId="39500D3E" w14:textId="77777777" w:rsidR="0011517D" w:rsidRPr="00F1207D" w:rsidRDefault="0011517D" w:rsidP="00343773">
            <w:pPr>
              <w:spacing w:before="120" w:after="120"/>
              <w:rPr>
                <w:rFonts w:cs="Arial"/>
                <w:sz w:val="22"/>
                <w:szCs w:val="22"/>
                <w:lang w:val="en-US"/>
              </w:rPr>
            </w:pPr>
            <w:r w:rsidRPr="00F1207D">
              <w:rPr>
                <w:rFonts w:cs="Arial"/>
                <w:sz w:val="22"/>
                <w:szCs w:val="22"/>
                <w:lang w:val="en-US"/>
              </w:rPr>
              <w:t>The number of individual operative/diagnostic/assessment procedures in the period (period is annual 1st July - 30th June).</w:t>
            </w:r>
          </w:p>
        </w:tc>
      </w:tr>
      <w:tr w:rsidR="0011517D" w14:paraId="2CDE1FB5" w14:textId="77777777" w:rsidTr="00DE094C">
        <w:tc>
          <w:tcPr>
            <w:tcW w:w="2405" w:type="dxa"/>
          </w:tcPr>
          <w:p w14:paraId="06AF18F2" w14:textId="77777777" w:rsidR="0011517D" w:rsidRPr="00F1207D" w:rsidRDefault="0011517D" w:rsidP="00343773">
            <w:pPr>
              <w:spacing w:before="120" w:after="120"/>
              <w:rPr>
                <w:rFonts w:cs="Arial"/>
                <w:sz w:val="22"/>
                <w:szCs w:val="22"/>
                <w:lang w:val="en-US"/>
              </w:rPr>
            </w:pPr>
            <w:r w:rsidRPr="00F1207D">
              <w:rPr>
                <w:rFonts w:cs="Arial"/>
                <w:sz w:val="22"/>
                <w:szCs w:val="22"/>
                <w:lang w:val="en-US"/>
              </w:rPr>
              <w:t>Treatment</w:t>
            </w:r>
          </w:p>
        </w:tc>
        <w:tc>
          <w:tcPr>
            <w:tcW w:w="7909" w:type="dxa"/>
          </w:tcPr>
          <w:p w14:paraId="065CB025" w14:textId="77777777" w:rsidR="0011517D" w:rsidRPr="00F1207D" w:rsidRDefault="0011517D" w:rsidP="00343773">
            <w:pPr>
              <w:spacing w:before="120" w:after="120"/>
              <w:rPr>
                <w:rFonts w:cs="Arial"/>
                <w:sz w:val="22"/>
                <w:szCs w:val="22"/>
                <w:lang w:val="en-US"/>
              </w:rPr>
            </w:pPr>
            <w:r w:rsidRPr="00F1207D">
              <w:rPr>
                <w:rFonts w:cs="Arial"/>
                <w:sz w:val="22"/>
                <w:szCs w:val="22"/>
                <w:lang w:val="en-US"/>
              </w:rPr>
              <w:t>Number of attendances for treatment.</w:t>
            </w:r>
          </w:p>
        </w:tc>
      </w:tr>
      <w:tr w:rsidR="0011517D" w14:paraId="5D592507" w14:textId="77777777" w:rsidTr="00DE094C">
        <w:tc>
          <w:tcPr>
            <w:tcW w:w="2405" w:type="dxa"/>
          </w:tcPr>
          <w:p w14:paraId="6073394B" w14:textId="77777777" w:rsidR="0011517D" w:rsidRPr="00F1207D" w:rsidRDefault="0011517D" w:rsidP="00343773">
            <w:pPr>
              <w:spacing w:before="120" w:after="120"/>
              <w:rPr>
                <w:rFonts w:cs="Arial"/>
                <w:sz w:val="22"/>
                <w:szCs w:val="22"/>
                <w:lang w:val="en-US"/>
              </w:rPr>
            </w:pPr>
            <w:r w:rsidRPr="00F1207D">
              <w:rPr>
                <w:rFonts w:cs="Arial"/>
                <w:sz w:val="22"/>
                <w:szCs w:val="22"/>
                <w:lang w:val="en-US"/>
              </w:rPr>
              <w:t>Written plan of care</w:t>
            </w:r>
          </w:p>
        </w:tc>
        <w:tc>
          <w:tcPr>
            <w:tcW w:w="7909" w:type="dxa"/>
          </w:tcPr>
          <w:p w14:paraId="3F69EA95" w14:textId="77777777" w:rsidR="0011517D" w:rsidRPr="00F1207D" w:rsidRDefault="0011517D" w:rsidP="00343773">
            <w:pPr>
              <w:spacing w:before="120" w:after="120"/>
              <w:rPr>
                <w:rFonts w:cs="Arial"/>
                <w:sz w:val="22"/>
                <w:szCs w:val="22"/>
                <w:lang w:val="en-US"/>
              </w:rPr>
            </w:pPr>
            <w:r w:rsidRPr="00F1207D">
              <w:rPr>
                <w:rFonts w:cs="Arial"/>
                <w:sz w:val="22"/>
                <w:szCs w:val="22"/>
                <w:lang w:val="en-US"/>
              </w:rPr>
              <w:t>Written plan of care provided by the specialist to the referring GP.</w:t>
            </w:r>
          </w:p>
        </w:tc>
      </w:tr>
    </w:tbl>
    <w:p w14:paraId="3FEE61A6" w14:textId="0DD8C164" w:rsidR="00355500" w:rsidRDefault="008023B2" w:rsidP="008023B2">
      <w:pPr>
        <w:pStyle w:val="Heading2"/>
      </w:pPr>
      <w:r>
        <w:t>9.2</w:t>
      </w:r>
      <w:r>
        <w:tab/>
      </w:r>
      <w:r w:rsidR="00355500" w:rsidRPr="00A243EB">
        <w:t>Reporting Requirements</w:t>
      </w:r>
    </w:p>
    <w:p w14:paraId="76EDEF00" w14:textId="150E86EC" w:rsidR="006C67DF" w:rsidRDefault="00166B96" w:rsidP="006C67DF">
      <w:pPr>
        <w:spacing w:before="120"/>
        <w:rPr>
          <w:szCs w:val="24"/>
        </w:rPr>
      </w:pPr>
      <w:r w:rsidRPr="006C67DF">
        <w:rPr>
          <w:szCs w:val="24"/>
        </w:rPr>
        <w:t>9.2.1</w:t>
      </w:r>
      <w:r w:rsidRPr="006C67DF">
        <w:rPr>
          <w:szCs w:val="24"/>
        </w:rPr>
        <w:tab/>
      </w:r>
      <w:r w:rsidR="0078584C" w:rsidRPr="006C67DF">
        <w:rPr>
          <w:szCs w:val="24"/>
        </w:rPr>
        <w:t>The Service must comply with the requirements of the Ministry’s national data collections</w:t>
      </w:r>
      <w:r w:rsidR="006C67DF" w:rsidRPr="006C67DF">
        <w:rPr>
          <w:szCs w:val="24"/>
        </w:rPr>
        <w:t>.</w:t>
      </w:r>
    </w:p>
    <w:p w14:paraId="674164A2" w14:textId="589C6247" w:rsidR="00E576EE" w:rsidRPr="00E576EE" w:rsidRDefault="00E576EE" w:rsidP="00E576EE">
      <w:pPr>
        <w:spacing w:before="120"/>
        <w:rPr>
          <w:szCs w:val="24"/>
        </w:rPr>
      </w:pPr>
      <w:r w:rsidRPr="00E576EE">
        <w:rPr>
          <w:szCs w:val="24"/>
        </w:rPr>
        <w:t>DHBs must</w:t>
      </w:r>
      <w:r w:rsidR="008925F7">
        <w:rPr>
          <w:szCs w:val="24"/>
        </w:rPr>
        <w:t xml:space="preserve"> accurately </w:t>
      </w:r>
      <w:r w:rsidRPr="00E576EE">
        <w:rPr>
          <w:szCs w:val="24"/>
        </w:rPr>
        <w:t>report activity to the Ministry’s National Collections as outlined in the Operational Policy Framework</w:t>
      </w:r>
      <w:r>
        <w:rPr>
          <w:rStyle w:val="FootnoteReference"/>
          <w:szCs w:val="24"/>
        </w:rPr>
        <w:footnoteReference w:id="14"/>
      </w:r>
      <w:r>
        <w:rPr>
          <w:szCs w:val="24"/>
        </w:rPr>
        <w:t xml:space="preserve"> </w:t>
      </w:r>
      <w:r w:rsidRPr="00E576EE">
        <w:rPr>
          <w:szCs w:val="24"/>
        </w:rPr>
        <w:t>Monitoring and Reporting chapter, this includes but is not limited to National Minimum Data Set (NMDS), National Non-Admitted Patient Collection, (NNPAC), National Booking Reporting System (NBRS) and National Patient Flow (NPF).</w:t>
      </w:r>
    </w:p>
    <w:p w14:paraId="695AC221" w14:textId="71569861" w:rsidR="00E576EE" w:rsidRPr="006C67DF" w:rsidRDefault="00E576EE" w:rsidP="00E576EE">
      <w:pPr>
        <w:spacing w:before="120"/>
        <w:rPr>
          <w:szCs w:val="24"/>
        </w:rPr>
      </w:pPr>
      <w:r w:rsidRPr="00E576EE">
        <w:rPr>
          <w:szCs w:val="24"/>
        </w:rPr>
        <w:t>Organisations that provide any services purchased by DHB</w:t>
      </w:r>
      <w:r>
        <w:rPr>
          <w:szCs w:val="24"/>
        </w:rPr>
        <w:t xml:space="preserve">s </w:t>
      </w:r>
      <w:r w:rsidRPr="00E576EE">
        <w:rPr>
          <w:szCs w:val="24"/>
        </w:rPr>
        <w:t xml:space="preserve">directly </w:t>
      </w:r>
      <w:r>
        <w:rPr>
          <w:szCs w:val="24"/>
        </w:rPr>
        <w:t xml:space="preserve">will </w:t>
      </w:r>
      <w:r w:rsidRPr="00E576EE">
        <w:rPr>
          <w:szCs w:val="24"/>
        </w:rPr>
        <w:t>also supply the Ministry with data required for inclusion in the National Collections (particularly the NMDS, NPF, NBRS and NNPAC). Organisations will notify the Ministry (operations@health.govt.nz) of any changes to their data definitions, standards or computer systems that may or will affect the supply of the above data.</w:t>
      </w:r>
    </w:p>
    <w:p w14:paraId="3C49AD0B" w14:textId="02627B7E" w:rsidR="00671AC5" w:rsidRPr="006C67DF" w:rsidRDefault="00166B96" w:rsidP="00671AC5">
      <w:pPr>
        <w:spacing w:before="120"/>
        <w:rPr>
          <w:rFonts w:cs="Arial"/>
          <w:szCs w:val="24"/>
        </w:rPr>
      </w:pPr>
      <w:r w:rsidRPr="006C67DF">
        <w:rPr>
          <w:rFonts w:cs="Arial"/>
          <w:szCs w:val="24"/>
        </w:rPr>
        <w:t>9.2.2</w:t>
      </w:r>
      <w:r w:rsidRPr="006C67DF">
        <w:rPr>
          <w:rFonts w:cs="Arial"/>
          <w:szCs w:val="24"/>
        </w:rPr>
        <w:tab/>
      </w:r>
      <w:r w:rsidR="00671AC5" w:rsidRPr="006C67DF">
        <w:rPr>
          <w:rFonts w:cs="Arial"/>
          <w:szCs w:val="24"/>
        </w:rPr>
        <w:t>Termination of Pregnancy notification</w:t>
      </w:r>
      <w:r w:rsidRPr="006C67DF">
        <w:rPr>
          <w:rFonts w:cs="Arial"/>
          <w:szCs w:val="24"/>
        </w:rPr>
        <w:t>.</w:t>
      </w:r>
    </w:p>
    <w:p w14:paraId="565E842C" w14:textId="42315B86" w:rsidR="006C67DF" w:rsidRPr="006C67DF" w:rsidRDefault="006C67DF" w:rsidP="00671AC5">
      <w:pPr>
        <w:spacing w:before="120"/>
        <w:rPr>
          <w:rFonts w:cs="Arial"/>
          <w:szCs w:val="24"/>
        </w:rPr>
      </w:pPr>
      <w:r w:rsidRPr="006C67DF">
        <w:rPr>
          <w:rFonts w:cs="Arial"/>
          <w:szCs w:val="24"/>
        </w:rPr>
        <w:t>The Ministry’s termination of pregnancy /abortion notifications system is at www.alrnotifications.health.govt.nz. To comply with new Section 20 of the Contraception, Sterilisation, and Abortion Act, service providers must submit a notification to the Ministry of Health within one month of a termination of pregnancy. This notification must include all details specified and not include the name or a unique identifier of the woman.</w:t>
      </w:r>
    </w:p>
    <w:p w14:paraId="123C1280" w14:textId="4F09625C" w:rsidR="00343773" w:rsidRDefault="006C67DF" w:rsidP="00671AC5">
      <w:pPr>
        <w:spacing w:before="120"/>
        <w:rPr>
          <w:rFonts w:cs="Arial"/>
          <w:szCs w:val="24"/>
        </w:rPr>
      </w:pPr>
      <w:r w:rsidRPr="006C67DF">
        <w:rPr>
          <w:rFonts w:cs="Arial"/>
          <w:szCs w:val="24"/>
        </w:rPr>
        <w:t xml:space="preserve">Additional information will be supplied as required by the legislation under s17 of the CSA Act, </w:t>
      </w:r>
      <w:r w:rsidR="00671AC5" w:rsidRPr="006C67DF">
        <w:rPr>
          <w:rFonts w:cs="Arial"/>
          <w:szCs w:val="24"/>
        </w:rPr>
        <w:t>will be used to support periodic reviews into the timely and equitable access to services</w:t>
      </w:r>
      <w:r w:rsidRPr="006C67DF">
        <w:rPr>
          <w:rFonts w:cs="Arial"/>
          <w:szCs w:val="24"/>
        </w:rPr>
        <w:t>.</w:t>
      </w:r>
    </w:p>
    <w:p w14:paraId="360F34CC" w14:textId="77777777" w:rsidR="00343773" w:rsidRDefault="00343773">
      <w:pPr>
        <w:rPr>
          <w:rFonts w:cs="Arial"/>
          <w:szCs w:val="24"/>
        </w:rPr>
      </w:pPr>
      <w:r>
        <w:rPr>
          <w:rFonts w:cs="Arial"/>
          <w:szCs w:val="24"/>
        </w:rPr>
        <w:br w:type="page"/>
      </w:r>
    </w:p>
    <w:p w14:paraId="38F899E6" w14:textId="3199A638" w:rsidR="004D497A" w:rsidRPr="006C67DF" w:rsidRDefault="004D497A" w:rsidP="00671AC5">
      <w:pPr>
        <w:spacing w:before="120"/>
        <w:rPr>
          <w:szCs w:val="24"/>
          <w:lang w:val="en-NZ"/>
        </w:rPr>
      </w:pPr>
      <w:r w:rsidRPr="006C67DF">
        <w:rPr>
          <w:szCs w:val="24"/>
          <w:lang w:val="en-NZ"/>
        </w:rPr>
        <w:lastRenderedPageBreak/>
        <w:t>9.2.3</w:t>
      </w:r>
      <w:r w:rsidR="0058748B">
        <w:rPr>
          <w:szCs w:val="24"/>
          <w:lang w:val="en-NZ"/>
        </w:rPr>
        <w:tab/>
      </w:r>
      <w:r w:rsidRPr="006C67DF">
        <w:rPr>
          <w:szCs w:val="24"/>
          <w:lang w:val="en-NZ"/>
        </w:rPr>
        <w:t>Sterilisation reports</w:t>
      </w:r>
    </w:p>
    <w:p w14:paraId="13E144FC" w14:textId="5E98141A" w:rsidR="004D497A" w:rsidRPr="006C67DF" w:rsidRDefault="004D497A" w:rsidP="004D497A">
      <w:pPr>
        <w:spacing w:before="120"/>
        <w:rPr>
          <w:rFonts w:cs="Arial"/>
          <w:szCs w:val="24"/>
          <w:lang w:val="en-NZ"/>
        </w:rPr>
      </w:pPr>
      <w:r w:rsidRPr="006C67DF">
        <w:rPr>
          <w:szCs w:val="24"/>
          <w:lang w:val="en-NZ"/>
        </w:rPr>
        <w:t xml:space="preserve">To comply with section 8 of the </w:t>
      </w:r>
      <w:r w:rsidR="006C67DF">
        <w:rPr>
          <w:rFonts w:cs="Arial"/>
          <w:szCs w:val="24"/>
        </w:rPr>
        <w:t>CSA</w:t>
      </w:r>
      <w:r w:rsidRPr="006C67DF">
        <w:rPr>
          <w:rFonts w:cs="Arial"/>
          <w:szCs w:val="24"/>
        </w:rPr>
        <w:t xml:space="preserve"> Act, e</w:t>
      </w:r>
      <w:r w:rsidRPr="006C67DF">
        <w:rPr>
          <w:rFonts w:cs="Arial"/>
          <w:szCs w:val="24"/>
          <w:lang w:val="en-NZ"/>
        </w:rPr>
        <w:t>very</w:t>
      </w:r>
      <w:r w:rsidR="00273612" w:rsidRPr="006C67DF">
        <w:rPr>
          <w:rFonts w:cs="Arial"/>
          <w:szCs w:val="24"/>
          <w:lang w:val="en-NZ"/>
        </w:rPr>
        <w:t xml:space="preserve"> </w:t>
      </w:r>
      <w:r w:rsidRPr="006C67DF">
        <w:rPr>
          <w:rFonts w:cs="Arial"/>
          <w:szCs w:val="24"/>
          <w:lang w:val="en-NZ"/>
        </w:rPr>
        <w:t>medical practitioner who performs a sterilisation operation must, within a month of the operation, send the Ministry of Health a report of the operation giving the following particulars:</w:t>
      </w:r>
    </w:p>
    <w:p w14:paraId="20A69C49" w14:textId="31ECE44E" w:rsidR="004D497A" w:rsidRPr="006C67DF" w:rsidRDefault="004D497A" w:rsidP="004D497A">
      <w:pPr>
        <w:spacing w:before="120"/>
        <w:rPr>
          <w:rFonts w:cs="Arial"/>
          <w:szCs w:val="24"/>
          <w:lang w:val="en-NZ"/>
        </w:rPr>
      </w:pPr>
      <w:r w:rsidRPr="006C67DF">
        <w:rPr>
          <w:rFonts w:cs="Arial"/>
          <w:szCs w:val="24"/>
          <w:lang w:val="en-NZ"/>
        </w:rPr>
        <w:t>a</w:t>
      </w:r>
      <w:r w:rsidR="006C67DF">
        <w:rPr>
          <w:rFonts w:cs="Arial"/>
          <w:szCs w:val="24"/>
          <w:lang w:val="en-NZ"/>
        </w:rPr>
        <w:t>.</w:t>
      </w:r>
      <w:r w:rsidRPr="006C67DF">
        <w:rPr>
          <w:rFonts w:cs="Arial"/>
          <w:szCs w:val="24"/>
          <w:lang w:val="en-NZ"/>
        </w:rPr>
        <w:t xml:space="preserve"> the reasons for the operation:</w:t>
      </w:r>
    </w:p>
    <w:p w14:paraId="7FD79A33" w14:textId="67FF4273" w:rsidR="004D497A" w:rsidRPr="006C67DF" w:rsidRDefault="004D497A" w:rsidP="004D497A">
      <w:pPr>
        <w:spacing w:before="120"/>
        <w:rPr>
          <w:rFonts w:cs="Arial"/>
          <w:szCs w:val="24"/>
          <w:lang w:val="en-NZ"/>
        </w:rPr>
      </w:pPr>
      <w:r w:rsidRPr="006C67DF">
        <w:rPr>
          <w:rFonts w:cs="Arial"/>
          <w:szCs w:val="24"/>
          <w:lang w:val="en-NZ"/>
        </w:rPr>
        <w:t>b</w:t>
      </w:r>
      <w:r w:rsidR="006C67DF">
        <w:rPr>
          <w:rFonts w:cs="Arial"/>
          <w:szCs w:val="24"/>
          <w:lang w:val="en-NZ"/>
        </w:rPr>
        <w:t>.</w:t>
      </w:r>
      <w:r w:rsidRPr="006C67DF">
        <w:rPr>
          <w:rFonts w:cs="Arial"/>
          <w:szCs w:val="24"/>
          <w:lang w:val="en-NZ"/>
        </w:rPr>
        <w:t xml:space="preserve"> the age, sex,</w:t>
      </w:r>
      <w:r w:rsidR="00273612" w:rsidRPr="006C67DF">
        <w:rPr>
          <w:rFonts w:cs="Arial"/>
          <w:szCs w:val="24"/>
          <w:lang w:val="en-NZ"/>
        </w:rPr>
        <w:t xml:space="preserve"> </w:t>
      </w:r>
      <w:r w:rsidRPr="006C67DF">
        <w:rPr>
          <w:rFonts w:cs="Arial"/>
          <w:szCs w:val="24"/>
          <w:lang w:val="en-NZ"/>
        </w:rPr>
        <w:t xml:space="preserve">relationship status, race, and number of children of the </w:t>
      </w:r>
      <w:r w:rsidR="00273612" w:rsidRPr="006C67DF">
        <w:rPr>
          <w:rFonts w:cs="Arial"/>
          <w:szCs w:val="24"/>
          <w:lang w:val="en-NZ"/>
        </w:rPr>
        <w:t>S</w:t>
      </w:r>
      <w:r w:rsidRPr="006C67DF">
        <w:rPr>
          <w:rFonts w:cs="Arial"/>
          <w:szCs w:val="24"/>
          <w:lang w:val="en-NZ"/>
        </w:rPr>
        <w:t xml:space="preserve">ervice </w:t>
      </w:r>
      <w:r w:rsidR="00273612" w:rsidRPr="006C67DF">
        <w:rPr>
          <w:rFonts w:cs="Arial"/>
          <w:szCs w:val="24"/>
          <w:lang w:val="en-NZ"/>
        </w:rPr>
        <w:t>U</w:t>
      </w:r>
      <w:r w:rsidRPr="006C67DF">
        <w:rPr>
          <w:rFonts w:cs="Arial"/>
          <w:szCs w:val="24"/>
          <w:lang w:val="en-NZ"/>
        </w:rPr>
        <w:t>ser:</w:t>
      </w:r>
    </w:p>
    <w:p w14:paraId="72093790" w14:textId="46A525DF" w:rsidR="004D497A" w:rsidRPr="006C67DF" w:rsidRDefault="004D497A" w:rsidP="004D497A">
      <w:pPr>
        <w:spacing w:before="120"/>
        <w:rPr>
          <w:rFonts w:cs="Arial"/>
          <w:szCs w:val="24"/>
          <w:lang w:val="en-NZ"/>
        </w:rPr>
      </w:pPr>
      <w:r w:rsidRPr="006C67DF">
        <w:rPr>
          <w:rFonts w:cs="Arial"/>
          <w:szCs w:val="24"/>
          <w:lang w:val="en-NZ"/>
        </w:rPr>
        <w:t>c</w:t>
      </w:r>
      <w:r w:rsidR="006C67DF">
        <w:rPr>
          <w:rFonts w:cs="Arial"/>
          <w:szCs w:val="24"/>
          <w:lang w:val="en-NZ"/>
        </w:rPr>
        <w:t>.</w:t>
      </w:r>
      <w:r w:rsidRPr="006C67DF">
        <w:rPr>
          <w:rFonts w:cs="Arial"/>
          <w:szCs w:val="24"/>
          <w:lang w:val="en-NZ"/>
        </w:rPr>
        <w:t xml:space="preserve"> whether the service user stayed in hospital for 1 or more nights:</w:t>
      </w:r>
    </w:p>
    <w:p w14:paraId="748E9A04" w14:textId="48AAABA9" w:rsidR="004D497A" w:rsidRPr="006C67DF" w:rsidRDefault="004D497A" w:rsidP="004D497A">
      <w:pPr>
        <w:spacing w:before="120"/>
        <w:rPr>
          <w:rFonts w:cs="Arial"/>
          <w:szCs w:val="24"/>
          <w:lang w:val="en-NZ"/>
        </w:rPr>
      </w:pPr>
      <w:r w:rsidRPr="006C67DF">
        <w:rPr>
          <w:rFonts w:cs="Arial"/>
          <w:szCs w:val="24"/>
          <w:lang w:val="en-NZ"/>
        </w:rPr>
        <w:t>d</w:t>
      </w:r>
      <w:r w:rsidR="006C67DF">
        <w:rPr>
          <w:rFonts w:cs="Arial"/>
          <w:szCs w:val="24"/>
          <w:lang w:val="en-NZ"/>
        </w:rPr>
        <w:t>.</w:t>
      </w:r>
      <w:r w:rsidRPr="006C67DF">
        <w:rPr>
          <w:rFonts w:cs="Arial"/>
          <w:szCs w:val="24"/>
          <w:lang w:val="en-NZ"/>
        </w:rPr>
        <w:t xml:space="preserve"> whether the operation was performed post-partum.</w:t>
      </w:r>
    </w:p>
    <w:p w14:paraId="02D4021F" w14:textId="4962956B" w:rsidR="004D497A" w:rsidRDefault="004D497A" w:rsidP="00671AC5">
      <w:pPr>
        <w:spacing w:before="120"/>
        <w:rPr>
          <w:rFonts w:cs="Arial"/>
          <w:szCs w:val="24"/>
          <w:lang w:val="en-NZ"/>
        </w:rPr>
      </w:pPr>
      <w:r w:rsidRPr="006C67DF">
        <w:rPr>
          <w:rFonts w:cs="Arial"/>
          <w:szCs w:val="24"/>
          <w:lang w:val="en-NZ"/>
        </w:rPr>
        <w:t xml:space="preserve">The report must not include the </w:t>
      </w:r>
      <w:r w:rsidR="006C67DF" w:rsidRPr="006C67DF">
        <w:rPr>
          <w:rFonts w:cs="Arial"/>
          <w:szCs w:val="24"/>
          <w:lang w:val="en-NZ"/>
        </w:rPr>
        <w:t>name or a unique identifier of the woman.</w:t>
      </w:r>
    </w:p>
    <w:p w14:paraId="660B04D5" w14:textId="4FC54CD9" w:rsidR="00DE094C" w:rsidRDefault="00DE094C" w:rsidP="00671AC5">
      <w:pPr>
        <w:spacing w:before="120"/>
        <w:rPr>
          <w:rFonts w:cs="Arial"/>
          <w:szCs w:val="24"/>
          <w:lang w:val="en-NZ"/>
        </w:rPr>
      </w:pPr>
    </w:p>
    <w:p w14:paraId="5F220921" w14:textId="65F9F817" w:rsidR="00DE094C" w:rsidRPr="00A243EB" w:rsidRDefault="00DE094C" w:rsidP="00671AC5">
      <w:pPr>
        <w:spacing w:before="120"/>
        <w:rPr>
          <w:sz w:val="22"/>
          <w:szCs w:val="22"/>
          <w:lang w:val="en-NZ"/>
        </w:rPr>
      </w:pPr>
      <w:r>
        <w:rPr>
          <w:rFonts w:cs="Arial"/>
          <w:szCs w:val="24"/>
          <w:lang w:val="en-NZ"/>
        </w:rPr>
        <w:t>END</w:t>
      </w:r>
    </w:p>
    <w:sectPr w:rsidR="00DE094C" w:rsidRPr="00A243EB" w:rsidSect="00A46BD5">
      <w:footerReference w:type="default" r:id="rId14"/>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A34C" w14:textId="77777777" w:rsidR="00B3295D" w:rsidRDefault="00B3295D" w:rsidP="00F27B1A">
      <w:r>
        <w:separator/>
      </w:r>
    </w:p>
  </w:endnote>
  <w:endnote w:type="continuationSeparator" w:id="0">
    <w:p w14:paraId="5F2E2824" w14:textId="77777777" w:rsidR="00B3295D" w:rsidRDefault="00B3295D" w:rsidP="00F2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1804" w14:textId="77777777" w:rsidR="00B3295D" w:rsidRDefault="00B3295D" w:rsidP="00F27B1A">
    <w:pPr>
      <w:pStyle w:val="Footer"/>
      <w:pBdr>
        <w:top w:val="single" w:sz="4" w:space="1" w:color="auto"/>
      </w:pBdr>
      <w:rPr>
        <w:sz w:val="20"/>
      </w:rPr>
    </w:pPr>
    <w:r>
      <w:rPr>
        <w:rFonts w:cs="Arial"/>
        <w:sz w:val="20"/>
      </w:rPr>
      <w:t xml:space="preserve">Specialist Medical and Surgical Services, Gynaecology </w:t>
    </w:r>
    <w:r w:rsidRPr="004503B3">
      <w:rPr>
        <w:rFonts w:cs="Arial"/>
        <w:sz w:val="20"/>
      </w:rPr>
      <w:t>Services</w:t>
    </w:r>
    <w:r w:rsidRPr="00B8677A">
      <w:rPr>
        <w:rFonts w:cs="Arial"/>
      </w:rPr>
      <w:t xml:space="preserve"> </w:t>
    </w:r>
    <w:r>
      <w:rPr>
        <w:sz w:val="20"/>
      </w:rPr>
      <w:t>tier two service specification Draft V3.3 8 November 2013</w:t>
    </w:r>
  </w:p>
  <w:p w14:paraId="43543449" w14:textId="77777777" w:rsidR="00B3295D" w:rsidRPr="00874B1B" w:rsidRDefault="00B3295D" w:rsidP="00F27B1A">
    <w:pPr>
      <w:pStyle w:val="Footer"/>
      <w:rPr>
        <w:sz w:val="20"/>
      </w:rPr>
    </w:pPr>
    <w:r>
      <w:rPr>
        <w:sz w:val="20"/>
      </w:rPr>
      <w:t>Nationwide Service Framework</w:t>
    </w:r>
    <w:r>
      <w:rPr>
        <w:sz w:val="20"/>
      </w:rPr>
      <w:tab/>
    </w:r>
    <w:r>
      <w:rPr>
        <w:sz w:val="20"/>
      </w:rPr>
      <w:tab/>
    </w:r>
    <w:r>
      <w:rPr>
        <w:sz w:val="20"/>
      </w:rPr>
      <w:fldChar w:fldCharType="begin"/>
    </w:r>
    <w:r>
      <w:rPr>
        <w:sz w:val="20"/>
      </w:rPr>
      <w:instrText xml:space="preserve"> PAGE  \* Arabic  \* MERGEFORMAT </w:instrText>
    </w:r>
    <w:r>
      <w:rPr>
        <w:sz w:val="20"/>
      </w:rPr>
      <w:fldChar w:fldCharType="separate"/>
    </w:r>
    <w:r>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8CA4" w14:textId="4AD4CB7F" w:rsidR="00B3295D" w:rsidRDefault="00B3295D" w:rsidP="00F27B1A">
    <w:pPr>
      <w:pStyle w:val="Footer"/>
      <w:pBdr>
        <w:top w:val="single" w:sz="4" w:space="1" w:color="auto"/>
      </w:pBdr>
      <w:rPr>
        <w:sz w:val="20"/>
      </w:rPr>
    </w:pPr>
    <w:r>
      <w:rPr>
        <w:rFonts w:cs="Arial"/>
        <w:sz w:val="20"/>
      </w:rPr>
      <w:t xml:space="preserve">Specialist Medical and Surgical Services, Gynaecology </w:t>
    </w:r>
    <w:r w:rsidRPr="004503B3">
      <w:rPr>
        <w:rFonts w:cs="Arial"/>
        <w:sz w:val="20"/>
      </w:rPr>
      <w:t>Services</w:t>
    </w:r>
    <w:r w:rsidRPr="00B8677A">
      <w:rPr>
        <w:rFonts w:cs="Arial"/>
      </w:rPr>
      <w:t xml:space="preserve"> </w:t>
    </w:r>
    <w:r>
      <w:rPr>
        <w:sz w:val="20"/>
      </w:rPr>
      <w:t>tier two service specification May 2020</w:t>
    </w:r>
  </w:p>
  <w:p w14:paraId="273B4466" w14:textId="77777777" w:rsidR="00B3295D" w:rsidRPr="00874B1B" w:rsidRDefault="00B3295D" w:rsidP="00263A11">
    <w:pPr>
      <w:pStyle w:val="Footer"/>
      <w:pBdr>
        <w:top w:val="single" w:sz="4" w:space="1" w:color="auto"/>
      </w:pBdr>
      <w:rPr>
        <w:sz w:val="20"/>
      </w:rPr>
    </w:pPr>
    <w:r>
      <w:rPr>
        <w:sz w:val="20"/>
      </w:rPr>
      <w:t>Nationwide Service Framework</w:t>
    </w:r>
    <w:r>
      <w:rPr>
        <w:sz w:val="20"/>
      </w:rPr>
      <w:tab/>
    </w:r>
    <w:r>
      <w:rPr>
        <w:sz w:val="20"/>
      </w:rPr>
      <w:tab/>
    </w:r>
    <w:r>
      <w:rPr>
        <w:sz w:val="20"/>
      </w:rPr>
      <w:tab/>
    </w:r>
    <w:r>
      <w:rPr>
        <w:sz w:val="20"/>
      </w:rPr>
      <w:tab/>
    </w:r>
    <w:r>
      <w:rPr>
        <w:sz w:val="20"/>
      </w:rPr>
      <w:tab/>
    </w:r>
    <w:r>
      <w:rPr>
        <w:sz w:val="20"/>
      </w:rPr>
      <w:fldChar w:fldCharType="begin"/>
    </w:r>
    <w:r>
      <w:rPr>
        <w:sz w:val="20"/>
      </w:rPr>
      <w:instrText xml:space="preserve"> PAGE  \* Arabic  \* MERGEFORMAT </w:instrText>
    </w:r>
    <w:r>
      <w:rPr>
        <w:sz w:val="20"/>
      </w:rPr>
      <w:fldChar w:fldCharType="separate"/>
    </w:r>
    <w:r>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52329" w14:textId="77777777" w:rsidR="00B3295D" w:rsidRDefault="00B3295D" w:rsidP="00F27B1A">
      <w:r>
        <w:separator/>
      </w:r>
    </w:p>
  </w:footnote>
  <w:footnote w:type="continuationSeparator" w:id="0">
    <w:p w14:paraId="646B3F5F" w14:textId="77777777" w:rsidR="00B3295D" w:rsidRDefault="00B3295D" w:rsidP="00F27B1A">
      <w:r>
        <w:continuationSeparator/>
      </w:r>
    </w:p>
  </w:footnote>
  <w:footnote w:id="1">
    <w:p w14:paraId="15E9451C" w14:textId="3A836EE9" w:rsidR="00B3295D" w:rsidRPr="00263A11" w:rsidRDefault="00B3295D">
      <w:pPr>
        <w:pStyle w:val="FootnoteText"/>
        <w:rPr>
          <w:lang w:val="en-NZ"/>
        </w:rPr>
      </w:pPr>
      <w:r>
        <w:rPr>
          <w:rStyle w:val="FootnoteReference"/>
        </w:rPr>
        <w:footnoteRef/>
      </w:r>
      <w:r>
        <w:t xml:space="preserve"> The </w:t>
      </w:r>
      <w:r w:rsidR="00C75A21">
        <w:t xml:space="preserve">refreshed </w:t>
      </w:r>
      <w:r>
        <w:t>Gynaecology surgery tool (code 9</w:t>
      </w:r>
      <w:r w:rsidR="00C75A21">
        <w:t>0</w:t>
      </w:r>
      <w:r>
        <w:t xml:space="preserve">65) developed and endorsed by the Royal Australian and New Zealand College of Obstetricians and Gynaecologists (RANZCOG) for use from October 2019 is hosted on the National Prioritisation Platform, a log in </w:t>
      </w:r>
      <w:r w:rsidR="00DE094C">
        <w:t xml:space="preserve">is </w:t>
      </w:r>
      <w:r>
        <w:t>required.</w:t>
      </w:r>
      <w:r w:rsidRPr="00681D3F">
        <w:t xml:space="preserve"> </w:t>
      </w:r>
    </w:p>
  </w:footnote>
  <w:footnote w:id="2">
    <w:p w14:paraId="310CEE55" w14:textId="701BDDEE" w:rsidR="00B3295D" w:rsidRPr="00FE01CC" w:rsidRDefault="00B3295D">
      <w:pPr>
        <w:pStyle w:val="FootnoteText"/>
        <w:rPr>
          <w:lang w:val="en-NZ"/>
        </w:rPr>
      </w:pPr>
      <w:r>
        <w:rPr>
          <w:rStyle w:val="FootnoteReference"/>
        </w:rPr>
        <w:footnoteRef/>
      </w:r>
      <w:r>
        <w:t xml:space="preserve"> </w:t>
      </w:r>
      <w:r w:rsidRPr="005E05EB">
        <w:t>www.nsu.govt.nz/health-professionals/national-cervical-screening-programme/cervical-screening-guidelines</w:t>
      </w:r>
    </w:p>
  </w:footnote>
  <w:footnote w:id="3">
    <w:p w14:paraId="581FFE55" w14:textId="01A6924A" w:rsidR="00B3295D" w:rsidRPr="0078584C" w:rsidRDefault="00B3295D">
      <w:pPr>
        <w:pStyle w:val="FootnoteText"/>
        <w:rPr>
          <w:lang w:val="en-NZ"/>
        </w:rPr>
      </w:pPr>
      <w:r>
        <w:rPr>
          <w:rStyle w:val="FootnoteReference"/>
        </w:rPr>
        <w:footnoteRef/>
      </w:r>
      <w:r>
        <w:t xml:space="preserve"> </w:t>
      </w:r>
      <w:r>
        <w:rPr>
          <w:rFonts w:cs="Arial"/>
          <w:color w:val="002639"/>
        </w:rPr>
        <w:t>T</w:t>
      </w:r>
      <w:r w:rsidRPr="0078584C">
        <w:rPr>
          <w:rFonts w:cs="Arial"/>
          <w:color w:val="002639"/>
        </w:rPr>
        <w:t>he amendment updated the primary legislation for abortion, set out in the Contraception, Sterilisation, and Abortion Act 1977 and the Crimes Act 1961</w:t>
      </w:r>
      <w:r>
        <w:rPr>
          <w:rFonts w:cs="Arial"/>
          <w:color w:val="002639"/>
        </w:rPr>
        <w:t>.</w:t>
      </w:r>
    </w:p>
  </w:footnote>
  <w:footnote w:id="4">
    <w:p w14:paraId="2421D415" w14:textId="0BBDAD70" w:rsidR="00B3295D" w:rsidRPr="00766BCB" w:rsidRDefault="00B3295D" w:rsidP="00167311">
      <w:pPr>
        <w:pStyle w:val="FootnoteText"/>
        <w:rPr>
          <w:lang w:val="en-NZ"/>
        </w:rPr>
      </w:pPr>
      <w:r>
        <w:rPr>
          <w:rStyle w:val="FootnoteReference"/>
        </w:rPr>
        <w:footnoteRef/>
      </w:r>
      <w:r>
        <w:t xml:space="preserve"> Section 13 Contraception, Sterilisation and Abortion Act 1977 states that a</w:t>
      </w:r>
      <w:r w:rsidRPr="00861042">
        <w:t xml:space="preserve"> qualified health practitioner may not, as a condition of providing abortion services to a woman, require the woman to be referred from a health practitioner.</w:t>
      </w:r>
    </w:p>
  </w:footnote>
  <w:footnote w:id="5">
    <w:p w14:paraId="46D44E54" w14:textId="513317EE" w:rsidR="00B3295D" w:rsidRPr="0091449F" w:rsidRDefault="00B3295D">
      <w:pPr>
        <w:pStyle w:val="FootnoteText"/>
        <w:rPr>
          <w:lang w:val="en-NZ"/>
        </w:rPr>
      </w:pPr>
      <w:r>
        <w:rPr>
          <w:rStyle w:val="FootnoteReference"/>
        </w:rPr>
        <w:footnoteRef/>
      </w:r>
      <w:r>
        <w:t xml:space="preserve"> </w:t>
      </w:r>
      <w:r w:rsidRPr="00B3295D">
        <w:t>www.legislation.govt.nz/act/public/1977/0112/latest/DLM18174.html</w:t>
      </w:r>
    </w:p>
  </w:footnote>
  <w:footnote w:id="6">
    <w:p w14:paraId="5A4140E2" w14:textId="6D93F9DA" w:rsidR="00B3295D" w:rsidRPr="0078584C" w:rsidRDefault="00B3295D">
      <w:pPr>
        <w:pStyle w:val="FootnoteText"/>
        <w:rPr>
          <w:lang w:val="en-NZ"/>
        </w:rPr>
      </w:pPr>
      <w:r>
        <w:rPr>
          <w:rStyle w:val="FootnoteReference"/>
        </w:rPr>
        <w:footnoteRef/>
      </w:r>
      <w:r>
        <w:t xml:space="preserve"> </w:t>
      </w:r>
      <w:r w:rsidRPr="00D62D2C">
        <w:t>www.health.govt.nz/our-work/hospitals-and-specialist-care/national-travel-assistance-scheme/national-travel-assistance-policy-and-guide</w:t>
      </w:r>
    </w:p>
  </w:footnote>
  <w:footnote w:id="7">
    <w:p w14:paraId="4107EBE8" w14:textId="1F4BF47E" w:rsidR="00B3295D" w:rsidRDefault="00B3295D" w:rsidP="00243374">
      <w:pPr>
        <w:pStyle w:val="FootnoteText"/>
      </w:pPr>
      <w:r>
        <w:rPr>
          <w:rStyle w:val="FootnoteReference"/>
        </w:rPr>
        <w:footnoteRef/>
      </w:r>
      <w:r>
        <w:t xml:space="preserve"> www.health.govt.nz/your-health/healthy-living/sexual-health/considering-abortion</w:t>
      </w:r>
    </w:p>
    <w:p w14:paraId="0D1A2F09" w14:textId="48DABC17" w:rsidR="00B3295D" w:rsidRPr="00243374" w:rsidRDefault="00B3295D" w:rsidP="00243374">
      <w:pPr>
        <w:pStyle w:val="FootnoteText"/>
        <w:rPr>
          <w:lang w:val="en-NZ"/>
        </w:rPr>
      </w:pPr>
      <w:r>
        <w:t>www.health.govt.nz/your-health/healthy-living/sexual-health/considering-abortion/abortion-provider-locations</w:t>
      </w:r>
    </w:p>
  </w:footnote>
  <w:footnote w:id="8">
    <w:p w14:paraId="3B291443" w14:textId="05B52042" w:rsidR="00B3295D" w:rsidRPr="0053595A" w:rsidRDefault="00B3295D">
      <w:pPr>
        <w:pStyle w:val="FootnoteText"/>
        <w:rPr>
          <w:lang w:val="en-NZ"/>
        </w:rPr>
      </w:pPr>
      <w:r>
        <w:rPr>
          <w:rStyle w:val="FootnoteReference"/>
        </w:rPr>
        <w:footnoteRef/>
      </w:r>
      <w:r>
        <w:t xml:space="preserve"> ie complex endo surgery, complex genito- urinary conditions, oophorectomy for braca, and follow up for gynaecology surveillance of endometrial problems associated with breast chemotherapy - tamoxifen </w:t>
      </w:r>
    </w:p>
  </w:footnote>
  <w:footnote w:id="9">
    <w:p w14:paraId="31FB3212" w14:textId="77777777" w:rsidR="00B3295D" w:rsidRDefault="00B3295D" w:rsidP="00F27B1A">
      <w:pPr>
        <w:pStyle w:val="FootnoteText"/>
      </w:pPr>
      <w:r>
        <w:rPr>
          <w:rStyle w:val="FootnoteReference"/>
        </w:rPr>
        <w:footnoteRef/>
      </w:r>
      <w:r>
        <w:t xml:space="preserve"> NSFL accountability documents: </w:t>
      </w:r>
      <w:r w:rsidRPr="003C287F">
        <w:t>http://nsfl.health.govt.nz/accountability/operational-policy-framework-0</w:t>
      </w:r>
    </w:p>
  </w:footnote>
  <w:footnote w:id="10">
    <w:p w14:paraId="292FEA3A" w14:textId="22C35D13" w:rsidR="00B3295D" w:rsidRPr="00560283" w:rsidRDefault="00B3295D">
      <w:pPr>
        <w:pStyle w:val="FootnoteText"/>
        <w:rPr>
          <w:lang w:val="en-NZ"/>
        </w:rPr>
      </w:pPr>
      <w:r>
        <w:rPr>
          <w:rStyle w:val="FootnoteReference"/>
        </w:rPr>
        <w:footnoteRef/>
      </w:r>
      <w:r>
        <w:t xml:space="preserve"> </w:t>
      </w:r>
      <w:r w:rsidRPr="00B01309">
        <w:t>www.health.govt.nz/our-work/diseases-and-conditions/national-cancer-programme/cancer-initiatives/review-national-tumour-standards</w:t>
      </w:r>
    </w:p>
  </w:footnote>
  <w:footnote w:id="11">
    <w:p w14:paraId="1401D226" w14:textId="7F6735A2" w:rsidR="00B3295D" w:rsidRPr="00560283" w:rsidRDefault="00B3295D">
      <w:pPr>
        <w:pStyle w:val="FootnoteText"/>
      </w:pPr>
      <w:r>
        <w:rPr>
          <w:rStyle w:val="FootnoteReference"/>
        </w:rPr>
        <w:footnoteRef/>
      </w:r>
      <w:r>
        <w:t xml:space="preserve"> </w:t>
      </w:r>
      <w:r w:rsidRPr="00560283">
        <w:t>www.nsu.govt.nz/health-professionals/national-cervical-screening-programme/cervical-screening-guidelines</w:t>
      </w:r>
    </w:p>
  </w:footnote>
  <w:footnote w:id="12">
    <w:p w14:paraId="561C4640" w14:textId="261292E2" w:rsidR="00B3295D" w:rsidRPr="00273612" w:rsidRDefault="00B3295D" w:rsidP="007F487D">
      <w:pPr>
        <w:pStyle w:val="FootnoteText"/>
        <w:rPr>
          <w:lang w:val="en-NZ"/>
        </w:rPr>
      </w:pPr>
      <w:r>
        <w:rPr>
          <w:rStyle w:val="FootnoteReference"/>
        </w:rPr>
        <w:footnoteRef/>
      </w:r>
      <w:r>
        <w:t xml:space="preserve"> </w:t>
      </w:r>
      <w:hyperlink r:id="rId1" w:history="1">
        <w:r w:rsidRPr="00273612">
          <w:rPr>
            <w:rStyle w:val="Hyperlink"/>
          </w:rPr>
          <w:t>www.health.govt.nz/publication/interim-standards-abortion-services-new-zealand</w:t>
        </w:r>
      </w:hyperlink>
      <w:r>
        <w:t>.</w:t>
      </w:r>
      <w:r w:rsidRPr="003204DC">
        <w:rPr>
          <w:rFonts w:cs="Arial"/>
          <w:color w:val="000000"/>
          <w:lang w:val="en-US"/>
        </w:rPr>
        <w:t xml:space="preserve"> </w:t>
      </w:r>
      <w:r>
        <w:rPr>
          <w:rFonts w:cs="Arial"/>
          <w:color w:val="000000"/>
          <w:lang w:val="en-US"/>
        </w:rPr>
        <w:t>New standards will be developed</w:t>
      </w:r>
      <w:r w:rsidRPr="003204DC">
        <w:rPr>
          <w:rFonts w:cs="Arial"/>
          <w:color w:val="000000"/>
        </w:rPr>
        <w:t xml:space="preserve"> in partnership with clinicians, service users, and service providers.</w:t>
      </w:r>
    </w:p>
  </w:footnote>
  <w:footnote w:id="13">
    <w:p w14:paraId="0CBCAD51" w14:textId="77777777" w:rsidR="00B3295D" w:rsidRDefault="00B3295D" w:rsidP="00F27B1A">
      <w:pPr>
        <w:pStyle w:val="FootnoteText"/>
      </w:pPr>
      <w:r>
        <w:rPr>
          <w:rStyle w:val="FootnoteReference"/>
        </w:rPr>
        <w:footnoteRef/>
      </w:r>
      <w:r>
        <w:t xml:space="preserve"> </w:t>
      </w:r>
      <w:r w:rsidRPr="00EE4BA4">
        <w:rPr>
          <w:rFonts w:cs="Arial"/>
        </w:rPr>
        <w:t xml:space="preserve">The Units of Measure are consistent with the Nationwide Service Framework </w:t>
      </w:r>
      <w:r>
        <w:rPr>
          <w:rFonts w:cs="Arial"/>
        </w:rPr>
        <w:t>Purchase Unit Data Dictionary</w:t>
      </w:r>
      <w:r>
        <w:t xml:space="preserve"> </w:t>
      </w:r>
      <w:hyperlink r:id="rId2" w:history="1">
        <w:r w:rsidRPr="00BC0DBD">
          <w:rPr>
            <w:rStyle w:val="Hyperlink"/>
          </w:rPr>
          <w:t>www.nsfl.health.govt.nz/purchase-units</w:t>
        </w:r>
      </w:hyperlink>
    </w:p>
  </w:footnote>
  <w:footnote w:id="14">
    <w:p w14:paraId="60D05412" w14:textId="52F3E82B" w:rsidR="00B3295D" w:rsidRPr="00E576EE" w:rsidRDefault="00B3295D">
      <w:pPr>
        <w:pStyle w:val="FootnoteText"/>
        <w:rPr>
          <w:lang w:val="en-NZ"/>
        </w:rPr>
      </w:pPr>
      <w:r>
        <w:rPr>
          <w:rStyle w:val="FootnoteReference"/>
        </w:rPr>
        <w:footnoteRef/>
      </w:r>
      <w:r>
        <w:t xml:space="preserve"> Operational; Policy Framework see </w:t>
      </w:r>
      <w:r w:rsidRPr="00DE146C">
        <w:t>https://nsfl.health.govt.nz/accountability/operational-policy-framework-0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A9C"/>
    <w:multiLevelType w:val="hybridMultilevel"/>
    <w:tmpl w:val="BEC4DA62"/>
    <w:lvl w:ilvl="0" w:tplc="901E6C04">
      <w:start w:val="1"/>
      <w:numFmt w:val="lowerLetter"/>
      <w:lvlText w:val="%1."/>
      <w:lvlJc w:val="left"/>
      <w:pPr>
        <w:ind w:left="1080" w:hanging="360"/>
      </w:pPr>
      <w:rPr>
        <w:rFonts w:ascii="Arial" w:eastAsia="Times New Roman" w:hAnsi="Arial" w:cs="Arial"/>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D4126B7"/>
    <w:multiLevelType w:val="hybridMultilevel"/>
    <w:tmpl w:val="AADC4C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49400C"/>
    <w:multiLevelType w:val="hybridMultilevel"/>
    <w:tmpl w:val="758CED80"/>
    <w:lvl w:ilvl="0" w:tplc="4E92B21A">
      <w:start w:val="1"/>
      <w:numFmt w:val="lowerLetter"/>
      <w:pStyle w:val="2ListParagraph"/>
      <w:lvlText w:val="%1."/>
      <w:lvlJc w:val="left"/>
      <w:pPr>
        <w:ind w:left="1800" w:hanging="360"/>
      </w:pPr>
      <w:rPr>
        <w:rFonts w:cs="Times New Roman"/>
      </w:rPr>
    </w:lvl>
    <w:lvl w:ilvl="1" w:tplc="14090019" w:tentative="1">
      <w:start w:val="1"/>
      <w:numFmt w:val="lowerLetter"/>
      <w:lvlText w:val="%2."/>
      <w:lvlJc w:val="left"/>
      <w:pPr>
        <w:ind w:left="2520" w:hanging="360"/>
      </w:pPr>
      <w:rPr>
        <w:rFonts w:cs="Times New Roman"/>
      </w:rPr>
    </w:lvl>
    <w:lvl w:ilvl="2" w:tplc="1409001B" w:tentative="1">
      <w:start w:val="1"/>
      <w:numFmt w:val="lowerRoman"/>
      <w:lvlText w:val="%3."/>
      <w:lvlJc w:val="right"/>
      <w:pPr>
        <w:ind w:left="3240" w:hanging="180"/>
      </w:pPr>
      <w:rPr>
        <w:rFonts w:cs="Times New Roman"/>
      </w:rPr>
    </w:lvl>
    <w:lvl w:ilvl="3" w:tplc="1409000F" w:tentative="1">
      <w:start w:val="1"/>
      <w:numFmt w:val="decimal"/>
      <w:lvlText w:val="%4."/>
      <w:lvlJc w:val="left"/>
      <w:pPr>
        <w:ind w:left="3960" w:hanging="360"/>
      </w:pPr>
      <w:rPr>
        <w:rFonts w:cs="Times New Roman"/>
      </w:rPr>
    </w:lvl>
    <w:lvl w:ilvl="4" w:tplc="14090019" w:tentative="1">
      <w:start w:val="1"/>
      <w:numFmt w:val="lowerLetter"/>
      <w:lvlText w:val="%5."/>
      <w:lvlJc w:val="left"/>
      <w:pPr>
        <w:ind w:left="4680" w:hanging="360"/>
      </w:pPr>
      <w:rPr>
        <w:rFonts w:cs="Times New Roman"/>
      </w:rPr>
    </w:lvl>
    <w:lvl w:ilvl="5" w:tplc="1409001B" w:tentative="1">
      <w:start w:val="1"/>
      <w:numFmt w:val="lowerRoman"/>
      <w:lvlText w:val="%6."/>
      <w:lvlJc w:val="right"/>
      <w:pPr>
        <w:ind w:left="5400" w:hanging="180"/>
      </w:pPr>
      <w:rPr>
        <w:rFonts w:cs="Times New Roman"/>
      </w:rPr>
    </w:lvl>
    <w:lvl w:ilvl="6" w:tplc="1409000F" w:tentative="1">
      <w:start w:val="1"/>
      <w:numFmt w:val="decimal"/>
      <w:lvlText w:val="%7."/>
      <w:lvlJc w:val="left"/>
      <w:pPr>
        <w:ind w:left="6120" w:hanging="360"/>
      </w:pPr>
      <w:rPr>
        <w:rFonts w:cs="Times New Roman"/>
      </w:rPr>
    </w:lvl>
    <w:lvl w:ilvl="7" w:tplc="14090019" w:tentative="1">
      <w:start w:val="1"/>
      <w:numFmt w:val="lowerLetter"/>
      <w:lvlText w:val="%8."/>
      <w:lvlJc w:val="left"/>
      <w:pPr>
        <w:ind w:left="6840" w:hanging="360"/>
      </w:pPr>
      <w:rPr>
        <w:rFonts w:cs="Times New Roman"/>
      </w:rPr>
    </w:lvl>
    <w:lvl w:ilvl="8" w:tplc="1409001B" w:tentative="1">
      <w:start w:val="1"/>
      <w:numFmt w:val="lowerRoman"/>
      <w:lvlText w:val="%9."/>
      <w:lvlJc w:val="right"/>
      <w:pPr>
        <w:ind w:left="7560" w:hanging="180"/>
      </w:pPr>
      <w:rPr>
        <w:rFonts w:cs="Times New Roman"/>
      </w:rPr>
    </w:lvl>
  </w:abstractNum>
  <w:abstractNum w:abstractNumId="3" w15:restartNumberingAfterBreak="0">
    <w:nsid w:val="180365F2"/>
    <w:multiLevelType w:val="multilevel"/>
    <w:tmpl w:val="645A58EC"/>
    <w:lvl w:ilvl="0">
      <w:start w:val="1"/>
      <w:numFmt w:val="bullet"/>
      <w:pStyle w:val="ListParagraph"/>
      <w:lvlText w:val=""/>
      <w:lvlJc w:val="left"/>
      <w:pPr>
        <w:ind w:left="567" w:hanging="283"/>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678D6"/>
    <w:multiLevelType w:val="multilevel"/>
    <w:tmpl w:val="9DF672A4"/>
    <w:styleLink w:val="HeadingsNrs"/>
    <w:lvl w:ilvl="0">
      <w:start w:val="1"/>
      <w:numFmt w:val="decimal"/>
      <w:lvlText w:val="%1."/>
      <w:lvlJc w:val="left"/>
      <w:pPr>
        <w:ind w:left="454" w:hanging="454"/>
      </w:pPr>
      <w:rPr>
        <w:rFonts w:cs="Times New Roman" w:hint="default"/>
      </w:rPr>
    </w:lvl>
    <w:lvl w:ilvl="1">
      <w:start w:val="1"/>
      <w:numFmt w:val="decimal"/>
      <w:lvlText w:val="%1.%2"/>
      <w:lvlJc w:val="left"/>
      <w:pPr>
        <w:ind w:left="454" w:hanging="454"/>
      </w:pPr>
      <w:rPr>
        <w:rFonts w:cs="Times New Roman" w:hint="default"/>
      </w:rPr>
    </w:lvl>
    <w:lvl w:ilvl="2">
      <w:start w:val="1"/>
      <w:numFmt w:val="decimal"/>
      <w:lvlText w:val="%1.%2.%3"/>
      <w:lvlJc w:val="left"/>
      <w:pPr>
        <w:ind w:left="1305" w:hanging="454"/>
      </w:pPr>
      <w:rPr>
        <w:rFonts w:cs="Times New Roman" w:hint="default"/>
      </w:rPr>
    </w:lvl>
    <w:lvl w:ilvl="3">
      <w:start w:val="1"/>
      <w:numFmt w:val="decimal"/>
      <w:lvlText w:val="%1.%2.%3.%4"/>
      <w:lvlJc w:val="left"/>
      <w:pPr>
        <w:ind w:left="454" w:hanging="454"/>
      </w:pPr>
      <w:rPr>
        <w:rFonts w:cs="Times New Roman" w:hint="default"/>
      </w:rPr>
    </w:lvl>
    <w:lvl w:ilvl="4">
      <w:start w:val="1"/>
      <w:numFmt w:val="decimal"/>
      <w:lvlText w:val="%1.%2.%3.%4.%5"/>
      <w:lvlJc w:val="left"/>
      <w:pPr>
        <w:ind w:left="454" w:hanging="454"/>
      </w:pPr>
      <w:rPr>
        <w:rFonts w:cs="Times New Roman" w:hint="default"/>
      </w:rPr>
    </w:lvl>
    <w:lvl w:ilvl="5">
      <w:start w:val="1"/>
      <w:numFmt w:val="lowerRoman"/>
      <w:lvlText w:val="(%6)"/>
      <w:lvlJc w:val="left"/>
      <w:pPr>
        <w:ind w:left="454" w:hanging="454"/>
      </w:pPr>
      <w:rPr>
        <w:rFonts w:cs="Times New Roman" w:hint="default"/>
      </w:rPr>
    </w:lvl>
    <w:lvl w:ilvl="6">
      <w:start w:val="1"/>
      <w:numFmt w:val="decimal"/>
      <w:lvlText w:val="%7."/>
      <w:lvlJc w:val="left"/>
      <w:pPr>
        <w:ind w:left="454" w:hanging="454"/>
      </w:pPr>
      <w:rPr>
        <w:rFonts w:cs="Times New Roman" w:hint="default"/>
      </w:rPr>
    </w:lvl>
    <w:lvl w:ilvl="7">
      <w:start w:val="1"/>
      <w:numFmt w:val="lowerLetter"/>
      <w:lvlText w:val="%8."/>
      <w:lvlJc w:val="left"/>
      <w:pPr>
        <w:ind w:left="454" w:hanging="454"/>
      </w:pPr>
      <w:rPr>
        <w:rFonts w:cs="Times New Roman" w:hint="default"/>
      </w:rPr>
    </w:lvl>
    <w:lvl w:ilvl="8">
      <w:start w:val="1"/>
      <w:numFmt w:val="lowerRoman"/>
      <w:lvlText w:val="%9."/>
      <w:lvlJc w:val="left"/>
      <w:pPr>
        <w:ind w:left="454" w:hanging="454"/>
      </w:pPr>
      <w:rPr>
        <w:rFonts w:cs="Times New Roman" w:hint="default"/>
      </w:rPr>
    </w:lvl>
  </w:abstractNum>
  <w:abstractNum w:abstractNumId="5" w15:restartNumberingAfterBreak="0">
    <w:nsid w:val="1C8262C1"/>
    <w:multiLevelType w:val="hybridMultilevel"/>
    <w:tmpl w:val="C46CE6E8"/>
    <w:lvl w:ilvl="0" w:tplc="14090001">
      <w:start w:val="1"/>
      <w:numFmt w:val="bullet"/>
      <w:lvlText w:val=""/>
      <w:lvlJc w:val="left"/>
      <w:pPr>
        <w:ind w:left="790" w:hanging="360"/>
      </w:pPr>
      <w:rPr>
        <w:rFonts w:ascii="Symbol" w:hAnsi="Symbol" w:hint="default"/>
      </w:rPr>
    </w:lvl>
    <w:lvl w:ilvl="1" w:tplc="14090003">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6" w15:restartNumberingAfterBreak="0">
    <w:nsid w:val="345E3B02"/>
    <w:multiLevelType w:val="multilevel"/>
    <w:tmpl w:val="A1828BE0"/>
    <w:lvl w:ilvl="0">
      <w:start w:val="1"/>
      <w:numFmt w:val="decimal"/>
      <w:pStyle w:val="Heading1"/>
      <w:lvlText w:val="%1."/>
      <w:lvlJc w:val="left"/>
      <w:pPr>
        <w:ind w:left="454" w:hanging="454"/>
      </w:pPr>
      <w:rPr>
        <w:rFonts w:cs="Times New Roman" w:hint="default"/>
      </w:rPr>
    </w:lvl>
    <w:lvl w:ilvl="1">
      <w:start w:val="1"/>
      <w:numFmt w:val="decimal"/>
      <w:lvlText w:val="%1.%2"/>
      <w:lvlJc w:val="left"/>
      <w:pPr>
        <w:ind w:left="454" w:hanging="454"/>
      </w:pPr>
      <w:rPr>
        <w:rFonts w:cs="Times New Roman" w:hint="default"/>
        <w:i w:val="0"/>
      </w:rPr>
    </w:lvl>
    <w:lvl w:ilvl="2">
      <w:start w:val="1"/>
      <w:numFmt w:val="decimal"/>
      <w:lvlText w:val="%1.%2.%3"/>
      <w:lvlJc w:val="left"/>
      <w:pPr>
        <w:ind w:left="454" w:hanging="454"/>
      </w:pPr>
      <w:rPr>
        <w:rFonts w:cs="Times New Roman" w:hint="default"/>
        <w:b/>
        <w:i w:val="0"/>
      </w:rPr>
    </w:lvl>
    <w:lvl w:ilvl="3">
      <w:start w:val="1"/>
      <w:numFmt w:val="decimal"/>
      <w:lvlText w:val="%1.%2.%3.%4"/>
      <w:lvlJc w:val="left"/>
      <w:pPr>
        <w:ind w:left="454" w:hanging="454"/>
      </w:pPr>
      <w:rPr>
        <w:rFonts w:cs="Times New Roman" w:hint="default"/>
      </w:rPr>
    </w:lvl>
    <w:lvl w:ilvl="4">
      <w:start w:val="1"/>
      <w:numFmt w:val="decimal"/>
      <w:lvlText w:val="%1.%2.%3.%4.%5"/>
      <w:lvlJc w:val="left"/>
      <w:pPr>
        <w:ind w:left="454" w:hanging="454"/>
      </w:pPr>
      <w:rPr>
        <w:rFonts w:cs="Times New Roman" w:hint="default"/>
      </w:rPr>
    </w:lvl>
    <w:lvl w:ilvl="5">
      <w:start w:val="1"/>
      <w:numFmt w:val="lowerRoman"/>
      <w:lvlText w:val="(%6)"/>
      <w:lvlJc w:val="left"/>
      <w:pPr>
        <w:ind w:left="454" w:hanging="454"/>
      </w:pPr>
      <w:rPr>
        <w:rFonts w:cs="Times New Roman" w:hint="default"/>
      </w:rPr>
    </w:lvl>
    <w:lvl w:ilvl="6">
      <w:start w:val="1"/>
      <w:numFmt w:val="decimal"/>
      <w:lvlText w:val="%7."/>
      <w:lvlJc w:val="left"/>
      <w:pPr>
        <w:ind w:left="454" w:hanging="454"/>
      </w:pPr>
      <w:rPr>
        <w:rFonts w:cs="Times New Roman" w:hint="default"/>
      </w:rPr>
    </w:lvl>
    <w:lvl w:ilvl="7">
      <w:start w:val="1"/>
      <w:numFmt w:val="lowerLetter"/>
      <w:lvlText w:val="%8."/>
      <w:lvlJc w:val="left"/>
      <w:pPr>
        <w:ind w:left="454" w:hanging="454"/>
      </w:pPr>
      <w:rPr>
        <w:rFonts w:cs="Times New Roman" w:hint="default"/>
      </w:rPr>
    </w:lvl>
    <w:lvl w:ilvl="8">
      <w:start w:val="1"/>
      <w:numFmt w:val="lowerRoman"/>
      <w:lvlText w:val="%9."/>
      <w:lvlJc w:val="left"/>
      <w:pPr>
        <w:ind w:left="454" w:hanging="454"/>
      </w:pPr>
      <w:rPr>
        <w:rFonts w:cs="Times New Roman" w:hint="default"/>
      </w:rPr>
    </w:lvl>
  </w:abstractNum>
  <w:abstractNum w:abstractNumId="7" w15:restartNumberingAfterBreak="0">
    <w:nsid w:val="36E825CC"/>
    <w:multiLevelType w:val="multilevel"/>
    <w:tmpl w:val="8F6A5EF2"/>
    <w:styleLink w:val="Bullets"/>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F3B0303"/>
    <w:multiLevelType w:val="hybridMultilevel"/>
    <w:tmpl w:val="476200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6700B1D"/>
    <w:multiLevelType w:val="multilevel"/>
    <w:tmpl w:val="FB020E12"/>
    <w:lvl w:ilvl="0">
      <w:start w:val="1"/>
      <w:numFmt w:val="bullet"/>
      <w:lvlText w:val=""/>
      <w:lvlJc w:val="left"/>
      <w:pPr>
        <w:ind w:left="567" w:hanging="283"/>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F25D5B"/>
    <w:multiLevelType w:val="hybridMultilevel"/>
    <w:tmpl w:val="75246150"/>
    <w:lvl w:ilvl="0" w:tplc="B69AD60E">
      <w:start w:val="1"/>
      <w:numFmt w:val="bullet"/>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739A36FC"/>
    <w:multiLevelType w:val="hybridMultilevel"/>
    <w:tmpl w:val="4510F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11"/>
  </w:num>
  <w:num w:numId="7">
    <w:abstractNumId w:val="9"/>
  </w:num>
  <w:num w:numId="8">
    <w:abstractNumId w:val="10"/>
  </w:num>
  <w:num w:numId="9">
    <w:abstractNumId w:val="8"/>
  </w:num>
  <w:num w:numId="10">
    <w:abstractNumId w:val="0"/>
  </w:num>
  <w:num w:numId="11">
    <w:abstractNumId w:val="1"/>
  </w:num>
  <w:num w:numId="12">
    <w:abstractNumId w:val="5"/>
  </w:num>
  <w:num w:numId="13">
    <w:abstractNumId w:val="3"/>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70"/>
    <w:rsid w:val="00010CB4"/>
    <w:rsid w:val="000120BA"/>
    <w:rsid w:val="0001593F"/>
    <w:rsid w:val="00020A5A"/>
    <w:rsid w:val="00020D89"/>
    <w:rsid w:val="00022448"/>
    <w:rsid w:val="00023802"/>
    <w:rsid w:val="00031DE0"/>
    <w:rsid w:val="0003730E"/>
    <w:rsid w:val="00037EE0"/>
    <w:rsid w:val="00051DB7"/>
    <w:rsid w:val="00057206"/>
    <w:rsid w:val="000829AB"/>
    <w:rsid w:val="000A0795"/>
    <w:rsid w:val="000A09E5"/>
    <w:rsid w:val="000A7BA2"/>
    <w:rsid w:val="000B1427"/>
    <w:rsid w:val="000C33D8"/>
    <w:rsid w:val="000C4217"/>
    <w:rsid w:val="000E0F22"/>
    <w:rsid w:val="000E3394"/>
    <w:rsid w:val="000E6CBB"/>
    <w:rsid w:val="000E70E9"/>
    <w:rsid w:val="0011517D"/>
    <w:rsid w:val="00117498"/>
    <w:rsid w:val="00137CC6"/>
    <w:rsid w:val="00140E41"/>
    <w:rsid w:val="0016520F"/>
    <w:rsid w:val="00166B96"/>
    <w:rsid w:val="00167311"/>
    <w:rsid w:val="00180CC1"/>
    <w:rsid w:val="001B0F71"/>
    <w:rsid w:val="001D7E43"/>
    <w:rsid w:val="001E3950"/>
    <w:rsid w:val="001F24A1"/>
    <w:rsid w:val="002047A7"/>
    <w:rsid w:val="0020598D"/>
    <w:rsid w:val="00213EBA"/>
    <w:rsid w:val="0022256D"/>
    <w:rsid w:val="0022436F"/>
    <w:rsid w:val="00234689"/>
    <w:rsid w:val="00241F79"/>
    <w:rsid w:val="00243374"/>
    <w:rsid w:val="0024553E"/>
    <w:rsid w:val="0025053B"/>
    <w:rsid w:val="0026189E"/>
    <w:rsid w:val="00263A11"/>
    <w:rsid w:val="00273612"/>
    <w:rsid w:val="002A404C"/>
    <w:rsid w:val="002B0A78"/>
    <w:rsid w:val="002B593C"/>
    <w:rsid w:val="002B6D07"/>
    <w:rsid w:val="002C1A38"/>
    <w:rsid w:val="002C4A7A"/>
    <w:rsid w:val="002D55CA"/>
    <w:rsid w:val="002E21E7"/>
    <w:rsid w:val="003032D0"/>
    <w:rsid w:val="003204DC"/>
    <w:rsid w:val="00332B11"/>
    <w:rsid w:val="00334F2F"/>
    <w:rsid w:val="00343773"/>
    <w:rsid w:val="003443CE"/>
    <w:rsid w:val="00346EB5"/>
    <w:rsid w:val="00355500"/>
    <w:rsid w:val="00387B0D"/>
    <w:rsid w:val="00395FA2"/>
    <w:rsid w:val="003C287F"/>
    <w:rsid w:val="003D7B09"/>
    <w:rsid w:val="003E6948"/>
    <w:rsid w:val="003F7123"/>
    <w:rsid w:val="00400001"/>
    <w:rsid w:val="00402302"/>
    <w:rsid w:val="004503B3"/>
    <w:rsid w:val="00460ED8"/>
    <w:rsid w:val="00460FDC"/>
    <w:rsid w:val="004630E2"/>
    <w:rsid w:val="00474EE6"/>
    <w:rsid w:val="0049146B"/>
    <w:rsid w:val="004B07B8"/>
    <w:rsid w:val="004B540E"/>
    <w:rsid w:val="004D28E8"/>
    <w:rsid w:val="004D497A"/>
    <w:rsid w:val="004E29F1"/>
    <w:rsid w:val="004E4CE5"/>
    <w:rsid w:val="004E58FA"/>
    <w:rsid w:val="004E5FDE"/>
    <w:rsid w:val="004E65FA"/>
    <w:rsid w:val="004F6813"/>
    <w:rsid w:val="00511136"/>
    <w:rsid w:val="00513970"/>
    <w:rsid w:val="00533EC9"/>
    <w:rsid w:val="00534127"/>
    <w:rsid w:val="0053595A"/>
    <w:rsid w:val="00545898"/>
    <w:rsid w:val="005579AD"/>
    <w:rsid w:val="005601E3"/>
    <w:rsid w:val="00560283"/>
    <w:rsid w:val="00562BC7"/>
    <w:rsid w:val="005679A8"/>
    <w:rsid w:val="0058148B"/>
    <w:rsid w:val="00581D91"/>
    <w:rsid w:val="0058748B"/>
    <w:rsid w:val="00591654"/>
    <w:rsid w:val="0059781F"/>
    <w:rsid w:val="005A4335"/>
    <w:rsid w:val="005A603C"/>
    <w:rsid w:val="005C503B"/>
    <w:rsid w:val="005D68DB"/>
    <w:rsid w:val="005D6DDF"/>
    <w:rsid w:val="005E05EB"/>
    <w:rsid w:val="005E7650"/>
    <w:rsid w:val="005E76E8"/>
    <w:rsid w:val="005F17F4"/>
    <w:rsid w:val="006019EF"/>
    <w:rsid w:val="00616414"/>
    <w:rsid w:val="00636DD5"/>
    <w:rsid w:val="006509E0"/>
    <w:rsid w:val="00667403"/>
    <w:rsid w:val="00671AC5"/>
    <w:rsid w:val="00681D3F"/>
    <w:rsid w:val="00697BA9"/>
    <w:rsid w:val="006C67DF"/>
    <w:rsid w:val="006D2648"/>
    <w:rsid w:val="006E111A"/>
    <w:rsid w:val="00715F7F"/>
    <w:rsid w:val="00745717"/>
    <w:rsid w:val="00772A3E"/>
    <w:rsid w:val="0078584C"/>
    <w:rsid w:val="00795B54"/>
    <w:rsid w:val="007B3F53"/>
    <w:rsid w:val="007B451B"/>
    <w:rsid w:val="007E7084"/>
    <w:rsid w:val="007F487D"/>
    <w:rsid w:val="008023B2"/>
    <w:rsid w:val="00802C75"/>
    <w:rsid w:val="00803369"/>
    <w:rsid w:val="008128B8"/>
    <w:rsid w:val="00823D74"/>
    <w:rsid w:val="00823FC1"/>
    <w:rsid w:val="00825CAA"/>
    <w:rsid w:val="00842E14"/>
    <w:rsid w:val="00861042"/>
    <w:rsid w:val="00874B1B"/>
    <w:rsid w:val="00880642"/>
    <w:rsid w:val="008925F7"/>
    <w:rsid w:val="00896CF1"/>
    <w:rsid w:val="008B518F"/>
    <w:rsid w:val="008C0AEA"/>
    <w:rsid w:val="008C31B6"/>
    <w:rsid w:val="008D2A3E"/>
    <w:rsid w:val="008F78F5"/>
    <w:rsid w:val="00906C82"/>
    <w:rsid w:val="00913758"/>
    <w:rsid w:val="009138C8"/>
    <w:rsid w:val="0091449F"/>
    <w:rsid w:val="00914C26"/>
    <w:rsid w:val="009320FD"/>
    <w:rsid w:val="00950E6A"/>
    <w:rsid w:val="009578C7"/>
    <w:rsid w:val="00960079"/>
    <w:rsid w:val="00967D78"/>
    <w:rsid w:val="00972F56"/>
    <w:rsid w:val="009741D5"/>
    <w:rsid w:val="009866FE"/>
    <w:rsid w:val="00993A34"/>
    <w:rsid w:val="009972E0"/>
    <w:rsid w:val="009A4DCE"/>
    <w:rsid w:val="009C1409"/>
    <w:rsid w:val="009C2239"/>
    <w:rsid w:val="009E69CD"/>
    <w:rsid w:val="009F6AEC"/>
    <w:rsid w:val="00A04513"/>
    <w:rsid w:val="00A1158B"/>
    <w:rsid w:val="00A243EB"/>
    <w:rsid w:val="00A254AF"/>
    <w:rsid w:val="00A25CC1"/>
    <w:rsid w:val="00A25F89"/>
    <w:rsid w:val="00A2649E"/>
    <w:rsid w:val="00A26BF1"/>
    <w:rsid w:val="00A46BD5"/>
    <w:rsid w:val="00A53EBC"/>
    <w:rsid w:val="00A7644B"/>
    <w:rsid w:val="00A846E4"/>
    <w:rsid w:val="00A84788"/>
    <w:rsid w:val="00A93220"/>
    <w:rsid w:val="00AA7E28"/>
    <w:rsid w:val="00AA7F44"/>
    <w:rsid w:val="00AB0464"/>
    <w:rsid w:val="00AC0ED7"/>
    <w:rsid w:val="00AE415D"/>
    <w:rsid w:val="00AF2278"/>
    <w:rsid w:val="00AF3065"/>
    <w:rsid w:val="00B01309"/>
    <w:rsid w:val="00B06AB5"/>
    <w:rsid w:val="00B12423"/>
    <w:rsid w:val="00B16094"/>
    <w:rsid w:val="00B21EFC"/>
    <w:rsid w:val="00B228BE"/>
    <w:rsid w:val="00B2547E"/>
    <w:rsid w:val="00B26EE0"/>
    <w:rsid w:val="00B3295D"/>
    <w:rsid w:val="00B42E88"/>
    <w:rsid w:val="00B47686"/>
    <w:rsid w:val="00B5460F"/>
    <w:rsid w:val="00B73E30"/>
    <w:rsid w:val="00B7649B"/>
    <w:rsid w:val="00B8677A"/>
    <w:rsid w:val="00B86883"/>
    <w:rsid w:val="00B86968"/>
    <w:rsid w:val="00BA3E74"/>
    <w:rsid w:val="00BB3E48"/>
    <w:rsid w:val="00BC0DBD"/>
    <w:rsid w:val="00BD2358"/>
    <w:rsid w:val="00BD53C1"/>
    <w:rsid w:val="00BF1387"/>
    <w:rsid w:val="00C05994"/>
    <w:rsid w:val="00C169DC"/>
    <w:rsid w:val="00C31F90"/>
    <w:rsid w:val="00C367FA"/>
    <w:rsid w:val="00C56ACD"/>
    <w:rsid w:val="00C61539"/>
    <w:rsid w:val="00C75A21"/>
    <w:rsid w:val="00C813F5"/>
    <w:rsid w:val="00C9585D"/>
    <w:rsid w:val="00CA0559"/>
    <w:rsid w:val="00CA57F6"/>
    <w:rsid w:val="00CC31C1"/>
    <w:rsid w:val="00CC70F4"/>
    <w:rsid w:val="00CF70AF"/>
    <w:rsid w:val="00D01CE5"/>
    <w:rsid w:val="00D026B7"/>
    <w:rsid w:val="00D27E7C"/>
    <w:rsid w:val="00D400D5"/>
    <w:rsid w:val="00D461AD"/>
    <w:rsid w:val="00D62D2C"/>
    <w:rsid w:val="00D753FD"/>
    <w:rsid w:val="00D80AC8"/>
    <w:rsid w:val="00D856BA"/>
    <w:rsid w:val="00D873CA"/>
    <w:rsid w:val="00DB3D51"/>
    <w:rsid w:val="00DB7896"/>
    <w:rsid w:val="00DC165E"/>
    <w:rsid w:val="00DC1680"/>
    <w:rsid w:val="00DC4226"/>
    <w:rsid w:val="00DD1723"/>
    <w:rsid w:val="00DD69A8"/>
    <w:rsid w:val="00DE094C"/>
    <w:rsid w:val="00DE0CB0"/>
    <w:rsid w:val="00DE0E02"/>
    <w:rsid w:val="00DF24E0"/>
    <w:rsid w:val="00DF3C46"/>
    <w:rsid w:val="00DF473F"/>
    <w:rsid w:val="00E22051"/>
    <w:rsid w:val="00E2531D"/>
    <w:rsid w:val="00E33E90"/>
    <w:rsid w:val="00E42E29"/>
    <w:rsid w:val="00E52A07"/>
    <w:rsid w:val="00E559F0"/>
    <w:rsid w:val="00E5737D"/>
    <w:rsid w:val="00E576EE"/>
    <w:rsid w:val="00E63080"/>
    <w:rsid w:val="00E661BD"/>
    <w:rsid w:val="00E70B1F"/>
    <w:rsid w:val="00E71D50"/>
    <w:rsid w:val="00E73E67"/>
    <w:rsid w:val="00E901E5"/>
    <w:rsid w:val="00EA7B31"/>
    <w:rsid w:val="00EB3253"/>
    <w:rsid w:val="00EB5811"/>
    <w:rsid w:val="00EC2D25"/>
    <w:rsid w:val="00ED361D"/>
    <w:rsid w:val="00EE4BA4"/>
    <w:rsid w:val="00EF7801"/>
    <w:rsid w:val="00F000C0"/>
    <w:rsid w:val="00F007AF"/>
    <w:rsid w:val="00F00A8E"/>
    <w:rsid w:val="00F04B47"/>
    <w:rsid w:val="00F1207D"/>
    <w:rsid w:val="00F21022"/>
    <w:rsid w:val="00F24918"/>
    <w:rsid w:val="00F27B1A"/>
    <w:rsid w:val="00F3072C"/>
    <w:rsid w:val="00F46C3A"/>
    <w:rsid w:val="00F5039E"/>
    <w:rsid w:val="00F62FDF"/>
    <w:rsid w:val="00F75FC5"/>
    <w:rsid w:val="00F80B29"/>
    <w:rsid w:val="00FE01CC"/>
    <w:rsid w:val="00FE1A10"/>
    <w:rsid w:val="00FE525D"/>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982B3"/>
  <w15:docId w15:val="{D13F81F7-0AC5-4A01-A7A1-3B305DAD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A8"/>
    <w:rPr>
      <w:sz w:val="24"/>
      <w:szCs w:val="20"/>
      <w:lang w:val="en-GB"/>
    </w:rPr>
  </w:style>
  <w:style w:type="paragraph" w:styleId="Heading1">
    <w:name w:val="heading 1"/>
    <w:aliases w:val="Anika 1"/>
    <w:basedOn w:val="Normal"/>
    <w:next w:val="Normal"/>
    <w:link w:val="Heading1Char"/>
    <w:autoRedefine/>
    <w:uiPriority w:val="99"/>
    <w:qFormat/>
    <w:rsid w:val="00533EC9"/>
    <w:pPr>
      <w:keepNext/>
      <w:numPr>
        <w:numId w:val="3"/>
      </w:numPr>
      <w:spacing w:before="240" w:after="120"/>
      <w:ind w:left="567" w:hanging="567"/>
      <w:outlineLvl w:val="0"/>
    </w:pPr>
    <w:rPr>
      <w:rFonts w:cs="Arial"/>
      <w:b/>
      <w:bCs/>
      <w:kern w:val="32"/>
      <w:szCs w:val="32"/>
      <w:lang w:eastAsia="en-NZ"/>
    </w:rPr>
  </w:style>
  <w:style w:type="paragraph" w:styleId="Heading2">
    <w:name w:val="heading 2"/>
    <w:aliases w:val="Anika 2,H1"/>
    <w:basedOn w:val="Normal"/>
    <w:next w:val="Normal"/>
    <w:link w:val="Heading2Char"/>
    <w:autoRedefine/>
    <w:uiPriority w:val="99"/>
    <w:qFormat/>
    <w:rsid w:val="008023B2"/>
    <w:pPr>
      <w:keepNext/>
      <w:spacing w:before="120"/>
      <w:ind w:left="567" w:hanging="567"/>
      <w:outlineLvl w:val="1"/>
    </w:pPr>
    <w:rPr>
      <w:b/>
      <w:bCs/>
      <w:iCs/>
      <w:szCs w:val="28"/>
    </w:rPr>
  </w:style>
  <w:style w:type="paragraph" w:styleId="Heading3">
    <w:name w:val="heading 3"/>
    <w:aliases w:val="Anika 3"/>
    <w:basedOn w:val="Heading2"/>
    <w:next w:val="Normal"/>
    <w:link w:val="Heading3Char"/>
    <w:uiPriority w:val="99"/>
    <w:qFormat/>
    <w:rsid w:val="005F17F4"/>
    <w:pPr>
      <w:numPr>
        <w:ilvl w:val="2"/>
      </w:numPr>
      <w:ind w:left="567" w:hanging="567"/>
      <w:outlineLvl w:val="2"/>
    </w:pPr>
    <w:rPr>
      <w:bCs w:val="0"/>
      <w:szCs w:val="26"/>
    </w:rPr>
  </w:style>
  <w:style w:type="paragraph" w:styleId="Heading4">
    <w:name w:val="heading 4"/>
    <w:aliases w:val="SS Heading 1"/>
    <w:basedOn w:val="Normal"/>
    <w:next w:val="Normal"/>
    <w:link w:val="Heading4Char"/>
    <w:unhideWhenUsed/>
    <w:qFormat/>
    <w:locked/>
    <w:rsid w:val="00DF24E0"/>
    <w:pPr>
      <w:keepNext/>
      <w:keepLines/>
      <w:spacing w:before="120"/>
      <w:jc w:val="center"/>
      <w:outlineLvl w:val="3"/>
    </w:pPr>
    <w:rPr>
      <w:rFonts w:eastAsiaTheme="majorEastAsia" w:cstheme="majorBidi"/>
      <w:b/>
      <w:bCs/>
      <w:iCs/>
      <w:sz w:val="36"/>
    </w:rPr>
  </w:style>
  <w:style w:type="paragraph" w:styleId="Heading5">
    <w:name w:val="heading 5"/>
    <w:basedOn w:val="Normal"/>
    <w:next w:val="Normal"/>
    <w:link w:val="Heading5Char"/>
    <w:uiPriority w:val="99"/>
    <w:qFormat/>
    <w:rsid w:val="004E58FA"/>
    <w:pPr>
      <w:spacing w:before="240" w:after="60"/>
      <w:outlineLvl w:val="4"/>
    </w:pPr>
  </w:style>
  <w:style w:type="paragraph" w:styleId="Heading6">
    <w:name w:val="heading 6"/>
    <w:basedOn w:val="Normal"/>
    <w:next w:val="Normal"/>
    <w:link w:val="Heading6Char"/>
    <w:uiPriority w:val="99"/>
    <w:qFormat/>
    <w:rsid w:val="004E58FA"/>
    <w:pPr>
      <w:spacing w:before="240" w:after="60"/>
      <w:outlineLvl w:val="5"/>
    </w:pPr>
    <w:rPr>
      <w:i/>
    </w:rPr>
  </w:style>
  <w:style w:type="paragraph" w:styleId="Heading7">
    <w:name w:val="heading 7"/>
    <w:basedOn w:val="Normal"/>
    <w:next w:val="Normal"/>
    <w:link w:val="Heading7Char"/>
    <w:uiPriority w:val="99"/>
    <w:qFormat/>
    <w:rsid w:val="004E58FA"/>
    <w:pPr>
      <w:spacing w:before="240" w:after="60"/>
      <w:outlineLvl w:val="6"/>
    </w:pPr>
    <w:rPr>
      <w:sz w:val="20"/>
    </w:rPr>
  </w:style>
  <w:style w:type="paragraph" w:styleId="Heading8">
    <w:name w:val="heading 8"/>
    <w:basedOn w:val="Normal"/>
    <w:next w:val="Normal"/>
    <w:link w:val="Heading8Char"/>
    <w:uiPriority w:val="99"/>
    <w:qFormat/>
    <w:rsid w:val="004E58FA"/>
    <w:pPr>
      <w:spacing w:before="240" w:after="60"/>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ika 1 Char"/>
    <w:basedOn w:val="DefaultParagraphFont"/>
    <w:link w:val="Heading1"/>
    <w:uiPriority w:val="99"/>
    <w:locked/>
    <w:rsid w:val="00533EC9"/>
    <w:rPr>
      <w:rFonts w:cs="Arial"/>
      <w:b/>
      <w:bCs/>
      <w:kern w:val="32"/>
      <w:sz w:val="24"/>
      <w:szCs w:val="32"/>
      <w:lang w:val="en-GB" w:eastAsia="en-NZ"/>
    </w:rPr>
  </w:style>
  <w:style w:type="character" w:customStyle="1" w:styleId="Heading2Char">
    <w:name w:val="Heading 2 Char"/>
    <w:aliases w:val="Anika 2 Char,H1 Char"/>
    <w:basedOn w:val="DefaultParagraphFont"/>
    <w:link w:val="Heading2"/>
    <w:uiPriority w:val="99"/>
    <w:locked/>
    <w:rsid w:val="008023B2"/>
    <w:rPr>
      <w:b/>
      <w:bCs/>
      <w:iCs/>
      <w:sz w:val="24"/>
      <w:szCs w:val="28"/>
      <w:lang w:val="en-GB"/>
    </w:rPr>
  </w:style>
  <w:style w:type="character" w:customStyle="1" w:styleId="Heading3Char">
    <w:name w:val="Heading 3 Char"/>
    <w:aliases w:val="Anika 3 Char"/>
    <w:basedOn w:val="DefaultParagraphFont"/>
    <w:link w:val="Heading3"/>
    <w:uiPriority w:val="99"/>
    <w:locked/>
    <w:rsid w:val="005F17F4"/>
    <w:rPr>
      <w:b/>
      <w:sz w:val="26"/>
      <w:lang w:val="en-GB"/>
    </w:rPr>
  </w:style>
  <w:style w:type="character" w:customStyle="1" w:styleId="Heading5Char">
    <w:name w:val="Heading 5 Char"/>
    <w:basedOn w:val="DefaultParagraphFont"/>
    <w:link w:val="Heading5"/>
    <w:uiPriority w:val="99"/>
    <w:locked/>
    <w:rsid w:val="004E58FA"/>
    <w:rPr>
      <w:rFonts w:cs="Times New Roman"/>
      <w:sz w:val="20"/>
      <w:szCs w:val="20"/>
      <w:lang w:val="en-GB"/>
    </w:rPr>
  </w:style>
  <w:style w:type="character" w:customStyle="1" w:styleId="Heading6Char">
    <w:name w:val="Heading 6 Char"/>
    <w:basedOn w:val="DefaultParagraphFont"/>
    <w:link w:val="Heading6"/>
    <w:uiPriority w:val="99"/>
    <w:locked/>
    <w:rsid w:val="004E58FA"/>
    <w:rPr>
      <w:rFonts w:cs="Times New Roman"/>
      <w:i/>
      <w:sz w:val="20"/>
      <w:szCs w:val="20"/>
      <w:lang w:val="en-GB"/>
    </w:rPr>
  </w:style>
  <w:style w:type="character" w:customStyle="1" w:styleId="Heading7Char">
    <w:name w:val="Heading 7 Char"/>
    <w:basedOn w:val="DefaultParagraphFont"/>
    <w:link w:val="Heading7"/>
    <w:uiPriority w:val="99"/>
    <w:locked/>
    <w:rsid w:val="004E58FA"/>
    <w:rPr>
      <w:rFonts w:cs="Times New Roman"/>
      <w:sz w:val="20"/>
      <w:szCs w:val="20"/>
      <w:lang w:val="en-GB"/>
    </w:rPr>
  </w:style>
  <w:style w:type="character" w:customStyle="1" w:styleId="Heading8Char">
    <w:name w:val="Heading 8 Char"/>
    <w:basedOn w:val="DefaultParagraphFont"/>
    <w:link w:val="Heading8"/>
    <w:uiPriority w:val="99"/>
    <w:locked/>
    <w:rsid w:val="004E58FA"/>
    <w:rPr>
      <w:rFonts w:cs="Times New Roman"/>
      <w:i/>
      <w:sz w:val="20"/>
      <w:szCs w:val="20"/>
      <w:lang w:val="en-GB"/>
    </w:rPr>
  </w:style>
  <w:style w:type="paragraph" w:styleId="Title">
    <w:name w:val="Title"/>
    <w:basedOn w:val="Normal"/>
    <w:next w:val="Normal"/>
    <w:link w:val="TitleChar"/>
    <w:uiPriority w:val="99"/>
    <w:qFormat/>
    <w:rsid w:val="004E58FA"/>
    <w:pPr>
      <w:spacing w:after="300"/>
      <w:contextualSpacing/>
      <w:jc w:val="center"/>
    </w:pPr>
    <w:rPr>
      <w:b/>
      <w:caps/>
      <w:spacing w:val="5"/>
      <w:kern w:val="28"/>
      <w:sz w:val="36"/>
      <w:szCs w:val="52"/>
    </w:rPr>
  </w:style>
  <w:style w:type="character" w:customStyle="1" w:styleId="TitleChar">
    <w:name w:val="Title Char"/>
    <w:basedOn w:val="DefaultParagraphFont"/>
    <w:link w:val="Title"/>
    <w:uiPriority w:val="99"/>
    <w:locked/>
    <w:rsid w:val="004E58FA"/>
    <w:rPr>
      <w:rFonts w:eastAsia="Times New Roman" w:cs="Times New Roman"/>
      <w:b/>
      <w:caps/>
      <w:spacing w:val="5"/>
      <w:kern w:val="28"/>
      <w:sz w:val="52"/>
      <w:szCs w:val="52"/>
      <w:lang w:val="en-GB"/>
    </w:rPr>
  </w:style>
  <w:style w:type="character" w:styleId="Emphasis">
    <w:name w:val="Emphasis"/>
    <w:basedOn w:val="DefaultParagraphFont"/>
    <w:uiPriority w:val="99"/>
    <w:qFormat/>
    <w:rsid w:val="004E58FA"/>
    <w:rPr>
      <w:rFonts w:cs="Times New Roman"/>
      <w:b/>
      <w:iCs/>
    </w:rPr>
  </w:style>
  <w:style w:type="paragraph" w:customStyle="1" w:styleId="2ListParagraph">
    <w:name w:val="2List Paragraph"/>
    <w:basedOn w:val="ListParagraph"/>
    <w:next w:val="Normal"/>
    <w:uiPriority w:val="99"/>
    <w:rsid w:val="004E58FA"/>
    <w:pPr>
      <w:numPr>
        <w:numId w:val="4"/>
      </w:numPr>
    </w:pPr>
  </w:style>
  <w:style w:type="paragraph" w:styleId="ListParagraph">
    <w:name w:val="List Paragraph"/>
    <w:basedOn w:val="Normal"/>
    <w:uiPriority w:val="99"/>
    <w:qFormat/>
    <w:rsid w:val="004E58FA"/>
    <w:pPr>
      <w:numPr>
        <w:numId w:val="5"/>
      </w:numPr>
      <w:spacing w:before="120"/>
      <w:contextualSpacing/>
    </w:pPr>
  </w:style>
  <w:style w:type="paragraph" w:customStyle="1" w:styleId="bullet">
    <w:name w:val="bullet"/>
    <w:basedOn w:val="Normal"/>
    <w:uiPriority w:val="99"/>
    <w:rsid w:val="004E58FA"/>
    <w:pPr>
      <w:spacing w:before="100" w:beforeAutospacing="1" w:after="100" w:afterAutospacing="1"/>
    </w:pPr>
    <w:rPr>
      <w:rFonts w:ascii="Times New Roman" w:hAnsi="Times New Roman"/>
      <w:szCs w:val="24"/>
      <w:lang w:val="en-NZ" w:eastAsia="en-NZ"/>
    </w:rPr>
  </w:style>
  <w:style w:type="paragraph" w:customStyle="1" w:styleId="BulletPoints">
    <w:name w:val="Bullet Points"/>
    <w:basedOn w:val="Normal"/>
    <w:uiPriority w:val="99"/>
    <w:rsid w:val="004E58FA"/>
    <w:pPr>
      <w:ind w:left="720" w:hanging="720"/>
    </w:pPr>
    <w:rPr>
      <w:rFonts w:ascii="Times New Roman" w:hAnsi="Times New Roman"/>
      <w:lang w:val="en-AU" w:eastAsia="en-GB"/>
    </w:rPr>
  </w:style>
  <w:style w:type="paragraph" w:styleId="FootnoteText">
    <w:name w:val="footnote text"/>
    <w:basedOn w:val="Normal"/>
    <w:link w:val="FootnoteTextChar"/>
    <w:uiPriority w:val="99"/>
    <w:rsid w:val="005679A8"/>
    <w:rPr>
      <w:sz w:val="20"/>
    </w:rPr>
  </w:style>
  <w:style w:type="character" w:customStyle="1" w:styleId="FootnoteTextChar">
    <w:name w:val="Footnote Text Char"/>
    <w:basedOn w:val="DefaultParagraphFont"/>
    <w:link w:val="FootnoteText"/>
    <w:uiPriority w:val="99"/>
    <w:locked/>
    <w:rsid w:val="005679A8"/>
    <w:rPr>
      <w:rFonts w:cs="Times New Roman"/>
      <w:sz w:val="20"/>
      <w:szCs w:val="20"/>
      <w:lang w:val="en-GB"/>
    </w:rPr>
  </w:style>
  <w:style w:type="paragraph" w:styleId="CommentText">
    <w:name w:val="annotation text"/>
    <w:basedOn w:val="Normal"/>
    <w:link w:val="CommentTextChar"/>
    <w:uiPriority w:val="99"/>
    <w:semiHidden/>
    <w:rsid w:val="004E58FA"/>
  </w:style>
  <w:style w:type="character" w:customStyle="1" w:styleId="CommentTextChar">
    <w:name w:val="Comment Text Char"/>
    <w:basedOn w:val="DefaultParagraphFont"/>
    <w:link w:val="CommentText"/>
    <w:uiPriority w:val="99"/>
    <w:semiHidden/>
    <w:locked/>
    <w:rsid w:val="004E58FA"/>
    <w:rPr>
      <w:rFonts w:cs="Times New Roman"/>
      <w:sz w:val="20"/>
      <w:szCs w:val="20"/>
      <w:lang w:val="en-GB"/>
    </w:rPr>
  </w:style>
  <w:style w:type="paragraph" w:styleId="Header">
    <w:name w:val="header"/>
    <w:basedOn w:val="Normal"/>
    <w:link w:val="HeaderChar"/>
    <w:uiPriority w:val="99"/>
    <w:rsid w:val="004E58FA"/>
    <w:pPr>
      <w:tabs>
        <w:tab w:val="center" w:pos="4513"/>
        <w:tab w:val="right" w:pos="9026"/>
      </w:tabs>
    </w:pPr>
  </w:style>
  <w:style w:type="character" w:customStyle="1" w:styleId="HeaderChar">
    <w:name w:val="Header Char"/>
    <w:basedOn w:val="DefaultParagraphFont"/>
    <w:link w:val="Header"/>
    <w:uiPriority w:val="99"/>
    <w:locked/>
    <w:rsid w:val="004E58FA"/>
    <w:rPr>
      <w:rFonts w:cs="Times New Roman"/>
      <w:sz w:val="20"/>
      <w:szCs w:val="20"/>
      <w:lang w:val="en-GB"/>
    </w:rPr>
  </w:style>
  <w:style w:type="paragraph" w:styleId="Footer">
    <w:name w:val="footer"/>
    <w:basedOn w:val="Normal"/>
    <w:link w:val="FooterChar"/>
    <w:uiPriority w:val="99"/>
    <w:rsid w:val="004E58FA"/>
    <w:pPr>
      <w:tabs>
        <w:tab w:val="center" w:pos="4153"/>
        <w:tab w:val="right" w:pos="8306"/>
      </w:tabs>
    </w:pPr>
  </w:style>
  <w:style w:type="character" w:customStyle="1" w:styleId="FooterChar">
    <w:name w:val="Footer Char"/>
    <w:basedOn w:val="DefaultParagraphFont"/>
    <w:link w:val="Footer"/>
    <w:uiPriority w:val="99"/>
    <w:locked/>
    <w:rsid w:val="004E58FA"/>
    <w:rPr>
      <w:rFonts w:cs="Times New Roman"/>
      <w:sz w:val="20"/>
      <w:szCs w:val="20"/>
      <w:lang w:val="en-GB"/>
    </w:rPr>
  </w:style>
  <w:style w:type="character" w:styleId="FootnoteReference">
    <w:name w:val="footnote reference"/>
    <w:basedOn w:val="DefaultParagraphFont"/>
    <w:uiPriority w:val="99"/>
    <w:semiHidden/>
    <w:rsid w:val="004E58FA"/>
    <w:rPr>
      <w:rFonts w:cs="Times New Roman"/>
      <w:vertAlign w:val="superscript"/>
    </w:rPr>
  </w:style>
  <w:style w:type="character" w:styleId="CommentReference">
    <w:name w:val="annotation reference"/>
    <w:basedOn w:val="DefaultParagraphFont"/>
    <w:uiPriority w:val="99"/>
    <w:semiHidden/>
    <w:rsid w:val="004E58FA"/>
    <w:rPr>
      <w:rFonts w:cs="Times New Roman"/>
      <w:sz w:val="16"/>
      <w:szCs w:val="16"/>
    </w:rPr>
  </w:style>
  <w:style w:type="character" w:styleId="PageNumber">
    <w:name w:val="page number"/>
    <w:basedOn w:val="DefaultParagraphFont"/>
    <w:uiPriority w:val="99"/>
    <w:rsid w:val="004E58FA"/>
    <w:rPr>
      <w:rFonts w:cs="Times New Roman"/>
    </w:rPr>
  </w:style>
  <w:style w:type="paragraph" w:styleId="BodyText2">
    <w:name w:val="Body Text 2"/>
    <w:basedOn w:val="Normal"/>
    <w:link w:val="BodyText2Char"/>
    <w:uiPriority w:val="99"/>
    <w:rsid w:val="004E58FA"/>
    <w:pPr>
      <w:spacing w:after="120"/>
      <w:ind w:left="142"/>
    </w:pPr>
  </w:style>
  <w:style w:type="character" w:customStyle="1" w:styleId="BodyText2Char">
    <w:name w:val="Body Text 2 Char"/>
    <w:basedOn w:val="DefaultParagraphFont"/>
    <w:link w:val="BodyText2"/>
    <w:uiPriority w:val="99"/>
    <w:locked/>
    <w:rsid w:val="004E58FA"/>
    <w:rPr>
      <w:rFonts w:cs="Times New Roman"/>
      <w:sz w:val="20"/>
      <w:szCs w:val="20"/>
      <w:lang w:val="en-GB"/>
    </w:rPr>
  </w:style>
  <w:style w:type="paragraph" w:styleId="BodyTextIndent3">
    <w:name w:val="Body Text Indent 3"/>
    <w:basedOn w:val="Normal"/>
    <w:link w:val="BodyTextIndent3Char"/>
    <w:uiPriority w:val="99"/>
    <w:rsid w:val="004E58FA"/>
    <w:pPr>
      <w:ind w:left="2220"/>
      <w:jc w:val="both"/>
    </w:pPr>
    <w:rPr>
      <w:rFonts w:ascii="Times New Roman" w:hAnsi="Times New Roman"/>
      <w:lang w:val="en-NZ"/>
    </w:rPr>
  </w:style>
  <w:style w:type="character" w:customStyle="1" w:styleId="BodyTextIndent3Char">
    <w:name w:val="Body Text Indent 3 Char"/>
    <w:basedOn w:val="DefaultParagraphFont"/>
    <w:link w:val="BodyTextIndent3"/>
    <w:uiPriority w:val="99"/>
    <w:locked/>
    <w:rsid w:val="004E58FA"/>
    <w:rPr>
      <w:rFonts w:ascii="Times New Roman" w:hAnsi="Times New Roman" w:cs="Times New Roman"/>
      <w:sz w:val="20"/>
      <w:szCs w:val="20"/>
    </w:rPr>
  </w:style>
  <w:style w:type="character" w:styleId="Hyperlink">
    <w:name w:val="Hyperlink"/>
    <w:basedOn w:val="DefaultParagraphFont"/>
    <w:uiPriority w:val="99"/>
    <w:rsid w:val="004E58FA"/>
    <w:rPr>
      <w:rFonts w:cs="Times New Roman"/>
      <w:color w:val="0000FF"/>
      <w:u w:val="single"/>
    </w:rPr>
  </w:style>
  <w:style w:type="character" w:styleId="Strong">
    <w:name w:val="Strong"/>
    <w:basedOn w:val="DefaultParagraphFont"/>
    <w:uiPriority w:val="99"/>
    <w:qFormat/>
    <w:rsid w:val="004E58FA"/>
    <w:rPr>
      <w:rFonts w:cs="Times New Roman"/>
      <w:b/>
      <w:bCs/>
    </w:rPr>
  </w:style>
  <w:style w:type="paragraph" w:styleId="CommentSubject">
    <w:name w:val="annotation subject"/>
    <w:basedOn w:val="CommentText"/>
    <w:next w:val="CommentText"/>
    <w:link w:val="CommentSubjectChar"/>
    <w:uiPriority w:val="99"/>
    <w:semiHidden/>
    <w:rsid w:val="004E58FA"/>
    <w:rPr>
      <w:b/>
      <w:bCs/>
      <w:sz w:val="20"/>
    </w:rPr>
  </w:style>
  <w:style w:type="character" w:customStyle="1" w:styleId="CommentSubjectChar">
    <w:name w:val="Comment Subject Char"/>
    <w:basedOn w:val="CommentTextChar"/>
    <w:link w:val="CommentSubject"/>
    <w:uiPriority w:val="99"/>
    <w:semiHidden/>
    <w:locked/>
    <w:rsid w:val="004E58FA"/>
    <w:rPr>
      <w:rFonts w:cs="Times New Roman"/>
      <w:b/>
      <w:bCs/>
      <w:sz w:val="20"/>
      <w:szCs w:val="20"/>
      <w:lang w:val="en-GB"/>
    </w:rPr>
  </w:style>
  <w:style w:type="paragraph" w:styleId="BalloonText">
    <w:name w:val="Balloon Text"/>
    <w:basedOn w:val="Normal"/>
    <w:link w:val="BalloonTextChar"/>
    <w:uiPriority w:val="99"/>
    <w:semiHidden/>
    <w:rsid w:val="004E5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8FA"/>
    <w:rPr>
      <w:rFonts w:ascii="Tahoma" w:hAnsi="Tahoma" w:cs="Tahoma"/>
      <w:sz w:val="16"/>
      <w:szCs w:val="16"/>
      <w:lang w:val="en-GB"/>
    </w:rPr>
  </w:style>
  <w:style w:type="table" w:styleId="TableGrid">
    <w:name w:val="Table Grid"/>
    <w:basedOn w:val="TableNormal"/>
    <w:uiPriority w:val="99"/>
    <w:rsid w:val="004E58F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4E58FA"/>
    <w:rPr>
      <w:rFonts w:cs="Times New Roman"/>
      <w:i/>
      <w:iCs/>
      <w:color w:val="auto"/>
    </w:rPr>
  </w:style>
  <w:style w:type="character" w:styleId="BookTitle">
    <w:name w:val="Book Title"/>
    <w:basedOn w:val="DefaultParagraphFont"/>
    <w:uiPriority w:val="99"/>
    <w:qFormat/>
    <w:rsid w:val="004E58FA"/>
    <w:rPr>
      <w:rFonts w:cs="Times New Roman"/>
      <w:b/>
      <w:bCs/>
      <w:smallCaps/>
      <w:spacing w:val="5"/>
    </w:rPr>
  </w:style>
  <w:style w:type="paragraph" w:customStyle="1" w:styleId="Tablenormal0">
    <w:name w:val="Table normal"/>
    <w:basedOn w:val="Normal"/>
    <w:uiPriority w:val="99"/>
    <w:rsid w:val="004E58FA"/>
    <w:rPr>
      <w:sz w:val="22"/>
    </w:rPr>
  </w:style>
  <w:style w:type="paragraph" w:customStyle="1" w:styleId="Tablelist">
    <w:name w:val="Table list"/>
    <w:basedOn w:val="ListParagraph"/>
    <w:uiPriority w:val="99"/>
    <w:rsid w:val="004E58FA"/>
    <w:pPr>
      <w:numPr>
        <w:numId w:val="0"/>
      </w:numPr>
    </w:pPr>
    <w:rPr>
      <w:sz w:val="22"/>
    </w:rPr>
  </w:style>
  <w:style w:type="paragraph" w:styleId="NormalIndent">
    <w:name w:val="Normal Indent"/>
    <w:basedOn w:val="Normal"/>
    <w:uiPriority w:val="99"/>
    <w:rsid w:val="004E58FA"/>
    <w:pPr>
      <w:tabs>
        <w:tab w:val="left" w:pos="709"/>
        <w:tab w:val="left" w:pos="1418"/>
      </w:tabs>
      <w:ind w:left="720"/>
    </w:pPr>
    <w:rPr>
      <w:rFonts w:ascii="Times New Roman" w:hAnsi="Times New Roman"/>
    </w:rPr>
  </w:style>
  <w:style w:type="paragraph" w:styleId="BodyText">
    <w:name w:val="Body Text"/>
    <w:basedOn w:val="Normal"/>
    <w:link w:val="BodyTextChar"/>
    <w:uiPriority w:val="99"/>
    <w:rsid w:val="004E58FA"/>
    <w:pPr>
      <w:spacing w:after="120"/>
      <w:ind w:left="284"/>
    </w:pPr>
  </w:style>
  <w:style w:type="character" w:customStyle="1" w:styleId="BodyTextChar">
    <w:name w:val="Body Text Char"/>
    <w:basedOn w:val="DefaultParagraphFont"/>
    <w:link w:val="BodyText"/>
    <w:uiPriority w:val="99"/>
    <w:locked/>
    <w:rsid w:val="004E58FA"/>
    <w:rPr>
      <w:rFonts w:cs="Times New Roman"/>
      <w:sz w:val="20"/>
      <w:szCs w:val="20"/>
      <w:lang w:val="en-GB"/>
    </w:rPr>
  </w:style>
  <w:style w:type="paragraph" w:styleId="BodyText3">
    <w:name w:val="Body Text 3"/>
    <w:basedOn w:val="Normal"/>
    <w:link w:val="BodyText3Char"/>
    <w:uiPriority w:val="99"/>
    <w:rsid w:val="00F27B1A"/>
    <w:pPr>
      <w:spacing w:after="120"/>
    </w:pPr>
    <w:rPr>
      <w:sz w:val="16"/>
      <w:szCs w:val="16"/>
    </w:rPr>
  </w:style>
  <w:style w:type="character" w:customStyle="1" w:styleId="BodyText3Char">
    <w:name w:val="Body Text 3 Char"/>
    <w:basedOn w:val="DefaultParagraphFont"/>
    <w:link w:val="BodyText3"/>
    <w:uiPriority w:val="99"/>
    <w:locked/>
    <w:rsid w:val="00F27B1A"/>
    <w:rPr>
      <w:rFonts w:cs="Times New Roman"/>
      <w:sz w:val="16"/>
      <w:szCs w:val="16"/>
      <w:lang w:val="en-GB"/>
    </w:rPr>
  </w:style>
  <w:style w:type="paragraph" w:customStyle="1" w:styleId="MoHHeading1">
    <w:name w:val="MoH Heading1"/>
    <w:basedOn w:val="Normal"/>
    <w:uiPriority w:val="99"/>
    <w:rsid w:val="00F27B1A"/>
    <w:rPr>
      <w:rFonts w:ascii="Arial Mäori" w:hAnsi="Arial Mäori"/>
      <w:b/>
      <w:caps/>
      <w:szCs w:val="24"/>
      <w:lang w:val="en-NZ"/>
    </w:rPr>
  </w:style>
  <w:style w:type="paragraph" w:styleId="BodyTextIndent2">
    <w:name w:val="Body Text Indent 2"/>
    <w:basedOn w:val="Normal"/>
    <w:link w:val="BodyTextIndent2Char"/>
    <w:uiPriority w:val="99"/>
    <w:rsid w:val="00F27B1A"/>
    <w:pPr>
      <w:spacing w:after="120" w:line="480" w:lineRule="auto"/>
      <w:ind w:left="283"/>
    </w:pPr>
    <w:rPr>
      <w:rFonts w:ascii="Times New Roman" w:hAnsi="Times New Roman"/>
      <w:szCs w:val="24"/>
      <w:lang w:val="en-NZ"/>
    </w:rPr>
  </w:style>
  <w:style w:type="character" w:customStyle="1" w:styleId="BodyTextIndent2Char">
    <w:name w:val="Body Text Indent 2 Char"/>
    <w:basedOn w:val="DefaultParagraphFont"/>
    <w:link w:val="BodyTextIndent2"/>
    <w:uiPriority w:val="99"/>
    <w:locked/>
    <w:rsid w:val="00F27B1A"/>
    <w:rPr>
      <w:rFonts w:ascii="Times New Roman" w:hAnsi="Times New Roman" w:cs="Times New Roman"/>
    </w:rPr>
  </w:style>
  <w:style w:type="numbering" w:customStyle="1" w:styleId="HeadingsNrs">
    <w:name w:val="HeadingsNrs"/>
    <w:rsid w:val="00A10CB4"/>
    <w:pPr>
      <w:numPr>
        <w:numId w:val="1"/>
      </w:numPr>
    </w:pPr>
  </w:style>
  <w:style w:type="numbering" w:customStyle="1" w:styleId="Bullets">
    <w:name w:val="Bullets"/>
    <w:rsid w:val="00A10CB4"/>
    <w:pPr>
      <w:numPr>
        <w:numId w:val="2"/>
      </w:numPr>
    </w:pPr>
  </w:style>
  <w:style w:type="character" w:styleId="FollowedHyperlink">
    <w:name w:val="FollowedHyperlink"/>
    <w:basedOn w:val="DefaultParagraphFont"/>
    <w:uiPriority w:val="99"/>
    <w:semiHidden/>
    <w:unhideWhenUsed/>
    <w:rsid w:val="00E52A07"/>
    <w:rPr>
      <w:color w:val="800080" w:themeColor="followedHyperlink"/>
      <w:u w:val="single"/>
    </w:rPr>
  </w:style>
  <w:style w:type="paragraph" w:styleId="Revision">
    <w:name w:val="Revision"/>
    <w:hidden/>
    <w:uiPriority w:val="99"/>
    <w:semiHidden/>
    <w:rsid w:val="00A93220"/>
    <w:rPr>
      <w:sz w:val="24"/>
      <w:szCs w:val="20"/>
      <w:lang w:val="en-GB"/>
    </w:rPr>
  </w:style>
  <w:style w:type="character" w:customStyle="1" w:styleId="Heading4Char">
    <w:name w:val="Heading 4 Char"/>
    <w:aliases w:val="SS Heading 1 Char"/>
    <w:basedOn w:val="DefaultParagraphFont"/>
    <w:link w:val="Heading4"/>
    <w:rsid w:val="00DF24E0"/>
    <w:rPr>
      <w:rFonts w:eastAsiaTheme="majorEastAsia" w:cstheme="majorBidi"/>
      <w:b/>
      <w:bCs/>
      <w:iCs/>
      <w:sz w:val="36"/>
      <w:szCs w:val="20"/>
      <w:lang w:val="en-GB"/>
    </w:rPr>
  </w:style>
  <w:style w:type="paragraph" w:styleId="NormalWeb">
    <w:name w:val="Normal (Web)"/>
    <w:basedOn w:val="Normal"/>
    <w:uiPriority w:val="99"/>
    <w:semiHidden/>
    <w:unhideWhenUsed/>
    <w:rsid w:val="00F62FDF"/>
    <w:pPr>
      <w:spacing w:before="100" w:beforeAutospacing="1" w:after="100" w:afterAutospacing="1"/>
    </w:pPr>
    <w:rPr>
      <w:rFonts w:ascii="Times New Roman" w:hAnsi="Times New Roman"/>
      <w:szCs w:val="24"/>
      <w:lang w:val="en-NZ" w:eastAsia="en-NZ"/>
    </w:rPr>
  </w:style>
  <w:style w:type="character" w:styleId="UnresolvedMention">
    <w:name w:val="Unresolved Mention"/>
    <w:basedOn w:val="DefaultParagraphFont"/>
    <w:uiPriority w:val="99"/>
    <w:semiHidden/>
    <w:unhideWhenUsed/>
    <w:rsid w:val="00167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0334">
      <w:bodyDiv w:val="1"/>
      <w:marLeft w:val="0"/>
      <w:marRight w:val="0"/>
      <w:marTop w:val="0"/>
      <w:marBottom w:val="0"/>
      <w:divBdr>
        <w:top w:val="none" w:sz="0" w:space="0" w:color="auto"/>
        <w:left w:val="none" w:sz="0" w:space="0" w:color="auto"/>
        <w:bottom w:val="none" w:sz="0" w:space="0" w:color="auto"/>
        <w:right w:val="none" w:sz="0" w:space="0" w:color="auto"/>
      </w:divBdr>
    </w:div>
    <w:div w:id="191849887">
      <w:bodyDiv w:val="1"/>
      <w:marLeft w:val="0"/>
      <w:marRight w:val="0"/>
      <w:marTop w:val="0"/>
      <w:marBottom w:val="0"/>
      <w:divBdr>
        <w:top w:val="none" w:sz="0" w:space="0" w:color="auto"/>
        <w:left w:val="none" w:sz="0" w:space="0" w:color="auto"/>
        <w:bottom w:val="none" w:sz="0" w:space="0" w:color="auto"/>
        <w:right w:val="none" w:sz="0" w:space="0" w:color="auto"/>
      </w:divBdr>
      <w:divsChild>
        <w:div w:id="547255608">
          <w:marLeft w:val="0"/>
          <w:marRight w:val="0"/>
          <w:marTop w:val="83"/>
          <w:marBottom w:val="0"/>
          <w:divBdr>
            <w:top w:val="none" w:sz="0" w:space="0" w:color="auto"/>
            <w:left w:val="none" w:sz="0" w:space="0" w:color="auto"/>
            <w:bottom w:val="none" w:sz="0" w:space="0" w:color="auto"/>
            <w:right w:val="none" w:sz="0" w:space="0" w:color="auto"/>
          </w:divBdr>
          <w:divsChild>
            <w:div w:id="904491839">
              <w:marLeft w:val="0"/>
              <w:marRight w:val="0"/>
              <w:marTop w:val="83"/>
              <w:marBottom w:val="0"/>
              <w:divBdr>
                <w:top w:val="none" w:sz="0" w:space="0" w:color="auto"/>
                <w:left w:val="none" w:sz="0" w:space="0" w:color="auto"/>
                <w:bottom w:val="none" w:sz="0" w:space="0" w:color="auto"/>
                <w:right w:val="none" w:sz="0" w:space="0" w:color="auto"/>
              </w:divBdr>
            </w:div>
            <w:div w:id="1552962331">
              <w:marLeft w:val="0"/>
              <w:marRight w:val="0"/>
              <w:marTop w:val="83"/>
              <w:marBottom w:val="0"/>
              <w:divBdr>
                <w:top w:val="none" w:sz="0" w:space="0" w:color="auto"/>
                <w:left w:val="none" w:sz="0" w:space="0" w:color="auto"/>
                <w:bottom w:val="none" w:sz="0" w:space="0" w:color="auto"/>
                <w:right w:val="none" w:sz="0" w:space="0" w:color="auto"/>
              </w:divBdr>
            </w:div>
            <w:div w:id="1388264363">
              <w:marLeft w:val="0"/>
              <w:marRight w:val="0"/>
              <w:marTop w:val="83"/>
              <w:marBottom w:val="0"/>
              <w:divBdr>
                <w:top w:val="none" w:sz="0" w:space="0" w:color="auto"/>
                <w:left w:val="none" w:sz="0" w:space="0" w:color="auto"/>
                <w:bottom w:val="none" w:sz="0" w:space="0" w:color="auto"/>
                <w:right w:val="none" w:sz="0" w:space="0" w:color="auto"/>
              </w:divBdr>
            </w:div>
            <w:div w:id="406920445">
              <w:marLeft w:val="0"/>
              <w:marRight w:val="0"/>
              <w:marTop w:val="83"/>
              <w:marBottom w:val="0"/>
              <w:divBdr>
                <w:top w:val="none" w:sz="0" w:space="0" w:color="auto"/>
                <w:left w:val="none" w:sz="0" w:space="0" w:color="auto"/>
                <w:bottom w:val="none" w:sz="0" w:space="0" w:color="auto"/>
                <w:right w:val="none" w:sz="0" w:space="0" w:color="auto"/>
              </w:divBdr>
            </w:div>
          </w:divsChild>
        </w:div>
        <w:div w:id="474950232">
          <w:marLeft w:val="0"/>
          <w:marRight w:val="0"/>
          <w:marTop w:val="83"/>
          <w:marBottom w:val="0"/>
          <w:divBdr>
            <w:top w:val="none" w:sz="0" w:space="0" w:color="auto"/>
            <w:left w:val="none" w:sz="0" w:space="0" w:color="auto"/>
            <w:bottom w:val="none" w:sz="0" w:space="0" w:color="auto"/>
            <w:right w:val="none" w:sz="0" w:space="0" w:color="auto"/>
          </w:divBdr>
        </w:div>
      </w:divsChild>
    </w:div>
    <w:div w:id="314186489">
      <w:bodyDiv w:val="1"/>
      <w:marLeft w:val="0"/>
      <w:marRight w:val="0"/>
      <w:marTop w:val="0"/>
      <w:marBottom w:val="0"/>
      <w:divBdr>
        <w:top w:val="none" w:sz="0" w:space="0" w:color="auto"/>
        <w:left w:val="none" w:sz="0" w:space="0" w:color="auto"/>
        <w:bottom w:val="none" w:sz="0" w:space="0" w:color="auto"/>
        <w:right w:val="none" w:sz="0" w:space="0" w:color="auto"/>
      </w:divBdr>
    </w:div>
    <w:div w:id="595015692">
      <w:bodyDiv w:val="1"/>
      <w:marLeft w:val="0"/>
      <w:marRight w:val="0"/>
      <w:marTop w:val="0"/>
      <w:marBottom w:val="0"/>
      <w:divBdr>
        <w:top w:val="none" w:sz="0" w:space="0" w:color="auto"/>
        <w:left w:val="none" w:sz="0" w:space="0" w:color="auto"/>
        <w:bottom w:val="none" w:sz="0" w:space="0" w:color="auto"/>
        <w:right w:val="none" w:sz="0" w:space="0" w:color="auto"/>
      </w:divBdr>
    </w:div>
    <w:div w:id="595787830">
      <w:bodyDiv w:val="1"/>
      <w:marLeft w:val="0"/>
      <w:marRight w:val="0"/>
      <w:marTop w:val="0"/>
      <w:marBottom w:val="0"/>
      <w:divBdr>
        <w:top w:val="none" w:sz="0" w:space="0" w:color="auto"/>
        <w:left w:val="none" w:sz="0" w:space="0" w:color="auto"/>
        <w:bottom w:val="none" w:sz="0" w:space="0" w:color="auto"/>
        <w:right w:val="none" w:sz="0" w:space="0" w:color="auto"/>
      </w:divBdr>
    </w:div>
    <w:div w:id="837354298">
      <w:bodyDiv w:val="1"/>
      <w:marLeft w:val="0"/>
      <w:marRight w:val="0"/>
      <w:marTop w:val="0"/>
      <w:marBottom w:val="0"/>
      <w:divBdr>
        <w:top w:val="none" w:sz="0" w:space="0" w:color="auto"/>
        <w:left w:val="none" w:sz="0" w:space="0" w:color="auto"/>
        <w:bottom w:val="none" w:sz="0" w:space="0" w:color="auto"/>
        <w:right w:val="none" w:sz="0" w:space="0" w:color="auto"/>
      </w:divBdr>
    </w:div>
    <w:div w:id="849025813">
      <w:bodyDiv w:val="1"/>
      <w:marLeft w:val="0"/>
      <w:marRight w:val="0"/>
      <w:marTop w:val="0"/>
      <w:marBottom w:val="0"/>
      <w:divBdr>
        <w:top w:val="none" w:sz="0" w:space="0" w:color="auto"/>
        <w:left w:val="none" w:sz="0" w:space="0" w:color="auto"/>
        <w:bottom w:val="none" w:sz="0" w:space="0" w:color="auto"/>
        <w:right w:val="none" w:sz="0" w:space="0" w:color="auto"/>
      </w:divBdr>
    </w:div>
    <w:div w:id="1302659421">
      <w:bodyDiv w:val="1"/>
      <w:marLeft w:val="0"/>
      <w:marRight w:val="0"/>
      <w:marTop w:val="0"/>
      <w:marBottom w:val="0"/>
      <w:divBdr>
        <w:top w:val="none" w:sz="0" w:space="0" w:color="auto"/>
        <w:left w:val="none" w:sz="0" w:space="0" w:color="auto"/>
        <w:bottom w:val="none" w:sz="0" w:space="0" w:color="auto"/>
        <w:right w:val="none" w:sz="0" w:space="0" w:color="auto"/>
      </w:divBdr>
    </w:div>
    <w:div w:id="1311444845">
      <w:bodyDiv w:val="1"/>
      <w:marLeft w:val="0"/>
      <w:marRight w:val="0"/>
      <w:marTop w:val="0"/>
      <w:marBottom w:val="0"/>
      <w:divBdr>
        <w:top w:val="none" w:sz="0" w:space="0" w:color="auto"/>
        <w:left w:val="none" w:sz="0" w:space="0" w:color="auto"/>
        <w:bottom w:val="none" w:sz="0" w:space="0" w:color="auto"/>
        <w:right w:val="none" w:sz="0" w:space="0" w:color="auto"/>
      </w:divBdr>
    </w:div>
    <w:div w:id="1593392141">
      <w:bodyDiv w:val="1"/>
      <w:marLeft w:val="0"/>
      <w:marRight w:val="0"/>
      <w:marTop w:val="0"/>
      <w:marBottom w:val="0"/>
      <w:divBdr>
        <w:top w:val="none" w:sz="0" w:space="0" w:color="auto"/>
        <w:left w:val="none" w:sz="0" w:space="0" w:color="auto"/>
        <w:bottom w:val="none" w:sz="0" w:space="0" w:color="auto"/>
        <w:right w:val="none" w:sz="0" w:space="0" w:color="auto"/>
      </w:divBdr>
      <w:divsChild>
        <w:div w:id="423958645">
          <w:marLeft w:val="0"/>
          <w:marRight w:val="0"/>
          <w:marTop w:val="83"/>
          <w:marBottom w:val="0"/>
          <w:divBdr>
            <w:top w:val="none" w:sz="0" w:space="0" w:color="auto"/>
            <w:left w:val="none" w:sz="0" w:space="0" w:color="auto"/>
            <w:bottom w:val="none" w:sz="0" w:space="0" w:color="auto"/>
            <w:right w:val="none" w:sz="0" w:space="0" w:color="auto"/>
          </w:divBdr>
          <w:divsChild>
            <w:div w:id="2079935064">
              <w:marLeft w:val="0"/>
              <w:marRight w:val="0"/>
              <w:marTop w:val="83"/>
              <w:marBottom w:val="0"/>
              <w:divBdr>
                <w:top w:val="none" w:sz="0" w:space="0" w:color="auto"/>
                <w:left w:val="none" w:sz="0" w:space="0" w:color="auto"/>
                <w:bottom w:val="none" w:sz="0" w:space="0" w:color="auto"/>
                <w:right w:val="none" w:sz="0" w:space="0" w:color="auto"/>
              </w:divBdr>
            </w:div>
            <w:div w:id="759564053">
              <w:marLeft w:val="0"/>
              <w:marRight w:val="0"/>
              <w:marTop w:val="83"/>
              <w:marBottom w:val="0"/>
              <w:divBdr>
                <w:top w:val="none" w:sz="0" w:space="0" w:color="auto"/>
                <w:left w:val="none" w:sz="0" w:space="0" w:color="auto"/>
                <w:bottom w:val="none" w:sz="0" w:space="0" w:color="auto"/>
                <w:right w:val="none" w:sz="0" w:space="0" w:color="auto"/>
              </w:divBdr>
            </w:div>
            <w:div w:id="916590701">
              <w:marLeft w:val="0"/>
              <w:marRight w:val="0"/>
              <w:marTop w:val="83"/>
              <w:marBottom w:val="0"/>
              <w:divBdr>
                <w:top w:val="none" w:sz="0" w:space="0" w:color="auto"/>
                <w:left w:val="none" w:sz="0" w:space="0" w:color="auto"/>
                <w:bottom w:val="none" w:sz="0" w:space="0" w:color="auto"/>
                <w:right w:val="none" w:sz="0" w:space="0" w:color="auto"/>
              </w:divBdr>
            </w:div>
            <w:div w:id="622662955">
              <w:marLeft w:val="0"/>
              <w:marRight w:val="0"/>
              <w:marTop w:val="83"/>
              <w:marBottom w:val="0"/>
              <w:divBdr>
                <w:top w:val="none" w:sz="0" w:space="0" w:color="auto"/>
                <w:left w:val="none" w:sz="0" w:space="0" w:color="auto"/>
                <w:bottom w:val="none" w:sz="0" w:space="0" w:color="auto"/>
                <w:right w:val="none" w:sz="0" w:space="0" w:color="auto"/>
              </w:divBdr>
            </w:div>
          </w:divsChild>
        </w:div>
        <w:div w:id="1507861199">
          <w:marLeft w:val="0"/>
          <w:marRight w:val="0"/>
          <w:marTop w:val="83"/>
          <w:marBottom w:val="0"/>
          <w:divBdr>
            <w:top w:val="none" w:sz="0" w:space="0" w:color="auto"/>
            <w:left w:val="none" w:sz="0" w:space="0" w:color="auto"/>
            <w:bottom w:val="none" w:sz="0" w:space="0" w:color="auto"/>
            <w:right w:val="none" w:sz="0" w:space="0" w:color="auto"/>
          </w:divBdr>
        </w:div>
      </w:divsChild>
    </w:div>
    <w:div w:id="2042898853">
      <w:marLeft w:val="0"/>
      <w:marRight w:val="0"/>
      <w:marTop w:val="0"/>
      <w:marBottom w:val="0"/>
      <w:divBdr>
        <w:top w:val="none" w:sz="0" w:space="0" w:color="auto"/>
        <w:left w:val="none" w:sz="0" w:space="0" w:color="auto"/>
        <w:bottom w:val="none" w:sz="0" w:space="0" w:color="auto"/>
        <w:right w:val="none" w:sz="0" w:space="0" w:color="auto"/>
      </w:divBdr>
      <w:divsChild>
        <w:div w:id="2042898852">
          <w:marLeft w:val="0"/>
          <w:marRight w:val="0"/>
          <w:marTop w:val="0"/>
          <w:marBottom w:val="0"/>
          <w:divBdr>
            <w:top w:val="none" w:sz="0" w:space="0" w:color="auto"/>
            <w:left w:val="none" w:sz="0" w:space="0" w:color="auto"/>
            <w:bottom w:val="none" w:sz="0" w:space="0" w:color="auto"/>
            <w:right w:val="none" w:sz="0" w:space="0" w:color="auto"/>
          </w:divBdr>
        </w:div>
      </w:divsChild>
    </w:div>
    <w:div w:id="2042898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fl.health.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file:///\\WMNTFP\Group\Jane%20Craven\Service%20Specifications\Specialist%20Medical%20and%20Surgical%20Services\Gynaecology\www.nsfl.health.govt.nz\purchase-units" TargetMode="External"/><Relationship Id="rId1" Type="http://schemas.openxmlformats.org/officeDocument/2006/relationships/hyperlink" Target="file:///\\WMNTFP\Group\Jane%20Craven\Service%20Specifications\Specialist%20Medical%20and%20Surgical%20Services\Gynaecology\Gynaecology%20and%20TOP\www.health.govt.nz\publication\interim-standards-abortion-services-new-zea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3" ma:contentTypeDescription="Create a new document." ma:contentTypeScope="" ma:versionID="1464c2813e2a4b6a2c1be9215295985a">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395b591aa573ab1e1d35b774b0ba177a"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7ECF-1609-44A7-91CE-3860A690E170}">
  <ds:schemaRefs>
    <ds:schemaRef ds:uri="http://schemas.microsoft.com/office/infopath/2007/PartnerControls"/>
    <ds:schemaRef ds:uri="http://purl.org/dc/elements/1.1/"/>
    <ds:schemaRef ds:uri="http://schemas.microsoft.com/office/2006/metadata/properties"/>
    <ds:schemaRef ds:uri="e8a092c4-6aa9-451b-a11d-551c0e155f3f"/>
    <ds:schemaRef ds:uri="http://purl.org/dc/terms/"/>
    <ds:schemaRef ds:uri="http://schemas.openxmlformats.org/package/2006/metadata/core-properties"/>
    <ds:schemaRef ds:uri="http://schemas.microsoft.com/office/2006/documentManagement/types"/>
    <ds:schemaRef ds:uri="http://www.w3.org/XML/1998/namespace"/>
    <ds:schemaRef ds:uri="42dc8bab-111a-4e8a-abdf-9c2974aec3da"/>
    <ds:schemaRef ds:uri="http://purl.org/dc/dcmitype/"/>
  </ds:schemaRefs>
</ds:datastoreItem>
</file>

<file path=customXml/itemProps2.xml><?xml version="1.0" encoding="utf-8"?>
<ds:datastoreItem xmlns:ds="http://schemas.openxmlformats.org/officeDocument/2006/customXml" ds:itemID="{BB5617AB-FB5C-4D4B-84C3-6C7F8FE76093}">
  <ds:schemaRefs>
    <ds:schemaRef ds:uri="http://schemas.microsoft.com/sharepoint/v3/contenttype/forms"/>
  </ds:schemaRefs>
</ds:datastoreItem>
</file>

<file path=customXml/itemProps3.xml><?xml version="1.0" encoding="utf-8"?>
<ds:datastoreItem xmlns:ds="http://schemas.openxmlformats.org/officeDocument/2006/customXml" ds:itemID="{C770E722-8C47-497F-B14B-EE1550DB4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21659-75F6-41C5-B8C1-C1F592DB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2791</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dc:creator>
  <cp:lastModifiedBy>Krysta George</cp:lastModifiedBy>
  <cp:revision>3</cp:revision>
  <dcterms:created xsi:type="dcterms:W3CDTF">2021-04-01T00:54:00Z</dcterms:created>
  <dcterms:modified xsi:type="dcterms:W3CDTF">2021-04-01T00:54:00Z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