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5" w:type="dxa"/>
        <w:tblLook w:val="0000" w:firstRow="0" w:lastRow="0" w:firstColumn="0" w:lastColumn="0" w:noHBand="0" w:noVBand="0"/>
      </w:tblPr>
      <w:tblGrid>
        <w:gridCol w:w="4506"/>
        <w:gridCol w:w="1159"/>
        <w:gridCol w:w="365"/>
        <w:gridCol w:w="3746"/>
      </w:tblGrid>
      <w:tr w:rsidR="00EE0746" w:rsidRPr="009344DA" w14:paraId="458F7634" w14:textId="77777777" w:rsidTr="00B648B8">
        <w:trPr>
          <w:cantSplit/>
        </w:trPr>
        <w:tc>
          <w:tcPr>
            <w:tcW w:w="4506" w:type="dxa"/>
            <w:vAlign w:val="center"/>
          </w:tcPr>
          <w:p w14:paraId="619594B0" w14:textId="77777777" w:rsidR="00EE0746" w:rsidRPr="009344DA" w:rsidRDefault="00EE0746" w:rsidP="00A47006">
            <w:pPr>
              <w:rPr>
                <w:rFonts w:cs="Arial"/>
              </w:rPr>
            </w:pPr>
            <w:bookmarkStart w:id="0" w:name="_GoBack"/>
            <w:bookmarkEnd w:id="0"/>
            <w:r>
              <w:rPr>
                <w:rFonts w:cs="Arial"/>
                <w:noProof/>
                <w:lang w:eastAsia="en-NZ"/>
              </w:rPr>
              <w:drawing>
                <wp:inline distT="0" distB="0" distL="0" distR="0" wp14:anchorId="1B3946CD" wp14:editId="7F5DF79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70" w:type="dxa"/>
            <w:gridSpan w:val="3"/>
            <w:vAlign w:val="center"/>
          </w:tcPr>
          <w:p w14:paraId="42760AF7" w14:textId="77777777" w:rsidR="00EE0746" w:rsidRPr="009344DA" w:rsidRDefault="00EE0746" w:rsidP="00A47006">
            <w:pPr>
              <w:ind w:right="-288"/>
              <w:jc w:val="center"/>
              <w:rPr>
                <w:rFonts w:cs="Arial"/>
              </w:rPr>
            </w:pPr>
            <w:r w:rsidRPr="00B02376">
              <w:rPr>
                <w:rFonts w:cs="Arial"/>
                <w:sz w:val="32"/>
                <w:szCs w:val="32"/>
              </w:rPr>
              <w:t>All District Health Boards</w:t>
            </w:r>
          </w:p>
        </w:tc>
      </w:tr>
      <w:tr w:rsidR="00EE0746" w:rsidRPr="009344DA" w14:paraId="12319BDE" w14:textId="77777777" w:rsidTr="00B648B8">
        <w:tc>
          <w:tcPr>
            <w:tcW w:w="9776" w:type="dxa"/>
            <w:gridSpan w:val="4"/>
          </w:tcPr>
          <w:p w14:paraId="2BB685E1" w14:textId="77777777" w:rsidR="00EE0746" w:rsidRDefault="00EE0746" w:rsidP="00913F9C">
            <w:pPr>
              <w:spacing w:before="600" w:after="0"/>
              <w:ind w:right="-288"/>
              <w:jc w:val="center"/>
              <w:rPr>
                <w:rFonts w:cs="Arial"/>
                <w:b/>
                <w:sz w:val="36"/>
                <w:szCs w:val="36"/>
              </w:rPr>
            </w:pPr>
            <w:bookmarkStart w:id="1" w:name="_Toc206389496"/>
            <w:bookmarkStart w:id="2" w:name="_Toc206401872"/>
            <w:bookmarkStart w:id="3" w:name="_Toc206403841"/>
            <w:bookmarkStart w:id="4" w:name="_Toc206404569"/>
            <w:bookmarkStart w:id="5" w:name="_Toc206405299"/>
            <w:bookmarkStart w:id="6" w:name="_Toc206405335"/>
            <w:bookmarkStart w:id="7" w:name="_Toc206406062"/>
            <w:bookmarkStart w:id="8" w:name="_Toc215319101"/>
            <w:r>
              <w:rPr>
                <w:rFonts w:cs="Arial"/>
                <w:b/>
                <w:sz w:val="36"/>
                <w:szCs w:val="36"/>
              </w:rPr>
              <w:t xml:space="preserve">SPECIALIST MEDICAL AND SURGICAL SERVICES – </w:t>
            </w:r>
          </w:p>
          <w:p w14:paraId="143ACC2D" w14:textId="77777777" w:rsidR="00EE0746" w:rsidRPr="00F065B2" w:rsidRDefault="00EE0746" w:rsidP="00743B94">
            <w:pPr>
              <w:spacing w:after="0"/>
              <w:ind w:right="-288"/>
              <w:jc w:val="center"/>
              <w:rPr>
                <w:rFonts w:cs="Arial"/>
                <w:b/>
                <w:sz w:val="36"/>
                <w:szCs w:val="36"/>
              </w:rPr>
            </w:pPr>
            <w:r>
              <w:rPr>
                <w:rFonts w:cs="Arial"/>
                <w:b/>
                <w:sz w:val="36"/>
                <w:szCs w:val="36"/>
              </w:rPr>
              <w:t>ASSISTED REPRODU</w:t>
            </w:r>
            <w:r w:rsidR="00E84727">
              <w:rPr>
                <w:rFonts w:cs="Arial"/>
                <w:b/>
                <w:sz w:val="36"/>
                <w:szCs w:val="36"/>
              </w:rPr>
              <w:t>CTIVE TECHNOLOGY SERVICES (ART)</w:t>
            </w:r>
          </w:p>
          <w:p w14:paraId="2EB7A01B" w14:textId="77777777" w:rsidR="00EE0746" w:rsidRDefault="00EE0746" w:rsidP="00AD5A94">
            <w:pPr>
              <w:spacing w:after="0"/>
              <w:ind w:right="-288"/>
              <w:jc w:val="center"/>
              <w:rPr>
                <w:rFonts w:cs="Arial"/>
                <w:b/>
                <w:sz w:val="36"/>
                <w:szCs w:val="36"/>
              </w:rPr>
            </w:pPr>
            <w:r w:rsidRPr="00F065B2">
              <w:rPr>
                <w:rFonts w:cs="Arial"/>
                <w:b/>
                <w:sz w:val="36"/>
                <w:szCs w:val="36"/>
              </w:rPr>
              <w:t xml:space="preserve">TIER </w:t>
            </w:r>
            <w:r>
              <w:rPr>
                <w:rFonts w:cs="Arial"/>
                <w:b/>
                <w:sz w:val="36"/>
                <w:szCs w:val="36"/>
              </w:rPr>
              <w:t>TWO</w:t>
            </w:r>
            <w:r w:rsidR="00AD5A94">
              <w:rPr>
                <w:rFonts w:cs="Arial"/>
                <w:b/>
                <w:sz w:val="36"/>
                <w:szCs w:val="36"/>
              </w:rPr>
              <w:t xml:space="preserve"> </w:t>
            </w:r>
            <w:r w:rsidRPr="00F065B2">
              <w:rPr>
                <w:rFonts w:cs="Arial"/>
                <w:b/>
                <w:sz w:val="36"/>
                <w:szCs w:val="36"/>
              </w:rPr>
              <w:t>SERVICE SPECIFICATION</w:t>
            </w:r>
            <w:bookmarkEnd w:id="1"/>
            <w:bookmarkEnd w:id="2"/>
            <w:bookmarkEnd w:id="3"/>
            <w:bookmarkEnd w:id="4"/>
            <w:bookmarkEnd w:id="5"/>
            <w:bookmarkEnd w:id="6"/>
            <w:bookmarkEnd w:id="7"/>
            <w:bookmarkEnd w:id="8"/>
          </w:p>
          <w:p w14:paraId="558609C5" w14:textId="77777777" w:rsidR="00EE0746" w:rsidRPr="009344DA" w:rsidRDefault="00EE0746" w:rsidP="00A47006">
            <w:pPr>
              <w:ind w:right="-288"/>
              <w:jc w:val="center"/>
              <w:rPr>
                <w:rFonts w:cs="Arial"/>
              </w:rPr>
            </w:pPr>
          </w:p>
        </w:tc>
      </w:tr>
      <w:tr w:rsidR="00EE0746" w:rsidRPr="009344DA" w14:paraId="6352FA84" w14:textId="77777777" w:rsidTr="00B648B8">
        <w:tc>
          <w:tcPr>
            <w:tcW w:w="5665" w:type="dxa"/>
            <w:gridSpan w:val="2"/>
            <w:tcBorders>
              <w:bottom w:val="single" w:sz="4" w:space="0" w:color="auto"/>
            </w:tcBorders>
          </w:tcPr>
          <w:p w14:paraId="14354A33" w14:textId="77777777" w:rsidR="00EE0746" w:rsidRPr="00F065B2" w:rsidRDefault="00EE0746" w:rsidP="006F36ED">
            <w:pPr>
              <w:ind w:right="-288"/>
              <w:rPr>
                <w:rFonts w:cs="Arial"/>
                <w:sz w:val="32"/>
                <w:szCs w:val="32"/>
              </w:rPr>
            </w:pPr>
            <w:bookmarkStart w:id="9" w:name="_Toc206389498"/>
            <w:bookmarkStart w:id="10" w:name="_Toc206401874"/>
            <w:bookmarkStart w:id="11" w:name="_Toc206403843"/>
            <w:bookmarkStart w:id="12" w:name="_Toc206404571"/>
            <w:bookmarkStart w:id="13" w:name="_Toc206405301"/>
            <w:bookmarkStart w:id="14" w:name="_Toc206405337"/>
            <w:bookmarkStart w:id="15" w:name="_Toc206406064"/>
            <w:bookmarkStart w:id="16" w:name="_Toc215319104"/>
            <w:r w:rsidRPr="00F065B2">
              <w:rPr>
                <w:rFonts w:cs="Arial"/>
                <w:b/>
                <w:sz w:val="32"/>
                <w:szCs w:val="32"/>
              </w:rPr>
              <w:t>S</w:t>
            </w:r>
            <w:r>
              <w:rPr>
                <w:rFonts w:cs="Arial"/>
                <w:b/>
                <w:sz w:val="32"/>
                <w:szCs w:val="32"/>
              </w:rPr>
              <w:t>TATUS</w:t>
            </w:r>
            <w:r w:rsidRPr="00F065B2">
              <w:rPr>
                <w:rFonts w:cs="Arial"/>
                <w:b/>
                <w:sz w:val="32"/>
                <w:szCs w:val="32"/>
              </w:rPr>
              <w:t>:</w:t>
            </w:r>
            <w:bookmarkEnd w:id="9"/>
            <w:bookmarkEnd w:id="10"/>
            <w:bookmarkEnd w:id="11"/>
            <w:bookmarkEnd w:id="12"/>
            <w:bookmarkEnd w:id="13"/>
            <w:bookmarkEnd w:id="14"/>
            <w:bookmarkEnd w:id="15"/>
            <w:bookmarkEnd w:id="16"/>
            <w:r w:rsidR="00080EEC">
              <w:t xml:space="preserve"> </w:t>
            </w:r>
            <w:r w:rsidR="00080EEC" w:rsidRPr="00743B94">
              <w:rPr>
                <w:rFonts w:cs="Arial"/>
                <w:sz w:val="32"/>
                <w:szCs w:val="32"/>
              </w:rPr>
              <w:t>It is compulsory to use this nationwide service specification when purchasing this service</w:t>
            </w:r>
            <w:r w:rsidR="006F36ED">
              <w:rPr>
                <w:rFonts w:cs="Arial"/>
                <w:sz w:val="32"/>
                <w:szCs w:val="32"/>
              </w:rPr>
              <w:t>.</w:t>
            </w:r>
          </w:p>
        </w:tc>
        <w:tc>
          <w:tcPr>
            <w:tcW w:w="4111" w:type="dxa"/>
            <w:gridSpan w:val="2"/>
          </w:tcPr>
          <w:p w14:paraId="5B6C42FE" w14:textId="77777777" w:rsidR="00EE0746" w:rsidRPr="006E5E73" w:rsidRDefault="00FB3E09" w:rsidP="00FB3E09">
            <w:pPr>
              <w:ind w:right="-288"/>
              <w:rPr>
                <w:rFonts w:cs="Arial"/>
                <w:sz w:val="22"/>
                <w:szCs w:val="22"/>
              </w:rPr>
            </w:pPr>
            <w:r w:rsidRPr="00FB3E09">
              <w:rPr>
                <w:rFonts w:cs="Arial"/>
                <w:b/>
                <w:sz w:val="32"/>
                <w:szCs w:val="32"/>
              </w:rPr>
              <w:t>M</w:t>
            </w:r>
            <w:r>
              <w:rPr>
                <w:rFonts w:cs="Arial"/>
                <w:b/>
                <w:sz w:val="32"/>
                <w:szCs w:val="32"/>
              </w:rPr>
              <w:t>ANDATORY</w:t>
            </w:r>
          </w:p>
        </w:tc>
      </w:tr>
      <w:tr w:rsidR="00EE0746" w:rsidRPr="009344DA" w14:paraId="430B04CC" w14:textId="77777777" w:rsidTr="00B648B8">
        <w:trPr>
          <w:trHeight w:val="297"/>
        </w:trPr>
        <w:tc>
          <w:tcPr>
            <w:tcW w:w="6030" w:type="dxa"/>
            <w:gridSpan w:val="3"/>
            <w:tcBorders>
              <w:top w:val="single" w:sz="4" w:space="0" w:color="auto"/>
              <w:left w:val="single" w:sz="4" w:space="0" w:color="auto"/>
              <w:bottom w:val="single" w:sz="4" w:space="0" w:color="auto"/>
              <w:right w:val="single" w:sz="4" w:space="0" w:color="auto"/>
            </w:tcBorders>
            <w:shd w:val="clear" w:color="auto" w:fill="CCCCCC"/>
          </w:tcPr>
          <w:p w14:paraId="0161778B" w14:textId="77777777" w:rsidR="00EE0746" w:rsidRPr="00137A27" w:rsidRDefault="00EE0746" w:rsidP="00A47006">
            <w:pPr>
              <w:ind w:right="-288"/>
              <w:rPr>
                <w:rFonts w:cs="Arial"/>
                <w:b/>
                <w:sz w:val="32"/>
                <w:szCs w:val="32"/>
              </w:rPr>
            </w:pPr>
            <w:bookmarkStart w:id="17" w:name="_Toc206389500"/>
            <w:bookmarkStart w:id="18" w:name="_Toc206401875"/>
            <w:bookmarkStart w:id="19" w:name="_Toc206403844"/>
            <w:bookmarkStart w:id="20" w:name="_Toc206404572"/>
            <w:bookmarkStart w:id="21" w:name="_Toc206405302"/>
            <w:bookmarkStart w:id="22" w:name="_Toc206405338"/>
            <w:bookmarkStart w:id="23" w:name="_Toc206406065"/>
            <w:bookmarkStart w:id="24" w:name="_Toc215319110"/>
            <w:r w:rsidRPr="00137A27">
              <w:rPr>
                <w:rFonts w:cs="Arial"/>
                <w:b/>
                <w:sz w:val="32"/>
                <w:szCs w:val="32"/>
              </w:rPr>
              <w:t>Review History</w:t>
            </w:r>
            <w:bookmarkEnd w:id="17"/>
            <w:bookmarkEnd w:id="18"/>
            <w:bookmarkEnd w:id="19"/>
            <w:bookmarkEnd w:id="20"/>
            <w:bookmarkEnd w:id="21"/>
            <w:bookmarkEnd w:id="22"/>
            <w:bookmarkEnd w:id="23"/>
            <w:bookmarkEnd w:id="24"/>
          </w:p>
        </w:tc>
        <w:tc>
          <w:tcPr>
            <w:tcW w:w="3746" w:type="dxa"/>
            <w:tcBorders>
              <w:top w:val="single" w:sz="4" w:space="0" w:color="auto"/>
              <w:left w:val="single" w:sz="4" w:space="0" w:color="auto"/>
              <w:bottom w:val="single" w:sz="4" w:space="0" w:color="auto"/>
            </w:tcBorders>
            <w:shd w:val="clear" w:color="auto" w:fill="CCCCCC"/>
          </w:tcPr>
          <w:p w14:paraId="1333BDF4" w14:textId="77777777" w:rsidR="00EE0746" w:rsidRPr="00137A27" w:rsidRDefault="00EE0746" w:rsidP="00A47006">
            <w:pPr>
              <w:ind w:right="-288"/>
              <w:rPr>
                <w:rFonts w:cs="Arial"/>
                <w:b/>
                <w:sz w:val="32"/>
                <w:szCs w:val="32"/>
              </w:rPr>
            </w:pPr>
            <w:bookmarkStart w:id="25" w:name="_Toc206389501"/>
            <w:bookmarkStart w:id="26" w:name="_Toc206401876"/>
            <w:bookmarkStart w:id="27" w:name="_Toc206403845"/>
            <w:bookmarkStart w:id="28" w:name="_Toc206404573"/>
            <w:bookmarkStart w:id="29" w:name="_Toc206405303"/>
            <w:bookmarkStart w:id="30" w:name="_Toc206405339"/>
            <w:bookmarkStart w:id="31" w:name="_Toc206406066"/>
            <w:bookmarkStart w:id="32" w:name="_Toc206406493"/>
            <w:bookmarkStart w:id="33" w:name="_Toc215319111"/>
            <w:r w:rsidRPr="00137A27">
              <w:rPr>
                <w:rFonts w:cs="Arial"/>
                <w:b/>
                <w:sz w:val="32"/>
                <w:szCs w:val="32"/>
              </w:rPr>
              <w:t>Date</w:t>
            </w:r>
            <w:bookmarkEnd w:id="25"/>
            <w:bookmarkEnd w:id="26"/>
            <w:bookmarkEnd w:id="27"/>
            <w:bookmarkEnd w:id="28"/>
            <w:bookmarkEnd w:id="29"/>
            <w:bookmarkEnd w:id="30"/>
            <w:bookmarkEnd w:id="31"/>
            <w:bookmarkEnd w:id="32"/>
            <w:bookmarkEnd w:id="33"/>
          </w:p>
        </w:tc>
      </w:tr>
      <w:tr w:rsidR="00EE0746" w:rsidRPr="009344DA" w14:paraId="37C75B8B" w14:textId="77777777" w:rsidTr="00B648B8">
        <w:tc>
          <w:tcPr>
            <w:tcW w:w="6030" w:type="dxa"/>
            <w:gridSpan w:val="3"/>
            <w:tcBorders>
              <w:top w:val="single" w:sz="4" w:space="0" w:color="auto"/>
              <w:left w:val="single" w:sz="4" w:space="0" w:color="auto"/>
              <w:bottom w:val="single" w:sz="6" w:space="0" w:color="auto"/>
              <w:right w:val="single" w:sz="6" w:space="0" w:color="auto"/>
            </w:tcBorders>
            <w:vAlign w:val="center"/>
          </w:tcPr>
          <w:p w14:paraId="18C3CC35" w14:textId="77777777" w:rsidR="00EE0746" w:rsidRPr="004E5B17" w:rsidRDefault="00EE0746" w:rsidP="00A47006">
            <w:pPr>
              <w:ind w:right="-288"/>
              <w:rPr>
                <w:rFonts w:cs="Arial"/>
                <w:sz w:val="22"/>
                <w:szCs w:val="22"/>
              </w:rPr>
            </w:pPr>
            <w:bookmarkStart w:id="34" w:name="_Toc215319113"/>
            <w:r w:rsidRPr="004E5B17">
              <w:rPr>
                <w:rFonts w:cs="Arial"/>
                <w:sz w:val="22"/>
                <w:szCs w:val="22"/>
              </w:rPr>
              <w:t>First Published on NSFL</w:t>
            </w:r>
            <w:bookmarkEnd w:id="34"/>
          </w:p>
        </w:tc>
        <w:tc>
          <w:tcPr>
            <w:tcW w:w="3746" w:type="dxa"/>
            <w:tcBorders>
              <w:top w:val="single" w:sz="4" w:space="0" w:color="auto"/>
              <w:left w:val="single" w:sz="6" w:space="0" w:color="auto"/>
              <w:bottom w:val="single" w:sz="6" w:space="0" w:color="auto"/>
              <w:right w:val="single" w:sz="4" w:space="0" w:color="auto"/>
            </w:tcBorders>
            <w:vAlign w:val="center"/>
          </w:tcPr>
          <w:p w14:paraId="2A7DD0FE" w14:textId="77777777" w:rsidR="00EE0746" w:rsidRPr="004E5B17" w:rsidRDefault="00EE0746" w:rsidP="00A47006">
            <w:pPr>
              <w:ind w:right="-288"/>
              <w:rPr>
                <w:rFonts w:cs="Arial"/>
                <w:sz w:val="22"/>
                <w:szCs w:val="22"/>
              </w:rPr>
            </w:pPr>
            <w:r w:rsidRPr="004E5B17">
              <w:rPr>
                <w:rFonts w:cs="Arial"/>
                <w:sz w:val="22"/>
                <w:szCs w:val="22"/>
              </w:rPr>
              <w:t>2006</w:t>
            </w:r>
          </w:p>
        </w:tc>
      </w:tr>
      <w:tr w:rsidR="00FA34E6" w:rsidRPr="009344DA" w14:paraId="04C07384" w14:textId="77777777" w:rsidTr="00B648B8">
        <w:tc>
          <w:tcPr>
            <w:tcW w:w="6030" w:type="dxa"/>
            <w:gridSpan w:val="3"/>
            <w:tcBorders>
              <w:top w:val="single" w:sz="6" w:space="0" w:color="auto"/>
              <w:left w:val="single" w:sz="4" w:space="0" w:color="auto"/>
              <w:bottom w:val="single" w:sz="6" w:space="0" w:color="auto"/>
              <w:right w:val="single" w:sz="6" w:space="0" w:color="auto"/>
            </w:tcBorders>
            <w:vAlign w:val="center"/>
          </w:tcPr>
          <w:p w14:paraId="760FB0F8" w14:textId="77777777" w:rsidR="00FA34E6" w:rsidRPr="004E5B17" w:rsidRDefault="00FA34E6" w:rsidP="00A16F82">
            <w:pPr>
              <w:ind w:right="98"/>
              <w:rPr>
                <w:rFonts w:cs="Arial"/>
                <w:sz w:val="22"/>
                <w:szCs w:val="22"/>
              </w:rPr>
            </w:pPr>
            <w:r w:rsidRPr="004E5B17">
              <w:rPr>
                <w:rFonts w:cs="Arial"/>
                <w:sz w:val="22"/>
                <w:szCs w:val="22"/>
              </w:rPr>
              <w:t xml:space="preserve">Amendment: clarification of </w:t>
            </w:r>
            <w:r w:rsidR="00A16F82" w:rsidRPr="004E5B17">
              <w:rPr>
                <w:rFonts w:cs="Arial"/>
                <w:sz w:val="22"/>
                <w:szCs w:val="22"/>
              </w:rPr>
              <w:t>reporting requirements in section</w:t>
            </w:r>
            <w:r w:rsidRPr="004E5B17">
              <w:rPr>
                <w:rFonts w:cs="Arial"/>
                <w:sz w:val="22"/>
                <w:szCs w:val="22"/>
              </w:rPr>
              <w:t xml:space="preserve">10 </w:t>
            </w:r>
            <w:r w:rsidR="00A16F82" w:rsidRPr="004E5B17">
              <w:rPr>
                <w:rFonts w:cs="Arial"/>
                <w:sz w:val="22"/>
                <w:szCs w:val="22"/>
              </w:rPr>
              <w:t>and appendices</w:t>
            </w:r>
            <w:r w:rsidR="00523BEF" w:rsidRPr="004E5B17">
              <w:rPr>
                <w:rFonts w:cs="Arial"/>
                <w:sz w:val="22"/>
                <w:szCs w:val="22"/>
              </w:rPr>
              <w:t xml:space="preserve"> 2,</w:t>
            </w:r>
            <w:r w:rsidR="00EF589A" w:rsidRPr="004E5B17">
              <w:rPr>
                <w:rFonts w:cs="Arial"/>
                <w:sz w:val="22"/>
                <w:szCs w:val="22"/>
              </w:rPr>
              <w:t xml:space="preserve"> </w:t>
            </w:r>
            <w:r w:rsidR="00523BEF" w:rsidRPr="004E5B17">
              <w:rPr>
                <w:rFonts w:cs="Arial"/>
                <w:sz w:val="22"/>
                <w:szCs w:val="22"/>
              </w:rPr>
              <w:t>3 and 4</w:t>
            </w:r>
            <w:r w:rsidR="00A16F82" w:rsidRPr="004E5B17">
              <w:rPr>
                <w:rFonts w:cs="Arial"/>
                <w:sz w:val="22"/>
                <w:szCs w:val="22"/>
              </w:rPr>
              <w:t xml:space="preserve">. </w:t>
            </w:r>
          </w:p>
        </w:tc>
        <w:tc>
          <w:tcPr>
            <w:tcW w:w="3746" w:type="dxa"/>
            <w:tcBorders>
              <w:top w:val="single" w:sz="6" w:space="0" w:color="auto"/>
              <w:left w:val="single" w:sz="6" w:space="0" w:color="auto"/>
              <w:bottom w:val="single" w:sz="6" w:space="0" w:color="auto"/>
              <w:right w:val="single" w:sz="4" w:space="0" w:color="auto"/>
            </w:tcBorders>
            <w:vAlign w:val="center"/>
          </w:tcPr>
          <w:p w14:paraId="53051341" w14:textId="77777777" w:rsidR="00FA34E6" w:rsidRPr="004E5B17" w:rsidRDefault="00D22372" w:rsidP="00D22372">
            <w:pPr>
              <w:ind w:right="-288"/>
              <w:rPr>
                <w:rFonts w:cs="Arial"/>
                <w:sz w:val="22"/>
                <w:szCs w:val="22"/>
              </w:rPr>
            </w:pPr>
            <w:r w:rsidRPr="004E5B17">
              <w:rPr>
                <w:rFonts w:cs="Arial"/>
                <w:sz w:val="22"/>
                <w:szCs w:val="22"/>
              </w:rPr>
              <w:t xml:space="preserve">September </w:t>
            </w:r>
            <w:r w:rsidR="00FA34E6" w:rsidRPr="004E5B17">
              <w:rPr>
                <w:rFonts w:cs="Arial"/>
                <w:sz w:val="22"/>
                <w:szCs w:val="22"/>
              </w:rPr>
              <w:t>2014</w:t>
            </w:r>
          </w:p>
        </w:tc>
      </w:tr>
      <w:tr w:rsidR="00EF589A" w:rsidRPr="009344DA" w14:paraId="18D09644" w14:textId="77777777" w:rsidTr="00B648B8">
        <w:tc>
          <w:tcPr>
            <w:tcW w:w="6030" w:type="dxa"/>
            <w:gridSpan w:val="3"/>
            <w:tcBorders>
              <w:top w:val="single" w:sz="6" w:space="0" w:color="auto"/>
              <w:left w:val="single" w:sz="4" w:space="0" w:color="auto"/>
              <w:bottom w:val="single" w:sz="6" w:space="0" w:color="auto"/>
              <w:right w:val="single" w:sz="6" w:space="0" w:color="auto"/>
            </w:tcBorders>
            <w:vAlign w:val="center"/>
          </w:tcPr>
          <w:p w14:paraId="661C4CB1" w14:textId="77777777" w:rsidR="00EF589A" w:rsidRPr="004E5B17" w:rsidRDefault="00EF589A" w:rsidP="00FE6315">
            <w:pPr>
              <w:ind w:right="98"/>
              <w:rPr>
                <w:rFonts w:cs="Arial"/>
                <w:sz w:val="22"/>
                <w:szCs w:val="22"/>
              </w:rPr>
            </w:pPr>
            <w:r w:rsidRPr="004E5B17">
              <w:rPr>
                <w:rFonts w:cs="Arial"/>
                <w:sz w:val="22"/>
                <w:szCs w:val="22"/>
              </w:rPr>
              <w:t>Amendment: updated</w:t>
            </w:r>
            <w:r w:rsidR="00FE6315" w:rsidRPr="004E5B17">
              <w:rPr>
                <w:rFonts w:cs="Arial"/>
                <w:sz w:val="22"/>
                <w:szCs w:val="22"/>
              </w:rPr>
              <w:t xml:space="preserve"> </w:t>
            </w:r>
            <w:r w:rsidRPr="004E5B17">
              <w:rPr>
                <w:rFonts w:cs="Arial"/>
                <w:sz w:val="22"/>
                <w:szCs w:val="22"/>
              </w:rPr>
              <w:t>Appendix on the values to use for NNPAC reports</w:t>
            </w:r>
          </w:p>
        </w:tc>
        <w:tc>
          <w:tcPr>
            <w:tcW w:w="3746" w:type="dxa"/>
            <w:tcBorders>
              <w:top w:val="single" w:sz="6" w:space="0" w:color="auto"/>
              <w:left w:val="single" w:sz="6" w:space="0" w:color="auto"/>
              <w:bottom w:val="single" w:sz="6" w:space="0" w:color="auto"/>
              <w:right w:val="single" w:sz="4" w:space="0" w:color="auto"/>
            </w:tcBorders>
            <w:vAlign w:val="center"/>
          </w:tcPr>
          <w:p w14:paraId="66B715EA" w14:textId="77777777" w:rsidR="00EF589A" w:rsidRPr="004E5B17" w:rsidRDefault="00EF589A" w:rsidP="00D22372">
            <w:pPr>
              <w:ind w:right="-288"/>
              <w:rPr>
                <w:rFonts w:cs="Arial"/>
                <w:sz w:val="22"/>
                <w:szCs w:val="22"/>
              </w:rPr>
            </w:pPr>
            <w:r w:rsidRPr="004E5B17">
              <w:rPr>
                <w:rFonts w:cs="Arial"/>
                <w:sz w:val="22"/>
                <w:szCs w:val="22"/>
              </w:rPr>
              <w:t>February 2015</w:t>
            </w:r>
          </w:p>
        </w:tc>
      </w:tr>
      <w:tr w:rsidR="000A1584" w:rsidRPr="009344DA" w14:paraId="79CC0B05" w14:textId="77777777" w:rsidTr="00B648B8">
        <w:tc>
          <w:tcPr>
            <w:tcW w:w="6030" w:type="dxa"/>
            <w:gridSpan w:val="3"/>
            <w:tcBorders>
              <w:top w:val="single" w:sz="6" w:space="0" w:color="auto"/>
              <w:left w:val="single" w:sz="4" w:space="0" w:color="auto"/>
              <w:bottom w:val="single" w:sz="6" w:space="0" w:color="auto"/>
              <w:right w:val="single" w:sz="6" w:space="0" w:color="auto"/>
            </w:tcBorders>
            <w:vAlign w:val="center"/>
          </w:tcPr>
          <w:p w14:paraId="15216388" w14:textId="77777777" w:rsidR="000A1584" w:rsidRPr="004E5B17" w:rsidRDefault="000A1584" w:rsidP="00FE6315">
            <w:pPr>
              <w:ind w:right="98"/>
              <w:rPr>
                <w:rFonts w:cs="Arial"/>
                <w:sz w:val="22"/>
                <w:szCs w:val="22"/>
              </w:rPr>
            </w:pPr>
            <w:r w:rsidRPr="004E5B17">
              <w:rPr>
                <w:rFonts w:cs="Arial"/>
                <w:sz w:val="22"/>
                <w:szCs w:val="22"/>
              </w:rPr>
              <w:t>Amendment: clarification to access criteria for fertility preservation</w:t>
            </w:r>
          </w:p>
        </w:tc>
        <w:tc>
          <w:tcPr>
            <w:tcW w:w="3746" w:type="dxa"/>
            <w:tcBorders>
              <w:top w:val="single" w:sz="6" w:space="0" w:color="auto"/>
              <w:left w:val="single" w:sz="6" w:space="0" w:color="auto"/>
              <w:bottom w:val="single" w:sz="6" w:space="0" w:color="auto"/>
              <w:right w:val="single" w:sz="4" w:space="0" w:color="auto"/>
            </w:tcBorders>
            <w:vAlign w:val="center"/>
          </w:tcPr>
          <w:p w14:paraId="3CF40E0E" w14:textId="77777777" w:rsidR="000A1584" w:rsidRPr="004E5B17" w:rsidRDefault="000A1584" w:rsidP="00D22372">
            <w:pPr>
              <w:ind w:right="-288"/>
              <w:rPr>
                <w:rFonts w:cs="Arial"/>
                <w:sz w:val="22"/>
                <w:szCs w:val="22"/>
              </w:rPr>
            </w:pPr>
            <w:r w:rsidRPr="004E5B17">
              <w:rPr>
                <w:rFonts w:cs="Arial"/>
                <w:sz w:val="22"/>
                <w:szCs w:val="22"/>
              </w:rPr>
              <w:t>January 2016</w:t>
            </w:r>
          </w:p>
        </w:tc>
      </w:tr>
      <w:tr w:rsidR="006F36ED" w:rsidRPr="009344DA" w14:paraId="71D815A5" w14:textId="77777777" w:rsidTr="00B648B8">
        <w:tc>
          <w:tcPr>
            <w:tcW w:w="6030" w:type="dxa"/>
            <w:gridSpan w:val="3"/>
            <w:tcBorders>
              <w:top w:val="single" w:sz="6" w:space="0" w:color="auto"/>
              <w:left w:val="single" w:sz="4" w:space="0" w:color="auto"/>
              <w:bottom w:val="single" w:sz="6" w:space="0" w:color="auto"/>
              <w:right w:val="single" w:sz="6" w:space="0" w:color="auto"/>
            </w:tcBorders>
            <w:vAlign w:val="center"/>
          </w:tcPr>
          <w:p w14:paraId="23CFBA27" w14:textId="77777777" w:rsidR="006F36ED" w:rsidRPr="004E5B17" w:rsidRDefault="006F36ED" w:rsidP="000A7EE0">
            <w:pPr>
              <w:ind w:right="98"/>
              <w:rPr>
                <w:rFonts w:cs="Arial"/>
                <w:sz w:val="22"/>
                <w:szCs w:val="22"/>
              </w:rPr>
            </w:pPr>
            <w:r w:rsidRPr="004E5B17">
              <w:rPr>
                <w:rFonts w:cs="Arial"/>
                <w:sz w:val="22"/>
                <w:szCs w:val="22"/>
              </w:rPr>
              <w:t>Amendment</w:t>
            </w:r>
            <w:r w:rsidR="003C5138" w:rsidRPr="004E5B17">
              <w:rPr>
                <w:rFonts w:cs="Arial"/>
                <w:sz w:val="22"/>
                <w:szCs w:val="22"/>
              </w:rPr>
              <w:t>s</w:t>
            </w:r>
            <w:r w:rsidRPr="004E5B17">
              <w:rPr>
                <w:rFonts w:cs="Arial"/>
                <w:sz w:val="22"/>
                <w:szCs w:val="22"/>
              </w:rPr>
              <w:t xml:space="preserve">: </w:t>
            </w:r>
            <w:r w:rsidR="00345BBE" w:rsidRPr="004E5B17">
              <w:rPr>
                <w:rFonts w:cs="Arial"/>
                <w:sz w:val="22"/>
                <w:szCs w:val="22"/>
              </w:rPr>
              <w:t>align</w:t>
            </w:r>
            <w:r w:rsidR="00345BBE">
              <w:rPr>
                <w:rFonts w:cs="Arial"/>
                <w:sz w:val="22"/>
                <w:szCs w:val="22"/>
              </w:rPr>
              <w:t>ed</w:t>
            </w:r>
            <w:r w:rsidR="004F3790" w:rsidRPr="004E5B17">
              <w:rPr>
                <w:rFonts w:cs="Arial"/>
                <w:sz w:val="22"/>
                <w:szCs w:val="22"/>
              </w:rPr>
              <w:t xml:space="preserve"> </w:t>
            </w:r>
            <w:r w:rsidR="0037455E" w:rsidRPr="004E5B17">
              <w:rPr>
                <w:rFonts w:cs="Arial"/>
                <w:sz w:val="22"/>
                <w:szCs w:val="22"/>
              </w:rPr>
              <w:t xml:space="preserve">with Service Coverage update </w:t>
            </w:r>
            <w:r w:rsidR="003C5138" w:rsidRPr="004E5B17">
              <w:rPr>
                <w:rFonts w:cs="Arial"/>
                <w:sz w:val="22"/>
                <w:szCs w:val="22"/>
              </w:rPr>
              <w:t xml:space="preserve">August </w:t>
            </w:r>
            <w:r w:rsidR="0037455E" w:rsidRPr="004E5B17">
              <w:rPr>
                <w:rFonts w:cs="Arial"/>
                <w:sz w:val="22"/>
                <w:szCs w:val="22"/>
              </w:rPr>
              <w:t xml:space="preserve">2016 for </w:t>
            </w:r>
            <w:r w:rsidRPr="004E5B17">
              <w:rPr>
                <w:rFonts w:cs="Arial"/>
                <w:sz w:val="22"/>
                <w:szCs w:val="22"/>
              </w:rPr>
              <w:t>access</w:t>
            </w:r>
            <w:r w:rsidR="003C5138" w:rsidRPr="004E5B17">
              <w:rPr>
                <w:rFonts w:cs="Arial"/>
                <w:sz w:val="22"/>
                <w:szCs w:val="22"/>
              </w:rPr>
              <w:t xml:space="preserve"> to</w:t>
            </w:r>
            <w:r w:rsidRPr="004E5B17">
              <w:rPr>
                <w:rFonts w:cs="Arial"/>
                <w:sz w:val="22"/>
                <w:szCs w:val="22"/>
              </w:rPr>
              <w:t xml:space="preserve"> fertility preservation</w:t>
            </w:r>
            <w:r w:rsidR="003C5138" w:rsidRPr="004E5B17">
              <w:rPr>
                <w:rFonts w:cs="Arial"/>
                <w:sz w:val="22"/>
                <w:szCs w:val="22"/>
              </w:rPr>
              <w:t>,</w:t>
            </w:r>
            <w:r w:rsidR="004F3790" w:rsidRPr="004E5B17">
              <w:rPr>
                <w:rFonts w:cs="Arial"/>
                <w:sz w:val="22"/>
                <w:szCs w:val="22"/>
              </w:rPr>
              <w:t xml:space="preserve"> </w:t>
            </w:r>
            <w:r w:rsidR="000A7EE0">
              <w:rPr>
                <w:rFonts w:cs="Arial"/>
                <w:sz w:val="22"/>
                <w:szCs w:val="22"/>
              </w:rPr>
              <w:t xml:space="preserve">edited for consistent use of language re </w:t>
            </w:r>
            <w:r w:rsidR="00FB09D9">
              <w:rPr>
                <w:rFonts w:cs="Arial"/>
                <w:sz w:val="22"/>
                <w:szCs w:val="22"/>
              </w:rPr>
              <w:t xml:space="preserve">access, </w:t>
            </w:r>
            <w:r w:rsidR="000A7EE0">
              <w:rPr>
                <w:rFonts w:cs="Arial"/>
                <w:sz w:val="22"/>
                <w:szCs w:val="22"/>
              </w:rPr>
              <w:t xml:space="preserve">eligibility, </w:t>
            </w:r>
            <w:r w:rsidR="003C5138" w:rsidRPr="004E5B17">
              <w:rPr>
                <w:sz w:val="22"/>
                <w:szCs w:val="22"/>
              </w:rPr>
              <w:t>fertility status evaluation, updated web links</w:t>
            </w:r>
            <w:r w:rsidR="00EF4F33">
              <w:rPr>
                <w:sz w:val="22"/>
                <w:szCs w:val="22"/>
              </w:rPr>
              <w:t>, reporting in Excel format</w:t>
            </w:r>
            <w:r w:rsidR="003C5138" w:rsidRPr="004E5B17">
              <w:rPr>
                <w:sz w:val="22"/>
                <w:szCs w:val="22"/>
              </w:rPr>
              <w:t>.</w:t>
            </w:r>
          </w:p>
        </w:tc>
        <w:tc>
          <w:tcPr>
            <w:tcW w:w="3746" w:type="dxa"/>
            <w:tcBorders>
              <w:top w:val="single" w:sz="6" w:space="0" w:color="auto"/>
              <w:left w:val="single" w:sz="6" w:space="0" w:color="auto"/>
              <w:bottom w:val="single" w:sz="6" w:space="0" w:color="auto"/>
              <w:right w:val="single" w:sz="4" w:space="0" w:color="auto"/>
            </w:tcBorders>
            <w:vAlign w:val="center"/>
          </w:tcPr>
          <w:p w14:paraId="73251D0B" w14:textId="77777777" w:rsidR="006F36ED" w:rsidRPr="004E5B17" w:rsidRDefault="00345BBE" w:rsidP="00345BBE">
            <w:pPr>
              <w:ind w:right="-288"/>
              <w:rPr>
                <w:rFonts w:cs="Arial"/>
                <w:sz w:val="22"/>
                <w:szCs w:val="22"/>
              </w:rPr>
            </w:pPr>
            <w:r>
              <w:rPr>
                <w:rFonts w:cs="Arial"/>
                <w:sz w:val="22"/>
                <w:szCs w:val="22"/>
              </w:rPr>
              <w:t>December</w:t>
            </w:r>
            <w:r w:rsidR="00FB09D9">
              <w:rPr>
                <w:rFonts w:cs="Arial"/>
                <w:sz w:val="22"/>
                <w:szCs w:val="22"/>
              </w:rPr>
              <w:t xml:space="preserve"> </w:t>
            </w:r>
            <w:r w:rsidR="006F36ED" w:rsidRPr="004E5B17">
              <w:rPr>
                <w:rFonts w:cs="Arial"/>
                <w:sz w:val="22"/>
                <w:szCs w:val="22"/>
              </w:rPr>
              <w:t>2016</w:t>
            </w:r>
          </w:p>
        </w:tc>
      </w:tr>
      <w:tr w:rsidR="00AC5993" w:rsidRPr="009344DA" w14:paraId="3737DE1B" w14:textId="77777777" w:rsidTr="00B648B8">
        <w:tc>
          <w:tcPr>
            <w:tcW w:w="6030" w:type="dxa"/>
            <w:gridSpan w:val="3"/>
            <w:tcBorders>
              <w:top w:val="single" w:sz="6" w:space="0" w:color="auto"/>
              <w:left w:val="single" w:sz="4" w:space="0" w:color="auto"/>
              <w:bottom w:val="single" w:sz="6" w:space="0" w:color="auto"/>
              <w:right w:val="single" w:sz="6" w:space="0" w:color="auto"/>
            </w:tcBorders>
            <w:vAlign w:val="center"/>
          </w:tcPr>
          <w:p w14:paraId="09C35574" w14:textId="77777777" w:rsidR="00AC5993" w:rsidRPr="004E5B17" w:rsidRDefault="00AC5993" w:rsidP="006A234A">
            <w:pPr>
              <w:ind w:right="98"/>
              <w:rPr>
                <w:rFonts w:cs="Arial"/>
                <w:sz w:val="22"/>
                <w:szCs w:val="22"/>
              </w:rPr>
            </w:pPr>
            <w:r w:rsidRPr="004E5B17">
              <w:rPr>
                <w:rFonts w:cs="Arial"/>
                <w:sz w:val="22"/>
                <w:szCs w:val="22"/>
              </w:rPr>
              <w:t xml:space="preserve">Amendments: </w:t>
            </w:r>
            <w:r w:rsidRPr="00B74B06">
              <w:rPr>
                <w:rFonts w:cs="Arial"/>
                <w:sz w:val="22"/>
                <w:szCs w:val="22"/>
              </w:rPr>
              <w:t>aligned with Service Coverage 2018/</w:t>
            </w:r>
            <w:r w:rsidR="004A779E" w:rsidRPr="00B74B06">
              <w:rPr>
                <w:rFonts w:cs="Arial"/>
                <w:sz w:val="22"/>
                <w:szCs w:val="22"/>
              </w:rPr>
              <w:t>1</w:t>
            </w:r>
            <w:r w:rsidRPr="00B74B06">
              <w:rPr>
                <w:rFonts w:cs="Arial"/>
                <w:sz w:val="22"/>
                <w:szCs w:val="22"/>
              </w:rPr>
              <w:t>9 requirements relating to treatment prioritisation tool</w:t>
            </w:r>
            <w:r w:rsidR="00AB4805" w:rsidRPr="00B74B06">
              <w:rPr>
                <w:rFonts w:cs="Arial"/>
                <w:sz w:val="22"/>
                <w:szCs w:val="22"/>
              </w:rPr>
              <w:t>, editing</w:t>
            </w:r>
            <w:r w:rsidR="004A779E" w:rsidRPr="00B74B06">
              <w:rPr>
                <w:rFonts w:cs="Arial"/>
                <w:sz w:val="22"/>
                <w:szCs w:val="22"/>
              </w:rPr>
              <w:t xml:space="preserve"> and clarification</w:t>
            </w:r>
            <w:r w:rsidR="00D94DD3" w:rsidRPr="00B74B06">
              <w:rPr>
                <w:rFonts w:cs="Arial"/>
                <w:sz w:val="22"/>
                <w:szCs w:val="22"/>
              </w:rPr>
              <w:t xml:space="preserve"> of clinical</w:t>
            </w:r>
            <w:r w:rsidR="006A234A" w:rsidRPr="00B74B06">
              <w:rPr>
                <w:rFonts w:cs="Arial"/>
                <w:sz w:val="22"/>
                <w:szCs w:val="22"/>
              </w:rPr>
              <w:t xml:space="preserve"> and reporting </w:t>
            </w:r>
            <w:r w:rsidR="00D94DD3" w:rsidRPr="00B74B06">
              <w:rPr>
                <w:rFonts w:cs="Arial"/>
                <w:sz w:val="22"/>
                <w:szCs w:val="22"/>
              </w:rPr>
              <w:t>requirements</w:t>
            </w:r>
            <w:r w:rsidR="00B74B06" w:rsidRPr="00B74B06">
              <w:rPr>
                <w:rFonts w:cs="Arial"/>
                <w:sz w:val="22"/>
                <w:szCs w:val="22"/>
              </w:rPr>
              <w:t xml:space="preserve"> ie mode of delivery and alcohol involved codes (FS01019 removed)</w:t>
            </w:r>
            <w:r w:rsidR="004A779E" w:rsidRPr="00B74B06">
              <w:rPr>
                <w:rFonts w:cs="Arial"/>
                <w:sz w:val="22"/>
                <w:szCs w:val="22"/>
              </w:rPr>
              <w:t>.</w:t>
            </w:r>
          </w:p>
        </w:tc>
        <w:tc>
          <w:tcPr>
            <w:tcW w:w="3746" w:type="dxa"/>
            <w:tcBorders>
              <w:top w:val="single" w:sz="6" w:space="0" w:color="auto"/>
              <w:left w:val="single" w:sz="6" w:space="0" w:color="auto"/>
              <w:bottom w:val="single" w:sz="6" w:space="0" w:color="auto"/>
              <w:right w:val="single" w:sz="4" w:space="0" w:color="auto"/>
            </w:tcBorders>
            <w:vAlign w:val="center"/>
          </w:tcPr>
          <w:p w14:paraId="25B1F605" w14:textId="77777777" w:rsidR="00AC5993" w:rsidRDefault="00FB3E09" w:rsidP="00FB3E09">
            <w:pPr>
              <w:ind w:right="-288"/>
              <w:rPr>
                <w:rFonts w:cs="Arial"/>
                <w:sz w:val="22"/>
                <w:szCs w:val="22"/>
              </w:rPr>
            </w:pPr>
            <w:r>
              <w:rPr>
                <w:rFonts w:cs="Arial"/>
                <w:sz w:val="22"/>
                <w:szCs w:val="22"/>
              </w:rPr>
              <w:t xml:space="preserve">September </w:t>
            </w:r>
            <w:r w:rsidR="00AC5993">
              <w:rPr>
                <w:rFonts w:cs="Arial"/>
                <w:sz w:val="22"/>
                <w:szCs w:val="22"/>
              </w:rPr>
              <w:t>2018</w:t>
            </w:r>
          </w:p>
        </w:tc>
      </w:tr>
      <w:tr w:rsidR="00EE0746" w:rsidRPr="009344DA" w14:paraId="3E917CBD" w14:textId="77777777" w:rsidTr="00B648B8">
        <w:tc>
          <w:tcPr>
            <w:tcW w:w="6030" w:type="dxa"/>
            <w:gridSpan w:val="3"/>
            <w:tcBorders>
              <w:top w:val="single" w:sz="6" w:space="0" w:color="auto"/>
              <w:left w:val="single" w:sz="4" w:space="0" w:color="auto"/>
              <w:bottom w:val="single" w:sz="6" w:space="0" w:color="auto"/>
              <w:right w:val="single" w:sz="6" w:space="0" w:color="auto"/>
            </w:tcBorders>
            <w:vAlign w:val="center"/>
          </w:tcPr>
          <w:p w14:paraId="755085CD" w14:textId="77777777" w:rsidR="00EE0746" w:rsidRPr="000A7EE0" w:rsidRDefault="00EE0746" w:rsidP="00A47006">
            <w:pPr>
              <w:tabs>
                <w:tab w:val="left" w:pos="5580"/>
              </w:tabs>
              <w:ind w:right="158"/>
              <w:rPr>
                <w:rFonts w:cs="Arial"/>
                <w:sz w:val="28"/>
                <w:szCs w:val="28"/>
              </w:rPr>
            </w:pPr>
            <w:bookmarkStart w:id="35" w:name="_Toc215319116"/>
            <w:r w:rsidRPr="000A7EE0">
              <w:rPr>
                <w:rFonts w:cs="Arial"/>
                <w:sz w:val="28"/>
                <w:szCs w:val="28"/>
              </w:rPr>
              <w:t>Consideration for next Service Specification Review</w:t>
            </w:r>
            <w:bookmarkEnd w:id="35"/>
          </w:p>
        </w:tc>
        <w:tc>
          <w:tcPr>
            <w:tcW w:w="3746" w:type="dxa"/>
            <w:tcBorders>
              <w:top w:val="single" w:sz="6" w:space="0" w:color="auto"/>
              <w:left w:val="single" w:sz="6" w:space="0" w:color="auto"/>
              <w:bottom w:val="single" w:sz="6" w:space="0" w:color="auto"/>
              <w:right w:val="single" w:sz="4" w:space="0" w:color="auto"/>
            </w:tcBorders>
            <w:vAlign w:val="center"/>
          </w:tcPr>
          <w:p w14:paraId="2D29FB11" w14:textId="77777777" w:rsidR="00EE0746" w:rsidRPr="000A7EE0" w:rsidRDefault="00EE0746" w:rsidP="00A47006">
            <w:pPr>
              <w:ind w:right="-288"/>
              <w:rPr>
                <w:rFonts w:cs="Arial"/>
                <w:sz w:val="28"/>
                <w:szCs w:val="28"/>
              </w:rPr>
            </w:pPr>
            <w:bookmarkStart w:id="36" w:name="_Toc215319117"/>
            <w:r w:rsidRPr="000A7EE0">
              <w:rPr>
                <w:rFonts w:cs="Arial"/>
                <w:sz w:val="28"/>
                <w:szCs w:val="28"/>
              </w:rPr>
              <w:t>Within five years</w:t>
            </w:r>
            <w:bookmarkEnd w:id="36"/>
          </w:p>
        </w:tc>
      </w:tr>
    </w:tbl>
    <w:p w14:paraId="6E6B3606" w14:textId="77777777" w:rsidR="00DF720A" w:rsidRDefault="00EE0746" w:rsidP="0074303B">
      <w:pPr>
        <w:tabs>
          <w:tab w:val="left" w:pos="-1099"/>
          <w:tab w:val="left" w:pos="-720"/>
          <w:tab w:val="left" w:pos="0"/>
          <w:tab w:val="left" w:pos="567"/>
          <w:tab w:val="left" w:pos="709"/>
          <w:tab w:val="left" w:pos="1080"/>
          <w:tab w:val="left" w:pos="1440"/>
          <w:tab w:val="left" w:pos="1701"/>
          <w:tab w:val="left" w:pos="1800"/>
          <w:tab w:val="left" w:pos="2693"/>
        </w:tabs>
        <w:spacing w:after="0" w:line="240" w:lineRule="exact"/>
        <w:ind w:right="828"/>
        <w:jc w:val="both"/>
        <w:rPr>
          <w:lang w:val="en-GB" w:eastAsia="en-GB"/>
        </w:rPr>
      </w:pPr>
      <w:bookmarkStart w:id="37" w:name="_Toc215319119"/>
      <w:r w:rsidRPr="00B02376">
        <w:rPr>
          <w:lang w:val="en-GB" w:eastAsia="en-GB"/>
        </w:rPr>
        <w:t>Contact</w:t>
      </w:r>
      <w:r w:rsidR="00FB3E09">
        <w:rPr>
          <w:lang w:val="en-GB" w:eastAsia="en-GB"/>
        </w:rPr>
        <w:t>:</w:t>
      </w:r>
      <w:r w:rsidRPr="00B02376">
        <w:rPr>
          <w:lang w:val="en-GB" w:eastAsia="en-GB"/>
        </w:rPr>
        <w:t xml:space="preserve"> the Service Specification Programme Manager, </w:t>
      </w:r>
      <w:r w:rsidR="00FB3E09">
        <w:rPr>
          <w:lang w:val="en-GB" w:eastAsia="en-GB"/>
        </w:rPr>
        <w:t xml:space="preserve">Accountability, </w:t>
      </w:r>
      <w:r w:rsidRPr="00B02376">
        <w:rPr>
          <w:lang w:val="en-GB" w:eastAsia="en-GB"/>
        </w:rPr>
        <w:t>Ministry of Health</w:t>
      </w:r>
      <w:r w:rsidR="000A1584">
        <w:rPr>
          <w:lang w:val="en-GB" w:eastAsia="en-GB"/>
        </w:rPr>
        <w:t>,</w:t>
      </w:r>
      <w:r w:rsidRPr="00B02376">
        <w:rPr>
          <w:lang w:val="en-GB" w:eastAsia="en-GB"/>
        </w:rPr>
        <w:t xml:space="preserve"> </w:t>
      </w:r>
      <w:r w:rsidR="00FB3E09">
        <w:rPr>
          <w:lang w:val="en-GB" w:eastAsia="en-GB"/>
        </w:rPr>
        <w:t>f</w:t>
      </w:r>
      <w:r w:rsidR="00DF720A">
        <w:rPr>
          <w:lang w:val="en-GB" w:eastAsia="en-GB"/>
        </w:rPr>
        <w:t>o</w:t>
      </w:r>
      <w:r w:rsidR="00FB3E09">
        <w:rPr>
          <w:lang w:val="en-GB" w:eastAsia="en-GB"/>
        </w:rPr>
        <w:t xml:space="preserve">r queries re </w:t>
      </w:r>
      <w:r w:rsidRPr="00B02376">
        <w:rPr>
          <w:lang w:val="en-GB" w:eastAsia="en-GB"/>
        </w:rPr>
        <w:t>service specifications.</w:t>
      </w:r>
      <w:r w:rsidR="00913F9C">
        <w:rPr>
          <w:lang w:val="en-GB" w:eastAsia="en-GB"/>
        </w:rPr>
        <w:t xml:space="preserve"> </w:t>
      </w:r>
    </w:p>
    <w:p w14:paraId="22047C71" w14:textId="77777777" w:rsidR="00EE0746" w:rsidRDefault="00EE0746" w:rsidP="0074303B">
      <w:pPr>
        <w:tabs>
          <w:tab w:val="left" w:pos="-1099"/>
          <w:tab w:val="left" w:pos="-720"/>
          <w:tab w:val="left" w:pos="0"/>
          <w:tab w:val="left" w:pos="567"/>
          <w:tab w:val="left" w:pos="709"/>
          <w:tab w:val="left" w:pos="1080"/>
          <w:tab w:val="left" w:pos="1440"/>
          <w:tab w:val="left" w:pos="1701"/>
          <w:tab w:val="left" w:pos="1800"/>
          <w:tab w:val="left" w:pos="2693"/>
        </w:tabs>
        <w:spacing w:after="0" w:line="240" w:lineRule="exact"/>
        <w:ind w:right="828"/>
        <w:jc w:val="both"/>
        <w:rPr>
          <w:lang w:val="en-GB" w:eastAsia="en-GB"/>
        </w:rPr>
      </w:pPr>
      <w:r w:rsidRPr="00B02376">
        <w:rPr>
          <w:lang w:val="en-GB" w:eastAsia="en-GB"/>
        </w:rPr>
        <w:t>Nationwid</w:t>
      </w:r>
      <w:r w:rsidR="000A1584">
        <w:rPr>
          <w:lang w:val="en-GB" w:eastAsia="en-GB"/>
        </w:rPr>
        <w:t>e Service Framework Library web</w:t>
      </w:r>
      <w:r w:rsidRPr="00B02376">
        <w:rPr>
          <w:lang w:val="en-GB" w:eastAsia="en-GB"/>
        </w:rPr>
        <w:t xml:space="preserve">site </w:t>
      </w:r>
      <w:hyperlink r:id="rId9" w:history="1">
        <w:r w:rsidR="000D4218" w:rsidRPr="004F0B16">
          <w:rPr>
            <w:rStyle w:val="Hyperlink"/>
            <w:lang w:val="en-GB" w:eastAsia="en-GB"/>
          </w:rPr>
          <w:t>http://www.nsfl.health.govt.nz</w:t>
        </w:r>
      </w:hyperlink>
    </w:p>
    <w:p w14:paraId="2126C30F" w14:textId="77777777" w:rsidR="00EE0746" w:rsidRDefault="00EE0746" w:rsidP="00EE0746">
      <w:pPr>
        <w:pBdr>
          <w:top w:val="single" w:sz="4" w:space="1" w:color="auto"/>
          <w:left w:val="single" w:sz="4" w:space="4" w:color="auto"/>
          <w:bottom w:val="single" w:sz="4" w:space="1" w:color="auto"/>
          <w:right w:val="single" w:sz="4" w:space="0" w:color="auto"/>
        </w:pBdr>
        <w:ind w:right="-289"/>
        <w:jc w:val="center"/>
        <w:rPr>
          <w:lang w:val="en-GB" w:eastAsia="en-GB"/>
        </w:rPr>
        <w:sectPr w:rsidR="00EE0746" w:rsidSect="000F2501">
          <w:footerReference w:type="default" r:id="rId10"/>
          <w:pgSz w:w="11907" w:h="16840" w:code="9"/>
          <w:pgMar w:top="720" w:right="720" w:bottom="720" w:left="720" w:header="720" w:footer="720" w:gutter="0"/>
          <w:paperSrc w:first="257" w:other="257"/>
          <w:cols w:space="708"/>
          <w:docGrid w:linePitch="326"/>
        </w:sectPr>
      </w:pPr>
    </w:p>
    <w:p w14:paraId="6715DF47" w14:textId="77777777" w:rsidR="00EE0746" w:rsidRPr="00B8677A" w:rsidRDefault="00EE0746" w:rsidP="00CD1199">
      <w:pPr>
        <w:pBdr>
          <w:top w:val="single" w:sz="4" w:space="1" w:color="auto"/>
          <w:left w:val="single" w:sz="4" w:space="4" w:color="auto"/>
          <w:bottom w:val="single" w:sz="4" w:space="1" w:color="auto"/>
          <w:right w:val="single" w:sz="4" w:space="0" w:color="auto"/>
        </w:pBdr>
        <w:spacing w:before="0" w:after="0"/>
        <w:ind w:right="-289"/>
        <w:jc w:val="center"/>
        <w:rPr>
          <w:rFonts w:cs="Arial"/>
          <w:b/>
        </w:rPr>
      </w:pPr>
      <w:bookmarkStart w:id="38" w:name="_Toc215319122"/>
      <w:bookmarkEnd w:id="37"/>
      <w:r w:rsidRPr="00B8677A">
        <w:rPr>
          <w:rFonts w:cs="Arial"/>
          <w:b/>
        </w:rPr>
        <w:lastRenderedPageBreak/>
        <w:t xml:space="preserve">SPECIALIST MEDICAL </w:t>
      </w:r>
      <w:r>
        <w:rPr>
          <w:rFonts w:cs="Arial"/>
          <w:b/>
        </w:rPr>
        <w:t xml:space="preserve">AND SURGICAL </w:t>
      </w:r>
      <w:r w:rsidRPr="00B8677A">
        <w:rPr>
          <w:rFonts w:cs="Arial"/>
          <w:b/>
        </w:rPr>
        <w:t xml:space="preserve">SERVICES – </w:t>
      </w:r>
    </w:p>
    <w:p w14:paraId="4D2395E9" w14:textId="77777777" w:rsidR="00EE0746" w:rsidRPr="00B8677A" w:rsidRDefault="00EE0746" w:rsidP="00CD1199">
      <w:pPr>
        <w:pBdr>
          <w:top w:val="single" w:sz="4" w:space="1" w:color="auto"/>
          <w:left w:val="single" w:sz="4" w:space="4" w:color="auto"/>
          <w:bottom w:val="single" w:sz="4" w:space="1" w:color="auto"/>
          <w:right w:val="single" w:sz="4" w:space="0" w:color="auto"/>
        </w:pBdr>
        <w:spacing w:before="0" w:after="0"/>
        <w:ind w:right="-289"/>
        <w:jc w:val="center"/>
        <w:rPr>
          <w:rFonts w:cs="Arial"/>
          <w:b/>
        </w:rPr>
      </w:pPr>
      <w:r w:rsidRPr="00B8677A">
        <w:rPr>
          <w:rFonts w:cs="Arial"/>
          <w:b/>
        </w:rPr>
        <w:t>ASSISTED REPRODUCTIVE TECHNOLOGY SERVICE</w:t>
      </w:r>
      <w:r>
        <w:rPr>
          <w:rFonts w:cs="Arial"/>
          <w:b/>
        </w:rPr>
        <w:t xml:space="preserve">S </w:t>
      </w:r>
    </w:p>
    <w:p w14:paraId="693AF3CB" w14:textId="77777777" w:rsidR="00EE0746" w:rsidRDefault="00EE0746" w:rsidP="0037455E">
      <w:pPr>
        <w:pBdr>
          <w:top w:val="single" w:sz="4" w:space="1" w:color="auto"/>
          <w:left w:val="single" w:sz="4" w:space="4" w:color="auto"/>
          <w:bottom w:val="single" w:sz="4" w:space="1" w:color="auto"/>
          <w:right w:val="single" w:sz="4" w:space="0" w:color="auto"/>
        </w:pBdr>
        <w:spacing w:before="0" w:after="0"/>
        <w:ind w:right="-289"/>
        <w:jc w:val="center"/>
        <w:rPr>
          <w:rFonts w:cs="Arial"/>
          <w:b/>
        </w:rPr>
      </w:pPr>
      <w:r w:rsidRPr="00B8677A">
        <w:rPr>
          <w:rFonts w:cs="Arial"/>
          <w:b/>
        </w:rPr>
        <w:t xml:space="preserve">TIER </w:t>
      </w:r>
      <w:r>
        <w:rPr>
          <w:rFonts w:cs="Arial"/>
          <w:b/>
        </w:rPr>
        <w:t>TWO</w:t>
      </w:r>
      <w:r w:rsidR="0037455E">
        <w:rPr>
          <w:rFonts w:cs="Arial"/>
          <w:b/>
        </w:rPr>
        <w:t xml:space="preserve"> </w:t>
      </w:r>
      <w:r>
        <w:rPr>
          <w:rFonts w:cs="Arial"/>
          <w:b/>
        </w:rPr>
        <w:t>SERVICE SPECIFICATION</w:t>
      </w:r>
    </w:p>
    <w:p w14:paraId="15A79F05" w14:textId="77777777" w:rsidR="00EE0746" w:rsidRDefault="00EE0746" w:rsidP="00EE0746">
      <w:pPr>
        <w:rPr>
          <w:rFonts w:cs="Arial"/>
        </w:rPr>
      </w:pPr>
      <w:bookmarkStart w:id="39" w:name="_Toc215319123"/>
      <w:bookmarkEnd w:id="38"/>
      <w:r w:rsidRPr="0053589A">
        <w:t>This tier two service specification for Assisted Reproductive Technology Services (the Service) must be used</w:t>
      </w:r>
      <w:r w:rsidRPr="00B8677A">
        <w:rPr>
          <w:rFonts w:cs="Arial"/>
        </w:rPr>
        <w:t xml:space="preserve"> in conjunction with the tier one Specialist Medical and Surgical Services</w:t>
      </w:r>
      <w:r w:rsidR="00DF720A">
        <w:rPr>
          <w:rFonts w:cs="Arial"/>
        </w:rPr>
        <w:t xml:space="preserve"> service specification</w:t>
      </w:r>
      <w:r w:rsidRPr="00F04B47">
        <w:rPr>
          <w:rFonts w:cs="Arial"/>
        </w:rPr>
        <w:t xml:space="preserve"> that contains information</w:t>
      </w:r>
      <w:r>
        <w:rPr>
          <w:rFonts w:cs="Arial"/>
        </w:rPr>
        <w:t xml:space="preserve"> common to </w:t>
      </w:r>
      <w:r w:rsidR="00DF720A">
        <w:rPr>
          <w:rFonts w:cs="Arial"/>
        </w:rPr>
        <w:t>this</w:t>
      </w:r>
      <w:r>
        <w:rPr>
          <w:rFonts w:cs="Arial"/>
        </w:rPr>
        <w:t xml:space="preserve"> service.</w:t>
      </w:r>
    </w:p>
    <w:bookmarkEnd w:id="39"/>
    <w:p w14:paraId="5A8C4859" w14:textId="77777777" w:rsidR="00EE0746" w:rsidRDefault="00EE0746" w:rsidP="00EE0746">
      <w:pPr>
        <w:rPr>
          <w:rFonts w:cs="Arial"/>
          <w:bCs/>
        </w:rPr>
      </w:pPr>
      <w:r>
        <w:rPr>
          <w:rFonts w:cs="Arial"/>
          <w:bCs/>
        </w:rPr>
        <w:t xml:space="preserve">When age appropriate, it is also linked to </w:t>
      </w:r>
      <w:r w:rsidRPr="00B8677A">
        <w:rPr>
          <w:rFonts w:cs="Arial"/>
          <w:bCs/>
        </w:rPr>
        <w:t xml:space="preserve">the </w:t>
      </w:r>
      <w:r w:rsidR="00240D7E">
        <w:rPr>
          <w:rFonts w:cs="Arial"/>
          <w:bCs/>
        </w:rPr>
        <w:t xml:space="preserve">following </w:t>
      </w:r>
      <w:r w:rsidR="00240D7E" w:rsidRPr="00240D7E">
        <w:rPr>
          <w:rFonts w:cs="Arial"/>
          <w:bCs/>
        </w:rPr>
        <w:t>service specifications</w:t>
      </w:r>
      <w:r w:rsidR="00240D7E">
        <w:rPr>
          <w:rFonts w:cs="Arial"/>
          <w:bCs/>
        </w:rPr>
        <w:t>: tier one</w:t>
      </w:r>
      <w:r w:rsidR="00240D7E" w:rsidRPr="00240D7E">
        <w:rPr>
          <w:rFonts w:cs="Arial"/>
          <w:bCs/>
        </w:rPr>
        <w:t xml:space="preserve"> </w:t>
      </w:r>
      <w:r>
        <w:rPr>
          <w:rFonts w:cs="Arial"/>
          <w:bCs/>
        </w:rPr>
        <w:t xml:space="preserve">Services for </w:t>
      </w:r>
      <w:r w:rsidRPr="00B8677A">
        <w:rPr>
          <w:rFonts w:cs="Arial"/>
          <w:bCs/>
        </w:rPr>
        <w:t>Child</w:t>
      </w:r>
      <w:r>
        <w:rPr>
          <w:rFonts w:cs="Arial"/>
          <w:bCs/>
        </w:rPr>
        <w:t>ren</w:t>
      </w:r>
      <w:r w:rsidRPr="00B8677A">
        <w:rPr>
          <w:rFonts w:cs="Arial"/>
          <w:bCs/>
        </w:rPr>
        <w:t xml:space="preserve"> and You</w:t>
      </w:r>
      <w:r>
        <w:rPr>
          <w:rFonts w:cs="Arial"/>
          <w:bCs/>
        </w:rPr>
        <w:t>ng People</w:t>
      </w:r>
      <w:r w:rsidRPr="00B8677A">
        <w:rPr>
          <w:rFonts w:cs="Arial"/>
          <w:bCs/>
        </w:rPr>
        <w:t xml:space="preserve"> </w:t>
      </w:r>
      <w:r w:rsidRPr="00B8677A">
        <w:rPr>
          <w:rFonts w:cs="Arial"/>
        </w:rPr>
        <w:t>service specifications</w:t>
      </w:r>
      <w:r w:rsidR="00240D7E">
        <w:rPr>
          <w:rFonts w:cs="Arial"/>
          <w:bCs/>
        </w:rPr>
        <w:t xml:space="preserve"> and </w:t>
      </w:r>
      <w:r w:rsidR="00CA7F9A">
        <w:rPr>
          <w:rFonts w:cs="Arial"/>
          <w:bCs/>
        </w:rPr>
        <w:t xml:space="preserve">tier two </w:t>
      </w:r>
      <w:r w:rsidR="00240D7E">
        <w:rPr>
          <w:rFonts w:cs="Arial"/>
          <w:bCs/>
        </w:rPr>
        <w:t>Clinical Genetics Services</w:t>
      </w:r>
      <w:r>
        <w:rPr>
          <w:rFonts w:cs="Arial"/>
          <w:bCs/>
        </w:rPr>
        <w:t xml:space="preserve">. </w:t>
      </w:r>
    </w:p>
    <w:p w14:paraId="52C06DC0" w14:textId="77777777" w:rsidR="00DB05E8" w:rsidRDefault="00DB05E8" w:rsidP="00327BD6">
      <w:pPr>
        <w:rPr>
          <w:rFonts w:cs="Arial"/>
        </w:rPr>
      </w:pPr>
      <w:r>
        <w:rPr>
          <w:rFonts w:cs="Arial"/>
          <w:bCs/>
        </w:rPr>
        <w:t>The Service must comply with</w:t>
      </w:r>
      <w:r w:rsidR="00EE43CD">
        <w:rPr>
          <w:rFonts w:cs="Arial"/>
          <w:bCs/>
        </w:rPr>
        <w:t xml:space="preserve"> the </w:t>
      </w:r>
      <w:hyperlink r:id="rId11" w:history="1">
        <w:r w:rsidRPr="00C20CAA">
          <w:rPr>
            <w:rStyle w:val="Hyperlink"/>
            <w:rFonts w:cs="Arial"/>
          </w:rPr>
          <w:t>Human Assisted Reproductive Technology Act 2004</w:t>
        </w:r>
      </w:hyperlink>
      <w:r w:rsidR="00DA04FF">
        <w:rPr>
          <w:rStyle w:val="FootnoteReference"/>
          <w:rFonts w:cs="Arial"/>
          <w:color w:val="0000FF"/>
          <w:u w:val="single"/>
        </w:rPr>
        <w:footnoteReference w:id="1"/>
      </w:r>
      <w:r>
        <w:rPr>
          <w:rFonts w:cs="Arial"/>
        </w:rPr>
        <w:t xml:space="preserve"> (the HART Act)</w:t>
      </w:r>
      <w:r w:rsidR="00EE43CD">
        <w:rPr>
          <w:rFonts w:cs="Arial"/>
        </w:rPr>
        <w:t>.</w:t>
      </w:r>
    </w:p>
    <w:p w14:paraId="3B3F3C69" w14:textId="77777777" w:rsidR="00DF58C7" w:rsidRPr="00A47006" w:rsidRDefault="0074303B" w:rsidP="00327BD6">
      <w:pPr>
        <w:rPr>
          <w:rFonts w:cs="Arial"/>
        </w:rPr>
      </w:pPr>
      <w:r>
        <w:rPr>
          <w:rFonts w:cs="Arial"/>
        </w:rPr>
        <w:t>G</w:t>
      </w:r>
      <w:r w:rsidR="00DF58C7">
        <w:rPr>
          <w:rFonts w:cs="Arial"/>
        </w:rPr>
        <w:t xml:space="preserve">uidance relating to </w:t>
      </w:r>
      <w:r w:rsidR="002C413C">
        <w:rPr>
          <w:rFonts w:cs="Arial"/>
        </w:rPr>
        <w:t>f</w:t>
      </w:r>
      <w:r w:rsidR="00DF58C7">
        <w:rPr>
          <w:rFonts w:cs="Arial"/>
        </w:rPr>
        <w:t xml:space="preserve">ertility </w:t>
      </w:r>
      <w:r w:rsidR="002C413C">
        <w:rPr>
          <w:rFonts w:cs="Arial"/>
        </w:rPr>
        <w:t>p</w:t>
      </w:r>
      <w:r w:rsidR="00DF58C7">
        <w:rPr>
          <w:rFonts w:cs="Arial"/>
        </w:rPr>
        <w:t xml:space="preserve">reservation </w:t>
      </w:r>
      <w:r w:rsidR="00DF720A">
        <w:rPr>
          <w:rFonts w:cs="Arial"/>
        </w:rPr>
        <w:t xml:space="preserve">for young people </w:t>
      </w:r>
      <w:r w:rsidR="00DF58C7">
        <w:rPr>
          <w:rFonts w:cs="Arial"/>
        </w:rPr>
        <w:t xml:space="preserve">is provided in </w:t>
      </w:r>
      <w:r w:rsidR="00DF58C7" w:rsidRPr="00DF58C7">
        <w:rPr>
          <w:rFonts w:cs="Arial"/>
        </w:rPr>
        <w:t>th</w:t>
      </w:r>
      <w:r w:rsidR="00DF58C7">
        <w:rPr>
          <w:rFonts w:cs="Arial"/>
        </w:rPr>
        <w:t xml:space="preserve">e National Child Cancer </w:t>
      </w:r>
      <w:r w:rsidR="00DF58C7" w:rsidRPr="00E81FC6">
        <w:rPr>
          <w:rFonts w:cs="Arial"/>
          <w:i/>
        </w:rPr>
        <w:t xml:space="preserve">Network </w:t>
      </w:r>
      <w:r w:rsidR="00DF58C7">
        <w:rPr>
          <w:rFonts w:cs="Arial"/>
        </w:rPr>
        <w:t>document</w:t>
      </w:r>
      <w:r w:rsidR="00DA04FF">
        <w:rPr>
          <w:rFonts w:cs="Arial"/>
        </w:rPr>
        <w:t>:</w:t>
      </w:r>
      <w:r w:rsidR="00DF58C7">
        <w:rPr>
          <w:rFonts w:cs="Arial"/>
        </w:rPr>
        <w:t xml:space="preserve"> Fertility Preservation Guidelines for People with Cancer a New Zealand Guideline</w:t>
      </w:r>
      <w:r w:rsidR="00042D52">
        <w:rPr>
          <w:rStyle w:val="FootnoteReference"/>
          <w:rFonts w:cs="Arial"/>
        </w:rPr>
        <w:footnoteReference w:id="2"/>
      </w:r>
      <w:r w:rsidR="00DF58C7">
        <w:rPr>
          <w:rFonts w:cs="Arial"/>
        </w:rPr>
        <w:t>.</w:t>
      </w:r>
    </w:p>
    <w:p w14:paraId="03FD63F0" w14:textId="77777777" w:rsidR="00EE0746" w:rsidRPr="0053589A" w:rsidRDefault="00EE0746" w:rsidP="00953A97">
      <w:pPr>
        <w:pStyle w:val="Heading1"/>
      </w:pPr>
      <w:bookmarkStart w:id="40" w:name="_Toc215319135"/>
      <w:r w:rsidRPr="0053589A">
        <w:t xml:space="preserve">Service </w:t>
      </w:r>
      <w:r w:rsidRPr="00E07CF7">
        <w:t>Definition</w:t>
      </w:r>
      <w:bookmarkEnd w:id="40"/>
    </w:p>
    <w:p w14:paraId="2AEF8EDC" w14:textId="77777777" w:rsidR="0099766C" w:rsidRDefault="00EE0746" w:rsidP="0099766C">
      <w:r w:rsidRPr="00B8677A">
        <w:rPr>
          <w:rFonts w:cs="Arial"/>
        </w:rPr>
        <w:t>The Service provide</w:t>
      </w:r>
      <w:r>
        <w:rPr>
          <w:rFonts w:cs="Arial"/>
        </w:rPr>
        <w:t>s</w:t>
      </w:r>
      <w:r w:rsidR="0099766C">
        <w:t xml:space="preserve"> </w:t>
      </w:r>
      <w:r w:rsidRPr="001F6181">
        <w:t xml:space="preserve">a range of specialist Assisted Reproductive Technology (ART) assessment and treatment </w:t>
      </w:r>
      <w:r w:rsidR="00AC79D0">
        <w:t>services</w:t>
      </w:r>
      <w:r w:rsidR="0099766C">
        <w:t xml:space="preserve"> that include:</w:t>
      </w:r>
    </w:p>
    <w:p w14:paraId="434848E4" w14:textId="77777777" w:rsidR="00EE0746" w:rsidRDefault="00EE0746" w:rsidP="00B3587D">
      <w:pPr>
        <w:pStyle w:val="ListParagraph"/>
        <w:numPr>
          <w:ilvl w:val="0"/>
          <w:numId w:val="23"/>
        </w:numPr>
        <w:ind w:hanging="567"/>
      </w:pPr>
      <w:r w:rsidRPr="001F6181">
        <w:t>infertility</w:t>
      </w:r>
      <w:r w:rsidR="0099766C">
        <w:t xml:space="preserve"> treatment</w:t>
      </w:r>
      <w:r w:rsidRPr="001F6181">
        <w:t xml:space="preserve"> </w:t>
      </w:r>
      <w:r w:rsidR="0005733D">
        <w:t>arising from disease or dysfunction</w:t>
      </w:r>
    </w:p>
    <w:p w14:paraId="47212ACB" w14:textId="77777777" w:rsidR="002C36EA" w:rsidRPr="001F6181" w:rsidRDefault="002C36EA" w:rsidP="00B3587D">
      <w:pPr>
        <w:pStyle w:val="ListParagraph"/>
        <w:numPr>
          <w:ilvl w:val="0"/>
          <w:numId w:val="23"/>
        </w:numPr>
        <w:ind w:hanging="567"/>
      </w:pPr>
      <w:r>
        <w:t>pre-implantation genetic diagnosis (PGD)</w:t>
      </w:r>
    </w:p>
    <w:p w14:paraId="5E739106" w14:textId="77777777" w:rsidR="0099766C" w:rsidRDefault="00EE0746" w:rsidP="00B3587D">
      <w:pPr>
        <w:pStyle w:val="ListParagraph"/>
        <w:numPr>
          <w:ilvl w:val="0"/>
          <w:numId w:val="23"/>
        </w:numPr>
        <w:ind w:hanging="567"/>
      </w:pPr>
      <w:r w:rsidRPr="001F6181">
        <w:t>fertility preservation</w:t>
      </w:r>
      <w:r w:rsidR="00EB3DC2">
        <w:t xml:space="preserve"> before</w:t>
      </w:r>
      <w:r w:rsidR="0005733D">
        <w:t xml:space="preserve"> medical</w:t>
      </w:r>
      <w:r w:rsidR="00EB3DC2">
        <w:t xml:space="preserve"> treatment that can damage gametes or gamete production</w:t>
      </w:r>
    </w:p>
    <w:p w14:paraId="128F86DF" w14:textId="77777777" w:rsidR="00EE0746" w:rsidRDefault="006017D8" w:rsidP="00B3587D">
      <w:pPr>
        <w:pStyle w:val="ListParagraph"/>
        <w:numPr>
          <w:ilvl w:val="0"/>
          <w:numId w:val="23"/>
        </w:numPr>
        <w:ind w:hanging="567"/>
      </w:pPr>
      <w:proofErr w:type="gramStart"/>
      <w:r>
        <w:t>a</w:t>
      </w:r>
      <w:r w:rsidR="00EE0746" w:rsidRPr="001F6181">
        <w:t>dvice</w:t>
      </w:r>
      <w:proofErr w:type="gramEnd"/>
      <w:r>
        <w:t>,</w:t>
      </w:r>
      <w:r w:rsidR="00EE0746" w:rsidRPr="001F6181">
        <w:t xml:space="preserve"> information services and best practice guidelines on fertility issues to primary and specialist health services.</w:t>
      </w:r>
    </w:p>
    <w:p w14:paraId="2735DDDF" w14:textId="77777777" w:rsidR="0099766C" w:rsidRPr="00CF6499" w:rsidRDefault="002C36EA" w:rsidP="006017D8">
      <w:pPr>
        <w:spacing w:after="0"/>
      </w:pPr>
      <w:r>
        <w:t xml:space="preserve">The </w:t>
      </w:r>
      <w:r w:rsidR="0099766C" w:rsidRPr="00CF6499">
        <w:t xml:space="preserve">Service Users are people who </w:t>
      </w:r>
      <w:r w:rsidR="0099766C">
        <w:t>are eligible</w:t>
      </w:r>
      <w:r w:rsidR="0099766C">
        <w:rPr>
          <w:rStyle w:val="FootnoteReference"/>
        </w:rPr>
        <w:footnoteReference w:id="3"/>
      </w:r>
      <w:r w:rsidR="0099766C">
        <w:t xml:space="preserve"> for funded treatment and </w:t>
      </w:r>
      <w:r w:rsidR="0099766C" w:rsidRPr="00CF6499">
        <w:t xml:space="preserve">meet the </w:t>
      </w:r>
      <w:r w:rsidR="0099766C">
        <w:t>clinical access</w:t>
      </w:r>
      <w:r w:rsidR="0099766C" w:rsidRPr="00CF6499">
        <w:t xml:space="preserve"> criteria for this Service</w:t>
      </w:r>
      <w:r w:rsidR="00CD6E42">
        <w:t>.</w:t>
      </w:r>
    </w:p>
    <w:p w14:paraId="588D8B14" w14:textId="77777777" w:rsidR="00E53D32" w:rsidRPr="00CF6499" w:rsidRDefault="00E53D32" w:rsidP="00E53D32">
      <w:r w:rsidRPr="00CF6499">
        <w:t xml:space="preserve">The Service excludes </w:t>
      </w:r>
      <w:r>
        <w:t xml:space="preserve">treatment for </w:t>
      </w:r>
      <w:r w:rsidRPr="00CF6499">
        <w:t xml:space="preserve">people </w:t>
      </w:r>
      <w:r>
        <w:t>who are below the</w:t>
      </w:r>
      <w:r w:rsidRPr="00CF6499">
        <w:t xml:space="preserve"> </w:t>
      </w:r>
      <w:r w:rsidR="000F57AA">
        <w:t xml:space="preserve">treatment </w:t>
      </w:r>
      <w:r w:rsidRPr="00CF6499">
        <w:t>threshold for publicly funded ART treatment</w:t>
      </w:r>
      <w:r w:rsidR="000F57AA">
        <w:t>, or do not meet the requirements for treatment</w:t>
      </w:r>
      <w:r w:rsidRPr="00CF6499">
        <w:t>.</w:t>
      </w:r>
    </w:p>
    <w:p w14:paraId="491D5AA7" w14:textId="77777777" w:rsidR="00EE0746" w:rsidRPr="009344DA" w:rsidRDefault="00EE0746" w:rsidP="00953A97">
      <w:pPr>
        <w:pStyle w:val="Heading1"/>
      </w:pPr>
      <w:bookmarkStart w:id="41" w:name="_Toc215319136"/>
      <w:r w:rsidRPr="00781FD3">
        <w:t>Service</w:t>
      </w:r>
      <w:r w:rsidRPr="009344DA">
        <w:t xml:space="preserve"> </w:t>
      </w:r>
      <w:r w:rsidRPr="00E1067F">
        <w:t>Objectives</w:t>
      </w:r>
      <w:bookmarkEnd w:id="41"/>
    </w:p>
    <w:p w14:paraId="062B9116" w14:textId="77777777" w:rsidR="00A47006" w:rsidRDefault="00EE0746" w:rsidP="006017D8">
      <w:pPr>
        <w:spacing w:after="0"/>
        <w:rPr>
          <w:rFonts w:cs="Arial"/>
        </w:rPr>
      </w:pPr>
      <w:r w:rsidRPr="00DD1723">
        <w:rPr>
          <w:rFonts w:cs="Arial"/>
        </w:rPr>
        <w:t xml:space="preserve">The Service </w:t>
      </w:r>
      <w:r w:rsidR="00A47006">
        <w:rPr>
          <w:rFonts w:cs="Arial"/>
        </w:rPr>
        <w:t>will:</w:t>
      </w:r>
    </w:p>
    <w:p w14:paraId="5069B95B" w14:textId="77777777" w:rsidR="0099766C" w:rsidRPr="00F77A2C" w:rsidRDefault="00EE0746" w:rsidP="00B3587D">
      <w:pPr>
        <w:pStyle w:val="ListParagraph"/>
        <w:numPr>
          <w:ilvl w:val="0"/>
          <w:numId w:val="22"/>
        </w:numPr>
        <w:rPr>
          <w:rFonts w:cs="Arial"/>
        </w:rPr>
      </w:pPr>
      <w:r w:rsidRPr="00F77A2C">
        <w:rPr>
          <w:rFonts w:cs="Arial"/>
        </w:rPr>
        <w:t xml:space="preserve">provide the most appropriate treatment </w:t>
      </w:r>
      <w:r w:rsidR="00F77A2C">
        <w:rPr>
          <w:rFonts w:cs="Arial"/>
        </w:rPr>
        <w:t>within clinically appropriate timeframes</w:t>
      </w:r>
    </w:p>
    <w:p w14:paraId="02F8B307" w14:textId="77777777" w:rsidR="00F77A2C" w:rsidRDefault="005574F0" w:rsidP="00B3587D">
      <w:pPr>
        <w:pStyle w:val="ListParagraph"/>
        <w:numPr>
          <w:ilvl w:val="0"/>
          <w:numId w:val="22"/>
        </w:numPr>
        <w:spacing w:before="0"/>
        <w:rPr>
          <w:rFonts w:cs="Arial"/>
        </w:rPr>
      </w:pPr>
      <w:proofErr w:type="gramStart"/>
      <w:r w:rsidRPr="00DB05E8">
        <w:rPr>
          <w:rFonts w:cs="Arial"/>
        </w:rPr>
        <w:t>maximise</w:t>
      </w:r>
      <w:proofErr w:type="gramEnd"/>
      <w:r w:rsidRPr="00DB05E8">
        <w:rPr>
          <w:rFonts w:cs="Arial"/>
        </w:rPr>
        <w:t xml:space="preserve"> the chance</w:t>
      </w:r>
      <w:r w:rsidR="00F77A2C">
        <w:rPr>
          <w:rFonts w:cs="Arial"/>
        </w:rPr>
        <w:t>s</w:t>
      </w:r>
      <w:r w:rsidRPr="00DB05E8">
        <w:rPr>
          <w:rFonts w:cs="Arial"/>
        </w:rPr>
        <w:t xml:space="preserve"> of </w:t>
      </w:r>
      <w:r w:rsidR="0099766C">
        <w:rPr>
          <w:rFonts w:cs="Arial"/>
        </w:rPr>
        <w:t xml:space="preserve">a </w:t>
      </w:r>
      <w:r w:rsidR="00144CC2">
        <w:rPr>
          <w:rFonts w:cs="Arial"/>
        </w:rPr>
        <w:t>healthy baby</w:t>
      </w:r>
      <w:r w:rsidRPr="00DB05E8">
        <w:rPr>
          <w:rFonts w:cs="Arial"/>
        </w:rPr>
        <w:t xml:space="preserve"> while </w:t>
      </w:r>
      <w:r w:rsidR="00BB3C8A">
        <w:rPr>
          <w:rFonts w:cs="Arial"/>
        </w:rPr>
        <w:t>limiting</w:t>
      </w:r>
      <w:r w:rsidR="001B32EA" w:rsidRPr="00DB05E8">
        <w:rPr>
          <w:rFonts w:cs="Arial"/>
        </w:rPr>
        <w:t xml:space="preserve"> </w:t>
      </w:r>
      <w:r w:rsidRPr="00DB05E8">
        <w:rPr>
          <w:rFonts w:cs="Arial"/>
        </w:rPr>
        <w:t>the incidence of untoward consequences</w:t>
      </w:r>
      <w:r w:rsidR="00361F01">
        <w:rPr>
          <w:rFonts w:cs="Arial"/>
        </w:rPr>
        <w:t>.</w:t>
      </w:r>
      <w:r w:rsidRPr="005574F0">
        <w:rPr>
          <w:rFonts w:cs="Arial"/>
        </w:rPr>
        <w:t xml:space="preserve"> </w:t>
      </w:r>
    </w:p>
    <w:p w14:paraId="19F8B44A" w14:textId="77777777" w:rsidR="005574F0" w:rsidRDefault="005574F0" w:rsidP="00B3587D">
      <w:pPr>
        <w:pStyle w:val="ListParagraph"/>
        <w:numPr>
          <w:ilvl w:val="0"/>
          <w:numId w:val="22"/>
        </w:numPr>
        <w:spacing w:before="0"/>
        <w:rPr>
          <w:rFonts w:cs="Arial"/>
        </w:rPr>
      </w:pPr>
      <w:proofErr w:type="gramStart"/>
      <w:r w:rsidRPr="00A47006">
        <w:rPr>
          <w:rFonts w:cs="Arial"/>
        </w:rPr>
        <w:t>minimise</w:t>
      </w:r>
      <w:proofErr w:type="gramEnd"/>
      <w:r w:rsidRPr="00A47006">
        <w:rPr>
          <w:rFonts w:cs="Arial"/>
        </w:rPr>
        <w:t xml:space="preserve"> complications of treatment</w:t>
      </w:r>
      <w:r w:rsidR="00144CC2">
        <w:rPr>
          <w:rFonts w:cs="Arial"/>
        </w:rPr>
        <w:t>,</w:t>
      </w:r>
      <w:r w:rsidR="00F77A2C">
        <w:rPr>
          <w:rFonts w:cs="Arial"/>
        </w:rPr>
        <w:t xml:space="preserve"> </w:t>
      </w:r>
      <w:r>
        <w:rPr>
          <w:rFonts w:cs="Arial"/>
        </w:rPr>
        <w:t>pregnancy</w:t>
      </w:r>
      <w:r w:rsidRPr="00A47006">
        <w:rPr>
          <w:rFonts w:cs="Arial"/>
        </w:rPr>
        <w:t>, including hyper stimulation syndrome, infections, multiple pregnancy</w:t>
      </w:r>
      <w:r w:rsidR="002D39D3">
        <w:rPr>
          <w:rFonts w:cs="Arial"/>
        </w:rPr>
        <w:t>,</w:t>
      </w:r>
      <w:r w:rsidRPr="00A47006">
        <w:rPr>
          <w:rFonts w:cs="Arial"/>
        </w:rPr>
        <w:t xml:space="preserve"> and babies needing neonatal intensive care.  </w:t>
      </w:r>
    </w:p>
    <w:p w14:paraId="75293CD2" w14:textId="77777777" w:rsidR="00EE0746" w:rsidRPr="005574F0" w:rsidRDefault="00A47006" w:rsidP="00B3587D">
      <w:pPr>
        <w:pStyle w:val="ListParagraph"/>
        <w:numPr>
          <w:ilvl w:val="0"/>
          <w:numId w:val="22"/>
        </w:numPr>
        <w:spacing w:before="240"/>
        <w:rPr>
          <w:rFonts w:cs="Arial"/>
        </w:rPr>
      </w:pPr>
      <w:proofErr w:type="gramStart"/>
      <w:r w:rsidRPr="005574F0">
        <w:rPr>
          <w:rFonts w:cs="Arial"/>
        </w:rPr>
        <w:lastRenderedPageBreak/>
        <w:t>ensure</w:t>
      </w:r>
      <w:proofErr w:type="gramEnd"/>
      <w:r w:rsidRPr="005574F0">
        <w:rPr>
          <w:rFonts w:cs="Arial"/>
        </w:rPr>
        <w:t xml:space="preserve"> that </w:t>
      </w:r>
      <w:r w:rsidR="00EE0746" w:rsidRPr="005574F0">
        <w:rPr>
          <w:rFonts w:cs="Arial"/>
        </w:rPr>
        <w:t xml:space="preserve">Service Users </w:t>
      </w:r>
      <w:r w:rsidRPr="005574F0">
        <w:rPr>
          <w:rFonts w:cs="Arial"/>
        </w:rPr>
        <w:t xml:space="preserve">will </w:t>
      </w:r>
      <w:r w:rsidR="00EE0746" w:rsidRPr="005574F0">
        <w:rPr>
          <w:rFonts w:cs="Arial"/>
        </w:rPr>
        <w:t xml:space="preserve">receive safe and reasonable Services in a manner that is respectful of their rights, minimises harm, acknowledges their cultural and individual values and beliefs, and are in accord with the Principles of the </w:t>
      </w:r>
      <w:r w:rsidR="00DB05E8" w:rsidRPr="005574F0">
        <w:rPr>
          <w:rFonts w:cs="Arial"/>
        </w:rPr>
        <w:t>HART Act</w:t>
      </w:r>
      <w:r w:rsidR="00F77A2C">
        <w:rPr>
          <w:rFonts w:cs="Arial"/>
        </w:rPr>
        <w:t>.</w:t>
      </w:r>
    </w:p>
    <w:p w14:paraId="4A0F2F23" w14:textId="77777777" w:rsidR="00EE0746" w:rsidRPr="00281683" w:rsidRDefault="00EE0746" w:rsidP="00953A97">
      <w:pPr>
        <w:pStyle w:val="Heading1"/>
      </w:pPr>
      <w:bookmarkStart w:id="42" w:name="_Toc215319141"/>
      <w:r w:rsidRPr="00E1067F">
        <w:t>Access</w:t>
      </w:r>
      <w:bookmarkEnd w:id="42"/>
      <w:r w:rsidR="00326B52">
        <w:t xml:space="preserve"> </w:t>
      </w:r>
      <w:r w:rsidR="00326B52" w:rsidRPr="00860E50">
        <w:t>and</w:t>
      </w:r>
      <w:r w:rsidR="00326B52">
        <w:t xml:space="preserve"> Exit </w:t>
      </w:r>
      <w:r w:rsidR="00E1067F">
        <w:t>C</w:t>
      </w:r>
      <w:r w:rsidR="00326B52">
        <w:t>riteria</w:t>
      </w:r>
    </w:p>
    <w:p w14:paraId="43902C74" w14:textId="77777777" w:rsidR="00EE0746" w:rsidRPr="00B648B8" w:rsidRDefault="00E1067F" w:rsidP="001301F9">
      <w:pPr>
        <w:pStyle w:val="Heading2"/>
        <w:numPr>
          <w:ilvl w:val="0"/>
          <w:numId w:val="0"/>
        </w:numPr>
        <w:ind w:left="720"/>
      </w:pPr>
      <w:r w:rsidRPr="00B648B8">
        <w:t>3.1</w:t>
      </w:r>
      <w:r w:rsidR="001C66F3" w:rsidRPr="00B648B8">
        <w:tab/>
      </w:r>
      <w:r w:rsidR="004D085E" w:rsidRPr="00B648B8">
        <w:t>Clinical access criteria</w:t>
      </w:r>
    </w:p>
    <w:p w14:paraId="0D0636B6" w14:textId="77777777" w:rsidR="0047323C" w:rsidRDefault="003B1E6F" w:rsidP="00781FD3">
      <w:r>
        <w:t xml:space="preserve">The </w:t>
      </w:r>
      <w:r w:rsidR="001B32EA">
        <w:t xml:space="preserve">clinical </w:t>
      </w:r>
      <w:r>
        <w:t>a</w:t>
      </w:r>
      <w:r w:rsidR="005574F0" w:rsidRPr="00781FD3">
        <w:t xml:space="preserve">ccess </w:t>
      </w:r>
      <w:r w:rsidR="000B4F4A">
        <w:t>criteria</w:t>
      </w:r>
      <w:r>
        <w:t xml:space="preserve"> </w:t>
      </w:r>
      <w:r w:rsidR="00EF79F3">
        <w:t xml:space="preserve">to the Service </w:t>
      </w:r>
      <w:r>
        <w:t>are</w:t>
      </w:r>
      <w:r w:rsidR="00A323A9">
        <w:t>:</w:t>
      </w:r>
    </w:p>
    <w:p w14:paraId="426D8C0E" w14:textId="77777777" w:rsidR="00CD6E42" w:rsidRPr="00CF6499" w:rsidRDefault="00CD6E42" w:rsidP="00B3587D">
      <w:pPr>
        <w:pStyle w:val="ListParagraph"/>
        <w:numPr>
          <w:ilvl w:val="0"/>
          <w:numId w:val="12"/>
        </w:numPr>
        <w:ind w:left="567" w:hanging="567"/>
      </w:pPr>
      <w:r>
        <w:t>inability</w:t>
      </w:r>
      <w:r w:rsidRPr="00CF6499">
        <w:t xml:space="preserve"> to achieve pregnancy after at least one year of unprotected intercourse</w:t>
      </w:r>
      <w:r>
        <w:t>,</w:t>
      </w:r>
      <w:r w:rsidRPr="00CF6499">
        <w:t xml:space="preserve"> </w:t>
      </w:r>
      <w:r w:rsidR="008F6740">
        <w:t xml:space="preserve">or </w:t>
      </w:r>
      <w:r w:rsidR="00EF79F3">
        <w:t xml:space="preserve">completing </w:t>
      </w:r>
      <w:r w:rsidR="008F6740">
        <w:t xml:space="preserve">12 cycles of sperm donor insemination to </w:t>
      </w:r>
      <w:r w:rsidR="008F6740" w:rsidRPr="00CF6499">
        <w:t>attemp</w:t>
      </w:r>
      <w:r w:rsidR="008F6740">
        <w:t>t</w:t>
      </w:r>
      <w:r w:rsidR="008F6740" w:rsidRPr="00CF6499">
        <w:t xml:space="preserve"> pregnancy</w:t>
      </w:r>
      <w:r w:rsidRPr="00CF6499">
        <w:t xml:space="preserve">, or </w:t>
      </w:r>
    </w:p>
    <w:p w14:paraId="7FA2C7CE" w14:textId="77777777" w:rsidR="00CD6E42" w:rsidRPr="00CF6499" w:rsidRDefault="00BB3C8A" w:rsidP="00B3587D">
      <w:pPr>
        <w:pStyle w:val="ListParagraph"/>
        <w:numPr>
          <w:ilvl w:val="0"/>
          <w:numId w:val="12"/>
        </w:numPr>
        <w:ind w:left="567" w:hanging="567"/>
      </w:pPr>
      <w:r>
        <w:t xml:space="preserve">a known cause of infertility </w:t>
      </w:r>
      <w:r w:rsidR="00CD6E42">
        <w:rPr>
          <w:rStyle w:val="FootnoteReference"/>
        </w:rPr>
        <w:footnoteReference w:id="4"/>
      </w:r>
      <w:r w:rsidR="00CD6E42">
        <w:t xml:space="preserve"> </w:t>
      </w:r>
      <w:r w:rsidR="00CD6E42" w:rsidRPr="00CF6499">
        <w:t xml:space="preserve">that prevent </w:t>
      </w:r>
      <w:r>
        <w:t>people</w:t>
      </w:r>
      <w:r w:rsidRPr="00CF6499">
        <w:t xml:space="preserve"> </w:t>
      </w:r>
      <w:r w:rsidR="00CD6E42" w:rsidRPr="00CF6499">
        <w:t xml:space="preserve">from </w:t>
      </w:r>
      <w:r>
        <w:t xml:space="preserve">achieving or </w:t>
      </w:r>
      <w:r w:rsidR="00CD6E42" w:rsidRPr="00CF6499">
        <w:t>attempting pregna</w:t>
      </w:r>
      <w:r w:rsidR="00CD6E42">
        <w:t>ncy, or</w:t>
      </w:r>
    </w:p>
    <w:p w14:paraId="22D8180F" w14:textId="77777777" w:rsidR="00CD6E42" w:rsidRPr="00CF6499" w:rsidRDefault="00CD6E42" w:rsidP="00B3587D">
      <w:pPr>
        <w:pStyle w:val="ListParagraph"/>
        <w:numPr>
          <w:ilvl w:val="0"/>
          <w:numId w:val="12"/>
        </w:numPr>
        <w:ind w:left="567" w:hanging="567"/>
      </w:pPr>
      <w:r w:rsidRPr="00CF6499">
        <w:t>inab</w:t>
      </w:r>
      <w:r>
        <w:t>ility</w:t>
      </w:r>
      <w:r w:rsidRPr="00CF6499">
        <w:t xml:space="preserve"> to carry a pregnancy to term, or</w:t>
      </w:r>
    </w:p>
    <w:p w14:paraId="571FB26B" w14:textId="77777777" w:rsidR="00CD6E42" w:rsidRPr="00CF6499" w:rsidRDefault="00CD6E42" w:rsidP="00B3587D">
      <w:pPr>
        <w:pStyle w:val="ListParagraph"/>
        <w:numPr>
          <w:ilvl w:val="0"/>
          <w:numId w:val="12"/>
        </w:numPr>
        <w:ind w:left="567" w:hanging="567"/>
      </w:pPr>
      <w:r>
        <w:t xml:space="preserve">being </w:t>
      </w:r>
      <w:r w:rsidRPr="00CF6499">
        <w:t xml:space="preserve">at risk of passing to their children a familial single gene disorder, a familial sex-linked disorder, or familial chromosomal disorder, or </w:t>
      </w:r>
    </w:p>
    <w:p w14:paraId="760C8AD5" w14:textId="77777777" w:rsidR="00CD6E42" w:rsidRDefault="00CD6E42" w:rsidP="00B3587D">
      <w:pPr>
        <w:pStyle w:val="ListParagraph"/>
        <w:numPr>
          <w:ilvl w:val="0"/>
          <w:numId w:val="12"/>
        </w:numPr>
        <w:ind w:left="567" w:hanging="567"/>
      </w:pPr>
      <w:proofErr w:type="gramStart"/>
      <w:r w:rsidRPr="000B3D2E">
        <w:t>post-pubertal</w:t>
      </w:r>
      <w:proofErr w:type="gramEnd"/>
      <w:r w:rsidRPr="000B3D2E">
        <w:t xml:space="preserve"> people who are undergoing gender transition</w:t>
      </w:r>
      <w:r>
        <w:t>,</w:t>
      </w:r>
      <w:r w:rsidRPr="000B3D2E">
        <w:t xml:space="preserve"> </w:t>
      </w:r>
      <w:r w:rsidR="00ED6643">
        <w:t>and</w:t>
      </w:r>
      <w:r w:rsidRPr="000B3D2E">
        <w:t xml:space="preserve"> post-pubertal people </w:t>
      </w:r>
      <w:r w:rsidR="00F66CB1">
        <w:t xml:space="preserve">about </w:t>
      </w:r>
      <w:r w:rsidR="00F66CB1" w:rsidRPr="00CF6499">
        <w:t>to undergo</w:t>
      </w:r>
      <w:r w:rsidR="00F66CB1">
        <w:t xml:space="preserve"> publicly funded</w:t>
      </w:r>
      <w:r w:rsidR="00F66CB1" w:rsidRPr="00CF6499">
        <w:t xml:space="preserve"> </w:t>
      </w:r>
      <w:r w:rsidR="00ED6643">
        <w:t xml:space="preserve">standard medical </w:t>
      </w:r>
      <w:r w:rsidR="00ED6643" w:rsidRPr="000B3D2E">
        <w:t>treatment</w:t>
      </w:r>
      <w:r w:rsidR="00ED6643" w:rsidRPr="00CF6499" w:rsidDel="00ED6643">
        <w:t xml:space="preserve"> </w:t>
      </w:r>
      <w:r w:rsidR="00F66CB1">
        <w:t>that</w:t>
      </w:r>
      <w:r w:rsidRPr="000B3D2E">
        <w:t xml:space="preserve"> may permanently impair </w:t>
      </w:r>
      <w:r w:rsidR="00ED6643">
        <w:t>their fertility,</w:t>
      </w:r>
      <w:r w:rsidR="00ED6643" w:rsidRPr="00ED6643">
        <w:t xml:space="preserve"> </w:t>
      </w:r>
      <w:r w:rsidR="00ED6643">
        <w:t>and</w:t>
      </w:r>
      <w:r w:rsidR="00ED6643" w:rsidRPr="00CF6499">
        <w:t xml:space="preserve"> </w:t>
      </w:r>
      <w:r w:rsidR="00ED6643" w:rsidRPr="00647F12">
        <w:t xml:space="preserve">who are likely to survive that treatment and </w:t>
      </w:r>
      <w:r w:rsidR="00ED6643">
        <w:t>do not already have</w:t>
      </w:r>
      <w:r w:rsidR="00ED6643" w:rsidRPr="00647F12">
        <w:t xml:space="preserve"> </w:t>
      </w:r>
      <w:r w:rsidR="00ED6643">
        <w:t xml:space="preserve">a </w:t>
      </w:r>
      <w:r w:rsidR="00ED6643" w:rsidRPr="00647F12">
        <w:t>child</w:t>
      </w:r>
      <w:r>
        <w:t>.</w:t>
      </w:r>
      <w:r w:rsidRPr="000B3D2E">
        <w:t xml:space="preserve"> </w:t>
      </w:r>
    </w:p>
    <w:p w14:paraId="5A371705" w14:textId="77777777" w:rsidR="00CD6E42" w:rsidRDefault="00D67547" w:rsidP="001301F9">
      <w:pPr>
        <w:pStyle w:val="Heading2"/>
        <w:numPr>
          <w:ilvl w:val="0"/>
          <w:numId w:val="0"/>
        </w:numPr>
        <w:ind w:left="720"/>
      </w:pPr>
      <w:r>
        <w:t>3.2</w:t>
      </w:r>
      <w:r>
        <w:tab/>
      </w:r>
      <w:r w:rsidR="00300679">
        <w:t>F</w:t>
      </w:r>
      <w:r w:rsidR="00CD6E42">
        <w:t xml:space="preserve">ertility </w:t>
      </w:r>
      <w:r w:rsidR="00223E34">
        <w:t>treat</w:t>
      </w:r>
      <w:r w:rsidR="00CD6E42">
        <w:t>ment</w:t>
      </w:r>
      <w:r w:rsidR="004D085E">
        <w:t xml:space="preserve"> </w:t>
      </w:r>
      <w:r w:rsidR="00223E34">
        <w:t>c</w:t>
      </w:r>
      <w:r w:rsidR="004D085E">
        <w:t>riteria</w:t>
      </w:r>
      <w:r w:rsidR="00300679">
        <w:t xml:space="preserve"> </w:t>
      </w:r>
      <w:r w:rsidR="00223E34">
        <w:t>and timeframes</w:t>
      </w:r>
    </w:p>
    <w:p w14:paraId="0E7B0E95" w14:textId="77777777" w:rsidR="001B32EA" w:rsidRDefault="001B32EA" w:rsidP="001B32EA">
      <w:pPr>
        <w:rPr>
          <w:rFonts w:cs="Arial"/>
        </w:rPr>
      </w:pPr>
      <w:r w:rsidRPr="002439BC">
        <w:rPr>
          <w:rFonts w:cs="Arial"/>
        </w:rPr>
        <w:t>In all cases</w:t>
      </w:r>
      <w:r>
        <w:rPr>
          <w:rFonts w:cs="Arial"/>
        </w:rPr>
        <w:t>, the</w:t>
      </w:r>
      <w:r w:rsidRPr="002439BC">
        <w:rPr>
          <w:rFonts w:cs="Arial"/>
        </w:rPr>
        <w:t xml:space="preserve"> relevant </w:t>
      </w:r>
      <w:r>
        <w:rPr>
          <w:rFonts w:cs="Arial"/>
        </w:rPr>
        <w:t>guidelines and the current priority treatment</w:t>
      </w:r>
      <w:r w:rsidRPr="002439BC">
        <w:rPr>
          <w:rFonts w:cs="Arial"/>
        </w:rPr>
        <w:t xml:space="preserve"> criteria</w:t>
      </w:r>
      <w:r w:rsidRPr="00BA2B00">
        <w:rPr>
          <w:rFonts w:cs="Arial"/>
        </w:rPr>
        <w:t xml:space="preserve"> </w:t>
      </w:r>
      <w:r w:rsidRPr="002439BC">
        <w:rPr>
          <w:rFonts w:cs="Arial"/>
        </w:rPr>
        <w:t>will apply</w:t>
      </w:r>
      <w:r>
        <w:rPr>
          <w:rFonts w:cs="Arial"/>
        </w:rPr>
        <w:t>:</w:t>
      </w:r>
    </w:p>
    <w:p w14:paraId="21EB35F5" w14:textId="77777777" w:rsidR="001B32EA" w:rsidRDefault="001B32EA" w:rsidP="00B3587D">
      <w:pPr>
        <w:pStyle w:val="ListParagraph"/>
        <w:numPr>
          <w:ilvl w:val="0"/>
          <w:numId w:val="13"/>
        </w:numPr>
        <w:ind w:left="567" w:hanging="567"/>
      </w:pPr>
      <w:r w:rsidRPr="00220DCD">
        <w:rPr>
          <w:rFonts w:cs="Arial"/>
        </w:rPr>
        <w:t xml:space="preserve">ART: </w:t>
      </w:r>
      <w:r w:rsidR="00223E34">
        <w:rPr>
          <w:rFonts w:cs="Arial"/>
        </w:rPr>
        <w:t xml:space="preserve">use of the infertility </w:t>
      </w:r>
      <w:r w:rsidRPr="00220DCD">
        <w:rPr>
          <w:rFonts w:cs="Arial"/>
        </w:rPr>
        <w:t>treatment priority</w:t>
      </w:r>
      <w:r w:rsidR="00220DCD" w:rsidRPr="00220DCD">
        <w:rPr>
          <w:rFonts w:cs="Arial"/>
        </w:rPr>
        <w:t xml:space="preserve"> tool</w:t>
      </w:r>
      <w:r w:rsidR="008C2524">
        <w:rPr>
          <w:rStyle w:val="FootnoteReference"/>
          <w:rFonts w:cs="Arial"/>
        </w:rPr>
        <w:footnoteReference w:id="5"/>
      </w:r>
      <w:r w:rsidR="008C2524">
        <w:rPr>
          <w:rFonts w:cs="Arial"/>
        </w:rPr>
        <w:t xml:space="preserve"> </w:t>
      </w:r>
      <w:r w:rsidRPr="00220DCD">
        <w:rPr>
          <w:rFonts w:cs="Arial"/>
        </w:rPr>
        <w:t xml:space="preserve">and </w:t>
      </w:r>
      <w:r w:rsidR="00223E34">
        <w:rPr>
          <w:rFonts w:cs="Arial"/>
        </w:rPr>
        <w:t>treatment</w:t>
      </w:r>
      <w:r w:rsidR="00223E34" w:rsidRPr="00220DCD">
        <w:rPr>
          <w:rFonts w:cs="Arial"/>
        </w:rPr>
        <w:t xml:space="preserve"> </w:t>
      </w:r>
      <w:r w:rsidRPr="00220DCD">
        <w:rPr>
          <w:rFonts w:cs="Arial"/>
        </w:rPr>
        <w:t xml:space="preserve">threshold </w:t>
      </w:r>
    </w:p>
    <w:p w14:paraId="5781CAF3" w14:textId="77777777" w:rsidR="001B32EA" w:rsidRPr="008F6740" w:rsidRDefault="001B32EA" w:rsidP="00B3587D">
      <w:pPr>
        <w:pStyle w:val="ListParagraph"/>
        <w:numPr>
          <w:ilvl w:val="0"/>
          <w:numId w:val="13"/>
        </w:numPr>
        <w:ind w:left="567" w:hanging="567"/>
        <w:rPr>
          <w:rFonts w:cs="Arial"/>
        </w:rPr>
      </w:pPr>
      <w:r>
        <w:t>Pre-implantation Genetic Diagnosis (PGD)</w:t>
      </w:r>
      <w:r>
        <w:rPr>
          <w:rStyle w:val="FootnoteReference"/>
        </w:rPr>
        <w:footnoteReference w:id="6"/>
      </w:r>
      <w:r>
        <w:t>: prioritisation criteria</w:t>
      </w:r>
      <w:r>
        <w:rPr>
          <w:rStyle w:val="FootnoteReference"/>
        </w:rPr>
        <w:footnoteReference w:id="7"/>
      </w:r>
      <w:r w:rsidR="00223E34">
        <w:t>.</w:t>
      </w:r>
      <w:r>
        <w:t xml:space="preserve"> </w:t>
      </w:r>
    </w:p>
    <w:p w14:paraId="2953A90A" w14:textId="77777777" w:rsidR="0039415B" w:rsidRPr="00E74870" w:rsidRDefault="008F6740" w:rsidP="0039415B">
      <w:r>
        <w:t>E</w:t>
      </w:r>
      <w:r w:rsidRPr="00781FD3">
        <w:t xml:space="preserve">ach </w:t>
      </w:r>
      <w:r w:rsidR="00826D86">
        <w:t xml:space="preserve">partner of a </w:t>
      </w:r>
      <w:r w:rsidRPr="00781FD3">
        <w:t xml:space="preserve">couple is treated </w:t>
      </w:r>
      <w:r>
        <w:t xml:space="preserve">together </w:t>
      </w:r>
      <w:r w:rsidRPr="00781FD3">
        <w:t xml:space="preserve">as ‘a unit’ for </w:t>
      </w:r>
      <w:r>
        <w:t>in</w:t>
      </w:r>
      <w:r w:rsidRPr="00781FD3">
        <w:t xml:space="preserve">fertility treatment. </w:t>
      </w:r>
      <w:r w:rsidR="003C53FE">
        <w:t xml:space="preserve"> </w:t>
      </w:r>
      <w:r w:rsidRPr="00781FD3">
        <w:t>A new relationship requires a reassessment of their eligibility and access</w:t>
      </w:r>
      <w:r>
        <w:t xml:space="preserve"> to the Service.</w:t>
      </w:r>
      <w:r w:rsidR="0039415B">
        <w:t xml:space="preserve"> </w:t>
      </w:r>
      <w:r w:rsidR="0039415B" w:rsidRPr="0039415B">
        <w:t xml:space="preserve"> </w:t>
      </w:r>
      <w:r w:rsidR="0039415B" w:rsidRPr="00E74870">
        <w:t xml:space="preserve">A reassessment of Service Users eligibility and access to treatment is needed if their circumstances have changed while </w:t>
      </w:r>
      <w:r w:rsidR="0039415B">
        <w:t xml:space="preserve">they are </w:t>
      </w:r>
      <w:r w:rsidR="0039415B" w:rsidRPr="00E74870">
        <w:t>waiting for treatment, or within a package of treatment: ie they are in a new relationship, or they ha</w:t>
      </w:r>
      <w:r w:rsidR="0039415B">
        <w:t>d</w:t>
      </w:r>
      <w:r w:rsidR="0039415B" w:rsidRPr="00E74870">
        <w:t xml:space="preserve"> a live baby since they were last scored</w:t>
      </w:r>
      <w:r w:rsidR="003C53FE">
        <w:t xml:space="preserve"> using the</w:t>
      </w:r>
      <w:r w:rsidR="003C53FE" w:rsidRPr="003C53FE">
        <w:t xml:space="preserve"> </w:t>
      </w:r>
      <w:r w:rsidR="003C53FE">
        <w:t>prioritisation tool.</w:t>
      </w:r>
    </w:p>
    <w:p w14:paraId="0988B988" w14:textId="77777777" w:rsidR="008F6740" w:rsidRDefault="008F6740" w:rsidP="0039415B">
      <w:pPr>
        <w:spacing w:before="0"/>
      </w:pPr>
      <w:r w:rsidRPr="008F6740">
        <w:rPr>
          <w:i/>
        </w:rPr>
        <w:t>Treatment timeframes:</w:t>
      </w:r>
      <w:r>
        <w:t xml:space="preserve"> F</w:t>
      </w:r>
      <w:r w:rsidRPr="000F57AA">
        <w:t xml:space="preserve">ertility treatment should normally be commenced within 12 months of it being offered by the Service. </w:t>
      </w:r>
      <w:r w:rsidR="003C53FE">
        <w:t xml:space="preserve"> </w:t>
      </w:r>
      <w:r w:rsidRPr="000F57AA">
        <w:t>Treatment will usually be completed within 18 months of starting the first infertility treatment package.</w:t>
      </w:r>
    </w:p>
    <w:p w14:paraId="5D42422A" w14:textId="77777777" w:rsidR="00220DCD" w:rsidRPr="00220DCD" w:rsidRDefault="00220DCD" w:rsidP="001301F9">
      <w:pPr>
        <w:pStyle w:val="Heading2"/>
        <w:numPr>
          <w:ilvl w:val="0"/>
          <w:numId w:val="0"/>
        </w:numPr>
        <w:ind w:left="720"/>
      </w:pPr>
      <w:r w:rsidRPr="00220DCD">
        <w:t>3.</w:t>
      </w:r>
      <w:r>
        <w:t>3</w:t>
      </w:r>
      <w:r w:rsidRPr="00220DCD">
        <w:tab/>
        <w:t>Fertility Preservation</w:t>
      </w:r>
    </w:p>
    <w:p w14:paraId="51F12218" w14:textId="77777777" w:rsidR="004D085E" w:rsidRPr="00220DCD" w:rsidRDefault="004D085E" w:rsidP="004D085E">
      <w:pPr>
        <w:rPr>
          <w:rFonts w:cs="Arial"/>
        </w:rPr>
      </w:pPr>
      <w:r w:rsidRPr="00220DCD">
        <w:rPr>
          <w:rFonts w:cs="Arial"/>
        </w:rPr>
        <w:t xml:space="preserve">The referral for fertility preservation is to be made by an appropriate specialist. </w:t>
      </w:r>
    </w:p>
    <w:p w14:paraId="2AB5CE95" w14:textId="77777777" w:rsidR="00220DCD" w:rsidRPr="00220DCD" w:rsidRDefault="00220DCD" w:rsidP="00220DCD">
      <w:pPr>
        <w:spacing w:before="0"/>
      </w:pPr>
      <w:r w:rsidRPr="00220DCD">
        <w:rPr>
          <w:rFonts w:cs="Arial"/>
        </w:rPr>
        <w:t>Referred i</w:t>
      </w:r>
      <w:r w:rsidRPr="003D5CC4">
        <w:t>ndividuals</w:t>
      </w:r>
      <w:r w:rsidRPr="00220DCD">
        <w:rPr>
          <w:rFonts w:cs="Arial"/>
        </w:rPr>
        <w:t xml:space="preserve"> must be offered </w:t>
      </w:r>
      <w:r>
        <w:rPr>
          <w:rFonts w:cs="Arial"/>
        </w:rPr>
        <w:t xml:space="preserve">appropriate </w:t>
      </w:r>
      <w:r w:rsidRPr="003D5CC4">
        <w:t xml:space="preserve">fertility preservation </w:t>
      </w:r>
      <w:r>
        <w:t>services</w:t>
      </w:r>
      <w:r w:rsidRPr="00220DCD">
        <w:rPr>
          <w:rFonts w:cs="Arial"/>
        </w:rPr>
        <w:t xml:space="preserve">, prior to the publicly funded </w:t>
      </w:r>
      <w:r w:rsidRPr="00DF22B3">
        <w:t>oncology treatment, or similar</w:t>
      </w:r>
      <w:r>
        <w:t>.</w:t>
      </w:r>
      <w:r w:rsidRPr="00AB4805">
        <w:t xml:space="preserve"> </w:t>
      </w:r>
      <w:r w:rsidR="003C53FE">
        <w:t xml:space="preserve"> </w:t>
      </w:r>
      <w:r>
        <w:t xml:space="preserve">Fertility preservation services are provided, </w:t>
      </w:r>
      <w:r>
        <w:lastRenderedPageBreak/>
        <w:t>as clinically assessed, by the fertility specialist and referring Doctor and agreed with the Service User.</w:t>
      </w:r>
      <w:r w:rsidRPr="00220DCD">
        <w:rPr>
          <w:rFonts w:cs="Arial"/>
          <w:color w:val="000000"/>
        </w:rPr>
        <w:t xml:space="preserve"> </w:t>
      </w:r>
    </w:p>
    <w:p w14:paraId="1BC2F822" w14:textId="6B11B66B" w:rsidR="00220DCD" w:rsidRDefault="008F6740" w:rsidP="00220DCD">
      <w:pPr>
        <w:spacing w:before="0"/>
      </w:pPr>
      <w:r w:rsidRPr="008F6740">
        <w:rPr>
          <w:i/>
        </w:rPr>
        <w:t>Treatment timeframes:</w:t>
      </w:r>
      <w:r>
        <w:t xml:space="preserve"> </w:t>
      </w:r>
      <w:r w:rsidR="00220DCD">
        <w:t>Ovarian stimulation and oocyte</w:t>
      </w:r>
      <w:r w:rsidR="00C14825">
        <w:t>,</w:t>
      </w:r>
      <w:r w:rsidR="00220DCD">
        <w:t xml:space="preserve"> </w:t>
      </w:r>
      <w:r w:rsidR="00826D86">
        <w:t xml:space="preserve">generally </w:t>
      </w:r>
      <w:r w:rsidR="00220DCD">
        <w:t>retrieval requires at least 10 to 17 days before the start of chemotherapy or pelvic radiotherapy.</w:t>
      </w:r>
      <w:r w:rsidR="00220DCD">
        <w:rPr>
          <w:rStyle w:val="FootnoteReference"/>
        </w:rPr>
        <w:footnoteReference w:id="8"/>
      </w:r>
    </w:p>
    <w:p w14:paraId="21B5E734" w14:textId="77777777" w:rsidR="00A47006" w:rsidRDefault="00E1067F" w:rsidP="001301F9">
      <w:pPr>
        <w:pStyle w:val="Heading2"/>
        <w:numPr>
          <w:ilvl w:val="0"/>
          <w:numId w:val="0"/>
        </w:numPr>
        <w:ind w:left="720"/>
      </w:pPr>
      <w:r>
        <w:t>3.</w:t>
      </w:r>
      <w:r w:rsidR="001301F9">
        <w:t>4</w:t>
      </w:r>
      <w:r w:rsidR="001C66F3">
        <w:tab/>
      </w:r>
      <w:r w:rsidRPr="00B55692">
        <w:t>Package</w:t>
      </w:r>
      <w:r w:rsidR="00F45D13">
        <w:t xml:space="preserve"> of</w:t>
      </w:r>
      <w:r w:rsidR="00A47006" w:rsidRPr="00A47006">
        <w:t xml:space="preserve"> Treatment</w:t>
      </w:r>
    </w:p>
    <w:p w14:paraId="5A7367DE" w14:textId="77777777" w:rsidR="002C413C" w:rsidRDefault="003732A0" w:rsidP="00C3222F">
      <w:pPr>
        <w:ind w:left="1"/>
      </w:pPr>
      <w:r>
        <w:t>The</w:t>
      </w:r>
      <w:r w:rsidR="002C413C">
        <w:t xml:space="preserve"> </w:t>
      </w:r>
      <w:r w:rsidR="00F45D13">
        <w:t>package</w:t>
      </w:r>
      <w:r w:rsidR="002C413C">
        <w:t xml:space="preserve"> of </w:t>
      </w:r>
      <w:r w:rsidR="00BF72B7">
        <w:t xml:space="preserve">infertility </w:t>
      </w:r>
      <w:r w:rsidR="002C413C">
        <w:t xml:space="preserve">treatment is defined as: </w:t>
      </w:r>
    </w:p>
    <w:p w14:paraId="18648F69" w14:textId="77777777" w:rsidR="00A31FB4" w:rsidRDefault="00EE0746" w:rsidP="00B3587D">
      <w:pPr>
        <w:pStyle w:val="ListParagraph"/>
        <w:numPr>
          <w:ilvl w:val="0"/>
          <w:numId w:val="8"/>
        </w:numPr>
        <w:spacing w:before="0" w:after="0"/>
        <w:ind w:hanging="567"/>
      </w:pPr>
      <w:r w:rsidRPr="00FD4AD2">
        <w:t xml:space="preserve">one IVF </w:t>
      </w:r>
      <w:r w:rsidR="002674EF">
        <w:t>cycle</w:t>
      </w:r>
      <w:r w:rsidRPr="00FD4AD2">
        <w:t>/</w:t>
      </w:r>
      <w:r w:rsidR="00CD4381" w:rsidRPr="00B8677A">
        <w:rPr>
          <w:rFonts w:cs="Arial"/>
        </w:rPr>
        <w:t xml:space="preserve">Intracytoplasmic Sperm Injection </w:t>
      </w:r>
      <w:r w:rsidR="00CD4381">
        <w:rPr>
          <w:rFonts w:cs="Arial"/>
        </w:rPr>
        <w:t>(</w:t>
      </w:r>
      <w:r w:rsidRPr="00FD4AD2">
        <w:t>ICSI</w:t>
      </w:r>
      <w:r w:rsidR="00CD4381">
        <w:t>)</w:t>
      </w:r>
      <w:r w:rsidRPr="00FD4AD2">
        <w:t xml:space="preserve"> treatment, including subsequent transfer of any </w:t>
      </w:r>
      <w:r w:rsidR="006223A2">
        <w:t xml:space="preserve">fresh or </w:t>
      </w:r>
      <w:r w:rsidRPr="00FD4AD2">
        <w:t>frozen embryo</w:t>
      </w:r>
      <w:r w:rsidR="00A31FB4">
        <w:t>,</w:t>
      </w:r>
      <w:r w:rsidR="00766FEA" w:rsidRPr="00766FEA">
        <w:t xml:space="preserve"> </w:t>
      </w:r>
      <w:r w:rsidR="00766FEA">
        <w:t>until a live birth results, or no embryos remain</w:t>
      </w:r>
      <w:r w:rsidR="00B55692">
        <w:t>,</w:t>
      </w:r>
      <w:r w:rsidR="00766FEA">
        <w:t xml:space="preserve"> </w:t>
      </w:r>
      <w:r w:rsidRPr="00FD4AD2">
        <w:t xml:space="preserve">or </w:t>
      </w:r>
    </w:p>
    <w:p w14:paraId="64DE67DD" w14:textId="77777777" w:rsidR="002674EF" w:rsidRDefault="002674EF" w:rsidP="00B3587D">
      <w:pPr>
        <w:pStyle w:val="ListParagraph"/>
        <w:numPr>
          <w:ilvl w:val="0"/>
          <w:numId w:val="8"/>
        </w:numPr>
        <w:spacing w:before="0" w:after="0"/>
        <w:ind w:hanging="567"/>
      </w:pPr>
      <w:r>
        <w:t xml:space="preserve">up to </w:t>
      </w:r>
      <w:r w:rsidR="00EE0746" w:rsidRPr="00FD4AD2">
        <w:t>four donor or intra uterine inseminations</w:t>
      </w:r>
      <w:r w:rsidR="00826D86">
        <w:t xml:space="preserve"> until a live birth results</w:t>
      </w:r>
      <w:r>
        <w:t>,</w:t>
      </w:r>
      <w:r w:rsidR="00E67507">
        <w:t xml:space="preserve"> </w:t>
      </w:r>
      <w:r>
        <w:t xml:space="preserve">or </w:t>
      </w:r>
    </w:p>
    <w:p w14:paraId="43437662" w14:textId="77777777" w:rsidR="00EE0746" w:rsidRPr="00FD4AD2" w:rsidRDefault="002674EF" w:rsidP="00B3587D">
      <w:pPr>
        <w:pStyle w:val="ListParagraph"/>
        <w:numPr>
          <w:ilvl w:val="0"/>
          <w:numId w:val="8"/>
        </w:numPr>
        <w:spacing w:before="0" w:after="0"/>
        <w:ind w:hanging="567"/>
      </w:pPr>
      <w:r>
        <w:t xml:space="preserve">up to four cycles of </w:t>
      </w:r>
      <w:r w:rsidR="00E07CF7">
        <w:t>o</w:t>
      </w:r>
      <w:r>
        <w:t xml:space="preserve">vulation </w:t>
      </w:r>
      <w:r w:rsidR="00E07CF7">
        <w:t>i</w:t>
      </w:r>
      <w:r>
        <w:t>nduction using gonadotrophins</w:t>
      </w:r>
      <w:r w:rsidR="00826D86">
        <w:t xml:space="preserve"> until a live birth results</w:t>
      </w:r>
      <w:r w:rsidR="00E67507">
        <w:t>,</w:t>
      </w:r>
      <w:r w:rsidR="00A31FB4">
        <w:t xml:space="preserve"> or</w:t>
      </w:r>
    </w:p>
    <w:p w14:paraId="0E215310" w14:textId="77777777" w:rsidR="00826D86" w:rsidRDefault="00DB05E8" w:rsidP="00B3587D">
      <w:pPr>
        <w:pStyle w:val="ListParagraph"/>
        <w:numPr>
          <w:ilvl w:val="0"/>
          <w:numId w:val="8"/>
        </w:numPr>
        <w:spacing w:before="0" w:after="0"/>
        <w:ind w:hanging="567"/>
      </w:pPr>
      <w:proofErr w:type="gramStart"/>
      <w:r>
        <w:t>o</w:t>
      </w:r>
      <w:r w:rsidR="00EC3FE6">
        <w:t>ne</w:t>
      </w:r>
      <w:proofErr w:type="gramEnd"/>
      <w:r w:rsidR="00EC3FE6">
        <w:t xml:space="preserve"> IVF/ICSI treatment for PGD</w:t>
      </w:r>
      <w:r w:rsidR="003732A0">
        <w:t xml:space="preserve"> </w:t>
      </w:r>
      <w:r w:rsidR="00826D86">
        <w:t xml:space="preserve">resulting in </w:t>
      </w:r>
      <w:r w:rsidR="00EC3FE6">
        <w:t>embryos suitable for genetic testing</w:t>
      </w:r>
      <w:r w:rsidR="00131979">
        <w:t xml:space="preserve">. </w:t>
      </w:r>
      <w:r w:rsidR="00C005B5">
        <w:t xml:space="preserve"> </w:t>
      </w:r>
    </w:p>
    <w:p w14:paraId="2F7C4EE7" w14:textId="77777777" w:rsidR="0039415B" w:rsidRDefault="001552C9" w:rsidP="00E20E8B">
      <w:r w:rsidRPr="0039415B">
        <w:t>Women</w:t>
      </w:r>
      <w:r w:rsidR="006B7F67" w:rsidRPr="0039415B">
        <w:t xml:space="preserve"> who do not conceive in their package of treatment </w:t>
      </w:r>
      <w:r w:rsidRPr="0039415B">
        <w:t>using</w:t>
      </w:r>
      <w:r w:rsidR="00437440" w:rsidRPr="0039415B">
        <w:t xml:space="preserve"> </w:t>
      </w:r>
      <w:r w:rsidR="006B7F67" w:rsidRPr="0039415B">
        <w:t>IVF</w:t>
      </w:r>
      <w:r w:rsidR="00437440" w:rsidRPr="0039415B">
        <w:t xml:space="preserve"> </w:t>
      </w:r>
      <w:r w:rsidR="006B7F67" w:rsidRPr="0039415B">
        <w:t xml:space="preserve">may access a second cycle of funded IVF if they meet the clinical requirements and achieve the prioritisation tool treatment threshold. </w:t>
      </w:r>
    </w:p>
    <w:p w14:paraId="4EEBAF56" w14:textId="77777777" w:rsidR="009C062A" w:rsidRPr="0039415B" w:rsidRDefault="009C062A" w:rsidP="00E20E8B">
      <w:r w:rsidRPr="0039415B">
        <w:t xml:space="preserve">Where ovarian stimulation treatment is not effective, the IVF cycle should be cancelled and the woman counselled that </w:t>
      </w:r>
      <w:proofErr w:type="gramStart"/>
      <w:r w:rsidRPr="0039415B">
        <w:t>her</w:t>
      </w:r>
      <w:proofErr w:type="gramEnd"/>
      <w:r w:rsidRPr="0039415B">
        <w:t xml:space="preserve"> only treatment funded option is with a donor egg. The clinical decision should be made on a case by case basis. </w:t>
      </w:r>
      <w:r w:rsidR="003C53FE">
        <w:t xml:space="preserve"> </w:t>
      </w:r>
      <w:r w:rsidRPr="0039415B">
        <w:t xml:space="preserve">A cancelled IVF cycle is not a complete cycle of treatment. </w:t>
      </w:r>
    </w:p>
    <w:p w14:paraId="42B251A8" w14:textId="77777777" w:rsidR="00EE0746" w:rsidRDefault="00E1067F" w:rsidP="001301F9">
      <w:pPr>
        <w:pStyle w:val="Heading2"/>
        <w:numPr>
          <w:ilvl w:val="0"/>
          <w:numId w:val="0"/>
        </w:numPr>
        <w:ind w:left="720"/>
      </w:pPr>
      <w:r>
        <w:t>3</w:t>
      </w:r>
      <w:r w:rsidR="00034992">
        <w:t>.</w:t>
      </w:r>
      <w:r w:rsidR="001301F9">
        <w:t>5</w:t>
      </w:r>
      <w:r w:rsidR="00650961">
        <w:tab/>
      </w:r>
      <w:bookmarkStart w:id="43" w:name="_Toc215319142"/>
      <w:r w:rsidR="00EE0746">
        <w:t>E</w:t>
      </w:r>
      <w:r w:rsidR="00EE0746" w:rsidRPr="009344DA">
        <w:t xml:space="preserve">xit </w:t>
      </w:r>
      <w:r w:rsidR="00EE0746">
        <w:t>C</w:t>
      </w:r>
      <w:r w:rsidR="00EE0746" w:rsidRPr="009344DA">
        <w:t>riteria</w:t>
      </w:r>
      <w:bookmarkEnd w:id="43"/>
    </w:p>
    <w:p w14:paraId="4DF36496" w14:textId="77777777" w:rsidR="00FD4AD2" w:rsidRPr="000E4682" w:rsidRDefault="00FD4AD2" w:rsidP="00FD4AD2">
      <w:pPr>
        <w:pStyle w:val="BodyText"/>
        <w:ind w:left="567" w:hanging="567"/>
      </w:pPr>
      <w:r w:rsidRPr="000E4682">
        <w:t>The Service User</w:t>
      </w:r>
      <w:r>
        <w:t xml:space="preserve"> exits the Service when they:</w:t>
      </w:r>
      <w:r w:rsidR="00C070BE">
        <w:t xml:space="preserve"> </w:t>
      </w:r>
    </w:p>
    <w:p w14:paraId="0D669E12" w14:textId="77777777" w:rsidR="00EE0746" w:rsidRDefault="00EE0746" w:rsidP="00A47006">
      <w:pPr>
        <w:pStyle w:val="ListParagraph"/>
        <w:ind w:hanging="567"/>
      </w:pPr>
      <w:r w:rsidRPr="00FD4AD2">
        <w:t>have successfully completed their treatment</w:t>
      </w:r>
      <w:r w:rsidR="00F45D13">
        <w:t xml:space="preserve"> following a live birth</w:t>
      </w:r>
      <w:r w:rsidR="00A47006">
        <w:t>, or</w:t>
      </w:r>
    </w:p>
    <w:p w14:paraId="34CAC845" w14:textId="77777777" w:rsidR="00A3340B" w:rsidRPr="00FD4AD2" w:rsidRDefault="00A3340B" w:rsidP="00A47006">
      <w:pPr>
        <w:pStyle w:val="ListParagraph"/>
        <w:ind w:hanging="567"/>
      </w:pPr>
      <w:r>
        <w:t xml:space="preserve">have used up to two packages </w:t>
      </w:r>
      <w:r w:rsidR="0031525E">
        <w:t xml:space="preserve">of treatment </w:t>
      </w:r>
      <w:r>
        <w:t>without a live birth, or</w:t>
      </w:r>
    </w:p>
    <w:p w14:paraId="6271CD97" w14:textId="77777777" w:rsidR="00EE0746" w:rsidRPr="00FD4AD2" w:rsidRDefault="00B55692" w:rsidP="00B3587D">
      <w:pPr>
        <w:pStyle w:val="ListParagraph"/>
        <w:numPr>
          <w:ilvl w:val="0"/>
          <w:numId w:val="9"/>
        </w:numPr>
        <w:ind w:hanging="567"/>
      </w:pPr>
      <w:r>
        <w:t>are below</w:t>
      </w:r>
      <w:r w:rsidR="00EE0746" w:rsidRPr="00FD4AD2">
        <w:t xml:space="preserve"> the </w:t>
      </w:r>
      <w:r w:rsidR="00F45D13">
        <w:t>treatment threshold</w:t>
      </w:r>
      <w:r w:rsidR="00EE0746" w:rsidRPr="00FD4AD2">
        <w:t>, or</w:t>
      </w:r>
    </w:p>
    <w:p w14:paraId="42E9017B" w14:textId="77777777" w:rsidR="00EE0746" w:rsidRPr="00FD4AD2" w:rsidRDefault="00EE0746" w:rsidP="00B3587D">
      <w:pPr>
        <w:pStyle w:val="ListParagraph"/>
        <w:numPr>
          <w:ilvl w:val="0"/>
          <w:numId w:val="9"/>
        </w:numPr>
        <w:ind w:hanging="567"/>
      </w:pPr>
      <w:r w:rsidRPr="00FD4AD2">
        <w:t>no longer benefit from receiving the Service or</w:t>
      </w:r>
    </w:p>
    <w:p w14:paraId="7FEAAD89" w14:textId="77777777" w:rsidR="00B60046" w:rsidRPr="00FD4AD2" w:rsidRDefault="00A47006" w:rsidP="00B3587D">
      <w:pPr>
        <w:pStyle w:val="ListParagraph"/>
        <w:numPr>
          <w:ilvl w:val="0"/>
          <w:numId w:val="9"/>
        </w:numPr>
        <w:ind w:hanging="567"/>
      </w:pPr>
      <w:r>
        <w:t>are discharged/transferred</w:t>
      </w:r>
      <w:r w:rsidR="00EE0746" w:rsidRPr="00FD4AD2">
        <w:t xml:space="preserve"> with a management plan, to another Provider, or</w:t>
      </w:r>
      <w:r w:rsidR="009103DC">
        <w:t xml:space="preserve"> </w:t>
      </w:r>
      <w:r w:rsidR="0054462F">
        <w:t>from</w:t>
      </w:r>
      <w:r w:rsidR="00B60046">
        <w:t xml:space="preserve"> the </w:t>
      </w:r>
      <w:r w:rsidR="00B55692">
        <w:t>S</w:t>
      </w:r>
      <w:r w:rsidR="00B60046">
        <w:t>ervice</w:t>
      </w:r>
    </w:p>
    <w:p w14:paraId="69106983" w14:textId="77777777" w:rsidR="00B50CE5" w:rsidRDefault="001C66F3" w:rsidP="00B3587D">
      <w:pPr>
        <w:pStyle w:val="ListParagraph"/>
        <w:numPr>
          <w:ilvl w:val="0"/>
          <w:numId w:val="9"/>
        </w:numPr>
        <w:ind w:hanging="567"/>
      </w:pPr>
      <w:proofErr w:type="gramStart"/>
      <w:r>
        <w:t>choose</w:t>
      </w:r>
      <w:proofErr w:type="gramEnd"/>
      <w:r>
        <w:t xml:space="preserve"> to </w:t>
      </w:r>
      <w:r w:rsidR="00EE0746" w:rsidRPr="00FD4AD2">
        <w:t>exit the Service</w:t>
      </w:r>
      <w:r w:rsidR="00725D06">
        <w:t>.</w:t>
      </w:r>
    </w:p>
    <w:p w14:paraId="35ACB376" w14:textId="77777777" w:rsidR="00EE0746" w:rsidRDefault="00EE0746" w:rsidP="00953A97">
      <w:pPr>
        <w:pStyle w:val="Heading1"/>
      </w:pPr>
      <w:bookmarkStart w:id="44" w:name="_Toc215319143"/>
      <w:r w:rsidRPr="00B8677A">
        <w:t>Co-payments</w:t>
      </w:r>
    </w:p>
    <w:p w14:paraId="3D6D8CC9" w14:textId="77777777" w:rsidR="001C66F3" w:rsidRDefault="001C66F3" w:rsidP="009E7DEB">
      <w:pPr>
        <w:pStyle w:val="Heading2"/>
        <w:numPr>
          <w:ilvl w:val="0"/>
          <w:numId w:val="0"/>
        </w:numPr>
        <w:ind w:left="720"/>
      </w:pPr>
      <w:r>
        <w:t>4.1</w:t>
      </w:r>
      <w:r>
        <w:tab/>
        <w:t>Storage</w:t>
      </w:r>
    </w:p>
    <w:p w14:paraId="2EBEC979" w14:textId="77777777" w:rsidR="001C66F3" w:rsidRPr="001C66F3" w:rsidRDefault="001C66F3" w:rsidP="001C66F3">
      <w:r w:rsidRPr="001C66F3">
        <w:t xml:space="preserve">No co-payment will be sought from Service Users for any service covered by this service specification, including supplies and equipment, other than that specified </w:t>
      </w:r>
      <w:r>
        <w:t>below.</w:t>
      </w:r>
    </w:p>
    <w:p w14:paraId="6843E140" w14:textId="77777777" w:rsidR="00EE0746" w:rsidRDefault="00F12A6C" w:rsidP="00457F7F">
      <w:r w:rsidRPr="00FD4AD2">
        <w:t xml:space="preserve">Service Users </w:t>
      </w:r>
      <w:r>
        <w:t>who receive services for i</w:t>
      </w:r>
      <w:r w:rsidR="0014179E">
        <w:t xml:space="preserve">nfertility </w:t>
      </w:r>
      <w:r w:rsidR="00C20CAA">
        <w:t>and</w:t>
      </w:r>
      <w:r>
        <w:t>/or</w:t>
      </w:r>
      <w:r w:rsidR="00C20CAA">
        <w:t xml:space="preserve"> </w:t>
      </w:r>
      <w:r>
        <w:t>are receiving PGD services</w:t>
      </w:r>
      <w:r w:rsidR="00C20CAA" w:rsidRPr="008F54EF">
        <w:t xml:space="preserve"> </w:t>
      </w:r>
      <w:r w:rsidR="00EE0746" w:rsidRPr="00FD4AD2">
        <w:t xml:space="preserve">are expected to pay for </w:t>
      </w:r>
      <w:r w:rsidR="003C53FE">
        <w:t xml:space="preserve">their </w:t>
      </w:r>
      <w:r w:rsidR="00EE0746" w:rsidRPr="00FD4AD2">
        <w:t>embryo storage after 18 months of first storage.</w:t>
      </w:r>
    </w:p>
    <w:p w14:paraId="0F253A3B" w14:textId="77777777" w:rsidR="000056CC" w:rsidRDefault="000056CC" w:rsidP="00457F7F">
      <w:pPr>
        <w:pStyle w:val="BodyText"/>
        <w:tabs>
          <w:tab w:val="left" w:pos="0"/>
        </w:tabs>
        <w:ind w:left="0"/>
      </w:pPr>
      <w:r>
        <w:t>Service Users who receive services related to fertility preservation will have their gametes</w:t>
      </w:r>
      <w:r w:rsidR="00C20CAA">
        <w:t>/</w:t>
      </w:r>
      <w:r>
        <w:t xml:space="preserve"> embryos storage funded up to 10 years</w:t>
      </w:r>
      <w:r>
        <w:rPr>
          <w:rStyle w:val="FootnoteReference"/>
        </w:rPr>
        <w:footnoteReference w:id="9"/>
      </w:r>
      <w:r>
        <w:t>.</w:t>
      </w:r>
      <w:r w:rsidR="00893D4B">
        <w:t xml:space="preserve"> </w:t>
      </w:r>
      <w:r w:rsidR="00B70389">
        <w:t xml:space="preserve"> The 10 year storage period for embryos includes </w:t>
      </w:r>
      <w:r w:rsidR="00B70389">
        <w:lastRenderedPageBreak/>
        <w:t xml:space="preserve">any time in which gametes used to create the embryos have been stored. </w:t>
      </w:r>
      <w:r w:rsidR="003C53FE">
        <w:t xml:space="preserve"> </w:t>
      </w:r>
      <w:r w:rsidR="004E08A0">
        <w:t>T</w:t>
      </w:r>
      <w:r w:rsidR="00B70389">
        <w:t xml:space="preserve">he storage period of gametes and embryos also includes any time </w:t>
      </w:r>
      <w:r w:rsidR="00D0422C">
        <w:t xml:space="preserve">that they have been </w:t>
      </w:r>
      <w:r w:rsidR="00B70389">
        <w:t>stored overseas.</w:t>
      </w:r>
    </w:p>
    <w:p w14:paraId="2237A514" w14:textId="77777777" w:rsidR="00EE0746" w:rsidRDefault="00EE0746" w:rsidP="00953A97">
      <w:pPr>
        <w:pStyle w:val="Heading1"/>
      </w:pPr>
      <w:bookmarkStart w:id="45" w:name="_Toc215319145"/>
      <w:bookmarkEnd w:id="44"/>
      <w:r w:rsidRPr="009344DA">
        <w:t xml:space="preserve">Service </w:t>
      </w:r>
      <w:r w:rsidRPr="0053589A">
        <w:t>Components</w:t>
      </w:r>
      <w:bookmarkEnd w:id="45"/>
    </w:p>
    <w:p w14:paraId="4BC4BA38" w14:textId="77777777" w:rsidR="00EE0746" w:rsidRDefault="00BD2C2E" w:rsidP="009E7DEB">
      <w:pPr>
        <w:pStyle w:val="Heading2"/>
        <w:numPr>
          <w:ilvl w:val="0"/>
          <w:numId w:val="0"/>
        </w:numPr>
        <w:ind w:left="720"/>
      </w:pPr>
      <w:bookmarkStart w:id="46" w:name="_Toc215319146"/>
      <w:r>
        <w:t>5.1</w:t>
      </w:r>
      <w:r w:rsidR="00650961">
        <w:tab/>
      </w:r>
      <w:r w:rsidR="00EE0746" w:rsidRPr="001C66F3">
        <w:t>Processes</w:t>
      </w:r>
      <w:bookmarkEnd w:id="46"/>
    </w:p>
    <w:p w14:paraId="5528DAE6" w14:textId="77777777" w:rsidR="00A725BA" w:rsidRPr="00543ED8" w:rsidRDefault="00A725BA" w:rsidP="000C3447">
      <w:r>
        <w:rPr>
          <w:lang w:eastAsia="en-NZ"/>
        </w:rPr>
        <w:t xml:space="preserve">In addition to the </w:t>
      </w:r>
      <w:r w:rsidR="00953A97">
        <w:rPr>
          <w:lang w:eastAsia="en-NZ"/>
        </w:rPr>
        <w:t xml:space="preserve">generic </w:t>
      </w:r>
      <w:r>
        <w:rPr>
          <w:lang w:eastAsia="en-NZ"/>
        </w:rPr>
        <w:t>process</w:t>
      </w:r>
      <w:r w:rsidR="00953A97">
        <w:rPr>
          <w:lang w:eastAsia="en-NZ"/>
        </w:rPr>
        <w:t>es</w:t>
      </w:r>
      <w:r>
        <w:rPr>
          <w:lang w:eastAsia="en-NZ"/>
        </w:rPr>
        <w:t xml:space="preserve"> in the Tier </w:t>
      </w:r>
      <w:r w:rsidR="0037455E">
        <w:rPr>
          <w:lang w:eastAsia="en-NZ"/>
        </w:rPr>
        <w:t>O</w:t>
      </w:r>
      <w:r>
        <w:rPr>
          <w:lang w:eastAsia="en-NZ"/>
        </w:rPr>
        <w:t>ne Specialist Medical and Surgical Services service specification:</w:t>
      </w:r>
    </w:p>
    <w:tbl>
      <w:tblPr>
        <w:tblW w:w="9668" w:type="dxa"/>
        <w:tblInd w:w="108" w:type="dxa"/>
        <w:tblLayout w:type="fixed"/>
        <w:tblLook w:val="0000" w:firstRow="0" w:lastRow="0" w:firstColumn="0" w:lastColumn="0" w:noHBand="0" w:noVBand="0"/>
      </w:tblPr>
      <w:tblGrid>
        <w:gridCol w:w="2127"/>
        <w:gridCol w:w="7541"/>
      </w:tblGrid>
      <w:tr w:rsidR="00EE0746" w14:paraId="04FBD185" w14:textId="77777777" w:rsidTr="00625EC5">
        <w:trPr>
          <w:trHeight w:hRule="exact" w:val="757"/>
          <w:tblHeader/>
        </w:trPr>
        <w:tc>
          <w:tcPr>
            <w:tcW w:w="2127" w:type="dxa"/>
            <w:tcBorders>
              <w:top w:val="single" w:sz="4" w:space="0" w:color="auto"/>
              <w:left w:val="single" w:sz="4" w:space="0" w:color="auto"/>
              <w:bottom w:val="single" w:sz="4" w:space="0" w:color="auto"/>
              <w:right w:val="single" w:sz="4" w:space="0" w:color="auto"/>
            </w:tcBorders>
            <w:shd w:val="pct10" w:color="auto" w:fill="FFFFFF"/>
            <w:vAlign w:val="center"/>
          </w:tcPr>
          <w:p w14:paraId="1B627A41" w14:textId="77777777" w:rsidR="00EE0746" w:rsidRPr="00B8677A" w:rsidRDefault="00EE0746" w:rsidP="004E08A0">
            <w:pPr>
              <w:spacing w:before="0" w:after="0"/>
              <w:rPr>
                <w:rFonts w:cs="Arial"/>
                <w:b/>
              </w:rPr>
            </w:pPr>
            <w:r w:rsidRPr="00B8677A">
              <w:rPr>
                <w:rFonts w:cs="Arial"/>
                <w:b/>
              </w:rPr>
              <w:t>SERVICE COMPONENT</w:t>
            </w:r>
          </w:p>
        </w:tc>
        <w:tc>
          <w:tcPr>
            <w:tcW w:w="7541" w:type="dxa"/>
            <w:tcBorders>
              <w:top w:val="single" w:sz="4" w:space="0" w:color="auto"/>
              <w:left w:val="single" w:sz="4" w:space="0" w:color="auto"/>
              <w:bottom w:val="single" w:sz="4" w:space="0" w:color="auto"/>
              <w:right w:val="single" w:sz="4" w:space="0" w:color="auto"/>
            </w:tcBorders>
            <w:shd w:val="pct10" w:color="auto" w:fill="FFFFFF"/>
            <w:vAlign w:val="center"/>
          </w:tcPr>
          <w:p w14:paraId="2BF8DB24" w14:textId="77777777" w:rsidR="00EE0746" w:rsidRPr="00B8677A" w:rsidRDefault="00EE0746" w:rsidP="004E08A0">
            <w:pPr>
              <w:spacing w:before="0" w:after="0"/>
              <w:rPr>
                <w:rFonts w:cs="Arial"/>
                <w:b/>
              </w:rPr>
            </w:pPr>
            <w:r w:rsidRPr="00B8677A">
              <w:rPr>
                <w:rFonts w:cs="Arial"/>
                <w:b/>
              </w:rPr>
              <w:t>DESCRIPTION</w:t>
            </w:r>
          </w:p>
        </w:tc>
      </w:tr>
      <w:tr w:rsidR="00EE0746" w14:paraId="4FFB09D6" w14:textId="77777777" w:rsidTr="00625EC5">
        <w:tc>
          <w:tcPr>
            <w:tcW w:w="2127" w:type="dxa"/>
            <w:tcBorders>
              <w:top w:val="single" w:sz="4" w:space="0" w:color="auto"/>
              <w:left w:val="single" w:sz="4" w:space="0" w:color="auto"/>
              <w:bottom w:val="single" w:sz="4" w:space="0" w:color="auto"/>
              <w:right w:val="single" w:sz="4" w:space="0" w:color="auto"/>
            </w:tcBorders>
          </w:tcPr>
          <w:p w14:paraId="4BA17BD6" w14:textId="77777777" w:rsidR="00EE0746" w:rsidRPr="0037455E" w:rsidRDefault="00EE0746" w:rsidP="0037455E">
            <w:pPr>
              <w:spacing w:before="0" w:after="0"/>
              <w:rPr>
                <w:rFonts w:cs="Arial"/>
              </w:rPr>
            </w:pPr>
            <w:r w:rsidRPr="0037455E">
              <w:rPr>
                <w:rFonts w:cs="Arial"/>
                <w:bCs/>
              </w:rPr>
              <w:t>First specialist assessment and development of a treatment plan</w:t>
            </w:r>
          </w:p>
        </w:tc>
        <w:tc>
          <w:tcPr>
            <w:tcW w:w="7541" w:type="dxa"/>
            <w:tcBorders>
              <w:top w:val="single" w:sz="4" w:space="0" w:color="auto"/>
              <w:left w:val="single" w:sz="4" w:space="0" w:color="auto"/>
              <w:bottom w:val="single" w:sz="4" w:space="0" w:color="auto"/>
              <w:right w:val="single" w:sz="4" w:space="0" w:color="auto"/>
            </w:tcBorders>
          </w:tcPr>
          <w:p w14:paraId="0D189424" w14:textId="77777777" w:rsidR="00043851" w:rsidRPr="0037455E" w:rsidRDefault="00043851" w:rsidP="00953A97">
            <w:pPr>
              <w:spacing w:before="0" w:after="0"/>
              <w:rPr>
                <w:rFonts w:cs="Arial"/>
              </w:rPr>
            </w:pPr>
            <w:r w:rsidRPr="0037455E">
              <w:rPr>
                <w:rFonts w:cs="Arial"/>
              </w:rPr>
              <w:t>Th</w:t>
            </w:r>
            <w:r w:rsidR="00CD1199" w:rsidRPr="0037455E">
              <w:rPr>
                <w:rFonts w:cs="Arial"/>
              </w:rPr>
              <w:t xml:space="preserve">is </w:t>
            </w:r>
            <w:r w:rsidRPr="0037455E">
              <w:rPr>
                <w:rFonts w:cs="Arial"/>
              </w:rPr>
              <w:t>includes:</w:t>
            </w:r>
          </w:p>
          <w:p w14:paraId="02F7E2ED" w14:textId="77777777" w:rsidR="00EE0746" w:rsidRPr="0037455E" w:rsidRDefault="00043851" w:rsidP="00912CEA">
            <w:pPr>
              <w:pStyle w:val="ListBullet"/>
              <w:numPr>
                <w:ilvl w:val="0"/>
                <w:numId w:val="28"/>
              </w:numPr>
              <w:rPr>
                <w:rFonts w:cs="Arial"/>
                <w:szCs w:val="24"/>
              </w:rPr>
            </w:pPr>
            <w:r w:rsidRPr="0037455E">
              <w:rPr>
                <w:rFonts w:cs="Arial"/>
                <w:szCs w:val="24"/>
              </w:rPr>
              <w:t>i</w:t>
            </w:r>
            <w:r w:rsidR="00EE0746" w:rsidRPr="0037455E">
              <w:rPr>
                <w:rFonts w:cs="Arial"/>
                <w:szCs w:val="24"/>
              </w:rPr>
              <w:t>nitial assessment by an appropriately qualified clinician</w:t>
            </w:r>
            <w:r w:rsidR="00AB0514">
              <w:rPr>
                <w:rFonts w:cs="Arial"/>
                <w:szCs w:val="24"/>
              </w:rPr>
              <w:t>, and</w:t>
            </w:r>
          </w:p>
          <w:p w14:paraId="7AC95A43" w14:textId="77777777" w:rsidR="00EE0746" w:rsidRPr="0037455E" w:rsidRDefault="00043851" w:rsidP="00912CEA">
            <w:pPr>
              <w:pStyle w:val="ListBullet"/>
              <w:numPr>
                <w:ilvl w:val="0"/>
                <w:numId w:val="28"/>
              </w:numPr>
              <w:rPr>
                <w:rFonts w:cs="Arial"/>
                <w:szCs w:val="24"/>
              </w:rPr>
            </w:pPr>
            <w:r w:rsidRPr="0037455E">
              <w:rPr>
                <w:rFonts w:cs="Arial"/>
                <w:szCs w:val="24"/>
              </w:rPr>
              <w:t>c</w:t>
            </w:r>
            <w:r w:rsidR="00EE0746" w:rsidRPr="0037455E">
              <w:rPr>
                <w:rFonts w:cs="Arial"/>
                <w:szCs w:val="24"/>
              </w:rPr>
              <w:t xml:space="preserve">onfirmation that </w:t>
            </w:r>
            <w:r w:rsidR="00C3222F" w:rsidRPr="0037455E">
              <w:rPr>
                <w:rFonts w:cs="Arial"/>
                <w:szCs w:val="24"/>
              </w:rPr>
              <w:t>people</w:t>
            </w:r>
            <w:r w:rsidR="00EE0746" w:rsidRPr="0037455E">
              <w:rPr>
                <w:rFonts w:cs="Arial"/>
                <w:szCs w:val="24"/>
              </w:rPr>
              <w:t xml:space="preserve"> meet the </w:t>
            </w:r>
            <w:r w:rsidRPr="0037455E">
              <w:rPr>
                <w:rFonts w:cs="Arial"/>
                <w:szCs w:val="24"/>
              </w:rPr>
              <w:t xml:space="preserve">Service’s </w:t>
            </w:r>
            <w:r w:rsidR="00EE0746" w:rsidRPr="0037455E">
              <w:rPr>
                <w:rFonts w:cs="Arial"/>
                <w:szCs w:val="24"/>
              </w:rPr>
              <w:t>access criteria and are suitable for ART treatment</w:t>
            </w:r>
            <w:r w:rsidR="00AB0514">
              <w:rPr>
                <w:rFonts w:cs="Arial"/>
                <w:szCs w:val="24"/>
              </w:rPr>
              <w:t>, or</w:t>
            </w:r>
          </w:p>
          <w:p w14:paraId="1998B714" w14:textId="77777777" w:rsidR="00EE0746" w:rsidRPr="0037455E" w:rsidRDefault="00043851" w:rsidP="00912CEA">
            <w:pPr>
              <w:pStyle w:val="ListBullet"/>
              <w:numPr>
                <w:ilvl w:val="0"/>
                <w:numId w:val="28"/>
              </w:numPr>
              <w:rPr>
                <w:rFonts w:cs="Arial"/>
                <w:szCs w:val="24"/>
              </w:rPr>
            </w:pPr>
            <w:r w:rsidRPr="0037455E">
              <w:rPr>
                <w:rFonts w:cs="Arial"/>
                <w:szCs w:val="24"/>
              </w:rPr>
              <w:t>r</w:t>
            </w:r>
            <w:r w:rsidR="00EE0746" w:rsidRPr="0037455E">
              <w:rPr>
                <w:rFonts w:cs="Arial"/>
                <w:szCs w:val="24"/>
              </w:rPr>
              <w:t xml:space="preserve">eferral back to the referring clinician and </w:t>
            </w:r>
            <w:r w:rsidR="00AF51DE" w:rsidRPr="0037455E">
              <w:rPr>
                <w:rFonts w:cs="Arial"/>
                <w:szCs w:val="24"/>
              </w:rPr>
              <w:t xml:space="preserve">an </w:t>
            </w:r>
            <w:r w:rsidR="00EE0746" w:rsidRPr="0037455E">
              <w:rPr>
                <w:rFonts w:cs="Arial"/>
                <w:szCs w:val="24"/>
              </w:rPr>
              <w:t>explanation of the reason</w:t>
            </w:r>
            <w:r w:rsidR="000F2501" w:rsidRPr="0037455E">
              <w:rPr>
                <w:rFonts w:cs="Arial"/>
                <w:szCs w:val="24"/>
              </w:rPr>
              <w:t>(</w:t>
            </w:r>
            <w:r w:rsidR="00EE0746" w:rsidRPr="0037455E">
              <w:rPr>
                <w:rFonts w:cs="Arial"/>
                <w:szCs w:val="24"/>
              </w:rPr>
              <w:t>s</w:t>
            </w:r>
            <w:r w:rsidR="000F2501" w:rsidRPr="0037455E">
              <w:rPr>
                <w:rFonts w:cs="Arial"/>
                <w:szCs w:val="24"/>
              </w:rPr>
              <w:t>)</w:t>
            </w:r>
            <w:r w:rsidR="00EE0746" w:rsidRPr="0037455E">
              <w:rPr>
                <w:rFonts w:cs="Arial"/>
                <w:szCs w:val="24"/>
              </w:rPr>
              <w:t xml:space="preserve"> to the </w:t>
            </w:r>
            <w:r w:rsidR="00410181">
              <w:rPr>
                <w:rFonts w:cs="Arial"/>
                <w:szCs w:val="24"/>
              </w:rPr>
              <w:t>individual/couple</w:t>
            </w:r>
            <w:r w:rsidR="00EE0746" w:rsidRPr="0037455E">
              <w:rPr>
                <w:rFonts w:cs="Arial"/>
                <w:szCs w:val="24"/>
              </w:rPr>
              <w:t>/their whānau</w:t>
            </w:r>
            <w:r w:rsidRPr="0037455E">
              <w:rPr>
                <w:rFonts w:cs="Arial"/>
                <w:szCs w:val="24"/>
              </w:rPr>
              <w:t xml:space="preserve">, </w:t>
            </w:r>
            <w:r w:rsidR="00AB0514">
              <w:rPr>
                <w:rFonts w:cs="Arial"/>
                <w:szCs w:val="24"/>
              </w:rPr>
              <w:t xml:space="preserve">why they </w:t>
            </w:r>
            <w:r w:rsidR="00410181" w:rsidRPr="0037455E">
              <w:rPr>
                <w:rFonts w:cs="Arial"/>
                <w:szCs w:val="24"/>
              </w:rPr>
              <w:t>do not meet the criteria, or are assessed as unsuitable</w:t>
            </w:r>
            <w:r w:rsidR="00410181" w:rsidRPr="0037455E">
              <w:rPr>
                <w:rStyle w:val="FootnoteReference"/>
                <w:rFonts w:cs="Arial"/>
                <w:szCs w:val="24"/>
              </w:rPr>
              <w:footnoteReference w:id="10"/>
            </w:r>
            <w:r w:rsidR="00410181">
              <w:rPr>
                <w:rFonts w:cs="Arial"/>
                <w:szCs w:val="24"/>
              </w:rPr>
              <w:t xml:space="preserve"> where</w:t>
            </w:r>
            <w:r w:rsidR="00EE0746" w:rsidRPr="0037455E">
              <w:rPr>
                <w:rFonts w:cs="Arial"/>
                <w:szCs w:val="24"/>
              </w:rPr>
              <w:t xml:space="preserve"> appropriate</w:t>
            </w:r>
          </w:p>
          <w:p w14:paraId="12B432B1" w14:textId="77777777" w:rsidR="00B3587D" w:rsidRDefault="00043851" w:rsidP="00912CEA">
            <w:pPr>
              <w:pStyle w:val="ListBullet"/>
              <w:numPr>
                <w:ilvl w:val="0"/>
                <w:numId w:val="28"/>
              </w:numPr>
              <w:rPr>
                <w:rFonts w:cs="Arial"/>
                <w:szCs w:val="24"/>
              </w:rPr>
            </w:pPr>
            <w:proofErr w:type="gramStart"/>
            <w:r w:rsidRPr="00B3587D">
              <w:rPr>
                <w:rFonts w:cs="Arial"/>
                <w:szCs w:val="24"/>
              </w:rPr>
              <w:t>d</w:t>
            </w:r>
            <w:r w:rsidR="00EE0746" w:rsidRPr="00B3587D">
              <w:rPr>
                <w:rFonts w:cs="Arial"/>
                <w:szCs w:val="24"/>
              </w:rPr>
              <w:t>iscussion</w:t>
            </w:r>
            <w:proofErr w:type="gramEnd"/>
            <w:r w:rsidR="00EE0746" w:rsidRPr="00B3587D">
              <w:rPr>
                <w:rFonts w:cs="Arial"/>
                <w:szCs w:val="24"/>
              </w:rPr>
              <w:t xml:space="preserve"> of treatment and management plan with Service Users, </w:t>
            </w:r>
            <w:r w:rsidR="00410181" w:rsidRPr="00B3587D">
              <w:rPr>
                <w:rFonts w:cs="Arial"/>
                <w:szCs w:val="24"/>
              </w:rPr>
              <w:t xml:space="preserve">and as appropriate </w:t>
            </w:r>
            <w:r w:rsidR="00EE0746" w:rsidRPr="00B3587D">
              <w:rPr>
                <w:rFonts w:cs="Arial"/>
                <w:szCs w:val="24"/>
              </w:rPr>
              <w:t>their whānau, including expectation, possible risks, after care arrangements, expected waiting time to receive treatment</w:t>
            </w:r>
            <w:r w:rsidR="00410181" w:rsidRPr="00B3587D">
              <w:rPr>
                <w:rFonts w:cs="Arial"/>
                <w:szCs w:val="24"/>
              </w:rPr>
              <w:t xml:space="preserve">. </w:t>
            </w:r>
            <w:r w:rsidR="003C53FE">
              <w:rPr>
                <w:rFonts w:cs="Arial"/>
                <w:szCs w:val="24"/>
              </w:rPr>
              <w:t xml:space="preserve"> </w:t>
            </w:r>
            <w:r w:rsidR="00410181" w:rsidRPr="00B3587D">
              <w:rPr>
                <w:rFonts w:cs="Arial"/>
                <w:szCs w:val="24"/>
              </w:rPr>
              <w:t xml:space="preserve">The </w:t>
            </w:r>
            <w:r w:rsidR="00EE0746" w:rsidRPr="00B3587D">
              <w:rPr>
                <w:rFonts w:cs="Arial"/>
                <w:szCs w:val="24"/>
              </w:rPr>
              <w:t xml:space="preserve">essential information </w:t>
            </w:r>
            <w:r w:rsidR="004E08A0" w:rsidRPr="00B3587D">
              <w:rPr>
                <w:rFonts w:cs="Arial"/>
                <w:szCs w:val="24"/>
              </w:rPr>
              <w:t xml:space="preserve">is </w:t>
            </w:r>
            <w:r w:rsidR="00EE0746" w:rsidRPr="00B3587D">
              <w:rPr>
                <w:rFonts w:cs="Arial"/>
                <w:szCs w:val="24"/>
              </w:rPr>
              <w:t>to be supplied in writing</w:t>
            </w:r>
            <w:r w:rsidR="003C53FE">
              <w:rPr>
                <w:rFonts w:cs="Arial"/>
                <w:szCs w:val="24"/>
              </w:rPr>
              <w:t xml:space="preserve"> to the Service User</w:t>
            </w:r>
            <w:r w:rsidR="00410181" w:rsidRPr="00B3587D">
              <w:rPr>
                <w:rFonts w:cs="Arial"/>
                <w:szCs w:val="24"/>
              </w:rPr>
              <w:t>.</w:t>
            </w:r>
            <w:r w:rsidR="00B3587D" w:rsidRPr="00B3587D">
              <w:rPr>
                <w:rFonts w:cs="Arial"/>
                <w:szCs w:val="24"/>
              </w:rPr>
              <w:t xml:space="preserve"> </w:t>
            </w:r>
          </w:p>
          <w:p w14:paraId="26095B29" w14:textId="77777777" w:rsidR="0031525E" w:rsidRPr="0037455E" w:rsidRDefault="0031525E" w:rsidP="0039415B">
            <w:pPr>
              <w:pStyle w:val="ListBullet"/>
              <w:numPr>
                <w:ilvl w:val="0"/>
                <w:numId w:val="28"/>
              </w:numPr>
              <w:rPr>
                <w:rFonts w:cs="Arial"/>
                <w:szCs w:val="24"/>
              </w:rPr>
            </w:pPr>
            <w:proofErr w:type="gramStart"/>
            <w:r>
              <w:t>referral</w:t>
            </w:r>
            <w:proofErr w:type="gramEnd"/>
            <w:r>
              <w:t xml:space="preserve"> for any applicable</w:t>
            </w:r>
            <w:r w:rsidR="0067443F">
              <w:t xml:space="preserve"> </w:t>
            </w:r>
            <w:r>
              <w:t>medical advice or treatment that may optimise the</w:t>
            </w:r>
            <w:r w:rsidR="0039415B">
              <w:t xml:space="preserve"> success or safety of treatment</w:t>
            </w:r>
            <w:r>
              <w:t>.</w:t>
            </w:r>
          </w:p>
        </w:tc>
      </w:tr>
      <w:tr w:rsidR="00EE0746" w14:paraId="50AD7A3A" w14:textId="77777777" w:rsidTr="00625EC5">
        <w:tc>
          <w:tcPr>
            <w:tcW w:w="2127" w:type="dxa"/>
            <w:tcBorders>
              <w:top w:val="single" w:sz="4" w:space="0" w:color="auto"/>
              <w:left w:val="single" w:sz="4" w:space="0" w:color="auto"/>
              <w:bottom w:val="single" w:sz="4" w:space="0" w:color="auto"/>
              <w:right w:val="single" w:sz="4" w:space="0" w:color="auto"/>
            </w:tcBorders>
          </w:tcPr>
          <w:p w14:paraId="6CB53DB1" w14:textId="77777777" w:rsidR="00EE0746" w:rsidRPr="0037455E" w:rsidRDefault="00EE0746" w:rsidP="0037455E">
            <w:pPr>
              <w:spacing w:before="0" w:after="0"/>
              <w:rPr>
                <w:rFonts w:cs="Arial"/>
                <w:bCs/>
              </w:rPr>
            </w:pPr>
            <w:r w:rsidRPr="0037455E">
              <w:rPr>
                <w:rFonts w:cs="Arial"/>
                <w:bCs/>
              </w:rPr>
              <w:t>Range o</w:t>
            </w:r>
            <w:r w:rsidR="007B5B94" w:rsidRPr="0037455E">
              <w:rPr>
                <w:rFonts w:cs="Arial"/>
                <w:bCs/>
              </w:rPr>
              <w:t>f</w:t>
            </w:r>
            <w:r w:rsidRPr="0037455E">
              <w:rPr>
                <w:rFonts w:cs="Arial"/>
                <w:bCs/>
              </w:rPr>
              <w:t xml:space="preserve"> </w:t>
            </w:r>
            <w:r w:rsidR="00847687" w:rsidRPr="0037455E">
              <w:rPr>
                <w:rFonts w:cs="Arial"/>
                <w:bCs/>
              </w:rPr>
              <w:t>investigations and t</w:t>
            </w:r>
            <w:r w:rsidRPr="0037455E">
              <w:rPr>
                <w:rFonts w:cs="Arial"/>
                <w:bCs/>
              </w:rPr>
              <w:t>reatments</w:t>
            </w:r>
          </w:p>
        </w:tc>
        <w:tc>
          <w:tcPr>
            <w:tcW w:w="7541" w:type="dxa"/>
            <w:tcBorders>
              <w:top w:val="single" w:sz="4" w:space="0" w:color="auto"/>
              <w:left w:val="single" w:sz="4" w:space="0" w:color="auto"/>
              <w:bottom w:val="single" w:sz="4" w:space="0" w:color="auto"/>
              <w:right w:val="single" w:sz="4" w:space="0" w:color="auto"/>
            </w:tcBorders>
          </w:tcPr>
          <w:p w14:paraId="000C9F2C" w14:textId="77777777" w:rsidR="00EE0746" w:rsidRPr="0037455E" w:rsidRDefault="00EE0746" w:rsidP="00410181">
            <w:pPr>
              <w:spacing w:after="0"/>
              <w:ind w:left="459" w:hanging="459"/>
              <w:rPr>
                <w:rFonts w:cs="Arial"/>
              </w:rPr>
            </w:pPr>
            <w:r w:rsidRPr="0037455E">
              <w:rPr>
                <w:rFonts w:cs="Arial"/>
              </w:rPr>
              <w:t>T</w:t>
            </w:r>
            <w:r w:rsidR="006231F1" w:rsidRPr="0037455E">
              <w:rPr>
                <w:rFonts w:cs="Arial"/>
              </w:rPr>
              <w:t>h</w:t>
            </w:r>
            <w:r w:rsidR="00CD1199" w:rsidRPr="0037455E">
              <w:rPr>
                <w:rFonts w:cs="Arial"/>
              </w:rPr>
              <w:t>is</w:t>
            </w:r>
            <w:r w:rsidR="006231F1" w:rsidRPr="0037455E">
              <w:rPr>
                <w:rFonts w:cs="Arial"/>
              </w:rPr>
              <w:t xml:space="preserve"> i</w:t>
            </w:r>
            <w:r w:rsidRPr="0037455E">
              <w:rPr>
                <w:rFonts w:cs="Arial"/>
              </w:rPr>
              <w:t>ncludes</w:t>
            </w:r>
            <w:r w:rsidR="00C20CAA" w:rsidRPr="0037455E">
              <w:rPr>
                <w:rFonts w:cs="Arial"/>
              </w:rPr>
              <w:t>:</w:t>
            </w:r>
          </w:p>
          <w:p w14:paraId="7F4315CD" w14:textId="77777777" w:rsidR="00FB6D4A" w:rsidRPr="0037455E" w:rsidRDefault="00FD72E7" w:rsidP="00625EC5">
            <w:pPr>
              <w:pStyle w:val="ListParagraph"/>
              <w:spacing w:before="0" w:after="0"/>
              <w:ind w:left="346" w:hanging="313"/>
              <w:rPr>
                <w:rFonts w:cs="Arial"/>
              </w:rPr>
            </w:pPr>
            <w:r w:rsidRPr="0037455E">
              <w:rPr>
                <w:rFonts w:cs="Arial"/>
              </w:rPr>
              <w:t xml:space="preserve">diagnostic </w:t>
            </w:r>
            <w:r w:rsidR="0068727A" w:rsidRPr="0037455E">
              <w:rPr>
                <w:rFonts w:cs="Arial"/>
              </w:rPr>
              <w:t>investigations</w:t>
            </w:r>
          </w:p>
          <w:p w14:paraId="4BA849DE" w14:textId="77777777" w:rsidR="002B5DDF" w:rsidRPr="0037455E" w:rsidRDefault="00FD72E7" w:rsidP="00625EC5">
            <w:pPr>
              <w:pStyle w:val="ListParagraph"/>
              <w:spacing w:before="0" w:after="0"/>
              <w:ind w:left="346" w:hanging="313"/>
              <w:rPr>
                <w:rFonts w:cs="Arial"/>
              </w:rPr>
            </w:pPr>
            <w:r w:rsidRPr="0037455E">
              <w:rPr>
                <w:rFonts w:cs="Arial"/>
              </w:rPr>
              <w:t>o</w:t>
            </w:r>
            <w:r w:rsidR="0068727A" w:rsidRPr="0037455E">
              <w:rPr>
                <w:rFonts w:cs="Arial"/>
              </w:rPr>
              <w:t xml:space="preserve">vulation </w:t>
            </w:r>
            <w:r w:rsidRPr="0037455E">
              <w:rPr>
                <w:rFonts w:cs="Arial"/>
              </w:rPr>
              <w:t>i</w:t>
            </w:r>
            <w:r w:rsidR="0068727A" w:rsidRPr="0037455E">
              <w:rPr>
                <w:rFonts w:cs="Arial"/>
              </w:rPr>
              <w:t xml:space="preserve">nduction </w:t>
            </w:r>
            <w:r w:rsidR="00410181">
              <w:rPr>
                <w:rFonts w:cs="Arial"/>
              </w:rPr>
              <w:t xml:space="preserve">(OI) </w:t>
            </w:r>
            <w:r w:rsidR="00FB6D4A" w:rsidRPr="0037455E">
              <w:rPr>
                <w:rFonts w:cs="Arial"/>
              </w:rPr>
              <w:t>(includes</w:t>
            </w:r>
            <w:r w:rsidR="005216E1" w:rsidRPr="0037455E">
              <w:rPr>
                <w:rFonts w:cs="Arial"/>
              </w:rPr>
              <w:t xml:space="preserve"> incomplete cycles of </w:t>
            </w:r>
            <w:r w:rsidR="00410181">
              <w:rPr>
                <w:rFonts w:cs="Arial"/>
              </w:rPr>
              <w:t>OI</w:t>
            </w:r>
            <w:r w:rsidR="005216E1" w:rsidRPr="0037455E">
              <w:rPr>
                <w:rFonts w:cs="Arial"/>
              </w:rPr>
              <w:t xml:space="preserve"> that are stopped for poor response</w:t>
            </w:r>
            <w:r w:rsidR="00410181">
              <w:rPr>
                <w:rFonts w:cs="Arial"/>
              </w:rPr>
              <w:t>,</w:t>
            </w:r>
            <w:r w:rsidR="005216E1" w:rsidRPr="0037455E">
              <w:rPr>
                <w:rFonts w:cs="Arial"/>
              </w:rPr>
              <w:t xml:space="preserve"> or over-response to gonadotrophins</w:t>
            </w:r>
          </w:p>
          <w:p w14:paraId="12269C99" w14:textId="77777777" w:rsidR="0068727A" w:rsidRPr="0037455E" w:rsidRDefault="00FD72E7" w:rsidP="00625EC5">
            <w:pPr>
              <w:pStyle w:val="ListParagraph"/>
              <w:spacing w:before="0" w:after="0"/>
              <w:ind w:left="346" w:hanging="313"/>
              <w:rPr>
                <w:rFonts w:cs="Arial"/>
              </w:rPr>
            </w:pPr>
            <w:r w:rsidRPr="0037455E">
              <w:rPr>
                <w:rFonts w:cs="Arial"/>
              </w:rPr>
              <w:t>i</w:t>
            </w:r>
            <w:r w:rsidR="0068727A" w:rsidRPr="0037455E">
              <w:rPr>
                <w:rFonts w:cs="Arial"/>
              </w:rPr>
              <w:t xml:space="preserve">ntra </w:t>
            </w:r>
            <w:r w:rsidRPr="0037455E">
              <w:rPr>
                <w:rFonts w:cs="Arial"/>
              </w:rPr>
              <w:t>u</w:t>
            </w:r>
            <w:r w:rsidR="0068727A" w:rsidRPr="0037455E">
              <w:rPr>
                <w:rFonts w:cs="Arial"/>
              </w:rPr>
              <w:t xml:space="preserve">terine </w:t>
            </w:r>
            <w:r w:rsidRPr="0037455E">
              <w:rPr>
                <w:rFonts w:cs="Arial"/>
              </w:rPr>
              <w:t>i</w:t>
            </w:r>
            <w:r w:rsidR="0068727A" w:rsidRPr="0037455E">
              <w:rPr>
                <w:rFonts w:cs="Arial"/>
              </w:rPr>
              <w:t xml:space="preserve">nsemination, </w:t>
            </w:r>
            <w:r w:rsidR="00457F7F" w:rsidRPr="0037455E">
              <w:rPr>
                <w:rFonts w:cs="Arial"/>
              </w:rPr>
              <w:t xml:space="preserve">(IUI) </w:t>
            </w:r>
            <w:r w:rsidR="0068727A" w:rsidRPr="0037455E">
              <w:rPr>
                <w:rFonts w:cs="Arial"/>
              </w:rPr>
              <w:t>including hyper stimulation</w:t>
            </w:r>
          </w:p>
          <w:p w14:paraId="6E524FFA" w14:textId="77777777" w:rsidR="00847687" w:rsidRPr="0037455E" w:rsidRDefault="00FD72E7" w:rsidP="00625EC5">
            <w:pPr>
              <w:pStyle w:val="ListParagraph"/>
              <w:spacing w:before="0" w:after="0"/>
              <w:ind w:left="346" w:hanging="313"/>
              <w:rPr>
                <w:rFonts w:cs="Arial"/>
              </w:rPr>
            </w:pPr>
            <w:proofErr w:type="gramStart"/>
            <w:r w:rsidRPr="0037455E">
              <w:rPr>
                <w:rFonts w:cs="Arial"/>
              </w:rPr>
              <w:t>i</w:t>
            </w:r>
            <w:r w:rsidR="0068727A" w:rsidRPr="0037455E">
              <w:rPr>
                <w:rFonts w:cs="Arial"/>
              </w:rPr>
              <w:t>n</w:t>
            </w:r>
            <w:proofErr w:type="gramEnd"/>
            <w:r w:rsidR="0068727A" w:rsidRPr="0037455E">
              <w:rPr>
                <w:rFonts w:cs="Arial"/>
              </w:rPr>
              <w:t xml:space="preserve"> </w:t>
            </w:r>
            <w:r w:rsidRPr="0037455E">
              <w:rPr>
                <w:rFonts w:cs="Arial"/>
              </w:rPr>
              <w:t>v</w:t>
            </w:r>
            <w:r w:rsidR="0068727A" w:rsidRPr="0037455E">
              <w:rPr>
                <w:rFonts w:cs="Arial"/>
              </w:rPr>
              <w:t xml:space="preserve">itro </w:t>
            </w:r>
            <w:r w:rsidRPr="0037455E">
              <w:rPr>
                <w:rFonts w:cs="Arial"/>
              </w:rPr>
              <w:t>f</w:t>
            </w:r>
            <w:r w:rsidR="0068727A" w:rsidRPr="0037455E">
              <w:rPr>
                <w:rFonts w:cs="Arial"/>
              </w:rPr>
              <w:t>ertilisation (IVF)</w:t>
            </w:r>
            <w:r w:rsidR="00650961" w:rsidRPr="00A47006">
              <w:rPr>
                <w:rFonts w:cs="Arial"/>
              </w:rPr>
              <w:t xml:space="preserve"> This includes careful consideration of the number of embryos transferred in</w:t>
            </w:r>
            <w:r w:rsidR="00650961" w:rsidRPr="007B5B94">
              <w:rPr>
                <w:rFonts w:cs="Arial"/>
              </w:rPr>
              <w:t xml:space="preserve"> </w:t>
            </w:r>
            <w:r w:rsidR="00650961" w:rsidRPr="00B8677A">
              <w:rPr>
                <w:rFonts w:cs="Arial"/>
              </w:rPr>
              <w:t>In Vitro Fertilisation</w:t>
            </w:r>
            <w:r w:rsidR="00650961">
              <w:rPr>
                <w:rFonts w:cs="Arial"/>
              </w:rPr>
              <w:t xml:space="preserve"> (</w:t>
            </w:r>
            <w:r w:rsidR="00650961" w:rsidRPr="00A47006">
              <w:rPr>
                <w:rFonts w:cs="Arial"/>
              </w:rPr>
              <w:t>IVF</w:t>
            </w:r>
            <w:r w:rsidR="00650961">
              <w:rPr>
                <w:rFonts w:cs="Arial"/>
              </w:rPr>
              <w:t>)</w:t>
            </w:r>
            <w:r w:rsidR="00650961" w:rsidRPr="00A47006">
              <w:rPr>
                <w:rFonts w:cs="Arial"/>
              </w:rPr>
              <w:t xml:space="preserve"> and of the degree of ovarian stimulation in all treatments</w:t>
            </w:r>
            <w:r w:rsidR="00650961">
              <w:rPr>
                <w:rFonts w:cs="Arial"/>
              </w:rPr>
              <w:t>.</w:t>
            </w:r>
          </w:p>
          <w:p w14:paraId="66D32513" w14:textId="77777777" w:rsidR="00EE0746" w:rsidRPr="0037455E" w:rsidRDefault="00FD72E7" w:rsidP="00625EC5">
            <w:pPr>
              <w:pStyle w:val="ListParagraph"/>
              <w:spacing w:before="0" w:after="0"/>
              <w:ind w:left="346" w:hanging="313"/>
              <w:rPr>
                <w:rFonts w:cs="Arial"/>
              </w:rPr>
            </w:pPr>
            <w:r w:rsidRPr="0037455E">
              <w:rPr>
                <w:rFonts w:cs="Arial"/>
              </w:rPr>
              <w:t>i</w:t>
            </w:r>
            <w:r w:rsidR="00EE0746" w:rsidRPr="0037455E">
              <w:rPr>
                <w:rFonts w:cs="Arial"/>
              </w:rPr>
              <w:t xml:space="preserve">ntracytoplasmic </w:t>
            </w:r>
            <w:r w:rsidRPr="0037455E">
              <w:rPr>
                <w:rFonts w:cs="Arial"/>
              </w:rPr>
              <w:t>s</w:t>
            </w:r>
            <w:r w:rsidR="00EE0746" w:rsidRPr="0037455E">
              <w:rPr>
                <w:rFonts w:cs="Arial"/>
              </w:rPr>
              <w:t xml:space="preserve">perm </w:t>
            </w:r>
            <w:r w:rsidRPr="0037455E">
              <w:rPr>
                <w:rFonts w:cs="Arial"/>
              </w:rPr>
              <w:t>i</w:t>
            </w:r>
            <w:r w:rsidR="00EE0746" w:rsidRPr="0037455E">
              <w:rPr>
                <w:rFonts w:cs="Arial"/>
              </w:rPr>
              <w:t xml:space="preserve">njection (ICSI) including </w:t>
            </w:r>
            <w:r w:rsidR="000C3902">
              <w:rPr>
                <w:rFonts w:cs="Arial"/>
              </w:rPr>
              <w:t xml:space="preserve">surgical sperm </w:t>
            </w:r>
            <w:r w:rsidR="00EE0746" w:rsidRPr="0037455E">
              <w:rPr>
                <w:rFonts w:cs="Arial"/>
              </w:rPr>
              <w:t xml:space="preserve">retrieval </w:t>
            </w:r>
          </w:p>
          <w:p w14:paraId="4D424276" w14:textId="77777777" w:rsidR="005216E1" w:rsidRPr="0039415B" w:rsidRDefault="00FD72E7" w:rsidP="0039415B">
            <w:pPr>
              <w:pStyle w:val="ListParagraph"/>
              <w:spacing w:before="0" w:after="0"/>
              <w:ind w:left="346" w:hanging="313"/>
              <w:rPr>
                <w:rFonts w:cs="Arial"/>
              </w:rPr>
            </w:pPr>
            <w:r w:rsidRPr="0039415B">
              <w:rPr>
                <w:rFonts w:cs="Arial"/>
              </w:rPr>
              <w:t>d</w:t>
            </w:r>
            <w:r w:rsidR="00EE0746" w:rsidRPr="0039415B">
              <w:rPr>
                <w:rFonts w:cs="Arial"/>
              </w:rPr>
              <w:t xml:space="preserve">onor gametes and embryos </w:t>
            </w:r>
            <w:r w:rsidR="0039415B" w:rsidRPr="0039415B">
              <w:rPr>
                <w:rFonts w:cs="Arial"/>
              </w:rPr>
              <w:t>(</w:t>
            </w:r>
            <w:r w:rsidR="00953A97" w:rsidRPr="0039415B">
              <w:rPr>
                <w:rFonts w:cs="Arial"/>
              </w:rPr>
              <w:t>e</w:t>
            </w:r>
            <w:r w:rsidR="005216E1" w:rsidRPr="0039415B">
              <w:rPr>
                <w:rFonts w:cs="Arial"/>
              </w:rPr>
              <w:t>mbryos should normally be used</w:t>
            </w:r>
            <w:r w:rsidR="003C7411" w:rsidRPr="0039415B">
              <w:rPr>
                <w:rFonts w:cs="Arial"/>
              </w:rPr>
              <w:t xml:space="preserve"> </w:t>
            </w:r>
            <w:r w:rsidR="005216E1" w:rsidRPr="0039415B">
              <w:rPr>
                <w:rFonts w:cs="Arial"/>
              </w:rPr>
              <w:t>from the first oocyte pick up (OPU) cycle prior to commencing a second OPU cycle</w:t>
            </w:r>
            <w:r w:rsidR="0039415B">
              <w:rPr>
                <w:rFonts w:cs="Arial"/>
              </w:rPr>
              <w:t>)</w:t>
            </w:r>
          </w:p>
          <w:p w14:paraId="01FC8CAD" w14:textId="77777777" w:rsidR="005216E1" w:rsidRPr="0037455E" w:rsidRDefault="00FD72E7" w:rsidP="007442F4">
            <w:pPr>
              <w:pStyle w:val="ListParagraph"/>
              <w:spacing w:before="0" w:after="0"/>
              <w:ind w:left="346" w:hanging="313"/>
              <w:rPr>
                <w:rFonts w:cs="Arial"/>
              </w:rPr>
            </w:pPr>
            <w:proofErr w:type="gramStart"/>
            <w:r w:rsidRPr="0037455E">
              <w:rPr>
                <w:rFonts w:cs="Arial"/>
              </w:rPr>
              <w:t>s</w:t>
            </w:r>
            <w:r w:rsidR="00EE0746" w:rsidRPr="0037455E">
              <w:rPr>
                <w:rFonts w:cs="Arial"/>
              </w:rPr>
              <w:t>urrogacy</w:t>
            </w:r>
            <w:proofErr w:type="gramEnd"/>
            <w:r w:rsidR="007442F4">
              <w:rPr>
                <w:rFonts w:cs="Arial"/>
              </w:rPr>
              <w:t>.</w:t>
            </w:r>
          </w:p>
        </w:tc>
      </w:tr>
      <w:tr w:rsidR="00EE0746" w14:paraId="4BB5A190" w14:textId="77777777" w:rsidTr="00625EC5">
        <w:tc>
          <w:tcPr>
            <w:tcW w:w="2127" w:type="dxa"/>
            <w:tcBorders>
              <w:top w:val="single" w:sz="4" w:space="0" w:color="auto"/>
              <w:left w:val="single" w:sz="4" w:space="0" w:color="auto"/>
              <w:bottom w:val="single" w:sz="4" w:space="0" w:color="auto"/>
              <w:right w:val="single" w:sz="4" w:space="0" w:color="auto"/>
            </w:tcBorders>
          </w:tcPr>
          <w:p w14:paraId="2A36D173" w14:textId="77777777" w:rsidR="00EE0746" w:rsidRPr="0037455E" w:rsidRDefault="007B5B94" w:rsidP="0037455E">
            <w:pPr>
              <w:spacing w:before="0" w:after="0"/>
              <w:rPr>
                <w:rFonts w:cs="Arial"/>
                <w:bCs/>
              </w:rPr>
            </w:pPr>
            <w:r w:rsidRPr="0037455E">
              <w:rPr>
                <w:rFonts w:cs="Arial"/>
              </w:rPr>
              <w:t>Pre</w:t>
            </w:r>
            <w:r w:rsidR="00027445" w:rsidRPr="0037455E">
              <w:rPr>
                <w:rFonts w:cs="Arial"/>
              </w:rPr>
              <w:t>-</w:t>
            </w:r>
            <w:r w:rsidRPr="0037455E">
              <w:rPr>
                <w:rFonts w:cs="Arial"/>
              </w:rPr>
              <w:t>implantation genetic diagnosis</w:t>
            </w:r>
          </w:p>
        </w:tc>
        <w:tc>
          <w:tcPr>
            <w:tcW w:w="7541" w:type="dxa"/>
            <w:tcBorders>
              <w:top w:val="single" w:sz="4" w:space="0" w:color="auto"/>
              <w:left w:val="single" w:sz="4" w:space="0" w:color="auto"/>
              <w:bottom w:val="single" w:sz="4" w:space="0" w:color="auto"/>
              <w:right w:val="single" w:sz="4" w:space="0" w:color="auto"/>
            </w:tcBorders>
          </w:tcPr>
          <w:p w14:paraId="140DF31C" w14:textId="77777777" w:rsidR="00EE0746" w:rsidRPr="0037455E" w:rsidRDefault="00FD72E7" w:rsidP="00410181">
            <w:pPr>
              <w:spacing w:after="0"/>
              <w:ind w:left="33" w:hanging="33"/>
              <w:rPr>
                <w:rFonts w:cs="Arial"/>
              </w:rPr>
            </w:pPr>
            <w:r w:rsidRPr="0037455E">
              <w:rPr>
                <w:rFonts w:cs="Arial"/>
              </w:rPr>
              <w:t>Th</w:t>
            </w:r>
            <w:r w:rsidR="00CD1199" w:rsidRPr="0037455E">
              <w:rPr>
                <w:rFonts w:cs="Arial"/>
              </w:rPr>
              <w:t>is</w:t>
            </w:r>
            <w:r w:rsidRPr="0037455E">
              <w:rPr>
                <w:rFonts w:cs="Arial"/>
              </w:rPr>
              <w:t xml:space="preserve"> includes </w:t>
            </w:r>
            <w:r w:rsidR="00EE0746" w:rsidRPr="0037455E">
              <w:rPr>
                <w:rFonts w:cs="Arial"/>
              </w:rPr>
              <w:t xml:space="preserve">PGD and related IVF for diagnosis of familial single-gene disorders, sex determination for familial sex-linked disorders, </w:t>
            </w:r>
            <w:r w:rsidR="00EE0746" w:rsidRPr="0037455E">
              <w:rPr>
                <w:rFonts w:cs="Arial"/>
              </w:rPr>
              <w:lastRenderedPageBreak/>
              <w:t>and diagnosis of familial chromosomal disorders</w:t>
            </w:r>
            <w:r w:rsidR="006C45BB">
              <w:rPr>
                <w:rFonts w:cs="Arial"/>
              </w:rPr>
              <w:t xml:space="preserve"> that met the criteria for severity </w:t>
            </w:r>
            <w:r w:rsidR="00133AC4">
              <w:rPr>
                <w:rFonts w:cs="Arial"/>
              </w:rPr>
              <w:t xml:space="preserve">for </w:t>
            </w:r>
            <w:r w:rsidR="006C45BB">
              <w:rPr>
                <w:rFonts w:cs="Arial"/>
              </w:rPr>
              <w:t>established procedures under the HART Act</w:t>
            </w:r>
            <w:r w:rsidRPr="0037455E">
              <w:rPr>
                <w:rFonts w:cs="Arial"/>
              </w:rPr>
              <w:t>.</w:t>
            </w:r>
          </w:p>
          <w:p w14:paraId="763433D6" w14:textId="77777777" w:rsidR="00EE0746" w:rsidRPr="0037455E" w:rsidRDefault="00D94DD3" w:rsidP="00D94DD3">
            <w:pPr>
              <w:spacing w:after="0"/>
              <w:rPr>
                <w:rFonts w:cs="Arial"/>
              </w:rPr>
            </w:pPr>
            <w:r>
              <w:rPr>
                <w:rFonts w:cs="Arial"/>
              </w:rPr>
              <w:t>For</w:t>
            </w:r>
            <w:r w:rsidRPr="0037455E">
              <w:rPr>
                <w:rFonts w:cs="Arial"/>
              </w:rPr>
              <w:t xml:space="preserve"> </w:t>
            </w:r>
            <w:r w:rsidR="00EE0746" w:rsidRPr="0037455E">
              <w:rPr>
                <w:rFonts w:cs="Arial"/>
              </w:rPr>
              <w:t>individuals seeking PGD with human leukocyte antigen (HLA) tissue typing, the Guidelines on PGD with HLA tissue</w:t>
            </w:r>
            <w:r w:rsidR="00263824">
              <w:rPr>
                <w:rStyle w:val="FootnoteReference"/>
                <w:rFonts w:cs="Arial"/>
              </w:rPr>
              <w:footnoteReference w:id="11"/>
            </w:r>
            <w:r w:rsidR="00EE0746" w:rsidRPr="0037455E">
              <w:rPr>
                <w:rFonts w:cs="Arial"/>
              </w:rPr>
              <w:t xml:space="preserve"> typing</w:t>
            </w:r>
            <w:r w:rsidR="008E78CE" w:rsidRPr="0037455E">
              <w:rPr>
                <w:rFonts w:cs="Arial"/>
              </w:rPr>
              <w:t xml:space="preserve"> apply.</w:t>
            </w:r>
          </w:p>
        </w:tc>
      </w:tr>
      <w:tr w:rsidR="00585DA7" w14:paraId="45AC6F74" w14:textId="77777777" w:rsidTr="00625EC5">
        <w:tc>
          <w:tcPr>
            <w:tcW w:w="2127" w:type="dxa"/>
            <w:tcBorders>
              <w:top w:val="single" w:sz="4" w:space="0" w:color="auto"/>
              <w:left w:val="single" w:sz="4" w:space="0" w:color="auto"/>
              <w:bottom w:val="single" w:sz="4" w:space="0" w:color="auto"/>
              <w:right w:val="single" w:sz="4" w:space="0" w:color="auto"/>
            </w:tcBorders>
          </w:tcPr>
          <w:p w14:paraId="1203DEDE" w14:textId="77777777" w:rsidR="00585DA7" w:rsidRPr="0037455E" w:rsidRDefault="00585DA7" w:rsidP="0037455E">
            <w:pPr>
              <w:spacing w:before="0" w:after="0"/>
              <w:rPr>
                <w:rFonts w:cs="Arial"/>
              </w:rPr>
            </w:pPr>
            <w:r w:rsidRPr="0037455E">
              <w:rPr>
                <w:rFonts w:cs="Arial"/>
              </w:rPr>
              <w:lastRenderedPageBreak/>
              <w:t>Fertility Preservation</w:t>
            </w:r>
          </w:p>
        </w:tc>
        <w:tc>
          <w:tcPr>
            <w:tcW w:w="7541" w:type="dxa"/>
            <w:tcBorders>
              <w:top w:val="single" w:sz="4" w:space="0" w:color="auto"/>
              <w:left w:val="single" w:sz="4" w:space="0" w:color="auto"/>
              <w:bottom w:val="single" w:sz="4" w:space="0" w:color="auto"/>
              <w:right w:val="single" w:sz="4" w:space="0" w:color="auto"/>
            </w:tcBorders>
          </w:tcPr>
          <w:p w14:paraId="39899E0D" w14:textId="77777777" w:rsidR="00FD72E7" w:rsidRPr="0037455E" w:rsidRDefault="00FD72E7" w:rsidP="00410181">
            <w:pPr>
              <w:spacing w:after="0"/>
              <w:rPr>
                <w:rFonts w:cs="Arial"/>
              </w:rPr>
            </w:pPr>
            <w:r w:rsidRPr="0037455E">
              <w:rPr>
                <w:rFonts w:cs="Arial"/>
              </w:rPr>
              <w:t>Th</w:t>
            </w:r>
            <w:r w:rsidR="00CD1199" w:rsidRPr="0037455E">
              <w:rPr>
                <w:rFonts w:cs="Arial"/>
              </w:rPr>
              <w:t>is</w:t>
            </w:r>
            <w:r w:rsidRPr="0037455E">
              <w:rPr>
                <w:rFonts w:cs="Arial"/>
              </w:rPr>
              <w:t xml:space="preserve"> includes:</w:t>
            </w:r>
          </w:p>
          <w:p w14:paraId="6F81236C" w14:textId="77777777" w:rsidR="004A6A74" w:rsidRPr="0037455E" w:rsidRDefault="00FD72E7" w:rsidP="0037455E">
            <w:pPr>
              <w:pStyle w:val="ListParagraph"/>
              <w:spacing w:before="0" w:after="0"/>
              <w:ind w:hanging="534"/>
              <w:rPr>
                <w:rFonts w:cs="Arial"/>
              </w:rPr>
            </w:pPr>
            <w:r w:rsidRPr="0037455E">
              <w:rPr>
                <w:rFonts w:cs="Arial"/>
              </w:rPr>
              <w:t>a</w:t>
            </w:r>
            <w:r w:rsidR="004A6A74" w:rsidRPr="0037455E">
              <w:rPr>
                <w:rFonts w:cs="Arial"/>
              </w:rPr>
              <w:t>ssessment and investigation</w:t>
            </w:r>
          </w:p>
          <w:p w14:paraId="4838EA1C" w14:textId="77777777" w:rsidR="00585DA7" w:rsidRPr="0037455E" w:rsidRDefault="00FD72E7" w:rsidP="0037455E">
            <w:pPr>
              <w:pStyle w:val="ListParagraph"/>
              <w:spacing w:before="0" w:after="0"/>
              <w:ind w:hanging="534"/>
              <w:rPr>
                <w:rFonts w:cs="Arial"/>
              </w:rPr>
            </w:pPr>
            <w:r w:rsidRPr="0037455E">
              <w:rPr>
                <w:rFonts w:cs="Arial"/>
              </w:rPr>
              <w:t>r</w:t>
            </w:r>
            <w:r w:rsidR="00585DA7" w:rsidRPr="0037455E">
              <w:rPr>
                <w:rFonts w:cs="Arial"/>
              </w:rPr>
              <w:t>etrieval</w:t>
            </w:r>
            <w:r w:rsidR="004A6A74" w:rsidRPr="0037455E">
              <w:rPr>
                <w:rFonts w:cs="Arial"/>
              </w:rPr>
              <w:t>, freezing</w:t>
            </w:r>
            <w:r w:rsidR="00585DA7" w:rsidRPr="0037455E">
              <w:rPr>
                <w:rFonts w:cs="Arial"/>
              </w:rPr>
              <w:t xml:space="preserve"> </w:t>
            </w:r>
            <w:r w:rsidR="004A6A74" w:rsidRPr="0037455E">
              <w:rPr>
                <w:rFonts w:cs="Arial"/>
              </w:rPr>
              <w:t xml:space="preserve">and storage </w:t>
            </w:r>
            <w:r w:rsidR="00585DA7" w:rsidRPr="0037455E">
              <w:rPr>
                <w:rFonts w:cs="Arial"/>
              </w:rPr>
              <w:t>of gametes (eggs and sperm)</w:t>
            </w:r>
          </w:p>
          <w:p w14:paraId="4A7A0206" w14:textId="77777777" w:rsidR="00B60046" w:rsidRPr="0037455E" w:rsidRDefault="00FD72E7" w:rsidP="00C42CD8">
            <w:pPr>
              <w:pStyle w:val="ListParagraph"/>
              <w:spacing w:before="0" w:after="0"/>
              <w:ind w:hanging="534"/>
              <w:rPr>
                <w:rFonts w:cs="Arial"/>
              </w:rPr>
            </w:pPr>
            <w:proofErr w:type="gramStart"/>
            <w:r w:rsidRPr="0037455E">
              <w:rPr>
                <w:rFonts w:cs="Arial"/>
              </w:rPr>
              <w:t>e</w:t>
            </w:r>
            <w:r w:rsidR="004A6A74" w:rsidRPr="0037455E">
              <w:rPr>
                <w:rFonts w:cs="Arial"/>
              </w:rPr>
              <w:t>mbryo</w:t>
            </w:r>
            <w:proofErr w:type="gramEnd"/>
            <w:r w:rsidR="004A6A74" w:rsidRPr="0037455E">
              <w:rPr>
                <w:rFonts w:cs="Arial"/>
              </w:rPr>
              <w:t xml:space="preserve"> freezing and storage</w:t>
            </w:r>
            <w:r w:rsidR="007442F4">
              <w:rPr>
                <w:rFonts w:cs="Arial"/>
              </w:rPr>
              <w:t>.</w:t>
            </w:r>
          </w:p>
        </w:tc>
      </w:tr>
      <w:tr w:rsidR="00EE0746" w14:paraId="2568F4AC" w14:textId="77777777" w:rsidTr="00625EC5">
        <w:tc>
          <w:tcPr>
            <w:tcW w:w="2127" w:type="dxa"/>
            <w:tcBorders>
              <w:top w:val="single" w:sz="4" w:space="0" w:color="auto"/>
              <w:left w:val="single" w:sz="4" w:space="0" w:color="auto"/>
              <w:bottom w:val="single" w:sz="4" w:space="0" w:color="auto"/>
              <w:right w:val="single" w:sz="4" w:space="0" w:color="auto"/>
            </w:tcBorders>
          </w:tcPr>
          <w:p w14:paraId="033C95BA" w14:textId="77777777" w:rsidR="00EE0746" w:rsidRPr="0037455E" w:rsidRDefault="00EE0746" w:rsidP="004E5B17">
            <w:pPr>
              <w:spacing w:before="0" w:after="0"/>
              <w:rPr>
                <w:rFonts w:cs="Arial"/>
              </w:rPr>
            </w:pPr>
            <w:r w:rsidRPr="0037455E">
              <w:rPr>
                <w:rFonts w:cs="Arial"/>
              </w:rPr>
              <w:t>Peri-treatment care</w:t>
            </w:r>
          </w:p>
        </w:tc>
        <w:tc>
          <w:tcPr>
            <w:tcW w:w="7541" w:type="dxa"/>
            <w:tcBorders>
              <w:top w:val="single" w:sz="4" w:space="0" w:color="auto"/>
              <w:left w:val="single" w:sz="4" w:space="0" w:color="auto"/>
              <w:bottom w:val="single" w:sz="4" w:space="0" w:color="auto"/>
              <w:right w:val="single" w:sz="4" w:space="0" w:color="auto"/>
            </w:tcBorders>
          </w:tcPr>
          <w:p w14:paraId="4648B937" w14:textId="77777777" w:rsidR="00043851" w:rsidRPr="0037455E" w:rsidRDefault="00043851" w:rsidP="00410181">
            <w:pPr>
              <w:spacing w:after="0"/>
              <w:rPr>
                <w:rFonts w:cs="Arial"/>
                <w:lang w:val="en-US"/>
              </w:rPr>
            </w:pPr>
            <w:r w:rsidRPr="0037455E">
              <w:rPr>
                <w:rFonts w:cs="Arial"/>
                <w:lang w:val="en-US"/>
              </w:rPr>
              <w:t>Oocyte collection for IVF treatment.</w:t>
            </w:r>
          </w:p>
          <w:p w14:paraId="6EF6591C" w14:textId="77777777" w:rsidR="00043851" w:rsidRPr="0037455E" w:rsidRDefault="00043851" w:rsidP="00410181">
            <w:pPr>
              <w:spacing w:after="0"/>
              <w:rPr>
                <w:rFonts w:cs="Arial"/>
                <w:lang w:val="en-US"/>
              </w:rPr>
            </w:pPr>
            <w:r w:rsidRPr="0037455E">
              <w:rPr>
                <w:rFonts w:cs="Arial"/>
                <w:lang w:val="en-US"/>
              </w:rPr>
              <w:t>Sperm preparation, insemination of eggs, culture of embryos and embryo replacement for IVF/ICSI cycles.</w:t>
            </w:r>
          </w:p>
          <w:p w14:paraId="7BC567C0" w14:textId="77777777" w:rsidR="00992BF8" w:rsidRPr="004E5B17" w:rsidRDefault="00992BF8" w:rsidP="00410181">
            <w:pPr>
              <w:spacing w:after="0"/>
              <w:rPr>
                <w:rFonts w:cs="Arial"/>
                <w:lang w:val="en-US"/>
              </w:rPr>
            </w:pPr>
            <w:r w:rsidRPr="0037455E">
              <w:rPr>
                <w:rFonts w:cs="Arial"/>
                <w:lang w:val="en-US"/>
              </w:rPr>
              <w:t>Single Embryo Transfer</w:t>
            </w:r>
            <w:r w:rsidR="006C0372" w:rsidRPr="0037455E">
              <w:rPr>
                <w:rFonts w:cs="Arial"/>
                <w:lang w:val="en-US"/>
              </w:rPr>
              <w:t>:</w:t>
            </w:r>
            <w:r w:rsidR="00893D4B" w:rsidRPr="003C5138">
              <w:rPr>
                <w:rFonts w:cs="Arial"/>
                <w:lang w:val="en-US"/>
              </w:rPr>
              <w:t xml:space="preserve"> </w:t>
            </w:r>
            <w:r w:rsidR="00C3222F" w:rsidRPr="003C5138">
              <w:rPr>
                <w:rFonts w:cs="Arial"/>
                <w:lang w:val="en-US"/>
              </w:rPr>
              <w:t>t</w:t>
            </w:r>
            <w:r w:rsidR="00893D4B" w:rsidRPr="003C5138">
              <w:rPr>
                <w:rFonts w:cs="Arial"/>
                <w:lang w:val="en-US"/>
              </w:rPr>
              <w:t xml:space="preserve">ransfer of a single embryo will </w:t>
            </w:r>
            <w:r w:rsidR="00A51FAF">
              <w:rPr>
                <w:rFonts w:cs="Arial"/>
                <w:lang w:val="en-US"/>
              </w:rPr>
              <w:t xml:space="preserve">normally </w:t>
            </w:r>
            <w:r w:rsidR="00893D4B" w:rsidRPr="003C5138">
              <w:rPr>
                <w:rFonts w:cs="Arial"/>
                <w:lang w:val="en-US"/>
              </w:rPr>
              <w:t>be used in a public funded cycle</w:t>
            </w:r>
            <w:r w:rsidR="00DF22B3" w:rsidRPr="004E5B17">
              <w:rPr>
                <w:rFonts w:cs="Arial"/>
                <w:lang w:val="en-US"/>
              </w:rPr>
              <w:t>.</w:t>
            </w:r>
            <w:r w:rsidR="00130DB0" w:rsidRPr="004E5B17">
              <w:rPr>
                <w:rFonts w:cs="Arial"/>
                <w:lang w:val="en-US"/>
              </w:rPr>
              <w:t xml:space="preserve"> </w:t>
            </w:r>
            <w:r w:rsidR="00DF22B3" w:rsidRPr="004E5B17">
              <w:rPr>
                <w:rFonts w:cs="Arial"/>
                <w:lang w:val="en-US"/>
              </w:rPr>
              <w:t>Transfer of two embryos may be considered where the woman has not become pregnant despite four or more</w:t>
            </w:r>
            <w:r w:rsidR="008B4858">
              <w:rPr>
                <w:rFonts w:cs="Arial"/>
                <w:lang w:val="en-US"/>
              </w:rPr>
              <w:t xml:space="preserve"> transfers of</w:t>
            </w:r>
            <w:r w:rsidR="00DF22B3" w:rsidRPr="004E5B17">
              <w:rPr>
                <w:rFonts w:cs="Arial"/>
                <w:lang w:val="en-US"/>
              </w:rPr>
              <w:t xml:space="preserve"> </w:t>
            </w:r>
            <w:r w:rsidR="008B4858">
              <w:rPr>
                <w:rFonts w:cs="Arial"/>
                <w:lang w:val="en-US"/>
              </w:rPr>
              <w:t xml:space="preserve">single </w:t>
            </w:r>
            <w:r w:rsidR="00DF22B3" w:rsidRPr="004E5B17">
              <w:rPr>
                <w:rFonts w:cs="Arial"/>
                <w:lang w:val="en-US"/>
              </w:rPr>
              <w:t>embryos, and the risk of multiple pregnancy is low.</w:t>
            </w:r>
          </w:p>
          <w:p w14:paraId="5F2A3632" w14:textId="77777777" w:rsidR="00304ED6" w:rsidRPr="004E5B17" w:rsidRDefault="00304ED6" w:rsidP="00410181">
            <w:pPr>
              <w:spacing w:after="0"/>
              <w:rPr>
                <w:rFonts w:cs="Arial"/>
                <w:lang w:val="en-US"/>
              </w:rPr>
            </w:pPr>
            <w:r w:rsidRPr="004E5B17">
              <w:rPr>
                <w:rFonts w:cs="Arial"/>
                <w:lang w:val="en-US"/>
              </w:rPr>
              <w:t xml:space="preserve">Embryo freezing (if appropriate) and embryo storage for </w:t>
            </w:r>
            <w:r w:rsidR="007B6E75" w:rsidRPr="004E5B17">
              <w:rPr>
                <w:rFonts w:cs="Arial"/>
                <w:lang w:val="en-US"/>
              </w:rPr>
              <w:t xml:space="preserve">up to </w:t>
            </w:r>
            <w:r w:rsidRPr="004E5B17">
              <w:rPr>
                <w:rFonts w:cs="Arial"/>
                <w:lang w:val="en-US"/>
              </w:rPr>
              <w:t>18 months.</w:t>
            </w:r>
          </w:p>
          <w:p w14:paraId="716E0955" w14:textId="77777777" w:rsidR="00EE0746" w:rsidRPr="004E5B17" w:rsidRDefault="00304ED6" w:rsidP="00B82B49">
            <w:pPr>
              <w:spacing w:after="0"/>
              <w:rPr>
                <w:rFonts w:cs="Arial"/>
              </w:rPr>
            </w:pPr>
            <w:r w:rsidRPr="004E5B17">
              <w:rPr>
                <w:rFonts w:cs="Arial"/>
                <w:lang w:val="en-US"/>
              </w:rPr>
              <w:t>Immediate post treatment recovery including medical, nursing and other technical services as required.</w:t>
            </w:r>
          </w:p>
        </w:tc>
      </w:tr>
      <w:tr w:rsidR="00EE0746" w14:paraId="3CDF8632" w14:textId="77777777" w:rsidTr="00625EC5">
        <w:tc>
          <w:tcPr>
            <w:tcW w:w="2127" w:type="dxa"/>
            <w:tcBorders>
              <w:top w:val="single" w:sz="4" w:space="0" w:color="auto"/>
              <w:left w:val="single" w:sz="4" w:space="0" w:color="auto"/>
              <w:bottom w:val="single" w:sz="4" w:space="0" w:color="auto"/>
              <w:right w:val="single" w:sz="4" w:space="0" w:color="auto"/>
            </w:tcBorders>
          </w:tcPr>
          <w:p w14:paraId="467F2873" w14:textId="77777777" w:rsidR="00EE0746" w:rsidRPr="0037455E" w:rsidRDefault="00EE0746" w:rsidP="004E5B17">
            <w:pPr>
              <w:spacing w:before="0" w:after="0"/>
              <w:rPr>
                <w:rFonts w:cs="Arial"/>
              </w:rPr>
            </w:pPr>
            <w:r w:rsidRPr="0037455E">
              <w:rPr>
                <w:rFonts w:cs="Arial"/>
              </w:rPr>
              <w:t>Clinical follow-up</w:t>
            </w:r>
          </w:p>
        </w:tc>
        <w:tc>
          <w:tcPr>
            <w:tcW w:w="7541" w:type="dxa"/>
            <w:tcBorders>
              <w:top w:val="single" w:sz="4" w:space="0" w:color="auto"/>
              <w:left w:val="single" w:sz="4" w:space="0" w:color="auto"/>
              <w:bottom w:val="single" w:sz="4" w:space="0" w:color="auto"/>
              <w:right w:val="single" w:sz="4" w:space="0" w:color="auto"/>
            </w:tcBorders>
          </w:tcPr>
          <w:p w14:paraId="173FA5F0" w14:textId="77777777" w:rsidR="00EE0746" w:rsidRPr="0037455E" w:rsidRDefault="00EE0746" w:rsidP="00410181">
            <w:pPr>
              <w:spacing w:after="0"/>
              <w:rPr>
                <w:rFonts w:cs="Arial"/>
              </w:rPr>
            </w:pPr>
            <w:r w:rsidRPr="0037455E">
              <w:rPr>
                <w:rFonts w:cs="Arial"/>
              </w:rPr>
              <w:t xml:space="preserve">Fertility Specialist </w:t>
            </w:r>
            <w:r w:rsidR="007936E8" w:rsidRPr="0037455E">
              <w:rPr>
                <w:rFonts w:cs="Arial"/>
              </w:rPr>
              <w:t>a</w:t>
            </w:r>
            <w:r w:rsidRPr="0037455E">
              <w:rPr>
                <w:rFonts w:cs="Arial"/>
              </w:rPr>
              <w:t>ssessment of treatment effects and further treatment requirements</w:t>
            </w:r>
            <w:r w:rsidR="00917849" w:rsidRPr="0037455E">
              <w:rPr>
                <w:rFonts w:cs="Arial"/>
              </w:rPr>
              <w:t>.</w:t>
            </w:r>
          </w:p>
          <w:p w14:paraId="7FCD99B6" w14:textId="77777777" w:rsidR="00EE0746" w:rsidRPr="003C5138" w:rsidRDefault="00EE0746" w:rsidP="00410181">
            <w:pPr>
              <w:spacing w:after="0"/>
              <w:rPr>
                <w:rFonts w:cs="Arial"/>
              </w:rPr>
            </w:pPr>
            <w:r w:rsidRPr="003C5138">
              <w:rPr>
                <w:rFonts w:cs="Arial"/>
              </w:rPr>
              <w:t xml:space="preserve">Review Clinic </w:t>
            </w:r>
            <w:r w:rsidR="00A51FAF">
              <w:rPr>
                <w:rFonts w:cs="Arial"/>
              </w:rPr>
              <w:t xml:space="preserve">within </w:t>
            </w:r>
            <w:r w:rsidRPr="003C5138">
              <w:rPr>
                <w:rFonts w:cs="Arial"/>
              </w:rPr>
              <w:t xml:space="preserve">4 months post </w:t>
            </w:r>
            <w:r w:rsidR="009D0177">
              <w:rPr>
                <w:rFonts w:cs="Arial"/>
              </w:rPr>
              <w:t xml:space="preserve">treatment, </w:t>
            </w:r>
            <w:r w:rsidRPr="003C5138">
              <w:rPr>
                <w:rFonts w:cs="Arial"/>
              </w:rPr>
              <w:t>or as indicated.</w:t>
            </w:r>
          </w:p>
          <w:p w14:paraId="0D8EDDCC" w14:textId="77777777" w:rsidR="00EE0746" w:rsidRPr="004E5B17" w:rsidRDefault="00EE0746" w:rsidP="00410181">
            <w:pPr>
              <w:spacing w:after="0"/>
              <w:rPr>
                <w:rFonts w:cs="Arial"/>
              </w:rPr>
            </w:pPr>
            <w:r w:rsidRPr="004E5B17">
              <w:rPr>
                <w:rFonts w:cs="Arial"/>
              </w:rPr>
              <w:t>Early Pregnancy Assessment (</w:t>
            </w:r>
            <w:r w:rsidR="00502E7C" w:rsidRPr="004E5B17">
              <w:rPr>
                <w:rFonts w:cs="Arial"/>
              </w:rPr>
              <w:t xml:space="preserve">up </w:t>
            </w:r>
            <w:r w:rsidRPr="004E5B17">
              <w:rPr>
                <w:rFonts w:cs="Arial"/>
              </w:rPr>
              <w:t>to 1</w:t>
            </w:r>
            <w:r w:rsidR="00502E7C" w:rsidRPr="004E5B17">
              <w:rPr>
                <w:rFonts w:cs="Arial"/>
              </w:rPr>
              <w:t>0</w:t>
            </w:r>
            <w:r w:rsidRPr="004E5B17">
              <w:rPr>
                <w:rFonts w:cs="Arial"/>
              </w:rPr>
              <w:t xml:space="preserve"> weeks, </w:t>
            </w:r>
            <w:r w:rsidR="00502E7C" w:rsidRPr="004E5B17">
              <w:rPr>
                <w:rFonts w:cs="Arial"/>
              </w:rPr>
              <w:t>and</w:t>
            </w:r>
            <w:r w:rsidR="006C0372" w:rsidRPr="004E5B17">
              <w:rPr>
                <w:rFonts w:cs="Arial"/>
              </w:rPr>
              <w:t xml:space="preserve"> </w:t>
            </w:r>
            <w:r w:rsidRPr="004E5B17">
              <w:rPr>
                <w:rFonts w:cs="Arial"/>
              </w:rPr>
              <w:t>referr</w:t>
            </w:r>
            <w:r w:rsidR="006C0372" w:rsidRPr="004E5B17">
              <w:rPr>
                <w:rFonts w:cs="Arial"/>
              </w:rPr>
              <w:t>al</w:t>
            </w:r>
            <w:r w:rsidRPr="004E5B17">
              <w:rPr>
                <w:rFonts w:cs="Arial"/>
              </w:rPr>
              <w:t xml:space="preserve"> </w:t>
            </w:r>
            <w:r w:rsidR="0006483D" w:rsidRPr="004E5B17">
              <w:rPr>
                <w:rFonts w:cs="Arial"/>
              </w:rPr>
              <w:t>to the Lead Maternity Carer at 8 weeks after a scan confirming viability</w:t>
            </w:r>
            <w:r w:rsidRPr="004E5B17">
              <w:rPr>
                <w:rFonts w:cs="Arial"/>
              </w:rPr>
              <w:t>)</w:t>
            </w:r>
            <w:r w:rsidR="00917849" w:rsidRPr="004E5B17">
              <w:rPr>
                <w:rFonts w:cs="Arial"/>
              </w:rPr>
              <w:t>.</w:t>
            </w:r>
          </w:p>
        </w:tc>
      </w:tr>
      <w:tr w:rsidR="00EE0746" w14:paraId="383FD85A" w14:textId="77777777" w:rsidTr="00625EC5">
        <w:tc>
          <w:tcPr>
            <w:tcW w:w="2127" w:type="dxa"/>
            <w:tcBorders>
              <w:top w:val="single" w:sz="4" w:space="0" w:color="auto"/>
              <w:left w:val="single" w:sz="4" w:space="0" w:color="auto"/>
              <w:bottom w:val="single" w:sz="4" w:space="0" w:color="auto"/>
              <w:right w:val="single" w:sz="4" w:space="0" w:color="auto"/>
            </w:tcBorders>
          </w:tcPr>
          <w:p w14:paraId="662BF0A6" w14:textId="77777777" w:rsidR="00EE0746" w:rsidRPr="0037455E" w:rsidRDefault="00043851" w:rsidP="004E5B17">
            <w:pPr>
              <w:spacing w:before="0" w:after="0"/>
              <w:rPr>
                <w:rFonts w:cs="Arial"/>
              </w:rPr>
            </w:pPr>
            <w:r w:rsidRPr="0037455E">
              <w:rPr>
                <w:rFonts w:cs="Arial"/>
              </w:rPr>
              <w:t>Social Work and c</w:t>
            </w:r>
            <w:r w:rsidR="00EE0746" w:rsidRPr="0037455E">
              <w:rPr>
                <w:rFonts w:cs="Arial"/>
              </w:rPr>
              <w:t>ounselling services</w:t>
            </w:r>
          </w:p>
        </w:tc>
        <w:tc>
          <w:tcPr>
            <w:tcW w:w="7541" w:type="dxa"/>
            <w:tcBorders>
              <w:top w:val="single" w:sz="4" w:space="0" w:color="auto"/>
              <w:left w:val="single" w:sz="4" w:space="0" w:color="auto"/>
              <w:bottom w:val="single" w:sz="4" w:space="0" w:color="auto"/>
              <w:right w:val="single" w:sz="4" w:space="0" w:color="auto"/>
            </w:tcBorders>
          </w:tcPr>
          <w:p w14:paraId="3EBBEAE5" w14:textId="77777777" w:rsidR="00EE0746" w:rsidRPr="008A32E2" w:rsidRDefault="00ED6685" w:rsidP="00410181">
            <w:pPr>
              <w:spacing w:after="0"/>
              <w:rPr>
                <w:rFonts w:cs="Arial"/>
              </w:rPr>
            </w:pPr>
            <w:r>
              <w:rPr>
                <w:rFonts w:cs="Arial"/>
              </w:rPr>
              <w:t>Access to s</w:t>
            </w:r>
            <w:r w:rsidR="00EE0746" w:rsidRPr="0037455E">
              <w:rPr>
                <w:rFonts w:cs="Arial"/>
              </w:rPr>
              <w:t>ocial work and counselling</w:t>
            </w:r>
            <w:r>
              <w:rPr>
                <w:rFonts w:cs="Arial"/>
              </w:rPr>
              <w:t xml:space="preserve"> by specialist infertility counsellors</w:t>
            </w:r>
            <w:r w:rsidR="00EE0746" w:rsidRPr="0037455E">
              <w:rPr>
                <w:rFonts w:cs="Arial"/>
              </w:rPr>
              <w:t xml:space="preserve">, to address the social and psychological effects </w:t>
            </w:r>
            <w:r w:rsidR="009D0177" w:rsidRPr="00223D6E">
              <w:rPr>
                <w:rFonts w:cs="Arial"/>
              </w:rPr>
              <w:t>for Service Users</w:t>
            </w:r>
            <w:r w:rsidR="009D0177" w:rsidRPr="0037455E">
              <w:rPr>
                <w:rFonts w:cs="Arial"/>
              </w:rPr>
              <w:t xml:space="preserve"> </w:t>
            </w:r>
            <w:r w:rsidR="00EE0746" w:rsidRPr="0037455E">
              <w:rPr>
                <w:rFonts w:cs="Arial"/>
              </w:rPr>
              <w:t xml:space="preserve">undergoing </w:t>
            </w:r>
            <w:r w:rsidR="00EE0746" w:rsidRPr="003C5138">
              <w:rPr>
                <w:rFonts w:cs="Arial"/>
              </w:rPr>
              <w:t>fertility preservation treatments, infertility treatment</w:t>
            </w:r>
            <w:r w:rsidR="00EE0746" w:rsidRPr="004E5B17">
              <w:rPr>
                <w:rFonts w:cs="Arial"/>
              </w:rPr>
              <w:t xml:space="preserve">s, as well as other options such as adoption or </w:t>
            </w:r>
            <w:r w:rsidR="00EE0746" w:rsidRPr="00223D6E">
              <w:rPr>
                <w:rFonts w:cs="Arial"/>
              </w:rPr>
              <w:t xml:space="preserve">living without children. </w:t>
            </w:r>
          </w:p>
          <w:p w14:paraId="4A2F1DD2" w14:textId="77777777" w:rsidR="00EE0746" w:rsidRPr="004E5B17" w:rsidRDefault="00EE0746" w:rsidP="00410181">
            <w:pPr>
              <w:spacing w:after="0"/>
              <w:rPr>
                <w:rFonts w:cs="Arial"/>
              </w:rPr>
            </w:pPr>
            <w:r w:rsidRPr="004E5B17">
              <w:rPr>
                <w:rFonts w:cs="Arial"/>
              </w:rPr>
              <w:t>For those people seeking PGD</w:t>
            </w:r>
            <w:r w:rsidR="00CD1199" w:rsidRPr="004E5B17">
              <w:rPr>
                <w:rFonts w:cs="Arial"/>
              </w:rPr>
              <w:t>,</w:t>
            </w:r>
            <w:r w:rsidRPr="004E5B17">
              <w:rPr>
                <w:rFonts w:cs="Arial"/>
              </w:rPr>
              <w:t xml:space="preserve"> provision of information relevant for informed decision</w:t>
            </w:r>
            <w:r w:rsidR="00C5310D" w:rsidRPr="004E5B17">
              <w:rPr>
                <w:rFonts w:cs="Arial"/>
              </w:rPr>
              <w:t xml:space="preserve"> </w:t>
            </w:r>
            <w:r w:rsidRPr="004E5B17">
              <w:rPr>
                <w:rFonts w:cs="Arial"/>
              </w:rPr>
              <w:t xml:space="preserve">making </w:t>
            </w:r>
            <w:r w:rsidR="00B974B3" w:rsidRPr="004E5B17">
              <w:rPr>
                <w:rFonts w:cs="Arial"/>
              </w:rPr>
              <w:t xml:space="preserve">including </w:t>
            </w:r>
            <w:r w:rsidRPr="004E5B17">
              <w:rPr>
                <w:rFonts w:cs="Arial"/>
              </w:rPr>
              <w:t xml:space="preserve">psychosocial counselling and </w:t>
            </w:r>
            <w:r w:rsidR="00EF22E3" w:rsidRPr="004E5B17">
              <w:rPr>
                <w:rFonts w:cs="Arial"/>
              </w:rPr>
              <w:t>referral for</w:t>
            </w:r>
            <w:r w:rsidR="005E3041" w:rsidRPr="004E5B17">
              <w:rPr>
                <w:rFonts w:cs="Arial"/>
              </w:rPr>
              <w:t xml:space="preserve"> </w:t>
            </w:r>
            <w:r w:rsidRPr="004E5B17">
              <w:rPr>
                <w:rFonts w:cs="Arial"/>
              </w:rPr>
              <w:t xml:space="preserve">genetic counselling. </w:t>
            </w:r>
          </w:p>
          <w:p w14:paraId="0C97D7D6" w14:textId="77777777" w:rsidR="00EE0746" w:rsidRPr="004E5B17" w:rsidRDefault="00ED6685" w:rsidP="00410181">
            <w:pPr>
              <w:spacing w:after="0"/>
              <w:rPr>
                <w:rFonts w:cs="Arial"/>
              </w:rPr>
            </w:pPr>
            <w:r>
              <w:rPr>
                <w:rFonts w:cs="Arial"/>
              </w:rPr>
              <w:t>I</w:t>
            </w:r>
            <w:r w:rsidR="00EE0746" w:rsidRPr="004E5B17">
              <w:rPr>
                <w:rFonts w:cs="Arial"/>
              </w:rPr>
              <w:t xml:space="preserve">nvolvement of </w:t>
            </w:r>
            <w:r>
              <w:rPr>
                <w:rFonts w:cs="Arial"/>
              </w:rPr>
              <w:t xml:space="preserve">family and </w:t>
            </w:r>
            <w:r w:rsidR="00EE0746" w:rsidRPr="004E5B17">
              <w:rPr>
                <w:rFonts w:cs="Arial"/>
              </w:rPr>
              <w:t xml:space="preserve">whānau in counselling </w:t>
            </w:r>
            <w:r>
              <w:rPr>
                <w:rFonts w:cs="Arial"/>
              </w:rPr>
              <w:t xml:space="preserve">to meet the wishes and needs of </w:t>
            </w:r>
            <w:r w:rsidR="00C42CD8">
              <w:rPr>
                <w:rFonts w:cs="Arial"/>
              </w:rPr>
              <w:t>S</w:t>
            </w:r>
            <w:r>
              <w:rPr>
                <w:rFonts w:cs="Arial"/>
              </w:rPr>
              <w:t xml:space="preserve">ervice </w:t>
            </w:r>
            <w:r w:rsidR="00C42CD8">
              <w:rPr>
                <w:rFonts w:cs="Arial"/>
              </w:rPr>
              <w:t>U</w:t>
            </w:r>
            <w:r>
              <w:rPr>
                <w:rFonts w:cs="Arial"/>
              </w:rPr>
              <w:t>sers.</w:t>
            </w:r>
            <w:r w:rsidR="00EE0746" w:rsidRPr="004E5B17">
              <w:rPr>
                <w:rFonts w:cs="Arial"/>
              </w:rPr>
              <w:t xml:space="preserve"> </w:t>
            </w:r>
          </w:p>
        </w:tc>
      </w:tr>
      <w:tr w:rsidR="00EE0746" w14:paraId="454637AC" w14:textId="77777777" w:rsidTr="00625EC5">
        <w:tc>
          <w:tcPr>
            <w:tcW w:w="2127" w:type="dxa"/>
            <w:tcBorders>
              <w:top w:val="single" w:sz="4" w:space="0" w:color="auto"/>
              <w:left w:val="single" w:sz="4" w:space="0" w:color="auto"/>
              <w:bottom w:val="single" w:sz="4" w:space="0" w:color="auto"/>
              <w:right w:val="single" w:sz="4" w:space="0" w:color="auto"/>
            </w:tcBorders>
          </w:tcPr>
          <w:p w14:paraId="045BC399" w14:textId="77777777" w:rsidR="00EE0746" w:rsidRPr="0037455E" w:rsidRDefault="00EE0746" w:rsidP="0037455E">
            <w:pPr>
              <w:spacing w:before="0" w:after="0"/>
              <w:rPr>
                <w:rFonts w:cs="Arial"/>
              </w:rPr>
            </w:pPr>
            <w:r w:rsidRPr="0037455E">
              <w:rPr>
                <w:rFonts w:cs="Arial"/>
              </w:rPr>
              <w:t>Consultation and education services</w:t>
            </w:r>
          </w:p>
        </w:tc>
        <w:tc>
          <w:tcPr>
            <w:tcW w:w="7541" w:type="dxa"/>
            <w:tcBorders>
              <w:top w:val="single" w:sz="4" w:space="0" w:color="auto"/>
              <w:left w:val="single" w:sz="4" w:space="0" w:color="auto"/>
              <w:bottom w:val="single" w:sz="4" w:space="0" w:color="auto"/>
              <w:right w:val="single" w:sz="4" w:space="0" w:color="auto"/>
            </w:tcBorders>
          </w:tcPr>
          <w:p w14:paraId="4F6B8253" w14:textId="77777777" w:rsidR="00EE0746" w:rsidRPr="0037455E" w:rsidRDefault="00EE0746" w:rsidP="00410181">
            <w:pPr>
              <w:spacing w:after="0"/>
              <w:rPr>
                <w:rFonts w:cs="Arial"/>
              </w:rPr>
            </w:pPr>
            <w:r w:rsidRPr="0037455E">
              <w:rPr>
                <w:rFonts w:cs="Arial"/>
              </w:rPr>
              <w:t>Educative services are provided to GPs and specialists concerning appropriate referral protocols and indications for ART</w:t>
            </w:r>
            <w:r w:rsidR="007C6B52" w:rsidRPr="0037455E">
              <w:rPr>
                <w:rFonts w:cs="Arial"/>
              </w:rPr>
              <w:t>.</w:t>
            </w:r>
          </w:p>
          <w:p w14:paraId="6A737767" w14:textId="77777777" w:rsidR="00EE0746" w:rsidRPr="0037455E" w:rsidRDefault="00EE0746" w:rsidP="00410181">
            <w:pPr>
              <w:spacing w:after="0"/>
              <w:rPr>
                <w:rFonts w:cs="Arial"/>
              </w:rPr>
            </w:pPr>
            <w:r w:rsidRPr="0037455E">
              <w:rPr>
                <w:rFonts w:cs="Arial"/>
              </w:rPr>
              <w:lastRenderedPageBreak/>
              <w:t>Consultation and advisory services are provided to GPs and specialists concerning the condition and ongoing management of the referred Service Users.</w:t>
            </w:r>
          </w:p>
          <w:p w14:paraId="6AB88EAB" w14:textId="77777777" w:rsidR="00EE0746" w:rsidRPr="0037455E" w:rsidRDefault="00AF4B41" w:rsidP="00410181">
            <w:pPr>
              <w:spacing w:after="0"/>
              <w:rPr>
                <w:rFonts w:cs="Arial"/>
              </w:rPr>
            </w:pPr>
            <w:r w:rsidRPr="0037455E">
              <w:rPr>
                <w:rFonts w:cs="Arial"/>
              </w:rPr>
              <w:t>Provide</w:t>
            </w:r>
            <w:r w:rsidR="00EE0746" w:rsidRPr="0037455E">
              <w:rPr>
                <w:rFonts w:cs="Arial"/>
              </w:rPr>
              <w:t xml:space="preserve"> advice</w:t>
            </w:r>
            <w:r w:rsidR="00D0422C" w:rsidRPr="0037455E">
              <w:rPr>
                <w:rFonts w:cs="Arial"/>
              </w:rPr>
              <w:t xml:space="preserve">, as appropriate, </w:t>
            </w:r>
            <w:r w:rsidR="00EE0746" w:rsidRPr="0037455E">
              <w:rPr>
                <w:rFonts w:cs="Arial"/>
              </w:rPr>
              <w:t>to increase awareness of infertility, its prevention, and the minimisation of its impact among the general public.</w:t>
            </w:r>
          </w:p>
        </w:tc>
      </w:tr>
      <w:tr w:rsidR="00EE0746" w14:paraId="21B13241" w14:textId="77777777" w:rsidTr="00625EC5">
        <w:tc>
          <w:tcPr>
            <w:tcW w:w="2127" w:type="dxa"/>
            <w:tcBorders>
              <w:top w:val="single" w:sz="4" w:space="0" w:color="auto"/>
              <w:left w:val="single" w:sz="4" w:space="0" w:color="auto"/>
              <w:bottom w:val="single" w:sz="4" w:space="0" w:color="auto"/>
              <w:right w:val="single" w:sz="4" w:space="0" w:color="auto"/>
            </w:tcBorders>
          </w:tcPr>
          <w:p w14:paraId="31D29D7F" w14:textId="77777777" w:rsidR="00EE0746" w:rsidRPr="0037455E" w:rsidRDefault="00EE0746" w:rsidP="0037455E">
            <w:pPr>
              <w:spacing w:before="0" w:after="0"/>
              <w:rPr>
                <w:rFonts w:cs="Arial"/>
              </w:rPr>
            </w:pPr>
            <w:r w:rsidRPr="0037455E">
              <w:rPr>
                <w:rFonts w:cs="Arial"/>
              </w:rPr>
              <w:lastRenderedPageBreak/>
              <w:t xml:space="preserve">Referral to other services </w:t>
            </w:r>
          </w:p>
        </w:tc>
        <w:tc>
          <w:tcPr>
            <w:tcW w:w="7541" w:type="dxa"/>
            <w:tcBorders>
              <w:top w:val="single" w:sz="4" w:space="0" w:color="auto"/>
              <w:left w:val="single" w:sz="4" w:space="0" w:color="auto"/>
              <w:bottom w:val="single" w:sz="4" w:space="0" w:color="auto"/>
              <w:right w:val="single" w:sz="4" w:space="0" w:color="auto"/>
            </w:tcBorders>
          </w:tcPr>
          <w:p w14:paraId="77F0ED12" w14:textId="77777777" w:rsidR="00EE0746" w:rsidRPr="0037455E" w:rsidRDefault="00225ADA" w:rsidP="00025944">
            <w:pPr>
              <w:spacing w:after="0"/>
              <w:rPr>
                <w:rFonts w:cs="Arial"/>
              </w:rPr>
            </w:pPr>
            <w:r w:rsidRPr="0037455E">
              <w:rPr>
                <w:rFonts w:cs="Arial"/>
              </w:rPr>
              <w:t xml:space="preserve">See </w:t>
            </w:r>
            <w:r w:rsidR="003C53FE">
              <w:rPr>
                <w:rFonts w:cs="Arial"/>
              </w:rPr>
              <w:t xml:space="preserve">section </w:t>
            </w:r>
            <w:r w:rsidRPr="0037455E">
              <w:rPr>
                <w:rFonts w:cs="Arial"/>
              </w:rPr>
              <w:t>7. Service linkages</w:t>
            </w:r>
            <w:r w:rsidR="003C53FE">
              <w:rPr>
                <w:rFonts w:cs="Arial"/>
              </w:rPr>
              <w:t xml:space="preserve"> below</w:t>
            </w:r>
            <w:r w:rsidRPr="0037455E">
              <w:rPr>
                <w:rFonts w:cs="Arial"/>
              </w:rPr>
              <w:t>.</w:t>
            </w:r>
            <w:r w:rsidR="00410181">
              <w:rPr>
                <w:rFonts w:cs="Arial"/>
              </w:rPr>
              <w:t xml:space="preserve"> </w:t>
            </w:r>
            <w:proofErr w:type="gramStart"/>
            <w:r w:rsidR="00B82B49">
              <w:rPr>
                <w:rFonts w:cs="Arial"/>
              </w:rPr>
              <w:t>eg</w:t>
            </w:r>
            <w:proofErr w:type="gramEnd"/>
            <w:r w:rsidR="00EE0746" w:rsidRPr="0037455E">
              <w:rPr>
                <w:rFonts w:cs="Arial"/>
              </w:rPr>
              <w:t xml:space="preserve">: </w:t>
            </w:r>
            <w:r w:rsidR="00025944">
              <w:rPr>
                <w:rFonts w:cs="Arial"/>
              </w:rPr>
              <w:t>provide support for women</w:t>
            </w:r>
            <w:r w:rsidR="00372929">
              <w:rPr>
                <w:rFonts w:cs="Arial"/>
              </w:rPr>
              <w:t xml:space="preserve"> who have</w:t>
            </w:r>
            <w:r w:rsidR="00D16863" w:rsidRPr="0037455E">
              <w:rPr>
                <w:rFonts w:cs="Arial"/>
              </w:rPr>
              <w:t xml:space="preserve"> a raised Body Mass Index (BMI).</w:t>
            </w:r>
            <w:r w:rsidR="00223D6E">
              <w:rPr>
                <w:rFonts w:cs="Arial"/>
              </w:rPr>
              <w:t xml:space="preserve"> </w:t>
            </w:r>
            <w:r w:rsidR="00EE0746" w:rsidRPr="0037455E">
              <w:rPr>
                <w:rFonts w:cs="Arial"/>
              </w:rPr>
              <w:t>Diet/nutrition and exercise support offered to women whose BMI is in the higher range (</w:t>
            </w:r>
            <w:r w:rsidR="0039415B">
              <w:rPr>
                <w:rFonts w:cs="Arial"/>
              </w:rPr>
              <w:t xml:space="preserve">over </w:t>
            </w:r>
            <w:r w:rsidR="00EE0746" w:rsidRPr="0037455E">
              <w:rPr>
                <w:rFonts w:cs="Arial"/>
              </w:rPr>
              <w:t>28) to increase the chance of a successful pregnancy.</w:t>
            </w:r>
          </w:p>
          <w:p w14:paraId="70C3C6DE" w14:textId="77777777" w:rsidR="00B60046" w:rsidRPr="0037455E" w:rsidRDefault="00B60046" w:rsidP="00D94DD3">
            <w:pPr>
              <w:spacing w:after="0"/>
              <w:rPr>
                <w:rFonts w:cs="Arial"/>
              </w:rPr>
            </w:pPr>
            <w:r w:rsidRPr="0037455E">
              <w:rPr>
                <w:rFonts w:cs="Arial"/>
              </w:rPr>
              <w:t xml:space="preserve">Smoking cessation </w:t>
            </w:r>
            <w:r w:rsidR="00225ADA" w:rsidRPr="0037455E">
              <w:rPr>
                <w:rFonts w:cs="Arial"/>
              </w:rPr>
              <w:t>services.</w:t>
            </w:r>
          </w:p>
        </w:tc>
      </w:tr>
      <w:tr w:rsidR="006615EA" w14:paraId="45C4D7EE" w14:textId="77777777" w:rsidTr="00625EC5">
        <w:tc>
          <w:tcPr>
            <w:tcW w:w="2127" w:type="dxa"/>
            <w:tcBorders>
              <w:top w:val="single" w:sz="4" w:space="0" w:color="auto"/>
              <w:left w:val="single" w:sz="4" w:space="0" w:color="auto"/>
              <w:bottom w:val="single" w:sz="4" w:space="0" w:color="auto"/>
              <w:right w:val="single" w:sz="4" w:space="0" w:color="auto"/>
            </w:tcBorders>
          </w:tcPr>
          <w:p w14:paraId="25E1A7FB" w14:textId="77777777" w:rsidR="006615EA" w:rsidRPr="0037455E" w:rsidRDefault="006615EA" w:rsidP="0037455E">
            <w:pPr>
              <w:spacing w:before="0" w:after="0"/>
              <w:rPr>
                <w:rFonts w:cs="Arial"/>
              </w:rPr>
            </w:pPr>
            <w:r w:rsidRPr="0037455E">
              <w:rPr>
                <w:rFonts w:cs="Arial"/>
              </w:rPr>
              <w:t xml:space="preserve">Gamete and embryo storage </w:t>
            </w:r>
          </w:p>
        </w:tc>
        <w:tc>
          <w:tcPr>
            <w:tcW w:w="7541" w:type="dxa"/>
            <w:tcBorders>
              <w:top w:val="single" w:sz="4" w:space="0" w:color="auto"/>
              <w:left w:val="single" w:sz="4" w:space="0" w:color="auto"/>
              <w:bottom w:val="single" w:sz="4" w:space="0" w:color="auto"/>
              <w:right w:val="single" w:sz="4" w:space="0" w:color="auto"/>
            </w:tcBorders>
          </w:tcPr>
          <w:p w14:paraId="5CF5FCC8" w14:textId="77777777" w:rsidR="008D1348" w:rsidRPr="0037455E" w:rsidRDefault="008D1348" w:rsidP="00410181">
            <w:pPr>
              <w:spacing w:after="0"/>
              <w:rPr>
                <w:rFonts w:cs="Arial"/>
              </w:rPr>
            </w:pPr>
            <w:r w:rsidRPr="0037455E">
              <w:rPr>
                <w:rFonts w:cs="Arial"/>
              </w:rPr>
              <w:t>Management of:</w:t>
            </w:r>
          </w:p>
          <w:p w14:paraId="63EF7220" w14:textId="77777777" w:rsidR="006615EA" w:rsidRPr="0037455E" w:rsidRDefault="008D1348" w:rsidP="0037455E">
            <w:pPr>
              <w:pStyle w:val="ListParagraph"/>
              <w:spacing w:before="0" w:after="0"/>
              <w:ind w:hanging="534"/>
              <w:rPr>
                <w:rFonts w:cs="Arial"/>
              </w:rPr>
            </w:pPr>
            <w:r w:rsidRPr="0037455E">
              <w:rPr>
                <w:rFonts w:cs="Arial"/>
              </w:rPr>
              <w:t>e</w:t>
            </w:r>
            <w:r w:rsidR="006615EA" w:rsidRPr="0037455E">
              <w:rPr>
                <w:rFonts w:cs="Arial"/>
              </w:rPr>
              <w:t xml:space="preserve">mbryo storage for up to </w:t>
            </w:r>
            <w:r w:rsidR="00281B8D" w:rsidRPr="0037455E">
              <w:rPr>
                <w:rFonts w:cs="Arial"/>
              </w:rPr>
              <w:t>18 months</w:t>
            </w:r>
          </w:p>
          <w:p w14:paraId="73FA1DEC" w14:textId="77777777" w:rsidR="006615EA" w:rsidRPr="0037455E" w:rsidRDefault="008D1348" w:rsidP="0037455E">
            <w:pPr>
              <w:pStyle w:val="ListParagraph"/>
              <w:spacing w:before="0" w:after="0"/>
              <w:ind w:hanging="534"/>
              <w:rPr>
                <w:rFonts w:cs="Arial"/>
              </w:rPr>
            </w:pPr>
            <w:r w:rsidRPr="0037455E">
              <w:rPr>
                <w:rFonts w:cs="Arial"/>
              </w:rPr>
              <w:t>g</w:t>
            </w:r>
            <w:r w:rsidR="006615EA" w:rsidRPr="0037455E">
              <w:rPr>
                <w:rFonts w:cs="Arial"/>
              </w:rPr>
              <w:t>amete</w:t>
            </w:r>
            <w:r w:rsidR="00A725BA" w:rsidRPr="0037455E">
              <w:rPr>
                <w:rFonts w:cs="Arial"/>
              </w:rPr>
              <w:t xml:space="preserve"> (eggs and sperm)</w:t>
            </w:r>
            <w:r w:rsidR="006615EA" w:rsidRPr="0037455E">
              <w:rPr>
                <w:rFonts w:cs="Arial"/>
              </w:rPr>
              <w:t xml:space="preserve"> and embryo storage for </w:t>
            </w:r>
            <w:r w:rsidRPr="0037455E">
              <w:rPr>
                <w:rFonts w:cs="Arial"/>
              </w:rPr>
              <w:t xml:space="preserve">up to </w:t>
            </w:r>
            <w:r w:rsidR="006615EA" w:rsidRPr="0037455E">
              <w:rPr>
                <w:rFonts w:cs="Arial"/>
              </w:rPr>
              <w:t xml:space="preserve">10 years </w:t>
            </w:r>
            <w:r w:rsidR="00D0422C" w:rsidRPr="0037455E">
              <w:rPr>
                <w:rFonts w:cs="Arial"/>
              </w:rPr>
              <w:t>a</w:t>
            </w:r>
            <w:r w:rsidR="006615EA" w:rsidRPr="0037455E">
              <w:rPr>
                <w:rFonts w:cs="Arial"/>
              </w:rPr>
              <w:t xml:space="preserve">s part of a </w:t>
            </w:r>
            <w:r w:rsidRPr="0037455E">
              <w:rPr>
                <w:rFonts w:cs="Arial"/>
              </w:rPr>
              <w:t xml:space="preserve">clinical </w:t>
            </w:r>
            <w:r w:rsidR="006615EA" w:rsidRPr="0037455E">
              <w:rPr>
                <w:rFonts w:cs="Arial"/>
              </w:rPr>
              <w:t>treatment plan for fertility preservation</w:t>
            </w:r>
          </w:p>
          <w:p w14:paraId="5D5AE0F1" w14:textId="77777777" w:rsidR="000248F9" w:rsidRPr="0037455E" w:rsidRDefault="006615EA" w:rsidP="0037455E">
            <w:pPr>
              <w:pStyle w:val="ListParagraph"/>
              <w:spacing w:before="0" w:after="0"/>
              <w:ind w:hanging="534"/>
              <w:rPr>
                <w:rFonts w:cs="Arial"/>
              </w:rPr>
            </w:pPr>
            <w:r w:rsidRPr="0037455E">
              <w:rPr>
                <w:rFonts w:cs="Arial"/>
              </w:rPr>
              <w:t>disposal of embryos beyond 10 years of storage</w:t>
            </w:r>
            <w:r w:rsidR="00225ADA" w:rsidRPr="0037455E">
              <w:rPr>
                <w:rFonts w:cs="Arial"/>
              </w:rPr>
              <w:t>,</w:t>
            </w:r>
            <w:r w:rsidR="00B53AA8" w:rsidRPr="0037455E">
              <w:rPr>
                <w:rFonts w:cs="Arial"/>
              </w:rPr>
              <w:t xml:space="preserve"> if no time extension has been approved by ECART</w:t>
            </w:r>
          </w:p>
          <w:p w14:paraId="02746149" w14:textId="77777777" w:rsidR="00A725BA" w:rsidRPr="0037455E" w:rsidRDefault="000248F9" w:rsidP="0037455E">
            <w:pPr>
              <w:pStyle w:val="ListParagraph"/>
              <w:spacing w:before="0" w:after="0"/>
              <w:ind w:hanging="534"/>
              <w:rPr>
                <w:rFonts w:cs="Arial"/>
              </w:rPr>
            </w:pPr>
            <w:r w:rsidRPr="0037455E">
              <w:rPr>
                <w:rFonts w:cs="Arial"/>
              </w:rPr>
              <w:t>communication with Service Users who have frozen gametes or embryos</w:t>
            </w:r>
            <w:r w:rsidR="00225ADA" w:rsidRPr="0037455E">
              <w:rPr>
                <w:rFonts w:cs="Arial"/>
              </w:rPr>
              <w:t>,</w:t>
            </w:r>
            <w:r w:rsidRPr="0037455E">
              <w:rPr>
                <w:rFonts w:cs="Arial"/>
              </w:rPr>
              <w:t xml:space="preserve"> </w:t>
            </w:r>
            <w:r w:rsidR="00225ADA" w:rsidRPr="0037455E">
              <w:rPr>
                <w:rFonts w:cs="Arial"/>
              </w:rPr>
              <w:t xml:space="preserve">as appropriate, particularly those who are </w:t>
            </w:r>
            <w:r w:rsidRPr="0037455E">
              <w:rPr>
                <w:rFonts w:cs="Arial"/>
              </w:rPr>
              <w:t>approaching the 10 year funded storage timeframe</w:t>
            </w:r>
            <w:r w:rsidR="00410181">
              <w:rPr>
                <w:rFonts w:cs="Arial"/>
              </w:rPr>
              <w:t>,</w:t>
            </w:r>
            <w:r w:rsidRPr="0037455E">
              <w:rPr>
                <w:rFonts w:cs="Arial"/>
              </w:rPr>
              <w:t xml:space="preserve"> to receive </w:t>
            </w:r>
            <w:r w:rsidR="00281B8D" w:rsidRPr="0037455E">
              <w:rPr>
                <w:rFonts w:cs="Arial"/>
              </w:rPr>
              <w:t xml:space="preserve">information </w:t>
            </w:r>
            <w:r w:rsidRPr="0037455E">
              <w:rPr>
                <w:rFonts w:cs="Arial"/>
              </w:rPr>
              <w:t>on the disposal</w:t>
            </w:r>
            <w:r w:rsidR="00410181">
              <w:rPr>
                <w:rFonts w:cs="Arial"/>
              </w:rPr>
              <w:t xml:space="preserve">, </w:t>
            </w:r>
            <w:r w:rsidRPr="0037455E">
              <w:rPr>
                <w:rFonts w:cs="Arial"/>
              </w:rPr>
              <w:t>or extension of storage.</w:t>
            </w:r>
            <w:r w:rsidR="006615EA" w:rsidRPr="0037455E">
              <w:rPr>
                <w:rFonts w:cs="Arial"/>
              </w:rPr>
              <w:t xml:space="preserve"> </w:t>
            </w:r>
          </w:p>
        </w:tc>
      </w:tr>
    </w:tbl>
    <w:p w14:paraId="2B9C97F6" w14:textId="77777777" w:rsidR="00EE0746" w:rsidRDefault="00A82988" w:rsidP="00912CEA">
      <w:pPr>
        <w:pStyle w:val="Heading2"/>
        <w:numPr>
          <w:ilvl w:val="0"/>
          <w:numId w:val="0"/>
        </w:numPr>
        <w:ind w:left="720"/>
      </w:pPr>
      <w:bookmarkStart w:id="47" w:name="_Toc215319147"/>
      <w:r>
        <w:t>5.2</w:t>
      </w:r>
      <w:r>
        <w:tab/>
      </w:r>
      <w:r w:rsidR="00EE0746" w:rsidRPr="009344DA">
        <w:t>Settings</w:t>
      </w:r>
      <w:bookmarkEnd w:id="47"/>
    </w:p>
    <w:p w14:paraId="317E8253" w14:textId="77777777" w:rsidR="00EE0746" w:rsidRPr="00DD1723" w:rsidRDefault="00EE0746" w:rsidP="00D16863">
      <w:pPr>
        <w:spacing w:after="0"/>
        <w:rPr>
          <w:rFonts w:cs="Arial"/>
        </w:rPr>
      </w:pPr>
      <w:r w:rsidRPr="00DD1723">
        <w:rPr>
          <w:rFonts w:cs="Arial"/>
        </w:rPr>
        <w:t xml:space="preserve">The Service will be </w:t>
      </w:r>
      <w:r w:rsidR="00437A0B">
        <w:rPr>
          <w:rFonts w:cs="Arial"/>
        </w:rPr>
        <w:t>delivered</w:t>
      </w:r>
      <w:r w:rsidRPr="00DD1723">
        <w:rPr>
          <w:rFonts w:cs="Arial"/>
        </w:rPr>
        <w:t xml:space="preserve"> in a</w:t>
      </w:r>
      <w:r w:rsidR="00457F7F">
        <w:rPr>
          <w:rFonts w:cs="Arial"/>
        </w:rPr>
        <w:t xml:space="preserve">n </w:t>
      </w:r>
      <w:r w:rsidRPr="00DD1723">
        <w:rPr>
          <w:rFonts w:cs="Arial"/>
        </w:rPr>
        <w:t xml:space="preserve">appropriate </w:t>
      </w:r>
      <w:r w:rsidR="00457F7F">
        <w:rPr>
          <w:rFonts w:cs="Arial"/>
        </w:rPr>
        <w:t>setting</w:t>
      </w:r>
      <w:r w:rsidR="00437A0B">
        <w:rPr>
          <w:rFonts w:cs="Arial"/>
        </w:rPr>
        <w:t xml:space="preserve"> </w:t>
      </w:r>
      <w:r w:rsidR="008A727C">
        <w:rPr>
          <w:rFonts w:cs="Arial"/>
        </w:rPr>
        <w:t>to achieve</w:t>
      </w:r>
      <w:r w:rsidR="008D1348" w:rsidRPr="008D1348">
        <w:rPr>
          <w:rFonts w:cs="Arial"/>
        </w:rPr>
        <w:t xml:space="preserve"> the best outcomes </w:t>
      </w:r>
      <w:r w:rsidR="00457F7F">
        <w:rPr>
          <w:rFonts w:cs="Arial"/>
        </w:rPr>
        <w:t xml:space="preserve">and </w:t>
      </w:r>
      <w:r w:rsidRPr="00DD1723">
        <w:rPr>
          <w:rFonts w:cs="Arial"/>
        </w:rPr>
        <w:t>consider cultural appropriateness, accessibility and the most effective and efficient use of resources</w:t>
      </w:r>
      <w:r w:rsidR="008A727C">
        <w:rPr>
          <w:rFonts w:cs="Arial"/>
        </w:rPr>
        <w:t>.</w:t>
      </w:r>
    </w:p>
    <w:p w14:paraId="5D5A6857" w14:textId="77777777" w:rsidR="00A82988" w:rsidRDefault="00EE0746" w:rsidP="00A82988">
      <w:r w:rsidRPr="00C64E85">
        <w:t xml:space="preserve">A </w:t>
      </w:r>
      <w:r w:rsidR="00C5310D" w:rsidRPr="00C64E85">
        <w:t>whānau</w:t>
      </w:r>
      <w:r w:rsidRPr="00C64E85">
        <w:t xml:space="preserve"> room is provided within </w:t>
      </w:r>
      <w:r>
        <w:t>the</w:t>
      </w:r>
      <w:r w:rsidRPr="00C64E85">
        <w:t xml:space="preserve"> facility for </w:t>
      </w:r>
      <w:r w:rsidR="00A82988">
        <w:t xml:space="preserve">the use of </w:t>
      </w:r>
      <w:r>
        <w:t>a</w:t>
      </w:r>
      <w:r w:rsidRPr="00C64E85">
        <w:t xml:space="preserve"> </w:t>
      </w:r>
      <w:r>
        <w:t>Service User</w:t>
      </w:r>
      <w:r w:rsidR="00A82988">
        <w:t xml:space="preserve"> and their </w:t>
      </w:r>
      <w:r w:rsidRPr="00C64E85">
        <w:t>wh</w:t>
      </w:r>
      <w:r>
        <w:t>ā</w:t>
      </w:r>
      <w:r w:rsidRPr="00C64E85">
        <w:t>nau.</w:t>
      </w:r>
    </w:p>
    <w:p w14:paraId="7061C8AA" w14:textId="77777777" w:rsidR="009D0177" w:rsidRPr="00EE0746" w:rsidRDefault="00A82988" w:rsidP="00912CEA">
      <w:pPr>
        <w:pStyle w:val="Heading2"/>
        <w:numPr>
          <w:ilvl w:val="0"/>
          <w:numId w:val="0"/>
        </w:numPr>
        <w:ind w:left="720"/>
      </w:pPr>
      <w:r>
        <w:t>5.3</w:t>
      </w:r>
      <w:r>
        <w:tab/>
      </w:r>
      <w:r w:rsidR="009D0177" w:rsidRPr="00420FBD">
        <w:t>Key Inputs</w:t>
      </w:r>
    </w:p>
    <w:p w14:paraId="725C13A5" w14:textId="77777777" w:rsidR="009D0177" w:rsidRDefault="009D0177" w:rsidP="009D0177">
      <w:pPr>
        <w:rPr>
          <w:rFonts w:cs="Arial"/>
        </w:rPr>
      </w:pPr>
      <w:r w:rsidRPr="00CB4FD5">
        <w:rPr>
          <w:rFonts w:cs="Arial"/>
        </w:rPr>
        <w:t>All health professionals must meet the Fertil</w:t>
      </w:r>
      <w:r>
        <w:rPr>
          <w:rFonts w:cs="Arial"/>
        </w:rPr>
        <w:t>ity Standard 8181 requirements.</w:t>
      </w:r>
      <w:r>
        <w:rPr>
          <w:rStyle w:val="FootnoteReference"/>
          <w:rFonts w:cs="Arial"/>
        </w:rPr>
        <w:footnoteReference w:id="12"/>
      </w:r>
    </w:p>
    <w:p w14:paraId="516AA4BD" w14:textId="77777777" w:rsidR="009D0177" w:rsidRDefault="009D0177" w:rsidP="009D0177">
      <w:pPr>
        <w:rPr>
          <w:rFonts w:cs="Arial"/>
        </w:rPr>
      </w:pPr>
      <w:r w:rsidRPr="00420FBD">
        <w:rPr>
          <w:rFonts w:cs="Arial"/>
        </w:rPr>
        <w:t xml:space="preserve">All </w:t>
      </w:r>
      <w:r>
        <w:rPr>
          <w:rFonts w:cs="Arial"/>
        </w:rPr>
        <w:t>other health</w:t>
      </w:r>
      <w:r w:rsidRPr="00420FBD">
        <w:rPr>
          <w:rFonts w:cs="Arial"/>
        </w:rPr>
        <w:t xml:space="preserve"> professionals providing the </w:t>
      </w:r>
      <w:r>
        <w:rPr>
          <w:rFonts w:cs="Arial"/>
        </w:rPr>
        <w:t>S</w:t>
      </w:r>
      <w:r w:rsidRPr="00420FBD">
        <w:rPr>
          <w:rFonts w:cs="Arial"/>
        </w:rPr>
        <w:t>ervice must hold a current practising certificate applicable to their profession</w:t>
      </w:r>
      <w:r>
        <w:rPr>
          <w:rFonts w:cs="Arial"/>
        </w:rPr>
        <w:t xml:space="preserve"> and</w:t>
      </w:r>
      <w:r w:rsidRPr="00420FBD">
        <w:rPr>
          <w:rFonts w:cs="Arial"/>
        </w:rPr>
        <w:t xml:space="preserve"> will supervise all health professionals under training programmes who do not yet hold current practising certificates.</w:t>
      </w:r>
    </w:p>
    <w:p w14:paraId="033ED3FC" w14:textId="77777777" w:rsidR="009D0177" w:rsidRPr="00C64E85" w:rsidRDefault="009D0177" w:rsidP="009D0177">
      <w:pPr>
        <w:rPr>
          <w:rFonts w:cs="Arial"/>
        </w:rPr>
      </w:pPr>
      <w:r w:rsidRPr="00AF4B41">
        <w:rPr>
          <w:rFonts w:cs="Arial"/>
        </w:rPr>
        <w:t>Provision of consumable supplies includes, but is not limited to</w:t>
      </w:r>
      <w:r w:rsidR="00974467">
        <w:rPr>
          <w:rFonts w:cs="Arial"/>
        </w:rPr>
        <w:t>,</w:t>
      </w:r>
      <w:r w:rsidRPr="00AF4B41">
        <w:rPr>
          <w:rFonts w:cs="Arial"/>
        </w:rPr>
        <w:t xml:space="preserve"> anaesthetic agents and other pharmaceuticals and disposable equipment while the Service User is in the clinic or hospital.</w:t>
      </w:r>
      <w:r w:rsidRPr="00C64E85">
        <w:rPr>
          <w:rFonts w:cs="Arial"/>
        </w:rPr>
        <w:t xml:space="preserve"> </w:t>
      </w:r>
    </w:p>
    <w:p w14:paraId="1C571E8D" w14:textId="77777777" w:rsidR="00EE0746" w:rsidRDefault="00EE0746" w:rsidP="00953A97">
      <w:pPr>
        <w:pStyle w:val="Heading1"/>
      </w:pPr>
      <w:bookmarkStart w:id="48" w:name="_Toc215319150"/>
      <w:r w:rsidRPr="009344DA">
        <w:t xml:space="preserve">Support </w:t>
      </w:r>
      <w:r>
        <w:t>S</w:t>
      </w:r>
      <w:r w:rsidRPr="009344DA">
        <w:t>ervices</w:t>
      </w:r>
      <w:bookmarkEnd w:id="48"/>
    </w:p>
    <w:p w14:paraId="553BBCF3" w14:textId="77777777" w:rsidR="00EE0746" w:rsidRDefault="007C5C1E" w:rsidP="00EE0746">
      <w:pPr>
        <w:rPr>
          <w:rFonts w:cs="Arial"/>
        </w:rPr>
      </w:pPr>
      <w:r>
        <w:rPr>
          <w:rFonts w:cs="Arial"/>
          <w:color w:val="000000"/>
          <w:lang w:val="en-GB" w:eastAsia="en-GB"/>
        </w:rPr>
        <w:t>T</w:t>
      </w:r>
      <w:r w:rsidR="00EE0746">
        <w:rPr>
          <w:rFonts w:cs="Arial"/>
          <w:color w:val="000000"/>
          <w:lang w:val="en-GB" w:eastAsia="en-GB"/>
        </w:rPr>
        <w:t>he following support services a</w:t>
      </w:r>
      <w:r w:rsidR="00992BF8">
        <w:rPr>
          <w:rFonts w:cs="Arial"/>
          <w:color w:val="000000"/>
          <w:lang w:val="en-GB" w:eastAsia="en-GB"/>
        </w:rPr>
        <w:t>re</w:t>
      </w:r>
      <w:r w:rsidR="00EE0746">
        <w:rPr>
          <w:rFonts w:cs="Arial"/>
          <w:color w:val="000000"/>
          <w:lang w:val="en-GB" w:eastAsia="en-GB"/>
        </w:rPr>
        <w:t xml:space="preserve"> </w:t>
      </w:r>
      <w:r w:rsidR="008A727C">
        <w:rPr>
          <w:rFonts w:cs="Arial"/>
          <w:color w:val="000000"/>
          <w:lang w:val="en-GB" w:eastAsia="en-GB"/>
        </w:rPr>
        <w:t>required to enable the delivery of th</w:t>
      </w:r>
      <w:r w:rsidR="00C005B5">
        <w:rPr>
          <w:rFonts w:cs="Arial"/>
          <w:color w:val="000000"/>
          <w:lang w:val="en-GB" w:eastAsia="en-GB"/>
        </w:rPr>
        <w:t>is</w:t>
      </w:r>
      <w:r w:rsidR="008A727C">
        <w:rPr>
          <w:rFonts w:cs="Arial"/>
          <w:color w:val="000000"/>
          <w:lang w:val="en-GB" w:eastAsia="en-GB"/>
        </w:rPr>
        <w:t xml:space="preserve"> Service</w:t>
      </w:r>
      <w:r w:rsidR="00C005B5">
        <w:rPr>
          <w:rFonts w:cs="Arial"/>
          <w:color w:val="000000"/>
          <w:lang w:val="en-GB" w:eastAsia="en-GB"/>
        </w:rPr>
        <w:t>,</w:t>
      </w:r>
      <w:r w:rsidR="008A727C">
        <w:rPr>
          <w:rFonts w:cs="Arial"/>
          <w:color w:val="000000"/>
          <w:lang w:val="en-GB" w:eastAsia="en-GB"/>
        </w:rPr>
        <w:t xml:space="preserve"> and are included in the price for this Service</w:t>
      </w:r>
      <w:r w:rsidR="00EE0746">
        <w:rPr>
          <w:rFonts w:cs="Arial"/>
          <w:color w:val="000000"/>
          <w:lang w:val="en-GB" w:eastAsia="en-GB"/>
        </w:rPr>
        <w:t>:</w:t>
      </w:r>
      <w:r w:rsidR="00EE0746" w:rsidRPr="00626C13">
        <w:rPr>
          <w:rFonts w:cs="Arial"/>
        </w:rPr>
        <w:t xml:space="preserve"> </w:t>
      </w:r>
    </w:p>
    <w:p w14:paraId="6FCC89D2" w14:textId="77777777" w:rsidR="00EE0746" w:rsidRPr="00FD4AD2" w:rsidRDefault="00EE0746" w:rsidP="00AF4B41">
      <w:pPr>
        <w:pStyle w:val="ListParagraph"/>
        <w:ind w:hanging="567"/>
      </w:pPr>
      <w:r w:rsidRPr="00FD4AD2">
        <w:lastRenderedPageBreak/>
        <w:t>operating theatre</w:t>
      </w:r>
      <w:r w:rsidR="0039415B">
        <w:t>,</w:t>
      </w:r>
      <w:r w:rsidRPr="00FD4AD2">
        <w:t xml:space="preserve"> </w:t>
      </w:r>
      <w:r w:rsidR="00974467">
        <w:t xml:space="preserve">analgesic and </w:t>
      </w:r>
      <w:r w:rsidRPr="00FD4AD2">
        <w:t>anaesthetic services</w:t>
      </w:r>
    </w:p>
    <w:p w14:paraId="14D02B70" w14:textId="77777777" w:rsidR="00EE0746" w:rsidRDefault="00EE0746" w:rsidP="00AF4B41">
      <w:pPr>
        <w:pStyle w:val="ListParagraph"/>
        <w:ind w:hanging="567"/>
      </w:pPr>
      <w:r w:rsidRPr="00FD4AD2">
        <w:t>laboratory</w:t>
      </w:r>
      <w:r w:rsidR="00457F7F">
        <w:t xml:space="preserve"> services</w:t>
      </w:r>
    </w:p>
    <w:p w14:paraId="111F1BC4" w14:textId="77777777" w:rsidR="00AD5B95" w:rsidRPr="00FD4AD2" w:rsidRDefault="00AD5B95" w:rsidP="00AD5B95">
      <w:pPr>
        <w:pStyle w:val="ListParagraph"/>
        <w:ind w:hanging="567"/>
      </w:pPr>
      <w:r>
        <w:t xml:space="preserve">counselling services- </w:t>
      </w:r>
      <w:r w:rsidRPr="00AD5B95">
        <w:t>both genetic and psychosocial</w:t>
      </w:r>
      <w:r w:rsidR="00263824">
        <w:t xml:space="preserve"> </w:t>
      </w:r>
      <w:r w:rsidRPr="00AD5B95">
        <w:t>implications counselling</w:t>
      </w:r>
    </w:p>
    <w:p w14:paraId="7178EAE4" w14:textId="77777777" w:rsidR="00EE0746" w:rsidRPr="00FD4AD2" w:rsidRDefault="00EE0746" w:rsidP="00AF4B41">
      <w:pPr>
        <w:pStyle w:val="ListParagraph"/>
        <w:ind w:hanging="567"/>
      </w:pPr>
      <w:r w:rsidRPr="00FD4AD2">
        <w:t>pharmac</w:t>
      </w:r>
      <w:r w:rsidR="00457F7F">
        <w:t>euticals</w:t>
      </w:r>
    </w:p>
    <w:p w14:paraId="46D831FA" w14:textId="77777777" w:rsidR="00FD4AD2" w:rsidRPr="00AD3E98" w:rsidRDefault="00EE0746" w:rsidP="00AF4B41">
      <w:pPr>
        <w:pStyle w:val="ListParagraph"/>
        <w:ind w:hanging="567"/>
      </w:pPr>
      <w:r w:rsidRPr="00AD3E98">
        <w:t>diagnostic imaging</w:t>
      </w:r>
    </w:p>
    <w:p w14:paraId="6F02151D" w14:textId="77777777" w:rsidR="00263824" w:rsidRPr="00294627" w:rsidRDefault="00263824" w:rsidP="00625EC5">
      <w:pPr>
        <w:pStyle w:val="ListParagraph"/>
        <w:ind w:hanging="567"/>
      </w:pPr>
      <w:proofErr w:type="gramStart"/>
      <w:r w:rsidRPr="00ED1CFE">
        <w:t>interpreting</w:t>
      </w:r>
      <w:proofErr w:type="gramEnd"/>
      <w:r w:rsidRPr="00ED1CFE">
        <w:t xml:space="preserve"> services, including N</w:t>
      </w:r>
      <w:r>
        <w:t xml:space="preserve">ew Zealand </w:t>
      </w:r>
      <w:r w:rsidRPr="00ED1CFE">
        <w:t>S</w:t>
      </w:r>
      <w:r w:rsidRPr="00D62589">
        <w:t xml:space="preserve">ign Language </w:t>
      </w:r>
      <w:r>
        <w:t xml:space="preserve">(NZSL) </w:t>
      </w:r>
      <w:r w:rsidRPr="00D62589">
        <w:t xml:space="preserve">interpreters </w:t>
      </w:r>
      <w:r w:rsidRPr="00294627">
        <w:t xml:space="preserve">for </w:t>
      </w:r>
      <w:r w:rsidR="00625EC5">
        <w:t>d</w:t>
      </w:r>
      <w:r w:rsidRPr="00294627">
        <w:t>eaf</w:t>
      </w:r>
      <w:r>
        <w:t xml:space="preserve"> people who communicate using NZSL</w:t>
      </w:r>
      <w:r w:rsidR="003C53FE">
        <w:t>.</w:t>
      </w:r>
    </w:p>
    <w:p w14:paraId="3DF0FCCF" w14:textId="77777777" w:rsidR="00EE0746" w:rsidRDefault="00EE0746" w:rsidP="00953A97">
      <w:pPr>
        <w:pStyle w:val="Heading1"/>
      </w:pPr>
      <w:bookmarkStart w:id="49" w:name="_Toc215319155"/>
      <w:r w:rsidRPr="009344DA">
        <w:t xml:space="preserve">Service </w:t>
      </w:r>
      <w:r>
        <w:t>L</w:t>
      </w:r>
      <w:r w:rsidRPr="009344DA">
        <w:t>inkages</w:t>
      </w:r>
      <w:bookmarkStart w:id="50" w:name="_Toc215319158"/>
      <w:bookmarkEnd w:id="49"/>
    </w:p>
    <w:p w14:paraId="611F7407" w14:textId="77777777" w:rsidR="00B210F5" w:rsidRDefault="00EE0746" w:rsidP="00263824">
      <w:pPr>
        <w:pStyle w:val="BodyText"/>
        <w:ind w:left="0"/>
      </w:pPr>
      <w:r>
        <w:t xml:space="preserve">The Service </w:t>
      </w:r>
      <w:r w:rsidRPr="000B531B">
        <w:t xml:space="preserve">must be well integrated with other </w:t>
      </w:r>
      <w:r>
        <w:t xml:space="preserve">health </w:t>
      </w:r>
      <w:r w:rsidR="008A727C">
        <w:t xml:space="preserve">and support </w:t>
      </w:r>
      <w:r w:rsidRPr="000B531B">
        <w:t>services</w:t>
      </w:r>
      <w:r w:rsidR="008A727C">
        <w:t>, professional organisations</w:t>
      </w:r>
      <w:r w:rsidRPr="000B531B">
        <w:t xml:space="preserve"> and ensure </w:t>
      </w:r>
      <w:r>
        <w:t xml:space="preserve">that </w:t>
      </w:r>
      <w:r w:rsidRPr="000B531B">
        <w:t xml:space="preserve">there is effective consultation, liaison and referral between services and sub-specialties. </w:t>
      </w:r>
      <w:r w:rsidR="008A727C">
        <w:t xml:space="preserve"> </w:t>
      </w:r>
      <w:r w:rsidRPr="000E4682">
        <w:t xml:space="preserve">Providers </w:t>
      </w:r>
      <w:r w:rsidR="00457F7F">
        <w:t>will</w:t>
      </w:r>
      <w:r w:rsidRPr="000E4682">
        <w:t xml:space="preserve"> establish working arrangements or protocols that reflect the size and scope of each organisation and the degree of cooperation required between them</w:t>
      </w:r>
      <w:r w:rsidR="00AF4B41">
        <w:t xml:space="preserve"> and the Service Provider.</w:t>
      </w:r>
    </w:p>
    <w:p w14:paraId="0EB320CA" w14:textId="77777777" w:rsidR="00EE0746" w:rsidRPr="00C219A5" w:rsidRDefault="00EE0746" w:rsidP="00B82B49">
      <w:pPr>
        <w:pStyle w:val="BodyText"/>
        <w:spacing w:after="0"/>
        <w:ind w:left="0"/>
      </w:pPr>
      <w:r w:rsidRPr="00C219A5">
        <w:t xml:space="preserve">The </w:t>
      </w:r>
      <w:r w:rsidR="008A727C">
        <w:t xml:space="preserve">Service </w:t>
      </w:r>
      <w:r w:rsidRPr="00C219A5">
        <w:t>linkages include, but are not limited to the following:</w:t>
      </w:r>
    </w:p>
    <w:bookmarkEnd w:id="50"/>
    <w:p w14:paraId="08FD9C9C" w14:textId="77777777" w:rsidR="00EE0746" w:rsidRPr="00FD4AD2" w:rsidRDefault="00EE0746" w:rsidP="00B3587D">
      <w:pPr>
        <w:pStyle w:val="ListParagraph"/>
        <w:numPr>
          <w:ilvl w:val="0"/>
          <w:numId w:val="10"/>
        </w:numPr>
        <w:spacing w:after="0"/>
        <w:ind w:hanging="567"/>
      </w:pPr>
      <w:r w:rsidRPr="00FD4AD2">
        <w:t>Advisory Committee on Assisted Reproductive Technology</w:t>
      </w:r>
      <w:r w:rsidR="00AF4B41">
        <w:t xml:space="preserve"> (ACART)</w:t>
      </w:r>
    </w:p>
    <w:p w14:paraId="046DBB22" w14:textId="77777777" w:rsidR="00EE0746" w:rsidRDefault="00EE0746" w:rsidP="00B3587D">
      <w:pPr>
        <w:pStyle w:val="ListParagraph"/>
        <w:numPr>
          <w:ilvl w:val="0"/>
          <w:numId w:val="10"/>
        </w:numPr>
        <w:spacing w:before="0" w:after="0"/>
        <w:ind w:hanging="567"/>
      </w:pPr>
      <w:r w:rsidRPr="00FD4AD2">
        <w:t>Australia New Zealand Infertility Counsellors Association (ANZICA)</w:t>
      </w:r>
    </w:p>
    <w:p w14:paraId="00B0AC25" w14:textId="77777777" w:rsidR="00EE0746" w:rsidRPr="00FD4AD2" w:rsidRDefault="00EE0746" w:rsidP="00B3587D">
      <w:pPr>
        <w:pStyle w:val="ListParagraph"/>
        <w:numPr>
          <w:ilvl w:val="0"/>
          <w:numId w:val="10"/>
        </w:numPr>
        <w:spacing w:before="0" w:after="0"/>
        <w:ind w:hanging="567"/>
      </w:pPr>
      <w:r w:rsidRPr="00FD4AD2">
        <w:t>Community support groups eg, Fertility New Zealand Inc, Women’s Health Action Trust</w:t>
      </w:r>
    </w:p>
    <w:p w14:paraId="14C8C20A" w14:textId="77777777" w:rsidR="00EE0746" w:rsidRPr="00FD4AD2" w:rsidRDefault="00EE0746" w:rsidP="00B3587D">
      <w:pPr>
        <w:pStyle w:val="ListParagraph"/>
        <w:numPr>
          <w:ilvl w:val="0"/>
          <w:numId w:val="10"/>
        </w:numPr>
        <w:spacing w:before="0" w:after="0"/>
        <w:ind w:hanging="567"/>
      </w:pPr>
      <w:r w:rsidRPr="00FD4AD2">
        <w:t>Diet nutritio</w:t>
      </w:r>
      <w:r w:rsidR="00AF4B41">
        <w:t>n and exercise support services</w:t>
      </w:r>
    </w:p>
    <w:p w14:paraId="74C8AEC1" w14:textId="77777777" w:rsidR="00EE0746" w:rsidRDefault="00EE0746" w:rsidP="00B3587D">
      <w:pPr>
        <w:pStyle w:val="ListParagraph"/>
        <w:numPr>
          <w:ilvl w:val="0"/>
          <w:numId w:val="10"/>
        </w:numPr>
        <w:spacing w:before="0" w:after="0"/>
        <w:ind w:hanging="567"/>
      </w:pPr>
      <w:r w:rsidRPr="00FD4AD2">
        <w:t>Ethics Committee on Assisted Reproductive Technology</w:t>
      </w:r>
      <w:r w:rsidR="007C6B52">
        <w:t xml:space="preserve"> (ECART)</w:t>
      </w:r>
    </w:p>
    <w:p w14:paraId="51E52580" w14:textId="77777777" w:rsidR="00EE0746" w:rsidRDefault="00EE0746" w:rsidP="00B3587D">
      <w:pPr>
        <w:pStyle w:val="ListParagraph"/>
        <w:numPr>
          <w:ilvl w:val="0"/>
          <w:numId w:val="10"/>
        </w:numPr>
        <w:spacing w:before="0" w:after="0"/>
        <w:ind w:hanging="567"/>
      </w:pPr>
      <w:r w:rsidRPr="00FD4AD2">
        <w:t>Family Planning Association, Natural Fertility NZ</w:t>
      </w:r>
      <w:r w:rsidR="007B2EBC">
        <w:t xml:space="preserve"> and other accredited providers</w:t>
      </w:r>
    </w:p>
    <w:p w14:paraId="5EDC79A3" w14:textId="77777777" w:rsidR="00457F7F" w:rsidRDefault="00457F7F" w:rsidP="00B3587D">
      <w:pPr>
        <w:pStyle w:val="ListParagraph"/>
        <w:numPr>
          <w:ilvl w:val="0"/>
          <w:numId w:val="10"/>
        </w:numPr>
        <w:spacing w:before="0" w:after="0"/>
        <w:ind w:hanging="567"/>
      </w:pPr>
      <w:r w:rsidRPr="00457F7F">
        <w:t>Fertility Nurses Association (FNA)</w:t>
      </w:r>
    </w:p>
    <w:p w14:paraId="4B334FC2" w14:textId="77777777" w:rsidR="00731BB3" w:rsidRPr="00457F7F" w:rsidRDefault="00731BB3" w:rsidP="00B3587D">
      <w:pPr>
        <w:pStyle w:val="ListParagraph"/>
        <w:numPr>
          <w:ilvl w:val="0"/>
          <w:numId w:val="10"/>
        </w:numPr>
        <w:spacing w:before="0" w:after="0"/>
        <w:ind w:hanging="567"/>
      </w:pPr>
      <w:r>
        <w:t>Genetic Health Services NZ</w:t>
      </w:r>
    </w:p>
    <w:p w14:paraId="0A87B4C0" w14:textId="77777777" w:rsidR="00EE0746" w:rsidRPr="00FD4AD2" w:rsidRDefault="00EE0746" w:rsidP="00B3587D">
      <w:pPr>
        <w:pStyle w:val="ListParagraph"/>
        <w:numPr>
          <w:ilvl w:val="0"/>
          <w:numId w:val="10"/>
        </w:numPr>
        <w:spacing w:before="0" w:after="0"/>
        <w:ind w:hanging="567"/>
      </w:pPr>
      <w:r w:rsidRPr="00FD4AD2">
        <w:t>Laboratory Services/Pathology services funded through community laboratories</w:t>
      </w:r>
    </w:p>
    <w:p w14:paraId="132DD31D" w14:textId="77777777" w:rsidR="00EE0746" w:rsidRPr="00FD4AD2" w:rsidRDefault="00EE0746" w:rsidP="00B3587D">
      <w:pPr>
        <w:pStyle w:val="ListParagraph"/>
        <w:numPr>
          <w:ilvl w:val="0"/>
          <w:numId w:val="10"/>
        </w:numPr>
        <w:spacing w:before="0" w:after="0"/>
        <w:ind w:hanging="567"/>
      </w:pPr>
      <w:r w:rsidRPr="00FD4AD2">
        <w:t>Māori and Pacific Peoples health service providers</w:t>
      </w:r>
    </w:p>
    <w:p w14:paraId="6008BD33" w14:textId="77777777" w:rsidR="00EE0746" w:rsidRDefault="00EE0746" w:rsidP="00B3587D">
      <w:pPr>
        <w:pStyle w:val="ListParagraph"/>
        <w:numPr>
          <w:ilvl w:val="0"/>
          <w:numId w:val="10"/>
        </w:numPr>
        <w:spacing w:before="0" w:after="0"/>
        <w:ind w:hanging="567"/>
      </w:pPr>
      <w:r w:rsidRPr="00FD4AD2">
        <w:t>National Travel Assistance Programme</w:t>
      </w:r>
    </w:p>
    <w:p w14:paraId="4A4F3A2C" w14:textId="77777777" w:rsidR="00AD3E98" w:rsidRPr="00AD3E98" w:rsidRDefault="00AD3E98" w:rsidP="00B3587D">
      <w:pPr>
        <w:pStyle w:val="ListParagraph"/>
        <w:numPr>
          <w:ilvl w:val="0"/>
          <w:numId w:val="10"/>
        </w:numPr>
        <w:spacing w:before="0" w:after="0"/>
        <w:ind w:hanging="567"/>
      </w:pPr>
      <w:r w:rsidRPr="00AD3E98">
        <w:t>National Child Cancer Network</w:t>
      </w:r>
    </w:p>
    <w:p w14:paraId="5C77925C" w14:textId="77777777" w:rsidR="00EE0746" w:rsidRPr="00FD4AD2" w:rsidRDefault="00EE0746" w:rsidP="00B3587D">
      <w:pPr>
        <w:pStyle w:val="ListParagraph"/>
        <w:numPr>
          <w:ilvl w:val="0"/>
          <w:numId w:val="10"/>
        </w:numPr>
        <w:spacing w:before="0" w:after="0"/>
        <w:ind w:hanging="567"/>
      </w:pPr>
      <w:r w:rsidRPr="00FD4AD2">
        <w:t xml:space="preserve">Other Specialist services, such as </w:t>
      </w:r>
      <w:r w:rsidR="00457F7F">
        <w:t>c</w:t>
      </w:r>
      <w:r w:rsidRPr="00FD4AD2">
        <w:t xml:space="preserve">linical </w:t>
      </w:r>
      <w:r w:rsidR="00457F7F">
        <w:t>g</w:t>
      </w:r>
      <w:r w:rsidRPr="00FD4AD2">
        <w:t xml:space="preserve">enetics, </w:t>
      </w:r>
      <w:r w:rsidR="00457F7F">
        <w:t>o</w:t>
      </w:r>
      <w:r w:rsidRPr="00FD4AD2">
        <w:t xml:space="preserve">ncology and </w:t>
      </w:r>
      <w:r w:rsidR="00457F7F">
        <w:t>h</w:t>
      </w:r>
      <w:r w:rsidRPr="00FD4AD2">
        <w:t xml:space="preserve">aematology, including paediatric oncology, </w:t>
      </w:r>
      <w:r w:rsidR="00457F7F">
        <w:t>g</w:t>
      </w:r>
      <w:r w:rsidRPr="00FD4AD2">
        <w:t>ynaecology,</w:t>
      </w:r>
      <w:r w:rsidR="00FD4AD2">
        <w:t xml:space="preserve"> </w:t>
      </w:r>
      <w:r w:rsidR="00457F7F">
        <w:t>u</w:t>
      </w:r>
      <w:r w:rsidRPr="00FD4AD2">
        <w:t xml:space="preserve">rology, </w:t>
      </w:r>
      <w:r w:rsidR="00457F7F">
        <w:t>and e</w:t>
      </w:r>
      <w:r w:rsidRPr="00FD4AD2">
        <w:t>ndocrinology services.</w:t>
      </w:r>
    </w:p>
    <w:p w14:paraId="7236AE3B" w14:textId="77777777" w:rsidR="00EE0746" w:rsidRDefault="00EE0746" w:rsidP="00B3587D">
      <w:pPr>
        <w:pStyle w:val="ListParagraph"/>
        <w:numPr>
          <w:ilvl w:val="0"/>
          <w:numId w:val="10"/>
        </w:numPr>
        <w:spacing w:before="0" w:after="0"/>
        <w:ind w:hanging="567"/>
      </w:pPr>
      <w:r w:rsidRPr="00FD4AD2">
        <w:t>Primary health care services, General Practitioners, Nurse Practitioners including health education</w:t>
      </w:r>
    </w:p>
    <w:p w14:paraId="36C71355" w14:textId="77777777" w:rsidR="00457F7F" w:rsidRPr="00457F7F" w:rsidRDefault="00457F7F" w:rsidP="00B3587D">
      <w:pPr>
        <w:pStyle w:val="ListParagraph"/>
        <w:numPr>
          <w:ilvl w:val="0"/>
          <w:numId w:val="10"/>
        </w:numPr>
        <w:spacing w:before="0" w:after="0"/>
        <w:ind w:hanging="567"/>
      </w:pPr>
      <w:r w:rsidRPr="00457F7F">
        <w:t>Scientists in Reproductive Technology (SIRT)</w:t>
      </w:r>
    </w:p>
    <w:p w14:paraId="0E3D6E23" w14:textId="77777777" w:rsidR="003F0A5E" w:rsidRDefault="003F0A5E" w:rsidP="00B3587D">
      <w:pPr>
        <w:pStyle w:val="ListParagraph"/>
        <w:numPr>
          <w:ilvl w:val="0"/>
          <w:numId w:val="10"/>
        </w:numPr>
        <w:spacing w:before="0" w:after="0"/>
        <w:ind w:hanging="567"/>
      </w:pPr>
      <w:r w:rsidRPr="00FD4AD2">
        <w:t>Sexual Health Clinics</w:t>
      </w:r>
    </w:p>
    <w:p w14:paraId="65B6E86A" w14:textId="77777777" w:rsidR="00EE0746" w:rsidRPr="00FD4AD2" w:rsidRDefault="00EE0746" w:rsidP="00B3587D">
      <w:pPr>
        <w:pStyle w:val="ListParagraph"/>
        <w:numPr>
          <w:ilvl w:val="0"/>
          <w:numId w:val="10"/>
        </w:numPr>
        <w:spacing w:before="0" w:after="0"/>
        <w:ind w:hanging="567"/>
      </w:pPr>
      <w:r w:rsidRPr="00FD4AD2">
        <w:t>Smoking cessation services</w:t>
      </w:r>
      <w:r w:rsidR="00AD3E98">
        <w:t>.</w:t>
      </w:r>
    </w:p>
    <w:p w14:paraId="34FF1116" w14:textId="77777777" w:rsidR="00263824" w:rsidRPr="00263824" w:rsidRDefault="00EE0746" w:rsidP="00953A97">
      <w:pPr>
        <w:pStyle w:val="Heading1"/>
      </w:pPr>
      <w:bookmarkStart w:id="51" w:name="_Toc215319164"/>
      <w:r w:rsidRPr="009344DA">
        <w:t>Quality Requirements</w:t>
      </w:r>
      <w:bookmarkEnd w:id="51"/>
    </w:p>
    <w:p w14:paraId="383F4605" w14:textId="77777777" w:rsidR="00EE0746" w:rsidRDefault="00EE0746" w:rsidP="00D16863">
      <w:pPr>
        <w:spacing w:after="0"/>
        <w:rPr>
          <w:rFonts w:cs="Arial"/>
        </w:rPr>
      </w:pPr>
      <w:bookmarkStart w:id="52" w:name="_Toc215319165"/>
      <w:r w:rsidRPr="009344DA">
        <w:rPr>
          <w:rFonts w:cs="Arial"/>
        </w:rPr>
        <w:t xml:space="preserve">The </w:t>
      </w:r>
      <w:r>
        <w:rPr>
          <w:rFonts w:cs="Arial"/>
        </w:rPr>
        <w:t>S</w:t>
      </w:r>
      <w:r w:rsidRPr="009344DA">
        <w:rPr>
          <w:rFonts w:cs="Arial"/>
        </w:rPr>
        <w:t xml:space="preserve">ervice must comply with the </w:t>
      </w:r>
      <w:r w:rsidR="00D16863">
        <w:rPr>
          <w:rFonts w:cs="Arial"/>
        </w:rPr>
        <w:t>q</w:t>
      </w:r>
      <w:r w:rsidRPr="009344DA">
        <w:rPr>
          <w:rFonts w:cs="Arial"/>
        </w:rPr>
        <w:t xml:space="preserve">uality </w:t>
      </w:r>
      <w:r w:rsidR="00D16863">
        <w:rPr>
          <w:rFonts w:cs="Arial"/>
        </w:rPr>
        <w:t xml:space="preserve">requirements </w:t>
      </w:r>
      <w:r w:rsidRPr="009344DA">
        <w:rPr>
          <w:rFonts w:cs="Arial"/>
        </w:rPr>
        <w:t>described in the Operational Policy Framework</w:t>
      </w:r>
      <w:r w:rsidR="00486495">
        <w:rPr>
          <w:rFonts w:cs="Arial"/>
        </w:rPr>
        <w:t xml:space="preserve"> (OPF)</w:t>
      </w:r>
      <w:r w:rsidR="00F93079">
        <w:rPr>
          <w:rStyle w:val="FootnoteReference"/>
          <w:rFonts w:cs="Arial"/>
        </w:rPr>
        <w:footnoteReference w:id="13"/>
      </w:r>
      <w:r w:rsidR="008E5A6D">
        <w:rPr>
          <w:rFonts w:cs="Arial"/>
        </w:rPr>
        <w:t xml:space="preserve"> </w:t>
      </w:r>
      <w:r w:rsidRPr="009344DA">
        <w:rPr>
          <w:rFonts w:cs="Arial"/>
        </w:rPr>
        <w:t>or, as applicable, Crown Funding Agreement Variations, contracts or service level agreements.</w:t>
      </w:r>
      <w:bookmarkEnd w:id="52"/>
    </w:p>
    <w:p w14:paraId="6E6DFD2A" w14:textId="77777777" w:rsidR="00513656" w:rsidRDefault="00513656" w:rsidP="00D16863">
      <w:pPr>
        <w:spacing w:after="0" w:line="276" w:lineRule="auto"/>
        <w:rPr>
          <w:rFonts w:cs="Arial"/>
        </w:rPr>
      </w:pPr>
      <w:r w:rsidRPr="00513656">
        <w:rPr>
          <w:rFonts w:cs="Arial"/>
        </w:rPr>
        <w:t xml:space="preserve">The Service </w:t>
      </w:r>
      <w:r w:rsidR="00C1752E">
        <w:rPr>
          <w:rFonts w:cs="Arial"/>
        </w:rPr>
        <w:t xml:space="preserve">provider </w:t>
      </w:r>
      <w:r w:rsidRPr="00513656">
        <w:rPr>
          <w:rFonts w:cs="Arial"/>
        </w:rPr>
        <w:t>must</w:t>
      </w:r>
      <w:r w:rsidR="00A82988">
        <w:rPr>
          <w:rFonts w:cs="Arial"/>
        </w:rPr>
        <w:t>:</w:t>
      </w:r>
      <w:r w:rsidRPr="00513656">
        <w:rPr>
          <w:rFonts w:cs="Arial"/>
        </w:rPr>
        <w:t xml:space="preserve"> </w:t>
      </w:r>
    </w:p>
    <w:p w14:paraId="0C961BD0" w14:textId="77777777" w:rsidR="00EE0746" w:rsidRPr="00513656" w:rsidRDefault="00513656" w:rsidP="00B3587D">
      <w:pPr>
        <w:pStyle w:val="ListParagraph"/>
        <w:numPr>
          <w:ilvl w:val="0"/>
          <w:numId w:val="15"/>
        </w:numPr>
        <w:spacing w:before="0" w:after="0"/>
        <w:ind w:left="567" w:hanging="567"/>
        <w:rPr>
          <w:rFonts w:cs="Arial"/>
        </w:rPr>
      </w:pPr>
      <w:r w:rsidRPr="00513656">
        <w:rPr>
          <w:rFonts w:cs="Arial"/>
        </w:rPr>
        <w:t>c</w:t>
      </w:r>
      <w:r w:rsidR="00EE0746" w:rsidRPr="00513656">
        <w:rPr>
          <w:rFonts w:cs="Arial"/>
        </w:rPr>
        <w:t>omply with all relevant legislation, regulations, statutory requirements, and guid</w:t>
      </w:r>
      <w:r w:rsidR="00FD4AD2" w:rsidRPr="00513656">
        <w:rPr>
          <w:rFonts w:cs="Arial"/>
        </w:rPr>
        <w:t>elines from professional bodies</w:t>
      </w:r>
    </w:p>
    <w:p w14:paraId="75B5AF3C" w14:textId="77777777" w:rsidR="00D1741C" w:rsidRDefault="008E5A6D" w:rsidP="00B3587D">
      <w:pPr>
        <w:pStyle w:val="ListParagraph"/>
        <w:numPr>
          <w:ilvl w:val="0"/>
          <w:numId w:val="14"/>
        </w:numPr>
        <w:ind w:left="567" w:hanging="567"/>
        <w:rPr>
          <w:rFonts w:cs="Arial"/>
          <w:color w:val="000000"/>
          <w:lang w:val="en-US"/>
        </w:rPr>
      </w:pPr>
      <w:r w:rsidRPr="00D1741C">
        <w:rPr>
          <w:rFonts w:cs="Arial"/>
        </w:rPr>
        <w:t>h</w:t>
      </w:r>
      <w:r w:rsidR="007C5BE9">
        <w:rPr>
          <w:rFonts w:cs="Arial"/>
        </w:rPr>
        <w:t>old</w:t>
      </w:r>
      <w:r w:rsidR="00EE0746" w:rsidRPr="00D1741C">
        <w:rPr>
          <w:rFonts w:cs="Arial"/>
        </w:rPr>
        <w:t xml:space="preserve"> current accreditation under the Fertility Services Standard by an auditing agency to accredit </w:t>
      </w:r>
      <w:r w:rsidR="00EE0746" w:rsidRPr="00D1741C">
        <w:rPr>
          <w:rFonts w:cs="Arial"/>
          <w:color w:val="000000"/>
          <w:lang w:val="en-US"/>
        </w:rPr>
        <w:t>approved by Director General of Health</w:t>
      </w:r>
    </w:p>
    <w:p w14:paraId="5610853C" w14:textId="77777777" w:rsidR="00D1741C" w:rsidRPr="00D1741C" w:rsidRDefault="00D1741C" w:rsidP="00B3587D">
      <w:pPr>
        <w:pStyle w:val="ListParagraph"/>
        <w:numPr>
          <w:ilvl w:val="0"/>
          <w:numId w:val="14"/>
        </w:numPr>
        <w:ind w:left="567" w:hanging="567"/>
        <w:rPr>
          <w:rFonts w:cs="Arial"/>
          <w:color w:val="000000"/>
          <w:lang w:val="en-US"/>
        </w:rPr>
      </w:pPr>
      <w:r w:rsidRPr="00D1741C">
        <w:rPr>
          <w:rFonts w:cs="Arial"/>
          <w:color w:val="000000"/>
          <w:lang w:val="en-US"/>
        </w:rPr>
        <w:lastRenderedPageBreak/>
        <w:t>have access to equipment appropriate to operate a NZ S</w:t>
      </w:r>
      <w:r>
        <w:rPr>
          <w:rFonts w:cs="Arial"/>
          <w:color w:val="000000"/>
          <w:lang w:val="en-US"/>
        </w:rPr>
        <w:t>tandard 8181 Fertility Service</w:t>
      </w:r>
    </w:p>
    <w:p w14:paraId="52D43320" w14:textId="77777777" w:rsidR="00AD3E98" w:rsidRDefault="00AD3E98" w:rsidP="00B3587D">
      <w:pPr>
        <w:pStyle w:val="ListParagraph"/>
        <w:numPr>
          <w:ilvl w:val="0"/>
          <w:numId w:val="14"/>
        </w:numPr>
        <w:spacing w:before="0"/>
        <w:ind w:left="567" w:hanging="567"/>
        <w:rPr>
          <w:rFonts w:cs="Arial"/>
          <w:color w:val="000000"/>
          <w:lang w:val="en-US"/>
        </w:rPr>
      </w:pPr>
      <w:proofErr w:type="gramStart"/>
      <w:r w:rsidRPr="00AD3E98">
        <w:rPr>
          <w:rFonts w:cs="Arial"/>
          <w:color w:val="000000"/>
          <w:lang w:val="en-US"/>
        </w:rPr>
        <w:t>deliver</w:t>
      </w:r>
      <w:proofErr w:type="gramEnd"/>
      <w:r w:rsidR="00B210F5">
        <w:rPr>
          <w:rFonts w:cs="Arial"/>
          <w:color w:val="000000"/>
          <w:lang w:val="en-US"/>
        </w:rPr>
        <w:t xml:space="preserve"> services</w:t>
      </w:r>
      <w:r w:rsidRPr="00AD3E98">
        <w:rPr>
          <w:rFonts w:cs="Arial"/>
          <w:color w:val="000000"/>
          <w:lang w:val="en-US"/>
        </w:rPr>
        <w:t xml:space="preserve"> in accordance with the Human Assisted Reproductive Technology Order 2005.</w:t>
      </w:r>
    </w:p>
    <w:p w14:paraId="31BA34C8" w14:textId="77777777" w:rsidR="00EE0746" w:rsidRPr="00FD3C8C" w:rsidRDefault="00AD3E98" w:rsidP="00B3587D">
      <w:pPr>
        <w:pStyle w:val="ListParagraph"/>
        <w:numPr>
          <w:ilvl w:val="0"/>
          <w:numId w:val="14"/>
        </w:numPr>
        <w:ind w:left="567" w:hanging="567"/>
        <w:rPr>
          <w:rFonts w:cs="Arial"/>
        </w:rPr>
      </w:pPr>
      <w:proofErr w:type="gramStart"/>
      <w:r w:rsidRPr="00893D4B">
        <w:rPr>
          <w:rFonts w:cs="Arial"/>
          <w:color w:val="000000"/>
          <w:lang w:val="en-US"/>
        </w:rPr>
        <w:t>comply</w:t>
      </w:r>
      <w:proofErr w:type="gramEnd"/>
      <w:r w:rsidRPr="00893D4B">
        <w:rPr>
          <w:rFonts w:cs="Arial"/>
          <w:color w:val="000000"/>
          <w:lang w:val="en-US"/>
        </w:rPr>
        <w:t xml:space="preserve"> with the quality requirements for PGD </w:t>
      </w:r>
      <w:r w:rsidR="00FD3C8C">
        <w:rPr>
          <w:rFonts w:cs="Arial"/>
          <w:color w:val="000000"/>
          <w:lang w:val="en-US"/>
        </w:rPr>
        <w:t>(</w:t>
      </w:r>
      <w:r w:rsidRPr="00FD3C8C">
        <w:rPr>
          <w:rFonts w:cs="Arial"/>
          <w:color w:val="000000"/>
          <w:u w:val="single"/>
          <w:lang w:val="en-US"/>
        </w:rPr>
        <w:t>Appendix</w:t>
      </w:r>
      <w:r w:rsidRPr="00893D4B">
        <w:rPr>
          <w:rFonts w:cs="Arial"/>
          <w:color w:val="000000"/>
          <w:lang w:val="en-US"/>
        </w:rPr>
        <w:t xml:space="preserve"> </w:t>
      </w:r>
      <w:r w:rsidR="00893D4B" w:rsidRPr="00FD3C8C">
        <w:rPr>
          <w:rFonts w:cs="Arial"/>
          <w:color w:val="000000"/>
          <w:lang w:val="en-US"/>
        </w:rPr>
        <w:t>two</w:t>
      </w:r>
      <w:r w:rsidR="00FD3C8C">
        <w:rPr>
          <w:rFonts w:cs="Arial"/>
          <w:color w:val="000000"/>
          <w:lang w:val="en-US"/>
        </w:rPr>
        <w:t xml:space="preserve">) and </w:t>
      </w:r>
      <w:r w:rsidR="00B53AA8" w:rsidRPr="00893D4B">
        <w:rPr>
          <w:rFonts w:cs="Arial"/>
          <w:color w:val="000000"/>
          <w:lang w:val="en-US"/>
        </w:rPr>
        <w:t>be certified by Health Cert to the NZ Fertility Standard NZS8181.</w:t>
      </w:r>
    </w:p>
    <w:p w14:paraId="4F87B48C" w14:textId="77777777" w:rsidR="00EE0746" w:rsidRDefault="00E915E6" w:rsidP="00C1752E">
      <w:pPr>
        <w:rPr>
          <w:rFonts w:cs="Arial"/>
        </w:rPr>
      </w:pPr>
      <w:r>
        <w:rPr>
          <w:rFonts w:cs="Arial"/>
        </w:rPr>
        <w:t xml:space="preserve">Diagnostic </w:t>
      </w:r>
      <w:r w:rsidR="00EE0746" w:rsidRPr="00420FBD">
        <w:rPr>
          <w:rFonts w:cs="Arial"/>
        </w:rPr>
        <w:t>Laboratory services (or as applicable, individual pathology departments) are registered with</w:t>
      </w:r>
      <w:r w:rsidR="00FD4AD2">
        <w:rPr>
          <w:rFonts w:cs="Arial"/>
        </w:rPr>
        <w:t xml:space="preserve"> International Accreditation New Zealand</w:t>
      </w:r>
      <w:r w:rsidR="00EE0746" w:rsidRPr="00420FBD">
        <w:rPr>
          <w:rFonts w:cs="Arial"/>
        </w:rPr>
        <w:t xml:space="preserve"> </w:t>
      </w:r>
      <w:r w:rsidR="00FD4AD2">
        <w:rPr>
          <w:rFonts w:cs="Arial"/>
        </w:rPr>
        <w:t>(</w:t>
      </w:r>
      <w:r w:rsidR="00EE0746" w:rsidRPr="00420FBD">
        <w:rPr>
          <w:rFonts w:cs="Arial"/>
        </w:rPr>
        <w:t>IANZ</w:t>
      </w:r>
      <w:r w:rsidR="00FD4AD2">
        <w:rPr>
          <w:rStyle w:val="FootnoteReference"/>
          <w:rFonts w:cs="Arial"/>
        </w:rPr>
        <w:footnoteReference w:id="14"/>
      </w:r>
      <w:r w:rsidR="00FD4AD2">
        <w:rPr>
          <w:rFonts w:cs="Arial"/>
        </w:rPr>
        <w:t>)</w:t>
      </w:r>
      <w:r w:rsidR="008E5A6D">
        <w:rPr>
          <w:rFonts w:cs="Arial"/>
        </w:rPr>
        <w:t>.</w:t>
      </w:r>
    </w:p>
    <w:p w14:paraId="24263B2C" w14:textId="77777777" w:rsidR="006231F1" w:rsidRPr="006231F1" w:rsidRDefault="006231F1" w:rsidP="00C1752E">
      <w:pPr>
        <w:rPr>
          <w:rFonts w:cs="Arial"/>
        </w:rPr>
      </w:pPr>
      <w:r w:rsidRPr="006231F1">
        <w:rPr>
          <w:rFonts w:cs="Arial"/>
        </w:rPr>
        <w:t>ECART approval is needed for human reproductive research, for procedures which require ethical review</w:t>
      </w:r>
      <w:r>
        <w:rPr>
          <w:rFonts w:cs="Arial"/>
        </w:rPr>
        <w:t xml:space="preserve"> as set out in the HART Order (‘</w:t>
      </w:r>
      <w:r w:rsidRPr="006231F1">
        <w:rPr>
          <w:rFonts w:cs="Arial"/>
        </w:rPr>
        <w:t>assisted reproductive procedures</w:t>
      </w:r>
      <w:r>
        <w:rPr>
          <w:rFonts w:cs="Arial"/>
        </w:rPr>
        <w:t>’</w:t>
      </w:r>
      <w:r w:rsidRPr="006231F1">
        <w:rPr>
          <w:rFonts w:cs="Arial"/>
        </w:rPr>
        <w:t xml:space="preserve">), and for extending the storage period of gametes and embryos, as set out in the HART Act. </w:t>
      </w:r>
    </w:p>
    <w:p w14:paraId="69B8D86E" w14:textId="77777777" w:rsidR="006231F1" w:rsidRPr="006231F1" w:rsidRDefault="006231F1" w:rsidP="00C1752E">
      <w:pPr>
        <w:rPr>
          <w:rFonts w:cs="Arial"/>
        </w:rPr>
      </w:pPr>
      <w:r w:rsidRPr="006231F1">
        <w:rPr>
          <w:rFonts w:cs="Arial"/>
        </w:rPr>
        <w:t xml:space="preserve">ECART is also able to provide a non-binding ethical opinion on cases which </w:t>
      </w:r>
      <w:r>
        <w:rPr>
          <w:rFonts w:cs="Arial"/>
        </w:rPr>
        <w:t>do not require ethical review (‘</w:t>
      </w:r>
      <w:r w:rsidRPr="006231F1">
        <w:rPr>
          <w:rFonts w:cs="Arial"/>
        </w:rPr>
        <w:t>established procedures</w:t>
      </w:r>
      <w:r>
        <w:rPr>
          <w:rFonts w:cs="Arial"/>
        </w:rPr>
        <w:t>’</w:t>
      </w:r>
      <w:r w:rsidRPr="006231F1">
        <w:rPr>
          <w:rFonts w:cs="Arial"/>
        </w:rPr>
        <w:t>).</w:t>
      </w:r>
    </w:p>
    <w:p w14:paraId="7353DECE" w14:textId="77777777" w:rsidR="009F03FE" w:rsidRDefault="006330BE" w:rsidP="007442F4">
      <w:pPr>
        <w:pStyle w:val="Heading1"/>
      </w:pPr>
      <w:bookmarkStart w:id="53" w:name="_Toc215319173"/>
      <w:r>
        <w:t>Purchase Unit</w:t>
      </w:r>
      <w:r w:rsidR="00B210F5">
        <w:t xml:space="preserve"> Code</w:t>
      </w:r>
      <w:r w:rsidR="00263824">
        <w:t>s</w:t>
      </w:r>
    </w:p>
    <w:p w14:paraId="739785C9" w14:textId="77777777" w:rsidR="009B547B" w:rsidRPr="009B547B" w:rsidRDefault="009B547B" w:rsidP="00C20EE9">
      <w:r>
        <w:t>Purchase Unit (PU) Codes</w:t>
      </w:r>
      <w:r w:rsidRPr="009B547B">
        <w:t xml:space="preserve"> are defined in the joint DHB and Ministry’s Nationwide Service Framework Data Dictionary</w:t>
      </w:r>
      <w:r w:rsidR="00263824">
        <w:rPr>
          <w:rStyle w:val="FootnoteReference"/>
        </w:rPr>
        <w:footnoteReference w:id="15"/>
      </w:r>
      <w:r w:rsidRPr="009B547B">
        <w:t xml:space="preserve">.  The following </w:t>
      </w:r>
      <w:r>
        <w:t>codes</w:t>
      </w:r>
      <w:r w:rsidRPr="009B547B">
        <w:t xml:space="preserve"> apply to this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814"/>
        <w:gridCol w:w="5388"/>
        <w:gridCol w:w="1269"/>
      </w:tblGrid>
      <w:tr w:rsidR="00D16863" w:rsidRPr="0020710E" w14:paraId="7B0D3BE5" w14:textId="77777777" w:rsidTr="00C20EE9">
        <w:trPr>
          <w:trHeight w:val="759"/>
          <w:tblHeader/>
        </w:trPr>
        <w:tc>
          <w:tcPr>
            <w:tcW w:w="601" w:type="pct"/>
            <w:tcBorders>
              <w:bottom w:val="single" w:sz="4" w:space="0" w:color="auto"/>
            </w:tcBorders>
            <w:shd w:val="clear" w:color="auto" w:fill="D9D9D9"/>
          </w:tcPr>
          <w:bookmarkEnd w:id="53"/>
          <w:p w14:paraId="16F46117" w14:textId="77777777" w:rsidR="00D16863" w:rsidRPr="0020710E" w:rsidRDefault="00D16863" w:rsidP="00A47006">
            <w:pPr>
              <w:rPr>
                <w:rFonts w:cs="Arial"/>
                <w:b/>
                <w:sz w:val="20"/>
                <w:szCs w:val="20"/>
              </w:rPr>
            </w:pPr>
            <w:r w:rsidRPr="0020710E">
              <w:rPr>
                <w:rFonts w:cs="Arial"/>
                <w:b/>
                <w:sz w:val="20"/>
                <w:szCs w:val="20"/>
              </w:rPr>
              <w:t>PU Code</w:t>
            </w:r>
          </w:p>
        </w:tc>
        <w:tc>
          <w:tcPr>
            <w:tcW w:w="942" w:type="pct"/>
            <w:tcBorders>
              <w:bottom w:val="single" w:sz="4" w:space="0" w:color="auto"/>
            </w:tcBorders>
            <w:shd w:val="clear" w:color="auto" w:fill="D9D9D9"/>
          </w:tcPr>
          <w:p w14:paraId="383D6694" w14:textId="77777777" w:rsidR="00D16863" w:rsidRPr="0020710E" w:rsidRDefault="00D16863" w:rsidP="00A47006">
            <w:pPr>
              <w:rPr>
                <w:rFonts w:cs="Arial"/>
                <w:b/>
                <w:sz w:val="20"/>
                <w:szCs w:val="20"/>
              </w:rPr>
            </w:pPr>
            <w:r w:rsidRPr="0020710E">
              <w:rPr>
                <w:rFonts w:cs="Arial"/>
                <w:b/>
                <w:sz w:val="20"/>
                <w:szCs w:val="20"/>
              </w:rPr>
              <w:t>PU Description</w:t>
            </w:r>
          </w:p>
        </w:tc>
        <w:tc>
          <w:tcPr>
            <w:tcW w:w="2798" w:type="pct"/>
            <w:tcBorders>
              <w:bottom w:val="single" w:sz="4" w:space="0" w:color="auto"/>
            </w:tcBorders>
            <w:shd w:val="clear" w:color="auto" w:fill="D9D9D9"/>
          </w:tcPr>
          <w:p w14:paraId="26951096" w14:textId="77777777" w:rsidR="00D16863" w:rsidRPr="0020710E" w:rsidRDefault="00D16863" w:rsidP="00A47006">
            <w:pPr>
              <w:rPr>
                <w:rFonts w:cs="Arial"/>
                <w:b/>
                <w:sz w:val="20"/>
                <w:szCs w:val="20"/>
              </w:rPr>
            </w:pPr>
            <w:r w:rsidRPr="0020710E">
              <w:rPr>
                <w:rFonts w:cs="Arial"/>
                <w:b/>
                <w:sz w:val="20"/>
                <w:szCs w:val="20"/>
              </w:rPr>
              <w:t>PU Definition</w:t>
            </w:r>
          </w:p>
        </w:tc>
        <w:tc>
          <w:tcPr>
            <w:tcW w:w="659" w:type="pct"/>
            <w:tcBorders>
              <w:bottom w:val="single" w:sz="4" w:space="0" w:color="auto"/>
            </w:tcBorders>
            <w:shd w:val="clear" w:color="auto" w:fill="D9D9D9"/>
          </w:tcPr>
          <w:p w14:paraId="3FAA15A5" w14:textId="77777777" w:rsidR="00D16863" w:rsidRPr="0020710E" w:rsidRDefault="00D16863" w:rsidP="00A47006">
            <w:pPr>
              <w:rPr>
                <w:rFonts w:cs="Arial"/>
                <w:b/>
                <w:sz w:val="20"/>
                <w:szCs w:val="20"/>
              </w:rPr>
            </w:pPr>
            <w:r w:rsidRPr="0020710E">
              <w:rPr>
                <w:rFonts w:cs="Arial"/>
                <w:b/>
                <w:sz w:val="20"/>
                <w:szCs w:val="20"/>
              </w:rPr>
              <w:t>PU Unit of Measure</w:t>
            </w:r>
          </w:p>
        </w:tc>
      </w:tr>
      <w:tr w:rsidR="00D16863" w:rsidRPr="0020710E" w14:paraId="0487D67B" w14:textId="77777777" w:rsidTr="00C20EE9">
        <w:trPr>
          <w:trHeight w:val="340"/>
        </w:trPr>
        <w:tc>
          <w:tcPr>
            <w:tcW w:w="601" w:type="pct"/>
            <w:shd w:val="clear" w:color="auto" w:fill="auto"/>
          </w:tcPr>
          <w:p w14:paraId="45BFC20B" w14:textId="77777777" w:rsidR="00D16863" w:rsidRPr="00C20EE9" w:rsidRDefault="00D16863" w:rsidP="00975338">
            <w:pPr>
              <w:spacing w:before="0" w:after="0"/>
              <w:rPr>
                <w:rFonts w:cs="Arial"/>
                <w:b/>
                <w:sz w:val="20"/>
                <w:szCs w:val="20"/>
              </w:rPr>
            </w:pPr>
            <w:r w:rsidRPr="00C20EE9">
              <w:rPr>
                <w:rFonts w:cs="Arial"/>
                <w:sz w:val="20"/>
                <w:szCs w:val="20"/>
              </w:rPr>
              <w:t>FS01001</w:t>
            </w:r>
          </w:p>
        </w:tc>
        <w:tc>
          <w:tcPr>
            <w:tcW w:w="942" w:type="pct"/>
            <w:shd w:val="clear" w:color="auto" w:fill="auto"/>
          </w:tcPr>
          <w:p w14:paraId="6883F197" w14:textId="77777777" w:rsidR="00D16863" w:rsidRPr="00C20EE9" w:rsidRDefault="00D16863" w:rsidP="00975338">
            <w:pPr>
              <w:spacing w:before="0" w:after="0"/>
              <w:rPr>
                <w:rFonts w:cs="Arial"/>
                <w:b/>
                <w:sz w:val="20"/>
                <w:szCs w:val="20"/>
              </w:rPr>
            </w:pPr>
            <w:r w:rsidRPr="00C20EE9">
              <w:rPr>
                <w:rFonts w:cs="Arial"/>
                <w:sz w:val="20"/>
                <w:szCs w:val="20"/>
              </w:rPr>
              <w:t>Fertility Services- 1</w:t>
            </w:r>
            <w:r w:rsidRPr="00C20EE9">
              <w:rPr>
                <w:rFonts w:cs="Arial"/>
                <w:sz w:val="20"/>
                <w:szCs w:val="20"/>
                <w:vertAlign w:val="superscript"/>
              </w:rPr>
              <w:t>st</w:t>
            </w:r>
            <w:r w:rsidRPr="00C20EE9">
              <w:rPr>
                <w:rFonts w:cs="Arial"/>
                <w:sz w:val="20"/>
                <w:szCs w:val="20"/>
              </w:rPr>
              <w:t xml:space="preserve"> Attendance </w:t>
            </w:r>
          </w:p>
        </w:tc>
        <w:tc>
          <w:tcPr>
            <w:tcW w:w="2798" w:type="pct"/>
            <w:shd w:val="clear" w:color="auto" w:fill="auto"/>
          </w:tcPr>
          <w:p w14:paraId="28D826A4" w14:textId="77777777" w:rsidR="00D16863" w:rsidRPr="00C20EE9" w:rsidRDefault="00D16863" w:rsidP="00975338">
            <w:pPr>
              <w:spacing w:before="0" w:after="0"/>
              <w:rPr>
                <w:rFonts w:cs="Arial"/>
                <w:sz w:val="20"/>
                <w:szCs w:val="20"/>
              </w:rPr>
            </w:pPr>
            <w:r w:rsidRPr="00C20EE9">
              <w:rPr>
                <w:rFonts w:cs="Arial"/>
                <w:sz w:val="20"/>
                <w:szCs w:val="20"/>
              </w:rPr>
              <w:t>First attendance to a fertility specialist for specialist assessment.</w:t>
            </w:r>
          </w:p>
        </w:tc>
        <w:tc>
          <w:tcPr>
            <w:tcW w:w="659" w:type="pct"/>
            <w:shd w:val="clear" w:color="auto" w:fill="auto"/>
          </w:tcPr>
          <w:p w14:paraId="074F33EE" w14:textId="77777777" w:rsidR="00D16863" w:rsidRPr="00C20EE9" w:rsidRDefault="00D16863" w:rsidP="00975338">
            <w:pPr>
              <w:spacing w:before="0" w:after="0"/>
              <w:rPr>
                <w:rFonts w:cs="Arial"/>
                <w:b/>
                <w:sz w:val="20"/>
                <w:szCs w:val="20"/>
              </w:rPr>
            </w:pPr>
            <w:r w:rsidRPr="00C20EE9">
              <w:rPr>
                <w:rFonts w:cs="Arial"/>
                <w:sz w:val="20"/>
                <w:szCs w:val="20"/>
              </w:rPr>
              <w:t>Attendance</w:t>
            </w:r>
          </w:p>
        </w:tc>
      </w:tr>
      <w:tr w:rsidR="00D16863" w:rsidRPr="0020710E" w14:paraId="5152B640" w14:textId="77777777" w:rsidTr="00C20EE9">
        <w:trPr>
          <w:trHeight w:val="340"/>
        </w:trPr>
        <w:tc>
          <w:tcPr>
            <w:tcW w:w="601" w:type="pct"/>
            <w:shd w:val="clear" w:color="auto" w:fill="auto"/>
          </w:tcPr>
          <w:p w14:paraId="6A3BD5D1" w14:textId="77777777" w:rsidR="00D16863" w:rsidRPr="00C20EE9" w:rsidRDefault="00D16863" w:rsidP="00D319F9">
            <w:pPr>
              <w:spacing w:before="0" w:after="0"/>
              <w:rPr>
                <w:rFonts w:cs="Arial"/>
                <w:sz w:val="20"/>
                <w:szCs w:val="20"/>
              </w:rPr>
            </w:pPr>
            <w:r w:rsidRPr="00C20EE9">
              <w:rPr>
                <w:rFonts w:cs="Arial"/>
                <w:sz w:val="20"/>
                <w:szCs w:val="20"/>
              </w:rPr>
              <w:t>FS01024</w:t>
            </w:r>
          </w:p>
        </w:tc>
        <w:tc>
          <w:tcPr>
            <w:tcW w:w="942" w:type="pct"/>
            <w:shd w:val="clear" w:color="auto" w:fill="auto"/>
          </w:tcPr>
          <w:p w14:paraId="1486A86B" w14:textId="77777777" w:rsidR="00D16863" w:rsidRPr="00C20EE9" w:rsidRDefault="00D16863" w:rsidP="00975338">
            <w:pPr>
              <w:tabs>
                <w:tab w:val="left" w:pos="1215"/>
              </w:tabs>
              <w:spacing w:before="0" w:after="0"/>
              <w:rPr>
                <w:rFonts w:cs="Arial"/>
                <w:sz w:val="20"/>
                <w:szCs w:val="20"/>
              </w:rPr>
            </w:pPr>
            <w:r w:rsidRPr="00C20EE9">
              <w:rPr>
                <w:rFonts w:cs="Arial"/>
                <w:sz w:val="20"/>
                <w:szCs w:val="20"/>
              </w:rPr>
              <w:t>Fertility Services-Subsequent Attendance</w:t>
            </w:r>
          </w:p>
        </w:tc>
        <w:tc>
          <w:tcPr>
            <w:tcW w:w="2798" w:type="pct"/>
            <w:shd w:val="clear" w:color="auto" w:fill="auto"/>
          </w:tcPr>
          <w:p w14:paraId="0CF7BD28" w14:textId="77777777" w:rsidR="00D16863" w:rsidRPr="00C20EE9" w:rsidRDefault="00D16863" w:rsidP="00975338">
            <w:pPr>
              <w:spacing w:before="0" w:after="0"/>
              <w:rPr>
                <w:rFonts w:cs="Arial"/>
                <w:sz w:val="20"/>
                <w:szCs w:val="20"/>
              </w:rPr>
            </w:pPr>
            <w:r w:rsidRPr="00C20EE9">
              <w:rPr>
                <w:rFonts w:cs="Arial"/>
                <w:sz w:val="20"/>
                <w:szCs w:val="20"/>
              </w:rPr>
              <w:t>Follow up attendance to a fertility specialist or Medical Officer at Registrar level or above or Nurse Practitioner</w:t>
            </w:r>
          </w:p>
        </w:tc>
        <w:tc>
          <w:tcPr>
            <w:tcW w:w="659" w:type="pct"/>
            <w:shd w:val="clear" w:color="auto" w:fill="auto"/>
          </w:tcPr>
          <w:p w14:paraId="1720686C" w14:textId="77777777" w:rsidR="00D16863" w:rsidRPr="00C20EE9" w:rsidRDefault="00D16863" w:rsidP="00975338">
            <w:pPr>
              <w:spacing w:before="0" w:after="0"/>
              <w:rPr>
                <w:rFonts w:cs="Arial"/>
                <w:sz w:val="20"/>
                <w:szCs w:val="20"/>
              </w:rPr>
            </w:pPr>
            <w:r w:rsidRPr="00C20EE9">
              <w:rPr>
                <w:rFonts w:cs="Arial"/>
                <w:sz w:val="20"/>
                <w:szCs w:val="20"/>
              </w:rPr>
              <w:t>Attendance</w:t>
            </w:r>
          </w:p>
        </w:tc>
      </w:tr>
      <w:tr w:rsidR="00D16863" w:rsidRPr="0020710E" w14:paraId="15C330DA" w14:textId="77777777" w:rsidTr="00C20EE9">
        <w:trPr>
          <w:trHeight w:val="759"/>
        </w:trPr>
        <w:tc>
          <w:tcPr>
            <w:tcW w:w="601" w:type="pct"/>
            <w:shd w:val="clear" w:color="auto" w:fill="auto"/>
          </w:tcPr>
          <w:p w14:paraId="6D2685DF" w14:textId="77777777" w:rsidR="00D16863" w:rsidRPr="00C20EE9" w:rsidRDefault="00D16863" w:rsidP="00975338">
            <w:pPr>
              <w:spacing w:before="0" w:after="0"/>
              <w:rPr>
                <w:rFonts w:cs="Arial"/>
                <w:b/>
                <w:sz w:val="20"/>
                <w:szCs w:val="20"/>
              </w:rPr>
            </w:pPr>
            <w:r w:rsidRPr="00C20EE9">
              <w:rPr>
                <w:rFonts w:cs="Arial"/>
                <w:sz w:val="20"/>
                <w:szCs w:val="20"/>
              </w:rPr>
              <w:t>FS01002</w:t>
            </w:r>
          </w:p>
        </w:tc>
        <w:tc>
          <w:tcPr>
            <w:tcW w:w="942" w:type="pct"/>
            <w:shd w:val="clear" w:color="auto" w:fill="auto"/>
          </w:tcPr>
          <w:p w14:paraId="79EAA6EE" w14:textId="77777777" w:rsidR="00D16863" w:rsidRPr="00C20EE9" w:rsidRDefault="00D16863" w:rsidP="00975338">
            <w:pPr>
              <w:spacing w:before="0" w:after="0"/>
              <w:rPr>
                <w:rFonts w:cs="Arial"/>
                <w:b/>
                <w:sz w:val="20"/>
                <w:szCs w:val="20"/>
              </w:rPr>
            </w:pPr>
            <w:r w:rsidRPr="00C20EE9">
              <w:rPr>
                <w:rFonts w:cs="Arial"/>
                <w:sz w:val="20"/>
                <w:szCs w:val="20"/>
              </w:rPr>
              <w:t>IVF Programme- first cycle</w:t>
            </w:r>
          </w:p>
        </w:tc>
        <w:tc>
          <w:tcPr>
            <w:tcW w:w="2798" w:type="pct"/>
            <w:shd w:val="clear" w:color="auto" w:fill="auto"/>
          </w:tcPr>
          <w:p w14:paraId="3A130075" w14:textId="77777777" w:rsidR="00D16863" w:rsidRPr="00C20EE9" w:rsidRDefault="00D16863" w:rsidP="00975338">
            <w:pPr>
              <w:spacing w:before="0" w:after="0"/>
              <w:rPr>
                <w:rFonts w:cs="Arial"/>
                <w:sz w:val="20"/>
                <w:szCs w:val="20"/>
              </w:rPr>
            </w:pPr>
            <w:r w:rsidRPr="00C20EE9">
              <w:rPr>
                <w:rFonts w:cs="Arial"/>
                <w:sz w:val="20"/>
                <w:szCs w:val="20"/>
              </w:rPr>
              <w:t>In vitro fertilization (IVF)–first cycle- - includes ovarian stimulation, collecting and fertilizing eggs (includes blastocyst addition), and embryo transfer. Spare embryos may be frozen and stored for subsequent use.</w:t>
            </w:r>
          </w:p>
        </w:tc>
        <w:tc>
          <w:tcPr>
            <w:tcW w:w="659" w:type="pct"/>
            <w:shd w:val="clear" w:color="auto" w:fill="auto"/>
          </w:tcPr>
          <w:p w14:paraId="0605560F" w14:textId="77777777" w:rsidR="00D16863" w:rsidRPr="00C20EE9" w:rsidRDefault="00D16863" w:rsidP="00975338">
            <w:pPr>
              <w:spacing w:before="0" w:after="0"/>
              <w:rPr>
                <w:rFonts w:cs="Arial"/>
                <w:b/>
                <w:sz w:val="20"/>
                <w:szCs w:val="20"/>
              </w:rPr>
            </w:pPr>
            <w:r w:rsidRPr="00C20EE9">
              <w:rPr>
                <w:rFonts w:cs="Arial"/>
                <w:sz w:val="20"/>
                <w:szCs w:val="20"/>
              </w:rPr>
              <w:t>Procedure</w:t>
            </w:r>
          </w:p>
        </w:tc>
      </w:tr>
      <w:tr w:rsidR="00D16863" w:rsidRPr="0020710E" w14:paraId="00AE0983" w14:textId="77777777" w:rsidTr="00C20EE9">
        <w:trPr>
          <w:trHeight w:val="355"/>
        </w:trPr>
        <w:tc>
          <w:tcPr>
            <w:tcW w:w="601" w:type="pct"/>
            <w:shd w:val="clear" w:color="auto" w:fill="auto"/>
          </w:tcPr>
          <w:p w14:paraId="7C35E5E5" w14:textId="77777777" w:rsidR="00D16863" w:rsidRPr="00C20EE9" w:rsidRDefault="00D16863" w:rsidP="00975338">
            <w:pPr>
              <w:spacing w:before="0" w:after="0"/>
              <w:rPr>
                <w:rFonts w:cs="Arial"/>
                <w:sz w:val="20"/>
                <w:szCs w:val="20"/>
              </w:rPr>
            </w:pPr>
            <w:r w:rsidRPr="00C20EE9">
              <w:rPr>
                <w:rFonts w:cs="Arial"/>
                <w:sz w:val="20"/>
                <w:szCs w:val="20"/>
              </w:rPr>
              <w:t>FS01003</w:t>
            </w:r>
          </w:p>
        </w:tc>
        <w:tc>
          <w:tcPr>
            <w:tcW w:w="942" w:type="pct"/>
            <w:shd w:val="clear" w:color="auto" w:fill="auto"/>
          </w:tcPr>
          <w:p w14:paraId="3AC18611" w14:textId="77777777" w:rsidR="00D16863" w:rsidRPr="00C20EE9" w:rsidRDefault="00D16863" w:rsidP="00975338">
            <w:pPr>
              <w:spacing w:before="0" w:after="0"/>
              <w:rPr>
                <w:rFonts w:cs="Arial"/>
                <w:sz w:val="20"/>
                <w:szCs w:val="20"/>
              </w:rPr>
            </w:pPr>
            <w:r w:rsidRPr="00C20EE9">
              <w:rPr>
                <w:rFonts w:cs="Arial"/>
                <w:color w:val="000000"/>
                <w:sz w:val="20"/>
                <w:szCs w:val="20"/>
              </w:rPr>
              <w:t>Intracytoplasmic sperm injection (</w:t>
            </w:r>
            <w:r w:rsidRPr="00C20EE9">
              <w:rPr>
                <w:rFonts w:cs="Arial"/>
                <w:sz w:val="20"/>
                <w:szCs w:val="20"/>
              </w:rPr>
              <w:t>ICSI) Addition</w:t>
            </w:r>
          </w:p>
        </w:tc>
        <w:tc>
          <w:tcPr>
            <w:tcW w:w="2798" w:type="pct"/>
            <w:shd w:val="clear" w:color="auto" w:fill="auto"/>
          </w:tcPr>
          <w:p w14:paraId="2D410807" w14:textId="77777777" w:rsidR="00D16863" w:rsidRPr="00C20EE9" w:rsidRDefault="00D16863" w:rsidP="00975338">
            <w:pPr>
              <w:spacing w:before="0" w:after="0"/>
              <w:rPr>
                <w:rFonts w:cs="Arial"/>
                <w:sz w:val="20"/>
                <w:szCs w:val="20"/>
              </w:rPr>
            </w:pPr>
            <w:r w:rsidRPr="00C20EE9">
              <w:rPr>
                <w:rFonts w:cs="Arial"/>
                <w:sz w:val="20"/>
                <w:szCs w:val="20"/>
              </w:rPr>
              <w:t xml:space="preserve">Intracytoplasmic sperm injection – a single sperm injected directly into an egg for in vitro fertilization treatments </w:t>
            </w:r>
          </w:p>
        </w:tc>
        <w:tc>
          <w:tcPr>
            <w:tcW w:w="659" w:type="pct"/>
            <w:shd w:val="clear" w:color="auto" w:fill="auto"/>
          </w:tcPr>
          <w:p w14:paraId="32DDC3D1" w14:textId="77777777" w:rsidR="00D16863" w:rsidRPr="00C20EE9" w:rsidRDefault="00D16863" w:rsidP="00975338">
            <w:pPr>
              <w:spacing w:before="0" w:after="0"/>
              <w:rPr>
                <w:rFonts w:cs="Arial"/>
                <w:sz w:val="20"/>
                <w:szCs w:val="20"/>
              </w:rPr>
            </w:pPr>
            <w:r w:rsidRPr="00C20EE9">
              <w:rPr>
                <w:rFonts w:cs="Arial"/>
                <w:sz w:val="20"/>
                <w:szCs w:val="20"/>
              </w:rPr>
              <w:t>Procedure</w:t>
            </w:r>
          </w:p>
        </w:tc>
      </w:tr>
      <w:tr w:rsidR="00D16863" w:rsidRPr="0020710E" w14:paraId="00E1E845" w14:textId="77777777" w:rsidTr="00953A97">
        <w:trPr>
          <w:trHeight w:val="489"/>
        </w:trPr>
        <w:tc>
          <w:tcPr>
            <w:tcW w:w="601" w:type="pct"/>
            <w:shd w:val="clear" w:color="auto" w:fill="auto"/>
          </w:tcPr>
          <w:p w14:paraId="2FAF9F3D" w14:textId="77777777" w:rsidR="00D16863" w:rsidRPr="00C20EE9" w:rsidRDefault="00D16863" w:rsidP="00975338">
            <w:pPr>
              <w:spacing w:before="0" w:after="0"/>
              <w:rPr>
                <w:rFonts w:cs="Arial"/>
                <w:b/>
                <w:sz w:val="20"/>
                <w:szCs w:val="20"/>
              </w:rPr>
            </w:pPr>
            <w:r w:rsidRPr="00C20EE9">
              <w:rPr>
                <w:rFonts w:cs="Arial"/>
                <w:sz w:val="20"/>
                <w:szCs w:val="20"/>
              </w:rPr>
              <w:t>FS01004</w:t>
            </w:r>
          </w:p>
        </w:tc>
        <w:tc>
          <w:tcPr>
            <w:tcW w:w="942" w:type="pct"/>
            <w:shd w:val="clear" w:color="auto" w:fill="auto"/>
          </w:tcPr>
          <w:p w14:paraId="7F7CA6EC" w14:textId="77777777" w:rsidR="00D16863" w:rsidRPr="00C20EE9" w:rsidRDefault="00D16863" w:rsidP="00975338">
            <w:pPr>
              <w:spacing w:before="0" w:after="0"/>
              <w:rPr>
                <w:rFonts w:cs="Arial"/>
                <w:b/>
                <w:sz w:val="20"/>
                <w:szCs w:val="20"/>
              </w:rPr>
            </w:pPr>
            <w:r w:rsidRPr="00C20EE9">
              <w:rPr>
                <w:rFonts w:cs="Arial"/>
                <w:sz w:val="20"/>
                <w:szCs w:val="20"/>
              </w:rPr>
              <w:t>Donor Insemination</w:t>
            </w:r>
          </w:p>
        </w:tc>
        <w:tc>
          <w:tcPr>
            <w:tcW w:w="2798" w:type="pct"/>
            <w:shd w:val="clear" w:color="auto" w:fill="auto"/>
          </w:tcPr>
          <w:p w14:paraId="6C1CA72D" w14:textId="77777777" w:rsidR="00D16863" w:rsidRPr="00C20EE9" w:rsidRDefault="00D16863" w:rsidP="00975338">
            <w:pPr>
              <w:spacing w:before="0" w:after="0"/>
              <w:rPr>
                <w:rFonts w:cs="Arial"/>
                <w:sz w:val="20"/>
                <w:szCs w:val="20"/>
              </w:rPr>
            </w:pPr>
            <w:r w:rsidRPr="00C20EE9">
              <w:rPr>
                <w:rFonts w:cs="Arial"/>
                <w:sz w:val="20"/>
                <w:szCs w:val="20"/>
              </w:rPr>
              <w:t>The insemination of donor sperm into women whose partners are infertile</w:t>
            </w:r>
          </w:p>
        </w:tc>
        <w:tc>
          <w:tcPr>
            <w:tcW w:w="659" w:type="pct"/>
            <w:shd w:val="clear" w:color="auto" w:fill="auto"/>
          </w:tcPr>
          <w:p w14:paraId="2246601C" w14:textId="77777777" w:rsidR="00D16863" w:rsidRPr="00C20EE9" w:rsidRDefault="00D16863" w:rsidP="00975338">
            <w:pPr>
              <w:spacing w:before="0" w:after="0"/>
              <w:rPr>
                <w:rFonts w:cs="Arial"/>
                <w:b/>
                <w:sz w:val="20"/>
                <w:szCs w:val="20"/>
              </w:rPr>
            </w:pPr>
            <w:r w:rsidRPr="00C20EE9">
              <w:rPr>
                <w:rFonts w:cs="Arial"/>
                <w:sz w:val="20"/>
                <w:szCs w:val="20"/>
              </w:rPr>
              <w:t>Procedure</w:t>
            </w:r>
          </w:p>
        </w:tc>
      </w:tr>
      <w:tr w:rsidR="00D16863" w:rsidRPr="005A19A8" w14:paraId="658B9362" w14:textId="77777777" w:rsidTr="00C20EE9">
        <w:trPr>
          <w:trHeight w:val="759"/>
        </w:trPr>
        <w:tc>
          <w:tcPr>
            <w:tcW w:w="601" w:type="pct"/>
            <w:shd w:val="clear" w:color="auto" w:fill="auto"/>
          </w:tcPr>
          <w:p w14:paraId="7598473A" w14:textId="77777777" w:rsidR="00D16863" w:rsidRPr="00C20EE9" w:rsidRDefault="00D16863" w:rsidP="00975338">
            <w:pPr>
              <w:spacing w:before="0" w:after="0"/>
              <w:rPr>
                <w:rFonts w:cs="Arial"/>
                <w:b/>
                <w:sz w:val="20"/>
                <w:szCs w:val="20"/>
              </w:rPr>
            </w:pPr>
            <w:r w:rsidRPr="00C20EE9">
              <w:rPr>
                <w:rFonts w:cs="Arial"/>
                <w:sz w:val="20"/>
                <w:szCs w:val="20"/>
              </w:rPr>
              <w:t>FS01005</w:t>
            </w:r>
          </w:p>
        </w:tc>
        <w:tc>
          <w:tcPr>
            <w:tcW w:w="942" w:type="pct"/>
            <w:shd w:val="clear" w:color="auto" w:fill="auto"/>
          </w:tcPr>
          <w:p w14:paraId="6DF163B2" w14:textId="77777777" w:rsidR="00D16863" w:rsidRPr="00C20EE9" w:rsidRDefault="00D16863" w:rsidP="00975338">
            <w:pPr>
              <w:spacing w:before="0" w:after="0"/>
              <w:rPr>
                <w:rFonts w:cs="Arial"/>
                <w:b/>
                <w:sz w:val="20"/>
                <w:szCs w:val="20"/>
              </w:rPr>
            </w:pPr>
            <w:r w:rsidRPr="00C20EE9">
              <w:rPr>
                <w:rFonts w:cs="Arial"/>
                <w:sz w:val="20"/>
                <w:szCs w:val="20"/>
              </w:rPr>
              <w:t>Intrauterine insemination – Simple</w:t>
            </w:r>
            <w:r w:rsidRPr="00C20EE9" w:rsidDel="00286BCC">
              <w:rPr>
                <w:rFonts w:cs="Arial"/>
                <w:sz w:val="20"/>
                <w:szCs w:val="20"/>
              </w:rPr>
              <w:t xml:space="preserve"> </w:t>
            </w:r>
          </w:p>
        </w:tc>
        <w:tc>
          <w:tcPr>
            <w:tcW w:w="2798" w:type="pct"/>
            <w:shd w:val="clear" w:color="auto" w:fill="auto"/>
          </w:tcPr>
          <w:p w14:paraId="608A9122" w14:textId="77777777" w:rsidR="00D16863" w:rsidRPr="00C20EE9" w:rsidRDefault="00D16863" w:rsidP="00975338">
            <w:pPr>
              <w:spacing w:before="0" w:after="0"/>
              <w:rPr>
                <w:rFonts w:cs="Arial"/>
                <w:sz w:val="20"/>
                <w:szCs w:val="20"/>
              </w:rPr>
            </w:pPr>
            <w:r w:rsidRPr="00C20EE9">
              <w:rPr>
                <w:rFonts w:cs="Arial"/>
                <w:sz w:val="20"/>
                <w:szCs w:val="20"/>
              </w:rPr>
              <w:t>Intrauterine technique for specially prepared sperm to be placed directly into the uterus.  (Excludes hyperstimulation of the ovary FS01006).</w:t>
            </w:r>
          </w:p>
        </w:tc>
        <w:tc>
          <w:tcPr>
            <w:tcW w:w="659" w:type="pct"/>
            <w:shd w:val="clear" w:color="auto" w:fill="auto"/>
          </w:tcPr>
          <w:p w14:paraId="3EEEADBA" w14:textId="77777777" w:rsidR="00D16863" w:rsidRPr="00C20EE9" w:rsidRDefault="00D16863" w:rsidP="00975338">
            <w:pPr>
              <w:spacing w:before="0" w:after="0"/>
              <w:rPr>
                <w:rFonts w:cs="Arial"/>
                <w:b/>
                <w:sz w:val="20"/>
                <w:szCs w:val="20"/>
              </w:rPr>
            </w:pPr>
            <w:r w:rsidRPr="00C20EE9">
              <w:rPr>
                <w:rFonts w:cs="Arial"/>
                <w:sz w:val="20"/>
                <w:szCs w:val="20"/>
              </w:rPr>
              <w:t>Procedure</w:t>
            </w:r>
          </w:p>
        </w:tc>
      </w:tr>
      <w:tr w:rsidR="00D16863" w:rsidRPr="005A19A8" w14:paraId="38A9E1DE" w14:textId="77777777" w:rsidTr="00C20EE9">
        <w:trPr>
          <w:trHeight w:val="759"/>
        </w:trPr>
        <w:tc>
          <w:tcPr>
            <w:tcW w:w="601" w:type="pct"/>
            <w:shd w:val="clear" w:color="auto" w:fill="auto"/>
          </w:tcPr>
          <w:p w14:paraId="36A1F623" w14:textId="77777777" w:rsidR="00D16863" w:rsidRPr="00C20EE9" w:rsidRDefault="00D16863" w:rsidP="00975338">
            <w:pPr>
              <w:spacing w:before="0" w:after="0"/>
              <w:rPr>
                <w:rFonts w:cs="Arial"/>
                <w:b/>
                <w:sz w:val="20"/>
                <w:szCs w:val="20"/>
              </w:rPr>
            </w:pPr>
            <w:r w:rsidRPr="00C20EE9">
              <w:rPr>
                <w:rFonts w:cs="Arial"/>
                <w:sz w:val="20"/>
                <w:szCs w:val="20"/>
              </w:rPr>
              <w:t>FS01006</w:t>
            </w:r>
          </w:p>
        </w:tc>
        <w:tc>
          <w:tcPr>
            <w:tcW w:w="942" w:type="pct"/>
            <w:shd w:val="clear" w:color="auto" w:fill="auto"/>
          </w:tcPr>
          <w:p w14:paraId="7E6C66E4" w14:textId="77777777" w:rsidR="00D16863" w:rsidRPr="00C20EE9" w:rsidRDefault="00D16863" w:rsidP="00975338">
            <w:pPr>
              <w:spacing w:before="0" w:after="0"/>
              <w:rPr>
                <w:rFonts w:cs="Arial"/>
                <w:b/>
                <w:sz w:val="20"/>
                <w:szCs w:val="20"/>
              </w:rPr>
            </w:pPr>
            <w:r w:rsidRPr="00C20EE9">
              <w:rPr>
                <w:rFonts w:cs="Arial"/>
                <w:sz w:val="20"/>
                <w:szCs w:val="20"/>
              </w:rPr>
              <w:t>Intrauterine insemination with hyper stimulation</w:t>
            </w:r>
            <w:r w:rsidRPr="00C20EE9" w:rsidDel="00286BCC">
              <w:rPr>
                <w:rFonts w:cs="Arial"/>
                <w:sz w:val="20"/>
                <w:szCs w:val="20"/>
              </w:rPr>
              <w:t xml:space="preserve"> </w:t>
            </w:r>
          </w:p>
        </w:tc>
        <w:tc>
          <w:tcPr>
            <w:tcW w:w="2798" w:type="pct"/>
            <w:shd w:val="clear" w:color="auto" w:fill="auto"/>
          </w:tcPr>
          <w:p w14:paraId="1FB4324A" w14:textId="77777777" w:rsidR="00D16863" w:rsidRPr="00C20EE9" w:rsidRDefault="00D16863" w:rsidP="00975338">
            <w:pPr>
              <w:spacing w:before="0" w:after="0"/>
              <w:rPr>
                <w:rFonts w:cs="Arial"/>
                <w:b/>
                <w:sz w:val="20"/>
                <w:szCs w:val="20"/>
              </w:rPr>
            </w:pPr>
            <w:r w:rsidRPr="00C20EE9">
              <w:rPr>
                <w:rFonts w:cs="Arial"/>
                <w:sz w:val="20"/>
                <w:szCs w:val="20"/>
              </w:rPr>
              <w:t xml:space="preserve">Hyperstimulation of the ovary to produce more than one egg combined with intrauterine insemination technique using specially prepared sperm </w:t>
            </w:r>
          </w:p>
        </w:tc>
        <w:tc>
          <w:tcPr>
            <w:tcW w:w="659" w:type="pct"/>
            <w:shd w:val="clear" w:color="auto" w:fill="auto"/>
          </w:tcPr>
          <w:p w14:paraId="5EFA054A" w14:textId="77777777" w:rsidR="00D16863" w:rsidRPr="00C20EE9" w:rsidRDefault="00D16863" w:rsidP="00975338">
            <w:pPr>
              <w:spacing w:before="0" w:after="0"/>
              <w:rPr>
                <w:rFonts w:cs="Arial"/>
                <w:b/>
                <w:sz w:val="20"/>
                <w:szCs w:val="20"/>
              </w:rPr>
            </w:pPr>
            <w:r w:rsidRPr="00C20EE9">
              <w:rPr>
                <w:rFonts w:cs="Arial"/>
                <w:sz w:val="20"/>
                <w:szCs w:val="20"/>
              </w:rPr>
              <w:t>Procedure</w:t>
            </w:r>
          </w:p>
        </w:tc>
      </w:tr>
      <w:tr w:rsidR="00D16863" w:rsidRPr="0020710E" w14:paraId="74E44822" w14:textId="77777777" w:rsidTr="00C20EE9">
        <w:trPr>
          <w:trHeight w:val="517"/>
        </w:trPr>
        <w:tc>
          <w:tcPr>
            <w:tcW w:w="601" w:type="pct"/>
            <w:shd w:val="clear" w:color="auto" w:fill="auto"/>
          </w:tcPr>
          <w:p w14:paraId="684AD065" w14:textId="77777777" w:rsidR="00D16863" w:rsidRPr="00C20EE9" w:rsidRDefault="00D16863" w:rsidP="0029274C">
            <w:pPr>
              <w:spacing w:before="0" w:after="0"/>
              <w:rPr>
                <w:rFonts w:cs="Arial"/>
                <w:sz w:val="20"/>
                <w:szCs w:val="20"/>
              </w:rPr>
            </w:pPr>
            <w:r w:rsidRPr="00C20EE9">
              <w:rPr>
                <w:rFonts w:cs="Arial"/>
                <w:sz w:val="20"/>
                <w:szCs w:val="20"/>
              </w:rPr>
              <w:t>FS01021</w:t>
            </w:r>
          </w:p>
        </w:tc>
        <w:tc>
          <w:tcPr>
            <w:tcW w:w="942" w:type="pct"/>
            <w:shd w:val="clear" w:color="auto" w:fill="auto"/>
          </w:tcPr>
          <w:p w14:paraId="1929AF3A" w14:textId="77777777" w:rsidR="00D16863" w:rsidRPr="00C20EE9" w:rsidRDefault="00D16863" w:rsidP="00975338">
            <w:pPr>
              <w:spacing w:before="0" w:after="0"/>
              <w:rPr>
                <w:rFonts w:cs="Arial"/>
                <w:sz w:val="20"/>
                <w:szCs w:val="20"/>
              </w:rPr>
            </w:pPr>
            <w:r w:rsidRPr="00C20EE9">
              <w:rPr>
                <w:rFonts w:cs="Arial"/>
                <w:sz w:val="20"/>
                <w:szCs w:val="20"/>
              </w:rPr>
              <w:t>Surrogacy Procedures</w:t>
            </w:r>
          </w:p>
        </w:tc>
        <w:tc>
          <w:tcPr>
            <w:tcW w:w="2798" w:type="pct"/>
            <w:shd w:val="clear" w:color="auto" w:fill="auto"/>
          </w:tcPr>
          <w:p w14:paraId="6F33F333" w14:textId="77777777" w:rsidR="00D16863" w:rsidRPr="00C20EE9" w:rsidRDefault="00D16863" w:rsidP="00975338">
            <w:pPr>
              <w:spacing w:before="0" w:after="0"/>
              <w:rPr>
                <w:rFonts w:cs="Arial"/>
                <w:sz w:val="20"/>
                <w:szCs w:val="20"/>
              </w:rPr>
            </w:pPr>
            <w:r w:rsidRPr="00C20EE9">
              <w:rPr>
                <w:rFonts w:cs="Arial"/>
                <w:sz w:val="20"/>
                <w:szCs w:val="20"/>
              </w:rPr>
              <w:t>Surrogacy related fertility procedures</w:t>
            </w:r>
          </w:p>
        </w:tc>
        <w:tc>
          <w:tcPr>
            <w:tcW w:w="659" w:type="pct"/>
            <w:shd w:val="clear" w:color="auto" w:fill="auto"/>
          </w:tcPr>
          <w:p w14:paraId="3705CF08" w14:textId="77777777" w:rsidR="00D16863" w:rsidRPr="00C20EE9" w:rsidRDefault="00D16863" w:rsidP="00975338">
            <w:pPr>
              <w:spacing w:before="0" w:after="0"/>
              <w:rPr>
                <w:rFonts w:cs="Arial"/>
                <w:sz w:val="20"/>
                <w:szCs w:val="20"/>
              </w:rPr>
            </w:pPr>
            <w:r w:rsidRPr="00C20EE9">
              <w:rPr>
                <w:rFonts w:cs="Arial"/>
                <w:sz w:val="20"/>
                <w:szCs w:val="20"/>
              </w:rPr>
              <w:t>Procedure</w:t>
            </w:r>
          </w:p>
        </w:tc>
      </w:tr>
      <w:tr w:rsidR="00D16863" w:rsidRPr="0020710E" w14:paraId="27E98CA6" w14:textId="77777777" w:rsidTr="00C20EE9">
        <w:trPr>
          <w:trHeight w:val="412"/>
        </w:trPr>
        <w:tc>
          <w:tcPr>
            <w:tcW w:w="601" w:type="pct"/>
            <w:shd w:val="clear" w:color="auto" w:fill="auto"/>
          </w:tcPr>
          <w:p w14:paraId="74B04592" w14:textId="77777777" w:rsidR="00D16863" w:rsidRPr="00C20EE9" w:rsidRDefault="00D16863" w:rsidP="0029274C">
            <w:pPr>
              <w:spacing w:before="0" w:after="0"/>
              <w:rPr>
                <w:rFonts w:cs="Arial"/>
                <w:sz w:val="20"/>
                <w:szCs w:val="20"/>
              </w:rPr>
            </w:pPr>
            <w:r w:rsidRPr="00C20EE9">
              <w:rPr>
                <w:rFonts w:cs="Arial"/>
                <w:sz w:val="20"/>
                <w:szCs w:val="20"/>
              </w:rPr>
              <w:t>FS01022</w:t>
            </w:r>
          </w:p>
        </w:tc>
        <w:tc>
          <w:tcPr>
            <w:tcW w:w="942" w:type="pct"/>
            <w:shd w:val="clear" w:color="auto" w:fill="auto"/>
          </w:tcPr>
          <w:p w14:paraId="2969F0BF" w14:textId="77777777" w:rsidR="00D16863" w:rsidRPr="00C20EE9" w:rsidRDefault="00D16863" w:rsidP="00975338">
            <w:pPr>
              <w:spacing w:before="0" w:after="0"/>
              <w:rPr>
                <w:rFonts w:cs="Arial"/>
                <w:sz w:val="20"/>
                <w:szCs w:val="20"/>
              </w:rPr>
            </w:pPr>
            <w:r w:rsidRPr="00C20EE9">
              <w:rPr>
                <w:rFonts w:cs="Arial"/>
                <w:sz w:val="20"/>
                <w:szCs w:val="20"/>
              </w:rPr>
              <w:t>Donor Egg</w:t>
            </w:r>
          </w:p>
        </w:tc>
        <w:tc>
          <w:tcPr>
            <w:tcW w:w="2798" w:type="pct"/>
            <w:shd w:val="clear" w:color="auto" w:fill="auto"/>
          </w:tcPr>
          <w:p w14:paraId="604588DB" w14:textId="77777777" w:rsidR="00D16863" w:rsidRPr="00C20EE9" w:rsidRDefault="00D16863" w:rsidP="00975338">
            <w:pPr>
              <w:spacing w:before="0" w:after="0"/>
              <w:rPr>
                <w:rFonts w:cs="Arial"/>
                <w:sz w:val="20"/>
                <w:szCs w:val="20"/>
              </w:rPr>
            </w:pPr>
            <w:r w:rsidRPr="00C20EE9">
              <w:rPr>
                <w:rFonts w:cs="Arial"/>
                <w:sz w:val="20"/>
                <w:szCs w:val="20"/>
              </w:rPr>
              <w:t>Donor related fertility procedures including donated egg</w:t>
            </w:r>
          </w:p>
        </w:tc>
        <w:tc>
          <w:tcPr>
            <w:tcW w:w="659" w:type="pct"/>
            <w:shd w:val="clear" w:color="auto" w:fill="auto"/>
          </w:tcPr>
          <w:p w14:paraId="66A01F9C" w14:textId="77777777" w:rsidR="00D16863" w:rsidRPr="00C20EE9" w:rsidRDefault="00D16863" w:rsidP="00975338">
            <w:pPr>
              <w:spacing w:before="0" w:after="0"/>
              <w:rPr>
                <w:rFonts w:cs="Arial"/>
                <w:sz w:val="20"/>
                <w:szCs w:val="20"/>
              </w:rPr>
            </w:pPr>
            <w:r w:rsidRPr="00C20EE9">
              <w:rPr>
                <w:rFonts w:cs="Arial"/>
                <w:sz w:val="20"/>
                <w:szCs w:val="20"/>
              </w:rPr>
              <w:t>Procedure</w:t>
            </w:r>
          </w:p>
        </w:tc>
      </w:tr>
      <w:tr w:rsidR="00D16863" w:rsidRPr="0020710E" w14:paraId="7B6C2661" w14:textId="77777777" w:rsidTr="00C20EE9">
        <w:trPr>
          <w:trHeight w:val="493"/>
        </w:trPr>
        <w:tc>
          <w:tcPr>
            <w:tcW w:w="601" w:type="pct"/>
            <w:shd w:val="clear" w:color="auto" w:fill="auto"/>
          </w:tcPr>
          <w:p w14:paraId="45C58223" w14:textId="77777777" w:rsidR="00D16863" w:rsidRPr="00C20EE9" w:rsidRDefault="00D16863" w:rsidP="0029274C">
            <w:pPr>
              <w:spacing w:before="0" w:after="0"/>
              <w:rPr>
                <w:rFonts w:cs="Arial"/>
                <w:sz w:val="20"/>
                <w:szCs w:val="20"/>
              </w:rPr>
            </w:pPr>
            <w:r w:rsidRPr="00C20EE9">
              <w:rPr>
                <w:rFonts w:cs="Arial"/>
                <w:sz w:val="20"/>
                <w:szCs w:val="20"/>
              </w:rPr>
              <w:t>FS01023</w:t>
            </w:r>
          </w:p>
        </w:tc>
        <w:tc>
          <w:tcPr>
            <w:tcW w:w="942" w:type="pct"/>
            <w:shd w:val="clear" w:color="auto" w:fill="auto"/>
          </w:tcPr>
          <w:p w14:paraId="451E5DA5" w14:textId="77777777" w:rsidR="00D16863" w:rsidRPr="00C20EE9" w:rsidRDefault="00D16863" w:rsidP="00975338">
            <w:pPr>
              <w:spacing w:before="0" w:after="0"/>
              <w:rPr>
                <w:rFonts w:cs="Arial"/>
                <w:sz w:val="20"/>
                <w:szCs w:val="20"/>
              </w:rPr>
            </w:pPr>
            <w:r w:rsidRPr="00C20EE9">
              <w:rPr>
                <w:rFonts w:cs="Arial"/>
                <w:sz w:val="20"/>
                <w:szCs w:val="20"/>
              </w:rPr>
              <w:t xml:space="preserve">Donor Embryo </w:t>
            </w:r>
          </w:p>
        </w:tc>
        <w:tc>
          <w:tcPr>
            <w:tcW w:w="2798" w:type="pct"/>
            <w:shd w:val="clear" w:color="auto" w:fill="auto"/>
          </w:tcPr>
          <w:p w14:paraId="38FB501E" w14:textId="77777777" w:rsidR="00D16863" w:rsidRPr="00C20EE9" w:rsidRDefault="00D16863" w:rsidP="00975338">
            <w:pPr>
              <w:spacing w:before="0" w:after="0"/>
              <w:rPr>
                <w:rFonts w:cs="Arial"/>
                <w:sz w:val="20"/>
                <w:szCs w:val="20"/>
              </w:rPr>
            </w:pPr>
            <w:r w:rsidRPr="00C20EE9">
              <w:rPr>
                <w:rFonts w:cs="Arial"/>
                <w:sz w:val="20"/>
                <w:szCs w:val="20"/>
              </w:rPr>
              <w:t>Donor related fertility procedures donor embryo</w:t>
            </w:r>
          </w:p>
        </w:tc>
        <w:tc>
          <w:tcPr>
            <w:tcW w:w="659" w:type="pct"/>
            <w:shd w:val="clear" w:color="auto" w:fill="auto"/>
          </w:tcPr>
          <w:p w14:paraId="1C3D6C30" w14:textId="77777777" w:rsidR="00D16863" w:rsidRPr="00C20EE9" w:rsidRDefault="00D16863" w:rsidP="00975338">
            <w:pPr>
              <w:spacing w:before="0" w:after="0"/>
              <w:rPr>
                <w:rFonts w:cs="Arial"/>
                <w:sz w:val="20"/>
                <w:szCs w:val="20"/>
              </w:rPr>
            </w:pPr>
            <w:r w:rsidRPr="00C20EE9">
              <w:rPr>
                <w:rFonts w:cs="Arial"/>
                <w:sz w:val="20"/>
                <w:szCs w:val="20"/>
              </w:rPr>
              <w:t>Procedure</w:t>
            </w:r>
          </w:p>
        </w:tc>
      </w:tr>
      <w:tr w:rsidR="00D16863" w:rsidRPr="0020710E" w14:paraId="686A13E6" w14:textId="77777777" w:rsidTr="00953A97">
        <w:trPr>
          <w:trHeight w:val="539"/>
        </w:trPr>
        <w:tc>
          <w:tcPr>
            <w:tcW w:w="601" w:type="pct"/>
            <w:shd w:val="clear" w:color="auto" w:fill="auto"/>
          </w:tcPr>
          <w:p w14:paraId="7F09593C" w14:textId="77777777" w:rsidR="00D16863" w:rsidRPr="00C20EE9" w:rsidRDefault="00D16863" w:rsidP="00975338">
            <w:pPr>
              <w:spacing w:before="0" w:after="0"/>
              <w:rPr>
                <w:rFonts w:cs="Arial"/>
                <w:b/>
                <w:sz w:val="20"/>
                <w:szCs w:val="20"/>
              </w:rPr>
            </w:pPr>
            <w:r w:rsidRPr="00C20EE9">
              <w:rPr>
                <w:rFonts w:cs="Arial"/>
                <w:sz w:val="20"/>
                <w:szCs w:val="20"/>
              </w:rPr>
              <w:t>FS01008</w:t>
            </w:r>
          </w:p>
        </w:tc>
        <w:tc>
          <w:tcPr>
            <w:tcW w:w="942" w:type="pct"/>
            <w:shd w:val="clear" w:color="auto" w:fill="auto"/>
          </w:tcPr>
          <w:p w14:paraId="24B158B2" w14:textId="77777777" w:rsidR="00D16863" w:rsidRPr="00C20EE9" w:rsidRDefault="00D16863" w:rsidP="00975338">
            <w:pPr>
              <w:spacing w:before="0" w:after="0"/>
              <w:rPr>
                <w:rFonts w:cs="Arial"/>
                <w:b/>
                <w:sz w:val="20"/>
                <w:szCs w:val="20"/>
              </w:rPr>
            </w:pPr>
            <w:r w:rsidRPr="00C20EE9">
              <w:rPr>
                <w:rFonts w:cs="Arial"/>
                <w:sz w:val="20"/>
                <w:szCs w:val="20"/>
              </w:rPr>
              <w:t>Thawed Embryo Replacement</w:t>
            </w:r>
          </w:p>
        </w:tc>
        <w:tc>
          <w:tcPr>
            <w:tcW w:w="2798" w:type="pct"/>
            <w:shd w:val="clear" w:color="auto" w:fill="auto"/>
          </w:tcPr>
          <w:p w14:paraId="42A46EEB" w14:textId="77777777" w:rsidR="00D16863" w:rsidRPr="00C20EE9" w:rsidRDefault="00D16863" w:rsidP="00975338">
            <w:pPr>
              <w:spacing w:before="0" w:after="0"/>
              <w:rPr>
                <w:rFonts w:cs="Arial"/>
                <w:b/>
                <w:sz w:val="20"/>
                <w:szCs w:val="20"/>
              </w:rPr>
            </w:pPr>
            <w:r w:rsidRPr="00C20EE9">
              <w:rPr>
                <w:rFonts w:cs="Arial"/>
                <w:sz w:val="20"/>
                <w:szCs w:val="20"/>
              </w:rPr>
              <w:t>Transfer of additional embryos frozen at time of oocyte pickup in a following cycle</w:t>
            </w:r>
          </w:p>
        </w:tc>
        <w:tc>
          <w:tcPr>
            <w:tcW w:w="659" w:type="pct"/>
            <w:shd w:val="clear" w:color="auto" w:fill="auto"/>
          </w:tcPr>
          <w:p w14:paraId="39400770" w14:textId="77777777" w:rsidR="00D16863" w:rsidRPr="00C20EE9" w:rsidRDefault="00D16863" w:rsidP="00975338">
            <w:pPr>
              <w:spacing w:before="0" w:after="0"/>
              <w:rPr>
                <w:rFonts w:cs="Arial"/>
                <w:b/>
                <w:sz w:val="20"/>
                <w:szCs w:val="20"/>
              </w:rPr>
            </w:pPr>
            <w:r w:rsidRPr="00C20EE9">
              <w:rPr>
                <w:rFonts w:cs="Arial"/>
                <w:sz w:val="20"/>
                <w:szCs w:val="20"/>
              </w:rPr>
              <w:t>Procedure</w:t>
            </w:r>
          </w:p>
        </w:tc>
      </w:tr>
      <w:tr w:rsidR="00D16863" w:rsidRPr="0020710E" w14:paraId="01419CBA" w14:textId="77777777" w:rsidTr="00C20EE9">
        <w:trPr>
          <w:trHeight w:val="759"/>
        </w:trPr>
        <w:tc>
          <w:tcPr>
            <w:tcW w:w="601" w:type="pct"/>
            <w:shd w:val="clear" w:color="auto" w:fill="auto"/>
          </w:tcPr>
          <w:p w14:paraId="488A51F2" w14:textId="77777777" w:rsidR="00D16863" w:rsidRPr="00C20EE9" w:rsidRDefault="00D16863" w:rsidP="00975338">
            <w:pPr>
              <w:spacing w:before="0" w:after="0"/>
              <w:rPr>
                <w:rFonts w:cs="Arial"/>
                <w:sz w:val="20"/>
                <w:szCs w:val="20"/>
              </w:rPr>
            </w:pPr>
            <w:r w:rsidRPr="00C20EE9">
              <w:rPr>
                <w:rFonts w:cs="Arial"/>
                <w:sz w:val="20"/>
                <w:szCs w:val="20"/>
              </w:rPr>
              <w:lastRenderedPageBreak/>
              <w:t>FS01009</w:t>
            </w:r>
          </w:p>
        </w:tc>
        <w:tc>
          <w:tcPr>
            <w:tcW w:w="942" w:type="pct"/>
            <w:shd w:val="clear" w:color="auto" w:fill="auto"/>
          </w:tcPr>
          <w:p w14:paraId="7D768042" w14:textId="77777777" w:rsidR="00D16863" w:rsidRPr="00C20EE9" w:rsidRDefault="00D16863" w:rsidP="00975338">
            <w:pPr>
              <w:spacing w:before="0" w:after="0"/>
              <w:rPr>
                <w:rFonts w:cs="Arial"/>
                <w:sz w:val="20"/>
                <w:szCs w:val="20"/>
              </w:rPr>
            </w:pPr>
            <w:r w:rsidRPr="00C20EE9">
              <w:rPr>
                <w:rFonts w:cs="Arial"/>
                <w:sz w:val="20"/>
                <w:szCs w:val="20"/>
              </w:rPr>
              <w:t>Ovulation Induction (OI)</w:t>
            </w:r>
          </w:p>
        </w:tc>
        <w:tc>
          <w:tcPr>
            <w:tcW w:w="2798" w:type="pct"/>
            <w:shd w:val="clear" w:color="auto" w:fill="auto"/>
          </w:tcPr>
          <w:p w14:paraId="462371E4" w14:textId="77777777" w:rsidR="00D16863" w:rsidRPr="00C20EE9" w:rsidRDefault="00D16863" w:rsidP="00975338">
            <w:pPr>
              <w:spacing w:before="0" w:after="0"/>
              <w:rPr>
                <w:rFonts w:cs="Arial"/>
                <w:sz w:val="20"/>
                <w:szCs w:val="20"/>
              </w:rPr>
            </w:pPr>
            <w:r w:rsidRPr="00C20EE9">
              <w:rPr>
                <w:rFonts w:cs="Arial"/>
                <w:sz w:val="20"/>
                <w:szCs w:val="20"/>
              </w:rPr>
              <w:t>Stimulation of ovaries with fertility drugs to induce mono-follicular development and allow fertilisation to occur by natural intercourse</w:t>
            </w:r>
          </w:p>
        </w:tc>
        <w:tc>
          <w:tcPr>
            <w:tcW w:w="659" w:type="pct"/>
            <w:shd w:val="clear" w:color="auto" w:fill="auto"/>
          </w:tcPr>
          <w:p w14:paraId="58D512DD" w14:textId="77777777" w:rsidR="00D16863" w:rsidRPr="00C20EE9" w:rsidRDefault="00D16863" w:rsidP="00975338">
            <w:pPr>
              <w:spacing w:before="0" w:after="0"/>
              <w:rPr>
                <w:rFonts w:cs="Arial"/>
                <w:b/>
                <w:sz w:val="20"/>
                <w:szCs w:val="20"/>
              </w:rPr>
            </w:pPr>
            <w:r w:rsidRPr="00C20EE9">
              <w:rPr>
                <w:rFonts w:cs="Arial"/>
                <w:sz w:val="20"/>
                <w:szCs w:val="20"/>
              </w:rPr>
              <w:t>Procedure</w:t>
            </w:r>
          </w:p>
        </w:tc>
      </w:tr>
      <w:tr w:rsidR="00D16863" w:rsidRPr="0020710E" w14:paraId="0234FDB1" w14:textId="77777777" w:rsidTr="00646622">
        <w:trPr>
          <w:trHeight w:val="645"/>
        </w:trPr>
        <w:tc>
          <w:tcPr>
            <w:tcW w:w="601" w:type="pct"/>
            <w:shd w:val="clear" w:color="auto" w:fill="auto"/>
          </w:tcPr>
          <w:p w14:paraId="4D264963" w14:textId="77777777" w:rsidR="00D16863" w:rsidRPr="00C20EE9" w:rsidRDefault="00D16863" w:rsidP="00975338">
            <w:pPr>
              <w:spacing w:before="0" w:after="0"/>
              <w:rPr>
                <w:rFonts w:cs="Arial"/>
                <w:sz w:val="20"/>
                <w:szCs w:val="20"/>
              </w:rPr>
            </w:pPr>
            <w:r w:rsidRPr="00C20EE9">
              <w:rPr>
                <w:rFonts w:cs="Arial"/>
                <w:sz w:val="20"/>
                <w:szCs w:val="20"/>
              </w:rPr>
              <w:t>FS01013</w:t>
            </w:r>
          </w:p>
        </w:tc>
        <w:tc>
          <w:tcPr>
            <w:tcW w:w="942" w:type="pct"/>
            <w:shd w:val="clear" w:color="auto" w:fill="auto"/>
          </w:tcPr>
          <w:p w14:paraId="50DA2F2F" w14:textId="77777777" w:rsidR="00D16863" w:rsidRPr="00C20EE9" w:rsidRDefault="00D16863" w:rsidP="00975338">
            <w:pPr>
              <w:spacing w:before="0" w:after="0"/>
              <w:rPr>
                <w:rFonts w:cs="Arial"/>
                <w:sz w:val="20"/>
                <w:szCs w:val="20"/>
              </w:rPr>
            </w:pPr>
            <w:r w:rsidRPr="00C20EE9">
              <w:rPr>
                <w:rFonts w:cs="Arial"/>
                <w:sz w:val="20"/>
                <w:szCs w:val="20"/>
              </w:rPr>
              <w:t>Cancelled IVF Cycle</w:t>
            </w:r>
          </w:p>
        </w:tc>
        <w:tc>
          <w:tcPr>
            <w:tcW w:w="2798" w:type="pct"/>
            <w:shd w:val="clear" w:color="auto" w:fill="auto"/>
          </w:tcPr>
          <w:p w14:paraId="5D5109AB" w14:textId="77777777" w:rsidR="00D16863" w:rsidRPr="00C20EE9" w:rsidRDefault="00D16863" w:rsidP="00975338">
            <w:pPr>
              <w:spacing w:before="0" w:after="0"/>
              <w:rPr>
                <w:rFonts w:cs="Arial"/>
                <w:sz w:val="20"/>
                <w:szCs w:val="20"/>
              </w:rPr>
            </w:pPr>
            <w:r w:rsidRPr="00C20EE9">
              <w:rPr>
                <w:rFonts w:cs="Arial"/>
                <w:sz w:val="20"/>
                <w:szCs w:val="20"/>
              </w:rPr>
              <w:t>Cancelled cycle of IVF (in vitro fertilization) after gonadotrophins commenced but before egg collection</w:t>
            </w:r>
          </w:p>
        </w:tc>
        <w:tc>
          <w:tcPr>
            <w:tcW w:w="659" w:type="pct"/>
            <w:shd w:val="clear" w:color="auto" w:fill="auto"/>
          </w:tcPr>
          <w:p w14:paraId="08ECDF08" w14:textId="77777777" w:rsidR="00D16863" w:rsidRPr="00C20EE9" w:rsidRDefault="00D16863" w:rsidP="00975338">
            <w:pPr>
              <w:spacing w:before="0" w:after="0"/>
              <w:rPr>
                <w:rFonts w:cs="Arial"/>
                <w:b/>
                <w:sz w:val="20"/>
                <w:szCs w:val="20"/>
              </w:rPr>
            </w:pPr>
            <w:r w:rsidRPr="00C20EE9">
              <w:rPr>
                <w:rFonts w:cs="Arial"/>
                <w:sz w:val="20"/>
                <w:szCs w:val="20"/>
              </w:rPr>
              <w:t>Client</w:t>
            </w:r>
          </w:p>
        </w:tc>
      </w:tr>
      <w:tr w:rsidR="00D16863" w:rsidRPr="0020710E" w14:paraId="2909CCD0" w14:textId="77777777" w:rsidTr="00646622">
        <w:trPr>
          <w:trHeight w:val="555"/>
        </w:trPr>
        <w:tc>
          <w:tcPr>
            <w:tcW w:w="601" w:type="pct"/>
            <w:shd w:val="clear" w:color="auto" w:fill="auto"/>
          </w:tcPr>
          <w:p w14:paraId="45F5233A" w14:textId="77777777" w:rsidR="00D16863" w:rsidRPr="00C20EE9" w:rsidRDefault="00D16863" w:rsidP="00975338">
            <w:pPr>
              <w:spacing w:before="0" w:after="0"/>
              <w:rPr>
                <w:rFonts w:cs="Arial"/>
                <w:sz w:val="20"/>
                <w:szCs w:val="20"/>
              </w:rPr>
            </w:pPr>
            <w:r w:rsidRPr="00C20EE9">
              <w:rPr>
                <w:rFonts w:cs="Arial"/>
                <w:sz w:val="20"/>
                <w:szCs w:val="20"/>
              </w:rPr>
              <w:t>FS01014</w:t>
            </w:r>
          </w:p>
        </w:tc>
        <w:tc>
          <w:tcPr>
            <w:tcW w:w="942" w:type="pct"/>
            <w:shd w:val="clear" w:color="auto" w:fill="auto"/>
          </w:tcPr>
          <w:p w14:paraId="68553D30" w14:textId="77777777" w:rsidR="00D16863" w:rsidRPr="00C20EE9" w:rsidRDefault="00D16863" w:rsidP="00975338">
            <w:pPr>
              <w:spacing w:before="0" w:after="0"/>
              <w:rPr>
                <w:rFonts w:cs="Arial"/>
                <w:sz w:val="20"/>
                <w:szCs w:val="20"/>
              </w:rPr>
            </w:pPr>
            <w:r w:rsidRPr="00C20EE9">
              <w:rPr>
                <w:rFonts w:cs="Arial"/>
                <w:sz w:val="20"/>
                <w:szCs w:val="20"/>
              </w:rPr>
              <w:t>Incomplete IVF Cycle</w:t>
            </w:r>
          </w:p>
        </w:tc>
        <w:tc>
          <w:tcPr>
            <w:tcW w:w="2798" w:type="pct"/>
            <w:shd w:val="clear" w:color="auto" w:fill="auto"/>
          </w:tcPr>
          <w:p w14:paraId="29195878" w14:textId="77777777" w:rsidR="00D16863" w:rsidRPr="00C20EE9" w:rsidRDefault="00D16863" w:rsidP="00975338">
            <w:pPr>
              <w:spacing w:before="0" w:after="0"/>
              <w:rPr>
                <w:rFonts w:cs="Arial"/>
                <w:sz w:val="20"/>
                <w:szCs w:val="20"/>
              </w:rPr>
            </w:pPr>
            <w:r w:rsidRPr="00C20EE9">
              <w:rPr>
                <w:rFonts w:cs="Arial"/>
                <w:sz w:val="20"/>
                <w:szCs w:val="20"/>
              </w:rPr>
              <w:t>Incomplete cycle of IVF(in vitro fertilization) resulting in no embryo to transfer or freeze</w:t>
            </w:r>
          </w:p>
        </w:tc>
        <w:tc>
          <w:tcPr>
            <w:tcW w:w="659" w:type="pct"/>
            <w:shd w:val="clear" w:color="auto" w:fill="auto"/>
          </w:tcPr>
          <w:p w14:paraId="4C63BB00" w14:textId="77777777" w:rsidR="00D16863" w:rsidRPr="00C20EE9" w:rsidRDefault="00D16863" w:rsidP="00975338">
            <w:pPr>
              <w:spacing w:before="0" w:after="0"/>
              <w:rPr>
                <w:rFonts w:cs="Arial"/>
                <w:b/>
                <w:sz w:val="20"/>
                <w:szCs w:val="20"/>
              </w:rPr>
            </w:pPr>
            <w:r w:rsidRPr="00C20EE9">
              <w:rPr>
                <w:rFonts w:cs="Arial"/>
                <w:sz w:val="20"/>
                <w:szCs w:val="20"/>
              </w:rPr>
              <w:t>Client</w:t>
            </w:r>
          </w:p>
        </w:tc>
      </w:tr>
      <w:tr w:rsidR="00D16863" w:rsidRPr="0020710E" w14:paraId="7DC375DE" w14:textId="77777777" w:rsidTr="00646622">
        <w:trPr>
          <w:trHeight w:val="563"/>
        </w:trPr>
        <w:tc>
          <w:tcPr>
            <w:tcW w:w="601" w:type="pct"/>
            <w:shd w:val="clear" w:color="auto" w:fill="auto"/>
          </w:tcPr>
          <w:p w14:paraId="78030AEC" w14:textId="77777777" w:rsidR="00D16863" w:rsidRPr="00C20EE9" w:rsidRDefault="00D16863" w:rsidP="00975338">
            <w:pPr>
              <w:spacing w:before="0" w:after="0"/>
              <w:rPr>
                <w:rFonts w:cs="Arial"/>
                <w:sz w:val="20"/>
                <w:szCs w:val="20"/>
              </w:rPr>
            </w:pPr>
            <w:r w:rsidRPr="00C20EE9">
              <w:rPr>
                <w:rFonts w:cs="Arial"/>
                <w:sz w:val="20"/>
                <w:szCs w:val="20"/>
              </w:rPr>
              <w:t>FS01018</w:t>
            </w:r>
          </w:p>
        </w:tc>
        <w:tc>
          <w:tcPr>
            <w:tcW w:w="942" w:type="pct"/>
            <w:shd w:val="clear" w:color="auto" w:fill="auto"/>
          </w:tcPr>
          <w:p w14:paraId="27C6E4E4" w14:textId="77777777" w:rsidR="00D16863" w:rsidRPr="00C20EE9" w:rsidRDefault="00D16863" w:rsidP="00975338">
            <w:pPr>
              <w:spacing w:before="0" w:after="0"/>
              <w:rPr>
                <w:rFonts w:cs="Arial"/>
                <w:sz w:val="20"/>
                <w:szCs w:val="20"/>
              </w:rPr>
            </w:pPr>
            <w:r w:rsidRPr="00C20EE9">
              <w:rPr>
                <w:rFonts w:cs="Arial"/>
                <w:sz w:val="20"/>
                <w:szCs w:val="20"/>
              </w:rPr>
              <w:t>IVF standard second cycle</w:t>
            </w:r>
          </w:p>
        </w:tc>
        <w:tc>
          <w:tcPr>
            <w:tcW w:w="2798" w:type="pct"/>
            <w:shd w:val="clear" w:color="auto" w:fill="auto"/>
          </w:tcPr>
          <w:p w14:paraId="1447BAB3" w14:textId="77777777" w:rsidR="00D16863" w:rsidRPr="00C20EE9" w:rsidRDefault="00D16863" w:rsidP="00975338">
            <w:pPr>
              <w:spacing w:before="0" w:after="0"/>
              <w:rPr>
                <w:rFonts w:cs="Arial"/>
                <w:sz w:val="20"/>
                <w:szCs w:val="20"/>
              </w:rPr>
            </w:pPr>
            <w:r w:rsidRPr="00C20EE9">
              <w:rPr>
                <w:rFonts w:cs="Arial"/>
                <w:sz w:val="20"/>
                <w:szCs w:val="20"/>
              </w:rPr>
              <w:t>In Vitro Fertilization Programme (IVF) second cycle of treatment.</w:t>
            </w:r>
          </w:p>
        </w:tc>
        <w:tc>
          <w:tcPr>
            <w:tcW w:w="659" w:type="pct"/>
            <w:shd w:val="clear" w:color="auto" w:fill="auto"/>
          </w:tcPr>
          <w:p w14:paraId="1ED21D87" w14:textId="77777777" w:rsidR="00D16863" w:rsidRPr="00C20EE9" w:rsidRDefault="00D16863" w:rsidP="00975338">
            <w:pPr>
              <w:spacing w:before="0" w:after="0"/>
              <w:rPr>
                <w:rFonts w:cs="Arial"/>
                <w:sz w:val="20"/>
                <w:szCs w:val="20"/>
              </w:rPr>
            </w:pPr>
            <w:r w:rsidRPr="00C20EE9">
              <w:rPr>
                <w:rFonts w:cs="Arial"/>
                <w:sz w:val="20"/>
                <w:szCs w:val="20"/>
              </w:rPr>
              <w:t>Procedure</w:t>
            </w:r>
          </w:p>
        </w:tc>
      </w:tr>
      <w:tr w:rsidR="00D16863" w:rsidRPr="0020710E" w14:paraId="1FB38745" w14:textId="77777777" w:rsidTr="00646622">
        <w:trPr>
          <w:trHeight w:val="639"/>
        </w:trPr>
        <w:tc>
          <w:tcPr>
            <w:tcW w:w="601" w:type="pct"/>
            <w:shd w:val="clear" w:color="auto" w:fill="auto"/>
          </w:tcPr>
          <w:p w14:paraId="4E8DBDD5" w14:textId="77777777" w:rsidR="00D16863" w:rsidRPr="00C20EE9" w:rsidRDefault="00D16863" w:rsidP="00812973">
            <w:pPr>
              <w:spacing w:before="0" w:after="0"/>
              <w:rPr>
                <w:rFonts w:cs="Arial"/>
                <w:sz w:val="20"/>
                <w:szCs w:val="20"/>
              </w:rPr>
            </w:pPr>
            <w:r w:rsidRPr="00C20EE9">
              <w:rPr>
                <w:rFonts w:cs="Arial"/>
                <w:sz w:val="20"/>
                <w:szCs w:val="20"/>
              </w:rPr>
              <w:t>FS01010</w:t>
            </w:r>
          </w:p>
        </w:tc>
        <w:tc>
          <w:tcPr>
            <w:tcW w:w="942" w:type="pct"/>
            <w:shd w:val="clear" w:color="auto" w:fill="auto"/>
          </w:tcPr>
          <w:p w14:paraId="2EB87BB5" w14:textId="77777777" w:rsidR="00D16863" w:rsidRPr="00C20EE9" w:rsidRDefault="00D16863" w:rsidP="00812973">
            <w:pPr>
              <w:spacing w:before="0" w:after="0"/>
              <w:rPr>
                <w:rFonts w:cs="Arial"/>
                <w:sz w:val="20"/>
                <w:szCs w:val="20"/>
              </w:rPr>
            </w:pPr>
            <w:r w:rsidRPr="00C20EE9">
              <w:rPr>
                <w:rFonts w:cs="Arial"/>
                <w:sz w:val="20"/>
                <w:szCs w:val="20"/>
              </w:rPr>
              <w:t>Surgical Retrieval of Sperm</w:t>
            </w:r>
          </w:p>
        </w:tc>
        <w:tc>
          <w:tcPr>
            <w:tcW w:w="2798" w:type="pct"/>
            <w:shd w:val="clear" w:color="auto" w:fill="auto"/>
          </w:tcPr>
          <w:p w14:paraId="766E94BC" w14:textId="77777777" w:rsidR="00D16863" w:rsidRPr="00C20EE9" w:rsidRDefault="00D16863" w:rsidP="00812973">
            <w:pPr>
              <w:spacing w:before="0" w:after="0"/>
              <w:rPr>
                <w:rFonts w:cs="Arial"/>
                <w:sz w:val="20"/>
                <w:szCs w:val="20"/>
              </w:rPr>
            </w:pPr>
            <w:r w:rsidRPr="00C20EE9">
              <w:rPr>
                <w:rFonts w:cs="Arial"/>
                <w:sz w:val="20"/>
                <w:szCs w:val="20"/>
              </w:rPr>
              <w:t>Sperm obtained surgically from the epididymis or testis and then used for Intracytoplasmic sperm injection-(ICSI)</w:t>
            </w:r>
          </w:p>
        </w:tc>
        <w:tc>
          <w:tcPr>
            <w:tcW w:w="659" w:type="pct"/>
            <w:shd w:val="clear" w:color="auto" w:fill="auto"/>
          </w:tcPr>
          <w:p w14:paraId="0B4CE32A" w14:textId="77777777" w:rsidR="00D16863" w:rsidRPr="00C20EE9" w:rsidRDefault="00D16863" w:rsidP="00812973">
            <w:pPr>
              <w:spacing w:before="0" w:after="0"/>
              <w:rPr>
                <w:rFonts w:cs="Arial"/>
                <w:b/>
                <w:sz w:val="20"/>
                <w:szCs w:val="20"/>
              </w:rPr>
            </w:pPr>
            <w:r w:rsidRPr="00C20EE9">
              <w:rPr>
                <w:rFonts w:cs="Arial"/>
                <w:sz w:val="20"/>
                <w:szCs w:val="20"/>
              </w:rPr>
              <w:t>Procedure</w:t>
            </w:r>
          </w:p>
        </w:tc>
      </w:tr>
      <w:tr w:rsidR="00D16863" w:rsidRPr="0020710E" w14:paraId="70372C28" w14:textId="77777777" w:rsidTr="00953A97">
        <w:trPr>
          <w:trHeight w:val="561"/>
        </w:trPr>
        <w:tc>
          <w:tcPr>
            <w:tcW w:w="601" w:type="pct"/>
            <w:shd w:val="clear" w:color="auto" w:fill="auto"/>
          </w:tcPr>
          <w:p w14:paraId="455920B5" w14:textId="77777777" w:rsidR="00D16863" w:rsidRPr="00C20EE9" w:rsidRDefault="00D16863" w:rsidP="00812973">
            <w:pPr>
              <w:spacing w:before="0" w:after="0"/>
              <w:rPr>
                <w:rFonts w:cs="Arial"/>
                <w:sz w:val="20"/>
                <w:szCs w:val="20"/>
              </w:rPr>
            </w:pPr>
            <w:r w:rsidRPr="00C20EE9">
              <w:rPr>
                <w:rFonts w:cs="Arial"/>
                <w:sz w:val="20"/>
                <w:szCs w:val="20"/>
              </w:rPr>
              <w:t>FS01011</w:t>
            </w:r>
          </w:p>
        </w:tc>
        <w:tc>
          <w:tcPr>
            <w:tcW w:w="942" w:type="pct"/>
            <w:shd w:val="clear" w:color="auto" w:fill="auto"/>
          </w:tcPr>
          <w:p w14:paraId="074893E7" w14:textId="77777777" w:rsidR="00D16863" w:rsidRPr="00C20EE9" w:rsidRDefault="00D16863" w:rsidP="00812973">
            <w:pPr>
              <w:spacing w:before="0" w:after="0"/>
              <w:rPr>
                <w:rFonts w:cs="Arial"/>
                <w:sz w:val="20"/>
                <w:szCs w:val="20"/>
              </w:rPr>
            </w:pPr>
            <w:r w:rsidRPr="00C20EE9">
              <w:rPr>
                <w:rFonts w:cs="Arial"/>
                <w:sz w:val="20"/>
                <w:szCs w:val="20"/>
              </w:rPr>
              <w:t>Sperm Freezing</w:t>
            </w:r>
          </w:p>
        </w:tc>
        <w:tc>
          <w:tcPr>
            <w:tcW w:w="2798" w:type="pct"/>
            <w:shd w:val="clear" w:color="auto" w:fill="auto"/>
          </w:tcPr>
          <w:p w14:paraId="065EB7B9" w14:textId="77777777" w:rsidR="00D16863" w:rsidRPr="00C20EE9" w:rsidRDefault="00D16863" w:rsidP="00812973">
            <w:pPr>
              <w:spacing w:before="0" w:after="0"/>
              <w:rPr>
                <w:rFonts w:cs="Arial"/>
                <w:sz w:val="20"/>
                <w:szCs w:val="20"/>
              </w:rPr>
            </w:pPr>
            <w:r w:rsidRPr="00C20EE9">
              <w:rPr>
                <w:rFonts w:cs="Arial"/>
                <w:sz w:val="20"/>
                <w:szCs w:val="20"/>
              </w:rPr>
              <w:t>Ejaculated or testicular sperm frozen for future use in fertility treatment.</w:t>
            </w:r>
          </w:p>
        </w:tc>
        <w:tc>
          <w:tcPr>
            <w:tcW w:w="659" w:type="pct"/>
            <w:shd w:val="clear" w:color="auto" w:fill="auto"/>
          </w:tcPr>
          <w:p w14:paraId="7ABAED86" w14:textId="77777777" w:rsidR="00D16863" w:rsidRPr="00C20EE9" w:rsidRDefault="00D16863" w:rsidP="00812973">
            <w:pPr>
              <w:spacing w:before="0" w:after="0"/>
              <w:rPr>
                <w:rFonts w:cs="Arial"/>
                <w:b/>
                <w:sz w:val="20"/>
                <w:szCs w:val="20"/>
              </w:rPr>
            </w:pPr>
            <w:r w:rsidRPr="00C20EE9">
              <w:rPr>
                <w:rFonts w:cs="Arial"/>
                <w:sz w:val="20"/>
                <w:szCs w:val="20"/>
              </w:rPr>
              <w:t>Procedure</w:t>
            </w:r>
          </w:p>
        </w:tc>
      </w:tr>
      <w:tr w:rsidR="00D16863" w:rsidRPr="00C64E85" w14:paraId="59E17453" w14:textId="77777777" w:rsidTr="00C20EE9">
        <w:trPr>
          <w:trHeight w:val="513"/>
        </w:trPr>
        <w:tc>
          <w:tcPr>
            <w:tcW w:w="601" w:type="pct"/>
            <w:tcBorders>
              <w:top w:val="single" w:sz="4" w:space="0" w:color="auto"/>
              <w:left w:val="single" w:sz="4" w:space="0" w:color="auto"/>
              <w:bottom w:val="single" w:sz="4" w:space="0" w:color="auto"/>
              <w:right w:val="single" w:sz="4" w:space="0" w:color="auto"/>
            </w:tcBorders>
            <w:shd w:val="clear" w:color="auto" w:fill="auto"/>
          </w:tcPr>
          <w:p w14:paraId="0FA5EBC0" w14:textId="77777777" w:rsidR="00D16863" w:rsidRPr="00C20EE9" w:rsidRDefault="00D16863" w:rsidP="00975338">
            <w:pPr>
              <w:spacing w:before="0" w:after="0"/>
              <w:rPr>
                <w:rFonts w:cs="Arial"/>
                <w:sz w:val="20"/>
                <w:szCs w:val="20"/>
              </w:rPr>
            </w:pPr>
            <w:r w:rsidRPr="00C20EE9">
              <w:rPr>
                <w:rFonts w:cs="Arial"/>
                <w:sz w:val="20"/>
                <w:szCs w:val="20"/>
              </w:rPr>
              <w:t xml:space="preserve">FS01030 </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6B51E9E8" w14:textId="77777777" w:rsidR="00D16863" w:rsidRPr="00C20EE9" w:rsidRDefault="00D16863" w:rsidP="00975338">
            <w:pPr>
              <w:spacing w:before="0" w:after="0"/>
              <w:rPr>
                <w:rFonts w:cs="Arial"/>
                <w:sz w:val="20"/>
                <w:szCs w:val="20"/>
              </w:rPr>
            </w:pPr>
            <w:r w:rsidRPr="00C20EE9">
              <w:rPr>
                <w:rFonts w:cs="Arial"/>
                <w:sz w:val="20"/>
                <w:szCs w:val="20"/>
              </w:rPr>
              <w:t xml:space="preserve">Egg Retrieval and Freezing </w:t>
            </w:r>
          </w:p>
        </w:tc>
        <w:tc>
          <w:tcPr>
            <w:tcW w:w="2798" w:type="pct"/>
            <w:tcBorders>
              <w:top w:val="single" w:sz="4" w:space="0" w:color="auto"/>
              <w:left w:val="single" w:sz="4" w:space="0" w:color="auto"/>
              <w:bottom w:val="single" w:sz="4" w:space="0" w:color="auto"/>
              <w:right w:val="single" w:sz="4" w:space="0" w:color="auto"/>
            </w:tcBorders>
            <w:shd w:val="clear" w:color="auto" w:fill="auto"/>
          </w:tcPr>
          <w:p w14:paraId="40875C39" w14:textId="77777777" w:rsidR="00D16863" w:rsidRPr="00C20EE9" w:rsidRDefault="00D16863" w:rsidP="00975338">
            <w:pPr>
              <w:spacing w:before="0" w:after="0"/>
              <w:rPr>
                <w:rFonts w:cs="Arial"/>
                <w:sz w:val="20"/>
                <w:szCs w:val="20"/>
              </w:rPr>
            </w:pPr>
            <w:r w:rsidRPr="00C20EE9">
              <w:rPr>
                <w:rFonts w:cs="Arial"/>
                <w:sz w:val="20"/>
                <w:szCs w:val="20"/>
              </w:rPr>
              <w:t xml:space="preserve">Surgical retrieval and freezing of eggs </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23E9C2C3" w14:textId="77777777" w:rsidR="00D16863" w:rsidRPr="00C20EE9" w:rsidRDefault="00D16863" w:rsidP="00975338">
            <w:pPr>
              <w:spacing w:before="0" w:after="0"/>
              <w:rPr>
                <w:rFonts w:cs="Arial"/>
                <w:sz w:val="20"/>
                <w:szCs w:val="20"/>
              </w:rPr>
            </w:pPr>
            <w:r w:rsidRPr="00C20EE9">
              <w:rPr>
                <w:rFonts w:cs="Arial"/>
                <w:sz w:val="20"/>
                <w:szCs w:val="20"/>
              </w:rPr>
              <w:t>Procedure</w:t>
            </w:r>
          </w:p>
        </w:tc>
      </w:tr>
      <w:tr w:rsidR="00D16863" w:rsidRPr="0029274C" w14:paraId="18EC0980" w14:textId="77777777" w:rsidTr="00953A97">
        <w:trPr>
          <w:trHeight w:val="521"/>
        </w:trPr>
        <w:tc>
          <w:tcPr>
            <w:tcW w:w="601" w:type="pct"/>
            <w:shd w:val="clear" w:color="auto" w:fill="auto"/>
          </w:tcPr>
          <w:p w14:paraId="39388AEA" w14:textId="77777777" w:rsidR="00D16863" w:rsidRPr="00C20EE9" w:rsidRDefault="00D16863" w:rsidP="00812973">
            <w:pPr>
              <w:spacing w:before="0" w:after="0"/>
              <w:rPr>
                <w:rFonts w:cs="Arial"/>
                <w:sz w:val="20"/>
                <w:szCs w:val="20"/>
              </w:rPr>
            </w:pPr>
            <w:r w:rsidRPr="00C20EE9">
              <w:rPr>
                <w:rFonts w:cs="Arial"/>
                <w:sz w:val="20"/>
                <w:szCs w:val="20"/>
              </w:rPr>
              <w:t>FS01302</w:t>
            </w:r>
          </w:p>
        </w:tc>
        <w:tc>
          <w:tcPr>
            <w:tcW w:w="942" w:type="pct"/>
            <w:shd w:val="clear" w:color="auto" w:fill="auto"/>
          </w:tcPr>
          <w:p w14:paraId="49360906" w14:textId="77777777" w:rsidR="00D16863" w:rsidRPr="00C20EE9" w:rsidRDefault="00D16863" w:rsidP="00812973">
            <w:pPr>
              <w:spacing w:before="0" w:after="0"/>
              <w:rPr>
                <w:rFonts w:cs="Arial"/>
                <w:sz w:val="20"/>
                <w:szCs w:val="20"/>
              </w:rPr>
            </w:pPr>
            <w:r w:rsidRPr="00C20EE9">
              <w:rPr>
                <w:rFonts w:cs="Arial"/>
                <w:sz w:val="20"/>
                <w:szCs w:val="20"/>
              </w:rPr>
              <w:t>Annual Storage of Sperm</w:t>
            </w:r>
          </w:p>
        </w:tc>
        <w:tc>
          <w:tcPr>
            <w:tcW w:w="2798" w:type="pct"/>
            <w:shd w:val="clear" w:color="auto" w:fill="auto"/>
          </w:tcPr>
          <w:p w14:paraId="3905191A" w14:textId="77777777" w:rsidR="00D16863" w:rsidRPr="00C20EE9" w:rsidRDefault="00D16863" w:rsidP="00812973">
            <w:pPr>
              <w:spacing w:before="0" w:after="0"/>
              <w:rPr>
                <w:rFonts w:cs="Arial"/>
                <w:sz w:val="20"/>
                <w:szCs w:val="20"/>
              </w:rPr>
            </w:pPr>
            <w:r w:rsidRPr="00C20EE9">
              <w:rPr>
                <w:rFonts w:cs="Arial"/>
                <w:sz w:val="20"/>
                <w:szCs w:val="20"/>
              </w:rPr>
              <w:t>Annual Storage fee for frozen sperm</w:t>
            </w:r>
          </w:p>
        </w:tc>
        <w:tc>
          <w:tcPr>
            <w:tcW w:w="659" w:type="pct"/>
            <w:shd w:val="clear" w:color="auto" w:fill="auto"/>
          </w:tcPr>
          <w:p w14:paraId="13A0BFD5" w14:textId="77777777" w:rsidR="00D16863" w:rsidRPr="00C20EE9" w:rsidRDefault="00D16863" w:rsidP="00812973">
            <w:pPr>
              <w:spacing w:before="0" w:after="0"/>
              <w:rPr>
                <w:rFonts w:cs="Arial"/>
                <w:sz w:val="20"/>
                <w:szCs w:val="20"/>
              </w:rPr>
            </w:pPr>
            <w:r w:rsidRPr="00C20EE9">
              <w:rPr>
                <w:rFonts w:cs="Arial"/>
                <w:sz w:val="20"/>
                <w:szCs w:val="20"/>
              </w:rPr>
              <w:t>Client</w:t>
            </w:r>
          </w:p>
        </w:tc>
      </w:tr>
      <w:tr w:rsidR="00D16863" w:rsidRPr="0029274C" w14:paraId="77CF2934" w14:textId="77777777" w:rsidTr="00C20EE9">
        <w:trPr>
          <w:trHeight w:val="759"/>
        </w:trPr>
        <w:tc>
          <w:tcPr>
            <w:tcW w:w="601" w:type="pct"/>
            <w:tcBorders>
              <w:top w:val="single" w:sz="4" w:space="0" w:color="auto"/>
              <w:left w:val="single" w:sz="4" w:space="0" w:color="auto"/>
              <w:bottom w:val="single" w:sz="4" w:space="0" w:color="auto"/>
              <w:right w:val="single" w:sz="4" w:space="0" w:color="auto"/>
            </w:tcBorders>
            <w:shd w:val="clear" w:color="auto" w:fill="auto"/>
          </w:tcPr>
          <w:p w14:paraId="3235330A" w14:textId="77777777" w:rsidR="00D16863" w:rsidRPr="00C20EE9" w:rsidRDefault="00D16863" w:rsidP="00812973">
            <w:pPr>
              <w:spacing w:before="0" w:after="0"/>
              <w:rPr>
                <w:rFonts w:cs="Arial"/>
                <w:sz w:val="20"/>
                <w:szCs w:val="20"/>
              </w:rPr>
            </w:pPr>
            <w:r w:rsidRPr="00C20EE9">
              <w:rPr>
                <w:rFonts w:cs="Arial"/>
                <w:sz w:val="20"/>
                <w:szCs w:val="20"/>
              </w:rPr>
              <w:t xml:space="preserve">FS01033 </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3DF3E1AC" w14:textId="77777777" w:rsidR="00D16863" w:rsidRPr="00C20EE9" w:rsidRDefault="00D16863" w:rsidP="00812973">
            <w:pPr>
              <w:spacing w:before="0" w:after="0"/>
              <w:rPr>
                <w:rFonts w:cs="Arial"/>
                <w:sz w:val="20"/>
                <w:szCs w:val="20"/>
              </w:rPr>
            </w:pPr>
            <w:r w:rsidRPr="00C20EE9">
              <w:rPr>
                <w:rFonts w:cs="Arial"/>
                <w:sz w:val="20"/>
                <w:szCs w:val="20"/>
              </w:rPr>
              <w:t>Annual Storage of Eggs</w:t>
            </w:r>
          </w:p>
        </w:tc>
        <w:tc>
          <w:tcPr>
            <w:tcW w:w="2798" w:type="pct"/>
            <w:tcBorders>
              <w:top w:val="single" w:sz="4" w:space="0" w:color="auto"/>
              <w:left w:val="single" w:sz="4" w:space="0" w:color="auto"/>
              <w:bottom w:val="single" w:sz="4" w:space="0" w:color="auto"/>
              <w:right w:val="single" w:sz="4" w:space="0" w:color="auto"/>
            </w:tcBorders>
            <w:shd w:val="clear" w:color="auto" w:fill="auto"/>
          </w:tcPr>
          <w:p w14:paraId="5025518F" w14:textId="77777777" w:rsidR="00D16863" w:rsidRPr="00C20EE9" w:rsidRDefault="00D16863" w:rsidP="00812973">
            <w:pPr>
              <w:spacing w:before="0" w:after="0"/>
              <w:rPr>
                <w:rFonts w:cs="Arial"/>
                <w:sz w:val="20"/>
                <w:szCs w:val="20"/>
              </w:rPr>
            </w:pPr>
            <w:r w:rsidRPr="00C20EE9">
              <w:rPr>
                <w:rFonts w:cs="Arial"/>
                <w:sz w:val="20"/>
                <w:szCs w:val="20"/>
              </w:rPr>
              <w:t>Annual storage fee for frozen eggs for patients whose future fertility will be compromised by impending specialist medical or surgical treatment</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2B6BF21" w14:textId="77777777" w:rsidR="00D16863" w:rsidRPr="00C20EE9" w:rsidRDefault="00D16863" w:rsidP="00812973">
            <w:pPr>
              <w:spacing w:before="0" w:after="0"/>
              <w:rPr>
                <w:rFonts w:cs="Arial"/>
                <w:sz w:val="20"/>
                <w:szCs w:val="20"/>
              </w:rPr>
            </w:pPr>
            <w:r w:rsidRPr="00C20EE9">
              <w:rPr>
                <w:rFonts w:cs="Arial"/>
                <w:sz w:val="20"/>
                <w:szCs w:val="20"/>
              </w:rPr>
              <w:t>Client</w:t>
            </w:r>
          </w:p>
        </w:tc>
      </w:tr>
      <w:tr w:rsidR="00D16863" w:rsidRPr="0029274C" w14:paraId="63FCB57D" w14:textId="77777777" w:rsidTr="00C20EE9">
        <w:trPr>
          <w:trHeight w:val="578"/>
        </w:trPr>
        <w:tc>
          <w:tcPr>
            <w:tcW w:w="601" w:type="pct"/>
            <w:shd w:val="clear" w:color="auto" w:fill="auto"/>
          </w:tcPr>
          <w:p w14:paraId="616CB663" w14:textId="77777777" w:rsidR="00D16863" w:rsidRPr="00C20EE9" w:rsidRDefault="00D16863" w:rsidP="00812973">
            <w:pPr>
              <w:spacing w:before="0" w:after="0"/>
              <w:rPr>
                <w:rFonts w:cs="Arial"/>
                <w:sz w:val="20"/>
                <w:szCs w:val="20"/>
              </w:rPr>
            </w:pPr>
            <w:r w:rsidRPr="00C20EE9">
              <w:rPr>
                <w:rFonts w:cs="Arial"/>
                <w:sz w:val="20"/>
                <w:szCs w:val="20"/>
              </w:rPr>
              <w:t>FS02002</w:t>
            </w:r>
          </w:p>
        </w:tc>
        <w:tc>
          <w:tcPr>
            <w:tcW w:w="942" w:type="pct"/>
            <w:shd w:val="clear" w:color="auto" w:fill="auto"/>
          </w:tcPr>
          <w:p w14:paraId="229DCF9B" w14:textId="77777777" w:rsidR="00D16863" w:rsidRPr="00C20EE9" w:rsidRDefault="00D16863" w:rsidP="00812973">
            <w:pPr>
              <w:spacing w:before="0" w:after="0"/>
              <w:rPr>
                <w:rFonts w:cs="Arial"/>
                <w:sz w:val="20"/>
                <w:szCs w:val="20"/>
              </w:rPr>
            </w:pPr>
            <w:r w:rsidRPr="00C20EE9">
              <w:rPr>
                <w:rFonts w:cs="Arial"/>
                <w:sz w:val="20"/>
                <w:szCs w:val="20"/>
              </w:rPr>
              <w:t>PGD Fertility Feasibility Test</w:t>
            </w:r>
          </w:p>
        </w:tc>
        <w:tc>
          <w:tcPr>
            <w:tcW w:w="2798" w:type="pct"/>
            <w:shd w:val="clear" w:color="auto" w:fill="auto"/>
          </w:tcPr>
          <w:p w14:paraId="1B322668" w14:textId="77777777" w:rsidR="00D16863" w:rsidRPr="00C20EE9" w:rsidRDefault="00D16863" w:rsidP="00812973">
            <w:pPr>
              <w:spacing w:before="0" w:after="0"/>
              <w:rPr>
                <w:rFonts w:cs="Arial"/>
                <w:sz w:val="20"/>
                <w:szCs w:val="20"/>
              </w:rPr>
            </w:pPr>
            <w:r w:rsidRPr="00C20EE9">
              <w:rPr>
                <w:rFonts w:cs="Arial"/>
                <w:sz w:val="20"/>
                <w:szCs w:val="20"/>
              </w:rPr>
              <w:t>Preimplantation genetic diagnosis (PGD) fertility feasibility test</w:t>
            </w:r>
          </w:p>
        </w:tc>
        <w:tc>
          <w:tcPr>
            <w:tcW w:w="659" w:type="pct"/>
            <w:shd w:val="clear" w:color="auto" w:fill="auto"/>
          </w:tcPr>
          <w:p w14:paraId="6DF826FD" w14:textId="77777777" w:rsidR="00D16863" w:rsidRPr="00C20EE9" w:rsidRDefault="00D16863" w:rsidP="00812973">
            <w:pPr>
              <w:spacing w:before="0" w:after="0"/>
              <w:rPr>
                <w:rFonts w:cs="Arial"/>
                <w:sz w:val="20"/>
                <w:szCs w:val="20"/>
              </w:rPr>
            </w:pPr>
            <w:r w:rsidRPr="00C20EE9">
              <w:rPr>
                <w:rFonts w:cs="Arial"/>
                <w:sz w:val="20"/>
                <w:szCs w:val="20"/>
              </w:rPr>
              <w:t>Test</w:t>
            </w:r>
          </w:p>
        </w:tc>
      </w:tr>
      <w:tr w:rsidR="00D16863" w:rsidRPr="0029274C" w14:paraId="7CCF61E8" w14:textId="77777777" w:rsidTr="00953A97">
        <w:trPr>
          <w:trHeight w:val="535"/>
        </w:trPr>
        <w:tc>
          <w:tcPr>
            <w:tcW w:w="601" w:type="pct"/>
            <w:shd w:val="clear" w:color="auto" w:fill="auto"/>
          </w:tcPr>
          <w:p w14:paraId="70CB66BB" w14:textId="77777777" w:rsidR="00D16863" w:rsidRPr="00C20EE9" w:rsidRDefault="00D16863" w:rsidP="00812973">
            <w:pPr>
              <w:spacing w:before="0" w:after="0"/>
              <w:rPr>
                <w:rFonts w:cs="Arial"/>
                <w:sz w:val="20"/>
                <w:szCs w:val="20"/>
              </w:rPr>
            </w:pPr>
            <w:r w:rsidRPr="00C20EE9">
              <w:rPr>
                <w:rFonts w:cs="Arial"/>
                <w:sz w:val="20"/>
                <w:szCs w:val="20"/>
              </w:rPr>
              <w:t>FS02003</w:t>
            </w:r>
          </w:p>
        </w:tc>
        <w:tc>
          <w:tcPr>
            <w:tcW w:w="942" w:type="pct"/>
            <w:shd w:val="clear" w:color="auto" w:fill="auto"/>
          </w:tcPr>
          <w:p w14:paraId="46310A78" w14:textId="77777777" w:rsidR="00D16863" w:rsidRPr="00C20EE9" w:rsidRDefault="00D16863" w:rsidP="00812973">
            <w:pPr>
              <w:spacing w:before="0" w:after="0"/>
              <w:rPr>
                <w:rFonts w:cs="Arial"/>
                <w:sz w:val="20"/>
                <w:szCs w:val="20"/>
              </w:rPr>
            </w:pPr>
            <w:r w:rsidRPr="00C20EE9">
              <w:rPr>
                <w:rFonts w:cs="Arial"/>
                <w:sz w:val="20"/>
                <w:szCs w:val="20"/>
              </w:rPr>
              <w:t>PGD Biopsy and Testing</w:t>
            </w:r>
          </w:p>
        </w:tc>
        <w:tc>
          <w:tcPr>
            <w:tcW w:w="2798" w:type="pct"/>
            <w:shd w:val="clear" w:color="auto" w:fill="auto"/>
          </w:tcPr>
          <w:p w14:paraId="626B8538" w14:textId="77777777" w:rsidR="00D16863" w:rsidRPr="00C20EE9" w:rsidRDefault="00D16863" w:rsidP="00812973">
            <w:pPr>
              <w:spacing w:before="0" w:after="0"/>
              <w:rPr>
                <w:rFonts w:cs="Arial"/>
                <w:sz w:val="20"/>
                <w:szCs w:val="20"/>
              </w:rPr>
            </w:pPr>
            <w:r w:rsidRPr="00C20EE9">
              <w:rPr>
                <w:rFonts w:cs="Arial"/>
                <w:sz w:val="20"/>
                <w:szCs w:val="20"/>
              </w:rPr>
              <w:t>Preimplantation genetic diagnosis (PGD) biopsy and testing for fertility services</w:t>
            </w:r>
          </w:p>
        </w:tc>
        <w:tc>
          <w:tcPr>
            <w:tcW w:w="659" w:type="pct"/>
            <w:shd w:val="clear" w:color="auto" w:fill="auto"/>
          </w:tcPr>
          <w:p w14:paraId="51E29733" w14:textId="77777777" w:rsidR="00D16863" w:rsidRPr="00C20EE9" w:rsidRDefault="00D16863" w:rsidP="00812973">
            <w:pPr>
              <w:spacing w:before="0" w:after="0"/>
              <w:rPr>
                <w:rFonts w:cs="Arial"/>
                <w:sz w:val="20"/>
                <w:szCs w:val="20"/>
              </w:rPr>
            </w:pPr>
            <w:r w:rsidRPr="00C20EE9">
              <w:rPr>
                <w:rFonts w:cs="Arial"/>
                <w:sz w:val="20"/>
                <w:szCs w:val="20"/>
              </w:rPr>
              <w:t>Procedure</w:t>
            </w:r>
          </w:p>
        </w:tc>
      </w:tr>
    </w:tbl>
    <w:p w14:paraId="3AEBEE14" w14:textId="77777777" w:rsidR="00C20EE9" w:rsidRPr="003C53FE" w:rsidRDefault="00C20EE9">
      <w:pPr>
        <w:spacing w:before="0" w:after="200" w:line="276" w:lineRule="auto"/>
        <w:rPr>
          <w:rFonts w:cs="Arial"/>
          <w:sz w:val="20"/>
          <w:szCs w:val="20"/>
        </w:rPr>
      </w:pPr>
      <w:bookmarkStart w:id="54" w:name="_Toc215319179"/>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7580"/>
      </w:tblGrid>
      <w:tr w:rsidR="00B1705A" w:rsidRPr="009A4B4D" w14:paraId="10F0FE82" w14:textId="77777777" w:rsidTr="00953A97">
        <w:tc>
          <w:tcPr>
            <w:tcW w:w="2055" w:type="dxa"/>
            <w:shd w:val="pct12" w:color="auto" w:fill="auto"/>
          </w:tcPr>
          <w:p w14:paraId="08194538" w14:textId="77777777" w:rsidR="00B1705A" w:rsidRPr="009A4B4D" w:rsidRDefault="00B1705A" w:rsidP="00B1705A">
            <w:pPr>
              <w:rPr>
                <w:rFonts w:cs="Arial"/>
                <w:b/>
              </w:rPr>
            </w:pPr>
            <w:r w:rsidRPr="009A4B4D">
              <w:rPr>
                <w:rFonts w:cs="Arial"/>
                <w:b/>
              </w:rPr>
              <w:t>Unit of Measure</w:t>
            </w:r>
          </w:p>
        </w:tc>
        <w:tc>
          <w:tcPr>
            <w:tcW w:w="7579" w:type="dxa"/>
            <w:shd w:val="pct12" w:color="auto" w:fill="auto"/>
          </w:tcPr>
          <w:p w14:paraId="4C81218D" w14:textId="77777777" w:rsidR="00B1705A" w:rsidRPr="009A4B4D" w:rsidRDefault="00B1705A" w:rsidP="00B1705A">
            <w:pPr>
              <w:rPr>
                <w:rFonts w:cs="Arial"/>
                <w:b/>
              </w:rPr>
            </w:pPr>
            <w:r w:rsidRPr="009A4B4D">
              <w:rPr>
                <w:rFonts w:cs="Arial"/>
                <w:b/>
              </w:rPr>
              <w:t>Unit of Measure Definition</w:t>
            </w:r>
          </w:p>
        </w:tc>
      </w:tr>
      <w:tr w:rsidR="00B1705A" w:rsidRPr="009A4B4D" w14:paraId="3D81855A" w14:textId="77777777" w:rsidTr="00953A97">
        <w:tc>
          <w:tcPr>
            <w:tcW w:w="2055" w:type="dxa"/>
            <w:shd w:val="clear" w:color="auto" w:fill="auto"/>
          </w:tcPr>
          <w:p w14:paraId="0860845E" w14:textId="77777777" w:rsidR="00B1705A" w:rsidRPr="009A4B4D" w:rsidRDefault="00B1705A" w:rsidP="00B1705A">
            <w:pPr>
              <w:spacing w:before="60" w:after="0"/>
              <w:rPr>
                <w:rFonts w:cs="Arial"/>
                <w:sz w:val="22"/>
                <w:szCs w:val="22"/>
              </w:rPr>
            </w:pPr>
            <w:r w:rsidRPr="009A4B4D">
              <w:rPr>
                <w:rFonts w:cs="Arial"/>
                <w:sz w:val="22"/>
                <w:szCs w:val="22"/>
              </w:rPr>
              <w:t>Attendance</w:t>
            </w:r>
          </w:p>
        </w:tc>
        <w:tc>
          <w:tcPr>
            <w:tcW w:w="7579" w:type="dxa"/>
            <w:shd w:val="clear" w:color="auto" w:fill="auto"/>
          </w:tcPr>
          <w:p w14:paraId="79C2B408" w14:textId="77777777" w:rsidR="00B1705A" w:rsidRPr="009A4B4D" w:rsidRDefault="00B1705A" w:rsidP="00B1705A">
            <w:pPr>
              <w:spacing w:before="60" w:after="0"/>
              <w:rPr>
                <w:rFonts w:cs="Arial"/>
                <w:sz w:val="22"/>
                <w:szCs w:val="22"/>
              </w:rPr>
            </w:pPr>
            <w:r w:rsidRPr="009A4B4D">
              <w:rPr>
                <w:rFonts w:cs="Arial"/>
                <w:sz w:val="22"/>
                <w:szCs w:val="22"/>
              </w:rPr>
              <w:t>Number of attendances to a clinic/department/acute assessment unit or domiciliary.</w:t>
            </w:r>
          </w:p>
        </w:tc>
      </w:tr>
      <w:tr w:rsidR="00B1705A" w:rsidRPr="009A4B4D" w14:paraId="72BDA2DF" w14:textId="77777777" w:rsidTr="00953A97">
        <w:tc>
          <w:tcPr>
            <w:tcW w:w="2055" w:type="dxa"/>
            <w:shd w:val="clear" w:color="auto" w:fill="auto"/>
          </w:tcPr>
          <w:p w14:paraId="2CE59DA5" w14:textId="77777777" w:rsidR="00B1705A" w:rsidRPr="009A4B4D" w:rsidRDefault="00B1705A" w:rsidP="00B1705A">
            <w:pPr>
              <w:spacing w:before="60" w:after="0"/>
              <w:rPr>
                <w:rFonts w:cs="Arial"/>
                <w:sz w:val="22"/>
                <w:szCs w:val="22"/>
              </w:rPr>
            </w:pPr>
            <w:r w:rsidRPr="009A4B4D">
              <w:rPr>
                <w:rFonts w:cs="Arial"/>
                <w:sz w:val="22"/>
                <w:szCs w:val="22"/>
              </w:rPr>
              <w:t>Client</w:t>
            </w:r>
          </w:p>
        </w:tc>
        <w:tc>
          <w:tcPr>
            <w:tcW w:w="7579" w:type="dxa"/>
            <w:shd w:val="clear" w:color="auto" w:fill="auto"/>
          </w:tcPr>
          <w:p w14:paraId="7FDD9582" w14:textId="77777777" w:rsidR="00B1705A" w:rsidRPr="009A4B4D" w:rsidRDefault="00B1705A" w:rsidP="00B1705A">
            <w:pPr>
              <w:spacing w:before="60" w:after="0"/>
              <w:rPr>
                <w:rFonts w:cs="Arial"/>
                <w:sz w:val="22"/>
                <w:szCs w:val="22"/>
              </w:rPr>
            </w:pPr>
            <w:r w:rsidRPr="009A4B4D">
              <w:rPr>
                <w:rFonts w:cs="Arial"/>
                <w:sz w:val="22"/>
                <w:szCs w:val="22"/>
              </w:rPr>
              <w:t xml:space="preserve">Number of clients managed by the service in the reporting period (period is annual 1st July - 30th June) i.e. caseload at the beginning of the period plus all new cases in the period. 'Client' and 'Service </w:t>
            </w:r>
            <w:r>
              <w:rPr>
                <w:rFonts w:cs="Arial"/>
                <w:sz w:val="22"/>
                <w:szCs w:val="22"/>
              </w:rPr>
              <w:t>U</w:t>
            </w:r>
            <w:r w:rsidRPr="009A4B4D">
              <w:rPr>
                <w:rFonts w:cs="Arial"/>
                <w:sz w:val="22"/>
                <w:szCs w:val="22"/>
              </w:rPr>
              <w:t>ser' are interchangeable.</w:t>
            </w:r>
          </w:p>
        </w:tc>
      </w:tr>
      <w:tr w:rsidR="00B1705A" w:rsidRPr="009A4B4D" w14:paraId="56AD7506" w14:textId="77777777" w:rsidTr="00953A97">
        <w:tc>
          <w:tcPr>
            <w:tcW w:w="2055" w:type="dxa"/>
            <w:shd w:val="clear" w:color="auto" w:fill="auto"/>
          </w:tcPr>
          <w:p w14:paraId="701E2E95" w14:textId="77777777" w:rsidR="00B1705A" w:rsidRPr="009A4B4D" w:rsidRDefault="00B1705A" w:rsidP="00B1705A">
            <w:pPr>
              <w:spacing w:before="60" w:after="0"/>
              <w:rPr>
                <w:rFonts w:cs="Arial"/>
                <w:sz w:val="22"/>
                <w:szCs w:val="22"/>
              </w:rPr>
            </w:pPr>
            <w:r w:rsidRPr="009A4B4D">
              <w:rPr>
                <w:rFonts w:cs="Arial"/>
                <w:sz w:val="22"/>
                <w:szCs w:val="22"/>
              </w:rPr>
              <w:t>Procedure</w:t>
            </w:r>
          </w:p>
        </w:tc>
        <w:tc>
          <w:tcPr>
            <w:tcW w:w="7579" w:type="dxa"/>
            <w:shd w:val="clear" w:color="auto" w:fill="auto"/>
          </w:tcPr>
          <w:p w14:paraId="50EE07C8" w14:textId="77777777" w:rsidR="00B1705A" w:rsidRPr="009A4B4D" w:rsidRDefault="00B1705A" w:rsidP="00B1705A">
            <w:pPr>
              <w:spacing w:before="60" w:after="0"/>
              <w:rPr>
                <w:rFonts w:cs="Arial"/>
                <w:sz w:val="22"/>
                <w:szCs w:val="22"/>
              </w:rPr>
            </w:pPr>
            <w:r w:rsidRPr="009A4B4D">
              <w:rPr>
                <w:rFonts w:cs="Arial"/>
                <w:sz w:val="22"/>
                <w:szCs w:val="22"/>
              </w:rPr>
              <w:t>The number of individual operative/diagnostic/assessment procedures in the period (period is annual 1st July - 30th June).</w:t>
            </w:r>
          </w:p>
        </w:tc>
      </w:tr>
      <w:tr w:rsidR="00B1705A" w:rsidRPr="009A4B4D" w14:paraId="07E2A6C1" w14:textId="77777777" w:rsidTr="00953A97">
        <w:tc>
          <w:tcPr>
            <w:tcW w:w="2055" w:type="dxa"/>
            <w:shd w:val="clear" w:color="auto" w:fill="auto"/>
          </w:tcPr>
          <w:p w14:paraId="576F3A33" w14:textId="77777777" w:rsidR="00B1705A" w:rsidRPr="009A4B4D" w:rsidRDefault="00B1705A" w:rsidP="00B1705A">
            <w:pPr>
              <w:spacing w:before="60" w:after="0"/>
              <w:rPr>
                <w:rFonts w:cs="Arial"/>
                <w:sz w:val="22"/>
                <w:szCs w:val="22"/>
              </w:rPr>
            </w:pPr>
            <w:r>
              <w:rPr>
                <w:rFonts w:cs="Arial"/>
                <w:sz w:val="22"/>
                <w:szCs w:val="22"/>
              </w:rPr>
              <w:t>Test</w:t>
            </w:r>
          </w:p>
        </w:tc>
        <w:tc>
          <w:tcPr>
            <w:tcW w:w="7579" w:type="dxa"/>
            <w:shd w:val="clear" w:color="auto" w:fill="auto"/>
          </w:tcPr>
          <w:p w14:paraId="61189A41" w14:textId="77777777" w:rsidR="00B1705A" w:rsidRPr="009A4B4D" w:rsidRDefault="00B1705A" w:rsidP="00B1705A">
            <w:pPr>
              <w:spacing w:before="60" w:after="0"/>
              <w:rPr>
                <w:rFonts w:cs="Arial"/>
                <w:sz w:val="22"/>
                <w:szCs w:val="22"/>
              </w:rPr>
            </w:pPr>
            <w:r w:rsidRPr="003679CD">
              <w:rPr>
                <w:rFonts w:cs="Arial"/>
                <w:sz w:val="22"/>
                <w:szCs w:val="22"/>
              </w:rPr>
              <w:t xml:space="preserve">Number of separate tests purchased.  For laboratory a group test is counted as </w:t>
            </w:r>
            <w:r>
              <w:rPr>
                <w:rFonts w:cs="Arial"/>
                <w:sz w:val="22"/>
                <w:szCs w:val="22"/>
              </w:rPr>
              <w:t>one</w:t>
            </w:r>
            <w:r w:rsidRPr="003679CD">
              <w:rPr>
                <w:rFonts w:cs="Arial"/>
                <w:sz w:val="22"/>
                <w:szCs w:val="22"/>
              </w:rPr>
              <w:t xml:space="preserve"> test not each individual component. </w:t>
            </w:r>
          </w:p>
        </w:tc>
      </w:tr>
    </w:tbl>
    <w:p w14:paraId="1D23E640" w14:textId="77777777" w:rsidR="006979FE" w:rsidRPr="006916E1" w:rsidRDefault="006979FE" w:rsidP="006979FE">
      <w:pPr>
        <w:spacing w:line="276" w:lineRule="auto"/>
        <w:rPr>
          <w:rFonts w:eastAsiaTheme="minorHAnsi" w:cstheme="minorBidi"/>
          <w:b/>
        </w:rPr>
      </w:pPr>
      <w:bookmarkStart w:id="55" w:name="_Toc215319180"/>
      <w:bookmarkEnd w:id="54"/>
      <w:r w:rsidRPr="006916E1">
        <w:rPr>
          <w:rFonts w:eastAsiaTheme="minorHAnsi" w:cstheme="minorBidi"/>
          <w:b/>
        </w:rPr>
        <w:t>Data definitions:</w:t>
      </w:r>
    </w:p>
    <w:p w14:paraId="0544D835" w14:textId="77777777" w:rsidR="006979FE" w:rsidRPr="0067602F" w:rsidRDefault="006979FE" w:rsidP="00C42CD8">
      <w:pPr>
        <w:spacing w:before="0" w:after="0" w:line="276" w:lineRule="auto"/>
        <w:ind w:left="2410" w:hanging="2410"/>
        <w:rPr>
          <w:rFonts w:eastAsiaTheme="minorHAnsi" w:cstheme="minorBidi"/>
        </w:rPr>
      </w:pPr>
      <w:r w:rsidRPr="006916E1">
        <w:rPr>
          <w:rFonts w:eastAsiaTheme="minorHAnsi" w:cstheme="minorBidi"/>
          <w:i/>
        </w:rPr>
        <w:t>Completed treatment:</w:t>
      </w:r>
      <w:r>
        <w:rPr>
          <w:rFonts w:eastAsiaTheme="minorHAnsi" w:cstheme="minorBidi"/>
          <w:i/>
        </w:rPr>
        <w:tab/>
      </w:r>
      <w:r w:rsidRPr="0067602F">
        <w:rPr>
          <w:rFonts w:eastAsiaTheme="minorHAnsi" w:cstheme="minorBidi"/>
        </w:rPr>
        <w:t xml:space="preserve">embryo transfer or embryo freezing for IVF, embryo transfer for frozen embryo replacement and insemination for </w:t>
      </w:r>
      <w:r w:rsidR="00E07CF7">
        <w:rPr>
          <w:rFonts w:eastAsiaTheme="minorHAnsi" w:cstheme="minorBidi"/>
        </w:rPr>
        <w:t>d</w:t>
      </w:r>
      <w:r w:rsidRPr="0067602F">
        <w:rPr>
          <w:rFonts w:eastAsiaTheme="minorHAnsi" w:cstheme="minorBidi"/>
        </w:rPr>
        <w:t xml:space="preserve">onor </w:t>
      </w:r>
      <w:r w:rsidR="00E07CF7">
        <w:rPr>
          <w:rFonts w:eastAsiaTheme="minorHAnsi" w:cstheme="minorBidi"/>
        </w:rPr>
        <w:t>i</w:t>
      </w:r>
      <w:r w:rsidRPr="0067602F">
        <w:rPr>
          <w:rFonts w:eastAsiaTheme="minorHAnsi" w:cstheme="minorBidi"/>
        </w:rPr>
        <w:t xml:space="preserve">nsemination and </w:t>
      </w:r>
      <w:r w:rsidR="00E07CF7">
        <w:rPr>
          <w:rFonts w:eastAsiaTheme="minorHAnsi" w:cstheme="minorBidi"/>
        </w:rPr>
        <w:t>i</w:t>
      </w:r>
      <w:r w:rsidRPr="0067602F">
        <w:rPr>
          <w:rFonts w:eastAsiaTheme="minorHAnsi" w:cstheme="minorBidi"/>
        </w:rPr>
        <w:t xml:space="preserve">ntrauterine </w:t>
      </w:r>
      <w:r w:rsidR="00E07CF7">
        <w:rPr>
          <w:rFonts w:eastAsiaTheme="minorHAnsi" w:cstheme="minorBidi"/>
        </w:rPr>
        <w:t>i</w:t>
      </w:r>
      <w:r w:rsidRPr="0067602F">
        <w:rPr>
          <w:rFonts w:eastAsiaTheme="minorHAnsi" w:cstheme="minorBidi"/>
        </w:rPr>
        <w:t>nsemination</w:t>
      </w:r>
      <w:r w:rsidR="00974467">
        <w:rPr>
          <w:rFonts w:eastAsiaTheme="minorHAnsi" w:cstheme="minorBidi"/>
        </w:rPr>
        <w:t>, embryos suitable for genetic testing for PGD</w:t>
      </w:r>
      <w:r w:rsidR="00C42CD8" w:rsidRPr="00C42CD8">
        <w:t xml:space="preserve"> </w:t>
      </w:r>
      <w:r w:rsidR="00C42CD8" w:rsidRPr="00C42CD8">
        <w:rPr>
          <w:rFonts w:eastAsiaTheme="minorHAnsi" w:cstheme="minorBidi"/>
        </w:rPr>
        <w:t>NZS8181</w:t>
      </w:r>
    </w:p>
    <w:p w14:paraId="3D270A26" w14:textId="77777777" w:rsidR="006979FE" w:rsidRPr="0067602F" w:rsidRDefault="006979FE" w:rsidP="00C42CD8">
      <w:pPr>
        <w:spacing w:before="0" w:after="0" w:line="276" w:lineRule="auto"/>
        <w:ind w:left="2410" w:hanging="2410"/>
        <w:rPr>
          <w:rFonts w:eastAsiaTheme="minorHAnsi" w:cstheme="minorBidi"/>
        </w:rPr>
      </w:pPr>
      <w:r w:rsidRPr="006916E1">
        <w:rPr>
          <w:rFonts w:eastAsiaTheme="minorHAnsi" w:cstheme="minorBidi"/>
          <w:i/>
        </w:rPr>
        <w:t>Ovulation induction:</w:t>
      </w:r>
      <w:r>
        <w:rPr>
          <w:rFonts w:eastAsiaTheme="minorHAnsi" w:cstheme="minorBidi"/>
        </w:rPr>
        <w:tab/>
      </w:r>
      <w:r w:rsidRPr="0067602F">
        <w:rPr>
          <w:rFonts w:eastAsiaTheme="minorHAnsi" w:cstheme="minorBidi"/>
        </w:rPr>
        <w:t>includes cycles stopped for over or under response to gonadotrophins.</w:t>
      </w:r>
    </w:p>
    <w:p w14:paraId="1DBD23AE" w14:textId="77777777" w:rsidR="006979FE" w:rsidRPr="0067602F" w:rsidRDefault="006979FE" w:rsidP="00C42CD8">
      <w:pPr>
        <w:spacing w:before="0" w:after="0" w:line="276" w:lineRule="auto"/>
        <w:ind w:left="2410" w:hanging="2410"/>
        <w:rPr>
          <w:rFonts w:eastAsiaTheme="minorHAnsi" w:cstheme="minorBidi"/>
        </w:rPr>
      </w:pPr>
      <w:r w:rsidRPr="006916E1">
        <w:rPr>
          <w:rFonts w:eastAsiaTheme="minorHAnsi" w:cstheme="minorBidi"/>
          <w:i/>
        </w:rPr>
        <w:t>IVF cancelled cycle:</w:t>
      </w:r>
      <w:r w:rsidR="00975338">
        <w:rPr>
          <w:rFonts w:eastAsiaTheme="minorHAnsi" w:cstheme="minorBidi"/>
          <w:i/>
        </w:rPr>
        <w:tab/>
      </w:r>
      <w:r w:rsidRPr="0067602F">
        <w:rPr>
          <w:rFonts w:eastAsiaTheme="minorHAnsi" w:cstheme="minorBidi"/>
        </w:rPr>
        <w:t>where gonadotrophins are started but the cycle is stopped before egg collection</w:t>
      </w:r>
    </w:p>
    <w:p w14:paraId="7C0E95CF" w14:textId="77777777" w:rsidR="006979FE" w:rsidRPr="0067602F" w:rsidRDefault="006979FE" w:rsidP="00C42CD8">
      <w:pPr>
        <w:spacing w:before="0" w:after="0" w:line="276" w:lineRule="auto"/>
        <w:ind w:left="2410" w:hanging="2410"/>
        <w:rPr>
          <w:rFonts w:eastAsiaTheme="minorHAnsi" w:cstheme="minorBidi"/>
        </w:rPr>
      </w:pPr>
      <w:r w:rsidRPr="006916E1">
        <w:rPr>
          <w:rFonts w:eastAsiaTheme="minorHAnsi" w:cstheme="minorBidi"/>
          <w:i/>
        </w:rPr>
        <w:lastRenderedPageBreak/>
        <w:t>Incomplete cycle:</w:t>
      </w:r>
      <w:r>
        <w:rPr>
          <w:rFonts w:eastAsiaTheme="minorHAnsi" w:cstheme="minorBidi"/>
        </w:rPr>
        <w:tab/>
      </w:r>
      <w:r w:rsidRPr="0067602F">
        <w:rPr>
          <w:rFonts w:eastAsiaTheme="minorHAnsi" w:cstheme="minorBidi"/>
        </w:rPr>
        <w:t>where egg collection occurs but there are no embryos to transfer or freeze.</w:t>
      </w:r>
    </w:p>
    <w:p w14:paraId="569630F7" w14:textId="77777777" w:rsidR="003E3F96" w:rsidRPr="003E3F96" w:rsidRDefault="003E3F96" w:rsidP="00953A97">
      <w:pPr>
        <w:pStyle w:val="Heading1"/>
      </w:pPr>
      <w:r w:rsidRPr="003E3F96">
        <w:t xml:space="preserve">Reporting </w:t>
      </w:r>
      <w:r w:rsidRPr="007C5BE9">
        <w:t>Requirements</w:t>
      </w:r>
    </w:p>
    <w:p w14:paraId="5AE15CDB" w14:textId="77777777" w:rsidR="003E3F96" w:rsidRPr="00B22622" w:rsidRDefault="00E07CF7" w:rsidP="00912CEA">
      <w:pPr>
        <w:pStyle w:val="Heading2"/>
        <w:numPr>
          <w:ilvl w:val="0"/>
          <w:numId w:val="0"/>
        </w:numPr>
        <w:ind w:left="720"/>
      </w:pPr>
      <w:r>
        <w:t>1</w:t>
      </w:r>
      <w:r w:rsidR="007C5BE9">
        <w:t>0</w:t>
      </w:r>
      <w:r>
        <w:t>.1</w:t>
      </w:r>
      <w:r>
        <w:tab/>
      </w:r>
      <w:r w:rsidR="003E3F96" w:rsidRPr="00B22622">
        <w:t>General</w:t>
      </w:r>
    </w:p>
    <w:p w14:paraId="12B41155" w14:textId="77777777" w:rsidR="00664763" w:rsidRDefault="00C677D3" w:rsidP="004E08A0">
      <w:pPr>
        <w:spacing w:after="0" w:line="276" w:lineRule="auto"/>
      </w:pPr>
      <w:r>
        <w:t>The</w:t>
      </w:r>
      <w:r w:rsidR="003E3F96">
        <w:t xml:space="preserve"> core set of information </w:t>
      </w:r>
      <w:r>
        <w:t>described</w:t>
      </w:r>
      <w:r w:rsidR="008151C1">
        <w:t xml:space="preserve"> below </w:t>
      </w:r>
      <w:r w:rsidR="003E3F96">
        <w:t xml:space="preserve">will be collected and provided at </w:t>
      </w:r>
      <w:r w:rsidR="004E7F66">
        <w:t xml:space="preserve">the </w:t>
      </w:r>
      <w:r w:rsidR="003E3F96">
        <w:t>defined reporting times.  This information is for the purpose of monitoring service provision, clinical auditing and to support national consistency for service development and benchmarking.</w:t>
      </w:r>
      <w:r w:rsidR="004E7F66" w:rsidRPr="004E7F66">
        <w:t xml:space="preserve"> </w:t>
      </w:r>
    </w:p>
    <w:p w14:paraId="2109A034" w14:textId="77777777" w:rsidR="006979FE" w:rsidRDefault="004E7F66" w:rsidP="004E08A0">
      <w:pPr>
        <w:spacing w:after="0" w:line="276" w:lineRule="auto"/>
      </w:pPr>
      <w:r w:rsidRPr="004E7F66">
        <w:t xml:space="preserve">Details of any additional information collected and </w:t>
      </w:r>
      <w:r>
        <w:t xml:space="preserve">the </w:t>
      </w:r>
      <w:r w:rsidRPr="004E7F66">
        <w:t xml:space="preserve">frequency of reporting to Sector Operations are as specified by the Funder and documented in the Provider Specific Schedule of the </w:t>
      </w:r>
      <w:r>
        <w:t>contract</w:t>
      </w:r>
      <w:r w:rsidRPr="004E7F66">
        <w:t xml:space="preserve">.  </w:t>
      </w:r>
    </w:p>
    <w:p w14:paraId="0953B8D2" w14:textId="77777777" w:rsidR="00E81B4A" w:rsidRDefault="00645CAD" w:rsidP="00664763">
      <w:pPr>
        <w:spacing w:after="0" w:line="276" w:lineRule="auto"/>
      </w:pPr>
      <w:r>
        <w:t>All reporting</w:t>
      </w:r>
      <w:r w:rsidR="007C5BE9">
        <w:t>,</w:t>
      </w:r>
      <w:r>
        <w:t xml:space="preserve"> </w:t>
      </w:r>
      <w:r w:rsidR="00E81B4A">
        <w:t xml:space="preserve">except for </w:t>
      </w:r>
      <w:r w:rsidR="002D1D9A">
        <w:t xml:space="preserve">section </w:t>
      </w:r>
      <w:r>
        <w:t>10.2</w:t>
      </w:r>
      <w:r w:rsidR="00975338">
        <w:t xml:space="preserve"> </w:t>
      </w:r>
      <w:r>
        <w:t>R</w:t>
      </w:r>
      <w:r w:rsidR="005F1D82">
        <w:t xml:space="preserve">eporting to </w:t>
      </w:r>
      <w:r w:rsidR="00C20EE9">
        <w:t xml:space="preserve">the </w:t>
      </w:r>
      <w:r w:rsidR="00D16863" w:rsidRPr="00C20EE9">
        <w:rPr>
          <w:rFonts w:cs="Arial"/>
        </w:rPr>
        <w:t>National Non Admitted Patient Collection</w:t>
      </w:r>
      <w:r w:rsidR="00D16863">
        <w:rPr>
          <w:rFonts w:cs="Arial"/>
          <w:sz w:val="20"/>
          <w:szCs w:val="20"/>
        </w:rPr>
        <w:t xml:space="preserve"> </w:t>
      </w:r>
      <w:r w:rsidR="00C20EE9" w:rsidRPr="00C20EE9">
        <w:rPr>
          <w:rFonts w:cs="Arial"/>
        </w:rPr>
        <w:t>(</w:t>
      </w:r>
      <w:r w:rsidR="00E81B4A" w:rsidRPr="00C20EE9">
        <w:t>NNPAC</w:t>
      </w:r>
      <w:r w:rsidR="00E81B4A">
        <w:t>) should be forwarded to:</w:t>
      </w:r>
    </w:p>
    <w:p w14:paraId="6BE6002A" w14:textId="77777777" w:rsidR="00E81B4A" w:rsidRDefault="00E81B4A" w:rsidP="0039415B">
      <w:pPr>
        <w:spacing w:before="0" w:after="0" w:line="276" w:lineRule="auto"/>
        <w:ind w:left="720"/>
      </w:pPr>
      <w:r>
        <w:t>The Performance Reporting Team, Sector Operations</w:t>
      </w:r>
    </w:p>
    <w:p w14:paraId="71A14E14" w14:textId="77777777" w:rsidR="00E81B4A" w:rsidRDefault="00E81B4A" w:rsidP="0039415B">
      <w:pPr>
        <w:spacing w:before="0" w:after="0" w:line="276" w:lineRule="auto"/>
        <w:ind w:left="720"/>
      </w:pPr>
      <w:r>
        <w:t>Ministry of Health</w:t>
      </w:r>
    </w:p>
    <w:p w14:paraId="543D5B29" w14:textId="77777777" w:rsidR="00E81B4A" w:rsidRDefault="00E81B4A" w:rsidP="0039415B">
      <w:pPr>
        <w:spacing w:before="0" w:after="0" w:line="276" w:lineRule="auto"/>
        <w:ind w:left="720"/>
      </w:pPr>
      <w:r>
        <w:t>Private Bag1942</w:t>
      </w:r>
    </w:p>
    <w:p w14:paraId="50DF2483" w14:textId="77777777" w:rsidR="00E81B4A" w:rsidRDefault="00E81B4A" w:rsidP="0039415B">
      <w:pPr>
        <w:spacing w:before="0" w:after="0" w:line="276" w:lineRule="auto"/>
        <w:ind w:left="720"/>
      </w:pPr>
      <w:r>
        <w:t>Dunedin 9054.</w:t>
      </w:r>
    </w:p>
    <w:p w14:paraId="1B888FA8" w14:textId="77777777" w:rsidR="00E81B4A" w:rsidRDefault="00E81B4A" w:rsidP="0039415B">
      <w:pPr>
        <w:spacing w:before="0" w:after="0" w:line="276" w:lineRule="auto"/>
        <w:ind w:left="720"/>
      </w:pPr>
      <w:r>
        <w:t xml:space="preserve">Email </w:t>
      </w:r>
      <w:hyperlink r:id="rId12" w:history="1">
        <w:r w:rsidR="009F03FE" w:rsidRPr="007A102F">
          <w:rPr>
            <w:rStyle w:val="Hyperlink"/>
          </w:rPr>
          <w:t>performance_reporting@moh.govt.nz</w:t>
        </w:r>
      </w:hyperlink>
      <w:r>
        <w:t>.</w:t>
      </w:r>
    </w:p>
    <w:p w14:paraId="60FBE03E" w14:textId="77777777" w:rsidR="009F03FE" w:rsidRDefault="009F03FE" w:rsidP="00664763">
      <w:pPr>
        <w:spacing w:after="0" w:line="276" w:lineRule="auto"/>
      </w:pPr>
      <w:r>
        <w:t>There are four types of reporting:</w:t>
      </w:r>
    </w:p>
    <w:p w14:paraId="39D69DEA" w14:textId="77777777" w:rsidR="009F03FE" w:rsidRDefault="009F03FE" w:rsidP="00B3587D">
      <w:pPr>
        <w:pStyle w:val="ListParagraph"/>
        <w:numPr>
          <w:ilvl w:val="0"/>
          <w:numId w:val="24"/>
        </w:numPr>
        <w:spacing w:before="0" w:after="0" w:line="276" w:lineRule="auto"/>
      </w:pPr>
      <w:r>
        <w:t>Reporting to NNPAC</w:t>
      </w:r>
      <w:r w:rsidR="000D60DC">
        <w:t xml:space="preserve"> (monthly)</w:t>
      </w:r>
    </w:p>
    <w:p w14:paraId="7974E95B" w14:textId="77777777" w:rsidR="009F03FE" w:rsidRDefault="00861722" w:rsidP="00B3587D">
      <w:pPr>
        <w:pStyle w:val="ListParagraph"/>
        <w:numPr>
          <w:ilvl w:val="0"/>
          <w:numId w:val="24"/>
        </w:numPr>
        <w:spacing w:before="0" w:after="0" w:line="276" w:lineRule="auto"/>
      </w:pPr>
      <w:r>
        <w:t>Annual n</w:t>
      </w:r>
      <w:r w:rsidR="009F03FE">
        <w:t>arrative</w:t>
      </w:r>
      <w:r w:rsidR="00803487">
        <w:t xml:space="preserve"> q</w:t>
      </w:r>
      <w:r w:rsidR="009F03FE">
        <w:t>uality report</w:t>
      </w:r>
      <w:r>
        <w:t xml:space="preserve"> </w:t>
      </w:r>
      <w:r w:rsidR="006B76C7">
        <w:t>(to Sector Operations)</w:t>
      </w:r>
    </w:p>
    <w:p w14:paraId="15292F9D" w14:textId="77777777" w:rsidR="009F03FE" w:rsidRDefault="009F03FE" w:rsidP="00B3587D">
      <w:pPr>
        <w:pStyle w:val="ListParagraph"/>
        <w:numPr>
          <w:ilvl w:val="0"/>
          <w:numId w:val="24"/>
        </w:numPr>
        <w:spacing w:before="0" w:after="0" w:line="276" w:lineRule="auto"/>
      </w:pPr>
      <w:r>
        <w:t>Outcome reporting</w:t>
      </w:r>
      <w:r w:rsidR="000D60DC">
        <w:t xml:space="preserve"> (quarterly or annual</w:t>
      </w:r>
      <w:r w:rsidR="0013515F">
        <w:t xml:space="preserve"> to Sector Operations</w:t>
      </w:r>
      <w:r w:rsidR="000D60DC">
        <w:t>)</w:t>
      </w:r>
    </w:p>
    <w:p w14:paraId="68144EB5" w14:textId="77777777" w:rsidR="009F03FE" w:rsidRPr="00D7693A" w:rsidRDefault="0060655E" w:rsidP="00B3587D">
      <w:pPr>
        <w:pStyle w:val="ListParagraph"/>
        <w:numPr>
          <w:ilvl w:val="0"/>
          <w:numId w:val="24"/>
        </w:numPr>
      </w:pPr>
      <w:r w:rsidRPr="00D7693A">
        <w:t>Wait time and indication reporting</w:t>
      </w:r>
      <w:r w:rsidR="000D60DC" w:rsidRPr="00D7693A">
        <w:t xml:space="preserve"> (quarterly</w:t>
      </w:r>
      <w:r w:rsidR="0013515F" w:rsidRPr="00D7693A">
        <w:t xml:space="preserve"> to Sector Operations</w:t>
      </w:r>
      <w:r w:rsidR="000D60DC" w:rsidRPr="00D7693A">
        <w:t>)</w:t>
      </w:r>
      <w:r w:rsidR="008151C1" w:rsidRPr="00D7693A">
        <w:t>.</w:t>
      </w:r>
    </w:p>
    <w:p w14:paraId="6E1C6A31" w14:textId="77777777" w:rsidR="00B22622" w:rsidRPr="00B22622" w:rsidRDefault="004E08A0" w:rsidP="00912CEA">
      <w:pPr>
        <w:pStyle w:val="Heading2"/>
        <w:numPr>
          <w:ilvl w:val="0"/>
          <w:numId w:val="0"/>
        </w:numPr>
        <w:ind w:left="720"/>
      </w:pPr>
      <w:r>
        <w:t>10.2</w:t>
      </w:r>
      <w:r>
        <w:tab/>
      </w:r>
      <w:r w:rsidR="00B22622" w:rsidRPr="00B22622">
        <w:t>Reporting to NNPAC</w:t>
      </w:r>
    </w:p>
    <w:p w14:paraId="5322BDFB" w14:textId="77777777" w:rsidR="00B22622" w:rsidRDefault="00B22622" w:rsidP="00664763">
      <w:pPr>
        <w:spacing w:line="276" w:lineRule="auto"/>
        <w:rPr>
          <w:rFonts w:cs="Arial"/>
          <w:iCs/>
          <w:kern w:val="32"/>
          <w:szCs w:val="28"/>
          <w:lang w:eastAsia="en-NZ"/>
        </w:rPr>
      </w:pPr>
      <w:r w:rsidRPr="00B22622">
        <w:rPr>
          <w:rFonts w:cs="Arial"/>
          <w:iCs/>
          <w:kern w:val="32"/>
          <w:szCs w:val="28"/>
          <w:lang w:eastAsia="en-NZ"/>
        </w:rPr>
        <w:t xml:space="preserve">The Service must collect and report the purchase units </w:t>
      </w:r>
      <w:r w:rsidR="009F03FE">
        <w:rPr>
          <w:rFonts w:cs="Arial"/>
          <w:iCs/>
          <w:kern w:val="32"/>
          <w:szCs w:val="28"/>
          <w:lang w:eastAsia="en-NZ"/>
        </w:rPr>
        <w:t>above</w:t>
      </w:r>
      <w:r w:rsidR="009F03FE" w:rsidRPr="00B22622">
        <w:rPr>
          <w:rFonts w:cs="Arial"/>
          <w:iCs/>
          <w:kern w:val="32"/>
          <w:szCs w:val="28"/>
          <w:lang w:eastAsia="en-NZ"/>
        </w:rPr>
        <w:t xml:space="preserve"> </w:t>
      </w:r>
      <w:r w:rsidRPr="00B22622">
        <w:rPr>
          <w:rFonts w:cs="Arial"/>
          <w:iCs/>
          <w:kern w:val="32"/>
          <w:szCs w:val="28"/>
          <w:lang w:eastAsia="en-NZ"/>
        </w:rPr>
        <w:t xml:space="preserve">to the National Non Admitted Data Collection (NNPAC) and comply with the </w:t>
      </w:r>
      <w:r w:rsidR="00CB5E2D">
        <w:rPr>
          <w:rFonts w:cs="Arial"/>
          <w:iCs/>
          <w:kern w:val="32"/>
          <w:szCs w:val="28"/>
          <w:lang w:eastAsia="en-NZ"/>
        </w:rPr>
        <w:t>Ministry of Health</w:t>
      </w:r>
      <w:r w:rsidR="008A6AC3">
        <w:rPr>
          <w:rFonts w:cs="Arial"/>
          <w:iCs/>
          <w:kern w:val="32"/>
          <w:szCs w:val="28"/>
          <w:lang w:eastAsia="en-NZ"/>
        </w:rPr>
        <w:t xml:space="preserve"> </w:t>
      </w:r>
      <w:r w:rsidRPr="00B22622">
        <w:rPr>
          <w:rFonts w:cs="Arial"/>
          <w:iCs/>
          <w:kern w:val="32"/>
          <w:szCs w:val="28"/>
          <w:lang w:eastAsia="en-NZ"/>
        </w:rPr>
        <w:t>NNPAC reporting requirements for service planning and analysis purposes. Reporting to NNPAC will be monthly.</w:t>
      </w:r>
    </w:p>
    <w:p w14:paraId="76DF1A7A" w14:textId="77777777" w:rsidR="00B22622" w:rsidRDefault="00B22622" w:rsidP="00B22622">
      <w:pPr>
        <w:spacing w:before="0" w:line="276" w:lineRule="auto"/>
        <w:rPr>
          <w:rFonts w:cs="Arial"/>
          <w:iCs/>
          <w:kern w:val="32"/>
          <w:szCs w:val="28"/>
          <w:lang w:eastAsia="en-NZ"/>
        </w:rPr>
      </w:pPr>
      <w:r w:rsidRPr="00B22622">
        <w:rPr>
          <w:rFonts w:cs="Arial"/>
          <w:iCs/>
          <w:kern w:val="32"/>
          <w:szCs w:val="28"/>
          <w:lang w:eastAsia="en-NZ"/>
        </w:rPr>
        <w:t xml:space="preserve">Refer to </w:t>
      </w:r>
      <w:r w:rsidRPr="00CB0436">
        <w:rPr>
          <w:rFonts w:cs="Arial"/>
          <w:i/>
          <w:iCs/>
          <w:kern w:val="32"/>
          <w:szCs w:val="28"/>
          <w:lang w:eastAsia="en-NZ"/>
        </w:rPr>
        <w:t xml:space="preserve">Appendix </w:t>
      </w:r>
      <w:r w:rsidR="00DD60C0">
        <w:rPr>
          <w:rFonts w:cs="Arial"/>
          <w:i/>
          <w:iCs/>
          <w:kern w:val="32"/>
          <w:szCs w:val="28"/>
          <w:lang w:eastAsia="en-NZ"/>
        </w:rPr>
        <w:t>four</w:t>
      </w:r>
      <w:r w:rsidR="00DD60C0" w:rsidRPr="00B22622">
        <w:rPr>
          <w:rFonts w:cs="Arial"/>
          <w:iCs/>
          <w:kern w:val="32"/>
          <w:szCs w:val="28"/>
          <w:lang w:eastAsia="en-NZ"/>
        </w:rPr>
        <w:t xml:space="preserve"> </w:t>
      </w:r>
      <w:r w:rsidRPr="00B22622">
        <w:rPr>
          <w:rFonts w:cs="Arial"/>
          <w:iCs/>
          <w:kern w:val="32"/>
          <w:szCs w:val="28"/>
          <w:lang w:eastAsia="en-NZ"/>
        </w:rPr>
        <w:t>for the file specification for reporting to NNPAC by fertility service providers.</w:t>
      </w:r>
    </w:p>
    <w:p w14:paraId="6807A16B" w14:textId="77777777" w:rsidR="00EE0746" w:rsidRPr="00ED1231" w:rsidRDefault="00D33B95" w:rsidP="00912CEA">
      <w:pPr>
        <w:pStyle w:val="Heading2"/>
        <w:numPr>
          <w:ilvl w:val="0"/>
          <w:numId w:val="0"/>
        </w:numPr>
        <w:ind w:left="720"/>
      </w:pPr>
      <w:r>
        <w:t>10.3</w:t>
      </w:r>
      <w:r>
        <w:tab/>
      </w:r>
      <w:r w:rsidR="008151C1">
        <w:t>A</w:t>
      </w:r>
      <w:r w:rsidR="00C7728D">
        <w:t xml:space="preserve">nnual </w:t>
      </w:r>
      <w:r w:rsidR="00861722">
        <w:t xml:space="preserve">Narrative Quality Report </w:t>
      </w:r>
    </w:p>
    <w:p w14:paraId="07C883AE" w14:textId="77777777" w:rsidR="00080CE2" w:rsidRDefault="00D72905" w:rsidP="001D5897">
      <w:pPr>
        <w:rPr>
          <w:rFonts w:cs="Arial"/>
          <w:lang w:val="en-GB" w:eastAsia="en-GB"/>
        </w:rPr>
      </w:pPr>
      <w:r>
        <w:rPr>
          <w:rFonts w:cs="Arial"/>
          <w:lang w:val="en-GB" w:eastAsia="en-GB"/>
        </w:rPr>
        <w:t>Depending</w:t>
      </w:r>
      <w:r w:rsidR="00A9379B" w:rsidRPr="00A9379B">
        <w:rPr>
          <w:rFonts w:cs="Arial"/>
          <w:lang w:val="en-GB" w:eastAsia="en-GB"/>
        </w:rPr>
        <w:t xml:space="preserve"> on the start day of the agreement</w:t>
      </w:r>
      <w:r>
        <w:rPr>
          <w:rFonts w:cs="Arial"/>
          <w:lang w:val="en-GB" w:eastAsia="en-GB"/>
        </w:rPr>
        <w:t>, the annual reporting will</w:t>
      </w:r>
      <w:r w:rsidR="00A9379B" w:rsidRPr="00A9379B">
        <w:rPr>
          <w:rFonts w:cs="Arial"/>
          <w:lang w:val="en-GB" w:eastAsia="en-GB"/>
        </w:rPr>
        <w:t xml:space="preserve"> </w:t>
      </w:r>
      <w:r w:rsidR="00A9379B" w:rsidRPr="007442F4">
        <w:rPr>
          <w:rFonts w:cs="Arial"/>
          <w:lang w:val="en-GB" w:eastAsia="en-GB"/>
        </w:rPr>
        <w:t>either be in July (annual financial year) or January (annual calendar year)</w:t>
      </w:r>
      <w:r w:rsidR="00861722" w:rsidRPr="00A9379B">
        <w:rPr>
          <w:rFonts w:cs="Arial"/>
          <w:lang w:val="en-GB" w:eastAsia="en-GB"/>
        </w:rPr>
        <w:t>.</w:t>
      </w:r>
      <w:r w:rsidR="001D5897" w:rsidRPr="00A9379B">
        <w:rPr>
          <w:rFonts w:cs="Arial"/>
          <w:lang w:val="en-GB" w:eastAsia="en-GB"/>
        </w:rPr>
        <w:t xml:space="preserve"> </w:t>
      </w:r>
      <w:r w:rsidR="007442F4">
        <w:rPr>
          <w:rFonts w:cs="Arial"/>
          <w:lang w:val="en-GB" w:eastAsia="en-GB"/>
        </w:rPr>
        <w:t xml:space="preserve"> </w:t>
      </w:r>
      <w:r w:rsidR="00861722" w:rsidRPr="00A9379B">
        <w:rPr>
          <w:rFonts w:cs="Arial"/>
          <w:lang w:val="en-GB" w:eastAsia="en-GB"/>
        </w:rPr>
        <w:t>T</w:t>
      </w:r>
      <w:r w:rsidR="001B7283" w:rsidRPr="00A9379B">
        <w:rPr>
          <w:rFonts w:cs="Arial"/>
          <w:lang w:val="en-GB" w:eastAsia="en-GB"/>
        </w:rPr>
        <w:t xml:space="preserve">he </w:t>
      </w:r>
      <w:r w:rsidR="003E3F96" w:rsidRPr="00A9379B">
        <w:rPr>
          <w:rFonts w:cs="Arial"/>
          <w:lang w:val="en-GB" w:eastAsia="en-GB"/>
        </w:rPr>
        <w:t xml:space="preserve">Service </w:t>
      </w:r>
      <w:r w:rsidR="001B7283" w:rsidRPr="00D72905">
        <w:rPr>
          <w:rFonts w:cs="Arial"/>
          <w:lang w:val="en-GB" w:eastAsia="en-GB"/>
        </w:rPr>
        <w:t xml:space="preserve">provider will forward </w:t>
      </w:r>
      <w:r>
        <w:rPr>
          <w:rFonts w:cs="Arial"/>
          <w:lang w:val="en-GB" w:eastAsia="en-GB"/>
        </w:rPr>
        <w:t>the</w:t>
      </w:r>
      <w:r w:rsidR="000509C9" w:rsidRPr="00D72905">
        <w:rPr>
          <w:rFonts w:cs="Arial"/>
          <w:lang w:val="en-GB" w:eastAsia="en-GB"/>
        </w:rPr>
        <w:t xml:space="preserve"> </w:t>
      </w:r>
      <w:r w:rsidR="001B7283" w:rsidRPr="00D72905">
        <w:rPr>
          <w:rFonts w:cs="Arial"/>
          <w:lang w:val="en-GB" w:eastAsia="en-GB"/>
        </w:rPr>
        <w:t xml:space="preserve">report </w:t>
      </w:r>
      <w:r w:rsidR="00A027CF" w:rsidRPr="00D72905">
        <w:rPr>
          <w:rFonts w:cs="Arial"/>
          <w:lang w:val="en-GB" w:eastAsia="en-GB"/>
        </w:rPr>
        <w:t xml:space="preserve">to </w:t>
      </w:r>
      <w:r w:rsidR="008A6AC3" w:rsidRPr="00D72905">
        <w:rPr>
          <w:rFonts w:cs="Arial"/>
          <w:lang w:val="en-GB" w:eastAsia="en-GB"/>
        </w:rPr>
        <w:t>Sector Operations</w:t>
      </w:r>
      <w:r w:rsidR="00A027CF" w:rsidRPr="00D72905">
        <w:rPr>
          <w:rFonts w:cs="Arial"/>
          <w:lang w:val="en-GB" w:eastAsia="en-GB"/>
        </w:rPr>
        <w:t xml:space="preserve"> </w:t>
      </w:r>
      <w:r w:rsidR="001D5897" w:rsidRPr="00D72905">
        <w:rPr>
          <w:rFonts w:cs="Arial"/>
          <w:lang w:val="en-GB" w:eastAsia="en-GB"/>
        </w:rPr>
        <w:t>detailing the following</w:t>
      </w:r>
      <w:r w:rsidR="001D5897" w:rsidRPr="001D5897">
        <w:rPr>
          <w:rFonts w:cs="Arial"/>
          <w:lang w:val="en-GB" w:eastAsia="en-GB"/>
        </w:rPr>
        <w:t xml:space="preserve">: </w:t>
      </w:r>
    </w:p>
    <w:tbl>
      <w:tblPr>
        <w:tblStyle w:val="TableGrid"/>
        <w:tblW w:w="0" w:type="auto"/>
        <w:tblLook w:val="04A0" w:firstRow="1" w:lastRow="0" w:firstColumn="1" w:lastColumn="0" w:noHBand="0" w:noVBand="1"/>
      </w:tblPr>
      <w:tblGrid>
        <w:gridCol w:w="1732"/>
        <w:gridCol w:w="7897"/>
      </w:tblGrid>
      <w:tr w:rsidR="00D405B9" w14:paraId="1BA19C4B" w14:textId="77777777" w:rsidTr="00B1705A">
        <w:tc>
          <w:tcPr>
            <w:tcW w:w="9855" w:type="dxa"/>
            <w:gridSpan w:val="2"/>
            <w:shd w:val="pct12" w:color="auto" w:fill="auto"/>
          </w:tcPr>
          <w:p w14:paraId="32705CB7" w14:textId="77777777" w:rsidR="00D405B9" w:rsidRDefault="00D405B9" w:rsidP="001D5897">
            <w:pPr>
              <w:rPr>
                <w:rFonts w:cs="Arial"/>
                <w:lang w:val="en-GB" w:eastAsia="en-GB"/>
              </w:rPr>
            </w:pPr>
            <w:r w:rsidRPr="00A469A0">
              <w:rPr>
                <w:rFonts w:cs="Arial"/>
                <w:b/>
                <w:lang w:val="en-GB" w:eastAsia="en-GB"/>
              </w:rPr>
              <w:t>Narrative Quality Report</w:t>
            </w:r>
          </w:p>
        </w:tc>
      </w:tr>
      <w:tr w:rsidR="000E4AAF" w:rsidRPr="00CA2931" w14:paraId="624564D7" w14:textId="77777777" w:rsidTr="00C9200D">
        <w:tc>
          <w:tcPr>
            <w:tcW w:w="1732" w:type="dxa"/>
          </w:tcPr>
          <w:p w14:paraId="21F5AB7C" w14:textId="77777777" w:rsidR="000E4AAF" w:rsidRPr="00571A02" w:rsidRDefault="000E4AAF" w:rsidP="00E4262A">
            <w:pPr>
              <w:rPr>
                <w:rFonts w:cs="Arial"/>
                <w:b/>
                <w:sz w:val="22"/>
                <w:lang w:val="en-GB" w:eastAsia="en-GB"/>
              </w:rPr>
            </w:pPr>
            <w:r w:rsidRPr="00571A02">
              <w:rPr>
                <w:rFonts w:cs="Arial"/>
                <w:b/>
                <w:sz w:val="22"/>
                <w:lang w:val="en-GB" w:eastAsia="en-GB"/>
              </w:rPr>
              <w:t>Service User Experience</w:t>
            </w:r>
          </w:p>
        </w:tc>
        <w:tc>
          <w:tcPr>
            <w:tcW w:w="8123" w:type="dxa"/>
          </w:tcPr>
          <w:p w14:paraId="68C07D66" w14:textId="77777777" w:rsidR="000E4AAF" w:rsidRDefault="000E4AAF" w:rsidP="008151C1">
            <w:pPr>
              <w:tabs>
                <w:tab w:val="left" w:pos="318"/>
              </w:tabs>
              <w:rPr>
                <w:rFonts w:cs="Arial"/>
                <w:sz w:val="22"/>
                <w:lang w:val="en-GB" w:eastAsia="en-GB"/>
              </w:rPr>
            </w:pPr>
            <w:r w:rsidRPr="000E4AAF">
              <w:rPr>
                <w:rFonts w:cs="Arial"/>
                <w:sz w:val="22"/>
                <w:lang w:val="en-GB" w:eastAsia="en-GB"/>
              </w:rPr>
              <w:t>Provide a summary of :</w:t>
            </w:r>
          </w:p>
          <w:p w14:paraId="3B97AB97" w14:textId="77777777" w:rsidR="000E4AAF" w:rsidRPr="000E4AAF" w:rsidRDefault="000E4AAF" w:rsidP="00B3587D">
            <w:pPr>
              <w:pStyle w:val="ListParagraph"/>
              <w:numPr>
                <w:ilvl w:val="0"/>
                <w:numId w:val="19"/>
              </w:numPr>
              <w:tabs>
                <w:tab w:val="left" w:pos="318"/>
              </w:tabs>
              <w:spacing w:before="0"/>
              <w:rPr>
                <w:rFonts w:cs="Arial"/>
                <w:sz w:val="22"/>
                <w:lang w:val="en-GB" w:eastAsia="en-GB"/>
              </w:rPr>
            </w:pPr>
            <w:r w:rsidRPr="000E4AAF">
              <w:rPr>
                <w:rFonts w:cs="Arial"/>
                <w:sz w:val="22"/>
                <w:lang w:val="en-GB" w:eastAsia="en-GB"/>
              </w:rPr>
              <w:t xml:space="preserve">feedback </w:t>
            </w:r>
            <w:r w:rsidR="002D1D9A">
              <w:rPr>
                <w:rFonts w:cs="Arial"/>
                <w:sz w:val="22"/>
                <w:lang w:val="en-GB" w:eastAsia="en-GB"/>
              </w:rPr>
              <w:t xml:space="preserve">received </w:t>
            </w:r>
            <w:r w:rsidRPr="000E4AAF">
              <w:rPr>
                <w:rFonts w:cs="Arial"/>
                <w:sz w:val="22"/>
                <w:lang w:val="en-GB" w:eastAsia="en-GB"/>
              </w:rPr>
              <w:t>on</w:t>
            </w:r>
            <w:r w:rsidR="00623D1E">
              <w:rPr>
                <w:rFonts w:cs="Arial"/>
                <w:sz w:val="22"/>
                <w:lang w:val="en-GB" w:eastAsia="en-GB"/>
              </w:rPr>
              <w:t>:</w:t>
            </w:r>
            <w:r w:rsidRPr="000E4AAF">
              <w:rPr>
                <w:rFonts w:cs="Arial"/>
                <w:sz w:val="22"/>
                <w:lang w:val="en-GB" w:eastAsia="en-GB"/>
              </w:rPr>
              <w:t xml:space="preserve"> the quality of information provided</w:t>
            </w:r>
            <w:r w:rsidR="00623D1E">
              <w:rPr>
                <w:rFonts w:cs="Arial"/>
                <w:sz w:val="22"/>
                <w:lang w:val="en-GB" w:eastAsia="en-GB"/>
              </w:rPr>
              <w:t>;</w:t>
            </w:r>
            <w:r w:rsidRPr="000E4AAF">
              <w:rPr>
                <w:rFonts w:cs="Arial"/>
                <w:sz w:val="22"/>
                <w:lang w:val="en-GB" w:eastAsia="en-GB"/>
              </w:rPr>
              <w:t xml:space="preserve"> clarity of the explanation of </w:t>
            </w:r>
            <w:r w:rsidR="00623D1E">
              <w:rPr>
                <w:rFonts w:cs="Arial"/>
                <w:sz w:val="22"/>
                <w:lang w:val="en-GB" w:eastAsia="en-GB"/>
              </w:rPr>
              <w:t>the treatment;</w:t>
            </w:r>
            <w:r w:rsidRPr="000E4AAF">
              <w:rPr>
                <w:rFonts w:cs="Arial"/>
                <w:sz w:val="22"/>
                <w:lang w:val="en-GB" w:eastAsia="en-GB"/>
              </w:rPr>
              <w:t xml:space="preserve"> the personal support from staff</w:t>
            </w:r>
            <w:r w:rsidR="00623D1E">
              <w:rPr>
                <w:rFonts w:cs="Arial"/>
                <w:sz w:val="22"/>
                <w:lang w:val="en-GB" w:eastAsia="en-GB"/>
              </w:rPr>
              <w:t>;</w:t>
            </w:r>
            <w:r w:rsidRPr="000E4AAF">
              <w:rPr>
                <w:rFonts w:cs="Arial"/>
                <w:sz w:val="22"/>
                <w:lang w:val="en-GB" w:eastAsia="en-GB"/>
              </w:rPr>
              <w:t xml:space="preserve"> respect of privacy</w:t>
            </w:r>
            <w:r w:rsidR="00623D1E">
              <w:rPr>
                <w:rFonts w:cs="Arial"/>
                <w:sz w:val="22"/>
                <w:lang w:val="en-GB" w:eastAsia="en-GB"/>
              </w:rPr>
              <w:t>;</w:t>
            </w:r>
            <w:r w:rsidRPr="000E4AAF">
              <w:rPr>
                <w:rFonts w:cs="Arial"/>
                <w:sz w:val="22"/>
                <w:lang w:val="en-GB" w:eastAsia="en-GB"/>
              </w:rPr>
              <w:t xml:space="preserve"> and sensitivity to the Service Users’ culture</w:t>
            </w:r>
          </w:p>
          <w:p w14:paraId="449E8B29" w14:textId="77777777" w:rsidR="000E4AAF" w:rsidRPr="00D405B9" w:rsidRDefault="000E4AAF" w:rsidP="00B3587D">
            <w:pPr>
              <w:pStyle w:val="ListParagraph"/>
              <w:numPr>
                <w:ilvl w:val="0"/>
                <w:numId w:val="18"/>
              </w:numPr>
              <w:tabs>
                <w:tab w:val="left" w:pos="318"/>
              </w:tabs>
              <w:spacing w:before="0"/>
              <w:rPr>
                <w:rFonts w:cs="Arial"/>
                <w:sz w:val="22"/>
                <w:lang w:val="en-GB" w:eastAsia="en-GB"/>
              </w:rPr>
            </w:pPr>
            <w:r w:rsidRPr="00D405B9">
              <w:rPr>
                <w:rFonts w:cs="Arial"/>
                <w:sz w:val="22"/>
                <w:lang w:val="en-GB" w:eastAsia="en-GB"/>
              </w:rPr>
              <w:t>education progra</w:t>
            </w:r>
            <w:r>
              <w:rPr>
                <w:rFonts w:cs="Arial"/>
                <w:sz w:val="22"/>
                <w:lang w:val="en-GB" w:eastAsia="en-GB"/>
              </w:rPr>
              <w:t>mmes provided for Service Users</w:t>
            </w:r>
          </w:p>
          <w:p w14:paraId="114D6C6E" w14:textId="77777777" w:rsidR="000E4AAF" w:rsidRPr="00D405B9" w:rsidRDefault="000E4AAF" w:rsidP="00B3587D">
            <w:pPr>
              <w:pStyle w:val="ListParagraph"/>
              <w:numPr>
                <w:ilvl w:val="0"/>
                <w:numId w:val="18"/>
              </w:numPr>
              <w:tabs>
                <w:tab w:val="left" w:pos="318"/>
              </w:tabs>
              <w:spacing w:before="0"/>
              <w:rPr>
                <w:rFonts w:cs="Arial"/>
                <w:sz w:val="22"/>
                <w:lang w:val="en-GB" w:eastAsia="en-GB"/>
              </w:rPr>
            </w:pPr>
            <w:proofErr w:type="gramStart"/>
            <w:r w:rsidRPr="00D405B9">
              <w:rPr>
                <w:rFonts w:cs="Arial"/>
                <w:sz w:val="22"/>
                <w:lang w:val="en-GB" w:eastAsia="en-GB"/>
              </w:rPr>
              <w:t>referrals</w:t>
            </w:r>
            <w:proofErr w:type="gramEnd"/>
            <w:r w:rsidRPr="00D405B9">
              <w:rPr>
                <w:rFonts w:cs="Arial"/>
                <w:sz w:val="22"/>
                <w:lang w:val="en-GB" w:eastAsia="en-GB"/>
              </w:rPr>
              <w:t xml:space="preserve"> to </w:t>
            </w:r>
            <w:r w:rsidR="00623D1E">
              <w:rPr>
                <w:rFonts w:cs="Arial"/>
                <w:sz w:val="22"/>
                <w:lang w:val="en-GB" w:eastAsia="en-GB"/>
              </w:rPr>
              <w:t xml:space="preserve">other services, in particular </w:t>
            </w:r>
            <w:r w:rsidRPr="00D405B9">
              <w:rPr>
                <w:rFonts w:cs="Arial"/>
                <w:sz w:val="22"/>
                <w:lang w:val="en-GB" w:eastAsia="en-GB"/>
              </w:rPr>
              <w:t>weight loss programmes, smoking cessation services</w:t>
            </w:r>
            <w:r w:rsidR="00623D1E">
              <w:rPr>
                <w:rFonts w:cs="Arial"/>
                <w:sz w:val="22"/>
                <w:lang w:val="en-GB" w:eastAsia="en-GB"/>
              </w:rPr>
              <w:t>.</w:t>
            </w:r>
          </w:p>
        </w:tc>
      </w:tr>
      <w:tr w:rsidR="000E4AAF" w:rsidRPr="00CD5B58" w14:paraId="30661C5D" w14:textId="77777777" w:rsidTr="00C9200D">
        <w:tc>
          <w:tcPr>
            <w:tcW w:w="1732" w:type="dxa"/>
          </w:tcPr>
          <w:p w14:paraId="1B3A84BE" w14:textId="77777777" w:rsidR="000E4AAF" w:rsidRPr="00571A02" w:rsidRDefault="000E4AAF" w:rsidP="000E4AAF">
            <w:pPr>
              <w:rPr>
                <w:rFonts w:cs="Arial"/>
                <w:b/>
                <w:sz w:val="22"/>
                <w:lang w:val="en-GB" w:eastAsia="en-GB"/>
              </w:rPr>
            </w:pPr>
            <w:r w:rsidRPr="00571A02">
              <w:rPr>
                <w:rFonts w:cs="Arial"/>
                <w:b/>
                <w:sz w:val="22"/>
                <w:lang w:val="en-GB" w:eastAsia="en-GB"/>
              </w:rPr>
              <w:lastRenderedPageBreak/>
              <w:t>Complications and incidents- treatment related</w:t>
            </w:r>
          </w:p>
        </w:tc>
        <w:tc>
          <w:tcPr>
            <w:tcW w:w="8123" w:type="dxa"/>
          </w:tcPr>
          <w:p w14:paraId="2F03316F" w14:textId="77777777" w:rsidR="00623D1E" w:rsidRDefault="000E4AAF" w:rsidP="00B3587D">
            <w:pPr>
              <w:pStyle w:val="ListParagraph"/>
              <w:numPr>
                <w:ilvl w:val="0"/>
                <w:numId w:val="20"/>
              </w:numPr>
              <w:spacing w:before="0"/>
              <w:rPr>
                <w:sz w:val="22"/>
                <w:lang w:val="en-GB" w:eastAsia="en-GB"/>
              </w:rPr>
            </w:pPr>
            <w:r w:rsidRPr="00623D1E">
              <w:rPr>
                <w:sz w:val="22"/>
                <w:lang w:val="en-GB" w:eastAsia="en-GB"/>
              </w:rPr>
              <w:t xml:space="preserve">any medical complications of treatment, including hospitalisation for Ovarian Hyper Stimulation Syndrome (OHSS) </w:t>
            </w:r>
          </w:p>
          <w:p w14:paraId="288C42F2" w14:textId="77777777" w:rsidR="00623D1E" w:rsidRDefault="000E4AAF" w:rsidP="00B3587D">
            <w:pPr>
              <w:pStyle w:val="ListParagraph"/>
              <w:numPr>
                <w:ilvl w:val="0"/>
                <w:numId w:val="20"/>
              </w:numPr>
              <w:spacing w:before="0"/>
              <w:rPr>
                <w:sz w:val="22"/>
                <w:lang w:val="en-GB" w:eastAsia="en-GB"/>
              </w:rPr>
            </w:pPr>
            <w:r w:rsidRPr="00623D1E">
              <w:rPr>
                <w:sz w:val="22"/>
                <w:lang w:val="en-GB" w:eastAsia="en-GB"/>
              </w:rPr>
              <w:t>incident reporting, add severity</w:t>
            </w:r>
          </w:p>
          <w:p w14:paraId="27F10CAA" w14:textId="77777777" w:rsidR="00623D1E" w:rsidRPr="00623D1E" w:rsidRDefault="000E4AAF" w:rsidP="00B3587D">
            <w:pPr>
              <w:pStyle w:val="ListParagraph"/>
              <w:numPr>
                <w:ilvl w:val="0"/>
                <w:numId w:val="20"/>
              </w:numPr>
              <w:spacing w:before="0"/>
              <w:rPr>
                <w:sz w:val="22"/>
                <w:lang w:val="en-GB" w:eastAsia="en-GB"/>
              </w:rPr>
            </w:pPr>
            <w:r w:rsidRPr="004C11CB">
              <w:rPr>
                <w:rFonts w:eastAsia="Times New Roman"/>
                <w:sz w:val="22"/>
                <w:szCs w:val="24"/>
                <w:lang w:val="en-GB" w:eastAsia="en-GB"/>
              </w:rPr>
              <w:t>fetal reductions</w:t>
            </w:r>
          </w:p>
          <w:p w14:paraId="657FABEC" w14:textId="77777777" w:rsidR="00623D1E" w:rsidRPr="004C11CB" w:rsidRDefault="000E4AAF" w:rsidP="00B3587D">
            <w:pPr>
              <w:pStyle w:val="ListParagraph"/>
              <w:numPr>
                <w:ilvl w:val="0"/>
                <w:numId w:val="20"/>
              </w:numPr>
              <w:spacing w:before="0"/>
              <w:rPr>
                <w:sz w:val="22"/>
                <w:lang w:val="en-GB" w:eastAsia="en-GB"/>
              </w:rPr>
            </w:pPr>
            <w:r w:rsidRPr="004C11CB">
              <w:rPr>
                <w:rFonts w:eastAsia="Times New Roman"/>
                <w:sz w:val="22"/>
                <w:szCs w:val="24"/>
                <w:lang w:val="en-GB" w:eastAsia="en-GB"/>
              </w:rPr>
              <w:t>multiple births</w:t>
            </w:r>
          </w:p>
          <w:p w14:paraId="6DF37897" w14:textId="77777777" w:rsidR="000E4AAF" w:rsidRPr="004C11CB" w:rsidRDefault="000E4AAF" w:rsidP="00B3587D">
            <w:pPr>
              <w:pStyle w:val="ListParagraph"/>
              <w:numPr>
                <w:ilvl w:val="0"/>
                <w:numId w:val="20"/>
              </w:numPr>
              <w:spacing w:before="0"/>
              <w:rPr>
                <w:sz w:val="22"/>
                <w:lang w:val="en-GB" w:eastAsia="en-GB"/>
              </w:rPr>
            </w:pPr>
            <w:proofErr w:type="gramStart"/>
            <w:r w:rsidRPr="004C11CB">
              <w:rPr>
                <w:rFonts w:eastAsia="Times New Roman"/>
                <w:sz w:val="22"/>
                <w:szCs w:val="24"/>
                <w:lang w:val="en-GB" w:eastAsia="en-GB"/>
              </w:rPr>
              <w:t>single</w:t>
            </w:r>
            <w:proofErr w:type="gramEnd"/>
            <w:r w:rsidRPr="004C11CB">
              <w:rPr>
                <w:rFonts w:eastAsia="Times New Roman"/>
                <w:sz w:val="22"/>
                <w:szCs w:val="24"/>
                <w:lang w:val="en-GB" w:eastAsia="en-GB"/>
              </w:rPr>
              <w:t xml:space="preserve"> embryo transfer (SET) rate</w:t>
            </w:r>
            <w:r w:rsidR="002D1D9A">
              <w:rPr>
                <w:rFonts w:eastAsia="Times New Roman"/>
                <w:sz w:val="22"/>
                <w:szCs w:val="24"/>
                <w:lang w:val="en-GB" w:eastAsia="en-GB"/>
              </w:rPr>
              <w:t>.</w:t>
            </w:r>
          </w:p>
        </w:tc>
      </w:tr>
      <w:tr w:rsidR="00571A02" w:rsidRPr="00CD5B58" w14:paraId="0419B2BB" w14:textId="77777777" w:rsidTr="00C9200D">
        <w:tc>
          <w:tcPr>
            <w:tcW w:w="1732" w:type="dxa"/>
          </w:tcPr>
          <w:p w14:paraId="585AD7A7" w14:textId="77777777" w:rsidR="00571A02" w:rsidRPr="000509C9" w:rsidRDefault="00571A02" w:rsidP="000E4AAF">
            <w:pPr>
              <w:rPr>
                <w:rFonts w:cs="Arial"/>
                <w:b/>
                <w:sz w:val="22"/>
                <w:lang w:val="en-GB" w:eastAsia="en-GB"/>
              </w:rPr>
            </w:pPr>
            <w:r w:rsidRPr="000509C9">
              <w:rPr>
                <w:rFonts w:cs="Arial"/>
                <w:b/>
                <w:sz w:val="22"/>
                <w:lang w:val="en-GB" w:eastAsia="en-GB"/>
              </w:rPr>
              <w:t>Demonstrated relationship building</w:t>
            </w:r>
          </w:p>
        </w:tc>
        <w:tc>
          <w:tcPr>
            <w:tcW w:w="8123" w:type="dxa"/>
          </w:tcPr>
          <w:p w14:paraId="30100087" w14:textId="77777777" w:rsidR="00571A02" w:rsidRPr="00571A02" w:rsidRDefault="00571A02" w:rsidP="00B3587D">
            <w:pPr>
              <w:pStyle w:val="ListParagraph"/>
              <w:numPr>
                <w:ilvl w:val="0"/>
                <w:numId w:val="20"/>
              </w:numPr>
              <w:spacing w:before="0"/>
              <w:rPr>
                <w:sz w:val="22"/>
                <w:lang w:val="en-GB" w:eastAsia="en-GB"/>
              </w:rPr>
            </w:pPr>
            <w:r w:rsidRPr="00571A02">
              <w:rPr>
                <w:sz w:val="22"/>
                <w:lang w:val="en-GB" w:eastAsia="en-GB"/>
              </w:rPr>
              <w:t>supporting the Funders understanding of the value added services, service complexity, responding to supporting Service Users’ needs, maintaining effective service linkages with DHB and other linked services</w:t>
            </w:r>
          </w:p>
          <w:p w14:paraId="70F1133B" w14:textId="77777777" w:rsidR="00571A02" w:rsidRPr="00571A02" w:rsidRDefault="00571A02" w:rsidP="00B3587D">
            <w:pPr>
              <w:pStyle w:val="ListParagraph"/>
              <w:numPr>
                <w:ilvl w:val="0"/>
                <w:numId w:val="20"/>
              </w:numPr>
              <w:spacing w:before="0"/>
              <w:rPr>
                <w:sz w:val="22"/>
                <w:lang w:val="en-GB" w:eastAsia="en-GB"/>
              </w:rPr>
            </w:pPr>
            <w:r w:rsidRPr="00571A02">
              <w:rPr>
                <w:sz w:val="22"/>
                <w:lang w:val="en-GB" w:eastAsia="en-GB"/>
              </w:rPr>
              <w:t>C</w:t>
            </w:r>
            <w:r w:rsidR="00623D1E">
              <w:rPr>
                <w:sz w:val="22"/>
                <w:lang w:val="en-GB" w:eastAsia="en-GB"/>
              </w:rPr>
              <w:t xml:space="preserve">linical </w:t>
            </w:r>
            <w:r w:rsidRPr="00571A02">
              <w:rPr>
                <w:sz w:val="22"/>
                <w:lang w:val="en-GB" w:eastAsia="en-GB"/>
              </w:rPr>
              <w:t>M</w:t>
            </w:r>
            <w:r w:rsidR="00623D1E">
              <w:rPr>
                <w:sz w:val="22"/>
                <w:lang w:val="en-GB" w:eastAsia="en-GB"/>
              </w:rPr>
              <w:t xml:space="preserve">edical </w:t>
            </w:r>
            <w:r w:rsidRPr="00571A02">
              <w:rPr>
                <w:sz w:val="22"/>
                <w:lang w:val="en-GB" w:eastAsia="en-GB"/>
              </w:rPr>
              <w:t>E</w:t>
            </w:r>
            <w:r w:rsidR="00623D1E">
              <w:rPr>
                <w:sz w:val="22"/>
                <w:lang w:val="en-GB" w:eastAsia="en-GB"/>
              </w:rPr>
              <w:t>ducation (CME)</w:t>
            </w:r>
            <w:r w:rsidRPr="00571A02">
              <w:rPr>
                <w:sz w:val="22"/>
                <w:lang w:val="en-GB" w:eastAsia="en-GB"/>
              </w:rPr>
              <w:t xml:space="preserve"> registration</w:t>
            </w:r>
          </w:p>
          <w:p w14:paraId="6B7BB69E" w14:textId="77777777" w:rsidR="00571A02" w:rsidRPr="000E4AAF" w:rsidRDefault="00571A02" w:rsidP="00B3587D">
            <w:pPr>
              <w:pStyle w:val="ListParagraph"/>
              <w:numPr>
                <w:ilvl w:val="0"/>
                <w:numId w:val="20"/>
              </w:numPr>
              <w:spacing w:before="0"/>
              <w:rPr>
                <w:sz w:val="22"/>
                <w:lang w:val="en-GB" w:eastAsia="en-GB"/>
              </w:rPr>
            </w:pPr>
            <w:r w:rsidRPr="00571A02">
              <w:rPr>
                <w:sz w:val="22"/>
                <w:lang w:val="en-GB" w:eastAsia="en-GB"/>
              </w:rPr>
              <w:t>initiatives etc.</w:t>
            </w:r>
          </w:p>
        </w:tc>
      </w:tr>
      <w:tr w:rsidR="00571A02" w:rsidRPr="00CD5B58" w14:paraId="40FAEC2E" w14:textId="77777777" w:rsidTr="00C9200D">
        <w:tc>
          <w:tcPr>
            <w:tcW w:w="1732" w:type="dxa"/>
          </w:tcPr>
          <w:p w14:paraId="68EA4FA0" w14:textId="77777777" w:rsidR="00571A02" w:rsidRPr="00571A02" w:rsidRDefault="00571A02" w:rsidP="000E4AAF">
            <w:pPr>
              <w:rPr>
                <w:rFonts w:cs="Arial"/>
                <w:b/>
                <w:sz w:val="22"/>
                <w:lang w:val="en-GB" w:eastAsia="en-GB"/>
              </w:rPr>
            </w:pPr>
            <w:r w:rsidRPr="00571A02">
              <w:rPr>
                <w:rFonts w:cs="Arial"/>
                <w:b/>
                <w:sz w:val="22"/>
                <w:lang w:val="en-GB" w:eastAsia="en-GB"/>
              </w:rPr>
              <w:t>Summary of any issues</w:t>
            </w:r>
          </w:p>
        </w:tc>
        <w:tc>
          <w:tcPr>
            <w:tcW w:w="8123" w:type="dxa"/>
          </w:tcPr>
          <w:p w14:paraId="7FFDA6F4" w14:textId="77777777" w:rsidR="00571A02" w:rsidRPr="000E4AAF" w:rsidRDefault="00571A02" w:rsidP="00B3587D">
            <w:pPr>
              <w:pStyle w:val="ListParagraph"/>
              <w:numPr>
                <w:ilvl w:val="0"/>
                <w:numId w:val="20"/>
              </w:numPr>
              <w:spacing w:before="0"/>
              <w:rPr>
                <w:sz w:val="22"/>
                <w:lang w:val="en-GB" w:eastAsia="en-GB"/>
              </w:rPr>
            </w:pPr>
            <w:r w:rsidRPr="00571A02">
              <w:rPr>
                <w:sz w:val="22"/>
                <w:lang w:val="en-GB" w:eastAsia="en-GB"/>
              </w:rPr>
              <w:t>potential service changes, trends</w:t>
            </w:r>
          </w:p>
        </w:tc>
      </w:tr>
    </w:tbl>
    <w:p w14:paraId="75437F31" w14:textId="77777777" w:rsidR="00CD5B58" w:rsidRDefault="00D33B95" w:rsidP="00912CEA">
      <w:pPr>
        <w:pStyle w:val="Heading2"/>
        <w:numPr>
          <w:ilvl w:val="0"/>
          <w:numId w:val="0"/>
        </w:numPr>
        <w:ind w:left="720"/>
      </w:pPr>
      <w:r>
        <w:t>10.4</w:t>
      </w:r>
      <w:r>
        <w:tab/>
      </w:r>
      <w:r w:rsidR="000509C9">
        <w:t xml:space="preserve">Outcome </w:t>
      </w:r>
      <w:r w:rsidR="00CD5B58" w:rsidRPr="00CD5B58">
        <w:t>Reporting</w:t>
      </w:r>
    </w:p>
    <w:bookmarkEnd w:id="55"/>
    <w:p w14:paraId="39737CE1" w14:textId="77777777" w:rsidR="00681D08" w:rsidRDefault="00681D08" w:rsidP="00CB0436">
      <w:pPr>
        <w:spacing w:line="276" w:lineRule="auto"/>
        <w:rPr>
          <w:lang w:eastAsia="en-NZ"/>
        </w:rPr>
      </w:pPr>
      <w:r>
        <w:rPr>
          <w:rFonts w:eastAsiaTheme="minorHAnsi" w:cstheme="minorBidi"/>
        </w:rPr>
        <w:t>Providers will collect</w:t>
      </w:r>
      <w:r w:rsidR="003E3F96">
        <w:rPr>
          <w:rFonts w:eastAsiaTheme="minorHAnsi" w:cstheme="minorBidi"/>
        </w:rPr>
        <w:t xml:space="preserve"> and report</w:t>
      </w:r>
      <w:r>
        <w:rPr>
          <w:rFonts w:eastAsiaTheme="minorHAnsi" w:cstheme="minorBidi"/>
        </w:rPr>
        <w:t xml:space="preserve">: </w:t>
      </w:r>
      <w:r w:rsidR="00C54816">
        <w:rPr>
          <w:rFonts w:eastAsiaTheme="minorHAnsi" w:cstheme="minorBidi"/>
        </w:rPr>
        <w:t>t</w:t>
      </w:r>
      <w:r w:rsidR="00256286" w:rsidRPr="004C11CB">
        <w:rPr>
          <w:rFonts w:eastAsiaTheme="minorHAnsi" w:cstheme="minorBidi"/>
        </w:rPr>
        <w:t>he number of live birth rates (live birth rates percentage) and multiple pregnancy rates (</w:t>
      </w:r>
      <w:r w:rsidR="00A9379B">
        <w:rPr>
          <w:rFonts w:eastAsiaTheme="minorHAnsi" w:cstheme="minorBidi"/>
        </w:rPr>
        <w:t>m</w:t>
      </w:r>
      <w:r w:rsidR="00256286" w:rsidRPr="004C11CB">
        <w:rPr>
          <w:rFonts w:eastAsiaTheme="minorHAnsi" w:cstheme="minorBidi"/>
        </w:rPr>
        <w:t xml:space="preserve">ultiple </w:t>
      </w:r>
      <w:r w:rsidR="00A9379B">
        <w:rPr>
          <w:rFonts w:eastAsiaTheme="minorHAnsi" w:cstheme="minorBidi"/>
        </w:rPr>
        <w:t>p</w:t>
      </w:r>
      <w:r w:rsidR="00256286" w:rsidRPr="004C11CB">
        <w:rPr>
          <w:rFonts w:eastAsiaTheme="minorHAnsi" w:cstheme="minorBidi"/>
        </w:rPr>
        <w:t xml:space="preserve">regnancy </w:t>
      </w:r>
      <w:r w:rsidR="00A9379B">
        <w:rPr>
          <w:rFonts w:eastAsiaTheme="minorHAnsi" w:cstheme="minorBidi"/>
        </w:rPr>
        <w:t>r</w:t>
      </w:r>
      <w:r w:rsidR="00256286" w:rsidRPr="004C11CB">
        <w:rPr>
          <w:rFonts w:eastAsiaTheme="minorHAnsi" w:cstheme="minorBidi"/>
        </w:rPr>
        <w:t xml:space="preserve">ate percentage) for the </w:t>
      </w:r>
      <w:r w:rsidR="000A4F47">
        <w:rPr>
          <w:rFonts w:eastAsiaTheme="minorHAnsi" w:cstheme="minorBidi"/>
        </w:rPr>
        <w:t>reporting</w:t>
      </w:r>
      <w:r w:rsidR="000A4F47" w:rsidRPr="004C11CB">
        <w:rPr>
          <w:rFonts w:eastAsiaTheme="minorHAnsi" w:cstheme="minorBidi"/>
        </w:rPr>
        <w:t xml:space="preserve"> </w:t>
      </w:r>
      <w:r w:rsidR="000A4F47">
        <w:rPr>
          <w:rFonts w:eastAsiaTheme="minorHAnsi" w:cstheme="minorBidi"/>
        </w:rPr>
        <w:t>period</w:t>
      </w:r>
      <w:r w:rsidR="000A4F47" w:rsidRPr="004C11CB">
        <w:rPr>
          <w:rFonts w:eastAsiaTheme="minorHAnsi" w:cstheme="minorBidi"/>
        </w:rPr>
        <w:t xml:space="preserve"> </w:t>
      </w:r>
      <w:r w:rsidR="00256286" w:rsidRPr="004C11CB">
        <w:rPr>
          <w:rFonts w:eastAsiaTheme="minorHAnsi" w:cstheme="minorBidi"/>
        </w:rPr>
        <w:t>for each treatment listed</w:t>
      </w:r>
      <w:r w:rsidR="003E3F96">
        <w:rPr>
          <w:rFonts w:eastAsiaTheme="minorHAnsi" w:cstheme="minorBidi"/>
        </w:rPr>
        <w:t xml:space="preserve"> in </w:t>
      </w:r>
      <w:r w:rsidR="003E3F96" w:rsidRPr="00CB0436">
        <w:rPr>
          <w:rFonts w:eastAsiaTheme="minorHAnsi" w:cstheme="minorBidi"/>
          <w:i/>
        </w:rPr>
        <w:t>Appendix T</w:t>
      </w:r>
      <w:r w:rsidRPr="00CB0436">
        <w:rPr>
          <w:rFonts w:eastAsiaTheme="minorHAnsi" w:cstheme="minorBidi"/>
          <w:i/>
        </w:rPr>
        <w:t>wo</w:t>
      </w:r>
      <w:r>
        <w:rPr>
          <w:rFonts w:eastAsiaTheme="minorHAnsi" w:cstheme="minorBidi"/>
        </w:rPr>
        <w:t xml:space="preserve">. </w:t>
      </w:r>
      <w:r w:rsidR="002D1D9A">
        <w:rPr>
          <w:rFonts w:eastAsiaTheme="minorHAnsi" w:cstheme="minorBidi"/>
        </w:rPr>
        <w:t xml:space="preserve"> </w:t>
      </w:r>
      <w:r w:rsidR="000A4F47">
        <w:rPr>
          <w:lang w:eastAsia="en-NZ"/>
        </w:rPr>
        <w:t xml:space="preserve">This outcome reporting </w:t>
      </w:r>
      <w:r w:rsidR="000A4F47" w:rsidRPr="00CD5B58">
        <w:rPr>
          <w:lang w:eastAsia="en-NZ"/>
        </w:rPr>
        <w:t>will be provided in an electronic format to</w:t>
      </w:r>
      <w:r w:rsidR="000A4F47">
        <w:rPr>
          <w:lang w:eastAsia="en-NZ"/>
        </w:rPr>
        <w:t xml:space="preserve"> </w:t>
      </w:r>
      <w:r w:rsidR="000A4F47" w:rsidRPr="008A6AC3">
        <w:rPr>
          <w:lang w:eastAsia="en-NZ"/>
        </w:rPr>
        <w:t>Sector Operations</w:t>
      </w:r>
      <w:r w:rsidR="000A4F47">
        <w:rPr>
          <w:lang w:eastAsia="en-NZ"/>
        </w:rPr>
        <w:t xml:space="preserve"> (quarterly </w:t>
      </w:r>
      <w:r w:rsidR="000A4F47" w:rsidRPr="003E3F96">
        <w:rPr>
          <w:lang w:eastAsia="en-NZ"/>
        </w:rPr>
        <w:t>or annual</w:t>
      </w:r>
      <w:r w:rsidR="000A4F47">
        <w:rPr>
          <w:lang w:eastAsia="en-NZ"/>
        </w:rPr>
        <w:t xml:space="preserve"> reporting due dates will be agreed with the Funder and docu</w:t>
      </w:r>
      <w:r w:rsidR="00A9379B">
        <w:rPr>
          <w:lang w:eastAsia="en-NZ"/>
        </w:rPr>
        <w:t>mented in the provider specific terms and conditions</w:t>
      </w:r>
      <w:r w:rsidR="000A4F47" w:rsidRPr="003E3F96">
        <w:rPr>
          <w:lang w:eastAsia="en-NZ"/>
        </w:rPr>
        <w:t>)</w:t>
      </w:r>
      <w:r w:rsidR="000A4F47">
        <w:rPr>
          <w:lang w:eastAsia="en-NZ"/>
        </w:rPr>
        <w:t xml:space="preserve">. </w:t>
      </w:r>
    </w:p>
    <w:p w14:paraId="1E8A83CE" w14:textId="77777777" w:rsidR="003509AB" w:rsidRDefault="00256286" w:rsidP="00256286">
      <w:pPr>
        <w:spacing w:before="0" w:after="200" w:line="276" w:lineRule="auto"/>
        <w:rPr>
          <w:rFonts w:eastAsiaTheme="minorHAnsi" w:cstheme="minorBidi"/>
        </w:rPr>
      </w:pPr>
      <w:r w:rsidRPr="004C11CB">
        <w:rPr>
          <w:rFonts w:eastAsiaTheme="minorHAnsi" w:cstheme="minorBidi"/>
        </w:rPr>
        <w:t>Note: Th</w:t>
      </w:r>
      <w:r w:rsidR="003E3F96">
        <w:rPr>
          <w:rFonts w:eastAsiaTheme="minorHAnsi" w:cstheme="minorBidi"/>
        </w:rPr>
        <w:t>e</w:t>
      </w:r>
      <w:r w:rsidRPr="004C11CB">
        <w:rPr>
          <w:rFonts w:eastAsiaTheme="minorHAnsi" w:cstheme="minorBidi"/>
        </w:rPr>
        <w:t xml:space="preserve"> live birth rates reporting table aligns with the reporting requirements to the ANZARD database for total volumes for each reporting period for each of 1</w:t>
      </w:r>
      <w:r w:rsidRPr="00CB0436">
        <w:rPr>
          <w:rFonts w:eastAsiaTheme="minorHAnsi" w:cstheme="minorBidi"/>
          <w:vertAlign w:val="superscript"/>
        </w:rPr>
        <w:t>st</w:t>
      </w:r>
      <w:r w:rsidR="000A4F47">
        <w:rPr>
          <w:rFonts w:eastAsiaTheme="minorHAnsi" w:cstheme="minorBidi"/>
        </w:rPr>
        <w:t xml:space="preserve"> and</w:t>
      </w:r>
      <w:r w:rsidRPr="004C11CB">
        <w:rPr>
          <w:rFonts w:eastAsiaTheme="minorHAnsi" w:cstheme="minorBidi"/>
        </w:rPr>
        <w:t xml:space="preserve"> 2</w:t>
      </w:r>
      <w:r w:rsidRPr="00CB0436">
        <w:rPr>
          <w:rFonts w:eastAsiaTheme="minorHAnsi" w:cstheme="minorBidi"/>
          <w:vertAlign w:val="superscript"/>
        </w:rPr>
        <w:t>nd</w:t>
      </w:r>
      <w:r w:rsidRPr="004C11CB">
        <w:rPr>
          <w:rFonts w:eastAsiaTheme="minorHAnsi" w:cstheme="minorBidi"/>
        </w:rPr>
        <w:t xml:space="preserve"> IVF cycle, PGD and fertility preservation services. </w:t>
      </w:r>
    </w:p>
    <w:p w14:paraId="42EF34ED" w14:textId="77777777" w:rsidR="003E3F96" w:rsidRPr="006B3959" w:rsidRDefault="00D33B95" w:rsidP="00912CEA">
      <w:pPr>
        <w:pStyle w:val="Heading2"/>
        <w:numPr>
          <w:ilvl w:val="0"/>
          <w:numId w:val="0"/>
        </w:numPr>
        <w:ind w:left="720"/>
      </w:pPr>
      <w:r>
        <w:t>10.5</w:t>
      </w:r>
      <w:r>
        <w:tab/>
      </w:r>
      <w:r w:rsidR="00A84F7C">
        <w:t>Wait time and indication reporting</w:t>
      </w:r>
    </w:p>
    <w:p w14:paraId="6DCE3FB0" w14:textId="77777777" w:rsidR="000357C7" w:rsidRPr="002D1D9A" w:rsidRDefault="00006664" w:rsidP="00B22622">
      <w:pPr>
        <w:rPr>
          <w:rFonts w:eastAsiaTheme="minorHAnsi" w:cstheme="minorBidi"/>
        </w:rPr>
      </w:pPr>
      <w:r w:rsidRPr="006B3959">
        <w:rPr>
          <w:lang w:eastAsia="en-NZ"/>
        </w:rPr>
        <w:t>Q</w:t>
      </w:r>
      <w:r w:rsidR="00141B3E" w:rsidRPr="006B3959">
        <w:rPr>
          <w:lang w:eastAsia="en-NZ"/>
        </w:rPr>
        <w:t>uarterly report</w:t>
      </w:r>
      <w:r w:rsidR="00A84F7C">
        <w:rPr>
          <w:lang w:eastAsia="en-NZ"/>
        </w:rPr>
        <w:t>ed</w:t>
      </w:r>
      <w:r w:rsidR="00141B3E" w:rsidRPr="006B3959">
        <w:rPr>
          <w:lang w:eastAsia="en-NZ"/>
        </w:rPr>
        <w:t xml:space="preserve"> </w:t>
      </w:r>
      <w:r w:rsidR="00B22622" w:rsidRPr="000357C7">
        <w:rPr>
          <w:lang w:eastAsia="en-NZ"/>
        </w:rPr>
        <w:t xml:space="preserve">to </w:t>
      </w:r>
      <w:r w:rsidR="00F02062" w:rsidRPr="000357C7">
        <w:rPr>
          <w:lang w:eastAsia="en-NZ"/>
        </w:rPr>
        <w:t>Sector Operations</w:t>
      </w:r>
      <w:r w:rsidR="00141B3E" w:rsidRPr="000357C7">
        <w:rPr>
          <w:lang w:eastAsia="en-NZ"/>
        </w:rPr>
        <w:t xml:space="preserve"> due by</w:t>
      </w:r>
      <w:r w:rsidR="005B04E4" w:rsidRPr="000357C7">
        <w:rPr>
          <w:lang w:eastAsia="en-NZ"/>
        </w:rPr>
        <w:t xml:space="preserve"> </w:t>
      </w:r>
      <w:r w:rsidR="004E7F66" w:rsidRPr="000357C7">
        <w:rPr>
          <w:lang w:eastAsia="en-NZ"/>
        </w:rPr>
        <w:t>20</w:t>
      </w:r>
      <w:r w:rsidR="00141B3E" w:rsidRPr="000357C7">
        <w:rPr>
          <w:lang w:eastAsia="en-NZ"/>
        </w:rPr>
        <w:t xml:space="preserve"> </w:t>
      </w:r>
      <w:r w:rsidR="00F959C2" w:rsidRPr="000357C7">
        <w:rPr>
          <w:lang w:eastAsia="en-NZ"/>
        </w:rPr>
        <w:t>April</w:t>
      </w:r>
      <w:r w:rsidR="00141B3E" w:rsidRPr="000357C7">
        <w:rPr>
          <w:lang w:eastAsia="en-NZ"/>
        </w:rPr>
        <w:t xml:space="preserve">, </w:t>
      </w:r>
      <w:r w:rsidR="004E7F66" w:rsidRPr="000357C7">
        <w:rPr>
          <w:lang w:eastAsia="en-NZ"/>
        </w:rPr>
        <w:t>2</w:t>
      </w:r>
      <w:r w:rsidR="00141B3E" w:rsidRPr="000357C7">
        <w:rPr>
          <w:lang w:eastAsia="en-NZ"/>
        </w:rPr>
        <w:t>0 Ju</w:t>
      </w:r>
      <w:r w:rsidR="00F959C2" w:rsidRPr="000357C7">
        <w:rPr>
          <w:lang w:eastAsia="en-NZ"/>
        </w:rPr>
        <w:t>ly</w:t>
      </w:r>
      <w:r w:rsidR="00141B3E" w:rsidRPr="000357C7">
        <w:rPr>
          <w:lang w:eastAsia="en-NZ"/>
        </w:rPr>
        <w:t>,</w:t>
      </w:r>
      <w:r w:rsidR="00141B3E" w:rsidRPr="000357C7">
        <w:t xml:space="preserve"> </w:t>
      </w:r>
      <w:r w:rsidR="004E7F66" w:rsidRPr="000357C7">
        <w:t>2</w:t>
      </w:r>
      <w:r w:rsidR="00141B3E" w:rsidRPr="000357C7">
        <w:t xml:space="preserve">0 </w:t>
      </w:r>
      <w:r w:rsidR="00F959C2" w:rsidRPr="000357C7">
        <w:rPr>
          <w:lang w:eastAsia="en-NZ"/>
        </w:rPr>
        <w:t>October</w:t>
      </w:r>
      <w:r w:rsidR="00141B3E" w:rsidRPr="000357C7">
        <w:rPr>
          <w:lang w:eastAsia="en-NZ"/>
        </w:rPr>
        <w:t xml:space="preserve">, </w:t>
      </w:r>
      <w:r w:rsidR="004E7F66" w:rsidRPr="000357C7">
        <w:rPr>
          <w:lang w:eastAsia="en-NZ"/>
        </w:rPr>
        <w:t>20</w:t>
      </w:r>
      <w:r w:rsidR="00141B3E" w:rsidRPr="0029041F">
        <w:rPr>
          <w:lang w:eastAsia="en-NZ"/>
        </w:rPr>
        <w:t xml:space="preserve"> </w:t>
      </w:r>
      <w:r w:rsidR="008151C1" w:rsidRPr="0029041F">
        <w:rPr>
          <w:lang w:eastAsia="en-NZ"/>
        </w:rPr>
        <w:t>January using</w:t>
      </w:r>
      <w:r w:rsidR="0060655E">
        <w:rPr>
          <w:rFonts w:eastAsiaTheme="minorHAnsi" w:cstheme="minorBidi"/>
        </w:rPr>
        <w:t xml:space="preserve"> the</w:t>
      </w:r>
      <w:r w:rsidR="0087404B" w:rsidRPr="00CB0436">
        <w:rPr>
          <w:rFonts w:eastAsiaTheme="minorHAnsi" w:cstheme="minorBidi"/>
        </w:rPr>
        <w:t xml:space="preserve"> reporting template</w:t>
      </w:r>
      <w:r w:rsidR="0060655E">
        <w:rPr>
          <w:rFonts w:eastAsiaTheme="minorHAnsi" w:cstheme="minorBidi"/>
        </w:rPr>
        <w:t xml:space="preserve"> </w:t>
      </w:r>
      <w:r w:rsidR="008151C1">
        <w:rPr>
          <w:rFonts w:eastAsiaTheme="minorHAnsi" w:cstheme="minorBidi"/>
        </w:rPr>
        <w:t xml:space="preserve">format </w:t>
      </w:r>
      <w:r w:rsidR="0060655E">
        <w:rPr>
          <w:rFonts w:eastAsiaTheme="minorHAnsi" w:cstheme="minorBidi"/>
        </w:rPr>
        <w:t>in</w:t>
      </w:r>
      <w:r w:rsidR="0060655E" w:rsidRPr="0060655E">
        <w:rPr>
          <w:rFonts w:eastAsiaTheme="minorHAnsi" w:cstheme="minorBidi"/>
        </w:rPr>
        <w:t xml:space="preserve"> </w:t>
      </w:r>
      <w:r w:rsidR="0060655E" w:rsidRPr="00CB0436">
        <w:rPr>
          <w:rFonts w:eastAsiaTheme="minorHAnsi" w:cstheme="minorBidi"/>
          <w:i/>
        </w:rPr>
        <w:t xml:space="preserve">Appendix </w:t>
      </w:r>
      <w:r w:rsidR="00DD60C0">
        <w:rPr>
          <w:rFonts w:eastAsiaTheme="minorHAnsi" w:cstheme="minorBidi"/>
          <w:i/>
        </w:rPr>
        <w:t>three</w:t>
      </w:r>
      <w:r w:rsidR="008151C1">
        <w:rPr>
          <w:rFonts w:eastAsiaTheme="minorHAnsi" w:cstheme="minorBidi"/>
          <w:i/>
        </w:rPr>
        <w:t xml:space="preserve">, </w:t>
      </w:r>
      <w:r w:rsidR="008151C1" w:rsidRPr="002D1D9A">
        <w:rPr>
          <w:rFonts w:eastAsiaTheme="minorHAnsi" w:cstheme="minorBidi"/>
        </w:rPr>
        <w:t xml:space="preserve">(preferably in an </w:t>
      </w:r>
      <w:r w:rsidR="00B82B49" w:rsidRPr="002D1D9A">
        <w:rPr>
          <w:rFonts w:eastAsiaTheme="minorHAnsi" w:cstheme="minorBidi"/>
        </w:rPr>
        <w:t>emailed</w:t>
      </w:r>
      <w:r w:rsidR="008A32E2" w:rsidRPr="002D1D9A">
        <w:rPr>
          <w:rFonts w:eastAsiaTheme="minorHAnsi" w:cstheme="minorBidi"/>
        </w:rPr>
        <w:t xml:space="preserve"> </w:t>
      </w:r>
      <w:r w:rsidR="008151C1" w:rsidRPr="002D1D9A">
        <w:rPr>
          <w:rFonts w:eastAsiaTheme="minorHAnsi" w:cstheme="minorBidi"/>
        </w:rPr>
        <w:t>excel spreadsheet)</w:t>
      </w:r>
      <w:r w:rsidR="000357C7" w:rsidRPr="002D1D9A">
        <w:rPr>
          <w:rFonts w:eastAsiaTheme="minorHAnsi" w:cstheme="minorBidi"/>
        </w:rPr>
        <w:t xml:space="preserve">. </w:t>
      </w:r>
    </w:p>
    <w:p w14:paraId="1C6E29BE" w14:textId="77777777" w:rsidR="00A84F7C" w:rsidRPr="00B82B49" w:rsidRDefault="00A84F7C" w:rsidP="00B82B49">
      <w:pPr>
        <w:pStyle w:val="Heading3"/>
      </w:pPr>
      <w:r w:rsidRPr="00B82B49">
        <w:t>Reason for using service</w:t>
      </w:r>
    </w:p>
    <w:p w14:paraId="49441997" w14:textId="77777777" w:rsidR="00A84F7C" w:rsidRPr="00CB0436" w:rsidRDefault="00041A32">
      <w:r w:rsidRPr="00CB0436">
        <w:t xml:space="preserve">Report for the following </w:t>
      </w:r>
      <w:r w:rsidR="00A84F7C" w:rsidRPr="00CB0436">
        <w:t>purchase unit</w:t>
      </w:r>
      <w:r w:rsidRPr="00CB0436">
        <w:t>s: FS01001, FS01002, FS01003, FS01008, FS01013, FS01014, FS01018,</w:t>
      </w:r>
      <w:r w:rsidR="00A84F7C" w:rsidRPr="00CB0436">
        <w:t xml:space="preserve"> the total number of each of the three reasons</w:t>
      </w:r>
      <w:r w:rsidR="002D1D9A">
        <w:t>/i</w:t>
      </w:r>
      <w:r w:rsidR="00A84F7C" w:rsidRPr="00CB0436">
        <w:t xml:space="preserve">ndications for using the Service: </w:t>
      </w:r>
    </w:p>
    <w:p w14:paraId="54969F34" w14:textId="77777777" w:rsidR="00A84F7C" w:rsidRPr="00CB0436" w:rsidRDefault="00A84F7C" w:rsidP="00B3587D">
      <w:pPr>
        <w:numPr>
          <w:ilvl w:val="0"/>
          <w:numId w:val="11"/>
        </w:numPr>
        <w:ind w:left="475" w:hanging="425"/>
        <w:contextualSpacing/>
        <w:rPr>
          <w:lang w:val="en-GB" w:eastAsia="en-GB"/>
        </w:rPr>
      </w:pPr>
      <w:r w:rsidRPr="00CB0436">
        <w:rPr>
          <w:lang w:val="en-GB" w:eastAsia="en-GB"/>
        </w:rPr>
        <w:t>infertility (INF)</w:t>
      </w:r>
    </w:p>
    <w:p w14:paraId="31667691" w14:textId="77777777" w:rsidR="00A84F7C" w:rsidRPr="00CB0436" w:rsidRDefault="00A84F7C" w:rsidP="00B3587D">
      <w:pPr>
        <w:numPr>
          <w:ilvl w:val="0"/>
          <w:numId w:val="11"/>
        </w:numPr>
        <w:ind w:left="475" w:hanging="425"/>
        <w:contextualSpacing/>
        <w:rPr>
          <w:lang w:val="en-GB" w:eastAsia="en-GB"/>
        </w:rPr>
      </w:pPr>
      <w:r w:rsidRPr="00CB0436">
        <w:rPr>
          <w:lang w:val="en-GB" w:eastAsia="en-GB"/>
        </w:rPr>
        <w:t>preimplantation genetic diagnosis (PGD)</w:t>
      </w:r>
    </w:p>
    <w:p w14:paraId="42DF6900" w14:textId="77777777" w:rsidR="00A84F7C" w:rsidRPr="00CB0436" w:rsidRDefault="00A84F7C" w:rsidP="00B3587D">
      <w:pPr>
        <w:numPr>
          <w:ilvl w:val="0"/>
          <w:numId w:val="11"/>
        </w:numPr>
        <w:ind w:left="475" w:hanging="425"/>
        <w:contextualSpacing/>
        <w:rPr>
          <w:lang w:val="en-GB" w:eastAsia="en-GB"/>
        </w:rPr>
      </w:pPr>
      <w:r w:rsidRPr="00CB0436">
        <w:rPr>
          <w:lang w:val="en-GB" w:eastAsia="en-GB"/>
        </w:rPr>
        <w:t>fertility preservation (FPR)</w:t>
      </w:r>
    </w:p>
    <w:p w14:paraId="0FCBF40D" w14:textId="77777777" w:rsidR="00A84F7C" w:rsidRPr="00CB0436" w:rsidRDefault="00A84F7C" w:rsidP="00B82B49">
      <w:pPr>
        <w:pStyle w:val="Heading3"/>
        <w:rPr>
          <w:lang w:eastAsia="en-GB"/>
        </w:rPr>
      </w:pPr>
      <w:r w:rsidRPr="00CB0436">
        <w:rPr>
          <w:lang w:eastAsia="en-GB"/>
        </w:rPr>
        <w:t>Clinical indication for PGD</w:t>
      </w:r>
    </w:p>
    <w:p w14:paraId="1E5E6267" w14:textId="77777777" w:rsidR="00A84F7C" w:rsidRPr="00CB0436" w:rsidRDefault="00A84F7C" w:rsidP="00A84F7C">
      <w:pPr>
        <w:rPr>
          <w:lang w:val="en-GB" w:eastAsia="en-GB"/>
        </w:rPr>
      </w:pPr>
      <w:r w:rsidRPr="00CB0436">
        <w:rPr>
          <w:lang w:val="en-GB" w:eastAsia="en-GB"/>
        </w:rPr>
        <w:t xml:space="preserve">Report summary of clinical indications for every PGD cycle; number of PGD cycles per clinical indication. </w:t>
      </w:r>
    </w:p>
    <w:p w14:paraId="25F1CE6E" w14:textId="77777777" w:rsidR="00A84F7C" w:rsidRPr="00CB0436" w:rsidRDefault="00A84F7C" w:rsidP="00B82B49">
      <w:pPr>
        <w:pStyle w:val="Heading3"/>
        <w:rPr>
          <w:lang w:eastAsia="en-GB"/>
        </w:rPr>
      </w:pPr>
      <w:r w:rsidRPr="00CB0436">
        <w:rPr>
          <w:lang w:eastAsia="en-GB"/>
        </w:rPr>
        <w:t>Average wait time trend information</w:t>
      </w:r>
    </w:p>
    <w:p w14:paraId="4889109A" w14:textId="77777777" w:rsidR="00A84F7C" w:rsidRPr="00CB0436" w:rsidRDefault="00A84F7C" w:rsidP="00A84F7C">
      <w:pPr>
        <w:ind w:left="50"/>
        <w:contextualSpacing/>
        <w:rPr>
          <w:rFonts w:cs="Arial"/>
          <w:i/>
          <w:lang w:val="en-GB" w:eastAsia="en-GB"/>
        </w:rPr>
      </w:pPr>
      <w:r w:rsidRPr="00CB0436">
        <w:rPr>
          <w:rFonts w:cs="Arial"/>
          <w:i/>
          <w:lang w:val="en-GB" w:eastAsia="en-GB"/>
        </w:rPr>
        <w:t xml:space="preserve">Report average wait time from </w:t>
      </w:r>
      <w:r w:rsidR="00BC33A9">
        <w:rPr>
          <w:rFonts w:cs="Arial"/>
          <w:i/>
          <w:lang w:val="en-GB" w:eastAsia="en-GB"/>
        </w:rPr>
        <w:t xml:space="preserve">receiving a </w:t>
      </w:r>
      <w:r w:rsidRPr="00CB0436">
        <w:rPr>
          <w:rFonts w:cs="Arial"/>
          <w:i/>
          <w:lang w:val="en-GB" w:eastAsia="en-GB"/>
        </w:rPr>
        <w:t>referral</w:t>
      </w:r>
      <w:r w:rsidR="00B92078">
        <w:rPr>
          <w:rFonts w:cs="Arial"/>
          <w:i/>
          <w:lang w:val="en-GB" w:eastAsia="en-GB"/>
        </w:rPr>
        <w:t xml:space="preserve"> </w:t>
      </w:r>
      <w:r w:rsidRPr="00CB0436">
        <w:rPr>
          <w:rFonts w:cs="Arial"/>
          <w:i/>
          <w:lang w:val="en-GB" w:eastAsia="en-GB"/>
        </w:rPr>
        <w:t xml:space="preserve">to </w:t>
      </w:r>
      <w:r w:rsidR="00BC33A9">
        <w:rPr>
          <w:rFonts w:cs="Arial"/>
          <w:i/>
          <w:lang w:val="en-GB" w:eastAsia="en-GB"/>
        </w:rPr>
        <w:t xml:space="preserve">consultation for </w:t>
      </w:r>
      <w:r w:rsidRPr="00CB0436">
        <w:rPr>
          <w:rFonts w:cs="Arial"/>
          <w:i/>
          <w:lang w:val="en-GB" w:eastAsia="en-GB"/>
        </w:rPr>
        <w:t xml:space="preserve">of the following purchase unit: </w:t>
      </w:r>
    </w:p>
    <w:p w14:paraId="4D4EB817" w14:textId="77777777" w:rsidR="00BC33A9" w:rsidRDefault="00CC0349" w:rsidP="00B82B49">
      <w:pPr>
        <w:ind w:left="50"/>
        <w:contextualSpacing/>
        <w:rPr>
          <w:rFonts w:cs="Arial"/>
          <w:lang w:val="en-GB" w:eastAsia="en-GB"/>
        </w:rPr>
      </w:pPr>
      <w:r w:rsidRPr="00CB0436">
        <w:rPr>
          <w:rFonts w:cs="Arial"/>
          <w:lang w:val="en-GB" w:eastAsia="en-GB"/>
        </w:rPr>
        <w:t>FS01001</w:t>
      </w:r>
      <w:r w:rsidRPr="00CB0436">
        <w:rPr>
          <w:rFonts w:cs="Arial"/>
          <w:lang w:val="en-GB" w:eastAsia="en-GB"/>
        </w:rPr>
        <w:tab/>
        <w:t>Fertility Services- 1st Attendance</w:t>
      </w:r>
    </w:p>
    <w:p w14:paraId="5FF92385" w14:textId="77777777" w:rsidR="002D1D9A" w:rsidRDefault="002D1D9A">
      <w:pPr>
        <w:spacing w:before="0" w:after="200" w:line="276" w:lineRule="auto"/>
        <w:rPr>
          <w:rFonts w:cs="Arial"/>
          <w:lang w:val="en-GB" w:eastAsia="en-GB"/>
        </w:rPr>
      </w:pPr>
      <w:r>
        <w:rPr>
          <w:rFonts w:cs="Arial"/>
          <w:lang w:val="en-GB" w:eastAsia="en-GB"/>
        </w:rPr>
        <w:br w:type="page"/>
      </w:r>
    </w:p>
    <w:p w14:paraId="73D484FF" w14:textId="77777777" w:rsidR="00A84F7C" w:rsidRDefault="00A84F7C" w:rsidP="00B82B49">
      <w:pPr>
        <w:ind w:left="50"/>
        <w:contextualSpacing/>
        <w:rPr>
          <w:rFonts w:cs="Arial"/>
          <w:i/>
          <w:lang w:val="en-GB" w:eastAsia="en-GB"/>
        </w:rPr>
      </w:pPr>
      <w:r w:rsidRPr="00CB0436">
        <w:rPr>
          <w:rFonts w:cs="Arial"/>
          <w:i/>
          <w:lang w:val="en-GB" w:eastAsia="en-GB"/>
        </w:rPr>
        <w:lastRenderedPageBreak/>
        <w:t>Report average wait time from date of acceptance for treatment</w:t>
      </w:r>
      <w:r w:rsidR="00041A32">
        <w:rPr>
          <w:rFonts w:cs="Arial"/>
          <w:i/>
          <w:lang w:val="en-GB" w:eastAsia="en-GB"/>
        </w:rPr>
        <w:t xml:space="preserve"> (booking)</w:t>
      </w:r>
      <w:r w:rsidRPr="00CB0436">
        <w:rPr>
          <w:rFonts w:cs="Arial"/>
          <w:i/>
          <w:lang w:val="en-GB" w:eastAsia="en-GB"/>
        </w:rPr>
        <w:t xml:space="preserve"> to date of treatment for each of the following purchase units: </w:t>
      </w:r>
    </w:p>
    <w:p w14:paraId="3AFF291E" w14:textId="77777777" w:rsidR="00B92078" w:rsidRPr="00B82B49" w:rsidRDefault="00B92078" w:rsidP="00B82B49">
      <w:pPr>
        <w:contextualSpacing/>
        <w:rPr>
          <w:rFonts w:cs="Arial"/>
          <w:lang w:val="en-GB" w:eastAsia="en-GB"/>
        </w:rPr>
      </w:pPr>
      <w:r w:rsidRPr="00B82B49">
        <w:rPr>
          <w:rFonts w:cs="Arial"/>
          <w:lang w:val="en-GB" w:eastAsia="en-GB"/>
        </w:rPr>
        <w:t>FS01030</w:t>
      </w:r>
      <w:r w:rsidRPr="00B82B49">
        <w:rPr>
          <w:rFonts w:cs="Arial"/>
          <w:lang w:val="en-GB" w:eastAsia="en-GB"/>
        </w:rPr>
        <w:tab/>
        <w:t>Egg Retrieval and Freezing</w:t>
      </w:r>
    </w:p>
    <w:p w14:paraId="69D92EC0" w14:textId="77777777" w:rsidR="00CC0349" w:rsidRPr="00CB0436" w:rsidRDefault="00CC0349" w:rsidP="00B82B49">
      <w:pPr>
        <w:ind w:left="1440" w:hanging="1440"/>
        <w:rPr>
          <w:rFonts w:cs="Arial"/>
          <w:lang w:val="en-GB" w:eastAsia="en-GB"/>
        </w:rPr>
      </w:pPr>
      <w:r w:rsidRPr="00CB0436">
        <w:rPr>
          <w:rFonts w:cs="Arial"/>
          <w:lang w:val="en-GB" w:eastAsia="en-GB"/>
        </w:rPr>
        <w:t>FS01002</w:t>
      </w:r>
      <w:r w:rsidR="00041A32">
        <w:rPr>
          <w:rFonts w:cs="Arial"/>
          <w:lang w:val="en-GB" w:eastAsia="en-GB"/>
        </w:rPr>
        <w:t>*</w:t>
      </w:r>
      <w:r w:rsidRPr="00CB0436">
        <w:rPr>
          <w:rFonts w:cs="Arial"/>
          <w:lang w:val="en-GB" w:eastAsia="en-GB"/>
        </w:rPr>
        <w:tab/>
        <w:t xml:space="preserve">IVF Programme- first cycle (ie. </w:t>
      </w:r>
      <w:r w:rsidRPr="0001443D">
        <w:rPr>
          <w:rFonts w:cs="Arial"/>
          <w:lang w:val="en-GB" w:eastAsia="en-GB"/>
        </w:rPr>
        <w:t xml:space="preserve">all </w:t>
      </w:r>
      <w:r w:rsidR="00C20EE9" w:rsidRPr="0001443D">
        <w:rPr>
          <w:rFonts w:cs="Arial"/>
          <w:lang w:val="en-GB" w:eastAsia="en-GB"/>
        </w:rPr>
        <w:t xml:space="preserve">access and </w:t>
      </w:r>
      <w:r w:rsidRPr="0001443D">
        <w:rPr>
          <w:rFonts w:cs="Arial"/>
          <w:lang w:val="en-GB" w:eastAsia="en-GB"/>
        </w:rPr>
        <w:t>eligibility criteria met</w:t>
      </w:r>
      <w:r w:rsidRPr="002D1D9A">
        <w:rPr>
          <w:rFonts w:cs="Arial"/>
          <w:lang w:val="en-GB" w:eastAsia="en-GB"/>
        </w:rPr>
        <w:t xml:space="preserve">, </w:t>
      </w:r>
      <w:r w:rsidRPr="00CB0436">
        <w:rPr>
          <w:rFonts w:cs="Arial"/>
          <w:lang w:val="en-GB" w:eastAsia="en-GB"/>
        </w:rPr>
        <w:t xml:space="preserve">being: </w:t>
      </w:r>
      <w:r w:rsidR="0001443D">
        <w:rPr>
          <w:rFonts w:cs="Arial"/>
          <w:lang w:val="en-GB" w:eastAsia="en-GB"/>
        </w:rPr>
        <w:t xml:space="preserve">national prioritisation score, </w:t>
      </w:r>
      <w:r w:rsidRPr="00CB0436">
        <w:rPr>
          <w:rFonts w:cs="Arial"/>
          <w:lang w:val="en-GB" w:eastAsia="en-GB"/>
        </w:rPr>
        <w:t>treatment option decided, residency checked</w:t>
      </w:r>
      <w:r w:rsidR="00447FF9">
        <w:rPr>
          <w:rFonts w:cs="Arial"/>
          <w:lang w:val="en-GB" w:eastAsia="en-GB"/>
        </w:rPr>
        <w:t>.</w:t>
      </w:r>
      <w:r w:rsidRPr="00CB0436">
        <w:rPr>
          <w:rFonts w:cs="Arial"/>
          <w:lang w:val="en-GB" w:eastAsia="en-GB"/>
        </w:rPr>
        <w:t>)</w:t>
      </w:r>
    </w:p>
    <w:p w14:paraId="4BE36732" w14:textId="77777777" w:rsidR="00CC0349" w:rsidRPr="00CB0436" w:rsidRDefault="00CC0349" w:rsidP="00B82B49">
      <w:pPr>
        <w:rPr>
          <w:rFonts w:cs="Arial"/>
          <w:lang w:val="en-GB" w:eastAsia="en-GB"/>
        </w:rPr>
      </w:pPr>
      <w:r w:rsidRPr="00CB0436">
        <w:rPr>
          <w:rFonts w:cs="Arial"/>
          <w:lang w:val="en-GB" w:eastAsia="en-GB"/>
        </w:rPr>
        <w:t>FS01018</w:t>
      </w:r>
      <w:r w:rsidR="00041A32">
        <w:rPr>
          <w:rFonts w:cs="Arial"/>
          <w:lang w:val="en-GB" w:eastAsia="en-GB"/>
        </w:rPr>
        <w:t>*</w:t>
      </w:r>
      <w:r w:rsidRPr="00CB0436">
        <w:rPr>
          <w:rFonts w:cs="Arial"/>
          <w:lang w:val="en-GB" w:eastAsia="en-GB"/>
        </w:rPr>
        <w:tab/>
        <w:t>IVF standard second cycle</w:t>
      </w:r>
    </w:p>
    <w:p w14:paraId="6DFAD522" w14:textId="77777777" w:rsidR="00CC0349" w:rsidRPr="00CB0436" w:rsidRDefault="00CC0349" w:rsidP="00B82B49">
      <w:pPr>
        <w:rPr>
          <w:rFonts w:cs="Arial"/>
          <w:lang w:val="en-GB" w:eastAsia="en-GB"/>
        </w:rPr>
      </w:pPr>
      <w:r w:rsidRPr="00CB0436">
        <w:rPr>
          <w:rFonts w:cs="Arial"/>
          <w:lang w:val="en-GB" w:eastAsia="en-GB"/>
        </w:rPr>
        <w:t>FS02003</w:t>
      </w:r>
      <w:r w:rsidRPr="00CB0436">
        <w:rPr>
          <w:rFonts w:cs="Arial"/>
          <w:lang w:val="en-GB" w:eastAsia="en-GB"/>
        </w:rPr>
        <w:tab/>
        <w:t>PGD Biopsy and Testing</w:t>
      </w:r>
      <w:r w:rsidR="00447FF9">
        <w:rPr>
          <w:rFonts w:cs="Arial"/>
          <w:lang w:val="en-GB" w:eastAsia="en-GB"/>
        </w:rPr>
        <w:t>.</w:t>
      </w:r>
    </w:p>
    <w:p w14:paraId="4ACF6FBD" w14:textId="77777777" w:rsidR="00C42CD8" w:rsidRDefault="00041A32" w:rsidP="00A84F7C">
      <w:pPr>
        <w:rPr>
          <w:rFonts w:cs="Arial"/>
          <w:lang w:val="en-GB" w:eastAsia="en-GB"/>
        </w:rPr>
      </w:pPr>
      <w:r>
        <w:rPr>
          <w:rFonts w:cs="Arial"/>
          <w:lang w:val="en-GB" w:eastAsia="en-GB"/>
        </w:rPr>
        <w:t>*</w:t>
      </w:r>
      <w:r w:rsidR="00CC0349" w:rsidRPr="00CB0436">
        <w:rPr>
          <w:rFonts w:cs="Arial"/>
          <w:lang w:val="en-GB" w:eastAsia="en-GB"/>
        </w:rPr>
        <w:t xml:space="preserve">For both FS01002 and FS01018, the date accepted for treatment resets if the patient interrupts their waiting time (eg. is offered treatment but is not ready). </w:t>
      </w:r>
    </w:p>
    <w:p w14:paraId="12FE7F34" w14:textId="77777777" w:rsidR="00A84F7C" w:rsidRPr="00171E81" w:rsidRDefault="00CC0349" w:rsidP="00A84F7C">
      <w:pPr>
        <w:rPr>
          <w:rFonts w:eastAsiaTheme="minorHAnsi" w:cstheme="minorBidi"/>
        </w:rPr>
      </w:pPr>
      <w:r w:rsidRPr="00CB0436">
        <w:rPr>
          <w:rFonts w:cs="Arial"/>
          <w:lang w:val="en-GB" w:eastAsia="en-GB"/>
        </w:rPr>
        <w:t xml:space="preserve">The average wait time for treatment excludes Service Users who elect to defer treatment or whose treatment is deferred for clinical reasons.  </w:t>
      </w:r>
      <w:r w:rsidR="00041A32">
        <w:rPr>
          <w:rFonts w:cs="Arial"/>
          <w:lang w:val="en-GB" w:eastAsia="en-GB"/>
        </w:rPr>
        <w:t xml:space="preserve">Wait time is from time of booking treatment to </w:t>
      </w:r>
      <w:r w:rsidR="00BC33A9">
        <w:rPr>
          <w:rFonts w:cs="Arial"/>
          <w:lang w:val="en-GB" w:eastAsia="en-GB"/>
        </w:rPr>
        <w:t xml:space="preserve">egg collection in an </w:t>
      </w:r>
      <w:r w:rsidR="00041A32">
        <w:rPr>
          <w:rFonts w:cs="Arial"/>
          <w:lang w:val="en-GB" w:eastAsia="en-GB"/>
        </w:rPr>
        <w:t>IVF cycle.</w:t>
      </w:r>
    </w:p>
    <w:p w14:paraId="4862A3B0" w14:textId="77777777" w:rsidR="00E5654C" w:rsidRDefault="00E5654C">
      <w:pPr>
        <w:spacing w:before="0" w:after="200" w:line="276" w:lineRule="auto"/>
        <w:rPr>
          <w:rFonts w:cs="Arial"/>
          <w:b/>
        </w:rPr>
      </w:pPr>
      <w:r>
        <w:rPr>
          <w:rFonts w:cs="Arial"/>
          <w:b/>
        </w:rPr>
        <w:br w:type="page"/>
      </w:r>
    </w:p>
    <w:p w14:paraId="0B2E80D1" w14:textId="77777777" w:rsidR="00EE0746" w:rsidRPr="00286BCC" w:rsidRDefault="00EE0746" w:rsidP="00953A97">
      <w:pPr>
        <w:pStyle w:val="Heading1"/>
        <w:rPr>
          <w:lang w:val="en-US"/>
        </w:rPr>
      </w:pPr>
      <w:r w:rsidRPr="00286BCC">
        <w:lastRenderedPageBreak/>
        <w:t xml:space="preserve">APPENDIX </w:t>
      </w:r>
      <w:r w:rsidR="00893D4B">
        <w:t>ONE</w:t>
      </w:r>
      <w:r w:rsidRPr="00286BCC">
        <w:t xml:space="preserve"> Quality Requirements for P</w:t>
      </w:r>
      <w:r w:rsidRPr="00286BCC">
        <w:rPr>
          <w:lang w:val="en-US"/>
        </w:rPr>
        <w:t>reimplantation Genetic Diagnosis</w:t>
      </w:r>
    </w:p>
    <w:p w14:paraId="1210784B" w14:textId="77777777" w:rsidR="00EE0746" w:rsidRPr="00286BCC" w:rsidRDefault="00EE0746" w:rsidP="00EE0746">
      <w:pPr>
        <w:rPr>
          <w:rFonts w:cs="Arial"/>
          <w:lang w:val="en-US"/>
        </w:rPr>
      </w:pPr>
      <w:r w:rsidRPr="00286BCC">
        <w:rPr>
          <w:rFonts w:cs="Arial"/>
          <w:lang w:val="en-US"/>
        </w:rPr>
        <w:t xml:space="preserve">The </w:t>
      </w:r>
      <w:r>
        <w:rPr>
          <w:rFonts w:cs="Arial"/>
          <w:lang w:val="en-US"/>
        </w:rPr>
        <w:t>Service Provider (the Provider) will either provide</w:t>
      </w:r>
      <w:r w:rsidRPr="00286BCC">
        <w:rPr>
          <w:rFonts w:cs="Arial"/>
          <w:lang w:val="en-US"/>
        </w:rPr>
        <w:t xml:space="preserve">, or </w:t>
      </w:r>
      <w:r>
        <w:rPr>
          <w:rFonts w:cs="Arial"/>
          <w:lang w:val="en-US"/>
        </w:rPr>
        <w:t xml:space="preserve">refer to another </w:t>
      </w:r>
      <w:r w:rsidR="003E417C">
        <w:rPr>
          <w:rFonts w:cs="Arial"/>
          <w:lang w:val="en-US"/>
        </w:rPr>
        <w:t xml:space="preserve">appropriate </w:t>
      </w:r>
      <w:r>
        <w:rPr>
          <w:rFonts w:cs="Arial"/>
          <w:lang w:val="en-US"/>
        </w:rPr>
        <w:t>service</w:t>
      </w:r>
      <w:r w:rsidRPr="00286BCC">
        <w:rPr>
          <w:rFonts w:cs="Arial"/>
          <w:lang w:val="en-US"/>
        </w:rPr>
        <w:t>,</w:t>
      </w:r>
      <w:r w:rsidR="008D6696">
        <w:rPr>
          <w:rFonts w:cs="Arial"/>
          <w:lang w:val="en-US"/>
        </w:rPr>
        <w:t xml:space="preserve"> </w:t>
      </w:r>
      <w:r w:rsidR="003E417C">
        <w:rPr>
          <w:rFonts w:cs="Arial"/>
          <w:lang w:val="en-US"/>
        </w:rPr>
        <w:t xml:space="preserve">that </w:t>
      </w:r>
      <w:r w:rsidR="008D6696">
        <w:rPr>
          <w:rFonts w:cs="Arial"/>
          <w:lang w:val="en-US"/>
        </w:rPr>
        <w:t>will ensure</w:t>
      </w:r>
      <w:r w:rsidRPr="00286BCC">
        <w:rPr>
          <w:rFonts w:cs="Arial"/>
          <w:lang w:val="en-US"/>
        </w:rPr>
        <w:t xml:space="preserve"> </w:t>
      </w:r>
      <w:r>
        <w:rPr>
          <w:rFonts w:cs="Arial"/>
          <w:lang w:val="en-US"/>
        </w:rPr>
        <w:t xml:space="preserve">the quality requirements of the </w:t>
      </w:r>
      <w:r w:rsidRPr="00286BCC">
        <w:rPr>
          <w:rFonts w:cs="Arial"/>
          <w:lang w:val="en-US"/>
        </w:rPr>
        <w:t>preimplantation genetic diagnosis (PGD) services</w:t>
      </w:r>
      <w:r w:rsidR="008D6696">
        <w:rPr>
          <w:rFonts w:cs="Arial"/>
          <w:lang w:val="en-US"/>
        </w:rPr>
        <w:t xml:space="preserve"> are met</w:t>
      </w:r>
      <w:r w:rsidR="00531359">
        <w:rPr>
          <w:rFonts w:cs="Arial"/>
          <w:lang w:val="en-US"/>
        </w:rPr>
        <w:t>,</w:t>
      </w:r>
      <w:r w:rsidRPr="00286BCC">
        <w:rPr>
          <w:rFonts w:cs="Arial"/>
          <w:lang w:val="en-US"/>
        </w:rPr>
        <w:t xml:space="preserve"> as outlined below:</w:t>
      </w:r>
    </w:p>
    <w:p w14:paraId="1CE388B9" w14:textId="77777777" w:rsidR="00EE0746" w:rsidRPr="00286BCC" w:rsidRDefault="00EE0746" w:rsidP="00B3587D">
      <w:pPr>
        <w:numPr>
          <w:ilvl w:val="0"/>
          <w:numId w:val="5"/>
        </w:numPr>
        <w:tabs>
          <w:tab w:val="clear" w:pos="720"/>
        </w:tabs>
        <w:ind w:left="600" w:hanging="600"/>
        <w:rPr>
          <w:rFonts w:cs="Arial"/>
          <w:b/>
          <w:bCs/>
          <w:i/>
          <w:iCs/>
          <w:lang w:val="en-US"/>
        </w:rPr>
      </w:pPr>
      <w:r w:rsidRPr="00286BCC">
        <w:rPr>
          <w:rFonts w:cs="Arial"/>
          <w:b/>
          <w:bCs/>
          <w:i/>
          <w:iCs/>
          <w:lang w:val="en-US"/>
        </w:rPr>
        <w:t>Scope of testing</w:t>
      </w:r>
    </w:p>
    <w:p w14:paraId="6000F2E1" w14:textId="77777777" w:rsidR="00EE0746" w:rsidRPr="00286BCC" w:rsidRDefault="00EE0746" w:rsidP="00B3587D">
      <w:pPr>
        <w:numPr>
          <w:ilvl w:val="1"/>
          <w:numId w:val="5"/>
        </w:numPr>
        <w:tabs>
          <w:tab w:val="clear" w:pos="960"/>
        </w:tabs>
        <w:ind w:left="500" w:hanging="500"/>
        <w:rPr>
          <w:rFonts w:cs="Arial"/>
          <w:lang w:val="en-US"/>
        </w:rPr>
      </w:pPr>
      <w:r w:rsidRPr="00286BCC">
        <w:rPr>
          <w:rFonts w:cs="Arial"/>
          <w:lang w:val="en-US"/>
        </w:rPr>
        <w:t xml:space="preserve">The </w:t>
      </w:r>
      <w:r>
        <w:rPr>
          <w:rFonts w:cs="Arial"/>
          <w:lang w:val="en-US"/>
        </w:rPr>
        <w:t>P</w:t>
      </w:r>
      <w:r w:rsidRPr="00286BCC">
        <w:rPr>
          <w:rFonts w:cs="Arial"/>
          <w:lang w:val="en-US"/>
        </w:rPr>
        <w:t xml:space="preserve">rovider will offer: </w:t>
      </w:r>
    </w:p>
    <w:p w14:paraId="1F727B21" w14:textId="77777777" w:rsidR="00EE0746" w:rsidRPr="00286BCC" w:rsidRDefault="00EE0746" w:rsidP="00B3587D">
      <w:pPr>
        <w:numPr>
          <w:ilvl w:val="2"/>
          <w:numId w:val="5"/>
        </w:numPr>
        <w:tabs>
          <w:tab w:val="clear" w:pos="1080"/>
          <w:tab w:val="num" w:pos="800"/>
        </w:tabs>
        <w:ind w:left="800" w:hanging="300"/>
        <w:rPr>
          <w:rFonts w:cs="Arial"/>
          <w:lang w:val="en-US"/>
        </w:rPr>
      </w:pPr>
      <w:r>
        <w:rPr>
          <w:rFonts w:cs="Arial"/>
          <w:lang w:val="en-US"/>
        </w:rPr>
        <w:t>s</w:t>
      </w:r>
      <w:r w:rsidRPr="00286BCC">
        <w:rPr>
          <w:rFonts w:cs="Arial"/>
          <w:lang w:val="en-US"/>
        </w:rPr>
        <w:t xml:space="preserve">ex selection for familial sex-linked genetic disorders in accordance with the Human Assisted Reproductive Technology (HART) Order 2005 </w:t>
      </w:r>
    </w:p>
    <w:p w14:paraId="05EA6F38" w14:textId="77777777" w:rsidR="00EE0746" w:rsidRPr="00286BCC" w:rsidRDefault="006C127F" w:rsidP="00B3587D">
      <w:pPr>
        <w:numPr>
          <w:ilvl w:val="2"/>
          <w:numId w:val="5"/>
        </w:numPr>
        <w:tabs>
          <w:tab w:val="clear" w:pos="1080"/>
          <w:tab w:val="num" w:pos="800"/>
        </w:tabs>
        <w:ind w:left="800" w:hanging="300"/>
        <w:rPr>
          <w:rFonts w:cs="Arial"/>
          <w:lang w:val="en-US"/>
        </w:rPr>
      </w:pPr>
      <w:r>
        <w:rPr>
          <w:rFonts w:cs="Arial"/>
          <w:lang w:val="en-US"/>
        </w:rPr>
        <w:t xml:space="preserve">tests </w:t>
      </w:r>
      <w:r w:rsidR="00EE0746" w:rsidRPr="00286BCC">
        <w:rPr>
          <w:rFonts w:cs="Arial"/>
          <w:lang w:val="en-US"/>
        </w:rPr>
        <w:t>for familial single gene-disorders and familial chromosomal disorders in accordance with the HART Order 2005</w:t>
      </w:r>
    </w:p>
    <w:p w14:paraId="0DB95CBD" w14:textId="77777777" w:rsidR="00EE0746" w:rsidRPr="00286BCC" w:rsidRDefault="00EE0746" w:rsidP="00B3587D">
      <w:pPr>
        <w:numPr>
          <w:ilvl w:val="1"/>
          <w:numId w:val="5"/>
        </w:numPr>
        <w:tabs>
          <w:tab w:val="clear" w:pos="960"/>
        </w:tabs>
        <w:ind w:left="500" w:hanging="500"/>
        <w:rPr>
          <w:rFonts w:cs="Arial"/>
          <w:lang w:val="en-US"/>
        </w:rPr>
      </w:pPr>
      <w:r w:rsidRPr="00286BCC">
        <w:rPr>
          <w:rFonts w:cs="Arial"/>
          <w:lang w:val="en-US"/>
        </w:rPr>
        <w:t xml:space="preserve">The </w:t>
      </w:r>
      <w:r>
        <w:rPr>
          <w:rFonts w:cs="Arial"/>
          <w:lang w:val="en-US"/>
        </w:rPr>
        <w:t>P</w:t>
      </w:r>
      <w:r w:rsidRPr="00286BCC">
        <w:rPr>
          <w:rFonts w:cs="Arial"/>
          <w:lang w:val="en-US"/>
        </w:rPr>
        <w:t xml:space="preserve">rovider must inform patient(s) that in some instances a genetic result may not be obtained for some or all embryos. </w:t>
      </w:r>
    </w:p>
    <w:p w14:paraId="1B276447" w14:textId="77777777" w:rsidR="00EE0746" w:rsidRPr="00286BCC" w:rsidRDefault="00EE0746" w:rsidP="00B3587D">
      <w:pPr>
        <w:numPr>
          <w:ilvl w:val="1"/>
          <w:numId w:val="5"/>
        </w:numPr>
        <w:tabs>
          <w:tab w:val="clear" w:pos="960"/>
        </w:tabs>
        <w:ind w:left="500" w:hanging="500"/>
        <w:rPr>
          <w:rFonts w:cs="Arial"/>
          <w:lang w:val="en-US"/>
        </w:rPr>
      </w:pPr>
      <w:r w:rsidRPr="00286BCC">
        <w:rPr>
          <w:rFonts w:cs="Arial"/>
          <w:lang w:val="en-US"/>
        </w:rPr>
        <w:t xml:space="preserve">The ART unit must inform patient(s) that PGD services are screening tests only and the results are not 100% accurate.  </w:t>
      </w:r>
      <w:r>
        <w:rPr>
          <w:rFonts w:cs="Arial"/>
          <w:lang w:val="en-US"/>
        </w:rPr>
        <w:t>(</w:t>
      </w:r>
      <w:r w:rsidRPr="00286BCC">
        <w:rPr>
          <w:rFonts w:cs="Arial"/>
          <w:lang w:val="en-US"/>
        </w:rPr>
        <w:t>Technical limitations will never allow for complete accuracy.</w:t>
      </w:r>
      <w:r>
        <w:rPr>
          <w:rFonts w:cs="Arial"/>
          <w:lang w:val="en-US"/>
        </w:rPr>
        <w:t>)</w:t>
      </w:r>
    </w:p>
    <w:p w14:paraId="513EB250" w14:textId="77777777" w:rsidR="00EE0746" w:rsidRPr="00286BCC" w:rsidRDefault="00EE0746" w:rsidP="00B3587D">
      <w:pPr>
        <w:numPr>
          <w:ilvl w:val="0"/>
          <w:numId w:val="5"/>
        </w:numPr>
        <w:tabs>
          <w:tab w:val="clear" w:pos="720"/>
        </w:tabs>
        <w:ind w:left="600" w:hanging="600"/>
        <w:rPr>
          <w:rFonts w:cs="Arial"/>
          <w:b/>
          <w:bCs/>
          <w:i/>
          <w:iCs/>
          <w:lang w:val="en-US"/>
        </w:rPr>
      </w:pPr>
      <w:r w:rsidRPr="00286BCC">
        <w:rPr>
          <w:rFonts w:cs="Arial"/>
          <w:b/>
          <w:bCs/>
          <w:i/>
          <w:iCs/>
          <w:lang w:val="en-US"/>
        </w:rPr>
        <w:t>Feasibility Testing</w:t>
      </w:r>
    </w:p>
    <w:p w14:paraId="6D4B7B94" w14:textId="77777777" w:rsidR="00EE0746" w:rsidRPr="00286BCC" w:rsidRDefault="00EE0746" w:rsidP="00B3587D">
      <w:pPr>
        <w:numPr>
          <w:ilvl w:val="1"/>
          <w:numId w:val="5"/>
        </w:numPr>
        <w:tabs>
          <w:tab w:val="clear" w:pos="960"/>
          <w:tab w:val="num" w:pos="500"/>
        </w:tabs>
        <w:ind w:left="500" w:hanging="500"/>
        <w:rPr>
          <w:rFonts w:cs="Arial"/>
          <w:lang w:val="en-US"/>
        </w:rPr>
      </w:pPr>
      <w:r w:rsidRPr="00286BCC">
        <w:rPr>
          <w:rFonts w:cs="Arial"/>
          <w:lang w:val="en-US"/>
        </w:rPr>
        <w:t xml:space="preserve">Before offering a PGD treatment cycle, the </w:t>
      </w:r>
      <w:r>
        <w:rPr>
          <w:rFonts w:cs="Arial"/>
          <w:lang w:val="en-US"/>
        </w:rPr>
        <w:t>P</w:t>
      </w:r>
      <w:r w:rsidRPr="00286BCC">
        <w:rPr>
          <w:rFonts w:cs="Arial"/>
          <w:lang w:val="en-US"/>
        </w:rPr>
        <w:t xml:space="preserve">rovider will undertake feasibility studies </w:t>
      </w:r>
      <w:r w:rsidR="00BC33A9">
        <w:rPr>
          <w:rFonts w:cs="Arial"/>
          <w:lang w:val="en-US"/>
        </w:rPr>
        <w:t xml:space="preserve">where needed </w:t>
      </w:r>
      <w:r w:rsidRPr="00286BCC">
        <w:rPr>
          <w:rFonts w:cs="Arial"/>
          <w:lang w:val="en-US"/>
        </w:rPr>
        <w:t>for familial single-gene disorders or familial chromosomal disorders to determine:</w:t>
      </w:r>
    </w:p>
    <w:p w14:paraId="03D0D8C7" w14:textId="77777777" w:rsidR="00EE0746" w:rsidRPr="00286BCC" w:rsidRDefault="00EE0746" w:rsidP="00B3587D">
      <w:pPr>
        <w:numPr>
          <w:ilvl w:val="2"/>
          <w:numId w:val="5"/>
        </w:numPr>
        <w:ind w:left="1700" w:hanging="600"/>
        <w:rPr>
          <w:rFonts w:cs="Arial"/>
          <w:lang w:val="en-US"/>
        </w:rPr>
      </w:pPr>
      <w:r>
        <w:rPr>
          <w:rFonts w:cs="Arial"/>
          <w:lang w:val="en-US"/>
        </w:rPr>
        <w:t>w</w:t>
      </w:r>
      <w:r w:rsidRPr="00286BCC">
        <w:rPr>
          <w:rFonts w:cs="Arial"/>
          <w:lang w:val="en-US"/>
        </w:rPr>
        <w:t>hether the test is technically feasible and</w:t>
      </w:r>
    </w:p>
    <w:p w14:paraId="7E18EF14" w14:textId="77777777" w:rsidR="00EE0746" w:rsidRPr="00286BCC" w:rsidRDefault="00EE0746" w:rsidP="00B3587D">
      <w:pPr>
        <w:numPr>
          <w:ilvl w:val="2"/>
          <w:numId w:val="5"/>
        </w:numPr>
        <w:ind w:left="1700" w:hanging="600"/>
        <w:rPr>
          <w:rFonts w:cs="Arial"/>
          <w:lang w:val="en-US"/>
        </w:rPr>
      </w:pPr>
      <w:proofErr w:type="gramStart"/>
      <w:r>
        <w:rPr>
          <w:rFonts w:cs="Arial"/>
          <w:lang w:val="en-US"/>
        </w:rPr>
        <w:t>t</w:t>
      </w:r>
      <w:r w:rsidRPr="00286BCC">
        <w:rPr>
          <w:rFonts w:cs="Arial"/>
          <w:lang w:val="en-US"/>
        </w:rPr>
        <w:t>he</w:t>
      </w:r>
      <w:proofErr w:type="gramEnd"/>
      <w:r w:rsidRPr="00286BCC">
        <w:rPr>
          <w:rFonts w:cs="Arial"/>
          <w:lang w:val="en-US"/>
        </w:rPr>
        <w:t xml:space="preserve"> degree of reliability and accuracy of the test developed.</w:t>
      </w:r>
    </w:p>
    <w:p w14:paraId="1D98D997" w14:textId="77777777" w:rsidR="00EE0746" w:rsidRPr="00286BCC" w:rsidRDefault="00EE0746" w:rsidP="00B3587D">
      <w:pPr>
        <w:numPr>
          <w:ilvl w:val="0"/>
          <w:numId w:val="5"/>
        </w:numPr>
        <w:tabs>
          <w:tab w:val="clear" w:pos="720"/>
        </w:tabs>
        <w:ind w:left="600" w:hanging="600"/>
        <w:rPr>
          <w:rFonts w:cs="Arial"/>
          <w:b/>
          <w:bCs/>
          <w:i/>
          <w:iCs/>
          <w:lang w:val="en-US"/>
        </w:rPr>
      </w:pPr>
      <w:r w:rsidRPr="00286BCC">
        <w:rPr>
          <w:rFonts w:cs="Arial"/>
          <w:b/>
          <w:bCs/>
          <w:i/>
          <w:iCs/>
          <w:lang w:val="en-US"/>
        </w:rPr>
        <w:t>Counselling</w:t>
      </w:r>
    </w:p>
    <w:p w14:paraId="0BE02B22" w14:textId="77777777" w:rsidR="00EE0746" w:rsidRPr="00286BCC" w:rsidRDefault="00EE0746" w:rsidP="00B3587D">
      <w:pPr>
        <w:numPr>
          <w:ilvl w:val="1"/>
          <w:numId w:val="5"/>
        </w:numPr>
        <w:tabs>
          <w:tab w:val="clear" w:pos="960"/>
          <w:tab w:val="num" w:pos="500"/>
        </w:tabs>
        <w:ind w:left="500" w:hanging="500"/>
        <w:rPr>
          <w:rFonts w:cs="Arial"/>
          <w:lang w:val="en-US"/>
        </w:rPr>
      </w:pPr>
      <w:r w:rsidRPr="00286BCC">
        <w:rPr>
          <w:rFonts w:cs="Arial"/>
          <w:lang w:val="en-US"/>
        </w:rPr>
        <w:t xml:space="preserve">The </w:t>
      </w:r>
      <w:r>
        <w:rPr>
          <w:rFonts w:cs="Arial"/>
          <w:lang w:val="en-US"/>
        </w:rPr>
        <w:t>P</w:t>
      </w:r>
      <w:r w:rsidRPr="00286BCC">
        <w:rPr>
          <w:rFonts w:cs="Arial"/>
          <w:lang w:val="en-US"/>
        </w:rPr>
        <w:t>rovider will ensure patients have had counseling by a genetic counsellor and</w:t>
      </w:r>
      <w:r w:rsidR="00B82B49">
        <w:rPr>
          <w:rFonts w:cs="Arial"/>
          <w:lang w:val="en-US"/>
        </w:rPr>
        <w:t xml:space="preserve">/or </w:t>
      </w:r>
      <w:r w:rsidRPr="00286BCC">
        <w:rPr>
          <w:rFonts w:cs="Arial"/>
          <w:lang w:val="en-US"/>
        </w:rPr>
        <w:t>a clinical geneticist prior to the commencement of treatment</w:t>
      </w:r>
      <w:r>
        <w:rPr>
          <w:rFonts w:cs="Arial"/>
          <w:lang w:val="en-US"/>
        </w:rPr>
        <w:t>.</w:t>
      </w:r>
    </w:p>
    <w:p w14:paraId="31E37073" w14:textId="77777777" w:rsidR="00EE0746" w:rsidRPr="00286BCC" w:rsidRDefault="00EE0746" w:rsidP="00B3587D">
      <w:pPr>
        <w:numPr>
          <w:ilvl w:val="1"/>
          <w:numId w:val="5"/>
        </w:numPr>
        <w:tabs>
          <w:tab w:val="clear" w:pos="960"/>
          <w:tab w:val="num" w:pos="500"/>
        </w:tabs>
        <w:ind w:left="500" w:hanging="500"/>
        <w:rPr>
          <w:rFonts w:cs="Arial"/>
          <w:lang w:val="en-US"/>
        </w:rPr>
      </w:pPr>
      <w:r w:rsidRPr="00286BCC">
        <w:rPr>
          <w:rFonts w:cs="Arial"/>
          <w:lang w:val="en-US"/>
        </w:rPr>
        <w:t>Counselling and information giving should address the following issues:</w:t>
      </w:r>
    </w:p>
    <w:p w14:paraId="7D5DAEFC" w14:textId="77777777" w:rsidR="00EE0746" w:rsidRPr="00286BCC" w:rsidRDefault="00EE0746" w:rsidP="00B3587D">
      <w:pPr>
        <w:numPr>
          <w:ilvl w:val="2"/>
          <w:numId w:val="5"/>
        </w:numPr>
        <w:tabs>
          <w:tab w:val="clear" w:pos="1080"/>
          <w:tab w:val="num" w:pos="1500"/>
        </w:tabs>
        <w:ind w:left="1500" w:hanging="500"/>
        <w:rPr>
          <w:rFonts w:cs="Arial"/>
          <w:lang w:val="en-US"/>
        </w:rPr>
      </w:pPr>
      <w:proofErr w:type="gramStart"/>
      <w:r>
        <w:rPr>
          <w:rFonts w:cs="Arial"/>
          <w:lang w:val="en-US"/>
        </w:rPr>
        <w:t>t</w:t>
      </w:r>
      <w:r w:rsidRPr="00286BCC">
        <w:rPr>
          <w:rFonts w:cs="Arial"/>
          <w:lang w:val="en-US"/>
        </w:rPr>
        <w:t>he</w:t>
      </w:r>
      <w:proofErr w:type="gramEnd"/>
      <w:r w:rsidRPr="00286BCC">
        <w:rPr>
          <w:rFonts w:cs="Arial"/>
          <w:lang w:val="en-US"/>
        </w:rPr>
        <w:t xml:space="preserve"> nature of the disease and the consequences of a birth under these circumstances.</w:t>
      </w:r>
    </w:p>
    <w:p w14:paraId="0E0EF721" w14:textId="77777777" w:rsidR="00EE0746" w:rsidRPr="00286BCC" w:rsidRDefault="00EE0746" w:rsidP="00B3587D">
      <w:pPr>
        <w:numPr>
          <w:ilvl w:val="2"/>
          <w:numId w:val="5"/>
        </w:numPr>
        <w:tabs>
          <w:tab w:val="clear" w:pos="1080"/>
          <w:tab w:val="num" w:pos="1500"/>
        </w:tabs>
        <w:ind w:left="1500" w:hanging="500"/>
        <w:rPr>
          <w:rFonts w:cs="Arial"/>
          <w:lang w:val="en-US"/>
        </w:rPr>
      </w:pPr>
      <w:r>
        <w:rPr>
          <w:rFonts w:cs="Arial"/>
          <w:lang w:val="en-US"/>
        </w:rPr>
        <w:t>t</w:t>
      </w:r>
      <w:r w:rsidRPr="00286BCC">
        <w:rPr>
          <w:rFonts w:cs="Arial"/>
          <w:lang w:val="en-US"/>
        </w:rPr>
        <w:t xml:space="preserve">he risks of </w:t>
      </w:r>
      <w:r>
        <w:rPr>
          <w:rFonts w:cs="Arial"/>
          <w:lang w:val="en-US"/>
        </w:rPr>
        <w:t xml:space="preserve">a </w:t>
      </w:r>
      <w:r w:rsidRPr="00286BCC">
        <w:rPr>
          <w:rFonts w:cs="Arial"/>
          <w:lang w:val="en-US"/>
        </w:rPr>
        <w:t>transfer of a genetic abnormality</w:t>
      </w:r>
    </w:p>
    <w:p w14:paraId="6F2B70F2" w14:textId="77777777" w:rsidR="00EE0746" w:rsidRPr="00286BCC" w:rsidRDefault="00EE0746" w:rsidP="00B3587D">
      <w:pPr>
        <w:numPr>
          <w:ilvl w:val="2"/>
          <w:numId w:val="5"/>
        </w:numPr>
        <w:tabs>
          <w:tab w:val="clear" w:pos="1080"/>
          <w:tab w:val="num" w:pos="1500"/>
        </w:tabs>
        <w:ind w:left="1500" w:hanging="500"/>
        <w:rPr>
          <w:rFonts w:cs="Arial"/>
          <w:lang w:val="en-US"/>
        </w:rPr>
      </w:pPr>
      <w:r>
        <w:rPr>
          <w:rFonts w:cs="Arial"/>
          <w:lang w:val="en-US"/>
        </w:rPr>
        <w:t>t</w:t>
      </w:r>
      <w:r w:rsidRPr="00286BCC">
        <w:rPr>
          <w:rFonts w:cs="Arial"/>
          <w:lang w:val="en-US"/>
        </w:rPr>
        <w:t>he risks of misdiagnosis with PGD</w:t>
      </w:r>
    </w:p>
    <w:p w14:paraId="7098EA73" w14:textId="77777777" w:rsidR="00EE0746" w:rsidRPr="00286BCC" w:rsidRDefault="00EE0746" w:rsidP="00B3587D">
      <w:pPr>
        <w:numPr>
          <w:ilvl w:val="1"/>
          <w:numId w:val="5"/>
        </w:numPr>
        <w:tabs>
          <w:tab w:val="clear" w:pos="960"/>
          <w:tab w:val="num" w:pos="500"/>
        </w:tabs>
        <w:ind w:left="500" w:hanging="500"/>
        <w:rPr>
          <w:rFonts w:cs="Arial"/>
          <w:lang w:val="en-US"/>
        </w:rPr>
      </w:pPr>
      <w:r w:rsidRPr="00286BCC">
        <w:rPr>
          <w:rFonts w:cs="Arial"/>
          <w:lang w:val="en-US"/>
        </w:rPr>
        <w:t xml:space="preserve">The reliability and accuracy of the test </w:t>
      </w:r>
    </w:p>
    <w:p w14:paraId="35672567" w14:textId="77777777" w:rsidR="00EE0746" w:rsidRPr="00286BCC" w:rsidRDefault="00EE0746" w:rsidP="00B3587D">
      <w:pPr>
        <w:numPr>
          <w:ilvl w:val="2"/>
          <w:numId w:val="5"/>
        </w:numPr>
        <w:tabs>
          <w:tab w:val="clear" w:pos="1080"/>
          <w:tab w:val="num" w:pos="1400"/>
        </w:tabs>
        <w:ind w:left="1400" w:hanging="400"/>
        <w:rPr>
          <w:rFonts w:cs="Arial"/>
          <w:lang w:val="en-US"/>
        </w:rPr>
      </w:pPr>
      <w:r>
        <w:rPr>
          <w:rFonts w:cs="Arial"/>
          <w:lang w:val="en-US"/>
        </w:rPr>
        <w:t>t</w:t>
      </w:r>
      <w:r w:rsidRPr="00286BCC">
        <w:rPr>
          <w:rFonts w:cs="Arial"/>
          <w:lang w:val="en-US"/>
        </w:rPr>
        <w:t xml:space="preserve">he risk of inconclusive results due to </w:t>
      </w:r>
      <w:r w:rsidR="00BC33A9">
        <w:rPr>
          <w:rFonts w:cs="Arial"/>
          <w:lang w:val="en-US"/>
        </w:rPr>
        <w:t>technical issues</w:t>
      </w:r>
    </w:p>
    <w:p w14:paraId="5112C259" w14:textId="77777777" w:rsidR="00EE0746" w:rsidRPr="00286BCC" w:rsidRDefault="00EE0746" w:rsidP="00B3587D">
      <w:pPr>
        <w:numPr>
          <w:ilvl w:val="2"/>
          <w:numId w:val="5"/>
        </w:numPr>
        <w:tabs>
          <w:tab w:val="clear" w:pos="1080"/>
          <w:tab w:val="num" w:pos="1400"/>
        </w:tabs>
        <w:ind w:left="1400" w:hanging="400"/>
        <w:rPr>
          <w:rFonts w:cs="Arial"/>
          <w:lang w:val="en-US"/>
        </w:rPr>
      </w:pPr>
      <w:r>
        <w:rPr>
          <w:rFonts w:cs="Arial"/>
          <w:lang w:val="en-US"/>
        </w:rPr>
        <w:t>t</w:t>
      </w:r>
      <w:r w:rsidRPr="00286BCC">
        <w:rPr>
          <w:rFonts w:cs="Arial"/>
          <w:lang w:val="en-US"/>
        </w:rPr>
        <w:t>he need for prenatal testing to confirm results</w:t>
      </w:r>
    </w:p>
    <w:p w14:paraId="57B6B9AE" w14:textId="77777777" w:rsidR="00EE0746" w:rsidRPr="00286BCC" w:rsidRDefault="00EE0746" w:rsidP="00B3587D">
      <w:pPr>
        <w:numPr>
          <w:ilvl w:val="2"/>
          <w:numId w:val="5"/>
        </w:numPr>
        <w:tabs>
          <w:tab w:val="clear" w:pos="1080"/>
          <w:tab w:val="num" w:pos="1400"/>
        </w:tabs>
        <w:ind w:left="1400" w:hanging="400"/>
        <w:rPr>
          <w:rFonts w:cs="Arial"/>
          <w:lang w:val="en-US"/>
        </w:rPr>
      </w:pPr>
      <w:proofErr w:type="gramStart"/>
      <w:r>
        <w:rPr>
          <w:rFonts w:cs="Arial"/>
          <w:lang w:val="en-US"/>
        </w:rPr>
        <w:t>t</w:t>
      </w:r>
      <w:r w:rsidRPr="00286BCC">
        <w:rPr>
          <w:rFonts w:cs="Arial"/>
          <w:lang w:val="en-US"/>
        </w:rPr>
        <w:t>he</w:t>
      </w:r>
      <w:proofErr w:type="gramEnd"/>
      <w:r w:rsidRPr="00286BCC">
        <w:rPr>
          <w:rFonts w:cs="Arial"/>
          <w:lang w:val="en-US"/>
        </w:rPr>
        <w:t xml:space="preserve"> considerations relating to a PGD pregnancy if diagnosis is incorrect.</w:t>
      </w:r>
    </w:p>
    <w:p w14:paraId="17FE30E3" w14:textId="77777777" w:rsidR="00EE0746" w:rsidRPr="00286BCC" w:rsidRDefault="00EE0746" w:rsidP="00B3587D">
      <w:pPr>
        <w:numPr>
          <w:ilvl w:val="2"/>
          <w:numId w:val="5"/>
        </w:numPr>
        <w:tabs>
          <w:tab w:val="clear" w:pos="1080"/>
          <w:tab w:val="num" w:pos="1400"/>
        </w:tabs>
        <w:ind w:left="1400" w:hanging="400"/>
        <w:rPr>
          <w:rFonts w:cs="Arial"/>
          <w:lang w:val="en-US"/>
        </w:rPr>
      </w:pPr>
      <w:proofErr w:type="gramStart"/>
      <w:r>
        <w:rPr>
          <w:rFonts w:cs="Arial"/>
          <w:lang w:val="en-US"/>
        </w:rPr>
        <w:t>t</w:t>
      </w:r>
      <w:r w:rsidRPr="00286BCC">
        <w:rPr>
          <w:rFonts w:cs="Arial"/>
          <w:lang w:val="en-US"/>
        </w:rPr>
        <w:t>he</w:t>
      </w:r>
      <w:proofErr w:type="gramEnd"/>
      <w:r w:rsidRPr="00286BCC">
        <w:rPr>
          <w:rFonts w:cs="Arial"/>
          <w:lang w:val="en-US"/>
        </w:rPr>
        <w:t xml:space="preserve"> specific details and success rates associated with infertility treatment.</w:t>
      </w:r>
    </w:p>
    <w:p w14:paraId="0DA644CB" w14:textId="77777777" w:rsidR="00EE0746" w:rsidRPr="00286BCC" w:rsidRDefault="00EE0746" w:rsidP="00B3587D">
      <w:pPr>
        <w:numPr>
          <w:ilvl w:val="0"/>
          <w:numId w:val="5"/>
        </w:numPr>
        <w:tabs>
          <w:tab w:val="clear" w:pos="720"/>
          <w:tab w:val="num" w:pos="500"/>
        </w:tabs>
        <w:ind w:left="500" w:hanging="600"/>
        <w:rPr>
          <w:rFonts w:cs="Arial"/>
          <w:b/>
          <w:bCs/>
          <w:i/>
          <w:iCs/>
          <w:lang w:val="en-US"/>
        </w:rPr>
      </w:pPr>
      <w:r w:rsidRPr="00286BCC">
        <w:rPr>
          <w:rFonts w:cs="Arial"/>
          <w:b/>
          <w:bCs/>
          <w:i/>
          <w:iCs/>
          <w:lang w:val="en-US"/>
        </w:rPr>
        <w:t>Quality assurance</w:t>
      </w:r>
    </w:p>
    <w:p w14:paraId="3EA9C86F" w14:textId="77777777" w:rsidR="00EE0746" w:rsidRPr="00635DCE" w:rsidRDefault="00EE0746" w:rsidP="00B3587D">
      <w:pPr>
        <w:numPr>
          <w:ilvl w:val="1"/>
          <w:numId w:val="5"/>
        </w:numPr>
        <w:tabs>
          <w:tab w:val="clear" w:pos="960"/>
          <w:tab w:val="num" w:pos="500"/>
        </w:tabs>
        <w:ind w:left="500" w:hanging="500"/>
        <w:rPr>
          <w:rFonts w:cs="Arial"/>
          <w:lang w:val="en-US"/>
        </w:rPr>
      </w:pPr>
      <w:r w:rsidRPr="00635DCE">
        <w:rPr>
          <w:rFonts w:cs="Arial"/>
          <w:lang w:val="en-US"/>
        </w:rPr>
        <w:t>The laboratory undertaking analysis of biopsied cells must undertake assurance assessments as considered appropriate for the testing being undertaken</w:t>
      </w:r>
      <w:r w:rsidR="00635DCE" w:rsidRPr="00635DCE">
        <w:rPr>
          <w:rFonts w:cs="Arial"/>
          <w:lang w:val="en-US"/>
        </w:rPr>
        <w:t>, and be</w:t>
      </w:r>
      <w:r w:rsidR="00635DCE" w:rsidRPr="00635DCE" w:rsidDel="00635DCE">
        <w:rPr>
          <w:rFonts w:cs="Arial"/>
          <w:lang w:val="en-US"/>
        </w:rPr>
        <w:t xml:space="preserve"> </w:t>
      </w:r>
      <w:r w:rsidRPr="00635DCE">
        <w:rPr>
          <w:rFonts w:cs="Arial"/>
          <w:lang w:val="en-US"/>
        </w:rPr>
        <w:t>certified against ISO 9001: 2000 and ISO 17025 standards or to comparable standards.</w:t>
      </w:r>
    </w:p>
    <w:p w14:paraId="127B1601" w14:textId="77777777" w:rsidR="001D5897" w:rsidRDefault="001D5897" w:rsidP="00F87FBF">
      <w:pPr>
        <w:spacing w:after="200" w:line="276" w:lineRule="auto"/>
      </w:pPr>
      <w:r>
        <w:br w:type="page"/>
      </w:r>
    </w:p>
    <w:p w14:paraId="1707E960" w14:textId="77777777" w:rsidR="001D5897" w:rsidRDefault="00D660C2" w:rsidP="00953A97">
      <w:pPr>
        <w:pStyle w:val="Heading1"/>
        <w:rPr>
          <w:rFonts w:eastAsiaTheme="minorHAnsi"/>
        </w:rPr>
      </w:pPr>
      <w:r>
        <w:rPr>
          <w:rFonts w:eastAsiaTheme="minorHAnsi"/>
        </w:rPr>
        <w:lastRenderedPageBreak/>
        <w:t>APPENDIX</w:t>
      </w:r>
      <w:r w:rsidRPr="001D5897">
        <w:rPr>
          <w:rFonts w:eastAsiaTheme="minorHAnsi"/>
        </w:rPr>
        <w:t xml:space="preserve"> </w:t>
      </w:r>
      <w:r>
        <w:rPr>
          <w:rFonts w:eastAsiaTheme="minorHAnsi"/>
        </w:rPr>
        <w:t>TWO</w:t>
      </w:r>
      <w:r w:rsidR="00DD60C0">
        <w:rPr>
          <w:rFonts w:eastAsiaTheme="minorHAnsi"/>
        </w:rPr>
        <w:t>:</w:t>
      </w:r>
      <w:r w:rsidR="001D5897" w:rsidRPr="001D5897">
        <w:rPr>
          <w:rFonts w:eastAsiaTheme="minorHAnsi"/>
        </w:rPr>
        <w:t xml:space="preserve"> </w:t>
      </w:r>
      <w:r w:rsidR="003E3F96" w:rsidRPr="003E3F96">
        <w:rPr>
          <w:rFonts w:eastAsiaTheme="minorHAnsi"/>
        </w:rPr>
        <w:t>Live Birth and Multiple Pregnancy Rates</w:t>
      </w:r>
      <w:r w:rsidR="00442346" w:rsidRPr="00442346">
        <w:rPr>
          <w:rFonts w:eastAsiaTheme="minorHAnsi"/>
        </w:rPr>
        <w:t xml:space="preserve"> </w:t>
      </w:r>
      <w:r w:rsidR="001D5897" w:rsidRPr="001D5897">
        <w:rPr>
          <w:rFonts w:eastAsiaTheme="minorHAnsi"/>
        </w:rPr>
        <w:t>Reporting Template</w:t>
      </w:r>
    </w:p>
    <w:p w14:paraId="2590C684" w14:textId="77777777" w:rsidR="0067602F" w:rsidRDefault="0067602F" w:rsidP="000509C9">
      <w:pPr>
        <w:spacing w:line="276" w:lineRule="auto"/>
        <w:rPr>
          <w:rFonts w:eastAsiaTheme="minorHAnsi" w:cstheme="minorBidi"/>
        </w:rPr>
      </w:pPr>
      <w:r w:rsidRPr="0067602F">
        <w:rPr>
          <w:rFonts w:eastAsiaTheme="minorHAnsi" w:cstheme="minorBidi"/>
        </w:rPr>
        <w:t xml:space="preserve">Completed treatments are reported unless otherwise specified.  </w:t>
      </w:r>
    </w:p>
    <w:p w14:paraId="3E1C8A19" w14:textId="77777777" w:rsidR="00442346" w:rsidRPr="006B55A9" w:rsidRDefault="001019D2" w:rsidP="00442346">
      <w:pPr>
        <w:spacing w:line="276" w:lineRule="auto"/>
        <w:rPr>
          <w:rFonts w:eastAsiaTheme="minorHAnsi" w:cstheme="minorBidi"/>
        </w:rPr>
      </w:pPr>
      <w:r>
        <w:rPr>
          <w:rFonts w:eastAsiaTheme="minorHAnsi" w:cstheme="minorBidi"/>
        </w:rPr>
        <w:t>Report t</w:t>
      </w:r>
      <w:r w:rsidR="00442346" w:rsidRPr="006B55A9">
        <w:rPr>
          <w:rFonts w:eastAsiaTheme="minorHAnsi" w:cstheme="minorBidi"/>
        </w:rPr>
        <w:t>he number of live birth</w:t>
      </w:r>
      <w:r w:rsidR="009562A7">
        <w:rPr>
          <w:rFonts w:eastAsiaTheme="minorHAnsi" w:cstheme="minorBidi"/>
        </w:rPr>
        <w:t>s</w:t>
      </w:r>
      <w:r w:rsidR="00442346" w:rsidRPr="006B55A9">
        <w:rPr>
          <w:rFonts w:eastAsiaTheme="minorHAnsi" w:cstheme="minorBidi"/>
        </w:rPr>
        <w:t xml:space="preserve"> (live birth rates percentage) and </w:t>
      </w:r>
      <w:r w:rsidR="009562A7">
        <w:rPr>
          <w:rFonts w:eastAsiaTheme="minorHAnsi" w:cstheme="minorBidi"/>
        </w:rPr>
        <w:t xml:space="preserve">number of </w:t>
      </w:r>
      <w:r w:rsidR="00442346" w:rsidRPr="006B55A9">
        <w:rPr>
          <w:rFonts w:eastAsiaTheme="minorHAnsi" w:cstheme="minorBidi"/>
        </w:rPr>
        <w:t xml:space="preserve">multiple </w:t>
      </w:r>
      <w:r w:rsidR="000E4247">
        <w:rPr>
          <w:rFonts w:eastAsiaTheme="minorHAnsi" w:cstheme="minorBidi"/>
        </w:rPr>
        <w:t>births</w:t>
      </w:r>
      <w:r w:rsidR="00442346" w:rsidRPr="006B55A9">
        <w:rPr>
          <w:rFonts w:eastAsiaTheme="minorHAnsi" w:cstheme="minorBidi"/>
        </w:rPr>
        <w:t xml:space="preserve"> (Multiple </w:t>
      </w:r>
      <w:r w:rsidR="000E4247">
        <w:rPr>
          <w:rFonts w:eastAsiaTheme="minorHAnsi" w:cstheme="minorBidi"/>
        </w:rPr>
        <w:t>birth</w:t>
      </w:r>
      <w:r w:rsidR="000E4247" w:rsidRPr="006B55A9">
        <w:rPr>
          <w:rFonts w:eastAsiaTheme="minorHAnsi" w:cstheme="minorBidi"/>
        </w:rPr>
        <w:t xml:space="preserve"> </w:t>
      </w:r>
      <w:r w:rsidR="000E4247">
        <w:rPr>
          <w:rFonts w:eastAsiaTheme="minorHAnsi" w:cstheme="minorBidi"/>
        </w:rPr>
        <w:t>r</w:t>
      </w:r>
      <w:r w:rsidR="00442346" w:rsidRPr="006B55A9">
        <w:rPr>
          <w:rFonts w:eastAsiaTheme="minorHAnsi" w:cstheme="minorBidi"/>
        </w:rPr>
        <w:t xml:space="preserve">ate (percentage) for the preceding </w:t>
      </w:r>
      <w:r w:rsidR="004459E4">
        <w:rPr>
          <w:rFonts w:eastAsiaTheme="minorHAnsi" w:cstheme="minorBidi"/>
        </w:rPr>
        <w:t>period</w:t>
      </w:r>
      <w:r w:rsidR="00442346" w:rsidRPr="006B55A9">
        <w:rPr>
          <w:rFonts w:eastAsiaTheme="minorHAnsi" w:cstheme="minorBidi"/>
        </w:rPr>
        <w:t xml:space="preserve"> for each treatment listed below: </w:t>
      </w:r>
    </w:p>
    <w:tbl>
      <w:tblPr>
        <w:tblStyle w:val="TableGrid"/>
        <w:tblW w:w="9889" w:type="dxa"/>
        <w:tblLayout w:type="fixed"/>
        <w:tblLook w:val="04A0" w:firstRow="1" w:lastRow="0" w:firstColumn="1" w:lastColumn="0" w:noHBand="0" w:noVBand="1"/>
      </w:tblPr>
      <w:tblGrid>
        <w:gridCol w:w="2660"/>
        <w:gridCol w:w="1559"/>
        <w:gridCol w:w="2268"/>
        <w:gridCol w:w="1424"/>
        <w:gridCol w:w="1978"/>
      </w:tblGrid>
      <w:tr w:rsidR="000E4247" w:rsidRPr="00560F84" w14:paraId="32F7E292" w14:textId="77777777" w:rsidTr="009754D6">
        <w:trPr>
          <w:trHeight w:val="668"/>
        </w:trPr>
        <w:tc>
          <w:tcPr>
            <w:tcW w:w="9889" w:type="dxa"/>
            <w:gridSpan w:val="5"/>
            <w:tcBorders>
              <w:bottom w:val="single" w:sz="4" w:space="0" w:color="auto"/>
            </w:tcBorders>
          </w:tcPr>
          <w:p w14:paraId="67EABA3F" w14:textId="77777777" w:rsidR="000E4247" w:rsidRPr="00442346" w:rsidRDefault="00D660C2">
            <w:pPr>
              <w:spacing w:before="0" w:after="0" w:line="276" w:lineRule="auto"/>
              <w:rPr>
                <w:rFonts w:cs="Arial"/>
                <w:b/>
                <w:sz w:val="22"/>
              </w:rPr>
            </w:pPr>
            <w:r w:rsidRPr="001D5897">
              <w:rPr>
                <w:rFonts w:cstheme="minorBidi"/>
                <w:b/>
              </w:rPr>
              <w:t>Reporting Template</w:t>
            </w:r>
            <w:r w:rsidRPr="003E3F96">
              <w:rPr>
                <w:rFonts w:cstheme="minorBidi"/>
                <w:b/>
              </w:rPr>
              <w:t xml:space="preserve"> </w:t>
            </w:r>
            <w:r>
              <w:rPr>
                <w:rFonts w:cstheme="minorBidi"/>
                <w:b/>
              </w:rPr>
              <w:t xml:space="preserve"> for </w:t>
            </w:r>
            <w:r w:rsidR="000E4247" w:rsidRPr="003E3F96">
              <w:rPr>
                <w:rFonts w:cstheme="minorBidi"/>
                <w:b/>
              </w:rPr>
              <w:t>Live Birth and Multiple Pregnancy Rates</w:t>
            </w:r>
            <w:r w:rsidR="000E4247" w:rsidRPr="00442346">
              <w:rPr>
                <w:rFonts w:cstheme="minorBidi"/>
                <w:b/>
              </w:rPr>
              <w:t xml:space="preserve"> </w:t>
            </w:r>
          </w:p>
        </w:tc>
      </w:tr>
      <w:tr w:rsidR="004C11CB" w:rsidRPr="00560F84" w14:paraId="20044B0D" w14:textId="77777777" w:rsidTr="00531E9F">
        <w:trPr>
          <w:trHeight w:val="668"/>
        </w:trPr>
        <w:tc>
          <w:tcPr>
            <w:tcW w:w="2660" w:type="dxa"/>
            <w:tcBorders>
              <w:bottom w:val="single" w:sz="4" w:space="0" w:color="auto"/>
            </w:tcBorders>
          </w:tcPr>
          <w:p w14:paraId="6ABBD327" w14:textId="77777777" w:rsidR="004C11CB" w:rsidRPr="00442346" w:rsidRDefault="004459E4" w:rsidP="004459E4">
            <w:pPr>
              <w:spacing w:before="0" w:after="0" w:line="276" w:lineRule="auto"/>
              <w:rPr>
                <w:rFonts w:cs="Arial"/>
                <w:b/>
                <w:sz w:val="22"/>
              </w:rPr>
            </w:pPr>
            <w:r>
              <w:rPr>
                <w:rFonts w:cs="Arial"/>
                <w:b/>
                <w:sz w:val="22"/>
              </w:rPr>
              <w:t>Period</w:t>
            </w:r>
            <w:r w:rsidR="004C11CB" w:rsidRPr="00442346">
              <w:rPr>
                <w:rFonts w:cs="Arial"/>
                <w:b/>
                <w:sz w:val="22"/>
              </w:rPr>
              <w:t xml:space="preserve"> </w:t>
            </w:r>
            <w:r>
              <w:rPr>
                <w:rFonts w:cs="Arial"/>
                <w:b/>
                <w:sz w:val="22"/>
              </w:rPr>
              <w:t xml:space="preserve">(dates) </w:t>
            </w:r>
            <w:r w:rsidR="004C11CB" w:rsidRPr="00442346">
              <w:rPr>
                <w:rFonts w:cs="Arial"/>
                <w:b/>
                <w:sz w:val="22"/>
              </w:rPr>
              <w:t xml:space="preserve">of treatment: </w:t>
            </w:r>
          </w:p>
        </w:tc>
        <w:tc>
          <w:tcPr>
            <w:tcW w:w="7229" w:type="dxa"/>
            <w:gridSpan w:val="4"/>
            <w:tcBorders>
              <w:bottom w:val="single" w:sz="4" w:space="0" w:color="auto"/>
            </w:tcBorders>
          </w:tcPr>
          <w:p w14:paraId="42A07063" w14:textId="77777777" w:rsidR="004C11CB" w:rsidRPr="00442346" w:rsidRDefault="004C11CB" w:rsidP="006916E1">
            <w:pPr>
              <w:spacing w:before="0" w:after="0" w:line="276" w:lineRule="auto"/>
              <w:rPr>
                <w:rFonts w:cs="Arial"/>
                <w:b/>
                <w:sz w:val="22"/>
              </w:rPr>
            </w:pPr>
          </w:p>
        </w:tc>
      </w:tr>
      <w:tr w:rsidR="00442346" w:rsidRPr="00560F84" w14:paraId="1AAF9852" w14:textId="77777777" w:rsidTr="00531E9F">
        <w:tc>
          <w:tcPr>
            <w:tcW w:w="2660" w:type="dxa"/>
            <w:shd w:val="pct12" w:color="auto" w:fill="auto"/>
          </w:tcPr>
          <w:p w14:paraId="5FBFF754" w14:textId="77777777" w:rsidR="00442346" w:rsidRPr="00442346" w:rsidRDefault="00442346" w:rsidP="006916E1">
            <w:pPr>
              <w:spacing w:before="0" w:after="0" w:line="276" w:lineRule="auto"/>
              <w:rPr>
                <w:rFonts w:cs="Arial"/>
                <w:b/>
                <w:sz w:val="22"/>
              </w:rPr>
            </w:pPr>
          </w:p>
        </w:tc>
        <w:tc>
          <w:tcPr>
            <w:tcW w:w="1559" w:type="dxa"/>
            <w:shd w:val="pct12" w:color="auto" w:fill="auto"/>
          </w:tcPr>
          <w:p w14:paraId="628047E7" w14:textId="77777777" w:rsidR="00442346" w:rsidRPr="00442346" w:rsidRDefault="00442346" w:rsidP="006916E1">
            <w:pPr>
              <w:spacing w:before="0" w:after="0" w:line="276" w:lineRule="auto"/>
              <w:rPr>
                <w:rFonts w:cs="Arial"/>
                <w:b/>
                <w:sz w:val="22"/>
              </w:rPr>
            </w:pPr>
            <w:r w:rsidRPr="00442346">
              <w:rPr>
                <w:rFonts w:cs="Arial"/>
                <w:b/>
                <w:sz w:val="22"/>
              </w:rPr>
              <w:t xml:space="preserve">Live births </w:t>
            </w:r>
          </w:p>
        </w:tc>
        <w:tc>
          <w:tcPr>
            <w:tcW w:w="2268" w:type="dxa"/>
            <w:shd w:val="pct12" w:color="auto" w:fill="auto"/>
          </w:tcPr>
          <w:p w14:paraId="6E534274" w14:textId="77777777" w:rsidR="00442346" w:rsidRPr="00442346" w:rsidRDefault="00442346" w:rsidP="006916E1">
            <w:pPr>
              <w:spacing w:before="0" w:after="0" w:line="276" w:lineRule="auto"/>
              <w:rPr>
                <w:rFonts w:cs="Arial"/>
                <w:b/>
                <w:sz w:val="22"/>
              </w:rPr>
            </w:pPr>
            <w:r w:rsidRPr="00442346">
              <w:rPr>
                <w:rFonts w:cs="Arial"/>
                <w:b/>
                <w:sz w:val="22"/>
              </w:rPr>
              <w:t xml:space="preserve">Live birth rate per purchase unit (%) </w:t>
            </w:r>
          </w:p>
        </w:tc>
        <w:tc>
          <w:tcPr>
            <w:tcW w:w="1424" w:type="dxa"/>
            <w:shd w:val="pct12" w:color="auto" w:fill="auto"/>
          </w:tcPr>
          <w:p w14:paraId="0B295EAB" w14:textId="77777777" w:rsidR="00442346" w:rsidRPr="00442346" w:rsidRDefault="00442346" w:rsidP="006916E1">
            <w:pPr>
              <w:spacing w:before="0" w:after="0" w:line="276" w:lineRule="auto"/>
              <w:rPr>
                <w:rFonts w:cs="Arial"/>
                <w:b/>
                <w:sz w:val="22"/>
              </w:rPr>
            </w:pPr>
            <w:r w:rsidRPr="00442346">
              <w:rPr>
                <w:rFonts w:cs="Arial"/>
                <w:b/>
                <w:sz w:val="22"/>
              </w:rPr>
              <w:t xml:space="preserve">Multiple births </w:t>
            </w:r>
          </w:p>
        </w:tc>
        <w:tc>
          <w:tcPr>
            <w:tcW w:w="1978" w:type="dxa"/>
            <w:shd w:val="pct12" w:color="auto" w:fill="auto"/>
          </w:tcPr>
          <w:p w14:paraId="4D2189C8" w14:textId="77777777" w:rsidR="00442346" w:rsidRPr="00442346" w:rsidRDefault="00442346" w:rsidP="000E4247">
            <w:pPr>
              <w:spacing w:before="0" w:after="0" w:line="276" w:lineRule="auto"/>
              <w:rPr>
                <w:rFonts w:cs="Arial"/>
                <w:b/>
                <w:sz w:val="22"/>
              </w:rPr>
            </w:pPr>
            <w:r w:rsidRPr="00442346">
              <w:rPr>
                <w:rFonts w:cs="Arial"/>
                <w:b/>
                <w:sz w:val="22"/>
              </w:rPr>
              <w:t xml:space="preserve">Multiple </w:t>
            </w:r>
            <w:r w:rsidR="000E4247">
              <w:rPr>
                <w:rFonts w:cs="Arial"/>
                <w:b/>
                <w:sz w:val="22"/>
              </w:rPr>
              <w:t>birth rate</w:t>
            </w:r>
            <w:r w:rsidRPr="00442346">
              <w:rPr>
                <w:rFonts w:cs="Arial"/>
                <w:b/>
                <w:sz w:val="22"/>
              </w:rPr>
              <w:t xml:space="preserve"> per live birth (%) </w:t>
            </w:r>
          </w:p>
        </w:tc>
      </w:tr>
      <w:tr w:rsidR="00442346" w:rsidRPr="00560F84" w14:paraId="24F5052A" w14:textId="77777777" w:rsidTr="00531E9F">
        <w:tc>
          <w:tcPr>
            <w:tcW w:w="2660" w:type="dxa"/>
          </w:tcPr>
          <w:p w14:paraId="5D735362" w14:textId="77777777" w:rsidR="00442346" w:rsidRPr="006B27A9" w:rsidRDefault="00442346" w:rsidP="00531E9F">
            <w:pPr>
              <w:spacing w:before="60" w:after="60" w:line="276" w:lineRule="auto"/>
              <w:rPr>
                <w:rFonts w:cs="Arial"/>
                <w:sz w:val="22"/>
              </w:rPr>
            </w:pPr>
            <w:r w:rsidRPr="006B27A9">
              <w:rPr>
                <w:rFonts w:cs="Arial"/>
                <w:sz w:val="22"/>
              </w:rPr>
              <w:t xml:space="preserve">IVF alone (FS01002 or FS01018) </w:t>
            </w:r>
          </w:p>
        </w:tc>
        <w:tc>
          <w:tcPr>
            <w:tcW w:w="1559" w:type="dxa"/>
          </w:tcPr>
          <w:p w14:paraId="2C52CF63" w14:textId="77777777" w:rsidR="00442346" w:rsidRPr="006B27A9" w:rsidRDefault="00442346" w:rsidP="00531E9F">
            <w:pPr>
              <w:spacing w:before="60" w:after="60" w:line="276" w:lineRule="auto"/>
              <w:rPr>
                <w:rFonts w:cs="Arial"/>
                <w:sz w:val="22"/>
              </w:rPr>
            </w:pPr>
          </w:p>
        </w:tc>
        <w:tc>
          <w:tcPr>
            <w:tcW w:w="2268" w:type="dxa"/>
          </w:tcPr>
          <w:p w14:paraId="7FEADB4F" w14:textId="77777777" w:rsidR="00442346" w:rsidRPr="006B27A9" w:rsidRDefault="00442346" w:rsidP="00531E9F">
            <w:pPr>
              <w:spacing w:before="60" w:after="60" w:line="276" w:lineRule="auto"/>
              <w:rPr>
                <w:rFonts w:cs="Arial"/>
                <w:sz w:val="22"/>
              </w:rPr>
            </w:pPr>
          </w:p>
        </w:tc>
        <w:tc>
          <w:tcPr>
            <w:tcW w:w="1424" w:type="dxa"/>
          </w:tcPr>
          <w:p w14:paraId="6FEC5770" w14:textId="77777777" w:rsidR="00442346" w:rsidRPr="006B27A9" w:rsidRDefault="00442346" w:rsidP="00531E9F">
            <w:pPr>
              <w:spacing w:before="60" w:after="60" w:line="276" w:lineRule="auto"/>
              <w:rPr>
                <w:rFonts w:cs="Arial"/>
                <w:sz w:val="22"/>
              </w:rPr>
            </w:pPr>
          </w:p>
        </w:tc>
        <w:tc>
          <w:tcPr>
            <w:tcW w:w="1978" w:type="dxa"/>
          </w:tcPr>
          <w:p w14:paraId="58E359B3" w14:textId="77777777" w:rsidR="00442346" w:rsidRPr="006B27A9" w:rsidRDefault="00442346" w:rsidP="00531E9F">
            <w:pPr>
              <w:spacing w:before="60" w:after="60" w:line="276" w:lineRule="auto"/>
              <w:rPr>
                <w:rFonts w:cs="Arial"/>
                <w:sz w:val="22"/>
              </w:rPr>
            </w:pPr>
          </w:p>
        </w:tc>
      </w:tr>
      <w:tr w:rsidR="00442346" w:rsidRPr="00560F84" w14:paraId="612E7DAA" w14:textId="77777777" w:rsidTr="00531E9F">
        <w:tc>
          <w:tcPr>
            <w:tcW w:w="2660" w:type="dxa"/>
          </w:tcPr>
          <w:p w14:paraId="66D3EDA1" w14:textId="77777777" w:rsidR="00442346" w:rsidRPr="006B27A9" w:rsidRDefault="00442346" w:rsidP="00531E9F">
            <w:pPr>
              <w:spacing w:before="60" w:after="60" w:line="276" w:lineRule="auto"/>
              <w:rPr>
                <w:rFonts w:cs="Arial"/>
                <w:sz w:val="22"/>
              </w:rPr>
            </w:pPr>
            <w:r w:rsidRPr="006B27A9">
              <w:rPr>
                <w:rFonts w:cs="Arial"/>
                <w:sz w:val="22"/>
              </w:rPr>
              <w:t xml:space="preserve">IVF with ICSI addition (FS01002 or FS01018 plus FS01003) </w:t>
            </w:r>
          </w:p>
        </w:tc>
        <w:tc>
          <w:tcPr>
            <w:tcW w:w="1559" w:type="dxa"/>
          </w:tcPr>
          <w:p w14:paraId="6B501D5E" w14:textId="77777777" w:rsidR="00442346" w:rsidRPr="006B27A9" w:rsidRDefault="00442346" w:rsidP="00531E9F">
            <w:pPr>
              <w:spacing w:before="60" w:after="60" w:line="276" w:lineRule="auto"/>
              <w:rPr>
                <w:rFonts w:cs="Arial"/>
                <w:sz w:val="22"/>
              </w:rPr>
            </w:pPr>
          </w:p>
        </w:tc>
        <w:tc>
          <w:tcPr>
            <w:tcW w:w="2268" w:type="dxa"/>
          </w:tcPr>
          <w:p w14:paraId="7B837DDB" w14:textId="77777777" w:rsidR="00442346" w:rsidRPr="006B27A9" w:rsidRDefault="00442346" w:rsidP="00531E9F">
            <w:pPr>
              <w:spacing w:before="60" w:after="60" w:line="276" w:lineRule="auto"/>
              <w:rPr>
                <w:rFonts w:cs="Arial"/>
                <w:sz w:val="22"/>
              </w:rPr>
            </w:pPr>
          </w:p>
        </w:tc>
        <w:tc>
          <w:tcPr>
            <w:tcW w:w="1424" w:type="dxa"/>
          </w:tcPr>
          <w:p w14:paraId="7E802B2C" w14:textId="77777777" w:rsidR="00442346" w:rsidRPr="006B27A9" w:rsidRDefault="00442346" w:rsidP="00531E9F">
            <w:pPr>
              <w:spacing w:before="60" w:after="60" w:line="276" w:lineRule="auto"/>
              <w:rPr>
                <w:rFonts w:cs="Arial"/>
                <w:sz w:val="22"/>
              </w:rPr>
            </w:pPr>
          </w:p>
        </w:tc>
        <w:tc>
          <w:tcPr>
            <w:tcW w:w="1978" w:type="dxa"/>
          </w:tcPr>
          <w:p w14:paraId="1605377D" w14:textId="77777777" w:rsidR="00442346" w:rsidRPr="006B27A9" w:rsidRDefault="00442346" w:rsidP="00531E9F">
            <w:pPr>
              <w:spacing w:before="60" w:after="60" w:line="276" w:lineRule="auto"/>
              <w:rPr>
                <w:rFonts w:cs="Arial"/>
                <w:sz w:val="22"/>
              </w:rPr>
            </w:pPr>
          </w:p>
        </w:tc>
      </w:tr>
      <w:tr w:rsidR="00442346" w:rsidRPr="00560F84" w14:paraId="33B8F857" w14:textId="77777777" w:rsidTr="00531E9F">
        <w:tc>
          <w:tcPr>
            <w:tcW w:w="2660" w:type="dxa"/>
          </w:tcPr>
          <w:p w14:paraId="4F97D8FE" w14:textId="77777777" w:rsidR="00442346" w:rsidRPr="006B27A9" w:rsidRDefault="00442346" w:rsidP="00531E9F">
            <w:pPr>
              <w:spacing w:before="60" w:after="60" w:line="276" w:lineRule="auto"/>
              <w:rPr>
                <w:rFonts w:cs="Arial"/>
                <w:sz w:val="22"/>
              </w:rPr>
            </w:pPr>
            <w:r w:rsidRPr="006B27A9">
              <w:rPr>
                <w:rFonts w:cs="Arial"/>
                <w:sz w:val="22"/>
              </w:rPr>
              <w:t xml:space="preserve">IVF or ICSI with Donor egg addition (FS01002 or FS01018 plus FS01007) </w:t>
            </w:r>
          </w:p>
        </w:tc>
        <w:tc>
          <w:tcPr>
            <w:tcW w:w="1559" w:type="dxa"/>
          </w:tcPr>
          <w:p w14:paraId="0F6C7A3E" w14:textId="77777777" w:rsidR="00442346" w:rsidRPr="006B27A9" w:rsidRDefault="00442346" w:rsidP="00531E9F">
            <w:pPr>
              <w:spacing w:before="60" w:after="60" w:line="276" w:lineRule="auto"/>
              <w:rPr>
                <w:rFonts w:cs="Arial"/>
                <w:sz w:val="22"/>
              </w:rPr>
            </w:pPr>
          </w:p>
        </w:tc>
        <w:tc>
          <w:tcPr>
            <w:tcW w:w="2268" w:type="dxa"/>
          </w:tcPr>
          <w:p w14:paraId="4F9A5A90" w14:textId="77777777" w:rsidR="00442346" w:rsidRPr="006B27A9" w:rsidRDefault="00442346" w:rsidP="00531E9F">
            <w:pPr>
              <w:spacing w:before="60" w:after="60" w:line="276" w:lineRule="auto"/>
              <w:rPr>
                <w:rFonts w:cs="Arial"/>
                <w:sz w:val="22"/>
              </w:rPr>
            </w:pPr>
          </w:p>
        </w:tc>
        <w:tc>
          <w:tcPr>
            <w:tcW w:w="1424" w:type="dxa"/>
          </w:tcPr>
          <w:p w14:paraId="6F912F6F" w14:textId="77777777" w:rsidR="00442346" w:rsidRPr="006B27A9" w:rsidRDefault="00442346" w:rsidP="00531E9F">
            <w:pPr>
              <w:spacing w:before="60" w:after="60" w:line="276" w:lineRule="auto"/>
              <w:rPr>
                <w:rFonts w:cs="Arial"/>
                <w:sz w:val="22"/>
              </w:rPr>
            </w:pPr>
          </w:p>
        </w:tc>
        <w:tc>
          <w:tcPr>
            <w:tcW w:w="1978" w:type="dxa"/>
          </w:tcPr>
          <w:p w14:paraId="2FD5AF75" w14:textId="77777777" w:rsidR="00442346" w:rsidRPr="006B27A9" w:rsidRDefault="00442346" w:rsidP="00531E9F">
            <w:pPr>
              <w:spacing w:before="60" w:after="60" w:line="276" w:lineRule="auto"/>
              <w:rPr>
                <w:rFonts w:cs="Arial"/>
                <w:sz w:val="22"/>
              </w:rPr>
            </w:pPr>
          </w:p>
        </w:tc>
      </w:tr>
      <w:tr w:rsidR="00442346" w:rsidRPr="00560F84" w14:paraId="52308404" w14:textId="77777777" w:rsidTr="00531E9F">
        <w:tc>
          <w:tcPr>
            <w:tcW w:w="2660" w:type="dxa"/>
          </w:tcPr>
          <w:p w14:paraId="5A1BFD77" w14:textId="77777777" w:rsidR="00442346" w:rsidRPr="006B27A9" w:rsidRDefault="00442346" w:rsidP="00531E9F">
            <w:pPr>
              <w:spacing w:before="60" w:after="60" w:line="276" w:lineRule="auto"/>
              <w:rPr>
                <w:rFonts w:cs="Arial"/>
                <w:sz w:val="22"/>
              </w:rPr>
            </w:pPr>
            <w:r w:rsidRPr="006B27A9">
              <w:rPr>
                <w:rFonts w:cs="Arial"/>
                <w:sz w:val="22"/>
              </w:rPr>
              <w:t xml:space="preserve">Thawed embryo replacement (FS01008) </w:t>
            </w:r>
          </w:p>
        </w:tc>
        <w:tc>
          <w:tcPr>
            <w:tcW w:w="1559" w:type="dxa"/>
          </w:tcPr>
          <w:p w14:paraId="7ED7B297" w14:textId="77777777" w:rsidR="00442346" w:rsidRPr="006B27A9" w:rsidRDefault="00442346" w:rsidP="00531E9F">
            <w:pPr>
              <w:spacing w:before="60" w:after="60" w:line="276" w:lineRule="auto"/>
              <w:rPr>
                <w:rFonts w:cs="Arial"/>
                <w:sz w:val="22"/>
              </w:rPr>
            </w:pPr>
          </w:p>
        </w:tc>
        <w:tc>
          <w:tcPr>
            <w:tcW w:w="2268" w:type="dxa"/>
          </w:tcPr>
          <w:p w14:paraId="33EB4E6E" w14:textId="77777777" w:rsidR="00442346" w:rsidRPr="006B27A9" w:rsidRDefault="00442346" w:rsidP="00531E9F">
            <w:pPr>
              <w:spacing w:before="60" w:after="60" w:line="276" w:lineRule="auto"/>
              <w:rPr>
                <w:rFonts w:cs="Arial"/>
                <w:sz w:val="22"/>
              </w:rPr>
            </w:pPr>
          </w:p>
        </w:tc>
        <w:tc>
          <w:tcPr>
            <w:tcW w:w="1424" w:type="dxa"/>
          </w:tcPr>
          <w:p w14:paraId="652CAA4D" w14:textId="77777777" w:rsidR="00442346" w:rsidRPr="006B27A9" w:rsidRDefault="00442346" w:rsidP="00531E9F">
            <w:pPr>
              <w:spacing w:before="60" w:after="60" w:line="276" w:lineRule="auto"/>
              <w:rPr>
                <w:rFonts w:cs="Arial"/>
                <w:sz w:val="22"/>
              </w:rPr>
            </w:pPr>
          </w:p>
        </w:tc>
        <w:tc>
          <w:tcPr>
            <w:tcW w:w="1978" w:type="dxa"/>
          </w:tcPr>
          <w:p w14:paraId="7D8E2BBA" w14:textId="77777777" w:rsidR="00442346" w:rsidRPr="006B27A9" w:rsidRDefault="00442346" w:rsidP="00531E9F">
            <w:pPr>
              <w:spacing w:before="60" w:after="60" w:line="276" w:lineRule="auto"/>
              <w:rPr>
                <w:rFonts w:cs="Arial"/>
                <w:sz w:val="22"/>
              </w:rPr>
            </w:pPr>
          </w:p>
        </w:tc>
      </w:tr>
      <w:tr w:rsidR="00442346" w:rsidRPr="00560F84" w14:paraId="2E86D70B" w14:textId="77777777" w:rsidTr="00531E9F">
        <w:tc>
          <w:tcPr>
            <w:tcW w:w="2660" w:type="dxa"/>
          </w:tcPr>
          <w:p w14:paraId="2A457AA0" w14:textId="77777777" w:rsidR="00442346" w:rsidRPr="006B27A9" w:rsidRDefault="00442346" w:rsidP="00531E9F">
            <w:pPr>
              <w:spacing w:before="60" w:after="60" w:line="276" w:lineRule="auto"/>
              <w:rPr>
                <w:rFonts w:cs="Arial"/>
                <w:sz w:val="22"/>
              </w:rPr>
            </w:pPr>
            <w:r w:rsidRPr="006B27A9">
              <w:rPr>
                <w:rFonts w:cs="Arial"/>
                <w:sz w:val="22"/>
              </w:rPr>
              <w:t xml:space="preserve">IUI with or without hyperstimulation (FS01005 plus FS01006) </w:t>
            </w:r>
          </w:p>
        </w:tc>
        <w:tc>
          <w:tcPr>
            <w:tcW w:w="1559" w:type="dxa"/>
          </w:tcPr>
          <w:p w14:paraId="467E188D" w14:textId="77777777" w:rsidR="00442346" w:rsidRPr="006B27A9" w:rsidRDefault="00442346" w:rsidP="00531E9F">
            <w:pPr>
              <w:spacing w:before="60" w:after="60" w:line="276" w:lineRule="auto"/>
              <w:rPr>
                <w:rFonts w:cs="Arial"/>
                <w:sz w:val="22"/>
              </w:rPr>
            </w:pPr>
          </w:p>
        </w:tc>
        <w:tc>
          <w:tcPr>
            <w:tcW w:w="2268" w:type="dxa"/>
          </w:tcPr>
          <w:p w14:paraId="6E80BD8D" w14:textId="77777777" w:rsidR="00442346" w:rsidRPr="006B27A9" w:rsidRDefault="00442346" w:rsidP="00531E9F">
            <w:pPr>
              <w:spacing w:before="60" w:after="60" w:line="276" w:lineRule="auto"/>
              <w:rPr>
                <w:rFonts w:cs="Arial"/>
                <w:sz w:val="22"/>
              </w:rPr>
            </w:pPr>
          </w:p>
        </w:tc>
        <w:tc>
          <w:tcPr>
            <w:tcW w:w="1424" w:type="dxa"/>
          </w:tcPr>
          <w:p w14:paraId="5BF4AC61" w14:textId="77777777" w:rsidR="00442346" w:rsidRPr="006B27A9" w:rsidRDefault="00442346" w:rsidP="00531E9F">
            <w:pPr>
              <w:spacing w:before="60" w:after="60" w:line="276" w:lineRule="auto"/>
              <w:rPr>
                <w:rFonts w:cs="Arial"/>
                <w:sz w:val="22"/>
              </w:rPr>
            </w:pPr>
          </w:p>
        </w:tc>
        <w:tc>
          <w:tcPr>
            <w:tcW w:w="1978" w:type="dxa"/>
          </w:tcPr>
          <w:p w14:paraId="5485DD47" w14:textId="77777777" w:rsidR="00442346" w:rsidRPr="006B27A9" w:rsidRDefault="00442346" w:rsidP="00531E9F">
            <w:pPr>
              <w:spacing w:before="60" w:after="60" w:line="276" w:lineRule="auto"/>
              <w:rPr>
                <w:rFonts w:cs="Arial"/>
                <w:sz w:val="22"/>
              </w:rPr>
            </w:pPr>
          </w:p>
        </w:tc>
      </w:tr>
      <w:tr w:rsidR="00442346" w:rsidRPr="00560F84" w14:paraId="4D4A6FE4" w14:textId="77777777" w:rsidTr="00531E9F">
        <w:tc>
          <w:tcPr>
            <w:tcW w:w="2660" w:type="dxa"/>
          </w:tcPr>
          <w:p w14:paraId="05F48A34" w14:textId="77777777" w:rsidR="00442346" w:rsidRPr="006B27A9" w:rsidRDefault="00442346" w:rsidP="00531E9F">
            <w:pPr>
              <w:spacing w:before="60" w:after="60" w:line="276" w:lineRule="auto"/>
              <w:rPr>
                <w:rFonts w:cs="Arial"/>
                <w:sz w:val="22"/>
              </w:rPr>
            </w:pPr>
            <w:r w:rsidRPr="006B27A9">
              <w:rPr>
                <w:rFonts w:cs="Arial"/>
                <w:sz w:val="22"/>
              </w:rPr>
              <w:t xml:space="preserve">Donor insemination (FS01004) </w:t>
            </w:r>
          </w:p>
        </w:tc>
        <w:tc>
          <w:tcPr>
            <w:tcW w:w="1559" w:type="dxa"/>
          </w:tcPr>
          <w:p w14:paraId="1166B221" w14:textId="77777777" w:rsidR="00442346" w:rsidRPr="006B27A9" w:rsidRDefault="00442346" w:rsidP="00531E9F">
            <w:pPr>
              <w:spacing w:before="60" w:after="60" w:line="276" w:lineRule="auto"/>
              <w:rPr>
                <w:rFonts w:cs="Arial"/>
                <w:sz w:val="22"/>
              </w:rPr>
            </w:pPr>
          </w:p>
        </w:tc>
        <w:tc>
          <w:tcPr>
            <w:tcW w:w="2268" w:type="dxa"/>
          </w:tcPr>
          <w:p w14:paraId="2BCC492C" w14:textId="77777777" w:rsidR="00442346" w:rsidRPr="006B27A9" w:rsidRDefault="00442346" w:rsidP="00531E9F">
            <w:pPr>
              <w:spacing w:before="60" w:after="60" w:line="276" w:lineRule="auto"/>
              <w:rPr>
                <w:rFonts w:cs="Arial"/>
                <w:sz w:val="22"/>
              </w:rPr>
            </w:pPr>
          </w:p>
        </w:tc>
        <w:tc>
          <w:tcPr>
            <w:tcW w:w="1424" w:type="dxa"/>
          </w:tcPr>
          <w:p w14:paraId="571FE4C4" w14:textId="77777777" w:rsidR="00442346" w:rsidRPr="006B27A9" w:rsidRDefault="00442346" w:rsidP="00531E9F">
            <w:pPr>
              <w:spacing w:before="60" w:after="60" w:line="276" w:lineRule="auto"/>
              <w:rPr>
                <w:rFonts w:cs="Arial"/>
                <w:sz w:val="22"/>
              </w:rPr>
            </w:pPr>
          </w:p>
        </w:tc>
        <w:tc>
          <w:tcPr>
            <w:tcW w:w="1978" w:type="dxa"/>
          </w:tcPr>
          <w:p w14:paraId="7D980D7D" w14:textId="77777777" w:rsidR="00442346" w:rsidRPr="006B27A9" w:rsidRDefault="00442346" w:rsidP="00531E9F">
            <w:pPr>
              <w:spacing w:before="60" w:after="60" w:line="276" w:lineRule="auto"/>
              <w:rPr>
                <w:rFonts w:cs="Arial"/>
                <w:sz w:val="22"/>
              </w:rPr>
            </w:pPr>
          </w:p>
        </w:tc>
      </w:tr>
      <w:tr w:rsidR="00442346" w:rsidRPr="00560F84" w14:paraId="0C941BBE" w14:textId="77777777" w:rsidTr="00531E9F">
        <w:tc>
          <w:tcPr>
            <w:tcW w:w="2660" w:type="dxa"/>
          </w:tcPr>
          <w:p w14:paraId="3BB364DB" w14:textId="77777777" w:rsidR="00442346" w:rsidRPr="006B27A9" w:rsidRDefault="00442346" w:rsidP="00531E9F">
            <w:pPr>
              <w:spacing w:before="60" w:after="60" w:line="276" w:lineRule="auto"/>
              <w:rPr>
                <w:rFonts w:cs="Arial"/>
                <w:sz w:val="22"/>
              </w:rPr>
            </w:pPr>
            <w:r w:rsidRPr="006B27A9">
              <w:rPr>
                <w:rFonts w:cs="Arial"/>
                <w:sz w:val="22"/>
              </w:rPr>
              <w:t xml:space="preserve">Ovulation induction (FS01009) </w:t>
            </w:r>
          </w:p>
        </w:tc>
        <w:tc>
          <w:tcPr>
            <w:tcW w:w="1559" w:type="dxa"/>
          </w:tcPr>
          <w:p w14:paraId="6C30F607" w14:textId="77777777" w:rsidR="00442346" w:rsidRPr="006B27A9" w:rsidRDefault="00442346" w:rsidP="00531E9F">
            <w:pPr>
              <w:spacing w:before="60" w:after="60" w:line="276" w:lineRule="auto"/>
              <w:rPr>
                <w:rFonts w:cs="Arial"/>
                <w:sz w:val="22"/>
              </w:rPr>
            </w:pPr>
          </w:p>
        </w:tc>
        <w:tc>
          <w:tcPr>
            <w:tcW w:w="2268" w:type="dxa"/>
          </w:tcPr>
          <w:p w14:paraId="2D5B6DE5" w14:textId="77777777" w:rsidR="00442346" w:rsidRPr="006B27A9" w:rsidRDefault="00442346" w:rsidP="00531E9F">
            <w:pPr>
              <w:spacing w:before="60" w:after="60" w:line="276" w:lineRule="auto"/>
              <w:rPr>
                <w:rFonts w:cs="Arial"/>
                <w:sz w:val="22"/>
              </w:rPr>
            </w:pPr>
          </w:p>
        </w:tc>
        <w:tc>
          <w:tcPr>
            <w:tcW w:w="1424" w:type="dxa"/>
          </w:tcPr>
          <w:p w14:paraId="2793ADB4" w14:textId="77777777" w:rsidR="00442346" w:rsidRPr="006B27A9" w:rsidRDefault="00442346" w:rsidP="00531E9F">
            <w:pPr>
              <w:spacing w:before="60" w:after="60" w:line="276" w:lineRule="auto"/>
              <w:rPr>
                <w:rFonts w:cs="Arial"/>
                <w:sz w:val="22"/>
              </w:rPr>
            </w:pPr>
          </w:p>
        </w:tc>
        <w:tc>
          <w:tcPr>
            <w:tcW w:w="1978" w:type="dxa"/>
          </w:tcPr>
          <w:p w14:paraId="677B9F1D" w14:textId="77777777" w:rsidR="00442346" w:rsidRPr="006B27A9" w:rsidRDefault="00442346" w:rsidP="00531E9F">
            <w:pPr>
              <w:spacing w:before="60" w:after="60" w:line="276" w:lineRule="auto"/>
              <w:rPr>
                <w:rFonts w:cs="Arial"/>
                <w:sz w:val="22"/>
              </w:rPr>
            </w:pPr>
          </w:p>
        </w:tc>
      </w:tr>
      <w:tr w:rsidR="001B7701" w:rsidRPr="00560F84" w14:paraId="42044DB4" w14:textId="77777777" w:rsidTr="00531E9F">
        <w:tc>
          <w:tcPr>
            <w:tcW w:w="2660" w:type="dxa"/>
          </w:tcPr>
          <w:p w14:paraId="28F8F355" w14:textId="77777777" w:rsidR="001B7701" w:rsidRPr="006B27A9" w:rsidRDefault="001B7701" w:rsidP="00531E9F">
            <w:pPr>
              <w:spacing w:before="60" w:after="60" w:line="276" w:lineRule="auto"/>
              <w:rPr>
                <w:rFonts w:cs="Arial"/>
                <w:sz w:val="22"/>
              </w:rPr>
            </w:pPr>
            <w:r w:rsidRPr="006B27A9">
              <w:rPr>
                <w:rFonts w:cs="Arial"/>
                <w:sz w:val="22"/>
              </w:rPr>
              <w:t>PGD Biopsy and Testing</w:t>
            </w:r>
            <w:r w:rsidR="00F76A61">
              <w:t xml:space="preserve"> (</w:t>
            </w:r>
            <w:r w:rsidR="00F76A61" w:rsidRPr="00F76A61">
              <w:rPr>
                <w:rFonts w:cs="Arial"/>
                <w:sz w:val="22"/>
              </w:rPr>
              <w:t>FS02003</w:t>
            </w:r>
            <w:r w:rsidR="00F76A61">
              <w:rPr>
                <w:rFonts w:cs="Arial"/>
                <w:sz w:val="22"/>
              </w:rPr>
              <w:t>)</w:t>
            </w:r>
          </w:p>
        </w:tc>
        <w:tc>
          <w:tcPr>
            <w:tcW w:w="1559" w:type="dxa"/>
          </w:tcPr>
          <w:p w14:paraId="719BDD44" w14:textId="77777777" w:rsidR="001B7701" w:rsidRPr="006B27A9" w:rsidRDefault="001B7701" w:rsidP="00531E9F">
            <w:pPr>
              <w:spacing w:before="60" w:after="60" w:line="276" w:lineRule="auto"/>
              <w:rPr>
                <w:rFonts w:cs="Arial"/>
                <w:sz w:val="22"/>
              </w:rPr>
            </w:pPr>
          </w:p>
        </w:tc>
        <w:tc>
          <w:tcPr>
            <w:tcW w:w="2268" w:type="dxa"/>
          </w:tcPr>
          <w:p w14:paraId="03846E4C" w14:textId="77777777" w:rsidR="001B7701" w:rsidRPr="006B27A9" w:rsidRDefault="001B7701" w:rsidP="00531E9F">
            <w:pPr>
              <w:spacing w:before="60" w:after="60" w:line="276" w:lineRule="auto"/>
              <w:rPr>
                <w:rFonts w:cs="Arial"/>
                <w:sz w:val="22"/>
              </w:rPr>
            </w:pPr>
          </w:p>
        </w:tc>
        <w:tc>
          <w:tcPr>
            <w:tcW w:w="1424" w:type="dxa"/>
          </w:tcPr>
          <w:p w14:paraId="0A87FF01" w14:textId="77777777" w:rsidR="001B7701" w:rsidRPr="006B27A9" w:rsidRDefault="001B7701" w:rsidP="00531E9F">
            <w:pPr>
              <w:spacing w:before="60" w:after="60" w:line="276" w:lineRule="auto"/>
              <w:rPr>
                <w:rFonts w:cs="Arial"/>
                <w:sz w:val="22"/>
              </w:rPr>
            </w:pPr>
          </w:p>
        </w:tc>
        <w:tc>
          <w:tcPr>
            <w:tcW w:w="1978" w:type="dxa"/>
          </w:tcPr>
          <w:p w14:paraId="1E4E6EFB" w14:textId="77777777" w:rsidR="001B7701" w:rsidRPr="006B27A9" w:rsidRDefault="001B7701" w:rsidP="00531E9F">
            <w:pPr>
              <w:spacing w:before="60" w:after="60" w:line="276" w:lineRule="auto"/>
              <w:rPr>
                <w:rFonts w:cs="Arial"/>
                <w:sz w:val="22"/>
              </w:rPr>
            </w:pPr>
          </w:p>
        </w:tc>
      </w:tr>
      <w:tr w:rsidR="00442346" w:rsidRPr="00560F84" w14:paraId="2B12CD45" w14:textId="77777777" w:rsidTr="00531E9F">
        <w:tc>
          <w:tcPr>
            <w:tcW w:w="2660" w:type="dxa"/>
          </w:tcPr>
          <w:p w14:paraId="3A25C6E9" w14:textId="77777777" w:rsidR="00442346" w:rsidRPr="006B27A9" w:rsidRDefault="00442346" w:rsidP="00531E9F">
            <w:pPr>
              <w:spacing w:before="60" w:after="60" w:line="276" w:lineRule="auto"/>
              <w:rPr>
                <w:rFonts w:cs="Arial"/>
                <w:sz w:val="22"/>
              </w:rPr>
            </w:pPr>
            <w:r w:rsidRPr="006B27A9">
              <w:rPr>
                <w:rFonts w:cs="Arial"/>
                <w:sz w:val="22"/>
              </w:rPr>
              <w:t xml:space="preserve">TOTAL </w:t>
            </w:r>
          </w:p>
        </w:tc>
        <w:tc>
          <w:tcPr>
            <w:tcW w:w="1559" w:type="dxa"/>
          </w:tcPr>
          <w:p w14:paraId="564CAE49" w14:textId="77777777" w:rsidR="00442346" w:rsidRPr="006B27A9" w:rsidRDefault="00442346" w:rsidP="00531E9F">
            <w:pPr>
              <w:spacing w:before="60" w:after="60" w:line="276" w:lineRule="auto"/>
              <w:rPr>
                <w:rFonts w:cs="Arial"/>
                <w:sz w:val="22"/>
              </w:rPr>
            </w:pPr>
            <w:r w:rsidRPr="006B27A9">
              <w:rPr>
                <w:rFonts w:cs="Arial"/>
                <w:sz w:val="22"/>
              </w:rPr>
              <w:t xml:space="preserve"> </w:t>
            </w:r>
          </w:p>
        </w:tc>
        <w:tc>
          <w:tcPr>
            <w:tcW w:w="2268" w:type="dxa"/>
          </w:tcPr>
          <w:p w14:paraId="56C717F6" w14:textId="77777777" w:rsidR="00442346" w:rsidRPr="006B27A9" w:rsidRDefault="00442346" w:rsidP="00531E9F">
            <w:pPr>
              <w:spacing w:before="60" w:after="60" w:line="276" w:lineRule="auto"/>
              <w:rPr>
                <w:rFonts w:cs="Arial"/>
                <w:sz w:val="22"/>
              </w:rPr>
            </w:pPr>
            <w:r w:rsidRPr="006B27A9">
              <w:rPr>
                <w:rFonts w:cs="Arial"/>
                <w:sz w:val="22"/>
              </w:rPr>
              <w:t xml:space="preserve">(not applicable) </w:t>
            </w:r>
          </w:p>
        </w:tc>
        <w:tc>
          <w:tcPr>
            <w:tcW w:w="1424" w:type="dxa"/>
          </w:tcPr>
          <w:p w14:paraId="2EEF125C" w14:textId="77777777" w:rsidR="00442346" w:rsidRPr="006B27A9" w:rsidRDefault="00442346" w:rsidP="00531E9F">
            <w:pPr>
              <w:spacing w:before="60" w:after="60" w:line="276" w:lineRule="auto"/>
              <w:rPr>
                <w:rFonts w:cs="Arial"/>
                <w:sz w:val="22"/>
              </w:rPr>
            </w:pPr>
          </w:p>
        </w:tc>
        <w:tc>
          <w:tcPr>
            <w:tcW w:w="1978" w:type="dxa"/>
          </w:tcPr>
          <w:p w14:paraId="24A00CAB" w14:textId="77777777" w:rsidR="00442346" w:rsidRPr="006B27A9" w:rsidRDefault="00442346" w:rsidP="00531E9F">
            <w:pPr>
              <w:spacing w:before="60" w:after="60" w:line="276" w:lineRule="auto"/>
              <w:rPr>
                <w:rFonts w:cs="Arial"/>
                <w:sz w:val="22"/>
              </w:rPr>
            </w:pPr>
          </w:p>
        </w:tc>
      </w:tr>
    </w:tbl>
    <w:p w14:paraId="0B599F0B" w14:textId="77777777" w:rsidR="006916E1" w:rsidRDefault="006916E1" w:rsidP="00C9200D">
      <w:pPr>
        <w:spacing w:before="0" w:after="200" w:line="276" w:lineRule="auto"/>
        <w:rPr>
          <w:rFonts w:eastAsiaTheme="minorHAnsi" w:cstheme="minorBidi"/>
          <w:b/>
        </w:rPr>
      </w:pPr>
      <w:r>
        <w:rPr>
          <w:rFonts w:eastAsiaTheme="minorHAnsi" w:cstheme="minorBidi"/>
          <w:b/>
        </w:rPr>
        <w:br w:type="page"/>
      </w:r>
    </w:p>
    <w:p w14:paraId="08372DB6" w14:textId="77777777" w:rsidR="0087404B" w:rsidRPr="00CB0436" w:rsidRDefault="00DD60C0" w:rsidP="00953A97">
      <w:pPr>
        <w:pStyle w:val="Heading1"/>
      </w:pPr>
      <w:r>
        <w:lastRenderedPageBreak/>
        <w:t>APPENDIX</w:t>
      </w:r>
      <w:r w:rsidRPr="00CB0436">
        <w:t xml:space="preserve"> </w:t>
      </w:r>
      <w:r w:rsidR="00D660C2">
        <w:t>THREE</w:t>
      </w:r>
      <w:r>
        <w:t>:</w:t>
      </w:r>
      <w:r w:rsidR="0087404B" w:rsidRPr="00CB0436">
        <w:rPr>
          <w:lang w:val="en-GB"/>
        </w:rPr>
        <w:t xml:space="preserve"> </w:t>
      </w:r>
      <w:r w:rsidR="0055416E">
        <w:rPr>
          <w:lang w:val="en-GB"/>
        </w:rPr>
        <w:t>Wait time and clinical indication</w:t>
      </w:r>
      <w:r w:rsidR="0087404B" w:rsidRPr="00CB0436">
        <w:rPr>
          <w:lang w:val="en-GB"/>
        </w:rPr>
        <w:t xml:space="preserve"> reporting</w:t>
      </w:r>
    </w:p>
    <w:p w14:paraId="47E141E2" w14:textId="77777777" w:rsidR="0087404B" w:rsidRDefault="0087404B">
      <w:pPr>
        <w:spacing w:after="200" w:line="276" w:lineRule="auto"/>
        <w:rPr>
          <w:rFonts w:cs="Arial"/>
          <w:sz w:val="22"/>
          <w:szCs w:val="22"/>
          <w:lang w:val="en-GB"/>
        </w:rPr>
      </w:pPr>
      <w:r w:rsidRPr="003E3F96">
        <w:rPr>
          <w:rFonts w:cs="Arial"/>
          <w:sz w:val="22"/>
          <w:szCs w:val="22"/>
          <w:lang w:val="en-GB"/>
        </w:rPr>
        <w:t xml:space="preserve">Information to be reported </w:t>
      </w:r>
      <w:r w:rsidR="00421A3B">
        <w:rPr>
          <w:rFonts w:cs="Arial"/>
          <w:sz w:val="22"/>
          <w:szCs w:val="22"/>
          <w:lang w:val="en-GB"/>
        </w:rPr>
        <w:t>in an excel spreadsheet,</w:t>
      </w:r>
      <w:r w:rsidR="00421A3B" w:rsidRPr="003E3F96">
        <w:rPr>
          <w:rFonts w:cs="Arial"/>
          <w:sz w:val="22"/>
          <w:szCs w:val="22"/>
          <w:lang w:val="en-GB"/>
        </w:rPr>
        <w:t xml:space="preserve"> </w:t>
      </w:r>
      <w:r w:rsidRPr="003E3F96">
        <w:rPr>
          <w:rFonts w:cs="Arial"/>
          <w:sz w:val="22"/>
          <w:szCs w:val="22"/>
          <w:lang w:val="en-GB"/>
        </w:rPr>
        <w:t xml:space="preserve">to </w:t>
      </w:r>
      <w:r w:rsidR="0055416E">
        <w:rPr>
          <w:rFonts w:cs="Arial"/>
          <w:sz w:val="22"/>
          <w:szCs w:val="22"/>
          <w:lang w:val="en-GB"/>
        </w:rPr>
        <w:t>Sector Operations</w:t>
      </w:r>
      <w:r w:rsidR="000E4247">
        <w:rPr>
          <w:rFonts w:cs="Arial"/>
          <w:sz w:val="22"/>
          <w:szCs w:val="22"/>
          <w:lang w:val="en-GB"/>
        </w:rPr>
        <w:t xml:space="preserve"> using </w:t>
      </w:r>
      <w:r w:rsidR="00C20EE9">
        <w:rPr>
          <w:rFonts w:cs="Arial"/>
          <w:sz w:val="22"/>
          <w:szCs w:val="22"/>
          <w:lang w:val="en-GB"/>
        </w:rPr>
        <w:t xml:space="preserve">the </w:t>
      </w:r>
      <w:r w:rsidR="00D45A58">
        <w:rPr>
          <w:rFonts w:cs="Arial"/>
          <w:sz w:val="22"/>
          <w:szCs w:val="22"/>
          <w:lang w:val="en-GB"/>
        </w:rPr>
        <w:t>layout/</w:t>
      </w:r>
      <w:r w:rsidR="00C20EE9">
        <w:rPr>
          <w:rFonts w:cs="Arial"/>
          <w:sz w:val="22"/>
          <w:szCs w:val="22"/>
          <w:lang w:val="en-GB"/>
        </w:rPr>
        <w:t xml:space="preserve">format of </w:t>
      </w:r>
      <w:r w:rsidR="000E4247">
        <w:rPr>
          <w:rFonts w:cs="Arial"/>
          <w:sz w:val="22"/>
          <w:szCs w:val="22"/>
          <w:lang w:val="en-GB"/>
        </w:rPr>
        <w:t>templates below.</w:t>
      </w:r>
      <w:r w:rsidRPr="003E3F96">
        <w:rPr>
          <w:rFonts w:cs="Arial"/>
          <w:sz w:val="22"/>
          <w:szCs w:val="22"/>
          <w:lang w:val="en-GB"/>
        </w:rPr>
        <w:t xml:space="preserve"> </w:t>
      </w:r>
    </w:p>
    <w:tbl>
      <w:tblPr>
        <w:tblW w:w="4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1680"/>
        <w:gridCol w:w="1939"/>
        <w:gridCol w:w="1799"/>
        <w:gridCol w:w="1939"/>
      </w:tblGrid>
      <w:tr w:rsidR="000E4247" w:rsidRPr="0020710E" w14:paraId="27CA609A" w14:textId="77777777" w:rsidTr="00CB0436">
        <w:trPr>
          <w:trHeight w:val="759"/>
          <w:tblHeader/>
        </w:trPr>
        <w:tc>
          <w:tcPr>
            <w:tcW w:w="5000" w:type="pct"/>
            <w:gridSpan w:val="5"/>
            <w:tcBorders>
              <w:bottom w:val="single" w:sz="4" w:space="0" w:color="auto"/>
            </w:tcBorders>
            <w:shd w:val="clear" w:color="auto" w:fill="auto"/>
          </w:tcPr>
          <w:p w14:paraId="27A95FBB" w14:textId="77777777" w:rsidR="000E4247" w:rsidRDefault="000E4247">
            <w:pPr>
              <w:rPr>
                <w:rFonts w:cs="Arial"/>
                <w:b/>
                <w:sz w:val="20"/>
                <w:szCs w:val="20"/>
              </w:rPr>
            </w:pPr>
            <w:r w:rsidRPr="00BB190F">
              <w:rPr>
                <w:rFonts w:cs="Arial"/>
                <w:b/>
                <w:sz w:val="22"/>
                <w:szCs w:val="22"/>
                <w:lang w:val="en-GB"/>
              </w:rPr>
              <w:t>Reporting template for indication</w:t>
            </w:r>
          </w:p>
        </w:tc>
      </w:tr>
      <w:tr w:rsidR="009754D6" w:rsidRPr="0020710E" w14:paraId="15D436A6" w14:textId="77777777" w:rsidTr="00CB0436">
        <w:trPr>
          <w:trHeight w:val="759"/>
          <w:tblHeader/>
        </w:trPr>
        <w:tc>
          <w:tcPr>
            <w:tcW w:w="629" w:type="pct"/>
            <w:tcBorders>
              <w:bottom w:val="single" w:sz="4" w:space="0" w:color="auto"/>
            </w:tcBorders>
            <w:shd w:val="clear" w:color="auto" w:fill="D9D9D9"/>
          </w:tcPr>
          <w:p w14:paraId="19E8BB5B" w14:textId="77777777" w:rsidR="009754D6" w:rsidRPr="0020710E" w:rsidRDefault="009754D6" w:rsidP="009754D6">
            <w:pPr>
              <w:rPr>
                <w:rFonts w:cs="Arial"/>
                <w:b/>
                <w:sz w:val="20"/>
                <w:szCs w:val="20"/>
              </w:rPr>
            </w:pPr>
            <w:r w:rsidRPr="0020710E">
              <w:rPr>
                <w:rFonts w:cs="Arial"/>
                <w:b/>
                <w:sz w:val="20"/>
                <w:szCs w:val="20"/>
              </w:rPr>
              <w:t>PU Code</w:t>
            </w:r>
          </w:p>
        </w:tc>
        <w:tc>
          <w:tcPr>
            <w:tcW w:w="998" w:type="pct"/>
            <w:tcBorders>
              <w:bottom w:val="single" w:sz="4" w:space="0" w:color="auto"/>
            </w:tcBorders>
            <w:shd w:val="clear" w:color="auto" w:fill="D9D9D9"/>
          </w:tcPr>
          <w:p w14:paraId="10684982" w14:textId="77777777" w:rsidR="009754D6" w:rsidRPr="0020710E" w:rsidRDefault="009754D6" w:rsidP="009754D6">
            <w:pPr>
              <w:rPr>
                <w:rFonts w:cs="Arial"/>
                <w:b/>
                <w:sz w:val="20"/>
                <w:szCs w:val="20"/>
              </w:rPr>
            </w:pPr>
            <w:r w:rsidRPr="0020710E">
              <w:rPr>
                <w:rFonts w:cs="Arial"/>
                <w:b/>
                <w:sz w:val="20"/>
                <w:szCs w:val="20"/>
              </w:rPr>
              <w:t>PU Description</w:t>
            </w:r>
          </w:p>
        </w:tc>
        <w:tc>
          <w:tcPr>
            <w:tcW w:w="3373" w:type="pct"/>
            <w:gridSpan w:val="3"/>
            <w:tcBorders>
              <w:bottom w:val="single" w:sz="4" w:space="0" w:color="auto"/>
            </w:tcBorders>
            <w:shd w:val="clear" w:color="auto" w:fill="D9D9D9"/>
          </w:tcPr>
          <w:p w14:paraId="0BD8C397" w14:textId="77777777" w:rsidR="009754D6" w:rsidRDefault="009754D6" w:rsidP="009754D6">
            <w:pPr>
              <w:rPr>
                <w:rFonts w:cs="Arial"/>
                <w:b/>
                <w:sz w:val="20"/>
                <w:szCs w:val="20"/>
              </w:rPr>
            </w:pPr>
            <w:r>
              <w:rPr>
                <w:rFonts w:cs="Arial"/>
                <w:b/>
                <w:sz w:val="20"/>
                <w:szCs w:val="20"/>
              </w:rPr>
              <w:t>Reason for using service (total per reason)</w:t>
            </w:r>
          </w:p>
        </w:tc>
      </w:tr>
      <w:tr w:rsidR="00D72905" w:rsidRPr="0020710E" w14:paraId="0926AADF" w14:textId="77777777" w:rsidTr="00CB0436">
        <w:trPr>
          <w:trHeight w:val="759"/>
          <w:tblHeader/>
        </w:trPr>
        <w:tc>
          <w:tcPr>
            <w:tcW w:w="629" w:type="pct"/>
            <w:tcBorders>
              <w:bottom w:val="single" w:sz="4" w:space="0" w:color="auto"/>
            </w:tcBorders>
            <w:shd w:val="clear" w:color="auto" w:fill="D9D9D9"/>
          </w:tcPr>
          <w:p w14:paraId="09413A07" w14:textId="77777777" w:rsidR="009754D6" w:rsidRPr="0020710E" w:rsidRDefault="009754D6" w:rsidP="009754D6">
            <w:pPr>
              <w:rPr>
                <w:rFonts w:cs="Arial"/>
                <w:b/>
                <w:sz w:val="20"/>
                <w:szCs w:val="20"/>
              </w:rPr>
            </w:pPr>
          </w:p>
        </w:tc>
        <w:tc>
          <w:tcPr>
            <w:tcW w:w="998" w:type="pct"/>
            <w:tcBorders>
              <w:bottom w:val="single" w:sz="4" w:space="0" w:color="auto"/>
            </w:tcBorders>
            <w:shd w:val="clear" w:color="auto" w:fill="D9D9D9"/>
          </w:tcPr>
          <w:p w14:paraId="265BC91B" w14:textId="77777777" w:rsidR="009754D6" w:rsidRPr="0020710E" w:rsidRDefault="009754D6" w:rsidP="009754D6">
            <w:pPr>
              <w:rPr>
                <w:rFonts w:cs="Arial"/>
                <w:b/>
                <w:sz w:val="20"/>
                <w:szCs w:val="20"/>
              </w:rPr>
            </w:pPr>
          </w:p>
        </w:tc>
        <w:tc>
          <w:tcPr>
            <w:tcW w:w="1152" w:type="pct"/>
            <w:tcBorders>
              <w:bottom w:val="single" w:sz="4" w:space="0" w:color="auto"/>
            </w:tcBorders>
            <w:shd w:val="clear" w:color="auto" w:fill="D9D9D9"/>
          </w:tcPr>
          <w:p w14:paraId="2A3ECAE1" w14:textId="77777777" w:rsidR="009754D6" w:rsidRDefault="009754D6" w:rsidP="009754D6">
            <w:pPr>
              <w:rPr>
                <w:rFonts w:cs="Arial"/>
                <w:b/>
                <w:sz w:val="20"/>
                <w:szCs w:val="20"/>
              </w:rPr>
            </w:pPr>
            <w:r>
              <w:rPr>
                <w:rFonts w:cs="Arial"/>
                <w:b/>
                <w:sz w:val="20"/>
                <w:szCs w:val="20"/>
              </w:rPr>
              <w:t>INF</w:t>
            </w:r>
          </w:p>
        </w:tc>
        <w:tc>
          <w:tcPr>
            <w:tcW w:w="1069" w:type="pct"/>
            <w:tcBorders>
              <w:bottom w:val="single" w:sz="4" w:space="0" w:color="auto"/>
            </w:tcBorders>
            <w:shd w:val="clear" w:color="auto" w:fill="D9D9D9"/>
          </w:tcPr>
          <w:p w14:paraId="45F9EAD0" w14:textId="77777777" w:rsidR="009754D6" w:rsidRDefault="009754D6" w:rsidP="009754D6">
            <w:pPr>
              <w:rPr>
                <w:rFonts w:cs="Arial"/>
                <w:b/>
                <w:sz w:val="20"/>
                <w:szCs w:val="20"/>
              </w:rPr>
            </w:pPr>
            <w:r>
              <w:rPr>
                <w:rFonts w:cs="Arial"/>
                <w:b/>
                <w:sz w:val="20"/>
                <w:szCs w:val="20"/>
              </w:rPr>
              <w:t>PGD</w:t>
            </w:r>
          </w:p>
        </w:tc>
        <w:tc>
          <w:tcPr>
            <w:tcW w:w="1152" w:type="pct"/>
            <w:tcBorders>
              <w:bottom w:val="single" w:sz="4" w:space="0" w:color="auto"/>
            </w:tcBorders>
            <w:shd w:val="clear" w:color="auto" w:fill="D9D9D9"/>
          </w:tcPr>
          <w:p w14:paraId="1FB1F592" w14:textId="77777777" w:rsidR="009754D6" w:rsidRDefault="009754D6" w:rsidP="009754D6">
            <w:pPr>
              <w:rPr>
                <w:rFonts w:cs="Arial"/>
                <w:b/>
                <w:sz w:val="20"/>
                <w:szCs w:val="20"/>
              </w:rPr>
            </w:pPr>
            <w:r>
              <w:rPr>
                <w:rFonts w:cs="Arial"/>
                <w:b/>
                <w:sz w:val="20"/>
                <w:szCs w:val="20"/>
              </w:rPr>
              <w:t>FPR</w:t>
            </w:r>
          </w:p>
        </w:tc>
      </w:tr>
      <w:tr w:rsidR="00D72905" w:rsidRPr="0020710E" w14:paraId="4DC0CE28" w14:textId="77777777" w:rsidTr="00CB0436">
        <w:trPr>
          <w:trHeight w:val="340"/>
        </w:trPr>
        <w:tc>
          <w:tcPr>
            <w:tcW w:w="629" w:type="pct"/>
            <w:shd w:val="clear" w:color="auto" w:fill="auto"/>
          </w:tcPr>
          <w:p w14:paraId="2B75F5C5" w14:textId="77777777" w:rsidR="009754D6" w:rsidRPr="00CB0436" w:rsidRDefault="009754D6" w:rsidP="009754D6">
            <w:pPr>
              <w:spacing w:before="0" w:after="0"/>
              <w:rPr>
                <w:rFonts w:cs="Arial"/>
                <w:sz w:val="20"/>
                <w:szCs w:val="20"/>
              </w:rPr>
            </w:pPr>
            <w:r w:rsidRPr="009C0EE2">
              <w:rPr>
                <w:rFonts w:cs="Arial"/>
                <w:sz w:val="20"/>
                <w:szCs w:val="20"/>
              </w:rPr>
              <w:t>FS01001</w:t>
            </w:r>
          </w:p>
        </w:tc>
        <w:tc>
          <w:tcPr>
            <w:tcW w:w="998" w:type="pct"/>
            <w:shd w:val="clear" w:color="auto" w:fill="auto"/>
          </w:tcPr>
          <w:p w14:paraId="6762485A" w14:textId="77777777" w:rsidR="009754D6" w:rsidRPr="00CB0436" w:rsidRDefault="009754D6" w:rsidP="009754D6">
            <w:pPr>
              <w:spacing w:before="0" w:after="0"/>
              <w:rPr>
                <w:rFonts w:cs="Arial"/>
                <w:sz w:val="20"/>
                <w:szCs w:val="20"/>
              </w:rPr>
            </w:pPr>
            <w:r w:rsidRPr="009C0EE2">
              <w:rPr>
                <w:rFonts w:cs="Arial"/>
                <w:sz w:val="20"/>
                <w:szCs w:val="20"/>
              </w:rPr>
              <w:t>Fertility Services- 1</w:t>
            </w:r>
            <w:r w:rsidRPr="009C0EE2">
              <w:rPr>
                <w:rFonts w:cs="Arial"/>
                <w:sz w:val="20"/>
                <w:szCs w:val="20"/>
                <w:vertAlign w:val="superscript"/>
              </w:rPr>
              <w:t>st</w:t>
            </w:r>
            <w:r w:rsidRPr="009C0EE2">
              <w:rPr>
                <w:rFonts w:cs="Arial"/>
                <w:sz w:val="20"/>
                <w:szCs w:val="20"/>
              </w:rPr>
              <w:t xml:space="preserve"> Attendance </w:t>
            </w:r>
          </w:p>
        </w:tc>
        <w:tc>
          <w:tcPr>
            <w:tcW w:w="1152" w:type="pct"/>
            <w:shd w:val="clear" w:color="auto" w:fill="auto"/>
          </w:tcPr>
          <w:p w14:paraId="407E90F8" w14:textId="77777777" w:rsidR="009754D6" w:rsidRPr="00975338" w:rsidRDefault="009754D6" w:rsidP="009754D6">
            <w:pPr>
              <w:spacing w:before="0" w:after="0"/>
              <w:rPr>
                <w:rFonts w:cs="Arial"/>
                <w:sz w:val="20"/>
                <w:szCs w:val="20"/>
              </w:rPr>
            </w:pPr>
          </w:p>
        </w:tc>
        <w:tc>
          <w:tcPr>
            <w:tcW w:w="1069" w:type="pct"/>
          </w:tcPr>
          <w:p w14:paraId="528C3FA0" w14:textId="77777777" w:rsidR="009754D6" w:rsidRPr="00975338" w:rsidRDefault="009754D6" w:rsidP="009754D6">
            <w:pPr>
              <w:spacing w:before="0" w:after="0"/>
              <w:rPr>
                <w:rFonts w:cs="Arial"/>
                <w:sz w:val="20"/>
                <w:szCs w:val="20"/>
              </w:rPr>
            </w:pPr>
          </w:p>
        </w:tc>
        <w:tc>
          <w:tcPr>
            <w:tcW w:w="1152" w:type="pct"/>
          </w:tcPr>
          <w:p w14:paraId="6971CC8B" w14:textId="77777777" w:rsidR="009754D6" w:rsidRPr="00975338" w:rsidRDefault="009754D6" w:rsidP="009754D6">
            <w:pPr>
              <w:spacing w:before="0" w:after="0"/>
              <w:rPr>
                <w:rFonts w:cs="Arial"/>
                <w:sz w:val="20"/>
                <w:szCs w:val="20"/>
              </w:rPr>
            </w:pPr>
          </w:p>
        </w:tc>
      </w:tr>
      <w:tr w:rsidR="00D72905" w:rsidRPr="0020710E" w14:paraId="13E2B244" w14:textId="77777777" w:rsidTr="00CB0436">
        <w:trPr>
          <w:trHeight w:val="759"/>
        </w:trPr>
        <w:tc>
          <w:tcPr>
            <w:tcW w:w="629" w:type="pct"/>
            <w:shd w:val="clear" w:color="auto" w:fill="auto"/>
          </w:tcPr>
          <w:p w14:paraId="78B1B051" w14:textId="77777777" w:rsidR="009754D6" w:rsidRPr="00CB0436" w:rsidRDefault="009754D6" w:rsidP="009754D6">
            <w:pPr>
              <w:spacing w:before="0" w:after="0"/>
              <w:rPr>
                <w:rFonts w:cs="Arial"/>
                <w:sz w:val="20"/>
                <w:szCs w:val="20"/>
              </w:rPr>
            </w:pPr>
            <w:r w:rsidRPr="009C0EE2">
              <w:rPr>
                <w:rFonts w:cs="Arial"/>
                <w:sz w:val="20"/>
                <w:szCs w:val="20"/>
              </w:rPr>
              <w:t>FS01002</w:t>
            </w:r>
          </w:p>
        </w:tc>
        <w:tc>
          <w:tcPr>
            <w:tcW w:w="998" w:type="pct"/>
            <w:shd w:val="clear" w:color="auto" w:fill="auto"/>
          </w:tcPr>
          <w:p w14:paraId="53C600D2" w14:textId="77777777" w:rsidR="009754D6" w:rsidRPr="00CB0436" w:rsidRDefault="009754D6" w:rsidP="009754D6">
            <w:pPr>
              <w:spacing w:before="0" w:after="0"/>
              <w:rPr>
                <w:rFonts w:cs="Arial"/>
                <w:sz w:val="20"/>
                <w:szCs w:val="20"/>
              </w:rPr>
            </w:pPr>
            <w:r w:rsidRPr="009C0EE2">
              <w:rPr>
                <w:rFonts w:cs="Arial"/>
                <w:sz w:val="20"/>
                <w:szCs w:val="20"/>
              </w:rPr>
              <w:t>IVF Programme- first cycle</w:t>
            </w:r>
          </w:p>
        </w:tc>
        <w:tc>
          <w:tcPr>
            <w:tcW w:w="1152" w:type="pct"/>
            <w:shd w:val="clear" w:color="auto" w:fill="auto"/>
          </w:tcPr>
          <w:p w14:paraId="6E1A599E" w14:textId="77777777" w:rsidR="009754D6" w:rsidRPr="00975338" w:rsidRDefault="009754D6" w:rsidP="009754D6">
            <w:pPr>
              <w:spacing w:before="0" w:after="0"/>
              <w:rPr>
                <w:rFonts w:cs="Arial"/>
                <w:b/>
                <w:sz w:val="20"/>
                <w:szCs w:val="20"/>
              </w:rPr>
            </w:pPr>
          </w:p>
        </w:tc>
        <w:tc>
          <w:tcPr>
            <w:tcW w:w="1069" w:type="pct"/>
          </w:tcPr>
          <w:p w14:paraId="03ED00BB" w14:textId="77777777" w:rsidR="009754D6" w:rsidRPr="00975338" w:rsidRDefault="009754D6" w:rsidP="009754D6">
            <w:pPr>
              <w:spacing w:before="0" w:after="0"/>
              <w:rPr>
                <w:rFonts w:cs="Arial"/>
                <w:b/>
                <w:sz w:val="20"/>
                <w:szCs w:val="20"/>
              </w:rPr>
            </w:pPr>
          </w:p>
        </w:tc>
        <w:tc>
          <w:tcPr>
            <w:tcW w:w="1152" w:type="pct"/>
          </w:tcPr>
          <w:p w14:paraId="3641C300" w14:textId="77777777" w:rsidR="009754D6" w:rsidRPr="00975338" w:rsidRDefault="009754D6" w:rsidP="009754D6">
            <w:pPr>
              <w:spacing w:before="0" w:after="0"/>
              <w:rPr>
                <w:rFonts w:cs="Arial"/>
                <w:b/>
                <w:sz w:val="20"/>
                <w:szCs w:val="20"/>
              </w:rPr>
            </w:pPr>
          </w:p>
        </w:tc>
      </w:tr>
      <w:tr w:rsidR="00D72905" w:rsidRPr="0020710E" w14:paraId="22E2402E" w14:textId="77777777" w:rsidTr="00CB0436">
        <w:trPr>
          <w:trHeight w:val="355"/>
        </w:trPr>
        <w:tc>
          <w:tcPr>
            <w:tcW w:w="629" w:type="pct"/>
            <w:shd w:val="clear" w:color="auto" w:fill="auto"/>
          </w:tcPr>
          <w:p w14:paraId="7ADD9751" w14:textId="77777777" w:rsidR="009754D6" w:rsidRPr="00975338" w:rsidRDefault="009754D6" w:rsidP="009754D6">
            <w:pPr>
              <w:spacing w:before="0" w:after="0"/>
              <w:rPr>
                <w:rFonts w:cs="Arial"/>
                <w:sz w:val="20"/>
                <w:szCs w:val="20"/>
              </w:rPr>
            </w:pPr>
            <w:r w:rsidRPr="00975338">
              <w:rPr>
                <w:rFonts w:cs="Arial"/>
                <w:sz w:val="20"/>
                <w:szCs w:val="20"/>
              </w:rPr>
              <w:t>FS01003</w:t>
            </w:r>
          </w:p>
        </w:tc>
        <w:tc>
          <w:tcPr>
            <w:tcW w:w="998" w:type="pct"/>
            <w:shd w:val="clear" w:color="auto" w:fill="auto"/>
          </w:tcPr>
          <w:p w14:paraId="2202FC9B" w14:textId="77777777" w:rsidR="009754D6" w:rsidRPr="00975338" w:rsidRDefault="009754D6" w:rsidP="009754D6">
            <w:pPr>
              <w:spacing w:before="0" w:after="0"/>
              <w:rPr>
                <w:rFonts w:cs="Arial"/>
                <w:sz w:val="20"/>
                <w:szCs w:val="20"/>
              </w:rPr>
            </w:pPr>
            <w:r w:rsidRPr="00975338">
              <w:rPr>
                <w:rFonts w:cs="Arial"/>
                <w:color w:val="000000"/>
                <w:sz w:val="20"/>
                <w:szCs w:val="20"/>
              </w:rPr>
              <w:t>Intracytoplasmic sperm injection (</w:t>
            </w:r>
            <w:r w:rsidRPr="00975338">
              <w:rPr>
                <w:rFonts w:cs="Arial"/>
                <w:sz w:val="20"/>
                <w:szCs w:val="20"/>
              </w:rPr>
              <w:t>ICSI) Addition</w:t>
            </w:r>
          </w:p>
        </w:tc>
        <w:tc>
          <w:tcPr>
            <w:tcW w:w="1152" w:type="pct"/>
            <w:shd w:val="clear" w:color="auto" w:fill="auto"/>
          </w:tcPr>
          <w:p w14:paraId="67A19BA6" w14:textId="77777777" w:rsidR="009754D6" w:rsidRPr="00975338" w:rsidRDefault="009754D6" w:rsidP="009754D6">
            <w:pPr>
              <w:spacing w:before="0" w:after="0"/>
              <w:rPr>
                <w:rFonts w:cs="Arial"/>
                <w:b/>
                <w:sz w:val="20"/>
                <w:szCs w:val="20"/>
              </w:rPr>
            </w:pPr>
          </w:p>
        </w:tc>
        <w:tc>
          <w:tcPr>
            <w:tcW w:w="1069" w:type="pct"/>
          </w:tcPr>
          <w:p w14:paraId="3DDD2B3D" w14:textId="77777777" w:rsidR="009754D6" w:rsidRPr="00975338" w:rsidRDefault="009754D6" w:rsidP="009754D6">
            <w:pPr>
              <w:spacing w:before="0" w:after="0"/>
              <w:rPr>
                <w:rFonts w:cs="Arial"/>
                <w:b/>
                <w:sz w:val="20"/>
                <w:szCs w:val="20"/>
              </w:rPr>
            </w:pPr>
          </w:p>
        </w:tc>
        <w:tc>
          <w:tcPr>
            <w:tcW w:w="1152" w:type="pct"/>
          </w:tcPr>
          <w:p w14:paraId="68D08745" w14:textId="77777777" w:rsidR="009754D6" w:rsidRPr="00975338" w:rsidRDefault="009754D6" w:rsidP="009754D6">
            <w:pPr>
              <w:spacing w:before="0" w:after="0"/>
              <w:rPr>
                <w:rFonts w:cs="Arial"/>
                <w:b/>
                <w:sz w:val="20"/>
                <w:szCs w:val="20"/>
              </w:rPr>
            </w:pPr>
          </w:p>
        </w:tc>
      </w:tr>
      <w:tr w:rsidR="00D72905" w:rsidRPr="0020710E" w14:paraId="4BBE2AB5" w14:textId="77777777" w:rsidTr="00CB0436">
        <w:trPr>
          <w:trHeight w:val="759"/>
        </w:trPr>
        <w:tc>
          <w:tcPr>
            <w:tcW w:w="629" w:type="pct"/>
            <w:shd w:val="clear" w:color="auto" w:fill="auto"/>
          </w:tcPr>
          <w:p w14:paraId="5CC4DD95" w14:textId="77777777" w:rsidR="009754D6" w:rsidRPr="00FF3291" w:rsidRDefault="009754D6" w:rsidP="009754D6">
            <w:pPr>
              <w:spacing w:before="0" w:after="0"/>
              <w:rPr>
                <w:rFonts w:cs="Arial"/>
                <w:b/>
                <w:sz w:val="20"/>
                <w:szCs w:val="20"/>
              </w:rPr>
            </w:pPr>
            <w:r w:rsidRPr="00FF3291">
              <w:rPr>
                <w:rFonts w:cs="Arial"/>
                <w:sz w:val="20"/>
                <w:szCs w:val="20"/>
              </w:rPr>
              <w:t>FS01008</w:t>
            </w:r>
          </w:p>
        </w:tc>
        <w:tc>
          <w:tcPr>
            <w:tcW w:w="998" w:type="pct"/>
            <w:shd w:val="clear" w:color="auto" w:fill="auto"/>
          </w:tcPr>
          <w:p w14:paraId="077571CD" w14:textId="77777777" w:rsidR="009754D6" w:rsidRPr="00975338" w:rsidRDefault="009754D6" w:rsidP="009754D6">
            <w:pPr>
              <w:spacing w:before="0" w:after="0"/>
              <w:rPr>
                <w:rFonts w:cs="Arial"/>
                <w:b/>
                <w:sz w:val="20"/>
                <w:szCs w:val="20"/>
              </w:rPr>
            </w:pPr>
            <w:r w:rsidRPr="00975338">
              <w:rPr>
                <w:rFonts w:cs="Arial"/>
                <w:sz w:val="20"/>
                <w:szCs w:val="20"/>
              </w:rPr>
              <w:t>Thawed Embryo Replacement</w:t>
            </w:r>
          </w:p>
        </w:tc>
        <w:tc>
          <w:tcPr>
            <w:tcW w:w="1152" w:type="pct"/>
            <w:shd w:val="clear" w:color="auto" w:fill="auto"/>
          </w:tcPr>
          <w:p w14:paraId="3F9B82B0" w14:textId="77777777" w:rsidR="009754D6" w:rsidRPr="00975338" w:rsidRDefault="009754D6" w:rsidP="009754D6">
            <w:pPr>
              <w:spacing w:before="0" w:after="0"/>
              <w:rPr>
                <w:rFonts w:cs="Arial"/>
                <w:b/>
                <w:sz w:val="20"/>
                <w:szCs w:val="20"/>
              </w:rPr>
            </w:pPr>
          </w:p>
        </w:tc>
        <w:tc>
          <w:tcPr>
            <w:tcW w:w="1069" w:type="pct"/>
          </w:tcPr>
          <w:p w14:paraId="4BF18323" w14:textId="77777777" w:rsidR="009754D6" w:rsidRPr="00975338" w:rsidRDefault="009754D6" w:rsidP="009754D6">
            <w:pPr>
              <w:spacing w:before="0" w:after="0"/>
              <w:rPr>
                <w:rFonts w:cs="Arial"/>
                <w:b/>
                <w:sz w:val="20"/>
                <w:szCs w:val="20"/>
              </w:rPr>
            </w:pPr>
          </w:p>
        </w:tc>
        <w:tc>
          <w:tcPr>
            <w:tcW w:w="1152" w:type="pct"/>
          </w:tcPr>
          <w:p w14:paraId="0B40B075" w14:textId="77777777" w:rsidR="009754D6" w:rsidRPr="00975338" w:rsidRDefault="009754D6" w:rsidP="009754D6">
            <w:pPr>
              <w:spacing w:before="0" w:after="0"/>
              <w:rPr>
                <w:rFonts w:cs="Arial"/>
                <w:b/>
                <w:sz w:val="20"/>
                <w:szCs w:val="20"/>
              </w:rPr>
            </w:pPr>
          </w:p>
        </w:tc>
      </w:tr>
      <w:tr w:rsidR="00D72905" w:rsidRPr="0020710E" w14:paraId="46278122" w14:textId="77777777" w:rsidTr="00CB0436">
        <w:trPr>
          <w:trHeight w:val="759"/>
        </w:trPr>
        <w:tc>
          <w:tcPr>
            <w:tcW w:w="629" w:type="pct"/>
            <w:shd w:val="clear" w:color="auto" w:fill="auto"/>
          </w:tcPr>
          <w:p w14:paraId="5979300E" w14:textId="77777777" w:rsidR="009754D6" w:rsidRPr="00FF3291" w:rsidRDefault="009754D6" w:rsidP="009754D6">
            <w:pPr>
              <w:spacing w:before="0" w:after="0"/>
              <w:rPr>
                <w:rFonts w:cs="Arial"/>
                <w:sz w:val="20"/>
                <w:szCs w:val="20"/>
              </w:rPr>
            </w:pPr>
            <w:r w:rsidRPr="00FF3291">
              <w:rPr>
                <w:rFonts w:cs="Arial"/>
                <w:sz w:val="20"/>
                <w:szCs w:val="20"/>
              </w:rPr>
              <w:t>FS01013</w:t>
            </w:r>
          </w:p>
        </w:tc>
        <w:tc>
          <w:tcPr>
            <w:tcW w:w="998" w:type="pct"/>
            <w:shd w:val="clear" w:color="auto" w:fill="auto"/>
          </w:tcPr>
          <w:p w14:paraId="19355BCF" w14:textId="77777777" w:rsidR="009754D6" w:rsidRPr="00975338" w:rsidRDefault="009754D6" w:rsidP="009754D6">
            <w:pPr>
              <w:spacing w:before="0" w:after="0"/>
              <w:rPr>
                <w:rFonts w:cs="Arial"/>
                <w:sz w:val="20"/>
                <w:szCs w:val="20"/>
              </w:rPr>
            </w:pPr>
            <w:r w:rsidRPr="00975338">
              <w:rPr>
                <w:rFonts w:cs="Arial"/>
                <w:sz w:val="20"/>
                <w:szCs w:val="20"/>
              </w:rPr>
              <w:t>Cancelled IVF Cycle</w:t>
            </w:r>
          </w:p>
        </w:tc>
        <w:tc>
          <w:tcPr>
            <w:tcW w:w="1152" w:type="pct"/>
            <w:shd w:val="clear" w:color="auto" w:fill="auto"/>
          </w:tcPr>
          <w:p w14:paraId="2F0FDC0F" w14:textId="77777777" w:rsidR="009754D6" w:rsidRPr="00975338" w:rsidRDefault="009754D6" w:rsidP="009754D6">
            <w:pPr>
              <w:spacing w:before="0" w:after="0"/>
              <w:rPr>
                <w:rFonts w:cs="Arial"/>
                <w:b/>
                <w:sz w:val="20"/>
                <w:szCs w:val="20"/>
              </w:rPr>
            </w:pPr>
          </w:p>
        </w:tc>
        <w:tc>
          <w:tcPr>
            <w:tcW w:w="1069" w:type="pct"/>
          </w:tcPr>
          <w:p w14:paraId="0E79E659" w14:textId="77777777" w:rsidR="009754D6" w:rsidRPr="00975338" w:rsidRDefault="009754D6" w:rsidP="009754D6">
            <w:pPr>
              <w:spacing w:before="0" w:after="0"/>
              <w:rPr>
                <w:rFonts w:cs="Arial"/>
                <w:b/>
                <w:sz w:val="20"/>
                <w:szCs w:val="20"/>
              </w:rPr>
            </w:pPr>
          </w:p>
        </w:tc>
        <w:tc>
          <w:tcPr>
            <w:tcW w:w="1152" w:type="pct"/>
          </w:tcPr>
          <w:p w14:paraId="75868EF7" w14:textId="77777777" w:rsidR="009754D6" w:rsidRPr="00975338" w:rsidRDefault="009754D6" w:rsidP="009754D6">
            <w:pPr>
              <w:spacing w:before="0" w:after="0"/>
              <w:rPr>
                <w:rFonts w:cs="Arial"/>
                <w:b/>
                <w:sz w:val="20"/>
                <w:szCs w:val="20"/>
              </w:rPr>
            </w:pPr>
          </w:p>
        </w:tc>
      </w:tr>
      <w:tr w:rsidR="00D72905" w:rsidRPr="0020710E" w14:paraId="02B82D9C" w14:textId="77777777" w:rsidTr="00CB0436">
        <w:trPr>
          <w:trHeight w:val="759"/>
        </w:trPr>
        <w:tc>
          <w:tcPr>
            <w:tcW w:w="629" w:type="pct"/>
            <w:shd w:val="clear" w:color="auto" w:fill="auto"/>
          </w:tcPr>
          <w:p w14:paraId="7491C24D" w14:textId="77777777" w:rsidR="009754D6" w:rsidRPr="00975338" w:rsidRDefault="009754D6" w:rsidP="009754D6">
            <w:pPr>
              <w:spacing w:before="0" w:after="0"/>
              <w:rPr>
                <w:rFonts w:cs="Arial"/>
                <w:sz w:val="20"/>
                <w:szCs w:val="20"/>
              </w:rPr>
            </w:pPr>
            <w:r w:rsidRPr="00975338">
              <w:rPr>
                <w:rFonts w:cs="Arial"/>
                <w:sz w:val="20"/>
                <w:szCs w:val="20"/>
              </w:rPr>
              <w:t>FS01014</w:t>
            </w:r>
          </w:p>
        </w:tc>
        <w:tc>
          <w:tcPr>
            <w:tcW w:w="998" w:type="pct"/>
            <w:shd w:val="clear" w:color="auto" w:fill="auto"/>
          </w:tcPr>
          <w:p w14:paraId="16D7F2B8" w14:textId="77777777" w:rsidR="009754D6" w:rsidRPr="00975338" w:rsidRDefault="009754D6" w:rsidP="009754D6">
            <w:pPr>
              <w:spacing w:before="0" w:after="0"/>
              <w:rPr>
                <w:rFonts w:cs="Arial"/>
                <w:sz w:val="20"/>
                <w:szCs w:val="20"/>
              </w:rPr>
            </w:pPr>
            <w:r w:rsidRPr="00975338">
              <w:rPr>
                <w:rFonts w:cs="Arial"/>
                <w:sz w:val="20"/>
                <w:szCs w:val="20"/>
              </w:rPr>
              <w:t>Incomplete IVF Cycle</w:t>
            </w:r>
          </w:p>
        </w:tc>
        <w:tc>
          <w:tcPr>
            <w:tcW w:w="1152" w:type="pct"/>
            <w:shd w:val="clear" w:color="auto" w:fill="auto"/>
          </w:tcPr>
          <w:p w14:paraId="7587424D" w14:textId="77777777" w:rsidR="009754D6" w:rsidRPr="00975338" w:rsidRDefault="009754D6" w:rsidP="009754D6">
            <w:pPr>
              <w:spacing w:before="0" w:after="0"/>
              <w:rPr>
                <w:rFonts w:cs="Arial"/>
                <w:b/>
                <w:sz w:val="20"/>
                <w:szCs w:val="20"/>
              </w:rPr>
            </w:pPr>
          </w:p>
        </w:tc>
        <w:tc>
          <w:tcPr>
            <w:tcW w:w="1069" w:type="pct"/>
          </w:tcPr>
          <w:p w14:paraId="61076C6C" w14:textId="77777777" w:rsidR="009754D6" w:rsidRPr="00975338" w:rsidRDefault="009754D6" w:rsidP="009754D6">
            <w:pPr>
              <w:spacing w:before="0" w:after="0"/>
              <w:rPr>
                <w:rFonts w:cs="Arial"/>
                <w:b/>
                <w:sz w:val="20"/>
                <w:szCs w:val="20"/>
              </w:rPr>
            </w:pPr>
          </w:p>
        </w:tc>
        <w:tc>
          <w:tcPr>
            <w:tcW w:w="1152" w:type="pct"/>
          </w:tcPr>
          <w:p w14:paraId="74D74D2A" w14:textId="77777777" w:rsidR="009754D6" w:rsidRPr="00975338" w:rsidRDefault="009754D6" w:rsidP="009754D6">
            <w:pPr>
              <w:spacing w:before="0" w:after="0"/>
              <w:rPr>
                <w:rFonts w:cs="Arial"/>
                <w:b/>
                <w:sz w:val="20"/>
                <w:szCs w:val="20"/>
              </w:rPr>
            </w:pPr>
          </w:p>
        </w:tc>
      </w:tr>
      <w:tr w:rsidR="00D72905" w:rsidRPr="0020710E" w14:paraId="29162560" w14:textId="77777777" w:rsidTr="00CB0436">
        <w:trPr>
          <w:trHeight w:val="759"/>
        </w:trPr>
        <w:tc>
          <w:tcPr>
            <w:tcW w:w="629" w:type="pct"/>
            <w:shd w:val="clear" w:color="auto" w:fill="auto"/>
          </w:tcPr>
          <w:p w14:paraId="6EBA7C21" w14:textId="77777777" w:rsidR="009754D6" w:rsidRPr="00975338" w:rsidRDefault="009754D6" w:rsidP="009754D6">
            <w:pPr>
              <w:spacing w:before="0" w:after="0"/>
              <w:rPr>
                <w:rFonts w:cs="Arial"/>
                <w:sz w:val="20"/>
                <w:szCs w:val="20"/>
              </w:rPr>
            </w:pPr>
            <w:r w:rsidRPr="00975338">
              <w:rPr>
                <w:rFonts w:cs="Arial"/>
                <w:sz w:val="20"/>
                <w:szCs w:val="20"/>
              </w:rPr>
              <w:t>FS01018</w:t>
            </w:r>
          </w:p>
        </w:tc>
        <w:tc>
          <w:tcPr>
            <w:tcW w:w="998" w:type="pct"/>
            <w:shd w:val="clear" w:color="auto" w:fill="auto"/>
          </w:tcPr>
          <w:p w14:paraId="0339029E" w14:textId="77777777" w:rsidR="009754D6" w:rsidRPr="00975338" w:rsidRDefault="009754D6" w:rsidP="009754D6">
            <w:pPr>
              <w:spacing w:before="0" w:after="0"/>
              <w:rPr>
                <w:rFonts w:cs="Arial"/>
                <w:sz w:val="20"/>
                <w:szCs w:val="20"/>
              </w:rPr>
            </w:pPr>
            <w:r w:rsidRPr="00975338">
              <w:rPr>
                <w:rFonts w:cs="Arial"/>
                <w:sz w:val="20"/>
                <w:szCs w:val="20"/>
              </w:rPr>
              <w:t>IVF standard second cycle</w:t>
            </w:r>
          </w:p>
        </w:tc>
        <w:tc>
          <w:tcPr>
            <w:tcW w:w="1152" w:type="pct"/>
            <w:shd w:val="clear" w:color="auto" w:fill="auto"/>
          </w:tcPr>
          <w:p w14:paraId="3D261EEC" w14:textId="77777777" w:rsidR="009754D6" w:rsidRPr="00975338" w:rsidRDefault="009754D6" w:rsidP="009754D6">
            <w:pPr>
              <w:spacing w:before="0" w:after="0"/>
              <w:rPr>
                <w:rFonts w:cs="Arial"/>
                <w:b/>
                <w:sz w:val="20"/>
                <w:szCs w:val="20"/>
              </w:rPr>
            </w:pPr>
          </w:p>
        </w:tc>
        <w:tc>
          <w:tcPr>
            <w:tcW w:w="1069" w:type="pct"/>
          </w:tcPr>
          <w:p w14:paraId="7A7D0E10" w14:textId="77777777" w:rsidR="009754D6" w:rsidRPr="00975338" w:rsidRDefault="009754D6" w:rsidP="009754D6">
            <w:pPr>
              <w:spacing w:before="0" w:after="0"/>
              <w:rPr>
                <w:rFonts w:cs="Arial"/>
                <w:b/>
                <w:sz w:val="20"/>
                <w:szCs w:val="20"/>
              </w:rPr>
            </w:pPr>
          </w:p>
        </w:tc>
        <w:tc>
          <w:tcPr>
            <w:tcW w:w="1152" w:type="pct"/>
          </w:tcPr>
          <w:p w14:paraId="2A9173D9" w14:textId="77777777" w:rsidR="009754D6" w:rsidRPr="00975338" w:rsidRDefault="009754D6" w:rsidP="009754D6">
            <w:pPr>
              <w:spacing w:before="0" w:after="0"/>
              <w:rPr>
                <w:rFonts w:cs="Arial"/>
                <w:b/>
                <w:sz w:val="20"/>
                <w:szCs w:val="20"/>
              </w:rPr>
            </w:pPr>
          </w:p>
        </w:tc>
      </w:tr>
    </w:tbl>
    <w:p w14:paraId="51A489AC" w14:textId="77777777" w:rsidR="0055416E" w:rsidRDefault="009754D6" w:rsidP="00CB0436">
      <w:pPr>
        <w:tabs>
          <w:tab w:val="left" w:pos="1890"/>
        </w:tabs>
        <w:rPr>
          <w:rFonts w:cs="Arial"/>
          <w:b/>
          <w:sz w:val="22"/>
          <w:szCs w:val="22"/>
        </w:rPr>
      </w:pPr>
      <w:r>
        <w:rPr>
          <w:rFonts w:cs="Arial"/>
          <w:b/>
          <w:sz w:val="22"/>
          <w:szCs w:val="22"/>
        </w:rPr>
        <w:tab/>
      </w:r>
    </w:p>
    <w:tbl>
      <w:tblPr>
        <w:tblW w:w="4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048"/>
        <w:gridCol w:w="4018"/>
      </w:tblGrid>
      <w:tr w:rsidR="00D816ED" w:rsidRPr="0029274C" w14:paraId="009D1727" w14:textId="77777777" w:rsidTr="00CB0436">
        <w:trPr>
          <w:trHeight w:val="578"/>
        </w:trPr>
        <w:tc>
          <w:tcPr>
            <w:tcW w:w="5000" w:type="pct"/>
            <w:gridSpan w:val="3"/>
            <w:shd w:val="clear" w:color="auto" w:fill="auto"/>
          </w:tcPr>
          <w:p w14:paraId="3042755C" w14:textId="77777777" w:rsidR="00D816ED" w:rsidRDefault="00D816ED" w:rsidP="009754D6">
            <w:pPr>
              <w:spacing w:before="0" w:after="0"/>
              <w:rPr>
                <w:rFonts w:cs="Arial"/>
                <w:b/>
                <w:sz w:val="22"/>
                <w:szCs w:val="22"/>
              </w:rPr>
            </w:pPr>
            <w:r>
              <w:rPr>
                <w:rFonts w:cs="Arial"/>
                <w:b/>
                <w:sz w:val="22"/>
                <w:szCs w:val="22"/>
              </w:rPr>
              <w:t>Reporting template for wait times</w:t>
            </w:r>
          </w:p>
        </w:tc>
      </w:tr>
      <w:tr w:rsidR="009754D6" w:rsidRPr="0029274C" w14:paraId="45DBE102" w14:textId="77777777" w:rsidTr="00CB0436">
        <w:trPr>
          <w:trHeight w:val="578"/>
        </w:trPr>
        <w:tc>
          <w:tcPr>
            <w:tcW w:w="802" w:type="pct"/>
            <w:shd w:val="pct12" w:color="auto" w:fill="auto"/>
          </w:tcPr>
          <w:p w14:paraId="258DE6A5" w14:textId="77777777" w:rsidR="009754D6" w:rsidRPr="0029274C" w:rsidRDefault="009754D6" w:rsidP="009754D6">
            <w:pPr>
              <w:spacing w:before="0" w:after="0"/>
              <w:rPr>
                <w:rFonts w:cs="Arial"/>
                <w:sz w:val="20"/>
                <w:szCs w:val="20"/>
              </w:rPr>
            </w:pPr>
            <w:r w:rsidRPr="0020710E">
              <w:rPr>
                <w:rFonts w:cs="Arial"/>
                <w:b/>
                <w:sz w:val="20"/>
                <w:szCs w:val="20"/>
              </w:rPr>
              <w:t>PU Code</w:t>
            </w:r>
          </w:p>
        </w:tc>
        <w:tc>
          <w:tcPr>
            <w:tcW w:w="1811" w:type="pct"/>
            <w:shd w:val="pct12" w:color="auto" w:fill="auto"/>
          </w:tcPr>
          <w:p w14:paraId="4FD6199D" w14:textId="77777777" w:rsidR="009754D6" w:rsidRDefault="009754D6" w:rsidP="009754D6">
            <w:pPr>
              <w:spacing w:before="0" w:after="0"/>
              <w:rPr>
                <w:rFonts w:cs="Arial"/>
                <w:b/>
                <w:sz w:val="20"/>
                <w:szCs w:val="20"/>
              </w:rPr>
            </w:pPr>
            <w:r w:rsidRPr="0020710E">
              <w:rPr>
                <w:rFonts w:cs="Arial"/>
                <w:b/>
                <w:sz w:val="20"/>
                <w:szCs w:val="20"/>
              </w:rPr>
              <w:t>PU Description</w:t>
            </w:r>
          </w:p>
        </w:tc>
        <w:tc>
          <w:tcPr>
            <w:tcW w:w="2387" w:type="pct"/>
            <w:shd w:val="pct12" w:color="auto" w:fill="auto"/>
          </w:tcPr>
          <w:p w14:paraId="63A180ED" w14:textId="77777777" w:rsidR="009754D6" w:rsidRPr="00CB0436" w:rsidRDefault="009754D6" w:rsidP="009754D6">
            <w:pPr>
              <w:spacing w:before="0" w:after="0"/>
              <w:rPr>
                <w:rFonts w:cs="Arial"/>
                <w:b/>
                <w:sz w:val="20"/>
                <w:szCs w:val="20"/>
              </w:rPr>
            </w:pPr>
            <w:r w:rsidRPr="00CB0436">
              <w:rPr>
                <w:rFonts w:cs="Arial"/>
                <w:b/>
                <w:sz w:val="20"/>
                <w:szCs w:val="20"/>
              </w:rPr>
              <w:t>Average wait time</w:t>
            </w:r>
          </w:p>
        </w:tc>
      </w:tr>
      <w:tr w:rsidR="009754D6" w:rsidRPr="0029274C" w14:paraId="64E28DD6" w14:textId="77777777" w:rsidTr="00CB0436">
        <w:trPr>
          <w:trHeight w:val="473"/>
        </w:trPr>
        <w:tc>
          <w:tcPr>
            <w:tcW w:w="802" w:type="pct"/>
            <w:shd w:val="pct12" w:color="auto" w:fill="auto"/>
          </w:tcPr>
          <w:p w14:paraId="1F53EC8F" w14:textId="77777777" w:rsidR="009754D6" w:rsidRPr="00CB0436" w:rsidRDefault="009754D6" w:rsidP="009754D6">
            <w:pPr>
              <w:spacing w:before="0" w:after="0"/>
              <w:rPr>
                <w:rFonts w:cs="Arial"/>
                <w:b/>
                <w:i/>
                <w:sz w:val="20"/>
                <w:szCs w:val="20"/>
              </w:rPr>
            </w:pPr>
          </w:p>
        </w:tc>
        <w:tc>
          <w:tcPr>
            <w:tcW w:w="1811" w:type="pct"/>
            <w:shd w:val="pct12" w:color="auto" w:fill="auto"/>
          </w:tcPr>
          <w:p w14:paraId="71A6F3D3" w14:textId="77777777" w:rsidR="009754D6" w:rsidRPr="00CB0436" w:rsidRDefault="009754D6" w:rsidP="009754D6">
            <w:pPr>
              <w:spacing w:before="0" w:after="0"/>
              <w:rPr>
                <w:rFonts w:cs="Arial"/>
                <w:b/>
                <w:i/>
                <w:sz w:val="20"/>
                <w:szCs w:val="20"/>
              </w:rPr>
            </w:pPr>
          </w:p>
        </w:tc>
        <w:tc>
          <w:tcPr>
            <w:tcW w:w="2387" w:type="pct"/>
            <w:shd w:val="pct12" w:color="auto" w:fill="auto"/>
          </w:tcPr>
          <w:p w14:paraId="2CE4E99A" w14:textId="77777777" w:rsidR="009754D6" w:rsidRPr="00CB0436" w:rsidRDefault="009754D6">
            <w:pPr>
              <w:spacing w:before="0" w:after="0"/>
              <w:rPr>
                <w:rFonts w:cs="Arial"/>
                <w:i/>
                <w:sz w:val="20"/>
                <w:szCs w:val="20"/>
              </w:rPr>
            </w:pPr>
            <w:r w:rsidRPr="00CB0436">
              <w:rPr>
                <w:rFonts w:cs="Arial"/>
                <w:i/>
                <w:sz w:val="20"/>
                <w:szCs w:val="20"/>
              </w:rPr>
              <w:t>Wait</w:t>
            </w:r>
            <w:r w:rsidR="00FA386D" w:rsidRPr="00CB0436">
              <w:rPr>
                <w:rFonts w:cs="Arial"/>
                <w:i/>
                <w:sz w:val="20"/>
                <w:szCs w:val="20"/>
              </w:rPr>
              <w:t xml:space="preserve"> time from referral</w:t>
            </w:r>
            <w:r w:rsidR="00C945BF">
              <w:rPr>
                <w:rFonts w:cs="Arial"/>
                <w:i/>
                <w:sz w:val="20"/>
                <w:szCs w:val="20"/>
              </w:rPr>
              <w:t xml:space="preserve"> date (acceptance into service)</w:t>
            </w:r>
            <w:r w:rsidR="00FA386D" w:rsidRPr="00CB0436">
              <w:rPr>
                <w:rFonts w:cs="Arial"/>
                <w:i/>
                <w:sz w:val="20"/>
                <w:szCs w:val="20"/>
              </w:rPr>
              <w:t xml:space="preserve"> to treatment</w:t>
            </w:r>
          </w:p>
        </w:tc>
      </w:tr>
      <w:tr w:rsidR="009754D6" w:rsidRPr="0029274C" w14:paraId="06857D72" w14:textId="77777777" w:rsidTr="00CB0436">
        <w:trPr>
          <w:trHeight w:val="578"/>
        </w:trPr>
        <w:tc>
          <w:tcPr>
            <w:tcW w:w="802" w:type="pct"/>
            <w:shd w:val="clear" w:color="auto" w:fill="auto"/>
          </w:tcPr>
          <w:p w14:paraId="6268433A" w14:textId="77777777" w:rsidR="009754D6" w:rsidRPr="0029274C" w:rsidRDefault="009754D6" w:rsidP="009754D6">
            <w:pPr>
              <w:spacing w:before="0" w:after="0"/>
              <w:rPr>
                <w:rFonts w:cs="Arial"/>
                <w:sz w:val="20"/>
                <w:szCs w:val="20"/>
              </w:rPr>
            </w:pPr>
            <w:r w:rsidRPr="00975338">
              <w:rPr>
                <w:rFonts w:cs="Arial"/>
                <w:sz w:val="20"/>
                <w:szCs w:val="20"/>
              </w:rPr>
              <w:t>FS01001</w:t>
            </w:r>
          </w:p>
        </w:tc>
        <w:tc>
          <w:tcPr>
            <w:tcW w:w="1811" w:type="pct"/>
          </w:tcPr>
          <w:p w14:paraId="54E7E4E8" w14:textId="77777777" w:rsidR="009754D6" w:rsidRPr="0029274C" w:rsidRDefault="009754D6" w:rsidP="009754D6">
            <w:pPr>
              <w:spacing w:before="0" w:after="0"/>
              <w:rPr>
                <w:rFonts w:cs="Arial"/>
                <w:sz w:val="20"/>
                <w:szCs w:val="20"/>
              </w:rPr>
            </w:pPr>
            <w:r w:rsidRPr="00975338">
              <w:rPr>
                <w:rFonts w:cs="Arial"/>
                <w:sz w:val="20"/>
                <w:szCs w:val="20"/>
              </w:rPr>
              <w:t>Fertility Services- 1</w:t>
            </w:r>
            <w:r w:rsidRPr="00975338">
              <w:rPr>
                <w:rFonts w:cs="Arial"/>
                <w:sz w:val="20"/>
                <w:szCs w:val="20"/>
                <w:vertAlign w:val="superscript"/>
              </w:rPr>
              <w:t>st</w:t>
            </w:r>
            <w:r w:rsidRPr="00975338">
              <w:rPr>
                <w:rFonts w:cs="Arial"/>
                <w:sz w:val="20"/>
                <w:szCs w:val="20"/>
              </w:rPr>
              <w:t xml:space="preserve"> Attendance </w:t>
            </w:r>
          </w:p>
        </w:tc>
        <w:tc>
          <w:tcPr>
            <w:tcW w:w="2387" w:type="pct"/>
          </w:tcPr>
          <w:p w14:paraId="5F457424" w14:textId="77777777" w:rsidR="009754D6" w:rsidRPr="0029274C" w:rsidRDefault="009754D6" w:rsidP="009754D6">
            <w:pPr>
              <w:spacing w:before="0" w:after="0"/>
              <w:rPr>
                <w:rFonts w:cs="Arial"/>
                <w:sz w:val="20"/>
                <w:szCs w:val="20"/>
              </w:rPr>
            </w:pPr>
          </w:p>
        </w:tc>
      </w:tr>
      <w:tr w:rsidR="00D660C2" w:rsidRPr="0029274C" w14:paraId="23506E2E" w14:textId="77777777" w:rsidTr="00CB0436">
        <w:trPr>
          <w:trHeight w:val="395"/>
        </w:trPr>
        <w:tc>
          <w:tcPr>
            <w:tcW w:w="802" w:type="pct"/>
            <w:tcBorders>
              <w:bottom w:val="single" w:sz="4" w:space="0" w:color="auto"/>
            </w:tcBorders>
            <w:shd w:val="pct12" w:color="auto" w:fill="auto"/>
          </w:tcPr>
          <w:p w14:paraId="4A2A3543" w14:textId="77777777" w:rsidR="00D660C2" w:rsidRPr="00CB0436" w:rsidRDefault="00D660C2" w:rsidP="009754D6">
            <w:pPr>
              <w:spacing w:before="0" w:after="0"/>
              <w:rPr>
                <w:rFonts w:cs="Arial"/>
                <w:i/>
                <w:sz w:val="20"/>
                <w:szCs w:val="20"/>
              </w:rPr>
            </w:pPr>
          </w:p>
        </w:tc>
        <w:tc>
          <w:tcPr>
            <w:tcW w:w="1811" w:type="pct"/>
            <w:tcBorders>
              <w:bottom w:val="single" w:sz="4" w:space="0" w:color="auto"/>
            </w:tcBorders>
            <w:shd w:val="pct12" w:color="auto" w:fill="auto"/>
          </w:tcPr>
          <w:p w14:paraId="504A23AE" w14:textId="77777777" w:rsidR="00D660C2" w:rsidRPr="00CB0436" w:rsidRDefault="00D660C2" w:rsidP="009754D6">
            <w:pPr>
              <w:spacing w:before="0" w:after="0"/>
              <w:rPr>
                <w:rFonts w:cs="Arial"/>
                <w:i/>
                <w:sz w:val="20"/>
                <w:szCs w:val="20"/>
              </w:rPr>
            </w:pPr>
          </w:p>
        </w:tc>
        <w:tc>
          <w:tcPr>
            <w:tcW w:w="2387" w:type="pct"/>
            <w:tcBorders>
              <w:bottom w:val="single" w:sz="4" w:space="0" w:color="auto"/>
            </w:tcBorders>
            <w:shd w:val="pct12" w:color="auto" w:fill="auto"/>
          </w:tcPr>
          <w:p w14:paraId="4747A9F8" w14:textId="77777777" w:rsidR="00D660C2" w:rsidRPr="00CB0436" w:rsidRDefault="00D660C2">
            <w:pPr>
              <w:spacing w:before="0" w:after="0"/>
              <w:rPr>
                <w:rFonts w:cs="Arial"/>
                <w:i/>
                <w:sz w:val="20"/>
                <w:szCs w:val="20"/>
              </w:rPr>
            </w:pPr>
            <w:r w:rsidRPr="00CB0436">
              <w:rPr>
                <w:rFonts w:cs="Arial"/>
                <w:i/>
                <w:sz w:val="20"/>
                <w:szCs w:val="20"/>
              </w:rPr>
              <w:t xml:space="preserve">Wait time from </w:t>
            </w:r>
            <w:r w:rsidR="00041A32">
              <w:rPr>
                <w:rFonts w:cs="Arial"/>
                <w:i/>
                <w:sz w:val="20"/>
                <w:szCs w:val="20"/>
              </w:rPr>
              <w:t>date of booking</w:t>
            </w:r>
            <w:r w:rsidRPr="00CB0436">
              <w:rPr>
                <w:rFonts w:cs="Arial"/>
                <w:i/>
                <w:sz w:val="20"/>
                <w:szCs w:val="20"/>
              </w:rPr>
              <w:t xml:space="preserve"> to treatment</w:t>
            </w:r>
          </w:p>
        </w:tc>
      </w:tr>
      <w:tr w:rsidR="00555654" w:rsidRPr="0029274C" w14:paraId="1C8D06A7" w14:textId="77777777" w:rsidTr="00CB0436">
        <w:trPr>
          <w:trHeight w:val="395"/>
        </w:trPr>
        <w:tc>
          <w:tcPr>
            <w:tcW w:w="802" w:type="pct"/>
            <w:shd w:val="clear" w:color="auto" w:fill="auto"/>
          </w:tcPr>
          <w:p w14:paraId="5F9FA171" w14:textId="77777777" w:rsidR="00555654" w:rsidRPr="00975338" w:rsidRDefault="00555654" w:rsidP="009754D6">
            <w:pPr>
              <w:spacing w:before="0" w:after="0"/>
              <w:rPr>
                <w:rFonts w:cs="Arial"/>
                <w:sz w:val="20"/>
                <w:szCs w:val="20"/>
              </w:rPr>
            </w:pPr>
            <w:r w:rsidRPr="00975338">
              <w:rPr>
                <w:rFonts w:cs="Arial"/>
                <w:sz w:val="20"/>
                <w:szCs w:val="20"/>
              </w:rPr>
              <w:t xml:space="preserve">FS01030 </w:t>
            </w:r>
          </w:p>
        </w:tc>
        <w:tc>
          <w:tcPr>
            <w:tcW w:w="1811" w:type="pct"/>
            <w:shd w:val="clear" w:color="auto" w:fill="auto"/>
          </w:tcPr>
          <w:p w14:paraId="0A0157E0" w14:textId="77777777" w:rsidR="00555654" w:rsidRPr="00975338" w:rsidRDefault="00555654" w:rsidP="009754D6">
            <w:pPr>
              <w:spacing w:before="0" w:after="0"/>
              <w:rPr>
                <w:rFonts w:cs="Arial"/>
                <w:sz w:val="20"/>
                <w:szCs w:val="20"/>
              </w:rPr>
            </w:pPr>
            <w:r w:rsidRPr="00975338">
              <w:rPr>
                <w:rFonts w:cs="Arial"/>
                <w:sz w:val="20"/>
                <w:szCs w:val="20"/>
              </w:rPr>
              <w:t xml:space="preserve">Egg Retrieval and Freezing </w:t>
            </w:r>
          </w:p>
        </w:tc>
        <w:tc>
          <w:tcPr>
            <w:tcW w:w="2387" w:type="pct"/>
            <w:shd w:val="clear" w:color="auto" w:fill="auto"/>
          </w:tcPr>
          <w:p w14:paraId="7094EE76" w14:textId="77777777" w:rsidR="00555654" w:rsidRPr="00FA386D" w:rsidRDefault="00555654">
            <w:pPr>
              <w:spacing w:before="0" w:after="0"/>
              <w:rPr>
                <w:rFonts w:cs="Arial"/>
                <w:i/>
                <w:sz w:val="20"/>
                <w:szCs w:val="20"/>
              </w:rPr>
            </w:pPr>
          </w:p>
        </w:tc>
      </w:tr>
      <w:tr w:rsidR="00555654" w:rsidRPr="0029274C" w14:paraId="14F090C9" w14:textId="77777777" w:rsidTr="00CB0436">
        <w:trPr>
          <w:trHeight w:val="395"/>
        </w:trPr>
        <w:tc>
          <w:tcPr>
            <w:tcW w:w="802" w:type="pct"/>
            <w:shd w:val="clear" w:color="auto" w:fill="auto"/>
          </w:tcPr>
          <w:p w14:paraId="6944E9CA" w14:textId="77777777" w:rsidR="00555654" w:rsidRPr="00FA386D" w:rsidRDefault="00555654" w:rsidP="009754D6">
            <w:pPr>
              <w:spacing w:before="0" w:after="0"/>
              <w:rPr>
                <w:rFonts w:cs="Arial"/>
                <w:i/>
                <w:sz w:val="20"/>
                <w:szCs w:val="20"/>
              </w:rPr>
            </w:pPr>
            <w:r w:rsidRPr="00975338">
              <w:rPr>
                <w:rFonts w:cs="Arial"/>
                <w:sz w:val="20"/>
                <w:szCs w:val="20"/>
              </w:rPr>
              <w:t>FS01002</w:t>
            </w:r>
          </w:p>
        </w:tc>
        <w:tc>
          <w:tcPr>
            <w:tcW w:w="1811" w:type="pct"/>
            <w:shd w:val="clear" w:color="auto" w:fill="auto"/>
          </w:tcPr>
          <w:p w14:paraId="13C9E245" w14:textId="77777777" w:rsidR="00555654" w:rsidRPr="00FA386D" w:rsidRDefault="00555654" w:rsidP="009754D6">
            <w:pPr>
              <w:spacing w:before="0" w:after="0"/>
              <w:rPr>
                <w:rFonts w:cs="Arial"/>
                <w:i/>
                <w:sz w:val="20"/>
                <w:szCs w:val="20"/>
              </w:rPr>
            </w:pPr>
            <w:r w:rsidRPr="00975338">
              <w:rPr>
                <w:rFonts w:cs="Arial"/>
                <w:sz w:val="20"/>
                <w:szCs w:val="20"/>
              </w:rPr>
              <w:t>IVF Programme- first cycle</w:t>
            </w:r>
          </w:p>
        </w:tc>
        <w:tc>
          <w:tcPr>
            <w:tcW w:w="2387" w:type="pct"/>
            <w:shd w:val="clear" w:color="auto" w:fill="auto"/>
          </w:tcPr>
          <w:p w14:paraId="42FA3C85" w14:textId="77777777" w:rsidR="00555654" w:rsidRPr="00FA386D" w:rsidRDefault="00555654">
            <w:pPr>
              <w:spacing w:before="0" w:after="0"/>
              <w:rPr>
                <w:rFonts w:cs="Arial"/>
                <w:i/>
                <w:sz w:val="20"/>
                <w:szCs w:val="20"/>
              </w:rPr>
            </w:pPr>
          </w:p>
        </w:tc>
      </w:tr>
      <w:tr w:rsidR="00555654" w:rsidRPr="0029274C" w14:paraId="33137FC0" w14:textId="77777777" w:rsidTr="00CB0436">
        <w:trPr>
          <w:trHeight w:val="395"/>
        </w:trPr>
        <w:tc>
          <w:tcPr>
            <w:tcW w:w="802" w:type="pct"/>
            <w:shd w:val="clear" w:color="auto" w:fill="auto"/>
          </w:tcPr>
          <w:p w14:paraId="6BEF3A05" w14:textId="77777777" w:rsidR="00555654" w:rsidRPr="00FA386D" w:rsidRDefault="00555654" w:rsidP="009754D6">
            <w:pPr>
              <w:spacing w:before="0" w:after="0"/>
              <w:rPr>
                <w:rFonts w:cs="Arial"/>
                <w:i/>
                <w:sz w:val="20"/>
                <w:szCs w:val="20"/>
              </w:rPr>
            </w:pPr>
            <w:r w:rsidRPr="00975338">
              <w:rPr>
                <w:rFonts w:cs="Arial"/>
                <w:sz w:val="20"/>
                <w:szCs w:val="20"/>
              </w:rPr>
              <w:t>FS01018</w:t>
            </w:r>
          </w:p>
        </w:tc>
        <w:tc>
          <w:tcPr>
            <w:tcW w:w="1811" w:type="pct"/>
            <w:shd w:val="clear" w:color="auto" w:fill="auto"/>
          </w:tcPr>
          <w:p w14:paraId="5391CB33" w14:textId="77777777" w:rsidR="00555654" w:rsidRPr="00FA386D" w:rsidRDefault="00555654" w:rsidP="009754D6">
            <w:pPr>
              <w:spacing w:before="0" w:after="0"/>
              <w:rPr>
                <w:rFonts w:cs="Arial"/>
                <w:i/>
                <w:sz w:val="20"/>
                <w:szCs w:val="20"/>
              </w:rPr>
            </w:pPr>
            <w:r w:rsidRPr="00975338">
              <w:rPr>
                <w:rFonts w:cs="Arial"/>
                <w:sz w:val="20"/>
                <w:szCs w:val="20"/>
              </w:rPr>
              <w:t>IVF standard second cycle</w:t>
            </w:r>
          </w:p>
        </w:tc>
        <w:tc>
          <w:tcPr>
            <w:tcW w:w="2387" w:type="pct"/>
            <w:shd w:val="clear" w:color="auto" w:fill="auto"/>
          </w:tcPr>
          <w:p w14:paraId="1B2D4742" w14:textId="77777777" w:rsidR="00555654" w:rsidRPr="00FA386D" w:rsidRDefault="00555654">
            <w:pPr>
              <w:spacing w:before="0" w:after="0"/>
              <w:rPr>
                <w:rFonts w:cs="Arial"/>
                <w:i/>
                <w:sz w:val="20"/>
                <w:szCs w:val="20"/>
              </w:rPr>
            </w:pPr>
          </w:p>
        </w:tc>
      </w:tr>
      <w:tr w:rsidR="00555654" w:rsidRPr="0029274C" w14:paraId="27ED4CAE" w14:textId="77777777" w:rsidTr="00CB0436">
        <w:trPr>
          <w:trHeight w:val="578"/>
        </w:trPr>
        <w:tc>
          <w:tcPr>
            <w:tcW w:w="802" w:type="pct"/>
            <w:shd w:val="clear" w:color="auto" w:fill="auto"/>
          </w:tcPr>
          <w:p w14:paraId="0E18BB40" w14:textId="77777777" w:rsidR="00555654" w:rsidRPr="00975338" w:rsidRDefault="00555654" w:rsidP="009754D6">
            <w:pPr>
              <w:spacing w:before="0" w:after="0"/>
              <w:rPr>
                <w:rFonts w:cs="Arial"/>
                <w:sz w:val="20"/>
                <w:szCs w:val="20"/>
              </w:rPr>
            </w:pPr>
            <w:r w:rsidRPr="00FF3291">
              <w:rPr>
                <w:rFonts w:cs="Arial"/>
                <w:sz w:val="20"/>
                <w:szCs w:val="20"/>
              </w:rPr>
              <w:t>FS02003</w:t>
            </w:r>
          </w:p>
        </w:tc>
        <w:tc>
          <w:tcPr>
            <w:tcW w:w="1811" w:type="pct"/>
          </w:tcPr>
          <w:p w14:paraId="65D43933" w14:textId="77777777" w:rsidR="00555654" w:rsidRPr="00975338" w:rsidRDefault="00555654" w:rsidP="009754D6">
            <w:pPr>
              <w:spacing w:before="0" w:after="0"/>
              <w:rPr>
                <w:rFonts w:cs="Arial"/>
                <w:sz w:val="20"/>
                <w:szCs w:val="20"/>
              </w:rPr>
            </w:pPr>
            <w:r w:rsidRPr="0029274C">
              <w:rPr>
                <w:rFonts w:cs="Arial"/>
                <w:sz w:val="20"/>
                <w:szCs w:val="20"/>
              </w:rPr>
              <w:t>PGD Biopsy and Testing</w:t>
            </w:r>
          </w:p>
        </w:tc>
        <w:tc>
          <w:tcPr>
            <w:tcW w:w="2387" w:type="pct"/>
          </w:tcPr>
          <w:p w14:paraId="19A34726" w14:textId="77777777" w:rsidR="00555654" w:rsidRPr="0029274C" w:rsidRDefault="00555654" w:rsidP="009754D6">
            <w:pPr>
              <w:spacing w:before="0" w:after="0"/>
              <w:rPr>
                <w:rFonts w:cs="Arial"/>
                <w:sz w:val="20"/>
                <w:szCs w:val="20"/>
              </w:rPr>
            </w:pPr>
          </w:p>
        </w:tc>
      </w:tr>
    </w:tbl>
    <w:p w14:paraId="55A37AD0" w14:textId="77777777" w:rsidR="009754D6" w:rsidRDefault="009754D6" w:rsidP="00CB0436">
      <w:pPr>
        <w:rPr>
          <w:rFonts w:cs="Arial"/>
          <w:b/>
          <w:sz w:val="22"/>
          <w:szCs w:val="22"/>
        </w:rPr>
      </w:pPr>
    </w:p>
    <w:p w14:paraId="7BAB61F7" w14:textId="77777777" w:rsidR="009754D6" w:rsidRPr="00CB0436" w:rsidRDefault="009754D6" w:rsidP="00CB0436">
      <w:pPr>
        <w:rPr>
          <w:rFonts w:cs="Arial"/>
          <w:b/>
          <w:sz w:val="22"/>
          <w:szCs w:val="22"/>
        </w:rPr>
      </w:pPr>
    </w:p>
    <w:tbl>
      <w:tblPr>
        <w:tblW w:w="4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769"/>
      </w:tblGrid>
      <w:tr w:rsidR="000E4247" w:rsidRPr="0029274C" w14:paraId="64848A67" w14:textId="77777777" w:rsidTr="00CB0436">
        <w:trPr>
          <w:trHeight w:val="578"/>
        </w:trPr>
        <w:tc>
          <w:tcPr>
            <w:tcW w:w="5000" w:type="pct"/>
            <w:gridSpan w:val="2"/>
            <w:shd w:val="clear" w:color="auto" w:fill="auto"/>
          </w:tcPr>
          <w:p w14:paraId="78DA29DA" w14:textId="77777777" w:rsidR="000E4247" w:rsidRDefault="00D660C2">
            <w:pPr>
              <w:spacing w:before="0" w:after="0"/>
              <w:rPr>
                <w:rFonts w:cs="Arial"/>
                <w:sz w:val="20"/>
                <w:szCs w:val="20"/>
              </w:rPr>
            </w:pPr>
            <w:r>
              <w:rPr>
                <w:rFonts w:cs="Arial"/>
                <w:b/>
                <w:sz w:val="22"/>
                <w:szCs w:val="22"/>
              </w:rPr>
              <w:t xml:space="preserve">Reporting template for </w:t>
            </w:r>
            <w:r w:rsidR="000E4247">
              <w:rPr>
                <w:rFonts w:cs="Arial"/>
                <w:b/>
                <w:sz w:val="22"/>
                <w:szCs w:val="22"/>
              </w:rPr>
              <w:t>C</w:t>
            </w:r>
            <w:r w:rsidR="000E4247" w:rsidRPr="00BB190F">
              <w:rPr>
                <w:rFonts w:cs="Arial"/>
                <w:b/>
                <w:sz w:val="22"/>
                <w:szCs w:val="22"/>
              </w:rPr>
              <w:t>linical indications for PGD</w:t>
            </w:r>
            <w:r w:rsidR="000E4247">
              <w:rPr>
                <w:rFonts w:cs="Arial"/>
                <w:b/>
                <w:sz w:val="22"/>
                <w:szCs w:val="22"/>
              </w:rPr>
              <w:t xml:space="preserve"> </w:t>
            </w:r>
          </w:p>
        </w:tc>
      </w:tr>
      <w:tr w:rsidR="0055416E" w:rsidRPr="0029274C" w14:paraId="10131744" w14:textId="77777777" w:rsidTr="00CB0436">
        <w:trPr>
          <w:trHeight w:val="578"/>
        </w:trPr>
        <w:tc>
          <w:tcPr>
            <w:tcW w:w="3327" w:type="pct"/>
            <w:shd w:val="pct12" w:color="auto" w:fill="auto"/>
          </w:tcPr>
          <w:p w14:paraId="4BBE7526" w14:textId="77777777" w:rsidR="0055416E" w:rsidRPr="0029274C" w:rsidRDefault="0055416E" w:rsidP="00B94418">
            <w:pPr>
              <w:spacing w:before="0" w:after="0"/>
              <w:rPr>
                <w:rFonts w:cs="Arial"/>
                <w:sz w:val="20"/>
                <w:szCs w:val="20"/>
              </w:rPr>
            </w:pPr>
            <w:r>
              <w:rPr>
                <w:rFonts w:cs="Arial"/>
                <w:b/>
                <w:sz w:val="20"/>
                <w:szCs w:val="20"/>
              </w:rPr>
              <w:t xml:space="preserve">Clinical </w:t>
            </w:r>
            <w:r w:rsidR="009C0EE2">
              <w:rPr>
                <w:rFonts w:cs="Arial"/>
                <w:b/>
                <w:sz w:val="20"/>
                <w:szCs w:val="20"/>
              </w:rPr>
              <w:t>Indication</w:t>
            </w:r>
            <w:r>
              <w:rPr>
                <w:rFonts w:cs="Arial"/>
                <w:b/>
                <w:sz w:val="20"/>
                <w:szCs w:val="20"/>
              </w:rPr>
              <w:t xml:space="preserve"> for PGD</w:t>
            </w:r>
          </w:p>
        </w:tc>
        <w:tc>
          <w:tcPr>
            <w:tcW w:w="1673" w:type="pct"/>
            <w:shd w:val="pct12" w:color="auto" w:fill="auto"/>
          </w:tcPr>
          <w:p w14:paraId="64A10393" w14:textId="77777777" w:rsidR="0055416E" w:rsidRDefault="0055416E" w:rsidP="00B94418">
            <w:pPr>
              <w:spacing w:before="0" w:after="0"/>
              <w:rPr>
                <w:rFonts w:cs="Arial"/>
                <w:b/>
                <w:sz w:val="20"/>
                <w:szCs w:val="20"/>
              </w:rPr>
            </w:pPr>
            <w:r>
              <w:rPr>
                <w:rFonts w:cs="Arial"/>
                <w:sz w:val="20"/>
                <w:szCs w:val="20"/>
              </w:rPr>
              <w:t>Number of PGD cycles</w:t>
            </w:r>
          </w:p>
        </w:tc>
      </w:tr>
      <w:tr w:rsidR="0055416E" w:rsidRPr="0029274C" w14:paraId="510038C1" w14:textId="77777777" w:rsidTr="00CB0436">
        <w:trPr>
          <w:trHeight w:val="578"/>
        </w:trPr>
        <w:tc>
          <w:tcPr>
            <w:tcW w:w="3327" w:type="pct"/>
            <w:shd w:val="clear" w:color="auto" w:fill="auto"/>
          </w:tcPr>
          <w:p w14:paraId="47703EA7" w14:textId="77777777" w:rsidR="0055416E" w:rsidRPr="0029274C" w:rsidRDefault="0055416E" w:rsidP="009754D6">
            <w:pPr>
              <w:spacing w:before="0" w:after="0"/>
              <w:rPr>
                <w:rFonts w:cs="Arial"/>
                <w:sz w:val="20"/>
                <w:szCs w:val="20"/>
              </w:rPr>
            </w:pPr>
          </w:p>
        </w:tc>
        <w:tc>
          <w:tcPr>
            <w:tcW w:w="1673" w:type="pct"/>
          </w:tcPr>
          <w:p w14:paraId="38207A4A" w14:textId="77777777" w:rsidR="0055416E" w:rsidRPr="0029274C" w:rsidRDefault="0055416E" w:rsidP="009754D6">
            <w:pPr>
              <w:spacing w:before="0" w:after="0"/>
              <w:rPr>
                <w:rFonts w:cs="Arial"/>
                <w:sz w:val="20"/>
                <w:szCs w:val="20"/>
              </w:rPr>
            </w:pPr>
          </w:p>
        </w:tc>
      </w:tr>
      <w:tr w:rsidR="0055416E" w:rsidRPr="0029274C" w14:paraId="13246640" w14:textId="77777777" w:rsidTr="00CB0436">
        <w:trPr>
          <w:trHeight w:val="759"/>
        </w:trPr>
        <w:tc>
          <w:tcPr>
            <w:tcW w:w="3327" w:type="pct"/>
            <w:shd w:val="clear" w:color="auto" w:fill="auto"/>
          </w:tcPr>
          <w:p w14:paraId="108E3615" w14:textId="77777777" w:rsidR="0055416E" w:rsidRPr="0029274C" w:rsidRDefault="0055416E" w:rsidP="009754D6">
            <w:pPr>
              <w:spacing w:before="0" w:after="0"/>
              <w:rPr>
                <w:rFonts w:cs="Arial"/>
                <w:sz w:val="20"/>
                <w:szCs w:val="20"/>
              </w:rPr>
            </w:pPr>
          </w:p>
        </w:tc>
        <w:tc>
          <w:tcPr>
            <w:tcW w:w="1673" w:type="pct"/>
          </w:tcPr>
          <w:p w14:paraId="3ABD81AC" w14:textId="77777777" w:rsidR="0055416E" w:rsidRPr="0029274C" w:rsidRDefault="0055416E" w:rsidP="009754D6">
            <w:pPr>
              <w:spacing w:before="0" w:after="0"/>
              <w:rPr>
                <w:rFonts w:cs="Arial"/>
                <w:sz w:val="20"/>
                <w:szCs w:val="20"/>
              </w:rPr>
            </w:pPr>
          </w:p>
        </w:tc>
      </w:tr>
    </w:tbl>
    <w:p w14:paraId="767352A7" w14:textId="77777777" w:rsidR="00DD60C0" w:rsidRDefault="00DD60C0">
      <w:pPr>
        <w:spacing w:before="0" w:after="200" w:line="276" w:lineRule="auto"/>
        <w:rPr>
          <w:rFonts w:eastAsiaTheme="minorHAnsi" w:cstheme="minorBidi"/>
          <w:b/>
        </w:rPr>
      </w:pPr>
      <w:r>
        <w:rPr>
          <w:rFonts w:eastAsiaTheme="minorHAnsi" w:cstheme="minorBidi"/>
          <w:b/>
        </w:rPr>
        <w:br w:type="page"/>
      </w:r>
    </w:p>
    <w:p w14:paraId="4136D3B8" w14:textId="77777777" w:rsidR="00DD60C0" w:rsidRPr="00973D4F" w:rsidRDefault="00DD60C0" w:rsidP="00953A97">
      <w:pPr>
        <w:pStyle w:val="Heading1"/>
        <w:rPr>
          <w:lang w:val="en-GB"/>
        </w:rPr>
      </w:pPr>
      <w:r>
        <w:rPr>
          <w:rFonts w:eastAsiaTheme="minorHAnsi" w:cstheme="minorBidi"/>
        </w:rPr>
        <w:lastRenderedPageBreak/>
        <w:t xml:space="preserve">APPENDIX </w:t>
      </w:r>
      <w:r w:rsidR="00D660C2">
        <w:rPr>
          <w:rFonts w:eastAsiaTheme="minorHAnsi" w:cstheme="minorBidi"/>
        </w:rPr>
        <w:t>FOUR</w:t>
      </w:r>
      <w:r>
        <w:rPr>
          <w:rFonts w:eastAsiaTheme="minorHAnsi" w:cstheme="minorBidi"/>
        </w:rPr>
        <w:t xml:space="preserve">: </w:t>
      </w:r>
      <w:r w:rsidR="00D660C2">
        <w:rPr>
          <w:rFonts w:eastAsiaTheme="minorHAnsi" w:cstheme="minorBidi"/>
        </w:rPr>
        <w:t>P</w:t>
      </w:r>
      <w:r w:rsidR="00D660C2" w:rsidRPr="00973D4F">
        <w:rPr>
          <w:lang w:val="en-GB"/>
        </w:rPr>
        <w:t>urchase</w:t>
      </w:r>
      <w:r w:rsidRPr="00973D4F">
        <w:rPr>
          <w:lang w:val="en-GB"/>
        </w:rPr>
        <w:t xml:space="preserve"> unit </w:t>
      </w:r>
      <w:r>
        <w:rPr>
          <w:lang w:val="en-GB"/>
        </w:rPr>
        <w:t xml:space="preserve">reporting requirements </w:t>
      </w:r>
      <w:r w:rsidRPr="00973D4F">
        <w:rPr>
          <w:lang w:val="en-GB"/>
        </w:rPr>
        <w:t>to NNPAC</w:t>
      </w:r>
      <w:r w:rsidR="00D660C2">
        <w:rPr>
          <w:lang w:val="en-GB"/>
        </w:rPr>
        <w:t xml:space="preserve"> by fertility</w:t>
      </w:r>
      <w:r w:rsidR="00CB5B9F">
        <w:rPr>
          <w:lang w:val="en-GB"/>
        </w:rPr>
        <w:t xml:space="preserve"> </w:t>
      </w:r>
      <w:r w:rsidR="00D660C2">
        <w:rPr>
          <w:lang w:val="en-GB"/>
        </w:rPr>
        <w:t>s</w:t>
      </w:r>
      <w:r>
        <w:rPr>
          <w:lang w:val="en-GB"/>
        </w:rPr>
        <w:t xml:space="preserve">ervice providers </w:t>
      </w:r>
    </w:p>
    <w:p w14:paraId="6F6507D7" w14:textId="77777777" w:rsidR="002D1D9A" w:rsidRDefault="00DD60C0" w:rsidP="002D1D9A">
      <w:pPr>
        <w:spacing w:line="276" w:lineRule="auto"/>
        <w:rPr>
          <w:lang w:val="en-GB"/>
        </w:rPr>
      </w:pPr>
      <w:r w:rsidRPr="00973D4F">
        <w:rPr>
          <w:lang w:val="en-GB"/>
        </w:rPr>
        <w:t xml:space="preserve">Clarification of fields that are to be reported when reporting purchase unit codes to NNPAC. </w:t>
      </w:r>
      <w:r>
        <w:rPr>
          <w:lang w:val="en-GB"/>
        </w:rPr>
        <w:t xml:space="preserve"> </w:t>
      </w:r>
      <w:r w:rsidRPr="00973D4F">
        <w:rPr>
          <w:lang w:val="en-GB"/>
        </w:rPr>
        <w:t>For several fields default values have been provided for the fertility services purchase units. Rows that are grey are not relevant for fertility services and can</w:t>
      </w:r>
      <w:r>
        <w:rPr>
          <w:lang w:val="en-GB"/>
        </w:rPr>
        <w:t xml:space="preserve"> be left blank in the reporting. </w:t>
      </w:r>
    </w:p>
    <w:p w14:paraId="11EAC6AF" w14:textId="77777777" w:rsidR="00DD60C0" w:rsidRPr="00973D4F" w:rsidRDefault="00DD60C0" w:rsidP="002D1D9A">
      <w:pPr>
        <w:spacing w:line="276" w:lineRule="auto"/>
        <w:rPr>
          <w:lang w:val="en-GB"/>
        </w:rPr>
      </w:pPr>
      <w:r>
        <w:rPr>
          <w:lang w:val="en-GB"/>
        </w:rPr>
        <w:t xml:space="preserve">Contact </w:t>
      </w:r>
      <w:r w:rsidR="00CB5B9F">
        <w:rPr>
          <w:lang w:val="en-GB"/>
        </w:rPr>
        <w:t>Ministry of Health</w:t>
      </w:r>
      <w:r>
        <w:rPr>
          <w:lang w:val="en-GB"/>
        </w:rPr>
        <w:t xml:space="preserve"> National Collections team for setting up the reporting.</w:t>
      </w:r>
    </w:p>
    <w:p w14:paraId="76D4D98C" w14:textId="77777777" w:rsidR="00DD60C0" w:rsidRPr="00973D4F" w:rsidRDefault="00DD60C0" w:rsidP="00DD60C0">
      <w:pPr>
        <w:spacing w:line="276" w:lineRule="auto"/>
        <w:rPr>
          <w:lang w:val="en-GB"/>
        </w:rPr>
      </w:pPr>
      <w:r w:rsidRPr="00973D4F">
        <w:rPr>
          <w:lang w:val="en-GB"/>
        </w:rPr>
        <w:t xml:space="preserve">Table is extracted from NNPAC </w:t>
      </w:r>
      <w:r w:rsidRPr="00973D4F">
        <w:t xml:space="preserve">file specification, Chapter 7 Extract file requirements, </w:t>
      </w:r>
      <w:r>
        <w:t>re</w:t>
      </w:r>
      <w:r w:rsidRPr="00973D4F">
        <w:t>: http://www.health.govt.nz/system/files/documents/publications/nnpac_file_specification_v5</w:t>
      </w:r>
      <w:proofErr w:type="gramStart"/>
      <w:r w:rsidRPr="00973D4F">
        <w:t>..</w:t>
      </w:r>
      <w:proofErr w:type="gramEnd"/>
      <w:r w:rsidRPr="00973D4F">
        <w:t>0_doc_v5.2.pdf</w:t>
      </w: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992"/>
        <w:gridCol w:w="851"/>
        <w:gridCol w:w="825"/>
        <w:gridCol w:w="3427"/>
        <w:gridCol w:w="1134"/>
        <w:gridCol w:w="1418"/>
      </w:tblGrid>
      <w:tr w:rsidR="00E00989" w:rsidRPr="00E00989" w14:paraId="0C280BF5" w14:textId="77777777" w:rsidTr="002D1D9A">
        <w:trPr>
          <w:trHeight w:val="124"/>
          <w:tblHeader/>
        </w:trPr>
        <w:tc>
          <w:tcPr>
            <w:tcW w:w="1410" w:type="dxa"/>
            <w:shd w:val="pct12" w:color="auto" w:fill="auto"/>
          </w:tcPr>
          <w:p w14:paraId="5EAAD5FB" w14:textId="77777777" w:rsidR="00DD60C0" w:rsidRPr="00E00989" w:rsidRDefault="00DD60C0" w:rsidP="00F23455">
            <w:pPr>
              <w:autoSpaceDE w:val="0"/>
              <w:autoSpaceDN w:val="0"/>
              <w:adjustRightInd w:val="0"/>
              <w:rPr>
                <w:rFonts w:cs="Arial"/>
                <w:sz w:val="20"/>
                <w:szCs w:val="20"/>
              </w:rPr>
            </w:pPr>
            <w:r w:rsidRPr="00E00989">
              <w:rPr>
                <w:rFonts w:cs="Arial"/>
                <w:b/>
                <w:bCs/>
                <w:sz w:val="20"/>
                <w:szCs w:val="20"/>
              </w:rPr>
              <w:t xml:space="preserve">Field </w:t>
            </w:r>
          </w:p>
        </w:tc>
        <w:tc>
          <w:tcPr>
            <w:tcW w:w="992" w:type="dxa"/>
            <w:shd w:val="pct12" w:color="auto" w:fill="auto"/>
          </w:tcPr>
          <w:p w14:paraId="5ADFDD6B" w14:textId="77777777" w:rsidR="00DD60C0" w:rsidRPr="00E00989" w:rsidRDefault="00DD60C0" w:rsidP="00F23455">
            <w:pPr>
              <w:autoSpaceDE w:val="0"/>
              <w:autoSpaceDN w:val="0"/>
              <w:adjustRightInd w:val="0"/>
              <w:rPr>
                <w:rFonts w:cs="Arial"/>
                <w:sz w:val="20"/>
                <w:szCs w:val="20"/>
              </w:rPr>
            </w:pPr>
            <w:r w:rsidRPr="00E00989">
              <w:rPr>
                <w:rFonts w:cs="Arial"/>
                <w:b/>
                <w:bCs/>
                <w:sz w:val="20"/>
                <w:szCs w:val="20"/>
              </w:rPr>
              <w:t xml:space="preserve">Type </w:t>
            </w:r>
          </w:p>
        </w:tc>
        <w:tc>
          <w:tcPr>
            <w:tcW w:w="851" w:type="dxa"/>
            <w:shd w:val="pct12" w:color="auto" w:fill="auto"/>
          </w:tcPr>
          <w:p w14:paraId="593E268A" w14:textId="77777777" w:rsidR="00DD60C0" w:rsidRPr="00E00989" w:rsidRDefault="00DD60C0" w:rsidP="00F23455">
            <w:pPr>
              <w:autoSpaceDE w:val="0"/>
              <w:autoSpaceDN w:val="0"/>
              <w:adjustRightInd w:val="0"/>
              <w:rPr>
                <w:rFonts w:cs="Arial"/>
                <w:sz w:val="20"/>
                <w:szCs w:val="20"/>
              </w:rPr>
            </w:pPr>
            <w:r w:rsidRPr="00E00989">
              <w:rPr>
                <w:rFonts w:cs="Arial"/>
                <w:b/>
                <w:bCs/>
                <w:sz w:val="20"/>
                <w:szCs w:val="20"/>
              </w:rPr>
              <w:t xml:space="preserve">Format </w:t>
            </w:r>
          </w:p>
        </w:tc>
        <w:tc>
          <w:tcPr>
            <w:tcW w:w="825" w:type="dxa"/>
            <w:shd w:val="pct12" w:color="auto" w:fill="auto"/>
          </w:tcPr>
          <w:p w14:paraId="40595FB6" w14:textId="77777777" w:rsidR="00DD60C0" w:rsidRPr="00E00989" w:rsidRDefault="00DD60C0" w:rsidP="00F23455">
            <w:pPr>
              <w:autoSpaceDE w:val="0"/>
              <w:autoSpaceDN w:val="0"/>
              <w:adjustRightInd w:val="0"/>
              <w:rPr>
                <w:rFonts w:cs="Arial"/>
                <w:sz w:val="20"/>
                <w:szCs w:val="20"/>
              </w:rPr>
            </w:pPr>
            <w:r w:rsidRPr="00E00989">
              <w:rPr>
                <w:rFonts w:cs="Arial"/>
                <w:b/>
                <w:bCs/>
                <w:sz w:val="20"/>
                <w:szCs w:val="20"/>
              </w:rPr>
              <w:t xml:space="preserve">Reqd. </w:t>
            </w:r>
          </w:p>
        </w:tc>
        <w:tc>
          <w:tcPr>
            <w:tcW w:w="3427" w:type="dxa"/>
            <w:shd w:val="pct12" w:color="auto" w:fill="auto"/>
          </w:tcPr>
          <w:p w14:paraId="3FB9B251" w14:textId="77777777" w:rsidR="00DD60C0" w:rsidRPr="00E00989" w:rsidRDefault="00DD60C0" w:rsidP="00F23455">
            <w:pPr>
              <w:autoSpaceDE w:val="0"/>
              <w:autoSpaceDN w:val="0"/>
              <w:adjustRightInd w:val="0"/>
              <w:rPr>
                <w:rFonts w:cs="Arial"/>
                <w:sz w:val="20"/>
                <w:szCs w:val="20"/>
              </w:rPr>
            </w:pPr>
            <w:r w:rsidRPr="00E00989">
              <w:rPr>
                <w:rFonts w:cs="Arial"/>
                <w:b/>
                <w:bCs/>
                <w:sz w:val="20"/>
                <w:szCs w:val="20"/>
              </w:rPr>
              <w:t xml:space="preserve">Notes </w:t>
            </w:r>
          </w:p>
        </w:tc>
        <w:tc>
          <w:tcPr>
            <w:tcW w:w="1134" w:type="dxa"/>
            <w:shd w:val="pct12" w:color="auto" w:fill="auto"/>
          </w:tcPr>
          <w:p w14:paraId="51FAA82A" w14:textId="77777777" w:rsidR="00DD60C0" w:rsidRPr="00E00989" w:rsidRDefault="00DD60C0" w:rsidP="00F23455">
            <w:pPr>
              <w:autoSpaceDE w:val="0"/>
              <w:autoSpaceDN w:val="0"/>
              <w:adjustRightInd w:val="0"/>
              <w:rPr>
                <w:rFonts w:cs="Arial"/>
                <w:b/>
                <w:bCs/>
                <w:sz w:val="20"/>
                <w:szCs w:val="20"/>
              </w:rPr>
            </w:pPr>
            <w:r w:rsidRPr="00E00989">
              <w:rPr>
                <w:rFonts w:cs="Arial"/>
                <w:b/>
                <w:bCs/>
                <w:sz w:val="20"/>
                <w:szCs w:val="20"/>
              </w:rPr>
              <w:t>Default for Fertility services</w:t>
            </w:r>
          </w:p>
        </w:tc>
        <w:tc>
          <w:tcPr>
            <w:tcW w:w="1418" w:type="dxa"/>
            <w:shd w:val="pct12" w:color="auto" w:fill="auto"/>
          </w:tcPr>
          <w:p w14:paraId="18122BD3" w14:textId="77777777" w:rsidR="00DD60C0" w:rsidRPr="00E00989" w:rsidRDefault="00DD60C0" w:rsidP="00F23455">
            <w:pPr>
              <w:autoSpaceDE w:val="0"/>
              <w:autoSpaceDN w:val="0"/>
              <w:adjustRightInd w:val="0"/>
              <w:rPr>
                <w:rFonts w:cs="Arial"/>
                <w:b/>
                <w:bCs/>
                <w:sz w:val="20"/>
                <w:szCs w:val="20"/>
              </w:rPr>
            </w:pPr>
            <w:r w:rsidRPr="00E00989">
              <w:rPr>
                <w:rFonts w:cs="Arial"/>
                <w:b/>
                <w:bCs/>
                <w:sz w:val="20"/>
                <w:szCs w:val="20"/>
              </w:rPr>
              <w:t>Comment/clarification for Fertility services</w:t>
            </w:r>
          </w:p>
        </w:tc>
      </w:tr>
      <w:tr w:rsidR="00E00989" w:rsidRPr="00E00989" w14:paraId="036A5C25" w14:textId="77777777" w:rsidTr="002D1D9A">
        <w:trPr>
          <w:trHeight w:val="1875"/>
        </w:trPr>
        <w:tc>
          <w:tcPr>
            <w:tcW w:w="1410" w:type="dxa"/>
          </w:tcPr>
          <w:p w14:paraId="775F625C"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record type </w:t>
            </w:r>
          </w:p>
        </w:tc>
        <w:tc>
          <w:tcPr>
            <w:tcW w:w="992" w:type="dxa"/>
          </w:tcPr>
          <w:p w14:paraId="214D51A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6 </w:t>
            </w:r>
          </w:p>
        </w:tc>
        <w:tc>
          <w:tcPr>
            <w:tcW w:w="851" w:type="dxa"/>
          </w:tcPr>
          <w:p w14:paraId="2E41E1E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 (6) </w:t>
            </w:r>
          </w:p>
        </w:tc>
        <w:tc>
          <w:tcPr>
            <w:tcW w:w="825" w:type="dxa"/>
          </w:tcPr>
          <w:p w14:paraId="30847F9D" w14:textId="77777777" w:rsidR="00DD60C0" w:rsidRPr="00E00989" w:rsidRDefault="00DD60C0" w:rsidP="00F23455">
            <w:pPr>
              <w:autoSpaceDE w:val="0"/>
              <w:autoSpaceDN w:val="0"/>
              <w:adjustRightInd w:val="0"/>
              <w:ind w:right="-44"/>
              <w:rPr>
                <w:rFonts w:cs="Arial"/>
                <w:sz w:val="20"/>
                <w:szCs w:val="20"/>
              </w:rPr>
            </w:pPr>
            <w:r w:rsidRPr="00E00989">
              <w:rPr>
                <w:rFonts w:cs="Arial"/>
                <w:sz w:val="20"/>
                <w:szCs w:val="20"/>
              </w:rPr>
              <w:t xml:space="preserve">M </w:t>
            </w:r>
          </w:p>
        </w:tc>
        <w:tc>
          <w:tcPr>
            <w:tcW w:w="3427" w:type="dxa"/>
          </w:tcPr>
          <w:p w14:paraId="662066F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‘EVENT’ for </w:t>
            </w:r>
            <w:proofErr w:type="gramStart"/>
            <w:r w:rsidRPr="00E00989">
              <w:rPr>
                <w:rFonts w:cs="Arial"/>
                <w:sz w:val="20"/>
                <w:szCs w:val="20"/>
              </w:rPr>
              <w:t>an add</w:t>
            </w:r>
            <w:proofErr w:type="gramEnd"/>
            <w:r w:rsidRPr="00E00989">
              <w:rPr>
                <w:rFonts w:cs="Arial"/>
                <w:sz w:val="20"/>
                <w:szCs w:val="20"/>
              </w:rPr>
              <w:t xml:space="preserve"> or update. </w:t>
            </w:r>
          </w:p>
          <w:p w14:paraId="041A6BF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‘DELETE’ for a delete. Delete records may contain only key fields (client system identifier, and PMS unique identifier). No mandatory field checking will be done for other fields in DELETE records with the exception of datetime of service. Currently datetime of service must contain a valid date and time. It can be any datetime, it does not have to match the record being deleted. This will be corrected in a future release. </w:t>
            </w:r>
          </w:p>
        </w:tc>
        <w:tc>
          <w:tcPr>
            <w:tcW w:w="1134" w:type="dxa"/>
          </w:tcPr>
          <w:p w14:paraId="04ACCDF5" w14:textId="77777777" w:rsidR="00DD60C0" w:rsidRPr="00E00989" w:rsidRDefault="00DD60C0" w:rsidP="00F23455">
            <w:pPr>
              <w:autoSpaceDE w:val="0"/>
              <w:autoSpaceDN w:val="0"/>
              <w:adjustRightInd w:val="0"/>
              <w:rPr>
                <w:rFonts w:cs="Arial"/>
                <w:sz w:val="20"/>
                <w:szCs w:val="20"/>
              </w:rPr>
            </w:pPr>
          </w:p>
        </w:tc>
        <w:tc>
          <w:tcPr>
            <w:tcW w:w="1418" w:type="dxa"/>
          </w:tcPr>
          <w:p w14:paraId="7465E0B4" w14:textId="77777777" w:rsidR="00DD60C0" w:rsidRPr="00E00989" w:rsidRDefault="00DD60C0" w:rsidP="00F23455">
            <w:pPr>
              <w:autoSpaceDE w:val="0"/>
              <w:autoSpaceDN w:val="0"/>
              <w:adjustRightInd w:val="0"/>
              <w:rPr>
                <w:rFonts w:cs="Arial"/>
                <w:sz w:val="20"/>
                <w:szCs w:val="20"/>
              </w:rPr>
            </w:pPr>
          </w:p>
        </w:tc>
      </w:tr>
      <w:tr w:rsidR="00E00989" w:rsidRPr="00E00989" w14:paraId="644FB12B" w14:textId="77777777" w:rsidTr="002D1D9A">
        <w:trPr>
          <w:trHeight w:val="2028"/>
        </w:trPr>
        <w:tc>
          <w:tcPr>
            <w:tcW w:w="1410" w:type="dxa"/>
          </w:tcPr>
          <w:p w14:paraId="225DA99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event type </w:t>
            </w:r>
          </w:p>
        </w:tc>
        <w:tc>
          <w:tcPr>
            <w:tcW w:w="992" w:type="dxa"/>
          </w:tcPr>
          <w:p w14:paraId="7E3F0D5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3 </w:t>
            </w:r>
          </w:p>
        </w:tc>
        <w:tc>
          <w:tcPr>
            <w:tcW w:w="851" w:type="dxa"/>
          </w:tcPr>
          <w:p w14:paraId="53F0CC5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AAA </w:t>
            </w:r>
          </w:p>
        </w:tc>
        <w:tc>
          <w:tcPr>
            <w:tcW w:w="825" w:type="dxa"/>
          </w:tcPr>
          <w:p w14:paraId="57DC869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422520C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OP (outpatient), ED (emergency department). CR (community referred diagnostic) </w:t>
            </w:r>
          </w:p>
          <w:p w14:paraId="25677A2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The Community Referred Diagnostic Event should only be used when the diagnostic is independent of any FSA, follow up or treatment procedure and has been ordered by the GP. Refer to 13.4 Community Referred Diagnostic Event. </w:t>
            </w:r>
          </w:p>
          <w:p w14:paraId="0DC5769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This field has been made mandatory for all events with Date of Service on or after 1 July 2010 </w:t>
            </w:r>
          </w:p>
        </w:tc>
        <w:tc>
          <w:tcPr>
            <w:tcW w:w="1134" w:type="dxa"/>
          </w:tcPr>
          <w:p w14:paraId="6B64666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OP</w:t>
            </w:r>
          </w:p>
        </w:tc>
        <w:tc>
          <w:tcPr>
            <w:tcW w:w="1418" w:type="dxa"/>
          </w:tcPr>
          <w:p w14:paraId="05BAA4C4" w14:textId="77777777" w:rsidR="00DD60C0" w:rsidRPr="00E00989" w:rsidRDefault="00DD60C0" w:rsidP="00F23455">
            <w:pPr>
              <w:autoSpaceDE w:val="0"/>
              <w:autoSpaceDN w:val="0"/>
              <w:adjustRightInd w:val="0"/>
              <w:rPr>
                <w:rFonts w:cs="Arial"/>
                <w:sz w:val="20"/>
                <w:szCs w:val="20"/>
              </w:rPr>
            </w:pPr>
          </w:p>
        </w:tc>
      </w:tr>
      <w:tr w:rsidR="00E00989" w:rsidRPr="00E00989" w14:paraId="1011138E" w14:textId="77777777" w:rsidTr="002D1D9A">
        <w:trPr>
          <w:trHeight w:val="230"/>
        </w:trPr>
        <w:tc>
          <w:tcPr>
            <w:tcW w:w="1410" w:type="dxa"/>
          </w:tcPr>
          <w:p w14:paraId="604CA0C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health practitioner type </w:t>
            </w:r>
          </w:p>
        </w:tc>
        <w:tc>
          <w:tcPr>
            <w:tcW w:w="992" w:type="dxa"/>
          </w:tcPr>
          <w:p w14:paraId="76C0CA2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3 </w:t>
            </w:r>
          </w:p>
        </w:tc>
        <w:tc>
          <w:tcPr>
            <w:tcW w:w="851" w:type="dxa"/>
          </w:tcPr>
          <w:p w14:paraId="5D19496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AAA </w:t>
            </w:r>
          </w:p>
        </w:tc>
        <w:tc>
          <w:tcPr>
            <w:tcW w:w="825" w:type="dxa"/>
          </w:tcPr>
          <w:p w14:paraId="2E212C6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49B1A2F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(doctor), N (nurse), O (other) </w:t>
            </w:r>
          </w:p>
        </w:tc>
        <w:tc>
          <w:tcPr>
            <w:tcW w:w="1134" w:type="dxa"/>
          </w:tcPr>
          <w:p w14:paraId="3EC6C4D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O</w:t>
            </w:r>
          </w:p>
        </w:tc>
        <w:tc>
          <w:tcPr>
            <w:tcW w:w="1418" w:type="dxa"/>
          </w:tcPr>
          <w:p w14:paraId="6A7B1CE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Reason: many procedures involve a range of staff</w:t>
            </w:r>
          </w:p>
        </w:tc>
      </w:tr>
      <w:tr w:rsidR="00E00989" w:rsidRPr="00E00989" w14:paraId="44F0FEB3" w14:textId="77777777" w:rsidTr="002D1D9A">
        <w:trPr>
          <w:trHeight w:val="735"/>
        </w:trPr>
        <w:tc>
          <w:tcPr>
            <w:tcW w:w="1410" w:type="dxa"/>
          </w:tcPr>
          <w:p w14:paraId="7A27DA3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client system identifier </w:t>
            </w:r>
          </w:p>
        </w:tc>
        <w:tc>
          <w:tcPr>
            <w:tcW w:w="992" w:type="dxa"/>
          </w:tcPr>
          <w:p w14:paraId="65EA7F1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10 </w:t>
            </w:r>
          </w:p>
        </w:tc>
        <w:tc>
          <w:tcPr>
            <w:tcW w:w="851" w:type="dxa"/>
          </w:tcPr>
          <w:p w14:paraId="70196CF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 (10) </w:t>
            </w:r>
          </w:p>
        </w:tc>
        <w:tc>
          <w:tcPr>
            <w:tcW w:w="825" w:type="dxa"/>
          </w:tcPr>
          <w:p w14:paraId="1A77207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672661E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Validated against the external system table. New client system identifiers need to be registered </w:t>
            </w:r>
            <w:r w:rsidRPr="00E00989">
              <w:rPr>
                <w:rFonts w:cs="Arial"/>
                <w:sz w:val="20"/>
                <w:szCs w:val="20"/>
              </w:rPr>
              <w:lastRenderedPageBreak/>
              <w:t xml:space="preserve">with the Ministry of Health and must be associated with an extract system identifier. </w:t>
            </w:r>
          </w:p>
        </w:tc>
        <w:tc>
          <w:tcPr>
            <w:tcW w:w="1134" w:type="dxa"/>
          </w:tcPr>
          <w:p w14:paraId="4686DCD8" w14:textId="77777777" w:rsidR="00DD60C0" w:rsidRPr="00E00989" w:rsidRDefault="00DD60C0" w:rsidP="00F23455">
            <w:pPr>
              <w:autoSpaceDE w:val="0"/>
              <w:autoSpaceDN w:val="0"/>
              <w:adjustRightInd w:val="0"/>
              <w:rPr>
                <w:rFonts w:cs="Arial"/>
                <w:sz w:val="20"/>
                <w:szCs w:val="20"/>
              </w:rPr>
            </w:pPr>
          </w:p>
        </w:tc>
        <w:tc>
          <w:tcPr>
            <w:tcW w:w="1418" w:type="dxa"/>
          </w:tcPr>
          <w:p w14:paraId="3ED322F6"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Provided by MoH</w:t>
            </w:r>
          </w:p>
        </w:tc>
      </w:tr>
      <w:tr w:rsidR="00E00989" w:rsidRPr="00E00989" w14:paraId="5A928783" w14:textId="77777777" w:rsidTr="002D1D9A">
        <w:trPr>
          <w:trHeight w:val="483"/>
        </w:trPr>
        <w:tc>
          <w:tcPr>
            <w:tcW w:w="1410" w:type="dxa"/>
          </w:tcPr>
          <w:p w14:paraId="6C67EFD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pms unique identifier </w:t>
            </w:r>
          </w:p>
        </w:tc>
        <w:tc>
          <w:tcPr>
            <w:tcW w:w="992" w:type="dxa"/>
          </w:tcPr>
          <w:p w14:paraId="6A6A057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varchar 14 </w:t>
            </w:r>
          </w:p>
        </w:tc>
        <w:tc>
          <w:tcPr>
            <w:tcW w:w="851" w:type="dxa"/>
          </w:tcPr>
          <w:p w14:paraId="006197B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 (14) </w:t>
            </w:r>
          </w:p>
        </w:tc>
        <w:tc>
          <w:tcPr>
            <w:tcW w:w="825" w:type="dxa"/>
          </w:tcPr>
          <w:p w14:paraId="3B05A19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621414F6"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The identifier as used in the client system for this event. Leading and trailing blanks will be trimmed off in the load process. </w:t>
            </w:r>
          </w:p>
        </w:tc>
        <w:tc>
          <w:tcPr>
            <w:tcW w:w="1134" w:type="dxa"/>
          </w:tcPr>
          <w:p w14:paraId="37750F10" w14:textId="77777777" w:rsidR="00DD60C0" w:rsidRPr="00E00989" w:rsidRDefault="00DD60C0" w:rsidP="00F23455">
            <w:pPr>
              <w:autoSpaceDE w:val="0"/>
              <w:autoSpaceDN w:val="0"/>
              <w:adjustRightInd w:val="0"/>
              <w:rPr>
                <w:rFonts w:cs="Arial"/>
                <w:sz w:val="20"/>
                <w:szCs w:val="20"/>
              </w:rPr>
            </w:pPr>
          </w:p>
        </w:tc>
        <w:tc>
          <w:tcPr>
            <w:tcW w:w="1418" w:type="dxa"/>
          </w:tcPr>
          <w:p w14:paraId="20CFAFA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Autonumber or existing unique event number in provider system</w:t>
            </w:r>
          </w:p>
        </w:tc>
      </w:tr>
      <w:tr w:rsidR="00E00989" w:rsidRPr="00E00989" w14:paraId="44B0C547" w14:textId="77777777" w:rsidTr="002D1D9A">
        <w:trPr>
          <w:trHeight w:val="229"/>
        </w:trPr>
        <w:tc>
          <w:tcPr>
            <w:tcW w:w="1410" w:type="dxa"/>
          </w:tcPr>
          <w:p w14:paraId="4265915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NHI </w:t>
            </w:r>
          </w:p>
        </w:tc>
        <w:tc>
          <w:tcPr>
            <w:tcW w:w="992" w:type="dxa"/>
          </w:tcPr>
          <w:p w14:paraId="4D86A8C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7 </w:t>
            </w:r>
          </w:p>
        </w:tc>
        <w:tc>
          <w:tcPr>
            <w:tcW w:w="851" w:type="dxa"/>
          </w:tcPr>
          <w:p w14:paraId="4204B34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AAANNNN </w:t>
            </w:r>
          </w:p>
        </w:tc>
        <w:tc>
          <w:tcPr>
            <w:tcW w:w="825" w:type="dxa"/>
          </w:tcPr>
          <w:p w14:paraId="495E895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4AC8246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Must be registered on NHI at time of file transmission. </w:t>
            </w:r>
          </w:p>
        </w:tc>
        <w:tc>
          <w:tcPr>
            <w:tcW w:w="1134" w:type="dxa"/>
          </w:tcPr>
          <w:p w14:paraId="7B28592D" w14:textId="77777777" w:rsidR="00DD60C0" w:rsidRPr="00E00989" w:rsidRDefault="00DD60C0" w:rsidP="00F23455">
            <w:pPr>
              <w:autoSpaceDE w:val="0"/>
              <w:autoSpaceDN w:val="0"/>
              <w:adjustRightInd w:val="0"/>
              <w:rPr>
                <w:rFonts w:cs="Arial"/>
                <w:sz w:val="20"/>
                <w:szCs w:val="20"/>
              </w:rPr>
            </w:pPr>
          </w:p>
        </w:tc>
        <w:tc>
          <w:tcPr>
            <w:tcW w:w="1418" w:type="dxa"/>
          </w:tcPr>
          <w:p w14:paraId="55F21F8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NHI of women unless with purchase unit code for sperm retrieval, freezing etc.</w:t>
            </w:r>
          </w:p>
        </w:tc>
      </w:tr>
      <w:tr w:rsidR="00E00989" w:rsidRPr="00E00989" w14:paraId="5E6DFE04" w14:textId="77777777" w:rsidTr="002D1D9A">
        <w:trPr>
          <w:trHeight w:val="229"/>
        </w:trPr>
        <w:tc>
          <w:tcPr>
            <w:tcW w:w="1410" w:type="dxa"/>
          </w:tcPr>
          <w:p w14:paraId="4C8D0DF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facility code </w:t>
            </w:r>
          </w:p>
        </w:tc>
        <w:tc>
          <w:tcPr>
            <w:tcW w:w="992" w:type="dxa"/>
          </w:tcPr>
          <w:p w14:paraId="5A5D4FB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4 </w:t>
            </w:r>
          </w:p>
        </w:tc>
        <w:tc>
          <w:tcPr>
            <w:tcW w:w="851" w:type="dxa"/>
          </w:tcPr>
          <w:p w14:paraId="48C6EB0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XXXX </w:t>
            </w:r>
          </w:p>
        </w:tc>
        <w:tc>
          <w:tcPr>
            <w:tcW w:w="825" w:type="dxa"/>
          </w:tcPr>
          <w:p w14:paraId="123442F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 </w:t>
            </w:r>
          </w:p>
        </w:tc>
        <w:tc>
          <w:tcPr>
            <w:tcW w:w="3427" w:type="dxa"/>
          </w:tcPr>
          <w:p w14:paraId="79F8DCA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Must be a valid facility code. This is the code of the facility where the event took place. Mandatory if location type is Hospital Facility (i.e. 1, 2 or 3) but should be entered where available for other location types. </w:t>
            </w:r>
          </w:p>
          <w:p w14:paraId="5B351ED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Refer to 13.2 Events that occur outside a hospital </w:t>
            </w:r>
          </w:p>
        </w:tc>
        <w:tc>
          <w:tcPr>
            <w:tcW w:w="1134" w:type="dxa"/>
          </w:tcPr>
          <w:p w14:paraId="1FEC54C1" w14:textId="77777777" w:rsidR="00DD60C0" w:rsidRPr="00E00989" w:rsidRDefault="00DD60C0" w:rsidP="00F23455">
            <w:pPr>
              <w:autoSpaceDE w:val="0"/>
              <w:autoSpaceDN w:val="0"/>
              <w:adjustRightInd w:val="0"/>
              <w:rPr>
                <w:rFonts w:cs="Arial"/>
                <w:sz w:val="20"/>
                <w:szCs w:val="20"/>
              </w:rPr>
            </w:pPr>
          </w:p>
        </w:tc>
        <w:tc>
          <w:tcPr>
            <w:tcW w:w="1418" w:type="dxa"/>
          </w:tcPr>
          <w:p w14:paraId="487C2A4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Provided by MoH</w:t>
            </w:r>
          </w:p>
        </w:tc>
      </w:tr>
      <w:tr w:rsidR="00E00989" w:rsidRPr="00E00989" w14:paraId="1A50C3EC" w14:textId="77777777" w:rsidTr="002D1D9A">
        <w:trPr>
          <w:trHeight w:val="229"/>
        </w:trPr>
        <w:tc>
          <w:tcPr>
            <w:tcW w:w="1410" w:type="dxa"/>
          </w:tcPr>
          <w:p w14:paraId="3CB6C9B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agency code </w:t>
            </w:r>
          </w:p>
        </w:tc>
        <w:tc>
          <w:tcPr>
            <w:tcW w:w="992" w:type="dxa"/>
          </w:tcPr>
          <w:p w14:paraId="4B64C79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4 </w:t>
            </w:r>
          </w:p>
        </w:tc>
        <w:tc>
          <w:tcPr>
            <w:tcW w:w="851" w:type="dxa"/>
          </w:tcPr>
          <w:p w14:paraId="7449FDD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XXXX </w:t>
            </w:r>
          </w:p>
        </w:tc>
        <w:tc>
          <w:tcPr>
            <w:tcW w:w="825" w:type="dxa"/>
          </w:tcPr>
          <w:p w14:paraId="559B0E7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3886FFD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Must be a valid agency code. This is the code of the agency paying for the service. For example, if Otago DHB contracts out to a private organisation Dunstan Charitable Trust, the agency is Otago DHB and Dunstan Charitable Trust must be submitted as the facility. </w:t>
            </w:r>
          </w:p>
        </w:tc>
        <w:tc>
          <w:tcPr>
            <w:tcW w:w="1134" w:type="dxa"/>
          </w:tcPr>
          <w:p w14:paraId="2E10AFD2" w14:textId="77777777" w:rsidR="00DD60C0" w:rsidRPr="00E00989" w:rsidRDefault="00DD60C0" w:rsidP="00F23455">
            <w:pPr>
              <w:autoSpaceDE w:val="0"/>
              <w:autoSpaceDN w:val="0"/>
              <w:adjustRightInd w:val="0"/>
              <w:rPr>
                <w:rFonts w:cs="Arial"/>
                <w:sz w:val="20"/>
                <w:szCs w:val="20"/>
              </w:rPr>
            </w:pPr>
          </w:p>
        </w:tc>
        <w:tc>
          <w:tcPr>
            <w:tcW w:w="1418" w:type="dxa"/>
          </w:tcPr>
          <w:p w14:paraId="5135DC4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Funding DHB – see list below *</w:t>
            </w:r>
          </w:p>
        </w:tc>
      </w:tr>
      <w:tr w:rsidR="00E00989" w:rsidRPr="00E00989" w14:paraId="0D5DF917" w14:textId="77777777" w:rsidTr="002D1D9A">
        <w:trPr>
          <w:trHeight w:val="229"/>
        </w:trPr>
        <w:tc>
          <w:tcPr>
            <w:tcW w:w="1410" w:type="dxa"/>
          </w:tcPr>
          <w:p w14:paraId="277901B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location type </w:t>
            </w:r>
          </w:p>
        </w:tc>
        <w:tc>
          <w:tcPr>
            <w:tcW w:w="992" w:type="dxa"/>
          </w:tcPr>
          <w:p w14:paraId="6842855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Integer 2 </w:t>
            </w:r>
          </w:p>
        </w:tc>
        <w:tc>
          <w:tcPr>
            <w:tcW w:w="851" w:type="dxa"/>
          </w:tcPr>
          <w:p w14:paraId="5B01601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NN </w:t>
            </w:r>
          </w:p>
        </w:tc>
        <w:tc>
          <w:tcPr>
            <w:tcW w:w="825" w:type="dxa"/>
          </w:tcPr>
          <w:p w14:paraId="5ED0799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7ED5A63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1 (Public Hospital), 2 (Private Hospital), 3 (Psychiatric Hospital), 4 (Other Institution), 5 (Private Residence), 6 (Other), 10 (Residential Care), 11 (Marae), 12 (Primary Care), 13 (Other Community) </w:t>
            </w:r>
          </w:p>
          <w:p w14:paraId="6557732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Refer to 13.2 Events that occur outside a hospital </w:t>
            </w:r>
          </w:p>
        </w:tc>
        <w:tc>
          <w:tcPr>
            <w:tcW w:w="1134" w:type="dxa"/>
          </w:tcPr>
          <w:p w14:paraId="66EACA2F" w14:textId="77777777" w:rsidR="00DD60C0" w:rsidRPr="00E00989" w:rsidRDefault="00DD60C0" w:rsidP="00F23455">
            <w:pPr>
              <w:autoSpaceDE w:val="0"/>
              <w:autoSpaceDN w:val="0"/>
              <w:adjustRightInd w:val="0"/>
              <w:rPr>
                <w:rFonts w:cs="Arial"/>
                <w:sz w:val="20"/>
                <w:szCs w:val="20"/>
              </w:rPr>
            </w:pPr>
          </w:p>
        </w:tc>
        <w:tc>
          <w:tcPr>
            <w:tcW w:w="1418" w:type="dxa"/>
          </w:tcPr>
          <w:p w14:paraId="585B4D6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Fertility Plus =1</w:t>
            </w:r>
          </w:p>
          <w:p w14:paraId="41B6656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FA, Repromed = 4</w:t>
            </w:r>
          </w:p>
        </w:tc>
      </w:tr>
      <w:tr w:rsidR="00E00989" w:rsidRPr="00E00989" w14:paraId="786795B7" w14:textId="77777777" w:rsidTr="002D1D9A">
        <w:trPr>
          <w:trHeight w:val="229"/>
        </w:trPr>
        <w:tc>
          <w:tcPr>
            <w:tcW w:w="1410" w:type="dxa"/>
          </w:tcPr>
          <w:p w14:paraId="6929AFC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health specialty code </w:t>
            </w:r>
          </w:p>
        </w:tc>
        <w:tc>
          <w:tcPr>
            <w:tcW w:w="992" w:type="dxa"/>
          </w:tcPr>
          <w:p w14:paraId="7F4A8AD6"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3 </w:t>
            </w:r>
          </w:p>
        </w:tc>
        <w:tc>
          <w:tcPr>
            <w:tcW w:w="851" w:type="dxa"/>
          </w:tcPr>
          <w:p w14:paraId="69BD307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ANN </w:t>
            </w:r>
          </w:p>
        </w:tc>
        <w:tc>
          <w:tcPr>
            <w:tcW w:w="825" w:type="dxa"/>
          </w:tcPr>
          <w:p w14:paraId="19FA629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35A5D8C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As for NMDS. Must be a valid health specialty code and must be active for the Date of Service </w:t>
            </w:r>
          </w:p>
        </w:tc>
        <w:tc>
          <w:tcPr>
            <w:tcW w:w="1134" w:type="dxa"/>
          </w:tcPr>
          <w:p w14:paraId="367A4FE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S30</w:t>
            </w:r>
          </w:p>
        </w:tc>
        <w:tc>
          <w:tcPr>
            <w:tcW w:w="1418" w:type="dxa"/>
          </w:tcPr>
          <w:p w14:paraId="0D57B28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Gynae = S30</w:t>
            </w:r>
          </w:p>
        </w:tc>
      </w:tr>
      <w:tr w:rsidR="00E00989" w:rsidRPr="00E00989" w14:paraId="52A5FF03" w14:textId="77777777" w:rsidTr="002D1D9A">
        <w:trPr>
          <w:trHeight w:val="229"/>
        </w:trPr>
        <w:tc>
          <w:tcPr>
            <w:tcW w:w="1410" w:type="dxa"/>
          </w:tcPr>
          <w:p w14:paraId="38E776A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service type </w:t>
            </w:r>
          </w:p>
        </w:tc>
        <w:tc>
          <w:tcPr>
            <w:tcW w:w="992" w:type="dxa"/>
          </w:tcPr>
          <w:p w14:paraId="22C0CBF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8 </w:t>
            </w:r>
          </w:p>
        </w:tc>
        <w:tc>
          <w:tcPr>
            <w:tcW w:w="851" w:type="dxa"/>
          </w:tcPr>
          <w:p w14:paraId="595D01D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 (8) </w:t>
            </w:r>
          </w:p>
        </w:tc>
        <w:tc>
          <w:tcPr>
            <w:tcW w:w="825" w:type="dxa"/>
          </w:tcPr>
          <w:p w14:paraId="601C89C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41DE1D4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PREADM (pre-admission), FIRST (first contact for client with condition </w:t>
            </w:r>
            <w:r w:rsidRPr="00E00989">
              <w:rPr>
                <w:rFonts w:cs="Arial"/>
                <w:sz w:val="20"/>
                <w:szCs w:val="20"/>
              </w:rPr>
              <w:lastRenderedPageBreak/>
              <w:t xml:space="preserve">at specialty), FOLLOWUP, CRD (community referred diagnostic) </w:t>
            </w:r>
          </w:p>
        </w:tc>
        <w:tc>
          <w:tcPr>
            <w:tcW w:w="1134" w:type="dxa"/>
          </w:tcPr>
          <w:p w14:paraId="011667BE" w14:textId="77777777" w:rsidR="00DD60C0" w:rsidRPr="00E00989" w:rsidRDefault="00DD60C0" w:rsidP="00F23455">
            <w:pPr>
              <w:autoSpaceDE w:val="0"/>
              <w:autoSpaceDN w:val="0"/>
              <w:adjustRightInd w:val="0"/>
              <w:rPr>
                <w:rFonts w:cs="Arial"/>
                <w:sz w:val="20"/>
                <w:szCs w:val="20"/>
              </w:rPr>
            </w:pPr>
          </w:p>
        </w:tc>
        <w:tc>
          <w:tcPr>
            <w:tcW w:w="1418" w:type="dxa"/>
          </w:tcPr>
          <w:p w14:paraId="53969EEB"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FS01001 = First</w:t>
            </w:r>
          </w:p>
          <w:p w14:paraId="545B6E5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lastRenderedPageBreak/>
              <w:t xml:space="preserve">All other PUCs = FOLLOWUP </w:t>
            </w:r>
          </w:p>
        </w:tc>
      </w:tr>
      <w:tr w:rsidR="00E00989" w:rsidRPr="00E00989" w14:paraId="0711A000" w14:textId="77777777" w:rsidTr="002D1D9A">
        <w:trPr>
          <w:trHeight w:val="229"/>
        </w:trPr>
        <w:tc>
          <w:tcPr>
            <w:tcW w:w="1410" w:type="dxa"/>
          </w:tcPr>
          <w:p w14:paraId="4535016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lastRenderedPageBreak/>
              <w:t xml:space="preserve">equivalent purchase unit code </w:t>
            </w:r>
          </w:p>
        </w:tc>
        <w:tc>
          <w:tcPr>
            <w:tcW w:w="992" w:type="dxa"/>
          </w:tcPr>
          <w:p w14:paraId="1D83110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8 </w:t>
            </w:r>
          </w:p>
        </w:tc>
        <w:tc>
          <w:tcPr>
            <w:tcW w:w="851" w:type="dxa"/>
          </w:tcPr>
          <w:p w14:paraId="4830054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 (8) </w:t>
            </w:r>
          </w:p>
        </w:tc>
        <w:tc>
          <w:tcPr>
            <w:tcW w:w="825" w:type="dxa"/>
          </w:tcPr>
          <w:p w14:paraId="7546DA7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3A38F6FB"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Is the purchase unit that would have been allocated if provided by a DHB as defined in the NSF data dictionary, regardless of </w:t>
            </w:r>
            <w:proofErr w:type="gramStart"/>
            <w:r w:rsidRPr="00E00989">
              <w:rPr>
                <w:rFonts w:cs="Arial"/>
                <w:sz w:val="20"/>
                <w:szCs w:val="20"/>
              </w:rPr>
              <w:t>funding.</w:t>
            </w:r>
            <w:proofErr w:type="gramEnd"/>
            <w:r w:rsidRPr="00E00989">
              <w:rPr>
                <w:rFonts w:cs="Arial"/>
                <w:sz w:val="20"/>
                <w:szCs w:val="20"/>
              </w:rPr>
              <w:t xml:space="preserve"> Must be a valid purchase unit code and must be active for the Date of Service. </w:t>
            </w:r>
          </w:p>
          <w:p w14:paraId="3667C18B"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For DNA (Did Not Attend) or DNW (Did Not Wait), this is the Purchase Unit that would have been allocated had they attended or waited. Note there is a series of Nationwide Service Framework Data Dictionary Purchase Unit codes expressly for use in NNPAC for pre-admissions and subsequently admitted ED events. </w:t>
            </w:r>
          </w:p>
        </w:tc>
        <w:tc>
          <w:tcPr>
            <w:tcW w:w="1134" w:type="dxa"/>
          </w:tcPr>
          <w:p w14:paraId="4578BA7A" w14:textId="77777777" w:rsidR="00DD60C0" w:rsidRPr="00E00989" w:rsidRDefault="00DD60C0" w:rsidP="00F23455">
            <w:pPr>
              <w:autoSpaceDE w:val="0"/>
              <w:autoSpaceDN w:val="0"/>
              <w:adjustRightInd w:val="0"/>
              <w:rPr>
                <w:rFonts w:cs="Arial"/>
                <w:sz w:val="20"/>
                <w:szCs w:val="20"/>
              </w:rPr>
            </w:pPr>
          </w:p>
        </w:tc>
        <w:tc>
          <w:tcPr>
            <w:tcW w:w="1418" w:type="dxa"/>
          </w:tcPr>
          <w:p w14:paraId="4396B10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Purchase units as in service specification</w:t>
            </w:r>
          </w:p>
        </w:tc>
      </w:tr>
      <w:tr w:rsidR="00E00989" w:rsidRPr="00E00989" w14:paraId="452018BA" w14:textId="77777777" w:rsidTr="002D1D9A">
        <w:trPr>
          <w:trHeight w:val="229"/>
        </w:trPr>
        <w:tc>
          <w:tcPr>
            <w:tcW w:w="1410" w:type="dxa"/>
          </w:tcPr>
          <w:p w14:paraId="4A33E6A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acc claim number </w:t>
            </w:r>
          </w:p>
        </w:tc>
        <w:tc>
          <w:tcPr>
            <w:tcW w:w="992" w:type="dxa"/>
          </w:tcPr>
          <w:p w14:paraId="44249FE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12 </w:t>
            </w:r>
          </w:p>
        </w:tc>
        <w:tc>
          <w:tcPr>
            <w:tcW w:w="851" w:type="dxa"/>
          </w:tcPr>
          <w:p w14:paraId="4C168DAC"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X(12) </w:t>
            </w:r>
          </w:p>
        </w:tc>
        <w:tc>
          <w:tcPr>
            <w:tcW w:w="825" w:type="dxa"/>
          </w:tcPr>
          <w:p w14:paraId="1845E0E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O </w:t>
            </w:r>
          </w:p>
        </w:tc>
        <w:tc>
          <w:tcPr>
            <w:tcW w:w="3427" w:type="dxa"/>
          </w:tcPr>
          <w:p w14:paraId="4BD169C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Valid only if accident flag = ‘Y’ </w:t>
            </w:r>
          </w:p>
        </w:tc>
        <w:tc>
          <w:tcPr>
            <w:tcW w:w="1134" w:type="dxa"/>
          </w:tcPr>
          <w:p w14:paraId="3BD33D00" w14:textId="77777777" w:rsidR="00DD60C0" w:rsidRPr="00E00989" w:rsidRDefault="00DD60C0" w:rsidP="00F23455">
            <w:pPr>
              <w:autoSpaceDE w:val="0"/>
              <w:autoSpaceDN w:val="0"/>
              <w:adjustRightInd w:val="0"/>
              <w:rPr>
                <w:rFonts w:cs="Arial"/>
                <w:sz w:val="20"/>
                <w:szCs w:val="20"/>
              </w:rPr>
            </w:pPr>
          </w:p>
        </w:tc>
        <w:tc>
          <w:tcPr>
            <w:tcW w:w="1418" w:type="dxa"/>
          </w:tcPr>
          <w:p w14:paraId="31D7F6B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N/A</w:t>
            </w:r>
          </w:p>
        </w:tc>
      </w:tr>
      <w:tr w:rsidR="00E00989" w:rsidRPr="00E00989" w14:paraId="4C1220EF" w14:textId="77777777" w:rsidTr="002D1D9A">
        <w:trPr>
          <w:trHeight w:val="229"/>
        </w:trPr>
        <w:tc>
          <w:tcPr>
            <w:tcW w:w="1410" w:type="dxa"/>
          </w:tcPr>
          <w:p w14:paraId="7B61806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accident flag </w:t>
            </w:r>
          </w:p>
        </w:tc>
        <w:tc>
          <w:tcPr>
            <w:tcW w:w="992" w:type="dxa"/>
          </w:tcPr>
          <w:p w14:paraId="668780F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1 </w:t>
            </w:r>
          </w:p>
        </w:tc>
        <w:tc>
          <w:tcPr>
            <w:tcW w:w="851" w:type="dxa"/>
          </w:tcPr>
          <w:p w14:paraId="776AD79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 </w:t>
            </w:r>
          </w:p>
        </w:tc>
        <w:tc>
          <w:tcPr>
            <w:tcW w:w="825" w:type="dxa"/>
          </w:tcPr>
          <w:p w14:paraId="58DDE2F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53583A26"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‘Y’ or ‘N’ or ‘U’ (unknown) </w:t>
            </w:r>
          </w:p>
        </w:tc>
        <w:tc>
          <w:tcPr>
            <w:tcW w:w="1134" w:type="dxa"/>
          </w:tcPr>
          <w:p w14:paraId="7ABBB4A5" w14:textId="77777777" w:rsidR="00DD60C0" w:rsidRPr="00E00989" w:rsidRDefault="002F09AE" w:rsidP="00F23455">
            <w:pPr>
              <w:autoSpaceDE w:val="0"/>
              <w:autoSpaceDN w:val="0"/>
              <w:adjustRightInd w:val="0"/>
              <w:rPr>
                <w:rFonts w:cs="Arial"/>
                <w:sz w:val="20"/>
                <w:szCs w:val="20"/>
              </w:rPr>
            </w:pPr>
            <w:r w:rsidRPr="00E00989">
              <w:rPr>
                <w:rFonts w:cs="Arial"/>
                <w:sz w:val="20"/>
                <w:szCs w:val="20"/>
              </w:rPr>
              <w:t>N</w:t>
            </w:r>
          </w:p>
        </w:tc>
        <w:tc>
          <w:tcPr>
            <w:tcW w:w="1418" w:type="dxa"/>
          </w:tcPr>
          <w:p w14:paraId="0E0E0CE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N/A</w:t>
            </w:r>
          </w:p>
        </w:tc>
      </w:tr>
      <w:tr w:rsidR="00E00989" w:rsidRPr="00E00989" w14:paraId="3A89781A" w14:textId="77777777" w:rsidTr="002D1D9A">
        <w:trPr>
          <w:trHeight w:val="229"/>
        </w:trPr>
        <w:tc>
          <w:tcPr>
            <w:tcW w:w="1410" w:type="dxa"/>
          </w:tcPr>
          <w:p w14:paraId="6E8645F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purchaser code </w:t>
            </w:r>
          </w:p>
        </w:tc>
        <w:tc>
          <w:tcPr>
            <w:tcW w:w="992" w:type="dxa"/>
          </w:tcPr>
          <w:p w14:paraId="3036159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2 </w:t>
            </w:r>
          </w:p>
        </w:tc>
        <w:tc>
          <w:tcPr>
            <w:tcW w:w="851" w:type="dxa"/>
          </w:tcPr>
          <w:p w14:paraId="25E69F5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XX </w:t>
            </w:r>
          </w:p>
        </w:tc>
        <w:tc>
          <w:tcPr>
            <w:tcW w:w="825" w:type="dxa"/>
          </w:tcPr>
          <w:p w14:paraId="1B7AA40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4AF3132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As for NMDS. Must be a valid Principal health purchaser code and must be active for the Date of Service. </w:t>
            </w:r>
          </w:p>
        </w:tc>
        <w:tc>
          <w:tcPr>
            <w:tcW w:w="1134" w:type="dxa"/>
          </w:tcPr>
          <w:p w14:paraId="6A31C57B"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35</w:t>
            </w:r>
          </w:p>
        </w:tc>
        <w:tc>
          <w:tcPr>
            <w:tcW w:w="1418" w:type="dxa"/>
          </w:tcPr>
          <w:p w14:paraId="1272007D" w14:textId="77777777" w:rsidR="00DD60C0" w:rsidRPr="00E00989" w:rsidRDefault="00DD60C0" w:rsidP="00F23455">
            <w:pPr>
              <w:autoSpaceDE w:val="0"/>
              <w:autoSpaceDN w:val="0"/>
              <w:adjustRightInd w:val="0"/>
              <w:rPr>
                <w:rFonts w:cs="Arial"/>
                <w:sz w:val="20"/>
                <w:szCs w:val="20"/>
              </w:rPr>
            </w:pPr>
          </w:p>
        </w:tc>
      </w:tr>
      <w:tr w:rsidR="00E00989" w:rsidRPr="00E00989" w14:paraId="67757C9D" w14:textId="77777777" w:rsidTr="002D1D9A">
        <w:trPr>
          <w:trHeight w:val="229"/>
        </w:trPr>
        <w:tc>
          <w:tcPr>
            <w:tcW w:w="1410" w:type="dxa"/>
          </w:tcPr>
          <w:p w14:paraId="46D15C3B"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attendance code </w:t>
            </w:r>
          </w:p>
        </w:tc>
        <w:tc>
          <w:tcPr>
            <w:tcW w:w="992" w:type="dxa"/>
          </w:tcPr>
          <w:p w14:paraId="68CC14A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3 </w:t>
            </w:r>
          </w:p>
        </w:tc>
        <w:tc>
          <w:tcPr>
            <w:tcW w:w="851" w:type="dxa"/>
          </w:tcPr>
          <w:p w14:paraId="784146F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AAA </w:t>
            </w:r>
          </w:p>
        </w:tc>
        <w:tc>
          <w:tcPr>
            <w:tcW w:w="825" w:type="dxa"/>
          </w:tcPr>
          <w:p w14:paraId="7B4CA56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467276C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ATT (attended), DNA (did not attend), DNW (did not wait) </w:t>
            </w:r>
          </w:p>
        </w:tc>
        <w:tc>
          <w:tcPr>
            <w:tcW w:w="1134" w:type="dxa"/>
          </w:tcPr>
          <w:p w14:paraId="30445F3B"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ATT</w:t>
            </w:r>
          </w:p>
        </w:tc>
        <w:tc>
          <w:tcPr>
            <w:tcW w:w="1418" w:type="dxa"/>
          </w:tcPr>
          <w:p w14:paraId="4A061C38" w14:textId="77777777" w:rsidR="00DD60C0" w:rsidRPr="00E00989" w:rsidRDefault="00DD60C0" w:rsidP="00F23455">
            <w:pPr>
              <w:autoSpaceDE w:val="0"/>
              <w:autoSpaceDN w:val="0"/>
              <w:adjustRightInd w:val="0"/>
              <w:rPr>
                <w:rFonts w:cs="Arial"/>
                <w:sz w:val="20"/>
                <w:szCs w:val="20"/>
              </w:rPr>
            </w:pPr>
          </w:p>
        </w:tc>
      </w:tr>
      <w:tr w:rsidR="00E00989" w:rsidRPr="00E00989" w14:paraId="71D28592" w14:textId="77777777" w:rsidTr="002D1D9A">
        <w:trPr>
          <w:trHeight w:val="229"/>
        </w:trPr>
        <w:tc>
          <w:tcPr>
            <w:tcW w:w="1410" w:type="dxa"/>
          </w:tcPr>
          <w:p w14:paraId="213A7EE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volume </w:t>
            </w:r>
          </w:p>
        </w:tc>
        <w:tc>
          <w:tcPr>
            <w:tcW w:w="992" w:type="dxa"/>
          </w:tcPr>
          <w:p w14:paraId="5C245FE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number </w:t>
            </w:r>
          </w:p>
        </w:tc>
        <w:tc>
          <w:tcPr>
            <w:tcW w:w="851" w:type="dxa"/>
          </w:tcPr>
          <w:p w14:paraId="7A7F186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99999.999 </w:t>
            </w:r>
          </w:p>
          <w:p w14:paraId="78D7DCD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(floating- point) </w:t>
            </w:r>
          </w:p>
        </w:tc>
        <w:tc>
          <w:tcPr>
            <w:tcW w:w="825" w:type="dxa"/>
          </w:tcPr>
          <w:p w14:paraId="0C40119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10EF1CC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Zero if attendance code is DNA or DNW or client-based or programmed events, otherwise 1 or more if attendance code is ATT. This is not the number of events but the number of purchase units. </w:t>
            </w:r>
          </w:p>
        </w:tc>
        <w:tc>
          <w:tcPr>
            <w:tcW w:w="1134" w:type="dxa"/>
          </w:tcPr>
          <w:p w14:paraId="402FD91B" w14:textId="77777777" w:rsidR="00DD60C0" w:rsidRPr="00E00989" w:rsidRDefault="00353E28" w:rsidP="00F23455">
            <w:pPr>
              <w:autoSpaceDE w:val="0"/>
              <w:autoSpaceDN w:val="0"/>
              <w:adjustRightInd w:val="0"/>
              <w:rPr>
                <w:rFonts w:cs="Arial"/>
                <w:sz w:val="20"/>
                <w:szCs w:val="20"/>
              </w:rPr>
            </w:pPr>
            <w:r w:rsidRPr="00E00989">
              <w:rPr>
                <w:rFonts w:cs="Arial"/>
                <w:sz w:val="20"/>
                <w:szCs w:val="20"/>
              </w:rPr>
              <w:t xml:space="preserve">0 or </w:t>
            </w:r>
            <w:r w:rsidR="00DD60C0" w:rsidRPr="00E00989">
              <w:rPr>
                <w:rFonts w:cs="Arial"/>
                <w:sz w:val="20"/>
                <w:szCs w:val="20"/>
              </w:rPr>
              <w:t>1</w:t>
            </w:r>
          </w:p>
        </w:tc>
        <w:tc>
          <w:tcPr>
            <w:tcW w:w="1418" w:type="dxa"/>
          </w:tcPr>
          <w:p w14:paraId="06A8C059" w14:textId="77777777" w:rsidR="00353E28" w:rsidRPr="00E00989" w:rsidRDefault="00353E28" w:rsidP="00353E28">
            <w:pPr>
              <w:spacing w:before="0" w:after="0"/>
              <w:rPr>
                <w:rFonts w:cs="Arial"/>
                <w:sz w:val="20"/>
                <w:szCs w:val="20"/>
                <w:lang w:eastAsia="en-NZ"/>
              </w:rPr>
            </w:pPr>
            <w:r w:rsidRPr="00E00989">
              <w:rPr>
                <w:rFonts w:cs="Arial"/>
                <w:sz w:val="20"/>
                <w:szCs w:val="20"/>
                <w:lang w:eastAsia="en-NZ"/>
              </w:rPr>
              <w:t>The following purchase units have a value of 0:</w:t>
            </w:r>
          </w:p>
          <w:p w14:paraId="12E7BA27" w14:textId="77777777" w:rsidR="00353E28" w:rsidRPr="00E00989" w:rsidRDefault="00353E28" w:rsidP="00353E28">
            <w:pPr>
              <w:spacing w:before="0" w:after="0"/>
              <w:rPr>
                <w:rFonts w:cs="Arial"/>
                <w:sz w:val="20"/>
                <w:szCs w:val="20"/>
                <w:lang w:eastAsia="en-NZ"/>
              </w:rPr>
            </w:pPr>
            <w:r w:rsidRPr="00E00989">
              <w:rPr>
                <w:rFonts w:cs="Arial"/>
                <w:sz w:val="20"/>
                <w:szCs w:val="20"/>
                <w:lang w:eastAsia="en-NZ"/>
              </w:rPr>
              <w:t>Cancelled IVF cycle (FS01013)</w:t>
            </w:r>
          </w:p>
          <w:p w14:paraId="5EDD16E6" w14:textId="77777777" w:rsidR="00353E28" w:rsidRPr="00E00989" w:rsidRDefault="00353E28" w:rsidP="00353E28">
            <w:pPr>
              <w:spacing w:before="0" w:after="0"/>
              <w:rPr>
                <w:rFonts w:cs="Arial"/>
                <w:sz w:val="20"/>
                <w:szCs w:val="20"/>
                <w:lang w:eastAsia="en-NZ"/>
              </w:rPr>
            </w:pPr>
            <w:r w:rsidRPr="00E00989">
              <w:rPr>
                <w:rFonts w:cs="Arial"/>
                <w:sz w:val="20"/>
                <w:szCs w:val="20"/>
                <w:lang w:eastAsia="en-NZ"/>
              </w:rPr>
              <w:t>Incomplete IVF cycle (FS01014)</w:t>
            </w:r>
          </w:p>
          <w:p w14:paraId="62C46040" w14:textId="77777777" w:rsidR="00353E28" w:rsidRPr="00E00989" w:rsidRDefault="00353E28" w:rsidP="00353E28">
            <w:pPr>
              <w:spacing w:before="0" w:after="0"/>
              <w:rPr>
                <w:rFonts w:cs="Arial"/>
                <w:sz w:val="20"/>
                <w:szCs w:val="20"/>
                <w:lang w:eastAsia="en-NZ"/>
              </w:rPr>
            </w:pPr>
            <w:r w:rsidRPr="00E00989">
              <w:rPr>
                <w:rFonts w:cs="Arial"/>
                <w:sz w:val="20"/>
                <w:szCs w:val="20"/>
                <w:lang w:eastAsia="en-NZ"/>
              </w:rPr>
              <w:t>Sperm storage (FS01032)</w:t>
            </w:r>
          </w:p>
          <w:p w14:paraId="22AD6A44" w14:textId="77777777" w:rsidR="00DD60C0" w:rsidRPr="00E00989" w:rsidRDefault="00353E28" w:rsidP="00353E28">
            <w:pPr>
              <w:spacing w:before="0" w:after="0"/>
              <w:rPr>
                <w:rFonts w:cs="Arial"/>
                <w:i/>
                <w:sz w:val="20"/>
                <w:szCs w:val="20"/>
              </w:rPr>
            </w:pPr>
            <w:r w:rsidRPr="00E00989">
              <w:rPr>
                <w:rFonts w:cs="Arial"/>
                <w:sz w:val="20"/>
                <w:szCs w:val="20"/>
                <w:lang w:eastAsia="en-NZ"/>
              </w:rPr>
              <w:t>egg storage (FS01033)</w:t>
            </w:r>
            <w:r w:rsidRPr="00E00989">
              <w:rPr>
                <w:rFonts w:ascii="Calibri" w:hAnsi="Calibri"/>
                <w:sz w:val="22"/>
                <w:szCs w:val="22"/>
                <w:lang w:eastAsia="en-NZ"/>
              </w:rPr>
              <w:t xml:space="preserve"> </w:t>
            </w:r>
          </w:p>
        </w:tc>
      </w:tr>
      <w:tr w:rsidR="00E00989" w:rsidRPr="00E00989" w14:paraId="7CB2B4CC" w14:textId="77777777" w:rsidTr="002D1D9A">
        <w:trPr>
          <w:trHeight w:val="229"/>
        </w:trPr>
        <w:tc>
          <w:tcPr>
            <w:tcW w:w="1410" w:type="dxa"/>
          </w:tcPr>
          <w:p w14:paraId="345B2E3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domicile code </w:t>
            </w:r>
          </w:p>
        </w:tc>
        <w:tc>
          <w:tcPr>
            <w:tcW w:w="992" w:type="dxa"/>
          </w:tcPr>
          <w:p w14:paraId="29080D4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4 </w:t>
            </w:r>
          </w:p>
        </w:tc>
        <w:tc>
          <w:tcPr>
            <w:tcW w:w="851" w:type="dxa"/>
          </w:tcPr>
          <w:p w14:paraId="34F14F5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AAAA </w:t>
            </w:r>
          </w:p>
        </w:tc>
        <w:tc>
          <w:tcPr>
            <w:tcW w:w="825" w:type="dxa"/>
          </w:tcPr>
          <w:p w14:paraId="287D25C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O </w:t>
            </w:r>
          </w:p>
        </w:tc>
        <w:tc>
          <w:tcPr>
            <w:tcW w:w="3427" w:type="dxa"/>
          </w:tcPr>
          <w:p w14:paraId="641E279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Must include leading zeroes. This is used for deriving the patient’s DHB and as a data quality test to compare with the NHI domicile code. </w:t>
            </w:r>
          </w:p>
        </w:tc>
        <w:tc>
          <w:tcPr>
            <w:tcW w:w="1134" w:type="dxa"/>
          </w:tcPr>
          <w:p w14:paraId="73E1BAD2" w14:textId="77777777" w:rsidR="00DD60C0" w:rsidRPr="00E00989" w:rsidRDefault="00DD60C0" w:rsidP="00F23455">
            <w:pPr>
              <w:autoSpaceDE w:val="0"/>
              <w:autoSpaceDN w:val="0"/>
              <w:adjustRightInd w:val="0"/>
              <w:rPr>
                <w:rFonts w:cs="Arial"/>
                <w:sz w:val="20"/>
                <w:szCs w:val="20"/>
              </w:rPr>
            </w:pPr>
          </w:p>
        </w:tc>
        <w:tc>
          <w:tcPr>
            <w:tcW w:w="1418" w:type="dxa"/>
          </w:tcPr>
          <w:p w14:paraId="35C90ADE" w14:textId="77777777" w:rsidR="00DD60C0" w:rsidRPr="00E00989" w:rsidRDefault="00DD60C0" w:rsidP="002D1D9A">
            <w:pPr>
              <w:autoSpaceDE w:val="0"/>
              <w:autoSpaceDN w:val="0"/>
              <w:adjustRightInd w:val="0"/>
              <w:rPr>
                <w:rFonts w:cs="Arial"/>
                <w:i/>
                <w:sz w:val="20"/>
                <w:szCs w:val="20"/>
              </w:rPr>
            </w:pPr>
            <w:r w:rsidRPr="00E00989">
              <w:rPr>
                <w:rFonts w:cs="Arial"/>
                <w:sz w:val="20"/>
                <w:szCs w:val="20"/>
              </w:rPr>
              <w:t>Note: domicile code is part of Geocode</w:t>
            </w:r>
          </w:p>
        </w:tc>
      </w:tr>
      <w:tr w:rsidR="00E00989" w:rsidRPr="00E00989" w14:paraId="4CE18C11" w14:textId="77777777" w:rsidTr="002D1D9A">
        <w:trPr>
          <w:trHeight w:val="229"/>
        </w:trPr>
        <w:tc>
          <w:tcPr>
            <w:tcW w:w="1410" w:type="dxa"/>
          </w:tcPr>
          <w:p w14:paraId="6ECEE14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lastRenderedPageBreak/>
              <w:t xml:space="preserve">datetime of presentation </w:t>
            </w:r>
          </w:p>
        </w:tc>
        <w:tc>
          <w:tcPr>
            <w:tcW w:w="992" w:type="dxa"/>
          </w:tcPr>
          <w:p w14:paraId="11A4713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datetime </w:t>
            </w:r>
          </w:p>
        </w:tc>
        <w:tc>
          <w:tcPr>
            <w:tcW w:w="851" w:type="dxa"/>
          </w:tcPr>
          <w:p w14:paraId="6C98863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CCYYMMDDHHMM </w:t>
            </w:r>
          </w:p>
        </w:tc>
        <w:tc>
          <w:tcPr>
            <w:tcW w:w="825" w:type="dxa"/>
          </w:tcPr>
          <w:p w14:paraId="326235D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 </w:t>
            </w:r>
          </w:p>
        </w:tc>
        <w:tc>
          <w:tcPr>
            <w:tcW w:w="3427" w:type="dxa"/>
          </w:tcPr>
          <w:p w14:paraId="7CB839C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The date and time a patient presents/or is presented physically to the ED department; either to the triage nurse or clerical staff, whichever comes first. </w:t>
            </w:r>
          </w:p>
          <w:p w14:paraId="428D0B0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Mandatory for ED events with Datetime of service on or after 1 July 2010, null for all other events </w:t>
            </w:r>
          </w:p>
        </w:tc>
        <w:tc>
          <w:tcPr>
            <w:tcW w:w="1134" w:type="dxa"/>
          </w:tcPr>
          <w:p w14:paraId="37ED5BC5" w14:textId="77777777" w:rsidR="00DD60C0" w:rsidRPr="00E00989" w:rsidRDefault="00DD60C0" w:rsidP="00F23455">
            <w:pPr>
              <w:autoSpaceDE w:val="0"/>
              <w:autoSpaceDN w:val="0"/>
              <w:adjustRightInd w:val="0"/>
              <w:rPr>
                <w:rFonts w:cs="Arial"/>
                <w:sz w:val="20"/>
                <w:szCs w:val="20"/>
              </w:rPr>
            </w:pPr>
          </w:p>
        </w:tc>
        <w:tc>
          <w:tcPr>
            <w:tcW w:w="1418" w:type="dxa"/>
          </w:tcPr>
          <w:p w14:paraId="27E665F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N/A (ED only)</w:t>
            </w:r>
          </w:p>
        </w:tc>
      </w:tr>
      <w:tr w:rsidR="00E00989" w:rsidRPr="00E00989" w14:paraId="16096449" w14:textId="77777777" w:rsidTr="002D1D9A">
        <w:trPr>
          <w:trHeight w:val="229"/>
        </w:trPr>
        <w:tc>
          <w:tcPr>
            <w:tcW w:w="1410" w:type="dxa"/>
          </w:tcPr>
          <w:p w14:paraId="03C746E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datetime of service </w:t>
            </w:r>
          </w:p>
        </w:tc>
        <w:tc>
          <w:tcPr>
            <w:tcW w:w="992" w:type="dxa"/>
          </w:tcPr>
          <w:p w14:paraId="0EF73CB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datetime </w:t>
            </w:r>
          </w:p>
        </w:tc>
        <w:tc>
          <w:tcPr>
            <w:tcW w:w="851" w:type="dxa"/>
          </w:tcPr>
          <w:p w14:paraId="3DE138E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CCYYMMDDHHMM </w:t>
            </w:r>
          </w:p>
        </w:tc>
        <w:tc>
          <w:tcPr>
            <w:tcW w:w="825" w:type="dxa"/>
          </w:tcPr>
          <w:p w14:paraId="045102D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 </w:t>
            </w:r>
          </w:p>
        </w:tc>
        <w:tc>
          <w:tcPr>
            <w:tcW w:w="3427" w:type="dxa"/>
          </w:tcPr>
          <w:p w14:paraId="32E77EF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The date of service will be used to look up the NHI history tables to get the gender, ethnicity and domicile code of the patient at the time of the event. </w:t>
            </w:r>
          </w:p>
          <w:p w14:paraId="75FDFFA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For ED events this is the date and time that a triage nurse/suitable ED medical professional starts the process of categorising the triage level of the incoming patient (i.e. 1 – 5). </w:t>
            </w:r>
          </w:p>
          <w:p w14:paraId="2C4484A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For outpatient visits the time of service should be the actual service start time if available. If not, then the booked appointment time may be used or a default time of ‘0000’ may be sent. </w:t>
            </w:r>
          </w:p>
          <w:p w14:paraId="5BA2BBE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Refer to further notes in 13.3 ED Timestamps </w:t>
            </w:r>
          </w:p>
        </w:tc>
        <w:tc>
          <w:tcPr>
            <w:tcW w:w="1134" w:type="dxa"/>
          </w:tcPr>
          <w:p w14:paraId="0D0EC18B" w14:textId="77777777" w:rsidR="00DD60C0" w:rsidRPr="00E00989" w:rsidRDefault="00DD60C0" w:rsidP="00F23455">
            <w:pPr>
              <w:autoSpaceDE w:val="0"/>
              <w:autoSpaceDN w:val="0"/>
              <w:adjustRightInd w:val="0"/>
              <w:rPr>
                <w:rFonts w:cs="Arial"/>
                <w:sz w:val="20"/>
                <w:szCs w:val="20"/>
              </w:rPr>
            </w:pPr>
          </w:p>
        </w:tc>
        <w:tc>
          <w:tcPr>
            <w:tcW w:w="1418" w:type="dxa"/>
          </w:tcPr>
          <w:p w14:paraId="0A23AF5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Date only – 0000 for the time</w:t>
            </w:r>
          </w:p>
        </w:tc>
      </w:tr>
      <w:tr w:rsidR="00E00989" w:rsidRPr="00E00989" w14:paraId="34840751" w14:textId="77777777" w:rsidTr="002D1D9A">
        <w:trPr>
          <w:trHeight w:val="229"/>
        </w:trPr>
        <w:tc>
          <w:tcPr>
            <w:tcW w:w="1410" w:type="dxa"/>
          </w:tcPr>
          <w:p w14:paraId="0158FE4B"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datetime of first contact </w:t>
            </w:r>
          </w:p>
        </w:tc>
        <w:tc>
          <w:tcPr>
            <w:tcW w:w="992" w:type="dxa"/>
          </w:tcPr>
          <w:p w14:paraId="4E20387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datetime </w:t>
            </w:r>
          </w:p>
        </w:tc>
        <w:tc>
          <w:tcPr>
            <w:tcW w:w="851" w:type="dxa"/>
          </w:tcPr>
          <w:p w14:paraId="452245E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CCYYMMDDHHMM </w:t>
            </w:r>
          </w:p>
        </w:tc>
        <w:tc>
          <w:tcPr>
            <w:tcW w:w="825" w:type="dxa"/>
          </w:tcPr>
          <w:p w14:paraId="4EE0A81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 </w:t>
            </w:r>
          </w:p>
        </w:tc>
        <w:tc>
          <w:tcPr>
            <w:tcW w:w="3427" w:type="dxa"/>
          </w:tcPr>
          <w:p w14:paraId="1B9CD61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The date and time that the triaged patient's treatment starts by a suitable ED medical professional (could be the same time as the datetime of service if treatment is required immediately i.e. triage level 1). </w:t>
            </w:r>
          </w:p>
          <w:p w14:paraId="6ACE0D7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Mandatory for ED events with Datetime of service on or after 1 July 2010 and attendance code ‘ATT’, null for all other events </w:t>
            </w:r>
          </w:p>
        </w:tc>
        <w:tc>
          <w:tcPr>
            <w:tcW w:w="1134" w:type="dxa"/>
          </w:tcPr>
          <w:p w14:paraId="7DE86C24" w14:textId="77777777" w:rsidR="00DD60C0" w:rsidRPr="00E00989" w:rsidRDefault="00DD60C0" w:rsidP="00F23455">
            <w:pPr>
              <w:autoSpaceDE w:val="0"/>
              <w:autoSpaceDN w:val="0"/>
              <w:adjustRightInd w:val="0"/>
              <w:rPr>
                <w:rFonts w:cs="Arial"/>
                <w:sz w:val="20"/>
                <w:szCs w:val="20"/>
              </w:rPr>
            </w:pPr>
          </w:p>
        </w:tc>
        <w:tc>
          <w:tcPr>
            <w:tcW w:w="1418" w:type="dxa"/>
          </w:tcPr>
          <w:p w14:paraId="5889AB7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N/A (ED only)</w:t>
            </w:r>
          </w:p>
        </w:tc>
      </w:tr>
      <w:tr w:rsidR="00E00989" w:rsidRPr="00E00989" w14:paraId="3C87D71D" w14:textId="77777777" w:rsidTr="002D1D9A">
        <w:trPr>
          <w:trHeight w:val="229"/>
        </w:trPr>
        <w:tc>
          <w:tcPr>
            <w:tcW w:w="1410" w:type="dxa"/>
          </w:tcPr>
          <w:p w14:paraId="4819776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datetime of departure </w:t>
            </w:r>
          </w:p>
        </w:tc>
        <w:tc>
          <w:tcPr>
            <w:tcW w:w="992" w:type="dxa"/>
          </w:tcPr>
          <w:p w14:paraId="1406A77A"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datetime </w:t>
            </w:r>
          </w:p>
        </w:tc>
        <w:tc>
          <w:tcPr>
            <w:tcW w:w="851" w:type="dxa"/>
          </w:tcPr>
          <w:p w14:paraId="5E53ACD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CCYYMMDDHHMM </w:t>
            </w:r>
          </w:p>
        </w:tc>
        <w:tc>
          <w:tcPr>
            <w:tcW w:w="825" w:type="dxa"/>
          </w:tcPr>
          <w:p w14:paraId="4B1B874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 </w:t>
            </w:r>
          </w:p>
        </w:tc>
        <w:tc>
          <w:tcPr>
            <w:tcW w:w="3427" w:type="dxa"/>
          </w:tcPr>
          <w:p w14:paraId="7A22A030"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The date and time of the physical departure of the patient from ED to an in-patient ward, or the time at which a patient begins a period of formal observation (whether in ED observation beds, an observation unit, or similar), or the time at which a patient being discharged from the ED to the community physically leaves the ED. </w:t>
            </w:r>
          </w:p>
          <w:p w14:paraId="1D683E0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Mandatory for ED events with Datetime of service on or after 1 </w:t>
            </w:r>
            <w:r w:rsidRPr="00E00989">
              <w:rPr>
                <w:rFonts w:cs="Arial"/>
                <w:sz w:val="20"/>
                <w:szCs w:val="20"/>
              </w:rPr>
              <w:lastRenderedPageBreak/>
              <w:t xml:space="preserve">July 2010 and attendance code ‘ATT’, null for all other events </w:t>
            </w:r>
          </w:p>
          <w:p w14:paraId="431FB43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Refer to further notes in 13.3 ED Timestamps </w:t>
            </w:r>
          </w:p>
        </w:tc>
        <w:tc>
          <w:tcPr>
            <w:tcW w:w="1134" w:type="dxa"/>
          </w:tcPr>
          <w:p w14:paraId="32513B28" w14:textId="77777777" w:rsidR="00DD60C0" w:rsidRPr="00E00989" w:rsidRDefault="00DD60C0" w:rsidP="00F23455">
            <w:pPr>
              <w:autoSpaceDE w:val="0"/>
              <w:autoSpaceDN w:val="0"/>
              <w:adjustRightInd w:val="0"/>
              <w:rPr>
                <w:rFonts w:cs="Arial"/>
                <w:sz w:val="20"/>
                <w:szCs w:val="20"/>
              </w:rPr>
            </w:pPr>
          </w:p>
        </w:tc>
        <w:tc>
          <w:tcPr>
            <w:tcW w:w="1418" w:type="dxa"/>
          </w:tcPr>
          <w:p w14:paraId="7157489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N/A (ED only)</w:t>
            </w:r>
          </w:p>
        </w:tc>
      </w:tr>
      <w:tr w:rsidR="00E00989" w:rsidRPr="00E00989" w14:paraId="1F86197F" w14:textId="77777777" w:rsidTr="002D1D9A">
        <w:trPr>
          <w:trHeight w:val="229"/>
        </w:trPr>
        <w:tc>
          <w:tcPr>
            <w:tcW w:w="1410" w:type="dxa"/>
          </w:tcPr>
          <w:p w14:paraId="425457DD"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triage level </w:t>
            </w:r>
          </w:p>
        </w:tc>
        <w:tc>
          <w:tcPr>
            <w:tcW w:w="992" w:type="dxa"/>
          </w:tcPr>
          <w:p w14:paraId="38BB9B7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integer </w:t>
            </w:r>
          </w:p>
        </w:tc>
        <w:tc>
          <w:tcPr>
            <w:tcW w:w="851" w:type="dxa"/>
          </w:tcPr>
          <w:p w14:paraId="104715F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N </w:t>
            </w:r>
          </w:p>
        </w:tc>
        <w:tc>
          <w:tcPr>
            <w:tcW w:w="825" w:type="dxa"/>
          </w:tcPr>
          <w:p w14:paraId="12219AD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 </w:t>
            </w:r>
          </w:p>
        </w:tc>
        <w:tc>
          <w:tcPr>
            <w:tcW w:w="3427" w:type="dxa"/>
          </w:tcPr>
          <w:p w14:paraId="2E3EE1BC"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From the scale of 1 – 5 </w:t>
            </w:r>
          </w:p>
          <w:p w14:paraId="3D66ADC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Mandatory for ED events with Datetime of service on or after 1 July 2010 and attendance code ‘ATT’, null for all other events </w:t>
            </w:r>
          </w:p>
        </w:tc>
        <w:tc>
          <w:tcPr>
            <w:tcW w:w="1134" w:type="dxa"/>
          </w:tcPr>
          <w:p w14:paraId="2725AC3F" w14:textId="77777777" w:rsidR="00DD60C0" w:rsidRPr="00E00989" w:rsidRDefault="00DD60C0" w:rsidP="00F23455">
            <w:pPr>
              <w:autoSpaceDE w:val="0"/>
              <w:autoSpaceDN w:val="0"/>
              <w:adjustRightInd w:val="0"/>
              <w:rPr>
                <w:rFonts w:cs="Arial"/>
                <w:sz w:val="20"/>
                <w:szCs w:val="20"/>
              </w:rPr>
            </w:pPr>
          </w:p>
        </w:tc>
        <w:tc>
          <w:tcPr>
            <w:tcW w:w="1418" w:type="dxa"/>
          </w:tcPr>
          <w:p w14:paraId="6B4DB783" w14:textId="77777777" w:rsidR="00DD60C0" w:rsidRPr="00E00989" w:rsidRDefault="00DD60C0" w:rsidP="00F23455">
            <w:pPr>
              <w:autoSpaceDE w:val="0"/>
              <w:autoSpaceDN w:val="0"/>
              <w:adjustRightInd w:val="0"/>
              <w:rPr>
                <w:rFonts w:cs="Arial"/>
                <w:sz w:val="20"/>
                <w:szCs w:val="20"/>
              </w:rPr>
            </w:pPr>
          </w:p>
        </w:tc>
      </w:tr>
      <w:tr w:rsidR="00E00989" w:rsidRPr="00E00989" w14:paraId="206B2CFD" w14:textId="77777777" w:rsidTr="002D1D9A">
        <w:trPr>
          <w:trHeight w:val="229"/>
        </w:trPr>
        <w:tc>
          <w:tcPr>
            <w:tcW w:w="1410" w:type="dxa"/>
          </w:tcPr>
          <w:p w14:paraId="768CEF2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event end type code </w:t>
            </w:r>
          </w:p>
        </w:tc>
        <w:tc>
          <w:tcPr>
            <w:tcW w:w="992" w:type="dxa"/>
          </w:tcPr>
          <w:p w14:paraId="17C0B3F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w:t>
            </w:r>
          </w:p>
        </w:tc>
        <w:tc>
          <w:tcPr>
            <w:tcW w:w="851" w:type="dxa"/>
          </w:tcPr>
          <w:p w14:paraId="56C404A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AA </w:t>
            </w:r>
          </w:p>
        </w:tc>
        <w:tc>
          <w:tcPr>
            <w:tcW w:w="825" w:type="dxa"/>
          </w:tcPr>
          <w:p w14:paraId="38F48923"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 </w:t>
            </w:r>
          </w:p>
        </w:tc>
        <w:tc>
          <w:tcPr>
            <w:tcW w:w="3427" w:type="dxa"/>
          </w:tcPr>
          <w:p w14:paraId="183DDC3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Mandatory for ED events with Datetime of service on or after 1 July 2010 </w:t>
            </w:r>
          </w:p>
          <w:p w14:paraId="1835A497"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Must be a valid code in the Event End Type code table. </w:t>
            </w:r>
          </w:p>
        </w:tc>
        <w:tc>
          <w:tcPr>
            <w:tcW w:w="1134" w:type="dxa"/>
          </w:tcPr>
          <w:p w14:paraId="5CF7E555" w14:textId="77777777" w:rsidR="00DD60C0" w:rsidRPr="00E00989" w:rsidRDefault="00DD60C0" w:rsidP="00F23455">
            <w:pPr>
              <w:autoSpaceDE w:val="0"/>
              <w:autoSpaceDN w:val="0"/>
              <w:adjustRightInd w:val="0"/>
              <w:rPr>
                <w:rFonts w:cs="Arial"/>
                <w:sz w:val="20"/>
                <w:szCs w:val="20"/>
              </w:rPr>
            </w:pPr>
          </w:p>
        </w:tc>
        <w:tc>
          <w:tcPr>
            <w:tcW w:w="1418" w:type="dxa"/>
          </w:tcPr>
          <w:p w14:paraId="2D25DBBA" w14:textId="77777777" w:rsidR="00DD60C0" w:rsidRPr="00E00989" w:rsidRDefault="00DD60C0" w:rsidP="00F23455">
            <w:pPr>
              <w:autoSpaceDE w:val="0"/>
              <w:autoSpaceDN w:val="0"/>
              <w:adjustRightInd w:val="0"/>
              <w:rPr>
                <w:rFonts w:cs="Arial"/>
                <w:sz w:val="20"/>
                <w:szCs w:val="20"/>
              </w:rPr>
            </w:pPr>
          </w:p>
        </w:tc>
      </w:tr>
      <w:tr w:rsidR="00E00989" w:rsidRPr="00E00989" w14:paraId="654C5C74" w14:textId="77777777" w:rsidTr="002D1D9A">
        <w:trPr>
          <w:trHeight w:val="229"/>
        </w:trPr>
        <w:tc>
          <w:tcPr>
            <w:tcW w:w="1410" w:type="dxa"/>
          </w:tcPr>
          <w:p w14:paraId="4AA9A526"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NMDS PMS unique identifier </w:t>
            </w:r>
          </w:p>
        </w:tc>
        <w:tc>
          <w:tcPr>
            <w:tcW w:w="992" w:type="dxa"/>
          </w:tcPr>
          <w:p w14:paraId="6931885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varchar 14 </w:t>
            </w:r>
          </w:p>
        </w:tc>
        <w:tc>
          <w:tcPr>
            <w:tcW w:w="851" w:type="dxa"/>
          </w:tcPr>
          <w:p w14:paraId="2C480371"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 (14) </w:t>
            </w:r>
          </w:p>
        </w:tc>
        <w:tc>
          <w:tcPr>
            <w:tcW w:w="825" w:type="dxa"/>
          </w:tcPr>
          <w:p w14:paraId="61B8C25E"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 </w:t>
            </w:r>
          </w:p>
        </w:tc>
        <w:tc>
          <w:tcPr>
            <w:tcW w:w="3427" w:type="dxa"/>
          </w:tcPr>
          <w:p w14:paraId="08057275"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NMDS PMS unique event identifier where a patient is admitted following their emergency event. The admission may be either because a patient has been admitted to an inpatient ward or there has been an administrative admission due to the 3 hour rule (see definition of admission in the glossary to the National Collections). Mandatory for events with Datetime of service on or after 1 July 2010 and attendance code = 'ATT' and equivalent purchase unit is like ED%A. </w:t>
            </w:r>
          </w:p>
        </w:tc>
        <w:tc>
          <w:tcPr>
            <w:tcW w:w="1134" w:type="dxa"/>
          </w:tcPr>
          <w:p w14:paraId="5404B1F8" w14:textId="77777777" w:rsidR="00DD60C0" w:rsidRPr="00E00989" w:rsidRDefault="00DD60C0" w:rsidP="00F23455">
            <w:pPr>
              <w:autoSpaceDE w:val="0"/>
              <w:autoSpaceDN w:val="0"/>
              <w:adjustRightInd w:val="0"/>
              <w:rPr>
                <w:rFonts w:cs="Arial"/>
                <w:sz w:val="20"/>
                <w:szCs w:val="20"/>
              </w:rPr>
            </w:pPr>
          </w:p>
        </w:tc>
        <w:tc>
          <w:tcPr>
            <w:tcW w:w="1418" w:type="dxa"/>
          </w:tcPr>
          <w:p w14:paraId="532C4B2A" w14:textId="77777777" w:rsidR="00DD60C0" w:rsidRPr="00E00989" w:rsidRDefault="00DD60C0" w:rsidP="00F23455">
            <w:pPr>
              <w:autoSpaceDE w:val="0"/>
              <w:autoSpaceDN w:val="0"/>
              <w:adjustRightInd w:val="0"/>
              <w:rPr>
                <w:rFonts w:cs="Arial"/>
                <w:sz w:val="20"/>
                <w:szCs w:val="20"/>
              </w:rPr>
            </w:pPr>
          </w:p>
        </w:tc>
      </w:tr>
      <w:tr w:rsidR="00E00989" w:rsidRPr="00E00989" w14:paraId="2F7467B3" w14:textId="77777777" w:rsidTr="002D1D9A">
        <w:trPr>
          <w:trHeight w:val="229"/>
        </w:trPr>
        <w:tc>
          <w:tcPr>
            <w:tcW w:w="1410" w:type="dxa"/>
          </w:tcPr>
          <w:p w14:paraId="3D83B1F2"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Funding agency code </w:t>
            </w:r>
          </w:p>
        </w:tc>
        <w:tc>
          <w:tcPr>
            <w:tcW w:w="992" w:type="dxa"/>
          </w:tcPr>
          <w:p w14:paraId="004E68A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Char </w:t>
            </w:r>
          </w:p>
        </w:tc>
        <w:tc>
          <w:tcPr>
            <w:tcW w:w="851" w:type="dxa"/>
          </w:tcPr>
          <w:p w14:paraId="5B11C368"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XXXX </w:t>
            </w:r>
          </w:p>
        </w:tc>
        <w:tc>
          <w:tcPr>
            <w:tcW w:w="825" w:type="dxa"/>
          </w:tcPr>
          <w:p w14:paraId="53824679"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CM </w:t>
            </w:r>
          </w:p>
        </w:tc>
        <w:tc>
          <w:tcPr>
            <w:tcW w:w="3427" w:type="dxa"/>
          </w:tcPr>
          <w:p w14:paraId="47D66214"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 xml:space="preserve">Funding agency will be reported in the new version of the load file v5.0. Mandatory for events with a purchaser code of 20, 33, 34, 35, 55, A0. Must be a valid Agency Code and must align with the Purchaser Code </w:t>
            </w:r>
          </w:p>
        </w:tc>
        <w:tc>
          <w:tcPr>
            <w:tcW w:w="1134" w:type="dxa"/>
          </w:tcPr>
          <w:p w14:paraId="067D761B" w14:textId="77777777" w:rsidR="00DD60C0" w:rsidRPr="00E00989" w:rsidRDefault="00DD60C0" w:rsidP="00F23455">
            <w:pPr>
              <w:autoSpaceDE w:val="0"/>
              <w:autoSpaceDN w:val="0"/>
              <w:adjustRightInd w:val="0"/>
              <w:rPr>
                <w:rFonts w:cs="Arial"/>
                <w:sz w:val="20"/>
                <w:szCs w:val="20"/>
              </w:rPr>
            </w:pPr>
          </w:p>
        </w:tc>
        <w:tc>
          <w:tcPr>
            <w:tcW w:w="1418" w:type="dxa"/>
          </w:tcPr>
          <w:p w14:paraId="16289F4F" w14:textId="77777777" w:rsidR="00DD60C0" w:rsidRPr="00E00989" w:rsidRDefault="00DD60C0" w:rsidP="00F23455">
            <w:pPr>
              <w:autoSpaceDE w:val="0"/>
              <w:autoSpaceDN w:val="0"/>
              <w:adjustRightInd w:val="0"/>
              <w:rPr>
                <w:rFonts w:cs="Arial"/>
                <w:sz w:val="20"/>
                <w:szCs w:val="20"/>
              </w:rPr>
            </w:pPr>
            <w:r w:rsidRPr="00E00989">
              <w:rPr>
                <w:rFonts w:cs="Arial"/>
                <w:sz w:val="20"/>
                <w:szCs w:val="20"/>
              </w:rPr>
              <w:t>Funding DHB – see list below *</w:t>
            </w:r>
          </w:p>
        </w:tc>
      </w:tr>
      <w:tr w:rsidR="00F020EB" w:rsidRPr="00E00989" w14:paraId="5F680A4E" w14:textId="77777777" w:rsidTr="002D1D9A">
        <w:trPr>
          <w:trHeight w:val="229"/>
        </w:trPr>
        <w:tc>
          <w:tcPr>
            <w:tcW w:w="1410" w:type="dxa"/>
          </w:tcPr>
          <w:p w14:paraId="1FBB1B3E" w14:textId="77777777" w:rsidR="00F020EB" w:rsidRPr="00E00989" w:rsidRDefault="00F020EB" w:rsidP="00F23455">
            <w:pPr>
              <w:autoSpaceDE w:val="0"/>
              <w:autoSpaceDN w:val="0"/>
              <w:adjustRightInd w:val="0"/>
              <w:rPr>
                <w:rFonts w:cs="Arial"/>
                <w:sz w:val="20"/>
                <w:szCs w:val="20"/>
              </w:rPr>
            </w:pPr>
            <w:r>
              <w:rPr>
                <w:rFonts w:cs="Arial"/>
                <w:sz w:val="20"/>
                <w:szCs w:val="20"/>
              </w:rPr>
              <w:t>Mode of delivery</w:t>
            </w:r>
          </w:p>
        </w:tc>
        <w:tc>
          <w:tcPr>
            <w:tcW w:w="992" w:type="dxa"/>
          </w:tcPr>
          <w:p w14:paraId="6810CB80" w14:textId="77777777" w:rsidR="00F020EB" w:rsidRPr="00E00989" w:rsidRDefault="00F020EB" w:rsidP="00F23455">
            <w:pPr>
              <w:autoSpaceDE w:val="0"/>
              <w:autoSpaceDN w:val="0"/>
              <w:adjustRightInd w:val="0"/>
              <w:rPr>
                <w:rFonts w:cs="Arial"/>
                <w:sz w:val="20"/>
                <w:szCs w:val="20"/>
              </w:rPr>
            </w:pPr>
          </w:p>
        </w:tc>
        <w:tc>
          <w:tcPr>
            <w:tcW w:w="851" w:type="dxa"/>
          </w:tcPr>
          <w:p w14:paraId="675BCD42" w14:textId="77777777" w:rsidR="00F020EB" w:rsidRPr="00E00989" w:rsidRDefault="00F020EB" w:rsidP="00F23455">
            <w:pPr>
              <w:autoSpaceDE w:val="0"/>
              <w:autoSpaceDN w:val="0"/>
              <w:adjustRightInd w:val="0"/>
              <w:rPr>
                <w:rFonts w:cs="Arial"/>
                <w:sz w:val="20"/>
                <w:szCs w:val="20"/>
              </w:rPr>
            </w:pPr>
          </w:p>
        </w:tc>
        <w:tc>
          <w:tcPr>
            <w:tcW w:w="825" w:type="dxa"/>
          </w:tcPr>
          <w:p w14:paraId="47DE3C0F" w14:textId="77777777" w:rsidR="00F020EB" w:rsidRPr="00E00989" w:rsidRDefault="00F020EB" w:rsidP="00F23455">
            <w:pPr>
              <w:autoSpaceDE w:val="0"/>
              <w:autoSpaceDN w:val="0"/>
              <w:adjustRightInd w:val="0"/>
              <w:rPr>
                <w:rFonts w:cs="Arial"/>
                <w:sz w:val="20"/>
                <w:szCs w:val="20"/>
              </w:rPr>
            </w:pPr>
          </w:p>
        </w:tc>
        <w:tc>
          <w:tcPr>
            <w:tcW w:w="3427" w:type="dxa"/>
          </w:tcPr>
          <w:p w14:paraId="33B2F88C" w14:textId="77777777" w:rsidR="00F020EB" w:rsidRPr="00E00989" w:rsidRDefault="00F020EB" w:rsidP="00F23455">
            <w:pPr>
              <w:autoSpaceDE w:val="0"/>
              <w:autoSpaceDN w:val="0"/>
              <w:adjustRightInd w:val="0"/>
              <w:rPr>
                <w:rFonts w:cs="Arial"/>
                <w:sz w:val="20"/>
                <w:szCs w:val="20"/>
              </w:rPr>
            </w:pPr>
          </w:p>
        </w:tc>
        <w:tc>
          <w:tcPr>
            <w:tcW w:w="1134" w:type="dxa"/>
          </w:tcPr>
          <w:p w14:paraId="73F5D851" w14:textId="77777777" w:rsidR="00F020EB" w:rsidRPr="00E00989" w:rsidRDefault="00F020EB" w:rsidP="00F23455">
            <w:pPr>
              <w:autoSpaceDE w:val="0"/>
              <w:autoSpaceDN w:val="0"/>
              <w:adjustRightInd w:val="0"/>
              <w:rPr>
                <w:rFonts w:cs="Arial"/>
                <w:sz w:val="20"/>
                <w:szCs w:val="20"/>
              </w:rPr>
            </w:pPr>
            <w:r>
              <w:rPr>
                <w:rFonts w:cs="Arial"/>
                <w:sz w:val="20"/>
                <w:szCs w:val="20"/>
              </w:rPr>
              <w:t>1</w:t>
            </w:r>
          </w:p>
        </w:tc>
        <w:tc>
          <w:tcPr>
            <w:tcW w:w="1418" w:type="dxa"/>
          </w:tcPr>
          <w:p w14:paraId="397883E0" w14:textId="77777777" w:rsidR="00F020EB" w:rsidRPr="00E00989" w:rsidRDefault="00F020EB" w:rsidP="00F23455">
            <w:pPr>
              <w:autoSpaceDE w:val="0"/>
              <w:autoSpaceDN w:val="0"/>
              <w:adjustRightInd w:val="0"/>
              <w:rPr>
                <w:rFonts w:cs="Arial"/>
                <w:sz w:val="20"/>
                <w:szCs w:val="20"/>
              </w:rPr>
            </w:pPr>
          </w:p>
        </w:tc>
      </w:tr>
      <w:tr w:rsidR="00F020EB" w:rsidRPr="00E00989" w14:paraId="65A2832D" w14:textId="77777777" w:rsidTr="002D1D9A">
        <w:trPr>
          <w:trHeight w:val="229"/>
        </w:trPr>
        <w:tc>
          <w:tcPr>
            <w:tcW w:w="1410" w:type="dxa"/>
          </w:tcPr>
          <w:p w14:paraId="35603BB0" w14:textId="77777777" w:rsidR="00F020EB" w:rsidRDefault="00F020EB" w:rsidP="00F23455">
            <w:pPr>
              <w:autoSpaceDE w:val="0"/>
              <w:autoSpaceDN w:val="0"/>
              <w:adjustRightInd w:val="0"/>
              <w:rPr>
                <w:rFonts w:cs="Arial"/>
                <w:sz w:val="20"/>
                <w:szCs w:val="20"/>
              </w:rPr>
            </w:pPr>
            <w:r>
              <w:rPr>
                <w:rFonts w:cs="Arial"/>
                <w:sz w:val="20"/>
                <w:szCs w:val="20"/>
              </w:rPr>
              <w:t>Alcohol involved code</w:t>
            </w:r>
          </w:p>
        </w:tc>
        <w:tc>
          <w:tcPr>
            <w:tcW w:w="992" w:type="dxa"/>
          </w:tcPr>
          <w:p w14:paraId="47DE9140" w14:textId="77777777" w:rsidR="00F020EB" w:rsidRPr="00E00989" w:rsidRDefault="00F020EB" w:rsidP="00F23455">
            <w:pPr>
              <w:autoSpaceDE w:val="0"/>
              <w:autoSpaceDN w:val="0"/>
              <w:adjustRightInd w:val="0"/>
              <w:rPr>
                <w:rFonts w:cs="Arial"/>
                <w:sz w:val="20"/>
                <w:szCs w:val="20"/>
              </w:rPr>
            </w:pPr>
          </w:p>
        </w:tc>
        <w:tc>
          <w:tcPr>
            <w:tcW w:w="851" w:type="dxa"/>
          </w:tcPr>
          <w:p w14:paraId="40771493" w14:textId="77777777" w:rsidR="00F020EB" w:rsidRPr="00E00989" w:rsidRDefault="00F020EB" w:rsidP="00F23455">
            <w:pPr>
              <w:autoSpaceDE w:val="0"/>
              <w:autoSpaceDN w:val="0"/>
              <w:adjustRightInd w:val="0"/>
              <w:rPr>
                <w:rFonts w:cs="Arial"/>
                <w:sz w:val="20"/>
                <w:szCs w:val="20"/>
              </w:rPr>
            </w:pPr>
          </w:p>
        </w:tc>
        <w:tc>
          <w:tcPr>
            <w:tcW w:w="825" w:type="dxa"/>
          </w:tcPr>
          <w:p w14:paraId="335D1A74" w14:textId="77777777" w:rsidR="00F020EB" w:rsidRPr="00E00989" w:rsidRDefault="00F020EB" w:rsidP="00F23455">
            <w:pPr>
              <w:autoSpaceDE w:val="0"/>
              <w:autoSpaceDN w:val="0"/>
              <w:adjustRightInd w:val="0"/>
              <w:rPr>
                <w:rFonts w:cs="Arial"/>
                <w:sz w:val="20"/>
                <w:szCs w:val="20"/>
              </w:rPr>
            </w:pPr>
          </w:p>
        </w:tc>
        <w:tc>
          <w:tcPr>
            <w:tcW w:w="3427" w:type="dxa"/>
          </w:tcPr>
          <w:p w14:paraId="15CC9FD2" w14:textId="77777777" w:rsidR="00F020EB" w:rsidRPr="00E00989" w:rsidRDefault="00F020EB" w:rsidP="00F23455">
            <w:pPr>
              <w:autoSpaceDE w:val="0"/>
              <w:autoSpaceDN w:val="0"/>
              <w:adjustRightInd w:val="0"/>
              <w:rPr>
                <w:rFonts w:cs="Arial"/>
                <w:sz w:val="20"/>
                <w:szCs w:val="20"/>
              </w:rPr>
            </w:pPr>
          </w:p>
        </w:tc>
        <w:tc>
          <w:tcPr>
            <w:tcW w:w="1134" w:type="dxa"/>
          </w:tcPr>
          <w:p w14:paraId="661C004C" w14:textId="77777777" w:rsidR="00F020EB" w:rsidRPr="00E00989" w:rsidRDefault="00F020EB" w:rsidP="00F23455">
            <w:pPr>
              <w:autoSpaceDE w:val="0"/>
              <w:autoSpaceDN w:val="0"/>
              <w:adjustRightInd w:val="0"/>
              <w:rPr>
                <w:rFonts w:cs="Arial"/>
                <w:sz w:val="20"/>
                <w:szCs w:val="20"/>
              </w:rPr>
            </w:pPr>
          </w:p>
        </w:tc>
        <w:tc>
          <w:tcPr>
            <w:tcW w:w="1418" w:type="dxa"/>
          </w:tcPr>
          <w:p w14:paraId="5B44489D" w14:textId="77777777" w:rsidR="00F020EB" w:rsidRPr="00E00989" w:rsidRDefault="00F020EB" w:rsidP="00F23455">
            <w:pPr>
              <w:autoSpaceDE w:val="0"/>
              <w:autoSpaceDN w:val="0"/>
              <w:adjustRightInd w:val="0"/>
              <w:rPr>
                <w:rFonts w:cs="Arial"/>
                <w:sz w:val="20"/>
                <w:szCs w:val="20"/>
              </w:rPr>
            </w:pPr>
          </w:p>
        </w:tc>
      </w:tr>
    </w:tbl>
    <w:p w14:paraId="268F54E1" w14:textId="77777777" w:rsidR="00DD60C0" w:rsidRDefault="00DD60C0" w:rsidP="00DD60C0">
      <w:pPr>
        <w:spacing w:line="276" w:lineRule="auto"/>
      </w:pPr>
      <w:r w:rsidRPr="00973D4F">
        <w:t xml:space="preserve">* District Health Board code table available on </w:t>
      </w:r>
      <w:hyperlink r:id="rId13" w:history="1">
        <w:r w:rsidRPr="00CB5B9F">
          <w:rPr>
            <w:rStyle w:val="Hyperlink"/>
          </w:rPr>
          <w:t>http://www.health.govt.nz/nz-health-statistics/data-references/code-tables/common-code-tables/district-health-board-code-table</w:t>
        </w:r>
      </w:hyperlink>
    </w:p>
    <w:tbl>
      <w:tblPr>
        <w:tblW w:w="2991" w:type="pct"/>
        <w:tblCellSpacing w:w="0" w:type="dxa"/>
        <w:tblCellMar>
          <w:left w:w="0" w:type="dxa"/>
          <w:right w:w="0" w:type="dxa"/>
        </w:tblCellMar>
        <w:tblLook w:val="04A0" w:firstRow="1" w:lastRow="0" w:firstColumn="1" w:lastColumn="0" w:noHBand="0" w:noVBand="1"/>
      </w:tblPr>
      <w:tblGrid>
        <w:gridCol w:w="772"/>
        <w:gridCol w:w="744"/>
        <w:gridCol w:w="1019"/>
        <w:gridCol w:w="1362"/>
        <w:gridCol w:w="1869"/>
      </w:tblGrid>
      <w:tr w:rsidR="00E00989" w:rsidRPr="00E00989" w14:paraId="23411891" w14:textId="77777777" w:rsidTr="00F23455">
        <w:trPr>
          <w:trHeight w:val="285"/>
          <w:tblHeader/>
          <w:tblCellSpacing w:w="0" w:type="dxa"/>
        </w:trPr>
        <w:tc>
          <w:tcPr>
            <w:tcW w:w="5000" w:type="pct"/>
            <w:gridSpan w:val="5"/>
            <w:tcBorders>
              <w:top w:val="nil"/>
              <w:left w:val="nil"/>
              <w:bottom w:val="nil"/>
              <w:right w:val="nil"/>
            </w:tcBorders>
            <w:tcMar>
              <w:top w:w="30" w:type="dxa"/>
              <w:left w:w="75" w:type="dxa"/>
              <w:bottom w:w="30" w:type="dxa"/>
              <w:right w:w="75" w:type="dxa"/>
            </w:tcMar>
            <w:vAlign w:val="center"/>
            <w:hideMark/>
          </w:tcPr>
          <w:p w14:paraId="63B7F50E" w14:textId="77777777" w:rsidR="00DD60C0" w:rsidRPr="00E00989" w:rsidRDefault="00DD60C0" w:rsidP="00F23455">
            <w:pPr>
              <w:spacing w:before="0" w:after="0"/>
              <w:rPr>
                <w:b/>
                <w:bCs/>
                <w:sz w:val="26"/>
                <w:szCs w:val="26"/>
                <w:lang w:val="en-GB"/>
              </w:rPr>
            </w:pPr>
            <w:r w:rsidRPr="00E00989">
              <w:rPr>
                <w:b/>
                <w:bCs/>
                <w:sz w:val="26"/>
                <w:szCs w:val="26"/>
                <w:lang w:val="en-GB"/>
              </w:rPr>
              <w:lastRenderedPageBreak/>
              <w:t xml:space="preserve">Agency and Funding agency code </w:t>
            </w:r>
            <w:r w:rsidRPr="00E00989">
              <w:rPr>
                <w:bCs/>
                <w:sz w:val="26"/>
                <w:szCs w:val="26"/>
                <w:lang w:val="en-GB"/>
              </w:rPr>
              <w:t>(4 digit)</w:t>
            </w:r>
          </w:p>
        </w:tc>
      </w:tr>
      <w:tr w:rsidR="00E00989" w:rsidRPr="00E00989" w14:paraId="141F75EC"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3583D88" w14:textId="77777777" w:rsidR="00DD60C0" w:rsidRPr="00E00989" w:rsidRDefault="00DD60C0" w:rsidP="00F23455">
            <w:pPr>
              <w:spacing w:before="0" w:after="0"/>
              <w:rPr>
                <w:rFonts w:cs="Arial"/>
                <w:sz w:val="22"/>
                <w:szCs w:val="22"/>
                <w:lang w:val="en-GB"/>
              </w:rPr>
            </w:pPr>
            <w:r w:rsidRPr="00E00989">
              <w:rPr>
                <w:rFonts w:cs="Arial"/>
                <w:sz w:val="22"/>
                <w:szCs w:val="22"/>
                <w:lang w:val="en-GB"/>
              </w:rPr>
              <w:t>011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B3D4F7E"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1011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A1F5A62" w14:textId="77777777" w:rsidR="00DD60C0" w:rsidRPr="00E00989" w:rsidRDefault="00DD60C0" w:rsidP="00F23455">
            <w:pPr>
              <w:spacing w:before="0" w:after="0"/>
              <w:rPr>
                <w:rFonts w:cs="Arial"/>
                <w:sz w:val="22"/>
                <w:szCs w:val="22"/>
                <w:lang w:val="en-GB"/>
              </w:rPr>
            </w:pPr>
            <w:r w:rsidRPr="00E00989">
              <w:rPr>
                <w:rFonts w:cs="Arial"/>
                <w:sz w:val="22"/>
                <w:szCs w:val="22"/>
                <w:lang w:val="en-GB"/>
              </w:rPr>
              <w:t>NLD</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FDB31A0"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G00026-A</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770BA0A9" w14:textId="77777777" w:rsidR="00DD60C0" w:rsidRPr="00E00989" w:rsidRDefault="00DD60C0" w:rsidP="00F23455">
            <w:pPr>
              <w:spacing w:before="0" w:after="0"/>
              <w:rPr>
                <w:rFonts w:cs="Arial"/>
                <w:sz w:val="22"/>
                <w:szCs w:val="22"/>
                <w:lang w:val="en-GB"/>
              </w:rPr>
            </w:pPr>
            <w:r w:rsidRPr="00E00989">
              <w:rPr>
                <w:rFonts w:cs="Arial"/>
                <w:sz w:val="22"/>
                <w:szCs w:val="22"/>
                <w:lang w:val="en-GB"/>
              </w:rPr>
              <w:t>Northland</w:t>
            </w:r>
          </w:p>
        </w:tc>
      </w:tr>
      <w:tr w:rsidR="00E00989" w:rsidRPr="00E00989" w14:paraId="11E4EDAF"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5FBA266" w14:textId="77777777" w:rsidR="00DD60C0" w:rsidRPr="00E00989" w:rsidRDefault="00DD60C0" w:rsidP="00F23455">
            <w:pPr>
              <w:spacing w:before="0" w:after="0"/>
              <w:rPr>
                <w:rFonts w:cs="Arial"/>
                <w:sz w:val="22"/>
                <w:szCs w:val="22"/>
                <w:lang w:val="en-GB"/>
              </w:rPr>
            </w:pPr>
            <w:r w:rsidRPr="00E00989">
              <w:rPr>
                <w:rFonts w:cs="Arial"/>
                <w:sz w:val="22"/>
                <w:szCs w:val="22"/>
                <w:lang w:val="en-GB"/>
              </w:rPr>
              <w:t>021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191D75A"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1021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2FF8FA9" w14:textId="77777777" w:rsidR="00DD60C0" w:rsidRPr="00E00989" w:rsidRDefault="00DD60C0" w:rsidP="00F23455">
            <w:pPr>
              <w:spacing w:before="0" w:after="0"/>
              <w:rPr>
                <w:rFonts w:cs="Arial"/>
                <w:sz w:val="22"/>
                <w:szCs w:val="22"/>
                <w:lang w:val="en-GB"/>
              </w:rPr>
            </w:pPr>
            <w:r w:rsidRPr="00E00989">
              <w:rPr>
                <w:rFonts w:cs="Arial"/>
                <w:sz w:val="22"/>
                <w:szCs w:val="22"/>
                <w:lang w:val="en-GB"/>
              </w:rPr>
              <w:t>NWA</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136F288"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G00013-C</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5402FE5C" w14:textId="77777777" w:rsidR="00DD60C0" w:rsidRPr="00E00989" w:rsidRDefault="00DD60C0" w:rsidP="00F23455">
            <w:pPr>
              <w:spacing w:before="0" w:after="0"/>
              <w:rPr>
                <w:rFonts w:cs="Arial"/>
                <w:sz w:val="22"/>
                <w:szCs w:val="22"/>
                <w:lang w:val="en-GB"/>
              </w:rPr>
            </w:pPr>
            <w:r w:rsidRPr="00E00989">
              <w:rPr>
                <w:rFonts w:cs="Arial"/>
                <w:sz w:val="22"/>
                <w:szCs w:val="22"/>
                <w:lang w:val="en-GB"/>
              </w:rPr>
              <w:t>Waitemata</w:t>
            </w:r>
          </w:p>
        </w:tc>
      </w:tr>
      <w:tr w:rsidR="00E00989" w:rsidRPr="00E00989" w14:paraId="5A4B88FA"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67F1962" w14:textId="77777777" w:rsidR="00DD60C0" w:rsidRPr="00E00989" w:rsidRDefault="00DD60C0" w:rsidP="00F23455">
            <w:pPr>
              <w:spacing w:before="0" w:after="0"/>
              <w:rPr>
                <w:rFonts w:cs="Arial"/>
                <w:sz w:val="22"/>
                <w:szCs w:val="22"/>
                <w:lang w:val="en-GB"/>
              </w:rPr>
            </w:pPr>
            <w:r w:rsidRPr="00E00989">
              <w:rPr>
                <w:rFonts w:cs="Arial"/>
                <w:sz w:val="22"/>
                <w:szCs w:val="22"/>
                <w:lang w:val="en-GB"/>
              </w:rPr>
              <w:t>022</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4FD9108"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1022</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EB19DE0" w14:textId="77777777" w:rsidR="00DD60C0" w:rsidRPr="00E00989" w:rsidRDefault="00DD60C0" w:rsidP="00F23455">
            <w:pPr>
              <w:spacing w:before="0" w:after="0"/>
              <w:rPr>
                <w:rFonts w:cs="Arial"/>
                <w:sz w:val="22"/>
                <w:szCs w:val="22"/>
                <w:lang w:val="en-GB"/>
              </w:rPr>
            </w:pPr>
            <w:r w:rsidRPr="00E00989">
              <w:rPr>
                <w:rFonts w:cs="Arial"/>
                <w:sz w:val="22"/>
                <w:szCs w:val="22"/>
                <w:lang w:val="en-GB"/>
              </w:rPr>
              <w:t>CAK</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6F02562A"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G00011-K</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47B08783" w14:textId="77777777" w:rsidR="00DD60C0" w:rsidRPr="00E00989" w:rsidRDefault="00DD60C0" w:rsidP="00F23455">
            <w:pPr>
              <w:spacing w:before="0" w:after="0"/>
              <w:rPr>
                <w:rFonts w:cs="Arial"/>
                <w:sz w:val="22"/>
                <w:szCs w:val="22"/>
                <w:lang w:val="en-GB"/>
              </w:rPr>
            </w:pPr>
            <w:r w:rsidRPr="00E00989">
              <w:rPr>
                <w:rFonts w:cs="Arial"/>
                <w:sz w:val="22"/>
                <w:szCs w:val="22"/>
                <w:lang w:val="en-GB"/>
              </w:rPr>
              <w:t>Auckland</w:t>
            </w:r>
          </w:p>
        </w:tc>
      </w:tr>
      <w:tr w:rsidR="00E00989" w:rsidRPr="00E00989" w14:paraId="3256EE30"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ED2B73D" w14:textId="77777777" w:rsidR="00DD60C0" w:rsidRPr="00E00989" w:rsidRDefault="00DD60C0" w:rsidP="00F23455">
            <w:pPr>
              <w:spacing w:before="0" w:after="0"/>
              <w:rPr>
                <w:rFonts w:cs="Arial"/>
                <w:sz w:val="22"/>
                <w:szCs w:val="22"/>
                <w:lang w:val="en-GB"/>
              </w:rPr>
            </w:pPr>
            <w:r w:rsidRPr="00E00989">
              <w:rPr>
                <w:rFonts w:cs="Arial"/>
                <w:sz w:val="22"/>
                <w:szCs w:val="22"/>
                <w:lang w:val="en-GB"/>
              </w:rPr>
              <w:t>023</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14CC5F87"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1023</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F7972A4" w14:textId="77777777" w:rsidR="00DD60C0" w:rsidRPr="00E00989" w:rsidRDefault="00DD60C0" w:rsidP="00F23455">
            <w:pPr>
              <w:spacing w:before="0" w:after="0"/>
              <w:rPr>
                <w:rFonts w:cs="Arial"/>
                <w:sz w:val="22"/>
                <w:szCs w:val="22"/>
                <w:lang w:val="en-GB"/>
              </w:rPr>
            </w:pPr>
            <w:r w:rsidRPr="00E00989">
              <w:rPr>
                <w:rFonts w:cs="Arial"/>
                <w:sz w:val="22"/>
                <w:szCs w:val="22"/>
                <w:lang w:val="en-GB"/>
              </w:rPr>
              <w:t>SAK</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12FEB0C"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G00012-A</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565913BC" w14:textId="77777777" w:rsidR="00DD60C0" w:rsidRPr="00E00989" w:rsidRDefault="00DD60C0" w:rsidP="00F23455">
            <w:pPr>
              <w:spacing w:before="0" w:after="0"/>
              <w:rPr>
                <w:rFonts w:cs="Arial"/>
                <w:sz w:val="22"/>
                <w:szCs w:val="22"/>
                <w:lang w:val="en-GB"/>
              </w:rPr>
            </w:pPr>
            <w:r w:rsidRPr="00E00989">
              <w:rPr>
                <w:rFonts w:cs="Arial"/>
                <w:sz w:val="22"/>
                <w:szCs w:val="22"/>
                <w:lang w:val="en-GB"/>
              </w:rPr>
              <w:t>Counties Manakau</w:t>
            </w:r>
          </w:p>
        </w:tc>
      </w:tr>
      <w:tr w:rsidR="00E00989" w:rsidRPr="00E00989" w14:paraId="094E2E55"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4BFC6793" w14:textId="77777777" w:rsidR="00DD60C0" w:rsidRPr="00E00989" w:rsidRDefault="00DD60C0" w:rsidP="00F23455">
            <w:pPr>
              <w:spacing w:before="0" w:after="0"/>
              <w:rPr>
                <w:rFonts w:cs="Arial"/>
                <w:sz w:val="22"/>
                <w:szCs w:val="22"/>
                <w:lang w:val="en-GB"/>
              </w:rPr>
            </w:pPr>
            <w:r w:rsidRPr="00E00989">
              <w:rPr>
                <w:rFonts w:cs="Arial"/>
                <w:sz w:val="22"/>
                <w:szCs w:val="22"/>
                <w:lang w:val="en-GB"/>
              </w:rPr>
              <w:t>031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D1E5ED3"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2031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1289820" w14:textId="77777777" w:rsidR="00DD60C0" w:rsidRPr="00E00989" w:rsidRDefault="00DD60C0" w:rsidP="00F23455">
            <w:pPr>
              <w:spacing w:before="0" w:after="0"/>
              <w:rPr>
                <w:rFonts w:cs="Arial"/>
                <w:sz w:val="22"/>
                <w:szCs w:val="22"/>
                <w:lang w:val="en-GB"/>
              </w:rPr>
            </w:pPr>
            <w:r w:rsidRPr="00E00989">
              <w:rPr>
                <w:rFonts w:cs="Arial"/>
                <w:sz w:val="22"/>
                <w:szCs w:val="22"/>
                <w:lang w:val="en-GB"/>
              </w:rPr>
              <w:t>WKO</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D60C471"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G00027-C</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545CDB19" w14:textId="77777777" w:rsidR="00DD60C0" w:rsidRPr="00E00989" w:rsidRDefault="00DD60C0" w:rsidP="00F23455">
            <w:pPr>
              <w:spacing w:before="0" w:after="0"/>
              <w:rPr>
                <w:rFonts w:cs="Arial"/>
                <w:sz w:val="22"/>
                <w:szCs w:val="22"/>
                <w:lang w:val="en-GB"/>
              </w:rPr>
            </w:pPr>
            <w:r w:rsidRPr="00E00989">
              <w:rPr>
                <w:rFonts w:cs="Arial"/>
                <w:sz w:val="22"/>
                <w:szCs w:val="22"/>
                <w:lang w:val="en-GB"/>
              </w:rPr>
              <w:t>Waikato</w:t>
            </w:r>
          </w:p>
        </w:tc>
      </w:tr>
      <w:tr w:rsidR="00E00989" w:rsidRPr="00E00989" w14:paraId="2221FCF4"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7541F64" w14:textId="77777777" w:rsidR="00DD60C0" w:rsidRPr="00E00989" w:rsidRDefault="00DD60C0" w:rsidP="00F23455">
            <w:pPr>
              <w:spacing w:before="0" w:after="0"/>
              <w:rPr>
                <w:rFonts w:cs="Arial"/>
                <w:sz w:val="22"/>
                <w:szCs w:val="22"/>
                <w:lang w:val="en-GB"/>
              </w:rPr>
            </w:pPr>
            <w:r w:rsidRPr="00E00989">
              <w:rPr>
                <w:rFonts w:cs="Arial"/>
                <w:sz w:val="22"/>
                <w:szCs w:val="22"/>
                <w:lang w:val="en-GB"/>
              </w:rPr>
              <w:t>042</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1144EEC3"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2042</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1C88617E" w14:textId="77777777" w:rsidR="00DD60C0" w:rsidRPr="00E00989" w:rsidRDefault="00DD60C0" w:rsidP="00F23455">
            <w:pPr>
              <w:spacing w:before="0" w:after="0"/>
              <w:rPr>
                <w:rFonts w:cs="Arial"/>
                <w:sz w:val="22"/>
                <w:szCs w:val="22"/>
                <w:lang w:val="en-GB"/>
              </w:rPr>
            </w:pPr>
            <w:r w:rsidRPr="00E00989">
              <w:rPr>
                <w:rFonts w:cs="Arial"/>
                <w:sz w:val="22"/>
                <w:szCs w:val="22"/>
                <w:lang w:val="en-GB"/>
              </w:rPr>
              <w:t>LKS</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710F085"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G00028-E</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1FE7FEAD" w14:textId="77777777" w:rsidR="00DD60C0" w:rsidRPr="00E00989" w:rsidRDefault="00DD60C0" w:rsidP="00F23455">
            <w:pPr>
              <w:spacing w:before="0" w:after="0"/>
              <w:rPr>
                <w:rFonts w:cs="Arial"/>
                <w:sz w:val="22"/>
                <w:szCs w:val="22"/>
                <w:lang w:val="en-GB"/>
              </w:rPr>
            </w:pPr>
            <w:r w:rsidRPr="00E00989">
              <w:rPr>
                <w:rFonts w:cs="Arial"/>
                <w:sz w:val="22"/>
                <w:szCs w:val="22"/>
                <w:lang w:val="en-GB"/>
              </w:rPr>
              <w:t>Lakes</w:t>
            </w:r>
          </w:p>
        </w:tc>
      </w:tr>
      <w:tr w:rsidR="00E00989" w:rsidRPr="00E00989" w14:paraId="0BDFA500"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0CF1E8C5" w14:textId="77777777" w:rsidR="00DD60C0" w:rsidRPr="00E00989" w:rsidRDefault="00DD60C0" w:rsidP="00F23455">
            <w:pPr>
              <w:spacing w:before="0" w:after="0"/>
              <w:rPr>
                <w:rFonts w:cs="Arial"/>
                <w:sz w:val="22"/>
                <w:szCs w:val="22"/>
                <w:lang w:val="en-GB"/>
              </w:rPr>
            </w:pPr>
            <w:r w:rsidRPr="00E00989">
              <w:rPr>
                <w:rFonts w:cs="Arial"/>
                <w:sz w:val="22"/>
                <w:szCs w:val="22"/>
                <w:lang w:val="en-GB"/>
              </w:rPr>
              <w:t>047</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77B9606"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2047</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1B373076" w14:textId="77777777" w:rsidR="00DD60C0" w:rsidRPr="00E00989" w:rsidRDefault="00DD60C0" w:rsidP="00F23455">
            <w:pPr>
              <w:spacing w:before="0" w:after="0"/>
              <w:rPr>
                <w:rFonts w:cs="Arial"/>
                <w:sz w:val="22"/>
                <w:szCs w:val="22"/>
                <w:lang w:val="en-GB"/>
              </w:rPr>
            </w:pPr>
            <w:r w:rsidRPr="00E00989">
              <w:rPr>
                <w:rFonts w:cs="Arial"/>
                <w:sz w:val="22"/>
                <w:szCs w:val="22"/>
                <w:lang w:val="en-GB"/>
              </w:rPr>
              <w:t>BOP</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F4ACEE6"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G00031-E</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63F01196" w14:textId="77777777" w:rsidR="00DD60C0" w:rsidRPr="00E00989" w:rsidRDefault="00DD60C0" w:rsidP="00F23455">
            <w:pPr>
              <w:spacing w:before="0" w:after="0"/>
              <w:rPr>
                <w:rFonts w:cs="Arial"/>
                <w:sz w:val="22"/>
                <w:szCs w:val="22"/>
                <w:lang w:val="en-GB"/>
              </w:rPr>
            </w:pPr>
            <w:r w:rsidRPr="00E00989">
              <w:rPr>
                <w:rFonts w:cs="Arial"/>
                <w:sz w:val="22"/>
                <w:szCs w:val="22"/>
                <w:lang w:val="en-GB"/>
              </w:rPr>
              <w:t>Bay of Plenty</w:t>
            </w:r>
          </w:p>
        </w:tc>
      </w:tr>
      <w:tr w:rsidR="00E00989" w:rsidRPr="00E00989" w14:paraId="357A0312"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DC9ADFE" w14:textId="77777777" w:rsidR="00DD60C0" w:rsidRPr="00E00989" w:rsidRDefault="00DD60C0" w:rsidP="00F23455">
            <w:pPr>
              <w:spacing w:before="0" w:after="0"/>
              <w:rPr>
                <w:rFonts w:cs="Arial"/>
                <w:sz w:val="22"/>
                <w:szCs w:val="22"/>
                <w:lang w:val="en-GB"/>
              </w:rPr>
            </w:pPr>
            <w:r w:rsidRPr="00E00989">
              <w:rPr>
                <w:rFonts w:cs="Arial"/>
                <w:sz w:val="22"/>
                <w:szCs w:val="22"/>
                <w:lang w:val="en-GB"/>
              </w:rPr>
              <w:t>051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D24BD91"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2051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65894AC6" w14:textId="77777777" w:rsidR="00DD60C0" w:rsidRPr="00E00989" w:rsidRDefault="00DD60C0" w:rsidP="00F23455">
            <w:pPr>
              <w:spacing w:before="0" w:after="0"/>
              <w:rPr>
                <w:rFonts w:cs="Arial"/>
                <w:sz w:val="22"/>
                <w:szCs w:val="22"/>
                <w:lang w:val="en-GB"/>
              </w:rPr>
            </w:pPr>
            <w:r w:rsidRPr="00E00989">
              <w:rPr>
                <w:rFonts w:cs="Arial"/>
                <w:sz w:val="22"/>
                <w:szCs w:val="22"/>
                <w:lang w:val="en-GB"/>
              </w:rPr>
              <w:t>TRW</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F068BBC"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G00029-G</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192B842A" w14:textId="77777777" w:rsidR="00DD60C0" w:rsidRPr="00E00989" w:rsidRDefault="00DD60C0" w:rsidP="00F23455">
            <w:pPr>
              <w:spacing w:before="0" w:after="0"/>
              <w:rPr>
                <w:rFonts w:cs="Arial"/>
                <w:sz w:val="22"/>
                <w:szCs w:val="22"/>
                <w:lang w:val="en-GB"/>
              </w:rPr>
            </w:pPr>
            <w:r w:rsidRPr="00E00989">
              <w:rPr>
                <w:rFonts w:cs="Arial"/>
                <w:sz w:val="22"/>
                <w:szCs w:val="22"/>
                <w:lang w:val="en-GB"/>
              </w:rPr>
              <w:t>Tairawhiti</w:t>
            </w:r>
          </w:p>
        </w:tc>
      </w:tr>
      <w:tr w:rsidR="00E00989" w:rsidRPr="00E00989" w14:paraId="354C1E47"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24D48BC7" w14:textId="77777777" w:rsidR="00DD60C0" w:rsidRPr="00E00989" w:rsidRDefault="00DD60C0" w:rsidP="00F23455">
            <w:pPr>
              <w:spacing w:before="0" w:after="0"/>
              <w:rPr>
                <w:rFonts w:cs="Arial"/>
                <w:sz w:val="22"/>
                <w:szCs w:val="22"/>
                <w:lang w:val="en-GB"/>
              </w:rPr>
            </w:pPr>
            <w:r w:rsidRPr="00E00989">
              <w:rPr>
                <w:rFonts w:cs="Arial"/>
                <w:sz w:val="22"/>
                <w:szCs w:val="22"/>
                <w:lang w:val="en-GB"/>
              </w:rPr>
              <w:t>071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9031AA7"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2071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7222579" w14:textId="77777777" w:rsidR="00DD60C0" w:rsidRPr="00E00989" w:rsidRDefault="00DD60C0" w:rsidP="00F23455">
            <w:pPr>
              <w:spacing w:before="0" w:after="0"/>
              <w:rPr>
                <w:rFonts w:cs="Arial"/>
                <w:sz w:val="22"/>
                <w:szCs w:val="22"/>
                <w:lang w:val="en-GB"/>
              </w:rPr>
            </w:pPr>
            <w:r w:rsidRPr="00E00989">
              <w:rPr>
                <w:rFonts w:cs="Arial"/>
                <w:sz w:val="22"/>
                <w:szCs w:val="22"/>
                <w:lang w:val="en-GB"/>
              </w:rPr>
              <w:t>TKI</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404849F"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G00030-C</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4C60B6A8" w14:textId="77777777" w:rsidR="00DD60C0" w:rsidRPr="00E00989" w:rsidRDefault="00DD60C0" w:rsidP="00F23455">
            <w:pPr>
              <w:spacing w:before="0" w:after="0"/>
              <w:rPr>
                <w:rFonts w:cs="Arial"/>
                <w:sz w:val="22"/>
                <w:szCs w:val="22"/>
                <w:lang w:val="en-GB"/>
              </w:rPr>
            </w:pPr>
            <w:r w:rsidRPr="00E00989">
              <w:rPr>
                <w:rFonts w:cs="Arial"/>
                <w:sz w:val="22"/>
                <w:szCs w:val="22"/>
                <w:lang w:val="en-GB"/>
              </w:rPr>
              <w:t>Taranaki</w:t>
            </w:r>
          </w:p>
        </w:tc>
      </w:tr>
      <w:tr w:rsidR="00E00989" w:rsidRPr="00E00989" w14:paraId="4AF0C495"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44325C10" w14:textId="77777777" w:rsidR="00DD60C0" w:rsidRPr="00E00989" w:rsidRDefault="00DD60C0" w:rsidP="00F23455">
            <w:pPr>
              <w:spacing w:before="0" w:after="0"/>
              <w:rPr>
                <w:rFonts w:cs="Arial"/>
                <w:sz w:val="22"/>
                <w:szCs w:val="22"/>
                <w:lang w:val="en-GB"/>
              </w:rPr>
            </w:pPr>
            <w:r w:rsidRPr="00E00989">
              <w:rPr>
                <w:rFonts w:cs="Arial"/>
                <w:sz w:val="22"/>
                <w:szCs w:val="22"/>
                <w:lang w:val="en-GB"/>
              </w:rPr>
              <w:t>061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B02BC96"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3061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13099A1D" w14:textId="77777777" w:rsidR="00DD60C0" w:rsidRPr="00E00989" w:rsidRDefault="00DD60C0" w:rsidP="00F23455">
            <w:pPr>
              <w:spacing w:before="0" w:after="0"/>
              <w:rPr>
                <w:rFonts w:cs="Arial"/>
                <w:sz w:val="22"/>
                <w:szCs w:val="22"/>
                <w:lang w:val="en-GB"/>
              </w:rPr>
            </w:pPr>
            <w:r w:rsidRPr="00E00989">
              <w:rPr>
                <w:rFonts w:cs="Arial"/>
                <w:sz w:val="22"/>
                <w:szCs w:val="22"/>
                <w:lang w:val="en-GB"/>
              </w:rPr>
              <w:t>HWB</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26A1948"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G00032-G</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6B58DBAF" w14:textId="77777777" w:rsidR="00DD60C0" w:rsidRPr="00E00989" w:rsidRDefault="00DD60C0" w:rsidP="00F23455">
            <w:pPr>
              <w:spacing w:before="0" w:after="0"/>
              <w:rPr>
                <w:rFonts w:cs="Arial"/>
                <w:sz w:val="22"/>
                <w:szCs w:val="22"/>
                <w:lang w:val="en-GB"/>
              </w:rPr>
            </w:pPr>
            <w:r w:rsidRPr="00E00989">
              <w:rPr>
                <w:rFonts w:cs="Arial"/>
                <w:sz w:val="22"/>
                <w:szCs w:val="22"/>
                <w:lang w:val="en-GB"/>
              </w:rPr>
              <w:t>Hawke's Bay</w:t>
            </w:r>
          </w:p>
        </w:tc>
      </w:tr>
      <w:tr w:rsidR="00E00989" w:rsidRPr="00E00989" w14:paraId="61723A05"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1B25349" w14:textId="77777777" w:rsidR="00DD60C0" w:rsidRPr="00E00989" w:rsidRDefault="00DD60C0" w:rsidP="00F23455">
            <w:pPr>
              <w:spacing w:before="0" w:after="0"/>
              <w:rPr>
                <w:rFonts w:cs="Arial"/>
                <w:sz w:val="22"/>
                <w:szCs w:val="22"/>
                <w:lang w:val="en-GB"/>
              </w:rPr>
            </w:pPr>
            <w:r w:rsidRPr="00E00989">
              <w:rPr>
                <w:rFonts w:cs="Arial"/>
                <w:sz w:val="22"/>
                <w:szCs w:val="22"/>
                <w:lang w:val="en-GB"/>
              </w:rPr>
              <w:t>091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131D21E"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3081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6F567E05" w14:textId="77777777" w:rsidR="00DD60C0" w:rsidRPr="00E00989" w:rsidRDefault="00DD60C0" w:rsidP="00F23455">
            <w:pPr>
              <w:spacing w:before="0" w:after="0"/>
              <w:rPr>
                <w:rFonts w:cs="Arial"/>
                <w:sz w:val="22"/>
                <w:szCs w:val="22"/>
                <w:lang w:val="en-GB"/>
              </w:rPr>
            </w:pPr>
            <w:r w:rsidRPr="00E00989">
              <w:rPr>
                <w:rFonts w:cs="Arial"/>
                <w:sz w:val="22"/>
                <w:szCs w:val="22"/>
                <w:lang w:val="en-GB"/>
              </w:rPr>
              <w:t>MWU</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642D7DB3"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G00033-J</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403C3962" w14:textId="77777777" w:rsidR="00DD60C0" w:rsidRPr="00E00989" w:rsidRDefault="00DD60C0" w:rsidP="00F23455">
            <w:pPr>
              <w:spacing w:before="0" w:after="0"/>
              <w:rPr>
                <w:rFonts w:cs="Arial"/>
                <w:sz w:val="22"/>
                <w:szCs w:val="22"/>
                <w:lang w:val="en-GB"/>
              </w:rPr>
            </w:pPr>
            <w:r w:rsidRPr="00E00989">
              <w:rPr>
                <w:rFonts w:cs="Arial"/>
                <w:sz w:val="22"/>
                <w:szCs w:val="22"/>
                <w:lang w:val="en-GB"/>
              </w:rPr>
              <w:t>Midcentral</w:t>
            </w:r>
          </w:p>
        </w:tc>
      </w:tr>
      <w:tr w:rsidR="00E00989" w:rsidRPr="00E00989" w14:paraId="28420851"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7628AE5A" w14:textId="77777777" w:rsidR="00DD60C0" w:rsidRPr="00E00989" w:rsidRDefault="00DD60C0" w:rsidP="00F23455">
            <w:pPr>
              <w:spacing w:before="0" w:after="0"/>
              <w:rPr>
                <w:rFonts w:cs="Arial"/>
                <w:sz w:val="22"/>
                <w:szCs w:val="22"/>
                <w:lang w:val="en-GB"/>
              </w:rPr>
            </w:pPr>
            <w:r w:rsidRPr="00E00989">
              <w:rPr>
                <w:rFonts w:cs="Arial"/>
                <w:sz w:val="22"/>
                <w:szCs w:val="22"/>
                <w:lang w:val="en-GB"/>
              </w:rPr>
              <w:t>082</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11B5990D"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3082</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EBD3FFE" w14:textId="77777777" w:rsidR="00DD60C0" w:rsidRPr="00E00989" w:rsidRDefault="00DD60C0" w:rsidP="00F23455">
            <w:pPr>
              <w:spacing w:before="0" w:after="0"/>
              <w:rPr>
                <w:rFonts w:cs="Arial"/>
                <w:sz w:val="22"/>
                <w:szCs w:val="22"/>
                <w:lang w:val="en-GB"/>
              </w:rPr>
            </w:pPr>
            <w:r w:rsidRPr="00E00989">
              <w:rPr>
                <w:rFonts w:cs="Arial"/>
                <w:sz w:val="22"/>
                <w:szCs w:val="22"/>
                <w:lang w:val="en-GB"/>
              </w:rPr>
              <w:t>WNI</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D4CDCEC"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G00035-B</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48C42812" w14:textId="77777777" w:rsidR="00DD60C0" w:rsidRPr="00E00989" w:rsidRDefault="00DD60C0" w:rsidP="00F23455">
            <w:pPr>
              <w:spacing w:before="0" w:after="0"/>
              <w:rPr>
                <w:rFonts w:cs="Arial"/>
                <w:sz w:val="22"/>
                <w:szCs w:val="22"/>
                <w:lang w:val="en-GB"/>
              </w:rPr>
            </w:pPr>
            <w:r w:rsidRPr="00E00989">
              <w:rPr>
                <w:rFonts w:cs="Arial"/>
                <w:sz w:val="22"/>
                <w:szCs w:val="22"/>
                <w:lang w:val="en-GB"/>
              </w:rPr>
              <w:t>Whanganui</w:t>
            </w:r>
          </w:p>
        </w:tc>
      </w:tr>
      <w:tr w:rsidR="00E00989" w:rsidRPr="00E00989" w14:paraId="337466BE"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0845D3BC" w14:textId="77777777" w:rsidR="00DD60C0" w:rsidRPr="00E00989" w:rsidRDefault="00DD60C0" w:rsidP="00F23455">
            <w:pPr>
              <w:spacing w:before="0" w:after="0"/>
              <w:rPr>
                <w:rFonts w:cs="Arial"/>
                <w:sz w:val="22"/>
                <w:szCs w:val="22"/>
                <w:lang w:val="en-GB"/>
              </w:rPr>
            </w:pPr>
            <w:r w:rsidRPr="00E00989">
              <w:rPr>
                <w:rFonts w:cs="Arial"/>
                <w:sz w:val="22"/>
                <w:szCs w:val="22"/>
                <w:lang w:val="en-GB"/>
              </w:rPr>
              <w:t>093</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9D891A2"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3091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457F8DA" w14:textId="77777777" w:rsidR="00DD60C0" w:rsidRPr="00E00989" w:rsidRDefault="00DD60C0" w:rsidP="00F23455">
            <w:pPr>
              <w:spacing w:before="0" w:after="0"/>
              <w:rPr>
                <w:rFonts w:cs="Arial"/>
                <w:sz w:val="22"/>
                <w:szCs w:val="22"/>
                <w:lang w:val="en-GB"/>
              </w:rPr>
            </w:pPr>
            <w:r w:rsidRPr="00E00989">
              <w:rPr>
                <w:rFonts w:cs="Arial"/>
                <w:sz w:val="22"/>
                <w:szCs w:val="22"/>
                <w:lang w:val="en-GB"/>
              </w:rPr>
              <w:t>CAP</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DF2868E"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G00036-D</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1C20DABE" w14:textId="77777777" w:rsidR="00DD60C0" w:rsidRPr="00E00989" w:rsidRDefault="00DD60C0" w:rsidP="00F23455">
            <w:pPr>
              <w:spacing w:before="0" w:after="0"/>
              <w:rPr>
                <w:rFonts w:cs="Arial"/>
                <w:sz w:val="22"/>
                <w:szCs w:val="22"/>
                <w:lang w:val="en-GB"/>
              </w:rPr>
            </w:pPr>
            <w:r w:rsidRPr="00E00989">
              <w:rPr>
                <w:rFonts w:cs="Arial"/>
                <w:sz w:val="22"/>
                <w:szCs w:val="22"/>
                <w:lang w:val="en-GB"/>
              </w:rPr>
              <w:t>Capital and Coast</w:t>
            </w:r>
          </w:p>
        </w:tc>
      </w:tr>
      <w:tr w:rsidR="00E00989" w:rsidRPr="00E00989" w14:paraId="3A62D3BD"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139657F3" w14:textId="77777777" w:rsidR="00DD60C0" w:rsidRPr="00E00989" w:rsidRDefault="00DD60C0" w:rsidP="00F23455">
            <w:pPr>
              <w:spacing w:before="0" w:after="0"/>
              <w:rPr>
                <w:rFonts w:cs="Arial"/>
                <w:sz w:val="22"/>
                <w:szCs w:val="22"/>
                <w:lang w:val="en-GB"/>
              </w:rPr>
            </w:pPr>
            <w:r w:rsidRPr="00E00989">
              <w:rPr>
                <w:rFonts w:cs="Arial"/>
                <w:sz w:val="22"/>
                <w:szCs w:val="22"/>
                <w:lang w:val="en-GB"/>
              </w:rPr>
              <w:t>092</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9B8BF5A"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3092</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F918A68" w14:textId="77777777" w:rsidR="00DD60C0" w:rsidRPr="00E00989" w:rsidRDefault="00DD60C0" w:rsidP="00F23455">
            <w:pPr>
              <w:spacing w:before="0" w:after="0"/>
              <w:rPr>
                <w:rFonts w:cs="Arial"/>
                <w:sz w:val="22"/>
                <w:szCs w:val="22"/>
                <w:lang w:val="en-GB"/>
              </w:rPr>
            </w:pPr>
            <w:r w:rsidRPr="00E00989">
              <w:rPr>
                <w:rFonts w:cs="Arial"/>
                <w:sz w:val="22"/>
                <w:szCs w:val="22"/>
                <w:lang w:val="en-GB"/>
              </w:rPr>
              <w:t>HUT</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D777FC9"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G00006-F</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4C6E3136" w14:textId="77777777" w:rsidR="00DD60C0" w:rsidRPr="00E00989" w:rsidRDefault="00DD60C0" w:rsidP="00F23455">
            <w:pPr>
              <w:spacing w:before="0" w:after="0"/>
              <w:rPr>
                <w:rFonts w:cs="Arial"/>
                <w:sz w:val="22"/>
                <w:szCs w:val="22"/>
                <w:lang w:val="en-GB"/>
              </w:rPr>
            </w:pPr>
            <w:r w:rsidRPr="00E00989">
              <w:rPr>
                <w:rFonts w:cs="Arial"/>
                <w:sz w:val="22"/>
                <w:szCs w:val="22"/>
                <w:lang w:val="en-GB"/>
              </w:rPr>
              <w:t>Hutt</w:t>
            </w:r>
          </w:p>
        </w:tc>
      </w:tr>
      <w:tr w:rsidR="00E00989" w:rsidRPr="00E00989" w14:paraId="57512DBD"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7C61BB72" w14:textId="77777777" w:rsidR="00DD60C0" w:rsidRPr="00E00989" w:rsidRDefault="00DD60C0" w:rsidP="00F23455">
            <w:pPr>
              <w:spacing w:before="0" w:after="0"/>
              <w:rPr>
                <w:rFonts w:cs="Arial"/>
                <w:sz w:val="22"/>
                <w:szCs w:val="22"/>
                <w:lang w:val="en-GB"/>
              </w:rPr>
            </w:pPr>
            <w:r w:rsidRPr="00E00989">
              <w:rPr>
                <w:rFonts w:cs="Arial"/>
                <w:sz w:val="22"/>
                <w:szCs w:val="22"/>
                <w:lang w:val="en-GB"/>
              </w:rPr>
              <w:t>093</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4C60F0AF"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3093</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DFE558C" w14:textId="77777777" w:rsidR="00DD60C0" w:rsidRPr="00E00989" w:rsidRDefault="00DD60C0" w:rsidP="00F23455">
            <w:pPr>
              <w:spacing w:before="0" w:after="0"/>
              <w:rPr>
                <w:rFonts w:cs="Arial"/>
                <w:sz w:val="22"/>
                <w:szCs w:val="22"/>
                <w:lang w:val="en-GB"/>
              </w:rPr>
            </w:pPr>
            <w:r w:rsidRPr="00E00989">
              <w:rPr>
                <w:rFonts w:cs="Arial"/>
                <w:sz w:val="22"/>
                <w:szCs w:val="22"/>
                <w:lang w:val="en-GB"/>
              </w:rPr>
              <w:t>WRP</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6124ABE2"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G00037-F</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56E2D6A4" w14:textId="77777777" w:rsidR="00DD60C0" w:rsidRPr="00E00989" w:rsidRDefault="00DD60C0" w:rsidP="00F23455">
            <w:pPr>
              <w:spacing w:before="0" w:after="0"/>
              <w:rPr>
                <w:rFonts w:cs="Arial"/>
                <w:sz w:val="22"/>
                <w:szCs w:val="22"/>
                <w:lang w:val="en-GB"/>
              </w:rPr>
            </w:pPr>
            <w:r w:rsidRPr="00E00989">
              <w:rPr>
                <w:rFonts w:cs="Arial"/>
                <w:sz w:val="22"/>
                <w:szCs w:val="22"/>
                <w:lang w:val="en-GB"/>
              </w:rPr>
              <w:t>Wairarapa</w:t>
            </w:r>
          </w:p>
        </w:tc>
      </w:tr>
      <w:tr w:rsidR="00E00989" w:rsidRPr="00E00989" w14:paraId="60217A7B"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60549588" w14:textId="77777777" w:rsidR="00DD60C0" w:rsidRPr="00E00989" w:rsidRDefault="00DD60C0" w:rsidP="00F23455">
            <w:pPr>
              <w:spacing w:before="0" w:after="0"/>
              <w:rPr>
                <w:rFonts w:cs="Arial"/>
                <w:sz w:val="22"/>
                <w:szCs w:val="22"/>
                <w:lang w:val="en-GB"/>
              </w:rPr>
            </w:pPr>
            <w:r w:rsidRPr="00E00989">
              <w:rPr>
                <w:rFonts w:cs="Arial"/>
                <w:sz w:val="22"/>
                <w:szCs w:val="22"/>
                <w:lang w:val="en-GB"/>
              </w:rPr>
              <w:t>101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7F9757F"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3101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81D62FA" w14:textId="77777777" w:rsidR="00DD60C0" w:rsidRPr="00E00989" w:rsidRDefault="00DD60C0" w:rsidP="00F23455">
            <w:pPr>
              <w:spacing w:before="0" w:after="0"/>
              <w:rPr>
                <w:rFonts w:cs="Arial"/>
                <w:sz w:val="22"/>
                <w:szCs w:val="22"/>
                <w:lang w:val="en-GB"/>
              </w:rPr>
            </w:pPr>
            <w:r w:rsidRPr="00E00989">
              <w:rPr>
                <w:rFonts w:cs="Arial"/>
                <w:sz w:val="22"/>
                <w:szCs w:val="22"/>
                <w:lang w:val="en-GB"/>
              </w:rPr>
              <w:t>NLM</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A6AE27F"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G00038-H</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417FD52A" w14:textId="77777777" w:rsidR="00DD60C0" w:rsidRPr="00E00989" w:rsidRDefault="00DD60C0" w:rsidP="00F23455">
            <w:pPr>
              <w:spacing w:before="0" w:after="0"/>
              <w:rPr>
                <w:rFonts w:cs="Arial"/>
                <w:sz w:val="22"/>
                <w:szCs w:val="22"/>
                <w:lang w:val="en-GB"/>
              </w:rPr>
            </w:pPr>
            <w:r w:rsidRPr="00E00989">
              <w:rPr>
                <w:rFonts w:cs="Arial"/>
                <w:sz w:val="22"/>
                <w:szCs w:val="22"/>
                <w:lang w:val="en-GB"/>
              </w:rPr>
              <w:t>Nelson Marlborough</w:t>
            </w:r>
          </w:p>
        </w:tc>
      </w:tr>
      <w:tr w:rsidR="00E00989" w:rsidRPr="00E00989" w14:paraId="6412B926"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7F64B2CC" w14:textId="77777777" w:rsidR="00DD60C0" w:rsidRPr="00E00989" w:rsidRDefault="00DD60C0" w:rsidP="00F23455">
            <w:pPr>
              <w:spacing w:before="0" w:after="0"/>
              <w:rPr>
                <w:rFonts w:cs="Arial"/>
                <w:sz w:val="22"/>
                <w:szCs w:val="22"/>
                <w:lang w:val="en-GB"/>
              </w:rPr>
            </w:pPr>
            <w:r w:rsidRPr="00E00989">
              <w:rPr>
                <w:rFonts w:cs="Arial"/>
                <w:sz w:val="22"/>
                <w:szCs w:val="22"/>
                <w:lang w:val="en-GB"/>
              </w:rPr>
              <w:t>111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552C2E73"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4111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1AFED2D0" w14:textId="77777777" w:rsidR="00DD60C0" w:rsidRPr="00E00989" w:rsidRDefault="00DD60C0" w:rsidP="00F23455">
            <w:pPr>
              <w:spacing w:before="0" w:after="0"/>
              <w:rPr>
                <w:rFonts w:cs="Arial"/>
                <w:sz w:val="22"/>
                <w:szCs w:val="22"/>
                <w:lang w:val="en-GB"/>
              </w:rPr>
            </w:pPr>
            <w:r w:rsidRPr="00E00989">
              <w:rPr>
                <w:rFonts w:cs="Arial"/>
                <w:sz w:val="22"/>
                <w:szCs w:val="22"/>
                <w:lang w:val="en-GB"/>
              </w:rPr>
              <w:t>WCO</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CEA31A8"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G00039-K</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7F7FC76E" w14:textId="77777777" w:rsidR="00DD60C0" w:rsidRPr="00E00989" w:rsidRDefault="00DD60C0" w:rsidP="00F23455">
            <w:pPr>
              <w:spacing w:before="0" w:after="0"/>
              <w:rPr>
                <w:rFonts w:cs="Arial"/>
                <w:sz w:val="22"/>
                <w:szCs w:val="22"/>
                <w:lang w:val="en-GB"/>
              </w:rPr>
            </w:pPr>
            <w:r w:rsidRPr="00E00989">
              <w:rPr>
                <w:rFonts w:cs="Arial"/>
                <w:sz w:val="22"/>
                <w:szCs w:val="22"/>
                <w:lang w:val="en-GB"/>
              </w:rPr>
              <w:t>West Coast</w:t>
            </w:r>
          </w:p>
        </w:tc>
      </w:tr>
      <w:tr w:rsidR="00E00989" w:rsidRPr="00E00989" w14:paraId="3C243E8A"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3D55E01D" w14:textId="77777777" w:rsidR="00DD60C0" w:rsidRPr="00E00989" w:rsidRDefault="00DD60C0" w:rsidP="00F23455">
            <w:pPr>
              <w:spacing w:before="0" w:after="0"/>
              <w:rPr>
                <w:rFonts w:cs="Arial"/>
                <w:sz w:val="22"/>
                <w:szCs w:val="22"/>
                <w:lang w:val="en-GB"/>
              </w:rPr>
            </w:pPr>
            <w:r w:rsidRPr="00E00989">
              <w:rPr>
                <w:rFonts w:cs="Arial"/>
                <w:sz w:val="22"/>
                <w:szCs w:val="22"/>
                <w:lang w:val="en-GB"/>
              </w:rPr>
              <w:t>121</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283954C"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4121</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D035981" w14:textId="77777777" w:rsidR="00DD60C0" w:rsidRPr="00E00989" w:rsidRDefault="00DD60C0" w:rsidP="00F23455">
            <w:pPr>
              <w:spacing w:before="0" w:after="0"/>
              <w:rPr>
                <w:rFonts w:cs="Arial"/>
                <w:sz w:val="22"/>
                <w:szCs w:val="22"/>
                <w:lang w:val="en-GB"/>
              </w:rPr>
            </w:pPr>
            <w:r w:rsidRPr="00E00989">
              <w:rPr>
                <w:rFonts w:cs="Arial"/>
                <w:sz w:val="22"/>
                <w:szCs w:val="22"/>
                <w:lang w:val="en-GB"/>
              </w:rPr>
              <w:t>CTY</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48D7BFB"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G00005-D</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72DA4F61" w14:textId="77777777" w:rsidR="00DD60C0" w:rsidRPr="00E00989" w:rsidRDefault="00DD60C0" w:rsidP="00F23455">
            <w:pPr>
              <w:spacing w:before="0" w:after="0"/>
              <w:rPr>
                <w:rFonts w:cs="Arial"/>
                <w:sz w:val="22"/>
                <w:szCs w:val="22"/>
                <w:lang w:val="en-GB"/>
              </w:rPr>
            </w:pPr>
            <w:r w:rsidRPr="00E00989">
              <w:rPr>
                <w:rFonts w:cs="Arial"/>
                <w:sz w:val="22"/>
                <w:szCs w:val="22"/>
                <w:lang w:val="en-GB"/>
              </w:rPr>
              <w:t>Canterbury</w:t>
            </w:r>
          </w:p>
        </w:tc>
      </w:tr>
      <w:tr w:rsidR="00E00989" w:rsidRPr="00E00989" w14:paraId="2DD90683"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5580092D" w14:textId="77777777" w:rsidR="00DD60C0" w:rsidRPr="00E00989" w:rsidRDefault="00DD60C0" w:rsidP="00F23455">
            <w:pPr>
              <w:spacing w:before="0" w:after="0"/>
              <w:rPr>
                <w:rFonts w:cs="Arial"/>
                <w:sz w:val="22"/>
                <w:szCs w:val="22"/>
                <w:lang w:val="en-GB"/>
              </w:rPr>
            </w:pPr>
            <w:r w:rsidRPr="00E00989">
              <w:rPr>
                <w:rFonts w:cs="Arial"/>
                <w:sz w:val="22"/>
                <w:szCs w:val="22"/>
                <w:lang w:val="en-GB"/>
              </w:rPr>
              <w:t>123</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BECE368"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4123</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39DCE160" w14:textId="77777777" w:rsidR="00DD60C0" w:rsidRPr="00E00989" w:rsidRDefault="00DD60C0" w:rsidP="00F23455">
            <w:pPr>
              <w:spacing w:before="0" w:after="0"/>
              <w:rPr>
                <w:rFonts w:cs="Arial"/>
                <w:sz w:val="22"/>
                <w:szCs w:val="22"/>
                <w:lang w:val="en-GB"/>
              </w:rPr>
            </w:pPr>
            <w:r w:rsidRPr="00E00989">
              <w:rPr>
                <w:rFonts w:cs="Arial"/>
                <w:sz w:val="22"/>
                <w:szCs w:val="22"/>
                <w:lang w:val="en-GB"/>
              </w:rPr>
              <w:t>SCY</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69BEFC7C"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G00025-K</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5EE90E5E" w14:textId="77777777" w:rsidR="00DD60C0" w:rsidRPr="00E00989" w:rsidRDefault="00DD60C0" w:rsidP="00F23455">
            <w:pPr>
              <w:spacing w:before="0" w:after="0"/>
              <w:rPr>
                <w:rFonts w:cs="Arial"/>
                <w:sz w:val="22"/>
                <w:szCs w:val="22"/>
                <w:lang w:val="en-GB"/>
              </w:rPr>
            </w:pPr>
            <w:r w:rsidRPr="00E00989">
              <w:rPr>
                <w:rFonts w:cs="Arial"/>
                <w:sz w:val="22"/>
                <w:szCs w:val="22"/>
                <w:lang w:val="en-GB"/>
              </w:rPr>
              <w:t>South Canterbury</w:t>
            </w:r>
          </w:p>
        </w:tc>
      </w:tr>
      <w:tr w:rsidR="00E00989" w:rsidRPr="00E00989" w14:paraId="7F2AD8EC" w14:textId="77777777" w:rsidTr="00F23455">
        <w:trPr>
          <w:trHeight w:val="285"/>
          <w:tblCellSpacing w:w="0" w:type="dxa"/>
        </w:trPr>
        <w:tc>
          <w:tcPr>
            <w:tcW w:w="669" w:type="pct"/>
            <w:tcBorders>
              <w:top w:val="single" w:sz="6" w:space="0" w:color="CCCCCC"/>
              <w:left w:val="nil"/>
              <w:bottom w:val="nil"/>
              <w:right w:val="single" w:sz="6" w:space="0" w:color="CCCCCC"/>
            </w:tcBorders>
            <w:tcMar>
              <w:top w:w="30" w:type="dxa"/>
              <w:left w:w="75" w:type="dxa"/>
              <w:bottom w:w="30" w:type="dxa"/>
              <w:right w:w="75" w:type="dxa"/>
            </w:tcMar>
            <w:hideMark/>
          </w:tcPr>
          <w:p w14:paraId="79DBABAC" w14:textId="77777777" w:rsidR="00DD60C0" w:rsidRPr="00E00989" w:rsidRDefault="00DD60C0" w:rsidP="00F23455">
            <w:pPr>
              <w:spacing w:before="0" w:after="0"/>
              <w:rPr>
                <w:rFonts w:cs="Arial"/>
                <w:sz w:val="22"/>
                <w:szCs w:val="22"/>
                <w:lang w:val="en-GB"/>
              </w:rPr>
            </w:pPr>
            <w:r w:rsidRPr="00E00989">
              <w:rPr>
                <w:rFonts w:cs="Arial"/>
                <w:sz w:val="22"/>
                <w:szCs w:val="22"/>
                <w:lang w:val="en-GB"/>
              </w:rPr>
              <w:t>160</w:t>
            </w:r>
          </w:p>
        </w:tc>
        <w:tc>
          <w:tcPr>
            <w:tcW w:w="645"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7B55EEC0" w14:textId="77777777" w:rsidR="00DD60C0" w:rsidRPr="00E00989" w:rsidRDefault="00DD60C0" w:rsidP="00F23455">
            <w:pPr>
              <w:spacing w:before="0" w:after="0"/>
              <w:rPr>
                <w:rFonts w:cs="Arial"/>
                <w:b/>
                <w:sz w:val="22"/>
                <w:szCs w:val="22"/>
                <w:lang w:val="en-GB"/>
              </w:rPr>
            </w:pPr>
            <w:r w:rsidRPr="00E00989">
              <w:rPr>
                <w:rFonts w:cs="Arial"/>
                <w:b/>
                <w:sz w:val="22"/>
                <w:szCs w:val="22"/>
                <w:lang w:val="en-GB"/>
              </w:rPr>
              <w:t>4160</w:t>
            </w:r>
          </w:p>
        </w:tc>
        <w:tc>
          <w:tcPr>
            <w:tcW w:w="884"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2AB532F6" w14:textId="77777777" w:rsidR="00DD60C0" w:rsidRPr="00E00989" w:rsidRDefault="00DD60C0" w:rsidP="00F23455">
            <w:pPr>
              <w:spacing w:before="0" w:after="0"/>
              <w:rPr>
                <w:rFonts w:cs="Arial"/>
                <w:sz w:val="22"/>
                <w:szCs w:val="22"/>
                <w:lang w:val="en-GB"/>
              </w:rPr>
            </w:pPr>
            <w:r w:rsidRPr="00E00989">
              <w:rPr>
                <w:rFonts w:cs="Arial"/>
                <w:sz w:val="22"/>
                <w:szCs w:val="22"/>
                <w:lang w:val="en-GB"/>
              </w:rPr>
              <w:t>SRN</w:t>
            </w:r>
          </w:p>
        </w:tc>
        <w:tc>
          <w:tcPr>
            <w:tcW w:w="1181" w:type="pct"/>
            <w:tcBorders>
              <w:top w:val="single" w:sz="6" w:space="0" w:color="CCCCCC"/>
              <w:left w:val="single" w:sz="6" w:space="0" w:color="CCCCCC"/>
              <w:bottom w:val="nil"/>
              <w:right w:val="single" w:sz="6" w:space="0" w:color="CCCCCC"/>
            </w:tcBorders>
            <w:tcMar>
              <w:top w:w="30" w:type="dxa"/>
              <w:left w:w="75" w:type="dxa"/>
              <w:bottom w:w="30" w:type="dxa"/>
              <w:right w:w="75" w:type="dxa"/>
            </w:tcMar>
            <w:hideMark/>
          </w:tcPr>
          <w:p w14:paraId="0470E0E9" w14:textId="77777777" w:rsidR="00DD60C0" w:rsidRPr="00E00989" w:rsidRDefault="00DD60C0" w:rsidP="00F23455">
            <w:pPr>
              <w:spacing w:before="0" w:after="0"/>
              <w:rPr>
                <w:rFonts w:cs="Arial"/>
                <w:sz w:val="22"/>
                <w:szCs w:val="22"/>
                <w:lang w:val="en-GB"/>
              </w:rPr>
            </w:pPr>
            <w:r w:rsidRPr="00E00989">
              <w:rPr>
                <w:rFonts w:cs="Arial"/>
                <w:sz w:val="22"/>
                <w:szCs w:val="22"/>
                <w:lang w:val="en-GB"/>
              </w:rPr>
              <w:t>G02328-E</w:t>
            </w:r>
          </w:p>
        </w:tc>
        <w:tc>
          <w:tcPr>
            <w:tcW w:w="1621" w:type="pct"/>
            <w:tcBorders>
              <w:top w:val="single" w:sz="6" w:space="0" w:color="CCCCCC"/>
              <w:left w:val="single" w:sz="6" w:space="0" w:color="CCCCCC"/>
              <w:bottom w:val="nil"/>
              <w:right w:val="nil"/>
            </w:tcBorders>
            <w:tcMar>
              <w:top w:w="30" w:type="dxa"/>
              <w:left w:w="75" w:type="dxa"/>
              <w:bottom w:w="30" w:type="dxa"/>
              <w:right w:w="75" w:type="dxa"/>
            </w:tcMar>
            <w:hideMark/>
          </w:tcPr>
          <w:p w14:paraId="79710071" w14:textId="77777777" w:rsidR="00DD60C0" w:rsidRPr="00E00989" w:rsidRDefault="00DD60C0" w:rsidP="00F23455">
            <w:pPr>
              <w:spacing w:before="0" w:after="0"/>
              <w:rPr>
                <w:rFonts w:cs="Arial"/>
                <w:sz w:val="22"/>
                <w:szCs w:val="22"/>
                <w:lang w:val="en-GB"/>
              </w:rPr>
            </w:pPr>
            <w:r w:rsidRPr="00E00989">
              <w:rPr>
                <w:rFonts w:cs="Arial"/>
                <w:sz w:val="22"/>
                <w:szCs w:val="22"/>
                <w:lang w:val="en-GB"/>
              </w:rPr>
              <w:t>Southern</w:t>
            </w:r>
          </w:p>
        </w:tc>
      </w:tr>
    </w:tbl>
    <w:p w14:paraId="29D0C8E7" w14:textId="77777777" w:rsidR="00DD60C0" w:rsidRDefault="00DD60C0" w:rsidP="00DD60C0">
      <w:pPr>
        <w:pStyle w:val="ListParagraph"/>
        <w:numPr>
          <w:ilvl w:val="0"/>
          <w:numId w:val="0"/>
        </w:numPr>
        <w:ind w:left="720"/>
        <w:rPr>
          <w:rFonts w:cs="Arial"/>
          <w:sz w:val="22"/>
          <w:szCs w:val="22"/>
        </w:rPr>
      </w:pPr>
    </w:p>
    <w:p w14:paraId="49B80070" w14:textId="77777777" w:rsidR="00CB5B9F" w:rsidRDefault="00DD60C0" w:rsidP="00DD60C0">
      <w:pPr>
        <w:rPr>
          <w:rFonts w:cs="Arial"/>
          <w:lang w:val="en-GB"/>
        </w:rPr>
      </w:pPr>
      <w:r w:rsidRPr="00CB5B9F">
        <w:rPr>
          <w:rFonts w:cs="Arial"/>
        </w:rPr>
        <w:t xml:space="preserve">The wait time information </w:t>
      </w:r>
      <w:r w:rsidRPr="00CB5B9F">
        <w:rPr>
          <w:rFonts w:cs="Arial"/>
          <w:lang w:val="en-GB"/>
        </w:rPr>
        <w:t xml:space="preserve">could be collected in the local NNPAC reporting file as extra rows in the file, however this data should not be reported to NNPAC. </w:t>
      </w:r>
    </w:p>
    <w:p w14:paraId="32F59D35" w14:textId="77777777" w:rsidR="00DD60C0" w:rsidRPr="00CB5B9F" w:rsidRDefault="00DD60C0" w:rsidP="00DD60C0">
      <w:pPr>
        <w:rPr>
          <w:rFonts w:cs="Arial"/>
          <w:lang w:val="en-GB"/>
        </w:rPr>
      </w:pPr>
      <w:r w:rsidRPr="00CB5B9F">
        <w:rPr>
          <w:rFonts w:cs="Arial"/>
          <w:lang w:val="en-GB"/>
        </w:rPr>
        <w:t>Below is an example for collecting data in NNPAC format:</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992"/>
        <w:gridCol w:w="851"/>
        <w:gridCol w:w="3969"/>
        <w:gridCol w:w="1134"/>
        <w:gridCol w:w="1443"/>
      </w:tblGrid>
      <w:tr w:rsidR="00DD60C0" w:rsidRPr="001C35DD" w14:paraId="24DBF21E" w14:textId="77777777" w:rsidTr="00CB5B9F">
        <w:trPr>
          <w:trHeight w:val="124"/>
          <w:tblHeader/>
        </w:trPr>
        <w:tc>
          <w:tcPr>
            <w:tcW w:w="1242" w:type="dxa"/>
            <w:tcBorders>
              <w:bottom w:val="single" w:sz="6" w:space="0" w:color="000000"/>
            </w:tcBorders>
            <w:shd w:val="pct12" w:color="auto" w:fill="auto"/>
          </w:tcPr>
          <w:p w14:paraId="139CCFE6" w14:textId="77777777" w:rsidR="00DD60C0" w:rsidRPr="001C35DD" w:rsidRDefault="00DD60C0" w:rsidP="00F23455">
            <w:pPr>
              <w:autoSpaceDE w:val="0"/>
              <w:autoSpaceDN w:val="0"/>
              <w:adjustRightInd w:val="0"/>
              <w:rPr>
                <w:rFonts w:cs="Arial"/>
                <w:color w:val="000000"/>
                <w:sz w:val="20"/>
                <w:szCs w:val="20"/>
              </w:rPr>
            </w:pPr>
            <w:r w:rsidRPr="001C35DD">
              <w:rPr>
                <w:rFonts w:cs="Arial"/>
                <w:b/>
                <w:bCs/>
                <w:color w:val="000000"/>
                <w:sz w:val="20"/>
                <w:szCs w:val="20"/>
              </w:rPr>
              <w:lastRenderedPageBreak/>
              <w:t xml:space="preserve">Field </w:t>
            </w:r>
          </w:p>
        </w:tc>
        <w:tc>
          <w:tcPr>
            <w:tcW w:w="992" w:type="dxa"/>
            <w:tcBorders>
              <w:bottom w:val="single" w:sz="6" w:space="0" w:color="000000"/>
            </w:tcBorders>
            <w:shd w:val="pct12" w:color="auto" w:fill="auto"/>
          </w:tcPr>
          <w:p w14:paraId="01E075A3" w14:textId="77777777" w:rsidR="00DD60C0" w:rsidRPr="001C35DD" w:rsidRDefault="00DD60C0" w:rsidP="00F23455">
            <w:pPr>
              <w:autoSpaceDE w:val="0"/>
              <w:autoSpaceDN w:val="0"/>
              <w:adjustRightInd w:val="0"/>
              <w:rPr>
                <w:rFonts w:cs="Arial"/>
                <w:color w:val="000000"/>
                <w:sz w:val="20"/>
                <w:szCs w:val="20"/>
              </w:rPr>
            </w:pPr>
            <w:r w:rsidRPr="001C35DD">
              <w:rPr>
                <w:rFonts w:cs="Arial"/>
                <w:b/>
                <w:bCs/>
                <w:color w:val="000000"/>
                <w:sz w:val="20"/>
                <w:szCs w:val="20"/>
              </w:rPr>
              <w:t xml:space="preserve">Format </w:t>
            </w:r>
          </w:p>
        </w:tc>
        <w:tc>
          <w:tcPr>
            <w:tcW w:w="851" w:type="dxa"/>
            <w:tcBorders>
              <w:bottom w:val="single" w:sz="6" w:space="0" w:color="000000"/>
            </w:tcBorders>
            <w:shd w:val="pct12" w:color="auto" w:fill="auto"/>
          </w:tcPr>
          <w:p w14:paraId="1B0DA1D8" w14:textId="77777777" w:rsidR="00DD60C0" w:rsidRPr="001C35DD" w:rsidRDefault="00DD60C0" w:rsidP="00F23455">
            <w:pPr>
              <w:autoSpaceDE w:val="0"/>
              <w:autoSpaceDN w:val="0"/>
              <w:adjustRightInd w:val="0"/>
              <w:rPr>
                <w:rFonts w:cs="Arial"/>
                <w:color w:val="000000"/>
                <w:sz w:val="20"/>
                <w:szCs w:val="20"/>
              </w:rPr>
            </w:pPr>
            <w:r w:rsidRPr="001C35DD">
              <w:rPr>
                <w:rFonts w:cs="Arial"/>
                <w:b/>
                <w:bCs/>
                <w:color w:val="000000"/>
                <w:sz w:val="20"/>
                <w:szCs w:val="20"/>
              </w:rPr>
              <w:t xml:space="preserve">Reqd. </w:t>
            </w:r>
          </w:p>
        </w:tc>
        <w:tc>
          <w:tcPr>
            <w:tcW w:w="3969" w:type="dxa"/>
            <w:tcBorders>
              <w:bottom w:val="single" w:sz="6" w:space="0" w:color="000000"/>
            </w:tcBorders>
            <w:shd w:val="pct12" w:color="auto" w:fill="auto"/>
          </w:tcPr>
          <w:p w14:paraId="750694B7" w14:textId="77777777" w:rsidR="00DD60C0" w:rsidRPr="001C35DD" w:rsidRDefault="00DD60C0" w:rsidP="00F23455">
            <w:pPr>
              <w:autoSpaceDE w:val="0"/>
              <w:autoSpaceDN w:val="0"/>
              <w:adjustRightInd w:val="0"/>
              <w:rPr>
                <w:rFonts w:cs="Arial"/>
                <w:color w:val="000000"/>
                <w:sz w:val="20"/>
                <w:szCs w:val="20"/>
              </w:rPr>
            </w:pPr>
            <w:r w:rsidRPr="001C35DD">
              <w:rPr>
                <w:rFonts w:cs="Arial"/>
                <w:b/>
                <w:bCs/>
                <w:color w:val="000000"/>
                <w:sz w:val="20"/>
                <w:szCs w:val="20"/>
              </w:rPr>
              <w:t xml:space="preserve">Notes </w:t>
            </w:r>
          </w:p>
        </w:tc>
        <w:tc>
          <w:tcPr>
            <w:tcW w:w="1134" w:type="dxa"/>
            <w:tcBorders>
              <w:bottom w:val="single" w:sz="6" w:space="0" w:color="000000"/>
            </w:tcBorders>
            <w:shd w:val="pct12" w:color="auto" w:fill="auto"/>
          </w:tcPr>
          <w:p w14:paraId="188418A2" w14:textId="77777777" w:rsidR="00DD60C0" w:rsidRPr="001C35DD" w:rsidRDefault="00DD60C0" w:rsidP="00F23455">
            <w:pPr>
              <w:autoSpaceDE w:val="0"/>
              <w:autoSpaceDN w:val="0"/>
              <w:adjustRightInd w:val="0"/>
              <w:rPr>
                <w:rFonts w:cs="Arial"/>
                <w:b/>
                <w:bCs/>
                <w:color w:val="000000"/>
                <w:sz w:val="20"/>
                <w:szCs w:val="20"/>
              </w:rPr>
            </w:pPr>
            <w:r w:rsidRPr="001C35DD">
              <w:rPr>
                <w:rFonts w:cs="Arial"/>
                <w:b/>
                <w:bCs/>
                <w:color w:val="000000"/>
                <w:sz w:val="20"/>
                <w:szCs w:val="20"/>
              </w:rPr>
              <w:t>Default for Fertility service</w:t>
            </w:r>
            <w:r>
              <w:rPr>
                <w:rFonts w:cs="Arial"/>
                <w:b/>
                <w:bCs/>
                <w:color w:val="000000"/>
                <w:sz w:val="20"/>
                <w:szCs w:val="20"/>
              </w:rPr>
              <w:t>s</w:t>
            </w:r>
          </w:p>
        </w:tc>
        <w:tc>
          <w:tcPr>
            <w:tcW w:w="1443" w:type="dxa"/>
            <w:tcBorders>
              <w:bottom w:val="single" w:sz="6" w:space="0" w:color="000000"/>
            </w:tcBorders>
            <w:shd w:val="pct12" w:color="auto" w:fill="auto"/>
          </w:tcPr>
          <w:p w14:paraId="1EB1C4E9" w14:textId="77777777" w:rsidR="00DD60C0" w:rsidRPr="001C35DD" w:rsidRDefault="00DD60C0" w:rsidP="00F23455">
            <w:pPr>
              <w:autoSpaceDE w:val="0"/>
              <w:autoSpaceDN w:val="0"/>
              <w:adjustRightInd w:val="0"/>
              <w:rPr>
                <w:rFonts w:cs="Arial"/>
                <w:b/>
                <w:bCs/>
                <w:color w:val="000000"/>
                <w:sz w:val="20"/>
                <w:szCs w:val="20"/>
              </w:rPr>
            </w:pPr>
            <w:r w:rsidRPr="001C35DD">
              <w:rPr>
                <w:rFonts w:cs="Arial"/>
                <w:b/>
                <w:bCs/>
                <w:color w:val="000000"/>
                <w:sz w:val="20"/>
                <w:szCs w:val="20"/>
              </w:rPr>
              <w:t>Comment/</w:t>
            </w:r>
            <w:r w:rsidR="00CB5B9F">
              <w:rPr>
                <w:rFonts w:cs="Arial"/>
                <w:b/>
                <w:bCs/>
                <w:color w:val="000000"/>
                <w:sz w:val="20"/>
                <w:szCs w:val="20"/>
              </w:rPr>
              <w:t xml:space="preserve"> </w:t>
            </w:r>
            <w:r w:rsidRPr="001C35DD">
              <w:rPr>
                <w:rFonts w:cs="Arial"/>
                <w:b/>
                <w:bCs/>
                <w:color w:val="000000"/>
                <w:sz w:val="20"/>
                <w:szCs w:val="20"/>
              </w:rPr>
              <w:t>clarification for Fertility services</w:t>
            </w:r>
          </w:p>
        </w:tc>
      </w:tr>
      <w:tr w:rsidR="00DD60C0" w:rsidRPr="001C35DD" w14:paraId="17F763C2" w14:textId="77777777" w:rsidTr="00CB5B9F">
        <w:trPr>
          <w:trHeight w:val="124"/>
          <w:tblHeader/>
        </w:trPr>
        <w:tc>
          <w:tcPr>
            <w:tcW w:w="1242" w:type="dxa"/>
            <w:shd w:val="clear" w:color="auto" w:fill="auto"/>
          </w:tcPr>
          <w:p w14:paraId="24E429B7" w14:textId="77777777" w:rsidR="00DD60C0" w:rsidRPr="009562A7" w:rsidRDefault="00DD60C0" w:rsidP="00F23455">
            <w:pPr>
              <w:autoSpaceDE w:val="0"/>
              <w:autoSpaceDN w:val="0"/>
              <w:adjustRightInd w:val="0"/>
              <w:rPr>
                <w:rFonts w:cs="Arial"/>
                <w:bCs/>
                <w:color w:val="000000"/>
                <w:sz w:val="20"/>
                <w:szCs w:val="20"/>
              </w:rPr>
            </w:pPr>
            <w:r w:rsidRPr="00171E81">
              <w:rPr>
                <w:rFonts w:cs="Arial"/>
                <w:bCs/>
                <w:color w:val="000000"/>
                <w:sz w:val="20"/>
                <w:szCs w:val="20"/>
              </w:rPr>
              <w:t>r</w:t>
            </w:r>
            <w:r w:rsidRPr="009562A7">
              <w:rPr>
                <w:rFonts w:cs="Arial"/>
                <w:bCs/>
                <w:color w:val="000000"/>
                <w:sz w:val="20"/>
                <w:szCs w:val="20"/>
              </w:rPr>
              <w:t>eason for using service</w:t>
            </w:r>
          </w:p>
        </w:tc>
        <w:tc>
          <w:tcPr>
            <w:tcW w:w="992" w:type="dxa"/>
            <w:shd w:val="clear" w:color="auto" w:fill="auto"/>
          </w:tcPr>
          <w:p w14:paraId="60210986" w14:textId="77777777" w:rsidR="00DD60C0" w:rsidRPr="009562A7" w:rsidRDefault="00DD60C0" w:rsidP="00F23455">
            <w:pPr>
              <w:autoSpaceDE w:val="0"/>
              <w:autoSpaceDN w:val="0"/>
              <w:adjustRightInd w:val="0"/>
              <w:rPr>
                <w:rFonts w:cs="Arial"/>
                <w:bCs/>
                <w:color w:val="000000"/>
                <w:sz w:val="20"/>
                <w:szCs w:val="20"/>
              </w:rPr>
            </w:pPr>
            <w:r w:rsidRPr="009562A7">
              <w:rPr>
                <w:rFonts w:cs="Arial"/>
                <w:bCs/>
                <w:color w:val="000000"/>
                <w:sz w:val="20"/>
                <w:szCs w:val="20"/>
              </w:rPr>
              <w:t>AAA</w:t>
            </w:r>
          </w:p>
        </w:tc>
        <w:tc>
          <w:tcPr>
            <w:tcW w:w="851" w:type="dxa"/>
            <w:shd w:val="clear" w:color="auto" w:fill="auto"/>
          </w:tcPr>
          <w:p w14:paraId="6E7754C9" w14:textId="77777777" w:rsidR="00DD60C0" w:rsidRPr="00BB190F" w:rsidRDefault="00DD60C0" w:rsidP="00F23455">
            <w:pPr>
              <w:autoSpaceDE w:val="0"/>
              <w:autoSpaceDN w:val="0"/>
              <w:adjustRightInd w:val="0"/>
              <w:rPr>
                <w:rFonts w:cs="Arial"/>
                <w:bCs/>
                <w:color w:val="000000"/>
                <w:sz w:val="20"/>
                <w:szCs w:val="20"/>
              </w:rPr>
            </w:pPr>
          </w:p>
        </w:tc>
        <w:tc>
          <w:tcPr>
            <w:tcW w:w="3969" w:type="dxa"/>
            <w:shd w:val="clear" w:color="auto" w:fill="auto"/>
          </w:tcPr>
          <w:p w14:paraId="72FC8D91" w14:textId="77777777" w:rsidR="00DD60C0" w:rsidRPr="00BB190F" w:rsidRDefault="00DD60C0" w:rsidP="00F23455">
            <w:pPr>
              <w:contextualSpacing/>
              <w:rPr>
                <w:rFonts w:cs="Arial"/>
                <w:sz w:val="20"/>
                <w:szCs w:val="20"/>
                <w:lang w:val="en-GB" w:eastAsia="en-GB"/>
              </w:rPr>
            </w:pPr>
            <w:r w:rsidRPr="00BB190F">
              <w:rPr>
                <w:rFonts w:cs="Arial"/>
                <w:sz w:val="20"/>
                <w:szCs w:val="20"/>
                <w:lang w:val="en-GB" w:eastAsia="en-GB"/>
              </w:rPr>
              <w:t xml:space="preserve">Record for </w:t>
            </w:r>
            <w:r>
              <w:rPr>
                <w:rFonts w:cs="Arial"/>
                <w:sz w:val="20"/>
                <w:szCs w:val="20"/>
                <w:lang w:val="en-GB" w:eastAsia="en-GB"/>
              </w:rPr>
              <w:t xml:space="preserve">the following purchase units </w:t>
            </w:r>
            <w:r w:rsidRPr="00BB190F">
              <w:rPr>
                <w:rFonts w:cs="Arial"/>
                <w:sz w:val="20"/>
                <w:szCs w:val="20"/>
                <w:lang w:val="en-GB" w:eastAsia="en-GB"/>
              </w:rPr>
              <w:t>the Service User’s reason / indication for using the Service</w:t>
            </w:r>
            <w:r>
              <w:rPr>
                <w:rFonts w:cs="Arial"/>
                <w:sz w:val="20"/>
                <w:szCs w:val="20"/>
                <w:lang w:val="en-GB" w:eastAsia="en-GB"/>
              </w:rPr>
              <w:t xml:space="preserve">: </w:t>
            </w:r>
            <w:r w:rsidRPr="009C0EE2">
              <w:rPr>
                <w:rFonts w:cs="Arial"/>
                <w:sz w:val="20"/>
                <w:szCs w:val="20"/>
                <w:lang w:val="en-GB" w:eastAsia="en-GB"/>
              </w:rPr>
              <w:t xml:space="preserve">FS01001, FS01002, FS01003, FS01008, FS01013, FS01014, </w:t>
            </w:r>
            <w:proofErr w:type="gramStart"/>
            <w:r w:rsidRPr="009C0EE2">
              <w:rPr>
                <w:rFonts w:cs="Arial"/>
                <w:sz w:val="20"/>
                <w:szCs w:val="20"/>
                <w:lang w:val="en-GB" w:eastAsia="en-GB"/>
              </w:rPr>
              <w:t>FS01018</w:t>
            </w:r>
            <w:proofErr w:type="gramEnd"/>
            <w:r>
              <w:rPr>
                <w:rFonts w:cs="Arial"/>
                <w:sz w:val="20"/>
                <w:szCs w:val="20"/>
                <w:lang w:val="en-GB" w:eastAsia="en-GB"/>
              </w:rPr>
              <w:t>. Indications:</w:t>
            </w:r>
            <w:r w:rsidRPr="00BB190F">
              <w:rPr>
                <w:rFonts w:cs="Arial"/>
                <w:sz w:val="20"/>
                <w:szCs w:val="20"/>
                <w:lang w:val="en-GB" w:eastAsia="en-GB"/>
              </w:rPr>
              <w:t xml:space="preserve"> </w:t>
            </w:r>
          </w:p>
          <w:p w14:paraId="5DCFD8E7" w14:textId="77777777" w:rsidR="00DD60C0" w:rsidRPr="00BB190F" w:rsidRDefault="00DD60C0" w:rsidP="00F23455">
            <w:pPr>
              <w:contextualSpacing/>
              <w:rPr>
                <w:sz w:val="20"/>
                <w:szCs w:val="20"/>
                <w:lang w:val="en-GB" w:eastAsia="en-GB"/>
              </w:rPr>
            </w:pPr>
            <w:r w:rsidRPr="00BB190F">
              <w:rPr>
                <w:rFonts w:cs="Arial"/>
                <w:sz w:val="20"/>
                <w:szCs w:val="20"/>
                <w:lang w:val="en-GB" w:eastAsia="en-GB"/>
              </w:rPr>
              <w:t>INF (</w:t>
            </w:r>
            <w:r w:rsidRPr="00BB190F">
              <w:rPr>
                <w:sz w:val="20"/>
                <w:szCs w:val="20"/>
                <w:lang w:val="en-GB" w:eastAsia="en-GB"/>
              </w:rPr>
              <w:t>infertility),</w:t>
            </w:r>
          </w:p>
          <w:p w14:paraId="09C0FF0C" w14:textId="77777777" w:rsidR="00DD60C0" w:rsidRPr="00BB190F" w:rsidRDefault="00DD60C0" w:rsidP="00F23455">
            <w:pPr>
              <w:contextualSpacing/>
              <w:rPr>
                <w:rFonts w:cs="Arial"/>
                <w:bCs/>
                <w:color w:val="000000"/>
                <w:sz w:val="20"/>
                <w:szCs w:val="20"/>
              </w:rPr>
            </w:pPr>
            <w:r w:rsidRPr="00BB190F">
              <w:rPr>
                <w:sz w:val="20"/>
                <w:szCs w:val="20"/>
                <w:lang w:val="en-GB" w:eastAsia="en-GB"/>
              </w:rPr>
              <w:t>PGD (preimplantation genetic diagnosis), FPR (fertility preservation)</w:t>
            </w:r>
          </w:p>
        </w:tc>
        <w:tc>
          <w:tcPr>
            <w:tcW w:w="1134" w:type="dxa"/>
            <w:shd w:val="clear" w:color="auto" w:fill="auto"/>
          </w:tcPr>
          <w:p w14:paraId="4C051CC4" w14:textId="77777777" w:rsidR="00DD60C0" w:rsidRPr="00BB190F" w:rsidRDefault="00DD60C0" w:rsidP="00F23455">
            <w:pPr>
              <w:autoSpaceDE w:val="0"/>
              <w:autoSpaceDN w:val="0"/>
              <w:adjustRightInd w:val="0"/>
              <w:rPr>
                <w:rFonts w:cs="Arial"/>
                <w:bCs/>
                <w:color w:val="000000"/>
                <w:sz w:val="20"/>
                <w:szCs w:val="20"/>
              </w:rPr>
            </w:pPr>
          </w:p>
        </w:tc>
        <w:tc>
          <w:tcPr>
            <w:tcW w:w="1443" w:type="dxa"/>
            <w:shd w:val="clear" w:color="auto" w:fill="auto"/>
          </w:tcPr>
          <w:p w14:paraId="7B2D67E3" w14:textId="77777777" w:rsidR="00DD60C0" w:rsidRPr="00BB190F" w:rsidRDefault="00DD60C0" w:rsidP="00F23455">
            <w:pPr>
              <w:autoSpaceDE w:val="0"/>
              <w:autoSpaceDN w:val="0"/>
              <w:adjustRightInd w:val="0"/>
              <w:rPr>
                <w:rFonts w:cs="Arial"/>
                <w:bCs/>
                <w:color w:val="000000"/>
                <w:sz w:val="20"/>
                <w:szCs w:val="20"/>
              </w:rPr>
            </w:pPr>
          </w:p>
        </w:tc>
      </w:tr>
      <w:tr w:rsidR="00DD60C0" w:rsidRPr="001C35DD" w14:paraId="3341647C" w14:textId="77777777" w:rsidTr="00CB5B9F">
        <w:trPr>
          <w:trHeight w:val="124"/>
          <w:tblHeader/>
        </w:trPr>
        <w:tc>
          <w:tcPr>
            <w:tcW w:w="1242" w:type="dxa"/>
            <w:shd w:val="clear" w:color="auto" w:fill="auto"/>
          </w:tcPr>
          <w:p w14:paraId="08BAB95C" w14:textId="77777777" w:rsidR="00DD60C0" w:rsidRPr="00BB190F" w:rsidRDefault="00DD60C0" w:rsidP="00F23455">
            <w:pPr>
              <w:autoSpaceDE w:val="0"/>
              <w:autoSpaceDN w:val="0"/>
              <w:adjustRightInd w:val="0"/>
              <w:rPr>
                <w:rFonts w:cs="Arial"/>
                <w:bCs/>
                <w:color w:val="000000"/>
                <w:sz w:val="20"/>
                <w:szCs w:val="20"/>
              </w:rPr>
            </w:pPr>
            <w:r w:rsidRPr="00171E81">
              <w:rPr>
                <w:rFonts w:cs="Arial"/>
                <w:bCs/>
                <w:color w:val="000000"/>
                <w:sz w:val="20"/>
                <w:szCs w:val="20"/>
              </w:rPr>
              <w:t xml:space="preserve">referral/ </w:t>
            </w:r>
            <w:r w:rsidRPr="009562A7">
              <w:rPr>
                <w:rFonts w:cs="Arial"/>
                <w:bCs/>
                <w:color w:val="000000"/>
                <w:sz w:val="20"/>
                <w:szCs w:val="20"/>
              </w:rPr>
              <w:t>treatment acceptance date</w:t>
            </w:r>
          </w:p>
        </w:tc>
        <w:tc>
          <w:tcPr>
            <w:tcW w:w="992" w:type="dxa"/>
            <w:shd w:val="clear" w:color="auto" w:fill="auto"/>
          </w:tcPr>
          <w:p w14:paraId="7E65B484" w14:textId="77777777" w:rsidR="00DD60C0" w:rsidRPr="00BB190F" w:rsidRDefault="00DD60C0" w:rsidP="00F23455">
            <w:pPr>
              <w:autoSpaceDE w:val="0"/>
              <w:autoSpaceDN w:val="0"/>
              <w:adjustRightInd w:val="0"/>
              <w:rPr>
                <w:rFonts w:cs="Arial"/>
                <w:bCs/>
                <w:color w:val="000000"/>
                <w:sz w:val="20"/>
                <w:szCs w:val="20"/>
              </w:rPr>
            </w:pPr>
            <w:r w:rsidRPr="00BB190F">
              <w:rPr>
                <w:rFonts w:cs="Arial"/>
                <w:color w:val="000000"/>
                <w:sz w:val="20"/>
                <w:szCs w:val="20"/>
              </w:rPr>
              <w:t>CCYYMMDDHHMM</w:t>
            </w:r>
          </w:p>
        </w:tc>
        <w:tc>
          <w:tcPr>
            <w:tcW w:w="851" w:type="dxa"/>
            <w:shd w:val="clear" w:color="auto" w:fill="auto"/>
          </w:tcPr>
          <w:p w14:paraId="1ECB31B4" w14:textId="77777777" w:rsidR="00DD60C0" w:rsidRPr="00BB190F" w:rsidRDefault="00DD60C0" w:rsidP="00F23455">
            <w:pPr>
              <w:autoSpaceDE w:val="0"/>
              <w:autoSpaceDN w:val="0"/>
              <w:adjustRightInd w:val="0"/>
              <w:rPr>
                <w:rFonts w:cs="Arial"/>
                <w:bCs/>
                <w:color w:val="000000"/>
                <w:sz w:val="20"/>
                <w:szCs w:val="20"/>
              </w:rPr>
            </w:pPr>
          </w:p>
        </w:tc>
        <w:tc>
          <w:tcPr>
            <w:tcW w:w="3969" w:type="dxa"/>
            <w:shd w:val="clear" w:color="auto" w:fill="auto"/>
          </w:tcPr>
          <w:p w14:paraId="743E82B4" w14:textId="77777777" w:rsidR="00DD60C0" w:rsidRPr="00BB190F" w:rsidRDefault="00DD60C0" w:rsidP="00F23455">
            <w:pPr>
              <w:contextualSpacing/>
              <w:rPr>
                <w:rFonts w:cs="Arial"/>
                <w:sz w:val="20"/>
                <w:szCs w:val="20"/>
                <w:lang w:val="en-GB" w:eastAsia="en-GB"/>
              </w:rPr>
            </w:pPr>
            <w:r w:rsidRPr="00BB190F">
              <w:rPr>
                <w:rFonts w:cs="Arial"/>
                <w:sz w:val="20"/>
                <w:szCs w:val="20"/>
                <w:lang w:val="en-GB" w:eastAsia="en-GB"/>
              </w:rPr>
              <w:t>Record date referred to service for: FS01001, FS01011, FS01030</w:t>
            </w:r>
          </w:p>
          <w:p w14:paraId="1D293C10" w14:textId="77777777" w:rsidR="00DD60C0" w:rsidRPr="00BB190F" w:rsidRDefault="00DD60C0" w:rsidP="00F23455">
            <w:pPr>
              <w:contextualSpacing/>
              <w:rPr>
                <w:rFonts w:cs="Arial"/>
                <w:sz w:val="20"/>
                <w:szCs w:val="20"/>
                <w:lang w:val="en-GB" w:eastAsia="en-GB"/>
              </w:rPr>
            </w:pPr>
            <w:r w:rsidRPr="00BB190F">
              <w:rPr>
                <w:rFonts w:cs="Arial"/>
                <w:sz w:val="20"/>
                <w:szCs w:val="20"/>
                <w:lang w:val="en-GB" w:eastAsia="en-GB"/>
              </w:rPr>
              <w:t>Record date accepted for treatment for: FS01002, FS01018, FS02002, FS02003</w:t>
            </w:r>
          </w:p>
        </w:tc>
        <w:tc>
          <w:tcPr>
            <w:tcW w:w="1134" w:type="dxa"/>
            <w:shd w:val="clear" w:color="auto" w:fill="auto"/>
          </w:tcPr>
          <w:p w14:paraId="51F1F147" w14:textId="77777777" w:rsidR="00DD60C0" w:rsidRPr="00BB190F" w:rsidRDefault="00DD60C0" w:rsidP="00F23455">
            <w:pPr>
              <w:autoSpaceDE w:val="0"/>
              <w:autoSpaceDN w:val="0"/>
              <w:adjustRightInd w:val="0"/>
              <w:rPr>
                <w:rFonts w:cs="Arial"/>
                <w:bCs/>
                <w:color w:val="000000"/>
                <w:sz w:val="20"/>
                <w:szCs w:val="20"/>
              </w:rPr>
            </w:pPr>
          </w:p>
        </w:tc>
        <w:tc>
          <w:tcPr>
            <w:tcW w:w="1443" w:type="dxa"/>
            <w:shd w:val="clear" w:color="auto" w:fill="auto"/>
          </w:tcPr>
          <w:p w14:paraId="49C204DD" w14:textId="77777777" w:rsidR="00DD60C0" w:rsidRPr="00BB190F" w:rsidRDefault="00DD60C0" w:rsidP="00F23455">
            <w:pPr>
              <w:autoSpaceDE w:val="0"/>
              <w:autoSpaceDN w:val="0"/>
              <w:adjustRightInd w:val="0"/>
              <w:rPr>
                <w:rFonts w:cs="Arial"/>
                <w:bCs/>
                <w:color w:val="000000"/>
                <w:sz w:val="20"/>
                <w:szCs w:val="20"/>
              </w:rPr>
            </w:pPr>
            <w:r w:rsidRPr="00BB190F">
              <w:rPr>
                <w:rFonts w:cs="Arial"/>
                <w:color w:val="000000"/>
                <w:sz w:val="20"/>
                <w:szCs w:val="20"/>
              </w:rPr>
              <w:t>Date only – 0000 for the time</w:t>
            </w:r>
          </w:p>
        </w:tc>
      </w:tr>
      <w:tr w:rsidR="00DD60C0" w:rsidRPr="001C35DD" w14:paraId="0D0DDD3F" w14:textId="77777777" w:rsidTr="00CB5B9F">
        <w:trPr>
          <w:trHeight w:val="124"/>
          <w:tblHeader/>
        </w:trPr>
        <w:tc>
          <w:tcPr>
            <w:tcW w:w="1242" w:type="dxa"/>
            <w:shd w:val="clear" w:color="auto" w:fill="auto"/>
          </w:tcPr>
          <w:p w14:paraId="6EB8A67C" w14:textId="77777777" w:rsidR="00DD60C0" w:rsidRPr="009562A7" w:rsidRDefault="00DD60C0" w:rsidP="00F23455">
            <w:pPr>
              <w:autoSpaceDE w:val="0"/>
              <w:autoSpaceDN w:val="0"/>
              <w:adjustRightInd w:val="0"/>
              <w:rPr>
                <w:rFonts w:cs="Arial"/>
                <w:bCs/>
                <w:color w:val="000000"/>
                <w:sz w:val="20"/>
                <w:szCs w:val="20"/>
              </w:rPr>
            </w:pPr>
            <w:r w:rsidRPr="00171E81">
              <w:rPr>
                <w:rFonts w:cs="Arial"/>
                <w:bCs/>
                <w:color w:val="000000"/>
                <w:sz w:val="20"/>
                <w:szCs w:val="20"/>
              </w:rPr>
              <w:t>w</w:t>
            </w:r>
            <w:r w:rsidRPr="009562A7">
              <w:rPr>
                <w:rFonts w:cs="Arial"/>
                <w:bCs/>
                <w:color w:val="000000"/>
                <w:sz w:val="20"/>
                <w:szCs w:val="20"/>
              </w:rPr>
              <w:t>ait time</w:t>
            </w:r>
          </w:p>
        </w:tc>
        <w:tc>
          <w:tcPr>
            <w:tcW w:w="992" w:type="dxa"/>
            <w:shd w:val="clear" w:color="auto" w:fill="auto"/>
          </w:tcPr>
          <w:p w14:paraId="3CD7E127" w14:textId="77777777" w:rsidR="00DD60C0" w:rsidRPr="00BB190F" w:rsidRDefault="00DD60C0" w:rsidP="00F23455">
            <w:pPr>
              <w:autoSpaceDE w:val="0"/>
              <w:autoSpaceDN w:val="0"/>
              <w:adjustRightInd w:val="0"/>
              <w:rPr>
                <w:rFonts w:cs="Arial"/>
                <w:color w:val="000000"/>
                <w:sz w:val="20"/>
                <w:szCs w:val="20"/>
              </w:rPr>
            </w:pPr>
            <w:r>
              <w:rPr>
                <w:rFonts w:cs="Arial"/>
                <w:color w:val="000000"/>
                <w:sz w:val="20"/>
                <w:szCs w:val="20"/>
              </w:rPr>
              <w:t>days</w:t>
            </w:r>
          </w:p>
        </w:tc>
        <w:tc>
          <w:tcPr>
            <w:tcW w:w="851" w:type="dxa"/>
            <w:shd w:val="clear" w:color="auto" w:fill="auto"/>
          </w:tcPr>
          <w:p w14:paraId="40E5639E" w14:textId="77777777" w:rsidR="00DD60C0" w:rsidRPr="00BB190F" w:rsidRDefault="00DD60C0" w:rsidP="00F23455">
            <w:pPr>
              <w:autoSpaceDE w:val="0"/>
              <w:autoSpaceDN w:val="0"/>
              <w:adjustRightInd w:val="0"/>
              <w:rPr>
                <w:rFonts w:cs="Arial"/>
                <w:bCs/>
                <w:color w:val="000000"/>
                <w:sz w:val="20"/>
                <w:szCs w:val="20"/>
              </w:rPr>
            </w:pPr>
          </w:p>
        </w:tc>
        <w:tc>
          <w:tcPr>
            <w:tcW w:w="3969" w:type="dxa"/>
            <w:shd w:val="clear" w:color="auto" w:fill="auto"/>
          </w:tcPr>
          <w:p w14:paraId="3B2B850E" w14:textId="77777777" w:rsidR="00DD60C0" w:rsidRPr="00BB190F" w:rsidRDefault="00DD60C0" w:rsidP="00F23455">
            <w:pPr>
              <w:contextualSpacing/>
              <w:rPr>
                <w:rFonts w:cs="Arial"/>
                <w:sz w:val="20"/>
                <w:szCs w:val="20"/>
                <w:lang w:val="en-GB" w:eastAsia="en-GB"/>
              </w:rPr>
            </w:pPr>
            <w:r w:rsidRPr="00BB190F">
              <w:rPr>
                <w:rFonts w:cs="Arial"/>
                <w:color w:val="000000"/>
                <w:sz w:val="20"/>
                <w:szCs w:val="20"/>
              </w:rPr>
              <w:t>Subtract ‘</w:t>
            </w:r>
            <w:r w:rsidRPr="00BB190F">
              <w:rPr>
                <w:rFonts w:cs="Arial"/>
                <w:bCs/>
                <w:color w:val="000000"/>
                <w:sz w:val="20"/>
                <w:szCs w:val="20"/>
              </w:rPr>
              <w:t xml:space="preserve">treatment acceptance date’ from </w:t>
            </w:r>
            <w:r w:rsidRPr="00BB190F">
              <w:rPr>
                <w:rFonts w:cs="Arial"/>
                <w:color w:val="000000"/>
                <w:sz w:val="20"/>
                <w:szCs w:val="20"/>
              </w:rPr>
              <w:t>‘datetime of service’, for PUCs with ‘treatment acceptance date’.</w:t>
            </w:r>
          </w:p>
        </w:tc>
        <w:tc>
          <w:tcPr>
            <w:tcW w:w="1134" w:type="dxa"/>
            <w:shd w:val="clear" w:color="auto" w:fill="auto"/>
          </w:tcPr>
          <w:p w14:paraId="0F9C5011" w14:textId="77777777" w:rsidR="00DD60C0" w:rsidRPr="00BB190F" w:rsidRDefault="00DD60C0" w:rsidP="00F23455">
            <w:pPr>
              <w:autoSpaceDE w:val="0"/>
              <w:autoSpaceDN w:val="0"/>
              <w:adjustRightInd w:val="0"/>
              <w:rPr>
                <w:rFonts w:cs="Arial"/>
                <w:bCs/>
                <w:color w:val="000000"/>
                <w:sz w:val="20"/>
                <w:szCs w:val="20"/>
              </w:rPr>
            </w:pPr>
          </w:p>
        </w:tc>
        <w:tc>
          <w:tcPr>
            <w:tcW w:w="1443" w:type="dxa"/>
            <w:shd w:val="clear" w:color="auto" w:fill="auto"/>
          </w:tcPr>
          <w:p w14:paraId="7AB857D1" w14:textId="77777777" w:rsidR="00DD60C0" w:rsidRPr="00BB190F" w:rsidRDefault="00DD60C0" w:rsidP="00F23455">
            <w:pPr>
              <w:autoSpaceDE w:val="0"/>
              <w:autoSpaceDN w:val="0"/>
              <w:adjustRightInd w:val="0"/>
              <w:rPr>
                <w:rFonts w:cs="Arial"/>
                <w:color w:val="000000"/>
                <w:sz w:val="20"/>
                <w:szCs w:val="20"/>
              </w:rPr>
            </w:pPr>
          </w:p>
        </w:tc>
      </w:tr>
      <w:tr w:rsidR="00DD60C0" w:rsidRPr="001C35DD" w14:paraId="63DB5C91" w14:textId="77777777" w:rsidTr="00CB5B9F">
        <w:trPr>
          <w:trHeight w:val="124"/>
          <w:tblHeader/>
        </w:trPr>
        <w:tc>
          <w:tcPr>
            <w:tcW w:w="1242" w:type="dxa"/>
            <w:shd w:val="clear" w:color="auto" w:fill="auto"/>
          </w:tcPr>
          <w:p w14:paraId="67ED7826" w14:textId="77777777" w:rsidR="00DD60C0" w:rsidRPr="009562A7" w:rsidRDefault="00DD60C0" w:rsidP="00F23455">
            <w:pPr>
              <w:autoSpaceDE w:val="0"/>
              <w:autoSpaceDN w:val="0"/>
              <w:adjustRightInd w:val="0"/>
              <w:rPr>
                <w:rFonts w:cs="Arial"/>
                <w:bCs/>
                <w:color w:val="000000"/>
                <w:sz w:val="20"/>
                <w:szCs w:val="20"/>
              </w:rPr>
            </w:pPr>
            <w:r w:rsidRPr="00171E81">
              <w:rPr>
                <w:rFonts w:cs="Arial"/>
                <w:bCs/>
                <w:color w:val="000000"/>
                <w:sz w:val="20"/>
                <w:szCs w:val="20"/>
              </w:rPr>
              <w:t>c</w:t>
            </w:r>
            <w:r w:rsidRPr="009562A7">
              <w:rPr>
                <w:rFonts w:cs="Arial"/>
                <w:bCs/>
                <w:color w:val="000000"/>
                <w:sz w:val="20"/>
                <w:szCs w:val="20"/>
              </w:rPr>
              <w:t>linical indication PGD</w:t>
            </w:r>
          </w:p>
        </w:tc>
        <w:tc>
          <w:tcPr>
            <w:tcW w:w="992" w:type="dxa"/>
            <w:shd w:val="clear" w:color="auto" w:fill="auto"/>
          </w:tcPr>
          <w:p w14:paraId="1C2747D6" w14:textId="77777777" w:rsidR="00DD60C0" w:rsidRPr="009562A7" w:rsidRDefault="00DD60C0" w:rsidP="00F23455">
            <w:pPr>
              <w:autoSpaceDE w:val="0"/>
              <w:autoSpaceDN w:val="0"/>
              <w:adjustRightInd w:val="0"/>
              <w:rPr>
                <w:rFonts w:cs="Arial"/>
                <w:color w:val="000000"/>
                <w:sz w:val="20"/>
                <w:szCs w:val="20"/>
              </w:rPr>
            </w:pPr>
            <w:r>
              <w:rPr>
                <w:rFonts w:cs="Arial"/>
                <w:color w:val="000000"/>
                <w:sz w:val="20"/>
                <w:szCs w:val="20"/>
              </w:rPr>
              <w:t>Free text</w:t>
            </w:r>
          </w:p>
        </w:tc>
        <w:tc>
          <w:tcPr>
            <w:tcW w:w="851" w:type="dxa"/>
            <w:shd w:val="clear" w:color="auto" w:fill="auto"/>
          </w:tcPr>
          <w:p w14:paraId="29FBA427" w14:textId="77777777" w:rsidR="00DD60C0" w:rsidRPr="00BB190F" w:rsidRDefault="00DD60C0" w:rsidP="00F23455">
            <w:pPr>
              <w:autoSpaceDE w:val="0"/>
              <w:autoSpaceDN w:val="0"/>
              <w:adjustRightInd w:val="0"/>
              <w:rPr>
                <w:rFonts w:cs="Arial"/>
                <w:bCs/>
                <w:color w:val="000000"/>
                <w:sz w:val="20"/>
                <w:szCs w:val="20"/>
              </w:rPr>
            </w:pPr>
          </w:p>
        </w:tc>
        <w:tc>
          <w:tcPr>
            <w:tcW w:w="3969" w:type="dxa"/>
            <w:shd w:val="clear" w:color="auto" w:fill="auto"/>
          </w:tcPr>
          <w:p w14:paraId="35D5239E" w14:textId="77777777" w:rsidR="00DD60C0" w:rsidRPr="009562A7" w:rsidRDefault="00DD60C0" w:rsidP="00F23455">
            <w:pPr>
              <w:contextualSpacing/>
              <w:rPr>
                <w:rFonts w:cs="Arial"/>
                <w:color w:val="000000"/>
                <w:sz w:val="20"/>
                <w:szCs w:val="20"/>
              </w:rPr>
            </w:pPr>
            <w:r w:rsidRPr="00BB190F">
              <w:rPr>
                <w:rFonts w:cs="Arial"/>
                <w:sz w:val="20"/>
                <w:szCs w:val="20"/>
                <w:lang w:val="en-GB" w:eastAsia="en-GB"/>
              </w:rPr>
              <w:t>Report clinical indication for each PGD cycle, for PUC FS02003</w:t>
            </w:r>
            <w:r w:rsidRPr="00171E81">
              <w:rPr>
                <w:rFonts w:cs="Arial"/>
                <w:sz w:val="20"/>
                <w:szCs w:val="20"/>
                <w:lang w:val="en-GB" w:eastAsia="en-GB"/>
              </w:rPr>
              <w:t xml:space="preserve">- PGD </w:t>
            </w:r>
            <w:r w:rsidRPr="009562A7">
              <w:rPr>
                <w:rFonts w:cs="Arial"/>
                <w:sz w:val="20"/>
                <w:szCs w:val="20"/>
                <w:lang w:val="en-GB" w:eastAsia="en-GB"/>
              </w:rPr>
              <w:t>biopsy and testing.</w:t>
            </w:r>
          </w:p>
        </w:tc>
        <w:tc>
          <w:tcPr>
            <w:tcW w:w="1134" w:type="dxa"/>
            <w:shd w:val="clear" w:color="auto" w:fill="auto"/>
          </w:tcPr>
          <w:p w14:paraId="4CC427C2" w14:textId="77777777" w:rsidR="00DD60C0" w:rsidRPr="00BB190F" w:rsidRDefault="00DD60C0" w:rsidP="00F23455">
            <w:pPr>
              <w:autoSpaceDE w:val="0"/>
              <w:autoSpaceDN w:val="0"/>
              <w:adjustRightInd w:val="0"/>
              <w:rPr>
                <w:rFonts w:cs="Arial"/>
                <w:bCs/>
                <w:color w:val="000000"/>
                <w:sz w:val="20"/>
                <w:szCs w:val="20"/>
              </w:rPr>
            </w:pPr>
          </w:p>
        </w:tc>
        <w:tc>
          <w:tcPr>
            <w:tcW w:w="1443" w:type="dxa"/>
            <w:shd w:val="clear" w:color="auto" w:fill="auto"/>
          </w:tcPr>
          <w:p w14:paraId="1C3622A2" w14:textId="77777777" w:rsidR="00DD60C0" w:rsidRPr="00BB190F" w:rsidRDefault="00DD60C0" w:rsidP="00F23455">
            <w:pPr>
              <w:autoSpaceDE w:val="0"/>
              <w:autoSpaceDN w:val="0"/>
              <w:adjustRightInd w:val="0"/>
              <w:rPr>
                <w:rFonts w:cs="Arial"/>
                <w:color w:val="000000"/>
                <w:sz w:val="20"/>
                <w:szCs w:val="20"/>
              </w:rPr>
            </w:pPr>
          </w:p>
        </w:tc>
      </w:tr>
    </w:tbl>
    <w:p w14:paraId="717B1DF5" w14:textId="77777777" w:rsidR="000E4247" w:rsidRPr="003E3F96" w:rsidRDefault="000E4247" w:rsidP="00495039">
      <w:pPr>
        <w:pStyle w:val="ListParagraph"/>
        <w:numPr>
          <w:ilvl w:val="0"/>
          <w:numId w:val="0"/>
        </w:numPr>
        <w:ind w:left="720"/>
        <w:rPr>
          <w:rFonts w:cs="Arial"/>
          <w:sz w:val="22"/>
          <w:szCs w:val="22"/>
        </w:rPr>
      </w:pPr>
    </w:p>
    <w:sectPr w:rsidR="000E4247" w:rsidRPr="003E3F96" w:rsidSect="002F09AE">
      <w:headerReference w:type="even" r:id="rId14"/>
      <w:headerReference w:type="default" r:id="rId15"/>
      <w:footerReference w:type="default" r:id="rId16"/>
      <w:headerReference w:type="first" r:id="rId17"/>
      <w:pgSz w:w="11907" w:h="16840" w:code="9"/>
      <w:pgMar w:top="1134" w:right="1134" w:bottom="1134" w:left="1134" w:header="567" w:footer="720" w:gutter="0"/>
      <w:paperSrc w:first="257" w:other="257"/>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57C3A" w16cid:durableId="1EB01D8B"/>
  <w16cid:commentId w16cid:paraId="42D4893E" w16cid:durableId="1EB01C3E"/>
  <w16cid:commentId w16cid:paraId="5B61E121" w16cid:durableId="1EB01CD8"/>
  <w16cid:commentId w16cid:paraId="14F7D9F9" w16cid:durableId="1EB01C3F"/>
  <w16cid:commentId w16cid:paraId="043C0BF2" w16cid:durableId="1EB01E28"/>
  <w16cid:commentId w16cid:paraId="1F6F4BA5" w16cid:durableId="1EB01ED4"/>
  <w16cid:commentId w16cid:paraId="7A1D314A" w16cid:durableId="1EB01C40"/>
  <w16cid:commentId w16cid:paraId="01D51C75" w16cid:durableId="1EB0213A"/>
  <w16cid:commentId w16cid:paraId="53066C33" w16cid:durableId="1EB01C41"/>
  <w16cid:commentId w16cid:paraId="2280E13F" w16cid:durableId="1EB01C42"/>
  <w16cid:commentId w16cid:paraId="7CB6F861" w16cid:durableId="1EB01C43"/>
  <w16cid:commentId w16cid:paraId="21336B5D" w16cid:durableId="1EB02273"/>
  <w16cid:commentId w16cid:paraId="0602AB44" w16cid:durableId="1EB023BF"/>
  <w16cid:commentId w16cid:paraId="4828B8BB" w16cid:durableId="1EB02426"/>
  <w16cid:commentId w16cid:paraId="224F997A" w16cid:durableId="1EB024F8"/>
  <w16cid:commentId w16cid:paraId="4E61441A" w16cid:durableId="1EB02605"/>
  <w16cid:commentId w16cid:paraId="2755ECDB" w16cid:durableId="1EB0263E"/>
  <w16cid:commentId w16cid:paraId="6A227BF4" w16cid:durableId="1EB02715"/>
  <w16cid:commentId w16cid:paraId="5090C587" w16cid:durableId="1EB0276D"/>
  <w16cid:commentId w16cid:paraId="034802BC" w16cid:durableId="1EB02777"/>
  <w16cid:commentId w16cid:paraId="372AC2BB" w16cid:durableId="1EB0288F"/>
  <w16cid:commentId w16cid:paraId="41703122" w16cid:durableId="1EB0295E"/>
  <w16cid:commentId w16cid:paraId="05D36081" w16cid:durableId="1EB029AD"/>
  <w16cid:commentId w16cid:paraId="58826437" w16cid:durableId="1EB029C3"/>
  <w16cid:commentId w16cid:paraId="3373C51F" w16cid:durableId="1EB02A76"/>
  <w16cid:commentId w16cid:paraId="308978C5" w16cid:durableId="1EB02BC8"/>
  <w16cid:commentId w16cid:paraId="5FC311B3" w16cid:durableId="1EB02CF1"/>
  <w16cid:commentId w16cid:paraId="695B0FB9" w16cid:durableId="1EB02C34"/>
  <w16cid:commentId w16cid:paraId="2B270D53" w16cid:durableId="1EB02C79"/>
  <w16cid:commentId w16cid:paraId="232F0EC9" w16cid:durableId="1EB02CA1"/>
  <w16cid:commentId w16cid:paraId="38B91283" w16cid:durableId="1EB02E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AE71" w14:textId="77777777" w:rsidR="001A0B0E" w:rsidRDefault="001A0B0E" w:rsidP="00EE0746">
      <w:r>
        <w:separator/>
      </w:r>
    </w:p>
  </w:endnote>
  <w:endnote w:type="continuationSeparator" w:id="0">
    <w:p w14:paraId="4D038F0F" w14:textId="77777777" w:rsidR="001A0B0E" w:rsidRDefault="001A0B0E" w:rsidP="00EE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DE03" w14:textId="77777777" w:rsidR="003C53FE" w:rsidRPr="00874B1B" w:rsidRDefault="003C53FE" w:rsidP="00A47006">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FBB7" w14:textId="77777777" w:rsidR="003C53FE" w:rsidRDefault="003C53FE" w:rsidP="00875C03">
    <w:pPr>
      <w:pStyle w:val="Footer"/>
      <w:pBdr>
        <w:top w:val="single" w:sz="4" w:space="1" w:color="auto"/>
      </w:pBdr>
      <w:spacing w:before="0" w:after="0"/>
      <w:rPr>
        <w:sz w:val="20"/>
      </w:rPr>
    </w:pPr>
    <w:r>
      <w:rPr>
        <w:rFonts w:cs="Arial"/>
        <w:sz w:val="20"/>
      </w:rPr>
      <w:t xml:space="preserve">Tier two </w:t>
    </w:r>
    <w:r w:rsidRPr="004503B3">
      <w:rPr>
        <w:rFonts w:cs="Arial"/>
        <w:sz w:val="20"/>
      </w:rPr>
      <w:t>Assisted Reproductive Technology Services</w:t>
    </w:r>
    <w:r w:rsidRPr="00B8677A">
      <w:rPr>
        <w:rFonts w:cs="Arial"/>
      </w:rPr>
      <w:t xml:space="preserve"> </w:t>
    </w:r>
    <w:r>
      <w:rPr>
        <w:sz w:val="20"/>
      </w:rPr>
      <w:t>service specification September 2018</w:t>
    </w:r>
  </w:p>
  <w:p w14:paraId="38615207" w14:textId="77777777" w:rsidR="003C53FE" w:rsidRPr="00874B1B" w:rsidRDefault="003C53FE" w:rsidP="00875C03">
    <w:pPr>
      <w:pStyle w:val="Footer"/>
      <w:tabs>
        <w:tab w:val="left" w:pos="4860"/>
      </w:tabs>
      <w:spacing w:before="0" w:after="0"/>
      <w:rPr>
        <w:sz w:val="20"/>
      </w:rPr>
    </w:pPr>
    <w:r>
      <w:rPr>
        <w:sz w:val="20"/>
      </w:rPr>
      <w:t>Nationwide Service Framework</w:t>
    </w:r>
    <w:r>
      <w:rPr>
        <w:sz w:val="20"/>
      </w:rPr>
      <w:tab/>
    </w:r>
    <w:r>
      <w:rPr>
        <w:sz w:val="20"/>
      </w:rPr>
      <w:tab/>
    </w:r>
    <w:r>
      <w:rPr>
        <w:sz w:val="20"/>
      </w:rPr>
      <w:tab/>
    </w:r>
    <w:r>
      <w:rPr>
        <w:sz w:val="20"/>
      </w:rPr>
      <w:tab/>
    </w:r>
    <w:r>
      <w:rPr>
        <w:sz w:val="20"/>
      </w:rPr>
      <w:tab/>
    </w:r>
    <w:r>
      <w:rPr>
        <w:sz w:val="20"/>
      </w:rPr>
      <w:fldChar w:fldCharType="begin"/>
    </w:r>
    <w:r>
      <w:rPr>
        <w:sz w:val="20"/>
      </w:rPr>
      <w:instrText xml:space="preserve"> PAGE  \* Arabic  \* MERGEFORMAT </w:instrText>
    </w:r>
    <w:r>
      <w:rPr>
        <w:sz w:val="20"/>
      </w:rPr>
      <w:fldChar w:fldCharType="separate"/>
    </w:r>
    <w:r w:rsidR="005567B2">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4E54" w14:textId="77777777" w:rsidR="001A0B0E" w:rsidRDefault="001A0B0E" w:rsidP="00EE0746">
      <w:r>
        <w:separator/>
      </w:r>
    </w:p>
  </w:footnote>
  <w:footnote w:type="continuationSeparator" w:id="0">
    <w:p w14:paraId="54710EB3" w14:textId="77777777" w:rsidR="001A0B0E" w:rsidRDefault="001A0B0E" w:rsidP="00EE0746">
      <w:r>
        <w:continuationSeparator/>
      </w:r>
    </w:p>
  </w:footnote>
  <w:footnote w:id="1">
    <w:p w14:paraId="7D54B0FB" w14:textId="77777777" w:rsidR="003C53FE" w:rsidRDefault="003C53FE" w:rsidP="0037455E">
      <w:pPr>
        <w:pStyle w:val="FootnoteText"/>
        <w:spacing w:before="0" w:after="0"/>
      </w:pPr>
      <w:r>
        <w:rPr>
          <w:rStyle w:val="FootnoteReference"/>
        </w:rPr>
        <w:footnoteRef/>
      </w:r>
      <w:r>
        <w:t xml:space="preserve"> Human Assisted Reproductive Technology (HART) Act 2004: link </w:t>
      </w:r>
      <w:hyperlink r:id="rId1" w:history="1">
        <w:r w:rsidRPr="004F3790">
          <w:rPr>
            <w:rStyle w:val="Hyperlink"/>
          </w:rPr>
          <w:t>http://www.legislation.govt.nz/act/public/2004/0092/latest/whole.htmlhttp:/www.legislation.govt.nz/act/public/2004/0092/latest/whole.html</w:t>
        </w:r>
      </w:hyperlink>
    </w:p>
  </w:footnote>
  <w:footnote w:id="2">
    <w:p w14:paraId="35169481" w14:textId="77777777" w:rsidR="003C53FE" w:rsidRDefault="003C53FE" w:rsidP="0037455E">
      <w:pPr>
        <w:pStyle w:val="FootnoteText"/>
        <w:spacing w:before="0" w:after="0"/>
      </w:pPr>
      <w:r>
        <w:rPr>
          <w:rStyle w:val="FootnoteReference"/>
        </w:rPr>
        <w:footnoteRef/>
      </w:r>
      <w:r>
        <w:t xml:space="preserve"> Fertility Preservation for People with Cancer A New Zealand Guideline: </w:t>
      </w:r>
      <w:r w:rsidRPr="007473DA">
        <w:t>www.starship.org.nz/media/261297/fertility-preservation-for-people-with-cancer-dec-2017.pdf</w:t>
      </w:r>
    </w:p>
  </w:footnote>
  <w:footnote w:id="3">
    <w:p w14:paraId="3E4BF480" w14:textId="77777777" w:rsidR="003C53FE" w:rsidRDefault="003C53FE" w:rsidP="0099766C">
      <w:pPr>
        <w:pStyle w:val="FootnoteText"/>
        <w:spacing w:before="0" w:after="0"/>
      </w:pPr>
      <w:r>
        <w:rPr>
          <w:rStyle w:val="FootnoteReference"/>
        </w:rPr>
        <w:footnoteRef/>
      </w:r>
      <w:r>
        <w:t xml:space="preserve"> </w:t>
      </w:r>
      <w:r w:rsidRPr="00F04B47">
        <w:rPr>
          <w:rFonts w:cs="Arial"/>
        </w:rPr>
        <w:t>Being eligible gives a person a right to be considered for publicly funded health or disability services. It is not an entitlement to receive any particular service. Individuals need to meet certain clinical and other assessment criteria to receive services</w:t>
      </w:r>
      <w:r>
        <w:rPr>
          <w:rFonts w:cs="Arial"/>
        </w:rPr>
        <w:t>.</w:t>
      </w:r>
      <w:r w:rsidRPr="00F04B47">
        <w:rPr>
          <w:rFonts w:cs="Arial"/>
        </w:rPr>
        <w:t xml:space="preserve"> </w:t>
      </w:r>
      <w:r w:rsidRPr="00E8632F">
        <w:rPr>
          <w:rFonts w:cs="Arial"/>
          <w:szCs w:val="20"/>
          <w:lang w:val="en-AU"/>
        </w:rPr>
        <w:t xml:space="preserve">The eligibility criteria for publicly funded health and disability services are prescribed by Ministerial Direction.  Refer to </w:t>
      </w:r>
      <w:hyperlink r:id="rId2" w:history="1">
        <w:r w:rsidRPr="004F3790">
          <w:rPr>
            <w:rStyle w:val="Hyperlink"/>
            <w:rFonts w:cs="Arial"/>
            <w:szCs w:val="20"/>
            <w:lang w:val="en-AU"/>
          </w:rPr>
          <w:t>http://www.health.govt.nz/new-zealand-health-system/eligibility-publicly-funded-health-services/guide-eligibility-publicly-funded-health-services</w:t>
        </w:r>
      </w:hyperlink>
      <w:r w:rsidRPr="00E8632F">
        <w:rPr>
          <w:rFonts w:cs="Arial"/>
          <w:szCs w:val="20"/>
          <w:lang w:val="en-AU"/>
        </w:rPr>
        <w:t xml:space="preserve"> for information on the latest eligibility criteria.</w:t>
      </w:r>
    </w:p>
  </w:footnote>
  <w:footnote w:id="4">
    <w:p w14:paraId="02EFB1F6" w14:textId="77777777" w:rsidR="003C53FE" w:rsidRDefault="003C53FE" w:rsidP="00CD6E42">
      <w:pPr>
        <w:pStyle w:val="Default"/>
      </w:pPr>
      <w:r>
        <w:rPr>
          <w:rStyle w:val="FootnoteReference"/>
        </w:rPr>
        <w:footnoteRef/>
      </w:r>
      <w:r>
        <w:t xml:space="preserve"> </w:t>
      </w:r>
      <w:r>
        <w:rPr>
          <w:sz w:val="20"/>
          <w:szCs w:val="20"/>
        </w:rPr>
        <w:t>Examples of known cause of infertility for early referral include: a</w:t>
      </w:r>
      <w:r w:rsidRPr="006D5123">
        <w:rPr>
          <w:sz w:val="20"/>
          <w:szCs w:val="20"/>
        </w:rPr>
        <w:t>novulation or very irregular periods (&lt;20 or &gt;42 days)</w:t>
      </w:r>
      <w:r>
        <w:rPr>
          <w:sz w:val="20"/>
          <w:szCs w:val="20"/>
        </w:rPr>
        <w:t>,</w:t>
      </w:r>
      <w:r w:rsidRPr="006D5123">
        <w:rPr>
          <w:sz w:val="20"/>
          <w:szCs w:val="20"/>
        </w:rPr>
        <w:t xml:space="preserve"> </w:t>
      </w:r>
      <w:r>
        <w:rPr>
          <w:sz w:val="20"/>
          <w:szCs w:val="20"/>
        </w:rPr>
        <w:t xml:space="preserve">significant </w:t>
      </w:r>
      <w:r w:rsidRPr="006D5123">
        <w:rPr>
          <w:sz w:val="20"/>
          <w:szCs w:val="20"/>
        </w:rPr>
        <w:t xml:space="preserve">tubal </w:t>
      </w:r>
      <w:r>
        <w:rPr>
          <w:sz w:val="20"/>
          <w:szCs w:val="20"/>
        </w:rPr>
        <w:t>damage,</w:t>
      </w:r>
      <w:r w:rsidRPr="006D5123">
        <w:rPr>
          <w:sz w:val="20"/>
          <w:szCs w:val="20"/>
        </w:rPr>
        <w:t xml:space="preserve"> </w:t>
      </w:r>
      <w:r>
        <w:rPr>
          <w:sz w:val="20"/>
          <w:szCs w:val="20"/>
        </w:rPr>
        <w:t>s</w:t>
      </w:r>
      <w:r w:rsidRPr="006D5123">
        <w:rPr>
          <w:sz w:val="20"/>
          <w:szCs w:val="20"/>
        </w:rPr>
        <w:t>evere endometriosis</w:t>
      </w:r>
      <w:r>
        <w:rPr>
          <w:sz w:val="20"/>
          <w:szCs w:val="20"/>
        </w:rPr>
        <w:t xml:space="preserve">, severe male infertility </w:t>
      </w:r>
    </w:p>
  </w:footnote>
  <w:footnote w:id="5">
    <w:p w14:paraId="408AED94" w14:textId="77777777" w:rsidR="003C53FE" w:rsidRDefault="003C53FE" w:rsidP="008C2524">
      <w:pPr>
        <w:pStyle w:val="FootnoteText"/>
        <w:spacing w:before="0" w:after="0"/>
      </w:pPr>
      <w:r>
        <w:rPr>
          <w:rStyle w:val="FootnoteReference"/>
        </w:rPr>
        <w:footnoteRef/>
      </w:r>
      <w:r>
        <w:t xml:space="preserve"> The web based prioritisation tool for assisted reproductive technology is published on the National prioritisation website (password required for clinicians and administrators): www.</w:t>
      </w:r>
      <w:r w:rsidRPr="00DA7D26">
        <w:t>npi.1000minds.com/</w:t>
      </w:r>
    </w:p>
  </w:footnote>
  <w:footnote w:id="6">
    <w:p w14:paraId="2CC91DFC" w14:textId="77777777" w:rsidR="003C53FE" w:rsidRDefault="003C53FE" w:rsidP="001B32EA">
      <w:pPr>
        <w:pStyle w:val="FootnoteText"/>
        <w:spacing w:before="0" w:after="0"/>
      </w:pPr>
      <w:r>
        <w:rPr>
          <w:rStyle w:val="FootnoteReference"/>
        </w:rPr>
        <w:footnoteRef/>
      </w:r>
      <w:r>
        <w:t xml:space="preserve"> T</w:t>
      </w:r>
      <w:r>
        <w:rPr>
          <w:rFonts w:cs="Arial"/>
        </w:rPr>
        <w:t>o avoid transmission of familial genetic disorders as described in the Human Assisted Reproductive Technology Order 2005.</w:t>
      </w:r>
    </w:p>
  </w:footnote>
  <w:footnote w:id="7">
    <w:p w14:paraId="3A902783" w14:textId="77777777" w:rsidR="003C53FE" w:rsidRDefault="003C53FE" w:rsidP="001B32EA">
      <w:pPr>
        <w:pStyle w:val="FootnoteText"/>
        <w:spacing w:before="0" w:after="0"/>
      </w:pPr>
      <w:r>
        <w:rPr>
          <w:rStyle w:val="FootnoteReference"/>
        </w:rPr>
        <w:footnoteRef/>
      </w:r>
      <w:r>
        <w:t xml:space="preserve"> The Advisory Committee on Assisted Reproductive Technology publish guidelines and advice, </w:t>
      </w:r>
      <w:hyperlink r:id="rId3" w:history="1">
        <w:r w:rsidRPr="00581CDD">
          <w:rPr>
            <w:rStyle w:val="Hyperlink"/>
          </w:rPr>
          <w:t>http://acart.health.govt.nz/publications-and-resources</w:t>
        </w:r>
      </w:hyperlink>
      <w:r>
        <w:t xml:space="preserve">. </w:t>
      </w:r>
      <w:r>
        <w:rPr>
          <w:color w:val="000000"/>
          <w:sz w:val="19"/>
          <w:szCs w:val="19"/>
          <w:lang w:val="en"/>
        </w:rPr>
        <w:t xml:space="preserve">There are applications of PGD that are established procedures under the Human Assisted Reproductive Technology Order 2005 also see </w:t>
      </w:r>
      <w:r w:rsidRPr="00D1741C">
        <w:t xml:space="preserve">Guidelines on Preimplantation Genetic Diagnosis </w:t>
      </w:r>
      <w:r>
        <w:t xml:space="preserve">with Human Leucocyte Antigen Tissue Typing </w:t>
      </w:r>
      <w:r w:rsidRPr="00D1741C">
        <w:t>published 20</w:t>
      </w:r>
      <w:r>
        <w:t>14</w:t>
      </w:r>
      <w:r w:rsidRPr="00D1741C">
        <w:t xml:space="preserve">. </w:t>
      </w:r>
      <w:hyperlink r:id="rId4" w:history="1">
        <w:r w:rsidRPr="003C5138">
          <w:rPr>
            <w:rStyle w:val="Hyperlink"/>
          </w:rPr>
          <w:t>http://acart.health.govt.nz/publications-and-resources/guidelines-and-advice-issued-ecart/guidelines-preimplantation-genetic-0.</w:t>
        </w:r>
      </w:hyperlink>
    </w:p>
  </w:footnote>
  <w:footnote w:id="8">
    <w:p w14:paraId="474893B2" w14:textId="77777777" w:rsidR="003C53FE" w:rsidRDefault="003C53FE" w:rsidP="00220DCD">
      <w:pPr>
        <w:pStyle w:val="FootnoteText"/>
        <w:spacing w:before="0" w:after="0"/>
      </w:pPr>
      <w:r>
        <w:rPr>
          <w:rStyle w:val="FootnoteReference"/>
        </w:rPr>
        <w:footnoteRef/>
      </w:r>
      <w:r>
        <w:t xml:space="preserve"> Refer to </w:t>
      </w:r>
      <w:r w:rsidRPr="00DF176E">
        <w:t>Fertility Preservation Guidelines for People with Cancer</w:t>
      </w:r>
      <w:r>
        <w:t>:</w:t>
      </w:r>
      <w:r w:rsidRPr="00DF176E">
        <w:t xml:space="preserve"> a New Zealand Guideline.</w:t>
      </w:r>
      <w:r>
        <w:t xml:space="preserve"> </w:t>
      </w:r>
      <w:r w:rsidRPr="00615076">
        <w:t>www.starship.org.nz/media/261297/fertility_preservation_for_people_with_cancer_-__a_new_zealand_guideline_april_2014final.pdf</w:t>
      </w:r>
    </w:p>
  </w:footnote>
  <w:footnote w:id="9">
    <w:p w14:paraId="4656FBF7" w14:textId="77777777" w:rsidR="003C53FE" w:rsidRDefault="003C53FE" w:rsidP="00E76338">
      <w:pPr>
        <w:autoSpaceDE w:val="0"/>
        <w:autoSpaceDN w:val="0"/>
        <w:adjustRightInd w:val="0"/>
        <w:spacing w:before="0" w:after="0"/>
        <w:rPr>
          <w:rFonts w:cs="Arial"/>
          <w:color w:val="000000"/>
          <w:sz w:val="20"/>
          <w:szCs w:val="20"/>
        </w:rPr>
      </w:pPr>
      <w:r>
        <w:rPr>
          <w:rStyle w:val="FootnoteReference"/>
        </w:rPr>
        <w:footnoteRef/>
      </w:r>
      <w:r>
        <w:t xml:space="preserve"> </w:t>
      </w:r>
      <w:r>
        <w:rPr>
          <w:rFonts w:cs="Arial"/>
          <w:color w:val="000000"/>
          <w:sz w:val="20"/>
          <w:szCs w:val="20"/>
        </w:rPr>
        <w:t xml:space="preserve">The Human Assisted Reproductive Technology Act (the HART Act) amended in 2010 to clarify provisions relating to the storage and extending storage of gametes and embryos beyond the original 10-year limit. See ECART’s guidelines issued by ACART, on the extended storage of gametes and embryos, to enable applications to ECART to extend the period of storage. </w:t>
      </w:r>
      <w:hyperlink r:id="rId5" w:history="1">
        <w:r>
          <w:rPr>
            <w:rStyle w:val="Hyperlink"/>
            <w:rFonts w:cs="Arial"/>
            <w:sz w:val="20"/>
            <w:szCs w:val="20"/>
          </w:rPr>
          <w:t>www.</w:t>
        </w:r>
        <w:r w:rsidRPr="002405C1">
          <w:rPr>
            <w:rStyle w:val="Hyperlink"/>
            <w:rFonts w:cs="Arial"/>
            <w:sz w:val="20"/>
            <w:szCs w:val="20"/>
          </w:rPr>
          <w:t>acart.health.govt.nz/system/files/documents/publications/acart-guidelines-extending-storage-gametes-embryos-2012.pdf</w:t>
        </w:r>
      </w:hyperlink>
    </w:p>
    <w:p w14:paraId="120D0694" w14:textId="77777777" w:rsidR="003C53FE" w:rsidRDefault="003C53FE" w:rsidP="00E76338">
      <w:pPr>
        <w:autoSpaceDE w:val="0"/>
        <w:autoSpaceDN w:val="0"/>
        <w:adjustRightInd w:val="0"/>
        <w:spacing w:before="0" w:after="0"/>
      </w:pPr>
      <w:r w:rsidRPr="00B70389">
        <w:rPr>
          <w:rFonts w:cs="Arial"/>
          <w:color w:val="000000"/>
          <w:sz w:val="20"/>
          <w:szCs w:val="20"/>
        </w:rPr>
        <w:t xml:space="preserve">ECART Application Forms: </w:t>
      </w:r>
      <w:r>
        <w:rPr>
          <w:rFonts w:cs="Arial"/>
          <w:color w:val="000000"/>
          <w:sz w:val="20"/>
          <w:szCs w:val="20"/>
        </w:rPr>
        <w:t>www.</w:t>
      </w:r>
      <w:r w:rsidRPr="00B70389">
        <w:rPr>
          <w:rFonts w:cs="Arial"/>
          <w:color w:val="000000"/>
          <w:sz w:val="20"/>
          <w:szCs w:val="20"/>
        </w:rPr>
        <w:t>ecart.health.govt.nz/publications-and-resources/application-forms</w:t>
      </w:r>
    </w:p>
  </w:footnote>
  <w:footnote w:id="10">
    <w:p w14:paraId="18C2190F" w14:textId="77777777" w:rsidR="003C53FE" w:rsidRDefault="003C53FE" w:rsidP="00410181">
      <w:pPr>
        <w:pStyle w:val="FootnoteText"/>
      </w:pPr>
      <w:r>
        <w:rPr>
          <w:rStyle w:val="FootnoteReference"/>
        </w:rPr>
        <w:footnoteRef/>
      </w:r>
      <w:r>
        <w:t xml:space="preserve"> Refer to the HART Act.</w:t>
      </w:r>
    </w:p>
  </w:footnote>
  <w:footnote w:id="11">
    <w:p w14:paraId="69481E40" w14:textId="77777777" w:rsidR="003C53FE" w:rsidRDefault="003C53FE">
      <w:pPr>
        <w:pStyle w:val="FootnoteText"/>
      </w:pPr>
      <w:r>
        <w:rPr>
          <w:rStyle w:val="FootnoteReference"/>
        </w:rPr>
        <w:footnoteRef/>
      </w:r>
      <w:r>
        <w:t xml:space="preserve"> </w:t>
      </w:r>
      <w:r w:rsidRPr="00263824">
        <w:t>acart.health.govt.nz/publications-and-resources/guidelines-and-advice-issued-ecart/guidelines-preimplantation-genetic-0</w:t>
      </w:r>
    </w:p>
  </w:footnote>
  <w:footnote w:id="12">
    <w:p w14:paraId="0EBD7A3C" w14:textId="77777777" w:rsidR="003C53FE" w:rsidRDefault="003C53FE" w:rsidP="009D0177">
      <w:pPr>
        <w:pStyle w:val="FootnoteText"/>
      </w:pPr>
      <w:r>
        <w:rPr>
          <w:rStyle w:val="FootnoteReference"/>
        </w:rPr>
        <w:footnoteRef/>
      </w:r>
      <w:r>
        <w:t xml:space="preserve"> </w:t>
      </w:r>
      <w:r w:rsidRPr="00263824">
        <w:t>www.standards.govt.nz/sponsored-standards/health-care-services-standards/?utm_source=MoH&amp;utm_medium=weblink&amp;utm_campaign=HealthStandards</w:t>
      </w:r>
    </w:p>
  </w:footnote>
  <w:footnote w:id="13">
    <w:p w14:paraId="16070260" w14:textId="77777777" w:rsidR="003C53FE" w:rsidRDefault="003C53FE" w:rsidP="00F93079">
      <w:pPr>
        <w:pStyle w:val="FootnoteText"/>
      </w:pPr>
      <w:r>
        <w:rPr>
          <w:rStyle w:val="FootnoteReference"/>
        </w:rPr>
        <w:footnoteRef/>
      </w:r>
      <w:r>
        <w:t xml:space="preserve"> The Operational Policy framework is updated annually refer to </w:t>
      </w:r>
      <w:hyperlink r:id="rId6" w:history="1">
        <w:r w:rsidRPr="00B210F5">
          <w:rPr>
            <w:rStyle w:val="Hyperlink"/>
          </w:rPr>
          <w:t>www.nsfl.health.govt.nz/apps/nsfl.nsf/menumh/Accountability+Documents</w:t>
        </w:r>
      </w:hyperlink>
    </w:p>
  </w:footnote>
  <w:footnote w:id="14">
    <w:p w14:paraId="25F2E7A8" w14:textId="77777777" w:rsidR="003C53FE" w:rsidRDefault="003C53FE" w:rsidP="0037455E">
      <w:pPr>
        <w:pStyle w:val="FootnoteText"/>
        <w:spacing w:before="0" w:after="0"/>
      </w:pPr>
      <w:r>
        <w:rPr>
          <w:rStyle w:val="FootnoteReference"/>
        </w:rPr>
        <w:footnoteRef/>
      </w:r>
      <w:r>
        <w:t xml:space="preserve"> </w:t>
      </w:r>
      <w:r w:rsidRPr="00A36E28">
        <w:rPr>
          <w:rFonts w:cs="Arial"/>
        </w:rPr>
        <w:t>www.ianz.govt.nz/about/about-ianz/</w:t>
      </w:r>
    </w:p>
  </w:footnote>
  <w:footnote w:id="15">
    <w:p w14:paraId="72ADD625" w14:textId="77777777" w:rsidR="003C53FE" w:rsidRDefault="003C53FE">
      <w:pPr>
        <w:pStyle w:val="FootnoteText"/>
      </w:pPr>
      <w:r>
        <w:rPr>
          <w:rStyle w:val="FootnoteReference"/>
        </w:rPr>
        <w:footnoteRef/>
      </w:r>
      <w:r>
        <w:t xml:space="preserve"> www.</w:t>
      </w:r>
      <w:r w:rsidRPr="00263824">
        <w:t>nsfl.health.govt.nz/purchase-units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EA58B" w14:textId="77777777" w:rsidR="003C53FE" w:rsidRDefault="003C5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F9AC" w14:textId="77777777" w:rsidR="003C53FE" w:rsidRPr="004C11CB" w:rsidRDefault="003C53FE" w:rsidP="00AF2011">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61C1" w14:textId="77777777" w:rsidR="003C53FE" w:rsidRDefault="003C5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6B6AA5C"/>
    <w:lvl w:ilvl="0">
      <w:start w:val="1"/>
      <w:numFmt w:val="decimal"/>
      <w:pStyle w:val="ListNumber2"/>
      <w:lvlText w:val="%1."/>
      <w:lvlJc w:val="left"/>
      <w:pPr>
        <w:tabs>
          <w:tab w:val="num" w:pos="643"/>
        </w:tabs>
        <w:ind w:left="643" w:hanging="360"/>
      </w:pPr>
    </w:lvl>
  </w:abstractNum>
  <w:abstractNum w:abstractNumId="1" w15:restartNumberingAfterBreak="0">
    <w:nsid w:val="020E023A"/>
    <w:multiLevelType w:val="hybridMultilevel"/>
    <w:tmpl w:val="162CE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5D2788"/>
    <w:multiLevelType w:val="multilevel"/>
    <w:tmpl w:val="8B5CE790"/>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C803BF"/>
    <w:multiLevelType w:val="hybridMultilevel"/>
    <w:tmpl w:val="37E6022E"/>
    <w:lvl w:ilvl="0" w:tplc="2C00470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9400C"/>
    <w:multiLevelType w:val="hybridMultilevel"/>
    <w:tmpl w:val="758CED80"/>
    <w:lvl w:ilvl="0" w:tplc="4E92B21A">
      <w:start w:val="1"/>
      <w:numFmt w:val="lowerLetter"/>
      <w:pStyle w:val="2ListParagraph"/>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13EB519E"/>
    <w:multiLevelType w:val="hybridMultilevel"/>
    <w:tmpl w:val="52C84398"/>
    <w:lvl w:ilvl="0" w:tplc="B8460138">
      <w:start w:val="1"/>
      <w:numFmt w:val="bullet"/>
      <w:pStyle w:val="List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3678D6"/>
    <w:multiLevelType w:val="multilevel"/>
    <w:tmpl w:val="9DF672A4"/>
    <w:styleLink w:val="HeadingsNr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305"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1A142D8F"/>
    <w:multiLevelType w:val="hybridMultilevel"/>
    <w:tmpl w:val="F7F2B94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D1207F"/>
    <w:multiLevelType w:val="multilevel"/>
    <w:tmpl w:val="AECE8418"/>
    <w:styleLink w:val="scs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E31155"/>
    <w:multiLevelType w:val="multilevel"/>
    <w:tmpl w:val="DC44C5E0"/>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4F15DB"/>
    <w:multiLevelType w:val="hybridMultilevel"/>
    <w:tmpl w:val="48A08C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0329D"/>
    <w:multiLevelType w:val="hybridMultilevel"/>
    <w:tmpl w:val="F1A007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D740134"/>
    <w:multiLevelType w:val="multilevel"/>
    <w:tmpl w:val="DC44C5E0"/>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91411F"/>
    <w:multiLevelType w:val="multilevel"/>
    <w:tmpl w:val="DC44C5E0"/>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A12ED5"/>
    <w:multiLevelType w:val="hybridMultilevel"/>
    <w:tmpl w:val="46A6E5E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5" w15:restartNumberingAfterBreak="0">
    <w:nsid w:val="36E825CC"/>
    <w:multiLevelType w:val="multilevel"/>
    <w:tmpl w:val="8F6A5EF2"/>
    <w:styleLink w:val="Bullets"/>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4C25BD"/>
    <w:multiLevelType w:val="hybridMultilevel"/>
    <w:tmpl w:val="0B38A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431759"/>
    <w:multiLevelType w:val="hybridMultilevel"/>
    <w:tmpl w:val="AA7A9DDA"/>
    <w:lvl w:ilvl="0" w:tplc="BFFCDD56">
      <w:numFmt w:val="bullet"/>
      <w:lvlText w:val="-"/>
      <w:lvlJc w:val="left"/>
      <w:pPr>
        <w:ind w:left="1080" w:hanging="360"/>
      </w:pPr>
      <w:rPr>
        <w:rFonts w:ascii="Arial" w:eastAsia="Times New Roman" w:hAnsi="Arial" w:cs="Arial" w:hint="default"/>
      </w:rPr>
    </w:lvl>
    <w:lvl w:ilvl="1" w:tplc="BFFCDD56">
      <w:numFmt w:val="bullet"/>
      <w:lvlText w:val="-"/>
      <w:lvlJc w:val="left"/>
      <w:pPr>
        <w:ind w:left="1800" w:hanging="360"/>
      </w:pPr>
      <w:rPr>
        <w:rFonts w:ascii="Arial" w:eastAsia="Times New Roman" w:hAnsi="Arial" w:cs="Arial"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CA71F78"/>
    <w:multiLevelType w:val="hybridMultilevel"/>
    <w:tmpl w:val="690EDA28"/>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91977"/>
    <w:multiLevelType w:val="multilevel"/>
    <w:tmpl w:val="3B3259FA"/>
    <w:lvl w:ilvl="0">
      <w:start w:val="1"/>
      <w:numFmt w:val="bullet"/>
      <w:pStyle w:val="ListParagraph"/>
      <w:lvlText w:val=""/>
      <w:lvlJc w:val="left"/>
      <w:pPr>
        <w:ind w:left="567" w:hanging="283"/>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753288"/>
    <w:multiLevelType w:val="hybridMultilevel"/>
    <w:tmpl w:val="737E407E"/>
    <w:lvl w:ilvl="0" w:tplc="D408B9AC">
      <w:start w:val="1"/>
      <w:numFmt w:val="decimal"/>
      <w:pStyle w:val="Heading1"/>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21" w15:restartNumberingAfterBreak="0">
    <w:nsid w:val="5E6465B5"/>
    <w:multiLevelType w:val="hybridMultilevel"/>
    <w:tmpl w:val="4C7CA5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pStyle w:val="11"/>
      <w:lvlText w:val="o"/>
      <w:lvlJc w:val="left"/>
      <w:pPr>
        <w:tabs>
          <w:tab w:val="num" w:pos="1440"/>
        </w:tabs>
        <w:ind w:left="1440" w:hanging="360"/>
      </w:pPr>
      <w:rPr>
        <w:rFonts w:ascii="Courier New" w:hAnsi="Courier New" w:cs="Courier New" w:hint="default"/>
      </w:rPr>
    </w:lvl>
    <w:lvl w:ilvl="2" w:tplc="08090005">
      <w:start w:val="1"/>
      <w:numFmt w:val="bullet"/>
      <w:pStyle w:val="111"/>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5191C"/>
    <w:multiLevelType w:val="hybridMultilevel"/>
    <w:tmpl w:val="1F72D6E2"/>
    <w:lvl w:ilvl="0" w:tplc="4E1E5CC0">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3D10914"/>
    <w:multiLevelType w:val="hybridMultilevel"/>
    <w:tmpl w:val="71F4F6F0"/>
    <w:lvl w:ilvl="0" w:tplc="11600826">
      <w:start w:val="1"/>
      <w:numFmt w:val="upperLetter"/>
      <w:pStyle w:val="Heading3"/>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BB63CD"/>
    <w:multiLevelType w:val="hybridMultilevel"/>
    <w:tmpl w:val="FE06B6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02E7375"/>
    <w:multiLevelType w:val="hybridMultilevel"/>
    <w:tmpl w:val="2910B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652859"/>
    <w:multiLevelType w:val="hybridMultilevel"/>
    <w:tmpl w:val="195A05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4A5C6C"/>
    <w:multiLevelType w:val="hybridMultilevel"/>
    <w:tmpl w:val="B4E2BA04"/>
    <w:lvl w:ilvl="0" w:tplc="C1D45E20">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4"/>
  </w:num>
  <w:num w:numId="4">
    <w:abstractNumId w:val="21"/>
  </w:num>
  <w:num w:numId="5">
    <w:abstractNumId w:val="27"/>
  </w:num>
  <w:num w:numId="6">
    <w:abstractNumId w:val="8"/>
  </w:num>
  <w:num w:numId="7">
    <w:abstractNumId w:val="0"/>
  </w:num>
  <w:num w:numId="8">
    <w:abstractNumId w:val="9"/>
  </w:num>
  <w:num w:numId="9">
    <w:abstractNumId w:val="12"/>
  </w:num>
  <w:num w:numId="10">
    <w:abstractNumId w:val="13"/>
  </w:num>
  <w:num w:numId="11">
    <w:abstractNumId w:val="19"/>
  </w:num>
  <w:num w:numId="12">
    <w:abstractNumId w:val="14"/>
  </w:num>
  <w:num w:numId="13">
    <w:abstractNumId w:val="26"/>
  </w:num>
  <w:num w:numId="14">
    <w:abstractNumId w:val="16"/>
  </w:num>
  <w:num w:numId="15">
    <w:abstractNumId w:val="1"/>
  </w:num>
  <w:num w:numId="16">
    <w:abstractNumId w:val="23"/>
  </w:num>
  <w:num w:numId="17">
    <w:abstractNumId w:val="5"/>
  </w:num>
  <w:num w:numId="18">
    <w:abstractNumId w:val="7"/>
  </w:num>
  <w:num w:numId="19">
    <w:abstractNumId w:val="24"/>
  </w:num>
  <w:num w:numId="20">
    <w:abstractNumId w:val="10"/>
  </w:num>
  <w:num w:numId="21">
    <w:abstractNumId w:val="18"/>
  </w:num>
  <w:num w:numId="22">
    <w:abstractNumId w:val="11"/>
  </w:num>
  <w:num w:numId="23">
    <w:abstractNumId w:val="2"/>
  </w:num>
  <w:num w:numId="24">
    <w:abstractNumId w:val="3"/>
  </w:num>
  <w:num w:numId="25">
    <w:abstractNumId w:val="17"/>
  </w:num>
  <w:num w:numId="26">
    <w:abstractNumId w:val="20"/>
  </w:num>
  <w:num w:numId="27">
    <w:abstractNumId w:val="22"/>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46"/>
    <w:rsid w:val="00002432"/>
    <w:rsid w:val="00005698"/>
    <w:rsid w:val="000056CC"/>
    <w:rsid w:val="00006664"/>
    <w:rsid w:val="00007A5B"/>
    <w:rsid w:val="0001443D"/>
    <w:rsid w:val="000157FD"/>
    <w:rsid w:val="000248F9"/>
    <w:rsid w:val="00024AF9"/>
    <w:rsid w:val="00025944"/>
    <w:rsid w:val="00025B74"/>
    <w:rsid w:val="00026D80"/>
    <w:rsid w:val="00027445"/>
    <w:rsid w:val="00034992"/>
    <w:rsid w:val="00034D29"/>
    <w:rsid w:val="000357C7"/>
    <w:rsid w:val="00041A32"/>
    <w:rsid w:val="00042D52"/>
    <w:rsid w:val="00043851"/>
    <w:rsid w:val="000473E8"/>
    <w:rsid w:val="000509C9"/>
    <w:rsid w:val="000514D4"/>
    <w:rsid w:val="0005733D"/>
    <w:rsid w:val="0006045B"/>
    <w:rsid w:val="00060F87"/>
    <w:rsid w:val="000637A0"/>
    <w:rsid w:val="00063A1C"/>
    <w:rsid w:val="00063D8A"/>
    <w:rsid w:val="000641EF"/>
    <w:rsid w:val="0006454F"/>
    <w:rsid w:val="0006483D"/>
    <w:rsid w:val="0007609A"/>
    <w:rsid w:val="00076A24"/>
    <w:rsid w:val="00080CE2"/>
    <w:rsid w:val="00080EEC"/>
    <w:rsid w:val="00085654"/>
    <w:rsid w:val="00087992"/>
    <w:rsid w:val="00090282"/>
    <w:rsid w:val="000A1584"/>
    <w:rsid w:val="000A31B5"/>
    <w:rsid w:val="000A49C0"/>
    <w:rsid w:val="000A4D40"/>
    <w:rsid w:val="000A4F47"/>
    <w:rsid w:val="000A5288"/>
    <w:rsid w:val="000A7EE0"/>
    <w:rsid w:val="000B4F4A"/>
    <w:rsid w:val="000B78F0"/>
    <w:rsid w:val="000C0470"/>
    <w:rsid w:val="000C0C0C"/>
    <w:rsid w:val="000C1C77"/>
    <w:rsid w:val="000C3447"/>
    <w:rsid w:val="000C3902"/>
    <w:rsid w:val="000C41C2"/>
    <w:rsid w:val="000C476E"/>
    <w:rsid w:val="000D0DDE"/>
    <w:rsid w:val="000D4218"/>
    <w:rsid w:val="000D60DC"/>
    <w:rsid w:val="000D6891"/>
    <w:rsid w:val="000E1ED2"/>
    <w:rsid w:val="000E4247"/>
    <w:rsid w:val="000E4AAF"/>
    <w:rsid w:val="000F2501"/>
    <w:rsid w:val="000F57AA"/>
    <w:rsid w:val="00100C1C"/>
    <w:rsid w:val="001019D2"/>
    <w:rsid w:val="001027F7"/>
    <w:rsid w:val="001060D5"/>
    <w:rsid w:val="001074B8"/>
    <w:rsid w:val="00110749"/>
    <w:rsid w:val="00111082"/>
    <w:rsid w:val="00112848"/>
    <w:rsid w:val="00114305"/>
    <w:rsid w:val="001301F9"/>
    <w:rsid w:val="00130DB0"/>
    <w:rsid w:val="00131979"/>
    <w:rsid w:val="00133AC4"/>
    <w:rsid w:val="0013515F"/>
    <w:rsid w:val="00140E41"/>
    <w:rsid w:val="0014179E"/>
    <w:rsid w:val="00141B3E"/>
    <w:rsid w:val="00142F27"/>
    <w:rsid w:val="00144CC2"/>
    <w:rsid w:val="00152C29"/>
    <w:rsid w:val="001552C9"/>
    <w:rsid w:val="00155BA8"/>
    <w:rsid w:val="00156F40"/>
    <w:rsid w:val="0015794D"/>
    <w:rsid w:val="00157B00"/>
    <w:rsid w:val="0016301D"/>
    <w:rsid w:val="00171E81"/>
    <w:rsid w:val="00187472"/>
    <w:rsid w:val="0019080B"/>
    <w:rsid w:val="00190D2B"/>
    <w:rsid w:val="00192217"/>
    <w:rsid w:val="001925C7"/>
    <w:rsid w:val="001932DC"/>
    <w:rsid w:val="001A0B0E"/>
    <w:rsid w:val="001A5AFD"/>
    <w:rsid w:val="001B0F71"/>
    <w:rsid w:val="001B245C"/>
    <w:rsid w:val="001B32EA"/>
    <w:rsid w:val="001B63D1"/>
    <w:rsid w:val="001B7283"/>
    <w:rsid w:val="001B7701"/>
    <w:rsid w:val="001C17E7"/>
    <w:rsid w:val="001C2087"/>
    <w:rsid w:val="001C35DD"/>
    <w:rsid w:val="001C66F3"/>
    <w:rsid w:val="001D24C0"/>
    <w:rsid w:val="001D384F"/>
    <w:rsid w:val="001D5897"/>
    <w:rsid w:val="001D675A"/>
    <w:rsid w:val="001D6DC1"/>
    <w:rsid w:val="001E0334"/>
    <w:rsid w:val="001E2334"/>
    <w:rsid w:val="001E24CC"/>
    <w:rsid w:val="001E3699"/>
    <w:rsid w:val="001E37D6"/>
    <w:rsid w:val="001E6498"/>
    <w:rsid w:val="001F24A1"/>
    <w:rsid w:val="001F5566"/>
    <w:rsid w:val="001F5FFC"/>
    <w:rsid w:val="001F6181"/>
    <w:rsid w:val="00200773"/>
    <w:rsid w:val="00204C5D"/>
    <w:rsid w:val="00213EBA"/>
    <w:rsid w:val="00215F55"/>
    <w:rsid w:val="00216B79"/>
    <w:rsid w:val="00220DCD"/>
    <w:rsid w:val="00223D6E"/>
    <w:rsid w:val="00223E34"/>
    <w:rsid w:val="00223F05"/>
    <w:rsid w:val="00225ADA"/>
    <w:rsid w:val="002260DB"/>
    <w:rsid w:val="00226466"/>
    <w:rsid w:val="00231475"/>
    <w:rsid w:val="00240D7E"/>
    <w:rsid w:val="00241FF6"/>
    <w:rsid w:val="00242CC4"/>
    <w:rsid w:val="002439BC"/>
    <w:rsid w:val="002453DE"/>
    <w:rsid w:val="002501DE"/>
    <w:rsid w:val="00250429"/>
    <w:rsid w:val="002554E6"/>
    <w:rsid w:val="002555B9"/>
    <w:rsid w:val="0025597C"/>
    <w:rsid w:val="00256286"/>
    <w:rsid w:val="00263824"/>
    <w:rsid w:val="002674EF"/>
    <w:rsid w:val="00272442"/>
    <w:rsid w:val="00274C4C"/>
    <w:rsid w:val="002767D6"/>
    <w:rsid w:val="00281B8D"/>
    <w:rsid w:val="00286D92"/>
    <w:rsid w:val="0029041F"/>
    <w:rsid w:val="0029274C"/>
    <w:rsid w:val="0029617A"/>
    <w:rsid w:val="002A2AC0"/>
    <w:rsid w:val="002A2D42"/>
    <w:rsid w:val="002B5DC9"/>
    <w:rsid w:val="002B5DDF"/>
    <w:rsid w:val="002B69CD"/>
    <w:rsid w:val="002C36EA"/>
    <w:rsid w:val="002C413C"/>
    <w:rsid w:val="002C4171"/>
    <w:rsid w:val="002C6285"/>
    <w:rsid w:val="002D0A39"/>
    <w:rsid w:val="002D1D9A"/>
    <w:rsid w:val="002D39D3"/>
    <w:rsid w:val="002D71FE"/>
    <w:rsid w:val="002E2DEC"/>
    <w:rsid w:val="002E423C"/>
    <w:rsid w:val="002F057F"/>
    <w:rsid w:val="002F0938"/>
    <w:rsid w:val="002F09AE"/>
    <w:rsid w:val="00300679"/>
    <w:rsid w:val="00300773"/>
    <w:rsid w:val="00304ED6"/>
    <w:rsid w:val="00311D23"/>
    <w:rsid w:val="0031525E"/>
    <w:rsid w:val="00326B52"/>
    <w:rsid w:val="00327BD6"/>
    <w:rsid w:val="003302D8"/>
    <w:rsid w:val="00334665"/>
    <w:rsid w:val="00337187"/>
    <w:rsid w:val="003401BC"/>
    <w:rsid w:val="00345BBE"/>
    <w:rsid w:val="00346A63"/>
    <w:rsid w:val="003509AB"/>
    <w:rsid w:val="00353E28"/>
    <w:rsid w:val="003547AE"/>
    <w:rsid w:val="0035482A"/>
    <w:rsid w:val="0036182B"/>
    <w:rsid w:val="00361F01"/>
    <w:rsid w:val="00365C39"/>
    <w:rsid w:val="003679CD"/>
    <w:rsid w:val="00370749"/>
    <w:rsid w:val="00372929"/>
    <w:rsid w:val="003732A0"/>
    <w:rsid w:val="0037455E"/>
    <w:rsid w:val="00384009"/>
    <w:rsid w:val="003848EA"/>
    <w:rsid w:val="0039415B"/>
    <w:rsid w:val="00395308"/>
    <w:rsid w:val="003958CE"/>
    <w:rsid w:val="003A7FDC"/>
    <w:rsid w:val="003B1E6F"/>
    <w:rsid w:val="003B3C9E"/>
    <w:rsid w:val="003C2C72"/>
    <w:rsid w:val="003C3947"/>
    <w:rsid w:val="003C5138"/>
    <w:rsid w:val="003C53FE"/>
    <w:rsid w:val="003C7411"/>
    <w:rsid w:val="003D30D7"/>
    <w:rsid w:val="003D5CC4"/>
    <w:rsid w:val="003D61B0"/>
    <w:rsid w:val="003D6DB9"/>
    <w:rsid w:val="003E3F96"/>
    <w:rsid w:val="003E417C"/>
    <w:rsid w:val="003F0A5E"/>
    <w:rsid w:val="003F0A92"/>
    <w:rsid w:val="003F272C"/>
    <w:rsid w:val="003F2989"/>
    <w:rsid w:val="003F43C1"/>
    <w:rsid w:val="003F6030"/>
    <w:rsid w:val="00406723"/>
    <w:rsid w:val="00410181"/>
    <w:rsid w:val="0041658E"/>
    <w:rsid w:val="00421A3B"/>
    <w:rsid w:val="004247F9"/>
    <w:rsid w:val="00430FF1"/>
    <w:rsid w:val="00437440"/>
    <w:rsid w:val="00437750"/>
    <w:rsid w:val="00437A0B"/>
    <w:rsid w:val="0044075F"/>
    <w:rsid w:val="00440B26"/>
    <w:rsid w:val="00440B85"/>
    <w:rsid w:val="00442346"/>
    <w:rsid w:val="00442C26"/>
    <w:rsid w:val="004459E4"/>
    <w:rsid w:val="004466A1"/>
    <w:rsid w:val="00447FF9"/>
    <w:rsid w:val="00453D87"/>
    <w:rsid w:val="00457F7F"/>
    <w:rsid w:val="00460D32"/>
    <w:rsid w:val="00460FDC"/>
    <w:rsid w:val="00462D7E"/>
    <w:rsid w:val="00465661"/>
    <w:rsid w:val="00471E61"/>
    <w:rsid w:val="00472867"/>
    <w:rsid w:val="0047323C"/>
    <w:rsid w:val="00475444"/>
    <w:rsid w:val="0048294A"/>
    <w:rsid w:val="00486495"/>
    <w:rsid w:val="004903EC"/>
    <w:rsid w:val="00493D0F"/>
    <w:rsid w:val="00495039"/>
    <w:rsid w:val="0049628F"/>
    <w:rsid w:val="0049738D"/>
    <w:rsid w:val="004A19F3"/>
    <w:rsid w:val="004A2D51"/>
    <w:rsid w:val="004A6A74"/>
    <w:rsid w:val="004A779E"/>
    <w:rsid w:val="004B26B0"/>
    <w:rsid w:val="004B28AC"/>
    <w:rsid w:val="004B4355"/>
    <w:rsid w:val="004C10E0"/>
    <w:rsid w:val="004C11CB"/>
    <w:rsid w:val="004C402E"/>
    <w:rsid w:val="004C7C72"/>
    <w:rsid w:val="004D085E"/>
    <w:rsid w:val="004D3C13"/>
    <w:rsid w:val="004E08A0"/>
    <w:rsid w:val="004E58FA"/>
    <w:rsid w:val="004E5B17"/>
    <w:rsid w:val="004E7F66"/>
    <w:rsid w:val="004F1D3E"/>
    <w:rsid w:val="004F2515"/>
    <w:rsid w:val="004F335D"/>
    <w:rsid w:val="004F3790"/>
    <w:rsid w:val="004F5E5D"/>
    <w:rsid w:val="005014AF"/>
    <w:rsid w:val="00502527"/>
    <w:rsid w:val="00502E7C"/>
    <w:rsid w:val="00505695"/>
    <w:rsid w:val="00513656"/>
    <w:rsid w:val="005136D6"/>
    <w:rsid w:val="00514805"/>
    <w:rsid w:val="005216E1"/>
    <w:rsid w:val="00523BEF"/>
    <w:rsid w:val="0053052F"/>
    <w:rsid w:val="00531359"/>
    <w:rsid w:val="00531E9F"/>
    <w:rsid w:val="00532BD8"/>
    <w:rsid w:val="0053429F"/>
    <w:rsid w:val="00534FC4"/>
    <w:rsid w:val="0053589A"/>
    <w:rsid w:val="00541F3E"/>
    <w:rsid w:val="00542BE9"/>
    <w:rsid w:val="005437BD"/>
    <w:rsid w:val="00543ED8"/>
    <w:rsid w:val="0054462F"/>
    <w:rsid w:val="005527F3"/>
    <w:rsid w:val="0055321F"/>
    <w:rsid w:val="0055416E"/>
    <w:rsid w:val="005554E1"/>
    <w:rsid w:val="00555654"/>
    <w:rsid w:val="005567B2"/>
    <w:rsid w:val="005574F0"/>
    <w:rsid w:val="00560F84"/>
    <w:rsid w:val="00563C2F"/>
    <w:rsid w:val="00567C87"/>
    <w:rsid w:val="005710FF"/>
    <w:rsid w:val="00571A02"/>
    <w:rsid w:val="00574286"/>
    <w:rsid w:val="0057794B"/>
    <w:rsid w:val="00585DA7"/>
    <w:rsid w:val="00586384"/>
    <w:rsid w:val="00586D51"/>
    <w:rsid w:val="00597B25"/>
    <w:rsid w:val="005A54B0"/>
    <w:rsid w:val="005A59AA"/>
    <w:rsid w:val="005A78B9"/>
    <w:rsid w:val="005A7DE3"/>
    <w:rsid w:val="005B04E4"/>
    <w:rsid w:val="005B18C3"/>
    <w:rsid w:val="005B7ECF"/>
    <w:rsid w:val="005C07F4"/>
    <w:rsid w:val="005C1DC7"/>
    <w:rsid w:val="005C4F39"/>
    <w:rsid w:val="005C793E"/>
    <w:rsid w:val="005D38D5"/>
    <w:rsid w:val="005D4A27"/>
    <w:rsid w:val="005D7383"/>
    <w:rsid w:val="005E3041"/>
    <w:rsid w:val="005F0133"/>
    <w:rsid w:val="005F1D82"/>
    <w:rsid w:val="005F3E7C"/>
    <w:rsid w:val="0060164A"/>
    <w:rsid w:val="006017D8"/>
    <w:rsid w:val="00601BA5"/>
    <w:rsid w:val="00605EE1"/>
    <w:rsid w:val="0060655E"/>
    <w:rsid w:val="006074A7"/>
    <w:rsid w:val="00615076"/>
    <w:rsid w:val="00616414"/>
    <w:rsid w:val="006223A2"/>
    <w:rsid w:val="006231F1"/>
    <w:rsid w:val="00623D1E"/>
    <w:rsid w:val="00625EC5"/>
    <w:rsid w:val="006330BE"/>
    <w:rsid w:val="00633E39"/>
    <w:rsid w:val="00634F80"/>
    <w:rsid w:val="00635DCE"/>
    <w:rsid w:val="0063603E"/>
    <w:rsid w:val="006418CF"/>
    <w:rsid w:val="00642B2A"/>
    <w:rsid w:val="00645CAD"/>
    <w:rsid w:val="00646622"/>
    <w:rsid w:val="00647F12"/>
    <w:rsid w:val="00650961"/>
    <w:rsid w:val="00650BD6"/>
    <w:rsid w:val="00651018"/>
    <w:rsid w:val="006602EE"/>
    <w:rsid w:val="006613A5"/>
    <w:rsid w:val="006615EA"/>
    <w:rsid w:val="00664763"/>
    <w:rsid w:val="00665ED9"/>
    <w:rsid w:val="0067443F"/>
    <w:rsid w:val="00674BD8"/>
    <w:rsid w:val="0067602F"/>
    <w:rsid w:val="00676D5C"/>
    <w:rsid w:val="00681D08"/>
    <w:rsid w:val="0068727A"/>
    <w:rsid w:val="006916E1"/>
    <w:rsid w:val="00694100"/>
    <w:rsid w:val="006979FE"/>
    <w:rsid w:val="006A11F7"/>
    <w:rsid w:val="006A1AEB"/>
    <w:rsid w:val="006A1BB1"/>
    <w:rsid w:val="006A234A"/>
    <w:rsid w:val="006B27A9"/>
    <w:rsid w:val="006B3959"/>
    <w:rsid w:val="006B55A9"/>
    <w:rsid w:val="006B76C7"/>
    <w:rsid w:val="006B7F67"/>
    <w:rsid w:val="006C0372"/>
    <w:rsid w:val="006C127F"/>
    <w:rsid w:val="006C45BB"/>
    <w:rsid w:val="006C577F"/>
    <w:rsid w:val="006D165E"/>
    <w:rsid w:val="006D2404"/>
    <w:rsid w:val="006D2648"/>
    <w:rsid w:val="006D3F0E"/>
    <w:rsid w:val="006D5123"/>
    <w:rsid w:val="006D7005"/>
    <w:rsid w:val="006E12CB"/>
    <w:rsid w:val="006E5002"/>
    <w:rsid w:val="006E5E73"/>
    <w:rsid w:val="006E6621"/>
    <w:rsid w:val="006E781F"/>
    <w:rsid w:val="006F093F"/>
    <w:rsid w:val="006F29E8"/>
    <w:rsid w:val="006F36ED"/>
    <w:rsid w:val="00702A27"/>
    <w:rsid w:val="00722350"/>
    <w:rsid w:val="0072402C"/>
    <w:rsid w:val="00725D06"/>
    <w:rsid w:val="00726AEA"/>
    <w:rsid w:val="00731BB3"/>
    <w:rsid w:val="007321F6"/>
    <w:rsid w:val="007402E0"/>
    <w:rsid w:val="00741F95"/>
    <w:rsid w:val="007428F6"/>
    <w:rsid w:val="0074303B"/>
    <w:rsid w:val="0074340C"/>
    <w:rsid w:val="00743B94"/>
    <w:rsid w:val="007442F4"/>
    <w:rsid w:val="007471A5"/>
    <w:rsid w:val="007473DA"/>
    <w:rsid w:val="00751BF2"/>
    <w:rsid w:val="00756253"/>
    <w:rsid w:val="007563B9"/>
    <w:rsid w:val="0075715A"/>
    <w:rsid w:val="00762ECC"/>
    <w:rsid w:val="00766FEA"/>
    <w:rsid w:val="00772AA3"/>
    <w:rsid w:val="0077669F"/>
    <w:rsid w:val="00777F06"/>
    <w:rsid w:val="00780DE7"/>
    <w:rsid w:val="00781FD3"/>
    <w:rsid w:val="00783416"/>
    <w:rsid w:val="007936E8"/>
    <w:rsid w:val="00794DEB"/>
    <w:rsid w:val="007A308B"/>
    <w:rsid w:val="007A3605"/>
    <w:rsid w:val="007B123A"/>
    <w:rsid w:val="007B2EBC"/>
    <w:rsid w:val="007B5B94"/>
    <w:rsid w:val="007B6E75"/>
    <w:rsid w:val="007C550D"/>
    <w:rsid w:val="007C5BE9"/>
    <w:rsid w:val="007C5C1E"/>
    <w:rsid w:val="007C6B52"/>
    <w:rsid w:val="007C7CFC"/>
    <w:rsid w:val="007D0B19"/>
    <w:rsid w:val="007D181E"/>
    <w:rsid w:val="007D3CA1"/>
    <w:rsid w:val="007E5AE7"/>
    <w:rsid w:val="007E7084"/>
    <w:rsid w:val="007F0039"/>
    <w:rsid w:val="007F73DE"/>
    <w:rsid w:val="00803487"/>
    <w:rsid w:val="008048C2"/>
    <w:rsid w:val="00807022"/>
    <w:rsid w:val="00807D3D"/>
    <w:rsid w:val="00810161"/>
    <w:rsid w:val="00812973"/>
    <w:rsid w:val="008151C1"/>
    <w:rsid w:val="008207CE"/>
    <w:rsid w:val="00822648"/>
    <w:rsid w:val="00823150"/>
    <w:rsid w:val="008233DB"/>
    <w:rsid w:val="00826D86"/>
    <w:rsid w:val="00833C4F"/>
    <w:rsid w:val="008439AE"/>
    <w:rsid w:val="00847687"/>
    <w:rsid w:val="008522D6"/>
    <w:rsid w:val="00860672"/>
    <w:rsid w:val="00860E50"/>
    <w:rsid w:val="00861722"/>
    <w:rsid w:val="00866057"/>
    <w:rsid w:val="00872775"/>
    <w:rsid w:val="0087404B"/>
    <w:rsid w:val="00874EDF"/>
    <w:rsid w:val="00875C03"/>
    <w:rsid w:val="008834A4"/>
    <w:rsid w:val="00886B33"/>
    <w:rsid w:val="00893D4B"/>
    <w:rsid w:val="008A32E2"/>
    <w:rsid w:val="008A5938"/>
    <w:rsid w:val="008A6AC3"/>
    <w:rsid w:val="008A727C"/>
    <w:rsid w:val="008B2E43"/>
    <w:rsid w:val="008B4858"/>
    <w:rsid w:val="008C2524"/>
    <w:rsid w:val="008C7290"/>
    <w:rsid w:val="008D1348"/>
    <w:rsid w:val="008D201F"/>
    <w:rsid w:val="008D2A34"/>
    <w:rsid w:val="008D37B6"/>
    <w:rsid w:val="008D4A8C"/>
    <w:rsid w:val="008D5556"/>
    <w:rsid w:val="008D5A70"/>
    <w:rsid w:val="008D5DCF"/>
    <w:rsid w:val="008D6696"/>
    <w:rsid w:val="008D7931"/>
    <w:rsid w:val="008D7D62"/>
    <w:rsid w:val="008E2892"/>
    <w:rsid w:val="008E28E4"/>
    <w:rsid w:val="008E5A6D"/>
    <w:rsid w:val="008E6A97"/>
    <w:rsid w:val="008E78CE"/>
    <w:rsid w:val="008F21FC"/>
    <w:rsid w:val="008F54EF"/>
    <w:rsid w:val="008F6740"/>
    <w:rsid w:val="008F70D7"/>
    <w:rsid w:val="009022EA"/>
    <w:rsid w:val="0090351F"/>
    <w:rsid w:val="00903AF3"/>
    <w:rsid w:val="00905EBF"/>
    <w:rsid w:val="00907EA1"/>
    <w:rsid w:val="009103DC"/>
    <w:rsid w:val="009103F1"/>
    <w:rsid w:val="00912CEA"/>
    <w:rsid w:val="009138C8"/>
    <w:rsid w:val="00913F9C"/>
    <w:rsid w:val="00917849"/>
    <w:rsid w:val="00917E23"/>
    <w:rsid w:val="00920326"/>
    <w:rsid w:val="00924F0A"/>
    <w:rsid w:val="009254CC"/>
    <w:rsid w:val="0092796F"/>
    <w:rsid w:val="00942542"/>
    <w:rsid w:val="009451B4"/>
    <w:rsid w:val="00946311"/>
    <w:rsid w:val="00950EA6"/>
    <w:rsid w:val="00952F24"/>
    <w:rsid w:val="00953A97"/>
    <w:rsid w:val="009550A4"/>
    <w:rsid w:val="00955D52"/>
    <w:rsid w:val="009562A7"/>
    <w:rsid w:val="00964268"/>
    <w:rsid w:val="00973170"/>
    <w:rsid w:val="00973D4F"/>
    <w:rsid w:val="009740C3"/>
    <w:rsid w:val="00974467"/>
    <w:rsid w:val="00975338"/>
    <w:rsid w:val="009754D6"/>
    <w:rsid w:val="00977919"/>
    <w:rsid w:val="00977C0B"/>
    <w:rsid w:val="009864BE"/>
    <w:rsid w:val="00986646"/>
    <w:rsid w:val="009866FE"/>
    <w:rsid w:val="00992BF8"/>
    <w:rsid w:val="00994EE1"/>
    <w:rsid w:val="0099545E"/>
    <w:rsid w:val="0099746A"/>
    <w:rsid w:val="0099766C"/>
    <w:rsid w:val="00997EF9"/>
    <w:rsid w:val="009A5497"/>
    <w:rsid w:val="009A66DF"/>
    <w:rsid w:val="009B1B89"/>
    <w:rsid w:val="009B1FB8"/>
    <w:rsid w:val="009B547B"/>
    <w:rsid w:val="009C062A"/>
    <w:rsid w:val="009C0EE2"/>
    <w:rsid w:val="009C21DB"/>
    <w:rsid w:val="009C2912"/>
    <w:rsid w:val="009C7273"/>
    <w:rsid w:val="009D0177"/>
    <w:rsid w:val="009D1278"/>
    <w:rsid w:val="009D350D"/>
    <w:rsid w:val="009D4510"/>
    <w:rsid w:val="009D669E"/>
    <w:rsid w:val="009D7D7D"/>
    <w:rsid w:val="009E6AAC"/>
    <w:rsid w:val="009E7DEB"/>
    <w:rsid w:val="009F03FE"/>
    <w:rsid w:val="00A006F7"/>
    <w:rsid w:val="00A027CF"/>
    <w:rsid w:val="00A15FD8"/>
    <w:rsid w:val="00A16F82"/>
    <w:rsid w:val="00A2050B"/>
    <w:rsid w:val="00A20EE5"/>
    <w:rsid w:val="00A22F15"/>
    <w:rsid w:val="00A31FB4"/>
    <w:rsid w:val="00A323A9"/>
    <w:rsid w:val="00A3340B"/>
    <w:rsid w:val="00A36186"/>
    <w:rsid w:val="00A3625F"/>
    <w:rsid w:val="00A431DC"/>
    <w:rsid w:val="00A44B69"/>
    <w:rsid w:val="00A469A0"/>
    <w:rsid w:val="00A46AA7"/>
    <w:rsid w:val="00A47006"/>
    <w:rsid w:val="00A47982"/>
    <w:rsid w:val="00A51FAF"/>
    <w:rsid w:val="00A6389D"/>
    <w:rsid w:val="00A6785E"/>
    <w:rsid w:val="00A67D1E"/>
    <w:rsid w:val="00A70983"/>
    <w:rsid w:val="00A725BA"/>
    <w:rsid w:val="00A80CF2"/>
    <w:rsid w:val="00A82988"/>
    <w:rsid w:val="00A833B3"/>
    <w:rsid w:val="00A84F7C"/>
    <w:rsid w:val="00A8597C"/>
    <w:rsid w:val="00A86814"/>
    <w:rsid w:val="00A87733"/>
    <w:rsid w:val="00A90698"/>
    <w:rsid w:val="00A9379B"/>
    <w:rsid w:val="00A94277"/>
    <w:rsid w:val="00A94E1E"/>
    <w:rsid w:val="00A978D9"/>
    <w:rsid w:val="00AA5A31"/>
    <w:rsid w:val="00AA7E28"/>
    <w:rsid w:val="00AB0514"/>
    <w:rsid w:val="00AB05B2"/>
    <w:rsid w:val="00AB4805"/>
    <w:rsid w:val="00AB7008"/>
    <w:rsid w:val="00AC4506"/>
    <w:rsid w:val="00AC53DE"/>
    <w:rsid w:val="00AC5993"/>
    <w:rsid w:val="00AC79D0"/>
    <w:rsid w:val="00AD3E98"/>
    <w:rsid w:val="00AD5A94"/>
    <w:rsid w:val="00AD5B95"/>
    <w:rsid w:val="00AE0411"/>
    <w:rsid w:val="00AE18D7"/>
    <w:rsid w:val="00AE261C"/>
    <w:rsid w:val="00AE5C83"/>
    <w:rsid w:val="00AF2011"/>
    <w:rsid w:val="00AF3065"/>
    <w:rsid w:val="00AF4B41"/>
    <w:rsid w:val="00AF51DE"/>
    <w:rsid w:val="00AF7D02"/>
    <w:rsid w:val="00B1139F"/>
    <w:rsid w:val="00B15DA6"/>
    <w:rsid w:val="00B1705A"/>
    <w:rsid w:val="00B2095D"/>
    <w:rsid w:val="00B210F5"/>
    <w:rsid w:val="00B22622"/>
    <w:rsid w:val="00B2284F"/>
    <w:rsid w:val="00B24886"/>
    <w:rsid w:val="00B26EE0"/>
    <w:rsid w:val="00B307B3"/>
    <w:rsid w:val="00B346D7"/>
    <w:rsid w:val="00B35367"/>
    <w:rsid w:val="00B3587D"/>
    <w:rsid w:val="00B410F9"/>
    <w:rsid w:val="00B42857"/>
    <w:rsid w:val="00B47686"/>
    <w:rsid w:val="00B50CE5"/>
    <w:rsid w:val="00B51DA9"/>
    <w:rsid w:val="00B53AA8"/>
    <w:rsid w:val="00B55692"/>
    <w:rsid w:val="00B56F55"/>
    <w:rsid w:val="00B60046"/>
    <w:rsid w:val="00B6018A"/>
    <w:rsid w:val="00B602D6"/>
    <w:rsid w:val="00B64691"/>
    <w:rsid w:val="00B648B8"/>
    <w:rsid w:val="00B66E51"/>
    <w:rsid w:val="00B70389"/>
    <w:rsid w:val="00B74B06"/>
    <w:rsid w:val="00B82B49"/>
    <w:rsid w:val="00B82F5C"/>
    <w:rsid w:val="00B83300"/>
    <w:rsid w:val="00B8714B"/>
    <w:rsid w:val="00B92078"/>
    <w:rsid w:val="00B94418"/>
    <w:rsid w:val="00B96BE4"/>
    <w:rsid w:val="00B974B3"/>
    <w:rsid w:val="00BA2B00"/>
    <w:rsid w:val="00BA3E83"/>
    <w:rsid w:val="00BA763A"/>
    <w:rsid w:val="00BB1722"/>
    <w:rsid w:val="00BB3C8A"/>
    <w:rsid w:val="00BB4EB9"/>
    <w:rsid w:val="00BB6F90"/>
    <w:rsid w:val="00BC33A9"/>
    <w:rsid w:val="00BC34BA"/>
    <w:rsid w:val="00BC54A6"/>
    <w:rsid w:val="00BD0FFD"/>
    <w:rsid w:val="00BD2C2E"/>
    <w:rsid w:val="00BD2D6C"/>
    <w:rsid w:val="00BD3189"/>
    <w:rsid w:val="00BD428C"/>
    <w:rsid w:val="00BF3119"/>
    <w:rsid w:val="00BF557C"/>
    <w:rsid w:val="00BF6DA7"/>
    <w:rsid w:val="00BF72B7"/>
    <w:rsid w:val="00BF7416"/>
    <w:rsid w:val="00BF7659"/>
    <w:rsid w:val="00C005B5"/>
    <w:rsid w:val="00C00A71"/>
    <w:rsid w:val="00C070BE"/>
    <w:rsid w:val="00C14825"/>
    <w:rsid w:val="00C1752E"/>
    <w:rsid w:val="00C20CAA"/>
    <w:rsid w:val="00C20EE9"/>
    <w:rsid w:val="00C21783"/>
    <w:rsid w:val="00C25877"/>
    <w:rsid w:val="00C26027"/>
    <w:rsid w:val="00C3222F"/>
    <w:rsid w:val="00C333D2"/>
    <w:rsid w:val="00C4151D"/>
    <w:rsid w:val="00C42CD8"/>
    <w:rsid w:val="00C42CFC"/>
    <w:rsid w:val="00C43E06"/>
    <w:rsid w:val="00C453FE"/>
    <w:rsid w:val="00C45B12"/>
    <w:rsid w:val="00C45DB8"/>
    <w:rsid w:val="00C466C6"/>
    <w:rsid w:val="00C51090"/>
    <w:rsid w:val="00C52501"/>
    <w:rsid w:val="00C5310D"/>
    <w:rsid w:val="00C54816"/>
    <w:rsid w:val="00C56A34"/>
    <w:rsid w:val="00C666FF"/>
    <w:rsid w:val="00C6671B"/>
    <w:rsid w:val="00C677D3"/>
    <w:rsid w:val="00C67F98"/>
    <w:rsid w:val="00C7255B"/>
    <w:rsid w:val="00C72A6B"/>
    <w:rsid w:val="00C764CF"/>
    <w:rsid w:val="00C77140"/>
    <w:rsid w:val="00C7728D"/>
    <w:rsid w:val="00C849F7"/>
    <w:rsid w:val="00C902C8"/>
    <w:rsid w:val="00C9200D"/>
    <w:rsid w:val="00C945BF"/>
    <w:rsid w:val="00C96B45"/>
    <w:rsid w:val="00CA2931"/>
    <w:rsid w:val="00CA391B"/>
    <w:rsid w:val="00CA5543"/>
    <w:rsid w:val="00CA7F9A"/>
    <w:rsid w:val="00CB0436"/>
    <w:rsid w:val="00CB4FD5"/>
    <w:rsid w:val="00CB5B9F"/>
    <w:rsid w:val="00CB5E2D"/>
    <w:rsid w:val="00CB62F6"/>
    <w:rsid w:val="00CC0349"/>
    <w:rsid w:val="00CC2F8E"/>
    <w:rsid w:val="00CC316B"/>
    <w:rsid w:val="00CD1199"/>
    <w:rsid w:val="00CD18D9"/>
    <w:rsid w:val="00CD2369"/>
    <w:rsid w:val="00CD3873"/>
    <w:rsid w:val="00CD4381"/>
    <w:rsid w:val="00CD5B58"/>
    <w:rsid w:val="00CD6609"/>
    <w:rsid w:val="00CD677D"/>
    <w:rsid w:val="00CD6E42"/>
    <w:rsid w:val="00CD7816"/>
    <w:rsid w:val="00CE19DB"/>
    <w:rsid w:val="00CE62D2"/>
    <w:rsid w:val="00CF6499"/>
    <w:rsid w:val="00D0027B"/>
    <w:rsid w:val="00D0422C"/>
    <w:rsid w:val="00D0562C"/>
    <w:rsid w:val="00D16863"/>
    <w:rsid w:val="00D1741C"/>
    <w:rsid w:val="00D22372"/>
    <w:rsid w:val="00D319F9"/>
    <w:rsid w:val="00D33B95"/>
    <w:rsid w:val="00D405B9"/>
    <w:rsid w:val="00D40D79"/>
    <w:rsid w:val="00D448D7"/>
    <w:rsid w:val="00D44DB6"/>
    <w:rsid w:val="00D45354"/>
    <w:rsid w:val="00D45A58"/>
    <w:rsid w:val="00D47329"/>
    <w:rsid w:val="00D52B32"/>
    <w:rsid w:val="00D54044"/>
    <w:rsid w:val="00D5707A"/>
    <w:rsid w:val="00D63E64"/>
    <w:rsid w:val="00D660C2"/>
    <w:rsid w:val="00D67547"/>
    <w:rsid w:val="00D72905"/>
    <w:rsid w:val="00D75A6E"/>
    <w:rsid w:val="00D7693A"/>
    <w:rsid w:val="00D76D29"/>
    <w:rsid w:val="00D80D23"/>
    <w:rsid w:val="00D816ED"/>
    <w:rsid w:val="00D82F44"/>
    <w:rsid w:val="00D94DD3"/>
    <w:rsid w:val="00D9674A"/>
    <w:rsid w:val="00DA04FF"/>
    <w:rsid w:val="00DA6F8E"/>
    <w:rsid w:val="00DB05E8"/>
    <w:rsid w:val="00DC256D"/>
    <w:rsid w:val="00DC2951"/>
    <w:rsid w:val="00DC4226"/>
    <w:rsid w:val="00DD60C0"/>
    <w:rsid w:val="00DD6708"/>
    <w:rsid w:val="00DD69A8"/>
    <w:rsid w:val="00DE1EB6"/>
    <w:rsid w:val="00DF176E"/>
    <w:rsid w:val="00DF22B3"/>
    <w:rsid w:val="00DF3C46"/>
    <w:rsid w:val="00DF58C7"/>
    <w:rsid w:val="00DF720A"/>
    <w:rsid w:val="00E00989"/>
    <w:rsid w:val="00E00FE6"/>
    <w:rsid w:val="00E050A5"/>
    <w:rsid w:val="00E07CF7"/>
    <w:rsid w:val="00E1067F"/>
    <w:rsid w:val="00E13786"/>
    <w:rsid w:val="00E16DC2"/>
    <w:rsid w:val="00E20E8B"/>
    <w:rsid w:val="00E23314"/>
    <w:rsid w:val="00E27941"/>
    <w:rsid w:val="00E33308"/>
    <w:rsid w:val="00E33B00"/>
    <w:rsid w:val="00E4262A"/>
    <w:rsid w:val="00E43915"/>
    <w:rsid w:val="00E45DEB"/>
    <w:rsid w:val="00E46ADA"/>
    <w:rsid w:val="00E53D32"/>
    <w:rsid w:val="00E5654C"/>
    <w:rsid w:val="00E6176B"/>
    <w:rsid w:val="00E62369"/>
    <w:rsid w:val="00E67507"/>
    <w:rsid w:val="00E71F1E"/>
    <w:rsid w:val="00E74870"/>
    <w:rsid w:val="00E76338"/>
    <w:rsid w:val="00E767F4"/>
    <w:rsid w:val="00E81B4A"/>
    <w:rsid w:val="00E81FC6"/>
    <w:rsid w:val="00E82797"/>
    <w:rsid w:val="00E84727"/>
    <w:rsid w:val="00E8632F"/>
    <w:rsid w:val="00E915E6"/>
    <w:rsid w:val="00E97FEC"/>
    <w:rsid w:val="00EA1416"/>
    <w:rsid w:val="00EA41B0"/>
    <w:rsid w:val="00EB2ACC"/>
    <w:rsid w:val="00EB3DC2"/>
    <w:rsid w:val="00EC367B"/>
    <w:rsid w:val="00EC3FE6"/>
    <w:rsid w:val="00ED01EA"/>
    <w:rsid w:val="00ED0373"/>
    <w:rsid w:val="00ED080E"/>
    <w:rsid w:val="00ED1231"/>
    <w:rsid w:val="00ED4D91"/>
    <w:rsid w:val="00ED6643"/>
    <w:rsid w:val="00ED6685"/>
    <w:rsid w:val="00EE0746"/>
    <w:rsid w:val="00EE43CD"/>
    <w:rsid w:val="00EE6BCE"/>
    <w:rsid w:val="00EF14C8"/>
    <w:rsid w:val="00EF22E3"/>
    <w:rsid w:val="00EF4B57"/>
    <w:rsid w:val="00EF4F33"/>
    <w:rsid w:val="00EF589A"/>
    <w:rsid w:val="00EF79F3"/>
    <w:rsid w:val="00F00A8E"/>
    <w:rsid w:val="00F02062"/>
    <w:rsid w:val="00F020EB"/>
    <w:rsid w:val="00F12A6C"/>
    <w:rsid w:val="00F14F80"/>
    <w:rsid w:val="00F175AE"/>
    <w:rsid w:val="00F2000E"/>
    <w:rsid w:val="00F21F6C"/>
    <w:rsid w:val="00F23455"/>
    <w:rsid w:val="00F2352D"/>
    <w:rsid w:val="00F3072C"/>
    <w:rsid w:val="00F31E54"/>
    <w:rsid w:val="00F35E1A"/>
    <w:rsid w:val="00F37552"/>
    <w:rsid w:val="00F43C0F"/>
    <w:rsid w:val="00F45D13"/>
    <w:rsid w:val="00F530AF"/>
    <w:rsid w:val="00F576A1"/>
    <w:rsid w:val="00F6237F"/>
    <w:rsid w:val="00F66CB1"/>
    <w:rsid w:val="00F74159"/>
    <w:rsid w:val="00F7459D"/>
    <w:rsid w:val="00F749C1"/>
    <w:rsid w:val="00F76A61"/>
    <w:rsid w:val="00F77A2C"/>
    <w:rsid w:val="00F8082B"/>
    <w:rsid w:val="00F83379"/>
    <w:rsid w:val="00F87375"/>
    <w:rsid w:val="00F877D0"/>
    <w:rsid w:val="00F87FBF"/>
    <w:rsid w:val="00F90C14"/>
    <w:rsid w:val="00F93079"/>
    <w:rsid w:val="00F94972"/>
    <w:rsid w:val="00F959C2"/>
    <w:rsid w:val="00FA34E6"/>
    <w:rsid w:val="00FA386D"/>
    <w:rsid w:val="00FA70F6"/>
    <w:rsid w:val="00FB09D9"/>
    <w:rsid w:val="00FB3E09"/>
    <w:rsid w:val="00FB58FC"/>
    <w:rsid w:val="00FB6D4A"/>
    <w:rsid w:val="00FC3364"/>
    <w:rsid w:val="00FC554A"/>
    <w:rsid w:val="00FC710D"/>
    <w:rsid w:val="00FD2023"/>
    <w:rsid w:val="00FD282D"/>
    <w:rsid w:val="00FD3C8C"/>
    <w:rsid w:val="00FD41BF"/>
    <w:rsid w:val="00FD4AD2"/>
    <w:rsid w:val="00FD72E7"/>
    <w:rsid w:val="00FD779C"/>
    <w:rsid w:val="00FE0AB3"/>
    <w:rsid w:val="00FE26B0"/>
    <w:rsid w:val="00FE2C84"/>
    <w:rsid w:val="00FE6315"/>
    <w:rsid w:val="00FF19E2"/>
    <w:rsid w:val="00FF3291"/>
    <w:rsid w:val="00FF78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A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EA"/>
    <w:pPr>
      <w:spacing w:before="120" w:after="120" w:line="240" w:lineRule="auto"/>
    </w:pPr>
    <w:rPr>
      <w:rFonts w:cs="Times New Roman"/>
    </w:rPr>
  </w:style>
  <w:style w:type="paragraph" w:styleId="Heading1">
    <w:name w:val="heading 1"/>
    <w:basedOn w:val="NormalWeb"/>
    <w:next w:val="Normal"/>
    <w:link w:val="Heading1Char"/>
    <w:autoRedefine/>
    <w:qFormat/>
    <w:rsid w:val="00437750"/>
    <w:pPr>
      <w:keepNext/>
      <w:numPr>
        <w:numId w:val="26"/>
      </w:numPr>
      <w:spacing w:before="240" w:after="0"/>
      <w:outlineLvl w:val="0"/>
    </w:pPr>
    <w:rPr>
      <w:rFonts w:ascii="Arial" w:hAnsi="Arial" w:cs="Arial"/>
      <w:b/>
      <w:bCs/>
      <w:kern w:val="32"/>
      <w:szCs w:val="32"/>
      <w:lang w:eastAsia="en-NZ"/>
    </w:rPr>
  </w:style>
  <w:style w:type="paragraph" w:styleId="Heading2">
    <w:name w:val="heading 2"/>
    <w:basedOn w:val="Heading1"/>
    <w:next w:val="Normal"/>
    <w:link w:val="Heading2Char"/>
    <w:autoRedefine/>
    <w:qFormat/>
    <w:rsid w:val="001301F9"/>
    <w:pPr>
      <w:numPr>
        <w:numId w:val="27"/>
      </w:numPr>
      <w:spacing w:before="120"/>
      <w:outlineLvl w:val="1"/>
    </w:pPr>
    <w:rPr>
      <w:bCs w:val="0"/>
      <w:iCs/>
      <w:szCs w:val="28"/>
    </w:rPr>
  </w:style>
  <w:style w:type="paragraph" w:styleId="Heading3">
    <w:name w:val="heading 3"/>
    <w:basedOn w:val="Normal"/>
    <w:next w:val="Normal"/>
    <w:link w:val="Heading3Char"/>
    <w:autoRedefine/>
    <w:qFormat/>
    <w:rsid w:val="00B82B49"/>
    <w:pPr>
      <w:numPr>
        <w:numId w:val="16"/>
      </w:numPr>
      <w:ind w:left="567" w:hanging="567"/>
      <w:outlineLvl w:val="2"/>
    </w:pPr>
    <w:rPr>
      <w:b/>
      <w:bCs/>
      <w:szCs w:val="26"/>
      <w:lang w:val="en-GB"/>
    </w:rPr>
  </w:style>
  <w:style w:type="paragraph" w:styleId="Heading4">
    <w:name w:val="heading 4"/>
    <w:basedOn w:val="Normal"/>
    <w:next w:val="Normal"/>
    <w:link w:val="Heading4Char"/>
    <w:qFormat/>
    <w:rsid w:val="00EE074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E58FA"/>
    <w:pPr>
      <w:spacing w:before="240" w:after="60"/>
      <w:outlineLvl w:val="4"/>
    </w:pPr>
  </w:style>
  <w:style w:type="paragraph" w:styleId="Heading6">
    <w:name w:val="heading 6"/>
    <w:basedOn w:val="Normal"/>
    <w:next w:val="Normal"/>
    <w:link w:val="Heading6Char"/>
    <w:qFormat/>
    <w:rsid w:val="004E58FA"/>
    <w:pPr>
      <w:spacing w:before="240" w:after="60"/>
      <w:outlineLvl w:val="5"/>
    </w:pPr>
    <w:rPr>
      <w:i/>
    </w:rPr>
  </w:style>
  <w:style w:type="paragraph" w:styleId="Heading7">
    <w:name w:val="heading 7"/>
    <w:basedOn w:val="Normal"/>
    <w:next w:val="Normal"/>
    <w:link w:val="Heading7Char"/>
    <w:qFormat/>
    <w:rsid w:val="004E58FA"/>
    <w:pPr>
      <w:spacing w:before="240" w:after="60"/>
      <w:outlineLvl w:val="6"/>
    </w:pPr>
    <w:rPr>
      <w:sz w:val="20"/>
    </w:rPr>
  </w:style>
  <w:style w:type="paragraph" w:styleId="Heading8">
    <w:name w:val="heading 8"/>
    <w:basedOn w:val="Normal"/>
    <w:next w:val="Normal"/>
    <w:link w:val="Heading8Char"/>
    <w:qFormat/>
    <w:rsid w:val="004E58FA"/>
    <w:pPr>
      <w:spacing w:before="240" w:after="6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Nrs">
    <w:name w:val="HeadingsNrs"/>
    <w:uiPriority w:val="99"/>
    <w:rsid w:val="004E58FA"/>
    <w:pPr>
      <w:numPr>
        <w:numId w:val="1"/>
      </w:numPr>
    </w:pPr>
  </w:style>
  <w:style w:type="numbering" w:customStyle="1" w:styleId="Bullets">
    <w:name w:val="Bullets"/>
    <w:uiPriority w:val="99"/>
    <w:rsid w:val="004E58FA"/>
    <w:pPr>
      <w:numPr>
        <w:numId w:val="2"/>
      </w:numPr>
    </w:pPr>
  </w:style>
  <w:style w:type="character" w:customStyle="1" w:styleId="Heading3Char">
    <w:name w:val="Heading 3 Char"/>
    <w:link w:val="Heading3"/>
    <w:rsid w:val="00B82B49"/>
    <w:rPr>
      <w:rFonts w:cs="Times New Roman"/>
      <w:b/>
      <w:bCs/>
      <w:szCs w:val="26"/>
      <w:lang w:val="en-GB"/>
    </w:rPr>
  </w:style>
  <w:style w:type="character" w:customStyle="1" w:styleId="Heading2Char">
    <w:name w:val="Heading 2 Char"/>
    <w:link w:val="Heading2"/>
    <w:rsid w:val="001301F9"/>
    <w:rPr>
      <w:rFonts w:cs="Arial"/>
      <w:b/>
      <w:iCs/>
      <w:kern w:val="32"/>
      <w:szCs w:val="28"/>
      <w:lang w:eastAsia="en-NZ"/>
    </w:rPr>
  </w:style>
  <w:style w:type="character" w:customStyle="1" w:styleId="Heading1Char">
    <w:name w:val="Heading 1 Char"/>
    <w:basedOn w:val="DefaultParagraphFont"/>
    <w:link w:val="Heading1"/>
    <w:rsid w:val="00437750"/>
    <w:rPr>
      <w:rFonts w:cs="Arial"/>
      <w:b/>
      <w:bCs/>
      <w:kern w:val="32"/>
      <w:szCs w:val="32"/>
      <w:lang w:eastAsia="en-NZ"/>
    </w:rPr>
  </w:style>
  <w:style w:type="paragraph" w:styleId="Title">
    <w:name w:val="Title"/>
    <w:basedOn w:val="Normal"/>
    <w:next w:val="Normal"/>
    <w:link w:val="TitleChar"/>
    <w:uiPriority w:val="10"/>
    <w:qFormat/>
    <w:rsid w:val="004E58FA"/>
    <w:pPr>
      <w:spacing w:after="300"/>
      <w:contextualSpacing/>
      <w:jc w:val="center"/>
    </w:pPr>
    <w:rPr>
      <w:rFonts w:eastAsiaTheme="majorEastAsia" w:cstheme="majorBidi"/>
      <w:b/>
      <w:caps/>
      <w:spacing w:val="5"/>
      <w:kern w:val="28"/>
      <w:sz w:val="36"/>
      <w:szCs w:val="52"/>
    </w:rPr>
  </w:style>
  <w:style w:type="character" w:customStyle="1" w:styleId="TitleChar">
    <w:name w:val="Title Char"/>
    <w:basedOn w:val="DefaultParagraphFont"/>
    <w:link w:val="Title"/>
    <w:uiPriority w:val="10"/>
    <w:rsid w:val="004E58FA"/>
    <w:rPr>
      <w:rFonts w:eastAsiaTheme="majorEastAsia" w:cstheme="majorBidi"/>
      <w:b/>
      <w:caps/>
      <w:spacing w:val="5"/>
      <w:kern w:val="28"/>
      <w:sz w:val="36"/>
      <w:szCs w:val="52"/>
      <w:lang w:val="en-GB"/>
    </w:rPr>
  </w:style>
  <w:style w:type="character" w:styleId="Emphasis">
    <w:name w:val="Emphasis"/>
    <w:basedOn w:val="DefaultParagraphFont"/>
    <w:uiPriority w:val="20"/>
    <w:qFormat/>
    <w:rsid w:val="004E58FA"/>
    <w:rPr>
      <w:b/>
      <w:i w:val="0"/>
      <w:iCs/>
    </w:rPr>
  </w:style>
  <w:style w:type="paragraph" w:customStyle="1" w:styleId="2ListParagraph">
    <w:name w:val="2List Paragraph"/>
    <w:basedOn w:val="ListParagraph"/>
    <w:next w:val="Normal"/>
    <w:uiPriority w:val="4"/>
    <w:qFormat/>
    <w:rsid w:val="004E58FA"/>
    <w:pPr>
      <w:numPr>
        <w:numId w:val="3"/>
      </w:numPr>
    </w:pPr>
  </w:style>
  <w:style w:type="paragraph" w:styleId="ListParagraph">
    <w:name w:val="List Paragraph"/>
    <w:basedOn w:val="Normal"/>
    <w:uiPriority w:val="99"/>
    <w:qFormat/>
    <w:rsid w:val="00A469A0"/>
    <w:pPr>
      <w:numPr>
        <w:numId w:val="11"/>
      </w:numPr>
      <w:contextualSpacing/>
    </w:pPr>
  </w:style>
  <w:style w:type="paragraph" w:customStyle="1" w:styleId="bullet">
    <w:name w:val="bullet"/>
    <w:basedOn w:val="Normal"/>
    <w:unhideWhenUsed/>
    <w:rsid w:val="004E58FA"/>
    <w:pPr>
      <w:spacing w:before="100" w:beforeAutospacing="1" w:after="100" w:afterAutospacing="1"/>
    </w:pPr>
    <w:rPr>
      <w:rFonts w:ascii="Times New Roman" w:hAnsi="Times New Roman"/>
      <w:lang w:eastAsia="en-NZ"/>
    </w:rPr>
  </w:style>
  <w:style w:type="paragraph" w:customStyle="1" w:styleId="BulletPoints">
    <w:name w:val="Bullet Points"/>
    <w:basedOn w:val="Normal"/>
    <w:unhideWhenUsed/>
    <w:rsid w:val="004E58FA"/>
    <w:pPr>
      <w:ind w:left="720" w:hanging="720"/>
    </w:pPr>
    <w:rPr>
      <w:rFonts w:ascii="Times New Roman" w:hAnsi="Times New Roman"/>
      <w:lang w:val="en-AU" w:eastAsia="en-GB"/>
    </w:rPr>
  </w:style>
  <w:style w:type="character" w:customStyle="1" w:styleId="Heading5Char">
    <w:name w:val="Heading 5 Char"/>
    <w:basedOn w:val="DefaultParagraphFont"/>
    <w:link w:val="Heading5"/>
    <w:uiPriority w:val="6"/>
    <w:rsid w:val="004E58FA"/>
    <w:rPr>
      <w:rFonts w:cs="Times New Roman"/>
      <w:szCs w:val="20"/>
      <w:lang w:val="en-GB"/>
    </w:rPr>
  </w:style>
  <w:style w:type="character" w:customStyle="1" w:styleId="Heading6Char">
    <w:name w:val="Heading 6 Char"/>
    <w:basedOn w:val="DefaultParagraphFont"/>
    <w:link w:val="Heading6"/>
    <w:uiPriority w:val="7"/>
    <w:rsid w:val="004E58FA"/>
    <w:rPr>
      <w:rFonts w:cs="Times New Roman"/>
      <w:i/>
      <w:szCs w:val="20"/>
      <w:lang w:val="en-GB"/>
    </w:rPr>
  </w:style>
  <w:style w:type="character" w:customStyle="1" w:styleId="Heading7Char">
    <w:name w:val="Heading 7 Char"/>
    <w:basedOn w:val="DefaultParagraphFont"/>
    <w:link w:val="Heading7"/>
    <w:uiPriority w:val="8"/>
    <w:rsid w:val="004E58FA"/>
    <w:rPr>
      <w:rFonts w:cs="Times New Roman"/>
      <w:sz w:val="20"/>
      <w:szCs w:val="20"/>
      <w:lang w:val="en-GB"/>
    </w:rPr>
  </w:style>
  <w:style w:type="character" w:customStyle="1" w:styleId="Heading8Char">
    <w:name w:val="Heading 8 Char"/>
    <w:basedOn w:val="DefaultParagraphFont"/>
    <w:link w:val="Heading8"/>
    <w:uiPriority w:val="9"/>
    <w:rsid w:val="004E58FA"/>
    <w:rPr>
      <w:rFonts w:cs="Times New Roman"/>
      <w:i/>
      <w:sz w:val="20"/>
      <w:szCs w:val="20"/>
      <w:lang w:val="en-GB"/>
    </w:rPr>
  </w:style>
  <w:style w:type="paragraph" w:styleId="FootnoteText">
    <w:name w:val="footnote text"/>
    <w:basedOn w:val="Normal"/>
    <w:link w:val="FootnoteTextChar"/>
    <w:semiHidden/>
    <w:unhideWhenUsed/>
    <w:rsid w:val="00633E39"/>
    <w:rPr>
      <w:sz w:val="20"/>
    </w:rPr>
  </w:style>
  <w:style w:type="character" w:customStyle="1" w:styleId="FootnoteTextChar">
    <w:name w:val="Footnote Text Char"/>
    <w:basedOn w:val="DefaultParagraphFont"/>
    <w:link w:val="FootnoteText"/>
    <w:semiHidden/>
    <w:rsid w:val="00633E39"/>
    <w:rPr>
      <w:rFonts w:cs="Times New Roman"/>
      <w:sz w:val="20"/>
    </w:rPr>
  </w:style>
  <w:style w:type="paragraph" w:styleId="CommentText">
    <w:name w:val="annotation text"/>
    <w:basedOn w:val="Normal"/>
    <w:link w:val="CommentTextChar"/>
    <w:uiPriority w:val="99"/>
    <w:unhideWhenUsed/>
    <w:rsid w:val="004E58FA"/>
  </w:style>
  <w:style w:type="character" w:customStyle="1" w:styleId="CommentTextChar">
    <w:name w:val="Comment Text Char"/>
    <w:basedOn w:val="DefaultParagraphFont"/>
    <w:link w:val="CommentText"/>
    <w:uiPriority w:val="99"/>
    <w:rsid w:val="004E58FA"/>
    <w:rPr>
      <w:rFonts w:cs="Times New Roman"/>
      <w:szCs w:val="20"/>
      <w:lang w:val="en-GB"/>
    </w:rPr>
  </w:style>
  <w:style w:type="paragraph" w:styleId="Header">
    <w:name w:val="header"/>
    <w:basedOn w:val="Normal"/>
    <w:link w:val="HeaderChar"/>
    <w:unhideWhenUsed/>
    <w:rsid w:val="004E58FA"/>
    <w:pPr>
      <w:tabs>
        <w:tab w:val="center" w:pos="4513"/>
        <w:tab w:val="right" w:pos="9026"/>
      </w:tabs>
    </w:pPr>
  </w:style>
  <w:style w:type="character" w:customStyle="1" w:styleId="HeaderChar">
    <w:name w:val="Header Char"/>
    <w:basedOn w:val="DefaultParagraphFont"/>
    <w:link w:val="Header"/>
    <w:rsid w:val="004E58FA"/>
    <w:rPr>
      <w:rFonts w:cs="Times New Roman"/>
      <w:szCs w:val="20"/>
      <w:lang w:val="en-GB"/>
    </w:rPr>
  </w:style>
  <w:style w:type="paragraph" w:styleId="Footer">
    <w:name w:val="footer"/>
    <w:basedOn w:val="Normal"/>
    <w:link w:val="FooterChar"/>
    <w:uiPriority w:val="99"/>
    <w:unhideWhenUsed/>
    <w:rsid w:val="004E58FA"/>
    <w:pPr>
      <w:tabs>
        <w:tab w:val="center" w:pos="4153"/>
        <w:tab w:val="right" w:pos="8306"/>
      </w:tabs>
    </w:pPr>
  </w:style>
  <w:style w:type="character" w:customStyle="1" w:styleId="FooterChar">
    <w:name w:val="Footer Char"/>
    <w:basedOn w:val="DefaultParagraphFont"/>
    <w:link w:val="Footer"/>
    <w:uiPriority w:val="99"/>
    <w:rsid w:val="004E58FA"/>
    <w:rPr>
      <w:rFonts w:cs="Times New Roman"/>
      <w:szCs w:val="20"/>
      <w:lang w:val="en-GB"/>
    </w:rPr>
  </w:style>
  <w:style w:type="character" w:styleId="FootnoteReference">
    <w:name w:val="footnote reference"/>
    <w:basedOn w:val="DefaultParagraphFont"/>
    <w:uiPriority w:val="99"/>
    <w:unhideWhenUsed/>
    <w:rsid w:val="004E58FA"/>
    <w:rPr>
      <w:vertAlign w:val="superscript"/>
    </w:rPr>
  </w:style>
  <w:style w:type="character" w:styleId="CommentReference">
    <w:name w:val="annotation reference"/>
    <w:basedOn w:val="DefaultParagraphFont"/>
    <w:uiPriority w:val="99"/>
    <w:semiHidden/>
    <w:unhideWhenUsed/>
    <w:rsid w:val="004E58FA"/>
    <w:rPr>
      <w:sz w:val="16"/>
      <w:szCs w:val="16"/>
    </w:rPr>
  </w:style>
  <w:style w:type="character" w:styleId="PageNumber">
    <w:name w:val="page number"/>
    <w:basedOn w:val="DefaultParagraphFont"/>
    <w:unhideWhenUsed/>
    <w:rsid w:val="004E58FA"/>
  </w:style>
  <w:style w:type="paragraph" w:styleId="BodyText2">
    <w:name w:val="Body Text 2"/>
    <w:basedOn w:val="Normal"/>
    <w:link w:val="BodyText2Char"/>
    <w:rsid w:val="004E58FA"/>
    <w:pPr>
      <w:ind w:left="142"/>
    </w:pPr>
  </w:style>
  <w:style w:type="character" w:customStyle="1" w:styleId="BodyText2Char">
    <w:name w:val="Body Text 2 Char"/>
    <w:basedOn w:val="DefaultParagraphFont"/>
    <w:link w:val="BodyText2"/>
    <w:uiPriority w:val="99"/>
    <w:rsid w:val="004E58FA"/>
    <w:rPr>
      <w:rFonts w:cs="Times New Roman"/>
      <w:szCs w:val="20"/>
      <w:lang w:val="en-GB"/>
    </w:rPr>
  </w:style>
  <w:style w:type="paragraph" w:styleId="BodyTextIndent3">
    <w:name w:val="Body Text Indent 3"/>
    <w:basedOn w:val="Normal"/>
    <w:link w:val="BodyTextIndent3Char"/>
    <w:uiPriority w:val="99"/>
    <w:rsid w:val="004E58FA"/>
    <w:pPr>
      <w:ind w:left="2220"/>
    </w:pPr>
    <w:rPr>
      <w:rFonts w:ascii="Times New Roman" w:hAnsi="Times New Roman"/>
    </w:rPr>
  </w:style>
  <w:style w:type="character" w:customStyle="1" w:styleId="BodyTextIndent3Char">
    <w:name w:val="Body Text Indent 3 Char"/>
    <w:basedOn w:val="DefaultParagraphFont"/>
    <w:link w:val="BodyTextIndent3"/>
    <w:uiPriority w:val="99"/>
    <w:rsid w:val="004E58FA"/>
    <w:rPr>
      <w:rFonts w:ascii="Times New Roman" w:hAnsi="Times New Roman" w:cs="Times New Roman"/>
      <w:szCs w:val="20"/>
    </w:rPr>
  </w:style>
  <w:style w:type="character" w:styleId="Hyperlink">
    <w:name w:val="Hyperlink"/>
    <w:basedOn w:val="DefaultParagraphFont"/>
    <w:rsid w:val="004E58FA"/>
    <w:rPr>
      <w:rFonts w:cs="Times New Roman"/>
      <w:color w:val="0000FF"/>
      <w:u w:val="single"/>
    </w:rPr>
  </w:style>
  <w:style w:type="character" w:styleId="Strong">
    <w:name w:val="Strong"/>
    <w:basedOn w:val="DefaultParagraphFont"/>
    <w:uiPriority w:val="22"/>
    <w:qFormat/>
    <w:rsid w:val="004E58FA"/>
    <w:rPr>
      <w:b/>
      <w:bCs/>
    </w:rPr>
  </w:style>
  <w:style w:type="paragraph" w:styleId="CommentSubject">
    <w:name w:val="annotation subject"/>
    <w:basedOn w:val="CommentText"/>
    <w:next w:val="CommentText"/>
    <w:link w:val="CommentSubjectChar"/>
    <w:semiHidden/>
    <w:unhideWhenUsed/>
    <w:rsid w:val="004E58FA"/>
    <w:rPr>
      <w:b/>
      <w:bCs/>
      <w:sz w:val="20"/>
    </w:rPr>
  </w:style>
  <w:style w:type="character" w:customStyle="1" w:styleId="CommentSubjectChar">
    <w:name w:val="Comment Subject Char"/>
    <w:basedOn w:val="CommentTextChar"/>
    <w:link w:val="CommentSubject"/>
    <w:uiPriority w:val="99"/>
    <w:semiHidden/>
    <w:rsid w:val="004E58FA"/>
    <w:rPr>
      <w:rFonts w:cs="Times New Roman"/>
      <w:b/>
      <w:bCs/>
      <w:sz w:val="20"/>
      <w:szCs w:val="20"/>
      <w:lang w:val="en-GB"/>
    </w:rPr>
  </w:style>
  <w:style w:type="paragraph" w:styleId="BalloonText">
    <w:name w:val="Balloon Text"/>
    <w:basedOn w:val="Normal"/>
    <w:link w:val="BalloonTextChar"/>
    <w:semiHidden/>
    <w:unhideWhenUsed/>
    <w:rsid w:val="004E58FA"/>
    <w:rPr>
      <w:rFonts w:ascii="Tahoma" w:hAnsi="Tahoma" w:cs="Tahoma"/>
      <w:sz w:val="16"/>
      <w:szCs w:val="16"/>
    </w:rPr>
  </w:style>
  <w:style w:type="character" w:customStyle="1" w:styleId="BalloonTextChar">
    <w:name w:val="Balloon Text Char"/>
    <w:basedOn w:val="DefaultParagraphFont"/>
    <w:link w:val="BalloonText"/>
    <w:uiPriority w:val="99"/>
    <w:semiHidden/>
    <w:rsid w:val="004E58FA"/>
    <w:rPr>
      <w:rFonts w:ascii="Tahoma" w:hAnsi="Tahoma" w:cs="Tahoma"/>
      <w:sz w:val="16"/>
      <w:szCs w:val="16"/>
      <w:lang w:val="en-GB"/>
    </w:rPr>
  </w:style>
  <w:style w:type="table" w:styleId="TableGrid">
    <w:name w:val="Table Grid"/>
    <w:basedOn w:val="TableNormal"/>
    <w:rsid w:val="004E58F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E58FA"/>
    <w:rPr>
      <w:i/>
      <w:iCs/>
      <w:color w:val="auto"/>
    </w:rPr>
  </w:style>
  <w:style w:type="character" w:styleId="BookTitle">
    <w:name w:val="Book Title"/>
    <w:basedOn w:val="DefaultParagraphFont"/>
    <w:uiPriority w:val="33"/>
    <w:qFormat/>
    <w:rsid w:val="004E58FA"/>
    <w:rPr>
      <w:b/>
      <w:bCs/>
      <w:smallCaps/>
      <w:spacing w:val="5"/>
    </w:rPr>
  </w:style>
  <w:style w:type="paragraph" w:customStyle="1" w:styleId="Tablenormal0">
    <w:name w:val="Table normal"/>
    <w:basedOn w:val="Normal"/>
    <w:uiPriority w:val="4"/>
    <w:qFormat/>
    <w:rsid w:val="004E58FA"/>
    <w:rPr>
      <w:sz w:val="22"/>
    </w:rPr>
  </w:style>
  <w:style w:type="paragraph" w:customStyle="1" w:styleId="Tablelist">
    <w:name w:val="Table list"/>
    <w:basedOn w:val="ListParagraph"/>
    <w:uiPriority w:val="5"/>
    <w:qFormat/>
    <w:rsid w:val="004E58FA"/>
    <w:pPr>
      <w:numPr>
        <w:numId w:val="0"/>
      </w:numPr>
    </w:pPr>
    <w:rPr>
      <w:sz w:val="22"/>
    </w:rPr>
  </w:style>
  <w:style w:type="paragraph" w:styleId="NormalIndent">
    <w:name w:val="Normal Indent"/>
    <w:basedOn w:val="Normal"/>
    <w:unhideWhenUsed/>
    <w:rsid w:val="004E58FA"/>
    <w:pPr>
      <w:tabs>
        <w:tab w:val="left" w:pos="709"/>
        <w:tab w:val="left" w:pos="1418"/>
      </w:tabs>
      <w:ind w:left="720"/>
    </w:pPr>
    <w:rPr>
      <w:rFonts w:ascii="Times New Roman" w:hAnsi="Times New Roman"/>
    </w:rPr>
  </w:style>
  <w:style w:type="paragraph" w:styleId="BodyText">
    <w:name w:val="Body Text"/>
    <w:basedOn w:val="Normal"/>
    <w:link w:val="BodyTextChar"/>
    <w:qFormat/>
    <w:rsid w:val="004E58FA"/>
    <w:pPr>
      <w:ind w:left="284"/>
    </w:pPr>
  </w:style>
  <w:style w:type="character" w:customStyle="1" w:styleId="BodyTextChar">
    <w:name w:val="Body Text Char"/>
    <w:basedOn w:val="DefaultParagraphFont"/>
    <w:link w:val="BodyText"/>
    <w:rsid w:val="004E58FA"/>
    <w:rPr>
      <w:rFonts w:cs="Times New Roman"/>
      <w:szCs w:val="20"/>
      <w:lang w:val="en-GB"/>
    </w:rPr>
  </w:style>
  <w:style w:type="character" w:customStyle="1" w:styleId="Heading4Char">
    <w:name w:val="Heading 4 Char"/>
    <w:basedOn w:val="DefaultParagraphFont"/>
    <w:link w:val="Heading4"/>
    <w:rsid w:val="00EE0746"/>
    <w:rPr>
      <w:rFonts w:ascii="Times New Roman" w:hAnsi="Times New Roman" w:cs="Times New Roman"/>
      <w:b/>
      <w:bCs/>
      <w:sz w:val="28"/>
      <w:szCs w:val="28"/>
    </w:rPr>
  </w:style>
  <w:style w:type="paragraph" w:styleId="BodyTextIndent">
    <w:name w:val="Body Text Indent"/>
    <w:basedOn w:val="Normal"/>
    <w:link w:val="BodyTextIndentChar"/>
    <w:rsid w:val="00EE0746"/>
    <w:pPr>
      <w:ind w:left="283"/>
    </w:pPr>
  </w:style>
  <w:style w:type="character" w:customStyle="1" w:styleId="BodyTextIndentChar">
    <w:name w:val="Body Text Indent Char"/>
    <w:basedOn w:val="DefaultParagraphFont"/>
    <w:link w:val="BodyTextIndent"/>
    <w:rsid w:val="00EE0746"/>
    <w:rPr>
      <w:rFonts w:ascii="Times New Roman Mäori" w:hAnsi="Times New Roman Mäori" w:cs="Times New Roman"/>
    </w:rPr>
  </w:style>
  <w:style w:type="paragraph" w:customStyle="1" w:styleId="111">
    <w:name w:val="1.1.1"/>
    <w:basedOn w:val="Normal"/>
    <w:rsid w:val="00EE0746"/>
    <w:pPr>
      <w:numPr>
        <w:ilvl w:val="2"/>
        <w:numId w:val="4"/>
      </w:numPr>
      <w:tabs>
        <w:tab w:val="left" w:pos="1134"/>
      </w:tabs>
      <w:ind w:left="1134" w:hanging="567"/>
    </w:pPr>
    <w:rPr>
      <w:rFonts w:cs="Arial"/>
      <w:bCs/>
      <w:sz w:val="20"/>
      <w:szCs w:val="20"/>
      <w:u w:val="single"/>
      <w:lang w:val="en-US"/>
    </w:rPr>
  </w:style>
  <w:style w:type="paragraph" w:styleId="BodyTextIndent2">
    <w:name w:val="Body Text Indent 2"/>
    <w:basedOn w:val="Normal"/>
    <w:link w:val="BodyTextIndent2Char"/>
    <w:rsid w:val="00EE0746"/>
    <w:pPr>
      <w:ind w:left="720"/>
    </w:pPr>
    <w:rPr>
      <w:rFonts w:cs="Arial"/>
      <w:sz w:val="20"/>
    </w:rPr>
  </w:style>
  <w:style w:type="character" w:customStyle="1" w:styleId="BodyTextIndent2Char">
    <w:name w:val="Body Text Indent 2 Char"/>
    <w:basedOn w:val="DefaultParagraphFont"/>
    <w:link w:val="BodyTextIndent2"/>
    <w:rsid w:val="00EE0746"/>
    <w:rPr>
      <w:rFonts w:cs="Arial"/>
      <w:sz w:val="20"/>
    </w:rPr>
  </w:style>
  <w:style w:type="paragraph" w:customStyle="1" w:styleId="11">
    <w:name w:val="1.1"/>
    <w:basedOn w:val="Normal"/>
    <w:rsid w:val="00EE0746"/>
    <w:pPr>
      <w:numPr>
        <w:ilvl w:val="1"/>
        <w:numId w:val="4"/>
      </w:numPr>
      <w:tabs>
        <w:tab w:val="left" w:pos="567"/>
        <w:tab w:val="num" w:pos="720"/>
      </w:tabs>
      <w:ind w:left="567" w:hanging="567"/>
    </w:pPr>
    <w:rPr>
      <w:rFonts w:cs="Arial"/>
      <w:b/>
      <w:i/>
      <w:iCs/>
      <w:sz w:val="20"/>
      <w:szCs w:val="20"/>
      <w:lang w:val="en-US"/>
    </w:rPr>
  </w:style>
  <w:style w:type="paragraph" w:styleId="BodyText3">
    <w:name w:val="Body Text 3"/>
    <w:basedOn w:val="Normal"/>
    <w:link w:val="BodyText3Char"/>
    <w:rsid w:val="00EE0746"/>
    <w:rPr>
      <w:sz w:val="16"/>
      <w:szCs w:val="16"/>
    </w:rPr>
  </w:style>
  <w:style w:type="character" w:customStyle="1" w:styleId="BodyText3Char">
    <w:name w:val="Body Text 3 Char"/>
    <w:basedOn w:val="DefaultParagraphFont"/>
    <w:link w:val="BodyText3"/>
    <w:rsid w:val="00EE0746"/>
    <w:rPr>
      <w:rFonts w:ascii="Times New Roman Mäori" w:hAnsi="Times New Roman Mäori" w:cs="Times New Roman"/>
      <w:sz w:val="16"/>
      <w:szCs w:val="16"/>
    </w:rPr>
  </w:style>
  <w:style w:type="numbering" w:customStyle="1" w:styleId="scsbullets">
    <w:name w:val="scsbullets"/>
    <w:rsid w:val="00EE0746"/>
    <w:pPr>
      <w:numPr>
        <w:numId w:val="6"/>
      </w:numPr>
    </w:pPr>
  </w:style>
  <w:style w:type="paragraph" w:styleId="ListBullet">
    <w:name w:val="List Bullet"/>
    <w:basedOn w:val="Normal"/>
    <w:uiPriority w:val="99"/>
    <w:unhideWhenUsed/>
    <w:qFormat/>
    <w:rsid w:val="00A469A0"/>
    <w:pPr>
      <w:numPr>
        <w:numId w:val="17"/>
      </w:numPr>
      <w:spacing w:before="0" w:after="0"/>
    </w:pPr>
    <w:rPr>
      <w:rFonts w:eastAsia="Calibri"/>
      <w:szCs w:val="20"/>
    </w:rPr>
  </w:style>
  <w:style w:type="character" w:styleId="FollowedHyperlink">
    <w:name w:val="FollowedHyperlink"/>
    <w:basedOn w:val="DefaultParagraphFont"/>
    <w:rsid w:val="00EE0746"/>
    <w:rPr>
      <w:color w:val="800080" w:themeColor="followedHyperlink"/>
      <w:u w:val="single"/>
    </w:rPr>
  </w:style>
  <w:style w:type="character" w:customStyle="1" w:styleId="SCSnormaliscsChar">
    <w:name w:val="SCSnormaliscs Char"/>
    <w:basedOn w:val="DefaultParagraphFont"/>
    <w:link w:val="SCSnormaliscs"/>
    <w:uiPriority w:val="99"/>
    <w:locked/>
    <w:rsid w:val="00EE0746"/>
  </w:style>
  <w:style w:type="paragraph" w:customStyle="1" w:styleId="SCSnormaliscs">
    <w:name w:val="SCSnormaliscs"/>
    <w:basedOn w:val="Normal"/>
    <w:link w:val="SCSnormaliscsChar"/>
    <w:uiPriority w:val="99"/>
    <w:qFormat/>
    <w:rsid w:val="00EE0746"/>
    <w:rPr>
      <w:rFonts w:cstheme="minorBidi"/>
    </w:rPr>
  </w:style>
  <w:style w:type="character" w:customStyle="1" w:styleId="scsTH2Char">
    <w:name w:val="scsTH2 Char"/>
    <w:basedOn w:val="DefaultParagraphFont"/>
    <w:link w:val="scsTH2"/>
    <w:locked/>
    <w:rsid w:val="00EE0746"/>
    <w:rPr>
      <w:b/>
    </w:rPr>
  </w:style>
  <w:style w:type="paragraph" w:customStyle="1" w:styleId="scsTH2">
    <w:name w:val="scsTH2"/>
    <w:basedOn w:val="Normal"/>
    <w:next w:val="SCSnormaliscs"/>
    <w:link w:val="scsTH2Char"/>
    <w:qFormat/>
    <w:rsid w:val="00EE0746"/>
    <w:pPr>
      <w:outlineLvl w:val="4"/>
    </w:pPr>
    <w:rPr>
      <w:rFonts w:cstheme="minorBidi"/>
      <w:b/>
    </w:rPr>
  </w:style>
  <w:style w:type="paragraph" w:styleId="ListNumber2">
    <w:name w:val="List Number 2"/>
    <w:basedOn w:val="Normal"/>
    <w:rsid w:val="00EE0746"/>
    <w:pPr>
      <w:numPr>
        <w:numId w:val="7"/>
      </w:numPr>
      <w:contextualSpacing/>
    </w:pPr>
  </w:style>
  <w:style w:type="paragraph" w:styleId="Revision">
    <w:name w:val="Revision"/>
    <w:hidden/>
    <w:uiPriority w:val="99"/>
    <w:semiHidden/>
    <w:rsid w:val="00650BD6"/>
    <w:pPr>
      <w:spacing w:after="0" w:line="240" w:lineRule="auto"/>
    </w:pPr>
    <w:rPr>
      <w:rFonts w:cs="Times New Roman"/>
    </w:rPr>
  </w:style>
  <w:style w:type="table" w:customStyle="1" w:styleId="TableGrid1">
    <w:name w:val="Table Grid1"/>
    <w:basedOn w:val="TableNormal"/>
    <w:next w:val="TableGrid"/>
    <w:rsid w:val="001D5897"/>
    <w:pPr>
      <w:spacing w:after="0" w:line="240" w:lineRule="auto"/>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C7273"/>
    <w:pPr>
      <w:spacing w:after="0" w:line="240" w:lineRule="auto"/>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89A"/>
    <w:rPr>
      <w:rFonts w:ascii="Times New Roman" w:hAnsi="Times New Roman"/>
    </w:rPr>
  </w:style>
  <w:style w:type="paragraph" w:customStyle="1" w:styleId="Dash">
    <w:name w:val="Dash"/>
    <w:basedOn w:val="bullet"/>
    <w:qFormat/>
    <w:rsid w:val="00F77A2C"/>
    <w:pPr>
      <w:numPr>
        <w:numId w:val="21"/>
      </w:numPr>
      <w:spacing w:before="60" w:beforeAutospacing="0" w:after="0" w:afterAutospacing="0" w:line="264" w:lineRule="auto"/>
    </w:pPr>
    <w:rPr>
      <w:rFonts w:ascii="Arial" w:hAnsi="Arial"/>
      <w:sz w:val="22"/>
      <w:szCs w:val="20"/>
      <w:lang w:eastAsia="en-GB"/>
    </w:rPr>
  </w:style>
  <w:style w:type="paragraph" w:styleId="EndnoteText">
    <w:name w:val="endnote text"/>
    <w:basedOn w:val="Normal"/>
    <w:link w:val="EndnoteTextChar"/>
    <w:uiPriority w:val="99"/>
    <w:semiHidden/>
    <w:unhideWhenUsed/>
    <w:rsid w:val="00F77A2C"/>
    <w:pPr>
      <w:spacing w:before="0" w:after="0"/>
    </w:pPr>
    <w:rPr>
      <w:sz w:val="20"/>
      <w:szCs w:val="20"/>
    </w:rPr>
  </w:style>
  <w:style w:type="character" w:customStyle="1" w:styleId="EndnoteTextChar">
    <w:name w:val="Endnote Text Char"/>
    <w:basedOn w:val="DefaultParagraphFont"/>
    <w:link w:val="EndnoteText"/>
    <w:uiPriority w:val="99"/>
    <w:semiHidden/>
    <w:rsid w:val="00F77A2C"/>
    <w:rPr>
      <w:rFonts w:cs="Times New Roman"/>
      <w:sz w:val="20"/>
      <w:szCs w:val="20"/>
    </w:rPr>
  </w:style>
  <w:style w:type="character" w:styleId="EndnoteReference">
    <w:name w:val="endnote reference"/>
    <w:basedOn w:val="DefaultParagraphFont"/>
    <w:uiPriority w:val="99"/>
    <w:semiHidden/>
    <w:unhideWhenUsed/>
    <w:rsid w:val="00F77A2C"/>
    <w:rPr>
      <w:vertAlign w:val="superscript"/>
    </w:rPr>
  </w:style>
  <w:style w:type="paragraph" w:customStyle="1" w:styleId="Default">
    <w:name w:val="Default"/>
    <w:rsid w:val="006D5123"/>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1346">
      <w:bodyDiv w:val="1"/>
      <w:marLeft w:val="0"/>
      <w:marRight w:val="0"/>
      <w:marTop w:val="0"/>
      <w:marBottom w:val="0"/>
      <w:divBdr>
        <w:top w:val="none" w:sz="0" w:space="0" w:color="auto"/>
        <w:left w:val="none" w:sz="0" w:space="0" w:color="auto"/>
        <w:bottom w:val="none" w:sz="0" w:space="0" w:color="auto"/>
        <w:right w:val="none" w:sz="0" w:space="0" w:color="auto"/>
      </w:divBdr>
    </w:div>
    <w:div w:id="407312904">
      <w:bodyDiv w:val="1"/>
      <w:marLeft w:val="0"/>
      <w:marRight w:val="0"/>
      <w:marTop w:val="0"/>
      <w:marBottom w:val="0"/>
      <w:divBdr>
        <w:top w:val="none" w:sz="0" w:space="0" w:color="auto"/>
        <w:left w:val="none" w:sz="0" w:space="0" w:color="auto"/>
        <w:bottom w:val="none" w:sz="0" w:space="0" w:color="auto"/>
        <w:right w:val="none" w:sz="0" w:space="0" w:color="auto"/>
      </w:divBdr>
    </w:div>
    <w:div w:id="537355866">
      <w:bodyDiv w:val="1"/>
      <w:marLeft w:val="0"/>
      <w:marRight w:val="0"/>
      <w:marTop w:val="0"/>
      <w:marBottom w:val="0"/>
      <w:divBdr>
        <w:top w:val="none" w:sz="0" w:space="0" w:color="auto"/>
        <w:left w:val="none" w:sz="0" w:space="0" w:color="auto"/>
        <w:bottom w:val="none" w:sz="0" w:space="0" w:color="auto"/>
        <w:right w:val="none" w:sz="0" w:space="0" w:color="auto"/>
      </w:divBdr>
    </w:div>
    <w:div w:id="637612297">
      <w:bodyDiv w:val="1"/>
      <w:marLeft w:val="0"/>
      <w:marRight w:val="0"/>
      <w:marTop w:val="0"/>
      <w:marBottom w:val="0"/>
      <w:divBdr>
        <w:top w:val="none" w:sz="0" w:space="0" w:color="auto"/>
        <w:left w:val="none" w:sz="0" w:space="0" w:color="auto"/>
        <w:bottom w:val="none" w:sz="0" w:space="0" w:color="auto"/>
        <w:right w:val="none" w:sz="0" w:space="0" w:color="auto"/>
      </w:divBdr>
    </w:div>
    <w:div w:id="1429885427">
      <w:bodyDiv w:val="1"/>
      <w:marLeft w:val="0"/>
      <w:marRight w:val="0"/>
      <w:marTop w:val="0"/>
      <w:marBottom w:val="0"/>
      <w:divBdr>
        <w:top w:val="none" w:sz="0" w:space="0" w:color="auto"/>
        <w:left w:val="none" w:sz="0" w:space="0" w:color="auto"/>
        <w:bottom w:val="none" w:sz="0" w:space="0" w:color="auto"/>
        <w:right w:val="none" w:sz="0" w:space="0" w:color="auto"/>
      </w:divBdr>
    </w:div>
    <w:div w:id="1514297542">
      <w:bodyDiv w:val="1"/>
      <w:marLeft w:val="0"/>
      <w:marRight w:val="0"/>
      <w:marTop w:val="0"/>
      <w:marBottom w:val="0"/>
      <w:divBdr>
        <w:top w:val="none" w:sz="0" w:space="0" w:color="auto"/>
        <w:left w:val="none" w:sz="0" w:space="0" w:color="auto"/>
        <w:bottom w:val="none" w:sz="0" w:space="0" w:color="auto"/>
        <w:right w:val="none" w:sz="0" w:space="0" w:color="auto"/>
      </w:divBdr>
    </w:div>
    <w:div w:id="17717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ealth.govt.nz/nz-health-statistics/data-references/code-tables/common-code-tables/district-health-board-code-tab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formance_reporting@mo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04/0092/latest/whole.htmlhttp:/www.legislation.govt.nz/act/public/2004/0092/latest/whol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acart.health.govt.nz/publications-and-resources" TargetMode="External"/><Relationship Id="rId2" Type="http://schemas.openxmlformats.org/officeDocument/2006/relationships/hyperlink" Target="http://www.health.govt.nz/new-zealand-health-system/eligibility-publicly-funded-health-services/guide-eligibility-publicly-funded-health-services" TargetMode="External"/><Relationship Id="rId1" Type="http://schemas.openxmlformats.org/officeDocument/2006/relationships/hyperlink" Target="http://www.legislation.govt.nz/act/public/2004/0092/latest/whole.htmlhttp:/www.legislation.govt.nz/act/public/2004/0092/latest/whole.html" TargetMode="External"/><Relationship Id="rId6" Type="http://schemas.openxmlformats.org/officeDocument/2006/relationships/hyperlink" Target="file:///C:\Users\eblack\AppData\Local\Temp\notesE1E3BD\www.nsfl.health.govt.nz\apps\nsfl.nsf\menumh\Accountability+Documents" TargetMode="External"/><Relationship Id="rId5" Type="http://schemas.openxmlformats.org/officeDocument/2006/relationships/hyperlink" Target="http://acart.health.govt.nz/system/files/documents/publications/acart-guidelines-extending-storage-gametes-embryos-2012.pdf" TargetMode="External"/><Relationship Id="rId4" Type="http://schemas.openxmlformats.org/officeDocument/2006/relationships/hyperlink" Target="http://acart.health.govt.nz/publications-and-resources/guidelines-and-advice-issued-ecart/guidelines-preimplantation-geneti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5F37-7AE9-4D43-ACA2-A3AA114B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5DAE297F</Template>
  <TotalTime>0</TotalTime>
  <Pages>24</Pages>
  <Words>6294</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2018-10-23T21:11:00Z</dcterms:created>
  <dcterms:modified xsi:type="dcterms:W3CDTF">2018-10-23T21:11:00Z</dcterms:modified>
</cp:coreProperties>
</file>