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Ind w:w="5" w:type="dxa"/>
        <w:tblLook w:val="0000" w:firstRow="0" w:lastRow="0" w:firstColumn="0" w:lastColumn="0" w:noHBand="0" w:noVBand="0"/>
      </w:tblPr>
      <w:tblGrid>
        <w:gridCol w:w="3260"/>
        <w:gridCol w:w="1348"/>
        <w:gridCol w:w="2021"/>
        <w:gridCol w:w="3260"/>
      </w:tblGrid>
      <w:tr w:rsidR="00684939" w:rsidRPr="00FD1C3D" w14:paraId="33453EF1" w14:textId="77777777" w:rsidTr="00AF2D15">
        <w:trPr>
          <w:cantSplit/>
        </w:trPr>
        <w:tc>
          <w:tcPr>
            <w:tcW w:w="4608" w:type="dxa"/>
            <w:gridSpan w:val="2"/>
            <w:vAlign w:val="center"/>
          </w:tcPr>
          <w:p w14:paraId="5FB4A26F" w14:textId="77777777" w:rsidR="00684939" w:rsidRPr="00FD1C3D" w:rsidRDefault="00684939" w:rsidP="00684939">
            <w:pPr>
              <w:jc w:val="center"/>
              <w:rPr>
                <w:rFonts w:ascii="Arial Mäori" w:hAnsi="Arial Mäori" w:cs="Arial"/>
              </w:rPr>
            </w:pPr>
            <w:r w:rsidRPr="00684939">
              <w:rPr>
                <w:rFonts w:ascii="Arial" w:hAnsi="Arial" w:cs="Arial"/>
                <w:noProof/>
                <w:sz w:val="24"/>
                <w:szCs w:val="24"/>
                <w:lang w:val="en-NZ" w:eastAsia="en-NZ"/>
              </w:rPr>
              <w:drawing>
                <wp:inline distT="0" distB="0" distL="0" distR="0" wp14:anchorId="0AFBD3A9" wp14:editId="79F3B7E8">
                  <wp:extent cx="2047875" cy="819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281" w:type="dxa"/>
            <w:gridSpan w:val="2"/>
            <w:vAlign w:val="center"/>
          </w:tcPr>
          <w:p w14:paraId="2FC853D7" w14:textId="77777777" w:rsidR="00684939" w:rsidRPr="00FD1C3D" w:rsidRDefault="00684939" w:rsidP="001040D7">
            <w:pPr>
              <w:jc w:val="center"/>
              <w:rPr>
                <w:rFonts w:ascii="Arial Mäori" w:hAnsi="Arial Mäori" w:cs="Arial"/>
                <w:b/>
                <w:bCs/>
              </w:rPr>
            </w:pPr>
            <w:r w:rsidRPr="00684939">
              <w:rPr>
                <w:rFonts w:ascii="Arial" w:hAnsi="Arial" w:cs="Arial"/>
                <w:bCs/>
                <w:sz w:val="32"/>
                <w:szCs w:val="32"/>
                <w:lang w:val="en-NZ"/>
              </w:rPr>
              <w:t>All District Health Boards</w:t>
            </w:r>
          </w:p>
        </w:tc>
      </w:tr>
      <w:tr w:rsidR="00684939" w:rsidRPr="002C49FD" w14:paraId="0E8140AC" w14:textId="77777777" w:rsidTr="00AF2D15">
        <w:tc>
          <w:tcPr>
            <w:tcW w:w="9889" w:type="dxa"/>
            <w:gridSpan w:val="4"/>
          </w:tcPr>
          <w:p w14:paraId="028C633E" w14:textId="77777777" w:rsidR="00684939" w:rsidRDefault="00684939" w:rsidP="000E6DE3">
            <w:pPr>
              <w:spacing w:before="2160"/>
              <w:jc w:val="center"/>
              <w:rPr>
                <w:rFonts w:ascii="Arial" w:hAnsi="Arial" w:cs="Arial"/>
                <w:b/>
                <w:caps/>
                <w:kern w:val="28"/>
                <w:sz w:val="36"/>
                <w:lang w:val="en-NZ"/>
              </w:rPr>
            </w:pPr>
            <w:r w:rsidRPr="00A1310E">
              <w:rPr>
                <w:rFonts w:ascii="Arial" w:hAnsi="Arial" w:cs="Arial"/>
                <w:b/>
                <w:caps/>
                <w:kern w:val="28"/>
                <w:sz w:val="36"/>
                <w:lang w:val="en-NZ"/>
              </w:rPr>
              <w:t xml:space="preserve">SPECIALIST </w:t>
            </w:r>
            <w:r>
              <w:rPr>
                <w:rFonts w:ascii="Arial" w:hAnsi="Arial" w:cs="Arial"/>
                <w:b/>
                <w:caps/>
                <w:kern w:val="28"/>
                <w:sz w:val="36"/>
                <w:lang w:val="en-NZ"/>
              </w:rPr>
              <w:t xml:space="preserve">MEDICAL AND </w:t>
            </w:r>
            <w:r w:rsidRPr="00A1310E">
              <w:rPr>
                <w:rFonts w:ascii="Arial" w:hAnsi="Arial" w:cs="Arial"/>
                <w:b/>
                <w:caps/>
                <w:kern w:val="28"/>
                <w:sz w:val="36"/>
                <w:lang w:val="en-NZ"/>
              </w:rPr>
              <w:t>SURGICAL SERVICES</w:t>
            </w:r>
            <w:r>
              <w:rPr>
                <w:rFonts w:ascii="Arial" w:hAnsi="Arial" w:cs="Arial"/>
                <w:b/>
                <w:caps/>
                <w:kern w:val="28"/>
                <w:sz w:val="36"/>
                <w:lang w:val="en-NZ"/>
              </w:rPr>
              <w:t xml:space="preserve"> -</w:t>
            </w:r>
          </w:p>
          <w:p w14:paraId="5EC80422" w14:textId="700347F2" w:rsidR="00684939" w:rsidRDefault="00684939" w:rsidP="001040D7">
            <w:pPr>
              <w:pStyle w:val="Heading1"/>
              <w:numPr>
                <w:ilvl w:val="0"/>
                <w:numId w:val="0"/>
              </w:numPr>
              <w:spacing w:before="120" w:after="0"/>
              <w:ind w:left="357"/>
              <w:jc w:val="center"/>
              <w:rPr>
                <w:rFonts w:cs="Arial"/>
                <w:caps/>
                <w:sz w:val="36"/>
              </w:rPr>
            </w:pPr>
            <w:r w:rsidRPr="002C49FD">
              <w:rPr>
                <w:rFonts w:cs="Arial"/>
                <w:caps/>
                <w:sz w:val="36"/>
              </w:rPr>
              <w:t>general Surgery</w:t>
            </w:r>
          </w:p>
          <w:p w14:paraId="2F448ECB" w14:textId="6EFB27FC" w:rsidR="00684939" w:rsidRDefault="00684939" w:rsidP="001040D7">
            <w:pPr>
              <w:pStyle w:val="Heading1"/>
              <w:numPr>
                <w:ilvl w:val="0"/>
                <w:numId w:val="0"/>
              </w:numPr>
              <w:spacing w:before="120" w:after="0"/>
              <w:ind w:left="357"/>
              <w:jc w:val="center"/>
              <w:rPr>
                <w:rFonts w:cs="Arial"/>
                <w:caps/>
                <w:sz w:val="36"/>
              </w:rPr>
            </w:pPr>
            <w:smartTag w:uri="urn:schemas-microsoft-com:office:smarttags" w:element="stockticker">
              <w:r w:rsidRPr="002C49FD">
                <w:rPr>
                  <w:rFonts w:cs="Arial"/>
                  <w:caps/>
                  <w:sz w:val="36"/>
                </w:rPr>
                <w:t>Tier</w:t>
              </w:r>
            </w:smartTag>
            <w:r w:rsidRPr="002C49FD">
              <w:rPr>
                <w:rFonts w:cs="Arial"/>
                <w:caps/>
                <w:sz w:val="36"/>
              </w:rPr>
              <w:t xml:space="preserve"> TWO</w:t>
            </w:r>
            <w:r w:rsidR="008B5A9B">
              <w:rPr>
                <w:rFonts w:cs="Arial"/>
                <w:caps/>
                <w:sz w:val="36"/>
              </w:rPr>
              <w:t xml:space="preserve"> </w:t>
            </w:r>
            <w:r>
              <w:rPr>
                <w:rFonts w:cs="Arial"/>
                <w:caps/>
                <w:sz w:val="36"/>
              </w:rPr>
              <w:t>Service Specification</w:t>
            </w:r>
          </w:p>
          <w:p w14:paraId="7426C5DA" w14:textId="77777777" w:rsidR="00684939" w:rsidRPr="00032C48" w:rsidRDefault="00684939" w:rsidP="001040D7">
            <w:pPr>
              <w:rPr>
                <w:lang w:val="en-NZ"/>
              </w:rPr>
            </w:pPr>
          </w:p>
        </w:tc>
      </w:tr>
      <w:tr w:rsidR="00684939" w:rsidRPr="002C49FD" w14:paraId="4574AD1A" w14:textId="77777777" w:rsidTr="00AF2D15">
        <w:tc>
          <w:tcPr>
            <w:tcW w:w="6629" w:type="dxa"/>
            <w:gridSpan w:val="3"/>
          </w:tcPr>
          <w:p w14:paraId="0F9ABF5C" w14:textId="77777777" w:rsidR="00684939" w:rsidRPr="005912E9" w:rsidRDefault="00684939" w:rsidP="001040D7">
            <w:pPr>
              <w:pStyle w:val="Heading1"/>
              <w:numPr>
                <w:ilvl w:val="0"/>
                <w:numId w:val="0"/>
              </w:numPr>
              <w:spacing w:before="120" w:after="240"/>
              <w:ind w:left="360"/>
              <w:rPr>
                <w:rFonts w:cs="Arial"/>
                <w:caps/>
                <w:sz w:val="32"/>
                <w:szCs w:val="32"/>
              </w:rPr>
            </w:pPr>
            <w:r w:rsidRPr="005912E9">
              <w:rPr>
                <w:rFonts w:cs="Arial"/>
                <w:caps/>
                <w:sz w:val="32"/>
                <w:szCs w:val="32"/>
              </w:rPr>
              <w:t>Status:</w:t>
            </w:r>
            <w:bookmarkStart w:id="0" w:name="_GoBack"/>
            <w:bookmarkEnd w:id="0"/>
          </w:p>
          <w:p w14:paraId="3EABDABA" w14:textId="77777777" w:rsidR="00684939" w:rsidRPr="005912E9" w:rsidRDefault="00684939" w:rsidP="00684939">
            <w:pPr>
              <w:ind w:left="357"/>
              <w:rPr>
                <w:rFonts w:ascii="Arial" w:hAnsi="Arial" w:cs="Arial"/>
                <w:sz w:val="32"/>
                <w:szCs w:val="32"/>
                <w:lang w:val="en-US"/>
              </w:rPr>
            </w:pPr>
            <w:r>
              <w:rPr>
                <w:rFonts w:ascii="Arial" w:hAnsi="Arial" w:cs="Arial"/>
                <w:sz w:val="32"/>
                <w:szCs w:val="32"/>
                <w:lang w:val="en-US"/>
              </w:rPr>
              <w:t>T</w:t>
            </w:r>
            <w:r w:rsidRPr="005912E9">
              <w:rPr>
                <w:rFonts w:ascii="Arial" w:hAnsi="Arial" w:cs="Arial"/>
                <w:sz w:val="32"/>
                <w:szCs w:val="32"/>
                <w:lang w:val="en-US"/>
              </w:rPr>
              <w:t xml:space="preserve">o be used for mandatory nationwide description of services </w:t>
            </w:r>
            <w:r w:rsidRPr="00684939">
              <w:rPr>
                <w:rFonts w:ascii="Arial" w:hAnsi="Arial" w:cs="Arial"/>
                <w:sz w:val="32"/>
                <w:szCs w:val="32"/>
                <w:lang w:val="en-US"/>
              </w:rPr>
              <w:t>when purchasing this service.</w:t>
            </w:r>
          </w:p>
        </w:tc>
        <w:tc>
          <w:tcPr>
            <w:tcW w:w="3260" w:type="dxa"/>
          </w:tcPr>
          <w:p w14:paraId="61F2F526" w14:textId="30239CCB" w:rsidR="00684939" w:rsidRPr="005912E9" w:rsidRDefault="00684939" w:rsidP="001040D7">
            <w:pPr>
              <w:pStyle w:val="Heading1"/>
              <w:numPr>
                <w:ilvl w:val="0"/>
                <w:numId w:val="0"/>
              </w:numPr>
              <w:spacing w:before="120" w:after="240"/>
              <w:rPr>
                <w:rFonts w:cs="Arial"/>
                <w:caps/>
                <w:sz w:val="32"/>
                <w:szCs w:val="32"/>
              </w:rPr>
            </w:pPr>
            <w:r w:rsidRPr="005912E9">
              <w:rPr>
                <w:rFonts w:cs="Arial"/>
                <w:caps/>
                <w:sz w:val="32"/>
                <w:szCs w:val="32"/>
              </w:rPr>
              <w:t xml:space="preserve">MANDATORY </w:t>
            </w:r>
          </w:p>
          <w:p w14:paraId="40B39C01" w14:textId="77777777" w:rsidR="00684939" w:rsidRPr="005912E9" w:rsidRDefault="00684939" w:rsidP="001040D7">
            <w:pPr>
              <w:spacing w:before="120"/>
              <w:rPr>
                <w:rFonts w:ascii="Arial" w:hAnsi="Arial" w:cs="Arial"/>
                <w:sz w:val="32"/>
                <w:szCs w:val="32"/>
                <w:lang w:val="en-US"/>
              </w:rPr>
            </w:pPr>
          </w:p>
        </w:tc>
      </w:tr>
      <w:tr w:rsidR="008B5A9B" w:rsidRPr="002C49FD" w14:paraId="5E6CFB0C" w14:textId="77777777" w:rsidTr="00AF2D15">
        <w:trPr>
          <w:gridAfter w:val="3"/>
          <w:wAfter w:w="6629" w:type="dxa"/>
        </w:trPr>
        <w:tc>
          <w:tcPr>
            <w:tcW w:w="3260" w:type="dxa"/>
            <w:tcBorders>
              <w:bottom w:val="single" w:sz="6" w:space="0" w:color="auto"/>
            </w:tcBorders>
          </w:tcPr>
          <w:p w14:paraId="2BAB1C64" w14:textId="77777777" w:rsidR="008B5A9B" w:rsidRPr="002C49FD" w:rsidRDefault="008B5A9B" w:rsidP="000E6DE3">
            <w:pPr>
              <w:pStyle w:val="Heading1"/>
              <w:numPr>
                <w:ilvl w:val="0"/>
                <w:numId w:val="0"/>
              </w:numPr>
              <w:spacing w:before="120" w:after="240"/>
              <w:ind w:left="567" w:hanging="567"/>
              <w:rPr>
                <w:rFonts w:cs="Arial"/>
                <w:caps/>
              </w:rPr>
            </w:pPr>
          </w:p>
        </w:tc>
      </w:tr>
      <w:tr w:rsidR="00684939" w:rsidRPr="002C49FD" w14:paraId="6C1F1B2D" w14:textId="77777777" w:rsidTr="00AF2D15">
        <w:trPr>
          <w:trHeight w:val="297"/>
        </w:trPr>
        <w:tc>
          <w:tcPr>
            <w:tcW w:w="6629" w:type="dxa"/>
            <w:gridSpan w:val="3"/>
            <w:tcBorders>
              <w:top w:val="single" w:sz="6" w:space="0" w:color="auto"/>
              <w:left w:val="single" w:sz="6" w:space="0" w:color="auto"/>
              <w:bottom w:val="single" w:sz="6" w:space="0" w:color="auto"/>
            </w:tcBorders>
            <w:shd w:val="clear" w:color="auto" w:fill="CCCCCC"/>
          </w:tcPr>
          <w:p w14:paraId="15E7E995" w14:textId="77777777" w:rsidR="00684939" w:rsidRPr="00E0283F" w:rsidRDefault="00684939" w:rsidP="001040D7">
            <w:pPr>
              <w:pStyle w:val="Heading1"/>
              <w:numPr>
                <w:ilvl w:val="0"/>
                <w:numId w:val="0"/>
              </w:numPr>
              <w:spacing w:after="240"/>
              <w:rPr>
                <w:rFonts w:cs="Arial"/>
              </w:rPr>
            </w:pPr>
            <w:r w:rsidRPr="00E0283F">
              <w:rPr>
                <w:rFonts w:cs="Arial"/>
              </w:rPr>
              <w:t>Review History</w:t>
            </w:r>
          </w:p>
        </w:tc>
        <w:tc>
          <w:tcPr>
            <w:tcW w:w="3260" w:type="dxa"/>
            <w:tcBorders>
              <w:top w:val="single" w:sz="6" w:space="0" w:color="auto"/>
              <w:bottom w:val="single" w:sz="6" w:space="0" w:color="auto"/>
              <w:right w:val="single" w:sz="6" w:space="0" w:color="auto"/>
            </w:tcBorders>
            <w:shd w:val="clear" w:color="auto" w:fill="CCCCCC"/>
          </w:tcPr>
          <w:p w14:paraId="7CF8B405" w14:textId="77777777" w:rsidR="00684939" w:rsidRPr="00E0283F" w:rsidRDefault="00684939" w:rsidP="001040D7">
            <w:pPr>
              <w:pStyle w:val="Heading1"/>
              <w:numPr>
                <w:ilvl w:val="0"/>
                <w:numId w:val="0"/>
              </w:numPr>
              <w:spacing w:after="240"/>
              <w:jc w:val="center"/>
              <w:rPr>
                <w:rFonts w:cs="Arial"/>
              </w:rPr>
            </w:pPr>
            <w:r w:rsidRPr="00E0283F">
              <w:rPr>
                <w:rFonts w:cs="Arial"/>
              </w:rPr>
              <w:t>Date</w:t>
            </w:r>
          </w:p>
        </w:tc>
      </w:tr>
      <w:tr w:rsidR="00684939" w:rsidRPr="002C49FD" w14:paraId="1C282989" w14:textId="77777777" w:rsidTr="00AF2D15">
        <w:tc>
          <w:tcPr>
            <w:tcW w:w="6629" w:type="dxa"/>
            <w:gridSpan w:val="3"/>
            <w:tcBorders>
              <w:top w:val="single" w:sz="6" w:space="0" w:color="auto"/>
              <w:left w:val="single" w:sz="4" w:space="0" w:color="auto"/>
              <w:bottom w:val="single" w:sz="6" w:space="0" w:color="auto"/>
              <w:right w:val="single" w:sz="6" w:space="0" w:color="auto"/>
            </w:tcBorders>
            <w:vAlign w:val="center"/>
          </w:tcPr>
          <w:p w14:paraId="006274D4" w14:textId="3EEA3A90" w:rsidR="00684939" w:rsidRPr="005912E9" w:rsidRDefault="00FD20B3" w:rsidP="008B5A9B">
            <w:pPr>
              <w:pStyle w:val="BodyText"/>
              <w:spacing w:before="120" w:after="120"/>
              <w:jc w:val="left"/>
              <w:rPr>
                <w:rFonts w:ascii="Arial" w:hAnsi="Arial" w:cs="Arial"/>
                <w:i w:val="0"/>
              </w:rPr>
            </w:pPr>
            <w:r>
              <w:rPr>
                <w:rFonts w:ascii="Arial" w:hAnsi="Arial" w:cs="Arial"/>
                <w:i w:val="0"/>
                <w:sz w:val="28"/>
              </w:rPr>
              <w:t xml:space="preserve">First </w:t>
            </w:r>
            <w:r w:rsidR="008B5A9B">
              <w:rPr>
                <w:rFonts w:ascii="Arial" w:hAnsi="Arial" w:cs="Arial"/>
                <w:i w:val="0"/>
                <w:sz w:val="28"/>
              </w:rPr>
              <w:t>p</w:t>
            </w:r>
            <w:r>
              <w:rPr>
                <w:rFonts w:ascii="Arial" w:hAnsi="Arial" w:cs="Arial"/>
                <w:i w:val="0"/>
                <w:sz w:val="28"/>
              </w:rPr>
              <w:t>ublished</w:t>
            </w:r>
          </w:p>
        </w:tc>
        <w:tc>
          <w:tcPr>
            <w:tcW w:w="3260" w:type="dxa"/>
            <w:tcBorders>
              <w:top w:val="single" w:sz="6" w:space="0" w:color="auto"/>
              <w:left w:val="single" w:sz="6" w:space="0" w:color="auto"/>
              <w:bottom w:val="single" w:sz="6" w:space="0" w:color="auto"/>
              <w:right w:val="single" w:sz="4" w:space="0" w:color="auto"/>
            </w:tcBorders>
            <w:vAlign w:val="center"/>
          </w:tcPr>
          <w:p w14:paraId="5C2896A5" w14:textId="0ACCD793" w:rsidR="00684939" w:rsidRPr="005912E9" w:rsidRDefault="00FD20B3" w:rsidP="001040D7">
            <w:pPr>
              <w:spacing w:before="120" w:after="120"/>
              <w:jc w:val="center"/>
              <w:rPr>
                <w:rFonts w:ascii="Arial" w:hAnsi="Arial" w:cs="Arial"/>
                <w:bCs/>
                <w:sz w:val="28"/>
              </w:rPr>
            </w:pPr>
            <w:r>
              <w:rPr>
                <w:rFonts w:ascii="Arial" w:hAnsi="Arial" w:cs="Arial"/>
                <w:b/>
                <w:sz w:val="28"/>
              </w:rPr>
              <w:t>2001</w:t>
            </w:r>
          </w:p>
        </w:tc>
      </w:tr>
      <w:tr w:rsidR="00684939" w:rsidRPr="002C49FD" w14:paraId="479921E2" w14:textId="77777777" w:rsidTr="00AF2D15">
        <w:tc>
          <w:tcPr>
            <w:tcW w:w="6629" w:type="dxa"/>
            <w:gridSpan w:val="3"/>
            <w:tcBorders>
              <w:top w:val="single" w:sz="6" w:space="0" w:color="auto"/>
              <w:left w:val="single" w:sz="4" w:space="0" w:color="auto"/>
              <w:bottom w:val="single" w:sz="6" w:space="0" w:color="auto"/>
              <w:right w:val="single" w:sz="6" w:space="0" w:color="auto"/>
            </w:tcBorders>
            <w:vAlign w:val="center"/>
          </w:tcPr>
          <w:p w14:paraId="4BCE3CB8" w14:textId="77777777" w:rsidR="00684939" w:rsidRPr="00032C48" w:rsidRDefault="00684939" w:rsidP="001040D7">
            <w:pPr>
              <w:pStyle w:val="BodyText"/>
              <w:spacing w:before="120" w:after="120"/>
              <w:jc w:val="left"/>
              <w:rPr>
                <w:rFonts w:ascii="Arial" w:hAnsi="Arial" w:cs="Arial"/>
                <w:i w:val="0"/>
                <w:sz w:val="22"/>
                <w:szCs w:val="22"/>
              </w:rPr>
            </w:pPr>
            <w:r w:rsidRPr="00CD5B47">
              <w:rPr>
                <w:rFonts w:ascii="Arial" w:hAnsi="Arial" w:cs="Arial"/>
                <w:b/>
                <w:i w:val="0"/>
                <w:sz w:val="22"/>
                <w:szCs w:val="22"/>
              </w:rPr>
              <w:t>Review:</w:t>
            </w:r>
            <w:r w:rsidRPr="00032C48">
              <w:rPr>
                <w:rFonts w:ascii="Arial" w:hAnsi="Arial" w:cs="Arial"/>
                <w:i w:val="0"/>
                <w:sz w:val="22"/>
                <w:szCs w:val="22"/>
              </w:rPr>
              <w:t xml:space="preserve"> of General Surgery Service Specification (2001)</w:t>
            </w:r>
          </w:p>
          <w:p w14:paraId="41FC316A" w14:textId="77777777" w:rsidR="00684939" w:rsidRPr="005912E9" w:rsidRDefault="00684939" w:rsidP="001040D7">
            <w:pPr>
              <w:pStyle w:val="BodyText"/>
              <w:spacing w:after="120"/>
              <w:jc w:val="left"/>
              <w:rPr>
                <w:rFonts w:ascii="Arial" w:hAnsi="Arial" w:cs="Arial"/>
                <w:i w:val="0"/>
                <w:sz w:val="28"/>
              </w:rPr>
            </w:pPr>
            <w:r w:rsidRPr="00032C48">
              <w:rPr>
                <w:rFonts w:ascii="Arial" w:hAnsi="Arial" w:cs="Arial"/>
                <w:i w:val="0"/>
                <w:sz w:val="22"/>
                <w:szCs w:val="22"/>
              </w:rPr>
              <w:t xml:space="preserve">Amendments: Standard </w:t>
            </w:r>
            <w:r w:rsidRPr="00032C48">
              <w:rPr>
                <w:rFonts w:ascii="Arial" w:hAnsi="Arial" w:cs="Arial"/>
                <w:i w:val="0"/>
                <w:sz w:val="22"/>
                <w:szCs w:val="22"/>
                <w:lang w:val="en-US"/>
              </w:rPr>
              <w:t>Māori</w:t>
            </w:r>
            <w:r w:rsidRPr="00032C48">
              <w:rPr>
                <w:rFonts w:ascii="Arial" w:hAnsi="Arial" w:cs="Arial"/>
                <w:i w:val="0"/>
                <w:sz w:val="22"/>
                <w:szCs w:val="22"/>
              </w:rPr>
              <w:t xml:space="preserve"> health, entry and exit criteria, support services, service linkages table, quality requirements, purchase units and reporting requirements.  Added Specialist Assessment and purchase unit code S00011</w:t>
            </w:r>
            <w:r w:rsidRPr="005912E9">
              <w:rPr>
                <w:rFonts w:ascii="Arial" w:hAnsi="Arial" w:cs="Arial"/>
                <w:i w:val="0"/>
              </w:rPr>
              <w:t xml:space="preserve"> </w:t>
            </w:r>
          </w:p>
        </w:tc>
        <w:tc>
          <w:tcPr>
            <w:tcW w:w="3260" w:type="dxa"/>
            <w:tcBorders>
              <w:top w:val="single" w:sz="6" w:space="0" w:color="auto"/>
              <w:left w:val="single" w:sz="6" w:space="0" w:color="auto"/>
              <w:bottom w:val="single" w:sz="6" w:space="0" w:color="auto"/>
              <w:right w:val="single" w:sz="4" w:space="0" w:color="auto"/>
            </w:tcBorders>
            <w:vAlign w:val="center"/>
          </w:tcPr>
          <w:p w14:paraId="03008FCB" w14:textId="77777777" w:rsidR="00684939" w:rsidRPr="00E0283F" w:rsidRDefault="00684939" w:rsidP="001040D7">
            <w:pPr>
              <w:spacing w:before="120" w:after="120"/>
              <w:jc w:val="center"/>
              <w:rPr>
                <w:rFonts w:ascii="Arial" w:hAnsi="Arial" w:cs="Arial"/>
                <w:b/>
                <w:sz w:val="28"/>
              </w:rPr>
            </w:pPr>
            <w:r>
              <w:rPr>
                <w:rFonts w:ascii="Arial" w:hAnsi="Arial" w:cs="Arial"/>
                <w:b/>
                <w:sz w:val="28"/>
              </w:rPr>
              <w:t>August 2010</w:t>
            </w:r>
          </w:p>
        </w:tc>
      </w:tr>
      <w:tr w:rsidR="00684939" w:rsidRPr="002C49FD" w14:paraId="38221164" w14:textId="77777777" w:rsidTr="00AF2D15">
        <w:tc>
          <w:tcPr>
            <w:tcW w:w="6629" w:type="dxa"/>
            <w:gridSpan w:val="3"/>
            <w:tcBorders>
              <w:top w:val="single" w:sz="6" w:space="0" w:color="auto"/>
              <w:left w:val="single" w:sz="4" w:space="0" w:color="auto"/>
              <w:bottom w:val="single" w:sz="6" w:space="0" w:color="auto"/>
              <w:right w:val="single" w:sz="6" w:space="0" w:color="auto"/>
            </w:tcBorders>
            <w:vAlign w:val="center"/>
          </w:tcPr>
          <w:p w14:paraId="58B5AB5A" w14:textId="3BA94DB6" w:rsidR="00684939" w:rsidRPr="00CD5B47" w:rsidRDefault="00684939" w:rsidP="00E721BA">
            <w:pPr>
              <w:pStyle w:val="BodyText"/>
              <w:spacing w:before="120" w:after="120"/>
              <w:jc w:val="left"/>
              <w:rPr>
                <w:rFonts w:ascii="Arial" w:hAnsi="Arial" w:cs="Arial"/>
                <w:b/>
                <w:i w:val="0"/>
                <w:sz w:val="22"/>
                <w:szCs w:val="22"/>
              </w:rPr>
            </w:pPr>
            <w:r>
              <w:rPr>
                <w:rFonts w:ascii="Arial" w:hAnsi="Arial" w:cs="Arial"/>
                <w:b/>
                <w:i w:val="0"/>
                <w:sz w:val="22"/>
                <w:szCs w:val="22"/>
              </w:rPr>
              <w:t xml:space="preserve">Amendments: </w:t>
            </w:r>
            <w:r w:rsidR="00E721BA" w:rsidRPr="00E721BA">
              <w:rPr>
                <w:rFonts w:ascii="Arial" w:hAnsi="Arial" w:cs="Arial"/>
                <w:i w:val="0"/>
                <w:sz w:val="22"/>
                <w:szCs w:val="22"/>
              </w:rPr>
              <w:t>edited to remove duplication of content with the Tier one Specialist Medical and Surgical service specification and</w:t>
            </w:r>
            <w:r w:rsidR="00E721BA" w:rsidRPr="006F14A2">
              <w:rPr>
                <w:rFonts w:ascii="Arial" w:hAnsi="Arial" w:cs="Arial"/>
                <w:i w:val="0"/>
                <w:sz w:val="22"/>
                <w:szCs w:val="22"/>
              </w:rPr>
              <w:t xml:space="preserve"> </w:t>
            </w:r>
            <w:r w:rsidRPr="00684939">
              <w:rPr>
                <w:rFonts w:ascii="Arial" w:hAnsi="Arial" w:cs="Arial"/>
                <w:i w:val="0"/>
                <w:sz w:val="22"/>
                <w:szCs w:val="22"/>
              </w:rPr>
              <w:t>remov</w:t>
            </w:r>
            <w:r>
              <w:rPr>
                <w:rFonts w:ascii="Arial" w:hAnsi="Arial" w:cs="Arial"/>
                <w:i w:val="0"/>
                <w:sz w:val="22"/>
                <w:szCs w:val="22"/>
              </w:rPr>
              <w:t>ed</w:t>
            </w:r>
            <w:r w:rsidRPr="00684939">
              <w:rPr>
                <w:rFonts w:ascii="Arial" w:hAnsi="Arial" w:cs="Arial"/>
                <w:i w:val="0"/>
                <w:sz w:val="22"/>
                <w:szCs w:val="22"/>
              </w:rPr>
              <w:t xml:space="preserve"> </w:t>
            </w:r>
            <w:r w:rsidR="006F14A2" w:rsidRPr="006F14A2">
              <w:rPr>
                <w:rFonts w:ascii="Arial" w:hAnsi="Arial" w:cs="Arial"/>
                <w:i w:val="0"/>
                <w:sz w:val="22"/>
                <w:szCs w:val="22"/>
              </w:rPr>
              <w:t>S00006 and S00007</w:t>
            </w:r>
            <w:r w:rsidR="00E436DB">
              <w:rPr>
                <w:rFonts w:ascii="Arial" w:hAnsi="Arial" w:cs="Arial"/>
                <w:i w:val="0"/>
                <w:sz w:val="22"/>
                <w:szCs w:val="22"/>
              </w:rPr>
              <w:t>,</w:t>
            </w:r>
            <w:r w:rsidR="006F14A2" w:rsidRPr="006F14A2">
              <w:rPr>
                <w:rFonts w:ascii="Arial" w:hAnsi="Arial" w:cs="Arial"/>
                <w:i w:val="0"/>
                <w:sz w:val="22"/>
                <w:szCs w:val="22"/>
              </w:rPr>
              <w:t xml:space="preserve"> and</w:t>
            </w:r>
            <w:r w:rsidR="006F14A2">
              <w:t xml:space="preserve"> </w:t>
            </w:r>
            <w:r w:rsidRPr="00684939">
              <w:rPr>
                <w:rFonts w:ascii="Arial" w:hAnsi="Arial" w:cs="Arial"/>
                <w:i w:val="0"/>
                <w:sz w:val="22"/>
                <w:szCs w:val="22"/>
              </w:rPr>
              <w:t>Vascular</w:t>
            </w:r>
            <w:r>
              <w:rPr>
                <w:rFonts w:ascii="Arial" w:hAnsi="Arial" w:cs="Arial"/>
                <w:i w:val="0"/>
                <w:sz w:val="22"/>
                <w:szCs w:val="22"/>
              </w:rPr>
              <w:t xml:space="preserve"> S</w:t>
            </w:r>
            <w:r w:rsidRPr="00684939">
              <w:rPr>
                <w:rFonts w:ascii="Arial" w:hAnsi="Arial" w:cs="Arial"/>
                <w:i w:val="0"/>
                <w:sz w:val="22"/>
                <w:szCs w:val="22"/>
              </w:rPr>
              <w:t>ervice purchase units</w:t>
            </w:r>
            <w:r>
              <w:rPr>
                <w:rFonts w:ascii="Arial" w:hAnsi="Arial" w:cs="Arial"/>
                <w:i w:val="0"/>
                <w:sz w:val="22"/>
                <w:szCs w:val="22"/>
              </w:rPr>
              <w:t xml:space="preserve"> as</w:t>
            </w:r>
            <w:r w:rsidRPr="00684939">
              <w:rPr>
                <w:rFonts w:ascii="Arial" w:hAnsi="Arial" w:cs="Arial"/>
                <w:i w:val="0"/>
                <w:sz w:val="22"/>
                <w:szCs w:val="22"/>
              </w:rPr>
              <w:t xml:space="preserve"> Vascular Services has its own service </w:t>
            </w:r>
            <w:r w:rsidR="00FD20B3" w:rsidRPr="00684939">
              <w:rPr>
                <w:rFonts w:ascii="Arial" w:hAnsi="Arial" w:cs="Arial"/>
                <w:i w:val="0"/>
                <w:sz w:val="22"/>
                <w:szCs w:val="22"/>
              </w:rPr>
              <w:t>specification</w:t>
            </w:r>
            <w:r w:rsidR="00FD20B3">
              <w:rPr>
                <w:rFonts w:ascii="Arial" w:hAnsi="Arial" w:cs="Arial"/>
                <w:b/>
                <w:i w:val="0"/>
                <w:sz w:val="22"/>
                <w:szCs w:val="22"/>
              </w:rPr>
              <w:t>.</w:t>
            </w:r>
          </w:p>
        </w:tc>
        <w:tc>
          <w:tcPr>
            <w:tcW w:w="3260" w:type="dxa"/>
            <w:tcBorders>
              <w:top w:val="single" w:sz="6" w:space="0" w:color="auto"/>
              <w:left w:val="single" w:sz="6" w:space="0" w:color="auto"/>
              <w:bottom w:val="single" w:sz="6" w:space="0" w:color="auto"/>
              <w:right w:val="single" w:sz="4" w:space="0" w:color="auto"/>
            </w:tcBorders>
            <w:vAlign w:val="center"/>
          </w:tcPr>
          <w:p w14:paraId="4C7B7AC7" w14:textId="3458B71E" w:rsidR="00684939" w:rsidRDefault="00684939" w:rsidP="008F3EC0">
            <w:pPr>
              <w:spacing w:before="120" w:after="120"/>
              <w:jc w:val="center"/>
              <w:rPr>
                <w:rFonts w:ascii="Arial" w:hAnsi="Arial" w:cs="Arial"/>
                <w:b/>
                <w:sz w:val="28"/>
              </w:rPr>
            </w:pPr>
            <w:r>
              <w:rPr>
                <w:rFonts w:ascii="Arial" w:hAnsi="Arial" w:cs="Arial"/>
                <w:b/>
                <w:sz w:val="28"/>
              </w:rPr>
              <w:t>November 201</w:t>
            </w:r>
            <w:r w:rsidR="008F3EC0">
              <w:rPr>
                <w:rFonts w:ascii="Arial" w:hAnsi="Arial" w:cs="Arial"/>
                <w:b/>
                <w:sz w:val="28"/>
              </w:rPr>
              <w:t>6</w:t>
            </w:r>
          </w:p>
        </w:tc>
      </w:tr>
      <w:tr w:rsidR="00684939" w:rsidRPr="002C49FD" w14:paraId="5B044660" w14:textId="77777777" w:rsidTr="00AF2D15">
        <w:tc>
          <w:tcPr>
            <w:tcW w:w="6629" w:type="dxa"/>
            <w:gridSpan w:val="3"/>
            <w:tcBorders>
              <w:top w:val="single" w:sz="6" w:space="0" w:color="auto"/>
              <w:left w:val="single" w:sz="4" w:space="0" w:color="auto"/>
              <w:bottom w:val="single" w:sz="6" w:space="0" w:color="auto"/>
              <w:right w:val="single" w:sz="6" w:space="0" w:color="auto"/>
            </w:tcBorders>
            <w:vAlign w:val="center"/>
          </w:tcPr>
          <w:p w14:paraId="0E01EECA" w14:textId="77777777" w:rsidR="00684939" w:rsidRPr="005912E9" w:rsidRDefault="00684939" w:rsidP="001040D7">
            <w:pPr>
              <w:pStyle w:val="Heading5"/>
              <w:spacing w:before="120" w:after="120"/>
              <w:rPr>
                <w:rFonts w:ascii="Arial" w:hAnsi="Arial" w:cs="Arial"/>
                <w:b w:val="0"/>
                <w:i w:val="0"/>
                <w:sz w:val="28"/>
              </w:rPr>
            </w:pPr>
            <w:r w:rsidRPr="005912E9">
              <w:rPr>
                <w:rFonts w:ascii="Arial" w:hAnsi="Arial" w:cs="Arial"/>
                <w:b w:val="0"/>
                <w:i w:val="0"/>
                <w:sz w:val="28"/>
                <w:szCs w:val="24"/>
                <w:lang w:val="en-NZ"/>
              </w:rPr>
              <w:t>Consideration for next Service Specification Review</w:t>
            </w:r>
          </w:p>
        </w:tc>
        <w:tc>
          <w:tcPr>
            <w:tcW w:w="3260" w:type="dxa"/>
            <w:tcBorders>
              <w:top w:val="single" w:sz="6" w:space="0" w:color="auto"/>
              <w:left w:val="single" w:sz="6" w:space="0" w:color="auto"/>
              <w:bottom w:val="single" w:sz="6" w:space="0" w:color="auto"/>
              <w:right w:val="single" w:sz="4" w:space="0" w:color="auto"/>
            </w:tcBorders>
            <w:vAlign w:val="center"/>
          </w:tcPr>
          <w:p w14:paraId="7B327D77" w14:textId="77777777" w:rsidR="00684939" w:rsidRPr="00E0283F" w:rsidRDefault="00684939" w:rsidP="001040D7">
            <w:pPr>
              <w:spacing w:before="120" w:after="120"/>
              <w:jc w:val="center"/>
              <w:rPr>
                <w:rFonts w:ascii="Arial" w:hAnsi="Arial" w:cs="Arial"/>
                <w:b/>
                <w:sz w:val="28"/>
              </w:rPr>
            </w:pPr>
            <w:r w:rsidRPr="00E0283F">
              <w:rPr>
                <w:rFonts w:ascii="Arial" w:hAnsi="Arial" w:cs="Arial"/>
                <w:b/>
                <w:sz w:val="28"/>
              </w:rPr>
              <w:t xml:space="preserve">within </w:t>
            </w:r>
            <w:r>
              <w:rPr>
                <w:rFonts w:ascii="Arial" w:hAnsi="Arial" w:cs="Arial"/>
                <w:b/>
                <w:sz w:val="28"/>
              </w:rPr>
              <w:t>five</w:t>
            </w:r>
            <w:r w:rsidRPr="00E0283F">
              <w:rPr>
                <w:rFonts w:ascii="Arial" w:hAnsi="Arial" w:cs="Arial"/>
                <w:b/>
                <w:sz w:val="28"/>
              </w:rPr>
              <w:t xml:space="preserve"> years</w:t>
            </w:r>
          </w:p>
        </w:tc>
      </w:tr>
    </w:tbl>
    <w:p w14:paraId="4E0CAC5D" w14:textId="61F256E8" w:rsidR="00684939" w:rsidRDefault="00684939" w:rsidP="00684939">
      <w:pPr>
        <w:spacing w:before="120"/>
        <w:rPr>
          <w:rFonts w:ascii="Arial" w:hAnsi="Arial" w:cs="Arial"/>
          <w:sz w:val="24"/>
          <w:szCs w:val="24"/>
          <w:lang w:val="en-US" w:eastAsia="en-NZ"/>
        </w:rPr>
      </w:pPr>
      <w:r w:rsidRPr="000E6DE3">
        <w:rPr>
          <w:rFonts w:ascii="Arial" w:hAnsi="Arial" w:cs="Arial"/>
          <w:b/>
          <w:sz w:val="24"/>
          <w:szCs w:val="24"/>
          <w:lang w:val="en-US" w:eastAsia="en-NZ"/>
        </w:rPr>
        <w:t>Note:</w:t>
      </w:r>
      <w:r w:rsidRPr="000E6DE3">
        <w:rPr>
          <w:rFonts w:ascii="Arial" w:hAnsi="Arial" w:cs="Arial"/>
          <w:sz w:val="24"/>
          <w:szCs w:val="24"/>
          <w:lang w:val="en-US" w:eastAsia="en-NZ"/>
        </w:rPr>
        <w:t xml:space="preserve"> Contact the Service Specification Programme Manager, </w:t>
      </w:r>
      <w:r w:rsidR="008B5A9B" w:rsidRPr="000E6DE3">
        <w:rPr>
          <w:rFonts w:ascii="Arial" w:hAnsi="Arial" w:cs="Arial"/>
          <w:sz w:val="24"/>
          <w:szCs w:val="24"/>
          <w:lang w:val="en-US" w:eastAsia="en-NZ"/>
        </w:rPr>
        <w:t xml:space="preserve">Service </w:t>
      </w:r>
      <w:r w:rsidR="000E6DE3" w:rsidRPr="000E6DE3">
        <w:rPr>
          <w:rFonts w:ascii="Arial" w:hAnsi="Arial" w:cs="Arial"/>
          <w:sz w:val="24"/>
          <w:szCs w:val="24"/>
          <w:lang w:val="en-US" w:eastAsia="en-NZ"/>
        </w:rPr>
        <w:t>Commissioning,</w:t>
      </w:r>
      <w:r w:rsidR="008B5A9B" w:rsidRPr="000E6DE3">
        <w:rPr>
          <w:rFonts w:ascii="Arial" w:hAnsi="Arial" w:cs="Arial"/>
          <w:sz w:val="24"/>
          <w:szCs w:val="24"/>
          <w:lang w:val="en-US" w:eastAsia="en-NZ"/>
        </w:rPr>
        <w:t xml:space="preserve"> </w:t>
      </w:r>
      <w:r w:rsidRPr="000E6DE3">
        <w:rPr>
          <w:rFonts w:ascii="Arial" w:hAnsi="Arial" w:cs="Arial"/>
          <w:sz w:val="24"/>
          <w:szCs w:val="24"/>
          <w:lang w:val="en-US" w:eastAsia="en-NZ"/>
        </w:rPr>
        <w:t>Ministry of Health</w:t>
      </w:r>
      <w:r w:rsidR="000E6DE3">
        <w:rPr>
          <w:rFonts w:ascii="Arial" w:hAnsi="Arial" w:cs="Arial"/>
          <w:sz w:val="24"/>
          <w:szCs w:val="24"/>
          <w:lang w:val="en-US" w:eastAsia="en-NZ"/>
        </w:rPr>
        <w:t>,</w:t>
      </w:r>
      <w:r w:rsidRPr="000E6DE3">
        <w:rPr>
          <w:rFonts w:ascii="Arial" w:hAnsi="Arial" w:cs="Arial"/>
          <w:sz w:val="24"/>
          <w:szCs w:val="24"/>
          <w:lang w:val="en-US" w:eastAsia="en-NZ"/>
        </w:rPr>
        <w:t xml:space="preserve"> to discuss the process and guidance available in developing new or updating and revising existing service specifications. </w:t>
      </w:r>
    </w:p>
    <w:p w14:paraId="1489B9B5" w14:textId="77777777" w:rsidR="000E6DE3" w:rsidRPr="000E6DE3" w:rsidRDefault="000E6DE3" w:rsidP="000E6DE3">
      <w:pPr>
        <w:rPr>
          <w:rFonts w:ascii="Arial" w:hAnsi="Arial" w:cs="Arial"/>
          <w:sz w:val="24"/>
          <w:szCs w:val="24"/>
          <w:lang w:val="en-US" w:eastAsia="en-NZ"/>
        </w:rPr>
      </w:pPr>
    </w:p>
    <w:p w14:paraId="573D3D4E" w14:textId="35A08BAF" w:rsidR="00FD20B3" w:rsidRDefault="00684939">
      <w:pPr>
        <w:spacing w:after="160" w:line="259" w:lineRule="auto"/>
        <w:rPr>
          <w:bCs/>
        </w:rPr>
      </w:pPr>
      <w:r w:rsidRPr="00FD20B3">
        <w:rPr>
          <w:rFonts w:ascii="Arial" w:hAnsi="Arial" w:cs="Arial"/>
          <w:sz w:val="24"/>
          <w:szCs w:val="24"/>
          <w:lang w:val="en-NZ" w:eastAsia="en-NZ"/>
        </w:rPr>
        <w:t xml:space="preserve">Nationwide Service Framework Library </w:t>
      </w:r>
      <w:hyperlink r:id="rId9" w:history="1">
        <w:r w:rsidRPr="00FD20B3">
          <w:rPr>
            <w:rFonts w:ascii="Arial" w:hAnsi="Arial" w:cs="Arial"/>
            <w:color w:val="0000FF"/>
            <w:sz w:val="24"/>
            <w:szCs w:val="24"/>
            <w:u w:val="single"/>
            <w:lang w:val="en-NZ" w:eastAsia="en-NZ"/>
          </w:rPr>
          <w:t>http://www.nsfl.health.govt.nz</w:t>
        </w:r>
      </w:hyperlink>
      <w:r w:rsidR="00FD20B3">
        <w:rPr>
          <w:bCs/>
        </w:rPr>
        <w:br w:type="page"/>
      </w:r>
    </w:p>
    <w:p w14:paraId="6365CB26" w14:textId="76A1BB6F" w:rsidR="00684939" w:rsidRDefault="00684939" w:rsidP="00684939">
      <w:pPr>
        <w:pBdr>
          <w:top w:val="single" w:sz="4" w:space="1" w:color="auto"/>
          <w:left w:val="single" w:sz="4" w:space="1" w:color="auto"/>
          <w:bottom w:val="single" w:sz="4" w:space="1" w:color="auto"/>
          <w:right w:val="single" w:sz="4" w:space="1" w:color="auto"/>
        </w:pBdr>
        <w:jc w:val="center"/>
        <w:rPr>
          <w:rFonts w:ascii="Arial" w:hAnsi="Arial" w:cs="Arial"/>
          <w:b/>
          <w:sz w:val="24"/>
          <w:szCs w:val="24"/>
          <w:lang w:val="en-US"/>
        </w:rPr>
      </w:pPr>
      <w:r w:rsidRPr="00684939">
        <w:rPr>
          <w:rFonts w:ascii="Arial" w:hAnsi="Arial" w:cs="Arial"/>
          <w:b/>
          <w:sz w:val="24"/>
          <w:szCs w:val="24"/>
          <w:lang w:val="en-US"/>
        </w:rPr>
        <w:lastRenderedPageBreak/>
        <w:t>SPECIALIST MEDICAL</w:t>
      </w:r>
      <w:r w:rsidR="000E6DE3">
        <w:rPr>
          <w:rFonts w:ascii="Arial" w:hAnsi="Arial" w:cs="Arial"/>
          <w:b/>
          <w:sz w:val="24"/>
          <w:szCs w:val="24"/>
          <w:lang w:val="en-US"/>
        </w:rPr>
        <w:t xml:space="preserve"> AND SURGICAL</w:t>
      </w:r>
      <w:r w:rsidRPr="00684939">
        <w:rPr>
          <w:rFonts w:ascii="Arial" w:hAnsi="Arial" w:cs="Arial"/>
          <w:b/>
          <w:sz w:val="24"/>
          <w:szCs w:val="24"/>
          <w:lang w:val="en-US"/>
        </w:rPr>
        <w:t xml:space="preserve"> SERVICES</w:t>
      </w:r>
      <w:r w:rsidR="00C61E2E">
        <w:rPr>
          <w:rFonts w:ascii="Arial" w:hAnsi="Arial" w:cs="Arial"/>
          <w:b/>
          <w:sz w:val="24"/>
          <w:szCs w:val="24"/>
          <w:lang w:val="en-US"/>
        </w:rPr>
        <w:t xml:space="preserve"> </w:t>
      </w:r>
      <w:r>
        <w:rPr>
          <w:rFonts w:ascii="Arial" w:hAnsi="Arial" w:cs="Arial"/>
          <w:b/>
          <w:sz w:val="24"/>
          <w:szCs w:val="24"/>
          <w:lang w:val="en-US"/>
        </w:rPr>
        <w:t>-</w:t>
      </w:r>
    </w:p>
    <w:p w14:paraId="532F6DA2" w14:textId="22ED064A" w:rsidR="00684939" w:rsidRDefault="00684939" w:rsidP="00684939">
      <w:pPr>
        <w:pBdr>
          <w:top w:val="single" w:sz="4" w:space="1" w:color="auto"/>
          <w:left w:val="single" w:sz="4" w:space="1" w:color="auto"/>
          <w:bottom w:val="single" w:sz="4" w:space="1" w:color="auto"/>
          <w:right w:val="single" w:sz="4" w:space="1" w:color="auto"/>
        </w:pBdr>
        <w:jc w:val="center"/>
      </w:pPr>
      <w:r w:rsidRPr="00F52042">
        <w:rPr>
          <w:rFonts w:ascii="Arial" w:hAnsi="Arial" w:cs="Arial"/>
          <w:b/>
          <w:sz w:val="24"/>
          <w:szCs w:val="24"/>
          <w:lang w:val="en-US"/>
        </w:rPr>
        <w:t>GENERAL SURGERY</w:t>
      </w:r>
    </w:p>
    <w:p w14:paraId="24A0245E" w14:textId="08294813" w:rsidR="00684939" w:rsidRPr="002C49FD" w:rsidRDefault="00684939" w:rsidP="00684939">
      <w:pPr>
        <w:pStyle w:val="Title"/>
        <w:pBdr>
          <w:top w:val="single" w:sz="4" w:space="1" w:color="auto"/>
          <w:left w:val="single" w:sz="4" w:space="1" w:color="auto"/>
          <w:bottom w:val="single" w:sz="4" w:space="1" w:color="auto"/>
          <w:right w:val="single" w:sz="4" w:space="1" w:color="auto"/>
        </w:pBdr>
        <w:rPr>
          <w:rFonts w:ascii="Arial" w:hAnsi="Arial" w:cs="Arial"/>
          <w:sz w:val="24"/>
          <w:szCs w:val="24"/>
        </w:rPr>
      </w:pPr>
      <w:r w:rsidRPr="002C49FD">
        <w:rPr>
          <w:rFonts w:ascii="Arial" w:hAnsi="Arial" w:cs="Arial"/>
          <w:sz w:val="24"/>
          <w:szCs w:val="24"/>
        </w:rPr>
        <w:t>TIER TWO</w:t>
      </w:r>
      <w:r w:rsidR="00DB7877">
        <w:rPr>
          <w:rFonts w:ascii="Arial" w:hAnsi="Arial" w:cs="Arial"/>
          <w:sz w:val="24"/>
          <w:szCs w:val="24"/>
        </w:rPr>
        <w:t xml:space="preserve"> </w:t>
      </w:r>
      <w:r w:rsidRPr="002C49FD">
        <w:rPr>
          <w:rFonts w:ascii="Arial" w:hAnsi="Arial" w:cs="Arial"/>
          <w:sz w:val="24"/>
          <w:szCs w:val="24"/>
        </w:rPr>
        <w:t>SERVICE SPECIFICATION</w:t>
      </w:r>
    </w:p>
    <w:p w14:paraId="2E9FE784" w14:textId="73CEE3D3" w:rsidR="00684939" w:rsidRPr="002C49FD" w:rsidRDefault="00684939" w:rsidP="00684939">
      <w:pPr>
        <w:pStyle w:val="BodyText2"/>
        <w:spacing w:before="120"/>
        <w:jc w:val="left"/>
        <w:rPr>
          <w:rFonts w:ascii="Arial" w:hAnsi="Arial" w:cs="Arial"/>
          <w:b w:val="0"/>
          <w:i w:val="0"/>
          <w:szCs w:val="24"/>
          <w:lang w:val="en-US"/>
        </w:rPr>
      </w:pPr>
      <w:r w:rsidRPr="002C49FD">
        <w:rPr>
          <w:rFonts w:ascii="Arial" w:hAnsi="Arial" w:cs="Arial"/>
          <w:b w:val="0"/>
          <w:i w:val="0"/>
          <w:szCs w:val="24"/>
          <w:lang w:val="en-US"/>
        </w:rPr>
        <w:t xml:space="preserve">This tier two General Surgery service specification </w:t>
      </w:r>
      <w:r>
        <w:rPr>
          <w:rFonts w:ascii="Arial" w:hAnsi="Arial" w:cs="Arial"/>
          <w:b w:val="0"/>
          <w:i w:val="0"/>
          <w:szCs w:val="24"/>
          <w:lang w:val="en-US"/>
        </w:rPr>
        <w:t>must be used in conjunction with</w:t>
      </w:r>
      <w:r w:rsidRPr="002C49FD">
        <w:rPr>
          <w:rFonts w:ascii="Arial" w:hAnsi="Arial" w:cs="Arial"/>
          <w:b w:val="0"/>
          <w:i w:val="0"/>
          <w:szCs w:val="24"/>
          <w:lang w:val="en-US"/>
        </w:rPr>
        <w:t xml:space="preserve"> the overarching tier one </w:t>
      </w:r>
      <w:r w:rsidRPr="002C49FD">
        <w:rPr>
          <w:rFonts w:ascii="Arial" w:hAnsi="Arial" w:cs="Arial"/>
          <w:b w:val="0"/>
          <w:i w:val="0"/>
          <w:szCs w:val="24"/>
        </w:rPr>
        <w:t xml:space="preserve">Specialist Medical and Surgical </w:t>
      </w:r>
      <w:r>
        <w:rPr>
          <w:rFonts w:ascii="Arial" w:hAnsi="Arial" w:cs="Arial"/>
          <w:b w:val="0"/>
          <w:i w:val="0"/>
          <w:szCs w:val="24"/>
        </w:rPr>
        <w:t>S</w:t>
      </w:r>
      <w:r w:rsidRPr="002C49FD">
        <w:rPr>
          <w:rFonts w:ascii="Arial" w:hAnsi="Arial" w:cs="Arial"/>
          <w:b w:val="0"/>
          <w:i w:val="0"/>
          <w:szCs w:val="24"/>
        </w:rPr>
        <w:t>ervice</w:t>
      </w:r>
      <w:r>
        <w:rPr>
          <w:rFonts w:ascii="Arial" w:hAnsi="Arial" w:cs="Arial"/>
          <w:b w:val="0"/>
          <w:i w:val="0"/>
          <w:szCs w:val="24"/>
        </w:rPr>
        <w:t>s service</w:t>
      </w:r>
      <w:r w:rsidRPr="002C49FD">
        <w:rPr>
          <w:rFonts w:ascii="Arial" w:hAnsi="Arial" w:cs="Arial"/>
          <w:b w:val="0"/>
          <w:i w:val="0"/>
          <w:szCs w:val="24"/>
        </w:rPr>
        <w:t xml:space="preserve"> specification</w:t>
      </w:r>
      <w:r>
        <w:rPr>
          <w:rFonts w:ascii="Arial" w:hAnsi="Arial" w:cs="Arial"/>
          <w:b w:val="0"/>
          <w:i w:val="0"/>
          <w:szCs w:val="24"/>
          <w:lang w:val="en-NZ"/>
        </w:rPr>
        <w:t xml:space="preserve">.  This Service is also linked to </w:t>
      </w:r>
      <w:r>
        <w:rPr>
          <w:rFonts w:ascii="Arial" w:hAnsi="Arial" w:cs="Arial"/>
          <w:b w:val="0"/>
          <w:i w:val="0"/>
          <w:szCs w:val="24"/>
        </w:rPr>
        <w:t xml:space="preserve">the </w:t>
      </w:r>
      <w:r w:rsidRPr="002C49FD">
        <w:rPr>
          <w:rFonts w:ascii="Arial" w:hAnsi="Arial" w:cs="Arial"/>
          <w:b w:val="0"/>
          <w:i w:val="0"/>
          <w:szCs w:val="24"/>
        </w:rPr>
        <w:t xml:space="preserve">Services for Children and Young People service specifications and the tier </w:t>
      </w:r>
      <w:r w:rsidR="00D92B62">
        <w:rPr>
          <w:rFonts w:ascii="Arial" w:hAnsi="Arial" w:cs="Arial"/>
          <w:b w:val="0"/>
          <w:i w:val="0"/>
          <w:szCs w:val="24"/>
        </w:rPr>
        <w:t xml:space="preserve">two Vascular Services, and tier </w:t>
      </w:r>
      <w:r w:rsidRPr="002C49FD">
        <w:rPr>
          <w:rFonts w:ascii="Arial" w:hAnsi="Arial" w:cs="Arial"/>
          <w:b w:val="0"/>
          <w:i w:val="0"/>
          <w:szCs w:val="24"/>
        </w:rPr>
        <w:t>three</w:t>
      </w:r>
      <w:r w:rsidRPr="002C49FD">
        <w:rPr>
          <w:rFonts w:ascii="Arial" w:hAnsi="Arial" w:cs="Arial"/>
          <w:b w:val="0"/>
          <w:i w:val="0"/>
          <w:szCs w:val="24"/>
          <w:lang w:val="en-US"/>
        </w:rPr>
        <w:t xml:space="preserve"> Breast Cancer </w:t>
      </w:r>
      <w:r>
        <w:rPr>
          <w:rFonts w:ascii="Arial" w:hAnsi="Arial" w:cs="Arial"/>
          <w:b w:val="0"/>
          <w:i w:val="0"/>
          <w:szCs w:val="24"/>
          <w:lang w:val="en-US"/>
        </w:rPr>
        <w:t xml:space="preserve">Surgery </w:t>
      </w:r>
      <w:r w:rsidR="00541AE8">
        <w:rPr>
          <w:rFonts w:ascii="Arial" w:hAnsi="Arial" w:cs="Arial"/>
          <w:b w:val="0"/>
          <w:i w:val="0"/>
          <w:szCs w:val="24"/>
          <w:lang w:val="en-US"/>
        </w:rPr>
        <w:t>s</w:t>
      </w:r>
      <w:r w:rsidRPr="002C49FD">
        <w:rPr>
          <w:rFonts w:ascii="Arial" w:hAnsi="Arial" w:cs="Arial"/>
          <w:b w:val="0"/>
          <w:i w:val="0"/>
          <w:szCs w:val="24"/>
          <w:lang w:val="en-US"/>
        </w:rPr>
        <w:t xml:space="preserve">ervice </w:t>
      </w:r>
      <w:r w:rsidR="00541AE8">
        <w:rPr>
          <w:rFonts w:ascii="Arial" w:hAnsi="Arial" w:cs="Arial"/>
          <w:b w:val="0"/>
          <w:i w:val="0"/>
          <w:szCs w:val="24"/>
          <w:lang w:val="en-US"/>
        </w:rPr>
        <w:t>s</w:t>
      </w:r>
      <w:r w:rsidRPr="002C49FD">
        <w:rPr>
          <w:rFonts w:ascii="Arial" w:hAnsi="Arial" w:cs="Arial"/>
          <w:b w:val="0"/>
          <w:i w:val="0"/>
          <w:szCs w:val="24"/>
          <w:lang w:val="en-US"/>
        </w:rPr>
        <w:t>pecification</w:t>
      </w:r>
      <w:r w:rsidR="00541AE8">
        <w:rPr>
          <w:rFonts w:ascii="Arial" w:hAnsi="Arial" w:cs="Arial"/>
          <w:b w:val="0"/>
          <w:i w:val="0"/>
          <w:szCs w:val="24"/>
          <w:lang w:val="en-US"/>
        </w:rPr>
        <w:t>s</w:t>
      </w:r>
      <w:r w:rsidRPr="002C49FD">
        <w:rPr>
          <w:rFonts w:ascii="Arial" w:hAnsi="Arial" w:cs="Arial"/>
          <w:b w:val="0"/>
          <w:i w:val="0"/>
          <w:szCs w:val="24"/>
          <w:lang w:val="en-US"/>
        </w:rPr>
        <w:t>.</w:t>
      </w:r>
    </w:p>
    <w:p w14:paraId="478183BA" w14:textId="4C3E733C" w:rsidR="00684939" w:rsidRPr="00B8572F" w:rsidRDefault="00684939" w:rsidP="00684939">
      <w:pPr>
        <w:pStyle w:val="BodyText2"/>
        <w:spacing w:before="120"/>
        <w:jc w:val="left"/>
        <w:rPr>
          <w:rFonts w:ascii="Arial" w:hAnsi="Arial" w:cs="Arial"/>
          <w:b w:val="0"/>
          <w:i w:val="0"/>
          <w:szCs w:val="24"/>
          <w:lang w:val="en-US"/>
        </w:rPr>
      </w:pPr>
      <w:r w:rsidRPr="00B8572F">
        <w:rPr>
          <w:rFonts w:ascii="Arial" w:hAnsi="Arial" w:cs="Arial"/>
          <w:b w:val="0"/>
          <w:i w:val="0"/>
          <w:szCs w:val="24"/>
          <w:lang w:val="en-US"/>
        </w:rPr>
        <w:t xml:space="preserve">Refer to the </w:t>
      </w:r>
      <w:r>
        <w:rPr>
          <w:rFonts w:ascii="Arial" w:hAnsi="Arial" w:cs="Arial"/>
          <w:b w:val="0"/>
          <w:i w:val="0"/>
          <w:szCs w:val="24"/>
          <w:lang w:val="en-US"/>
        </w:rPr>
        <w:t xml:space="preserve">overarching </w:t>
      </w:r>
      <w:r w:rsidR="00DB7877">
        <w:rPr>
          <w:rFonts w:ascii="Arial" w:hAnsi="Arial" w:cs="Arial"/>
          <w:b w:val="0"/>
          <w:i w:val="0"/>
          <w:szCs w:val="24"/>
          <w:lang w:val="en-US"/>
        </w:rPr>
        <w:t>t</w:t>
      </w:r>
      <w:r w:rsidRPr="00B8572F">
        <w:rPr>
          <w:rFonts w:ascii="Arial" w:hAnsi="Arial" w:cs="Arial"/>
          <w:b w:val="0"/>
          <w:i w:val="0"/>
          <w:szCs w:val="24"/>
          <w:lang w:val="en-US"/>
        </w:rPr>
        <w:t xml:space="preserve">ier </w:t>
      </w:r>
      <w:r w:rsidR="00DB7877">
        <w:rPr>
          <w:rFonts w:ascii="Arial" w:hAnsi="Arial" w:cs="Arial"/>
          <w:b w:val="0"/>
          <w:i w:val="0"/>
          <w:szCs w:val="24"/>
          <w:lang w:val="en-US"/>
        </w:rPr>
        <w:t>o</w:t>
      </w:r>
      <w:r w:rsidRPr="00B8572F">
        <w:rPr>
          <w:rFonts w:ascii="Arial" w:hAnsi="Arial" w:cs="Arial"/>
          <w:b w:val="0"/>
          <w:i w:val="0"/>
          <w:szCs w:val="24"/>
          <w:lang w:val="en-US"/>
        </w:rPr>
        <w:t xml:space="preserve">ne </w:t>
      </w:r>
      <w:r w:rsidR="00D92B62" w:rsidRPr="00D92B62">
        <w:rPr>
          <w:rFonts w:ascii="Arial" w:hAnsi="Arial" w:cs="Arial"/>
          <w:b w:val="0"/>
          <w:i w:val="0"/>
          <w:szCs w:val="24"/>
          <w:lang w:val="en-US"/>
        </w:rPr>
        <w:t xml:space="preserve">Specialist Medical and Surgical Services </w:t>
      </w:r>
      <w:r w:rsidRPr="00B8572F">
        <w:rPr>
          <w:rFonts w:ascii="Arial" w:hAnsi="Arial" w:cs="Arial"/>
          <w:b w:val="0"/>
          <w:i w:val="0"/>
          <w:szCs w:val="24"/>
          <w:lang w:val="en-NZ"/>
        </w:rPr>
        <w:t>service specification</w:t>
      </w:r>
      <w:r w:rsidRPr="00B8572F">
        <w:rPr>
          <w:rFonts w:ascii="Arial" w:hAnsi="Arial" w:cs="Arial"/>
          <w:b w:val="0"/>
          <w:i w:val="0"/>
          <w:szCs w:val="24"/>
          <w:lang w:val="en-US"/>
        </w:rPr>
        <w:t xml:space="preserve"> for generic details </w:t>
      </w:r>
      <w:r w:rsidR="00D92B62">
        <w:rPr>
          <w:rFonts w:ascii="Arial" w:hAnsi="Arial" w:cs="Arial"/>
          <w:b w:val="0"/>
          <w:i w:val="0"/>
          <w:szCs w:val="24"/>
          <w:lang w:val="en-US"/>
        </w:rPr>
        <w:t xml:space="preserve">applicable to all the </w:t>
      </w:r>
      <w:r w:rsidR="00FE1E01">
        <w:rPr>
          <w:rFonts w:ascii="Arial" w:hAnsi="Arial" w:cs="Arial"/>
          <w:b w:val="0"/>
          <w:i w:val="0"/>
          <w:szCs w:val="24"/>
          <w:lang w:val="en-US"/>
        </w:rPr>
        <w:t xml:space="preserve">delivery of the </w:t>
      </w:r>
      <w:r w:rsidR="00D92B62">
        <w:rPr>
          <w:rFonts w:ascii="Arial" w:hAnsi="Arial" w:cs="Arial"/>
          <w:b w:val="0"/>
          <w:i w:val="0"/>
          <w:szCs w:val="24"/>
          <w:lang w:val="en-US"/>
        </w:rPr>
        <w:t>Service</w:t>
      </w:r>
      <w:r w:rsidR="00FE1E01">
        <w:rPr>
          <w:rFonts w:ascii="Arial" w:hAnsi="Arial" w:cs="Arial"/>
          <w:b w:val="0"/>
          <w:i w:val="0"/>
          <w:szCs w:val="24"/>
          <w:lang w:val="en-US"/>
        </w:rPr>
        <w:t>.</w:t>
      </w:r>
    </w:p>
    <w:p w14:paraId="72B62889" w14:textId="77777777" w:rsidR="00684939" w:rsidRPr="002C49FD" w:rsidRDefault="00684939" w:rsidP="00684939">
      <w:pPr>
        <w:pStyle w:val="Heading1"/>
        <w:spacing w:after="120"/>
        <w:jc w:val="left"/>
        <w:rPr>
          <w:rFonts w:cs="Arial"/>
          <w:sz w:val="24"/>
          <w:szCs w:val="24"/>
        </w:rPr>
      </w:pPr>
      <w:r w:rsidRPr="002C49FD">
        <w:rPr>
          <w:rFonts w:cs="Arial"/>
          <w:sz w:val="24"/>
          <w:szCs w:val="24"/>
        </w:rPr>
        <w:t>Service Definition</w:t>
      </w:r>
    </w:p>
    <w:p w14:paraId="20076AA7" w14:textId="77777777" w:rsidR="00541AE8" w:rsidRDefault="00684939" w:rsidP="00684939">
      <w:pPr>
        <w:pStyle w:val="BodyTextIndent3"/>
        <w:ind w:left="0"/>
        <w:jc w:val="left"/>
        <w:rPr>
          <w:rFonts w:ascii="Arial" w:hAnsi="Arial" w:cs="Arial"/>
          <w:szCs w:val="24"/>
        </w:rPr>
      </w:pPr>
      <w:r w:rsidRPr="002C49FD">
        <w:rPr>
          <w:rFonts w:ascii="Arial" w:hAnsi="Arial" w:cs="Arial"/>
          <w:szCs w:val="24"/>
        </w:rPr>
        <w:t xml:space="preserve">General surgery encompasses surgery of the skin, abdominal wall and cavity, the gastrointestinal system, the peritoneum and its contents, the endocrine system, the breast </w:t>
      </w:r>
      <w:r w:rsidRPr="008B5A9B">
        <w:rPr>
          <w:rFonts w:ascii="Arial" w:hAnsi="Arial" w:cs="Arial"/>
          <w:szCs w:val="24"/>
        </w:rPr>
        <w:t xml:space="preserve">and vascular systems.  </w:t>
      </w:r>
    </w:p>
    <w:p w14:paraId="513E0DE0" w14:textId="637FC576" w:rsidR="00684939" w:rsidRPr="002C49FD" w:rsidRDefault="00684939" w:rsidP="00DB7877">
      <w:pPr>
        <w:pStyle w:val="BodyTextIndent3"/>
        <w:spacing w:before="120"/>
        <w:ind w:left="0"/>
        <w:jc w:val="left"/>
        <w:rPr>
          <w:rFonts w:ascii="Arial" w:hAnsi="Arial" w:cs="Arial"/>
          <w:szCs w:val="24"/>
        </w:rPr>
      </w:pPr>
      <w:r w:rsidRPr="002C49FD">
        <w:rPr>
          <w:rFonts w:ascii="Arial" w:hAnsi="Arial" w:cs="Arial"/>
          <w:szCs w:val="24"/>
        </w:rPr>
        <w:t xml:space="preserve">In some secondary </w:t>
      </w:r>
      <w:r w:rsidR="00541AE8">
        <w:rPr>
          <w:rFonts w:ascii="Arial" w:hAnsi="Arial" w:cs="Arial"/>
          <w:szCs w:val="24"/>
        </w:rPr>
        <w:t xml:space="preserve">hospital </w:t>
      </w:r>
      <w:r w:rsidRPr="002C49FD">
        <w:rPr>
          <w:rFonts w:ascii="Arial" w:hAnsi="Arial" w:cs="Arial"/>
          <w:szCs w:val="24"/>
        </w:rPr>
        <w:t>facilities</w:t>
      </w:r>
      <w:r w:rsidR="00541AE8">
        <w:rPr>
          <w:rFonts w:ascii="Arial" w:hAnsi="Arial" w:cs="Arial"/>
          <w:szCs w:val="24"/>
        </w:rPr>
        <w:t>,</w:t>
      </w:r>
      <w:r w:rsidRPr="002C49FD">
        <w:rPr>
          <w:rFonts w:ascii="Arial" w:hAnsi="Arial" w:cs="Arial"/>
          <w:szCs w:val="24"/>
        </w:rPr>
        <w:t xml:space="preserve"> general surgeons routinely perform some </w:t>
      </w:r>
      <w:r w:rsidR="00541AE8">
        <w:rPr>
          <w:rFonts w:ascii="Arial" w:hAnsi="Arial" w:cs="Arial"/>
          <w:szCs w:val="24"/>
        </w:rPr>
        <w:t xml:space="preserve">vascular, </w:t>
      </w:r>
      <w:r w:rsidRPr="002C49FD">
        <w:rPr>
          <w:rFonts w:ascii="Arial" w:hAnsi="Arial" w:cs="Arial"/>
          <w:szCs w:val="24"/>
        </w:rPr>
        <w:t>head and neck, thorax, orthopaedic</w:t>
      </w:r>
      <w:r w:rsidR="00541AE8">
        <w:rPr>
          <w:rFonts w:ascii="Arial" w:hAnsi="Arial" w:cs="Arial"/>
          <w:szCs w:val="24"/>
        </w:rPr>
        <w:t>,</w:t>
      </w:r>
      <w:r w:rsidRPr="002C49FD">
        <w:rPr>
          <w:rFonts w:ascii="Arial" w:hAnsi="Arial" w:cs="Arial"/>
          <w:szCs w:val="24"/>
        </w:rPr>
        <w:t xml:space="preserve"> plastic surgery, urology and gynaecology procedures.</w:t>
      </w:r>
    </w:p>
    <w:p w14:paraId="54A718D3" w14:textId="77777777" w:rsidR="00684939" w:rsidRPr="002C49FD" w:rsidRDefault="00684939" w:rsidP="00684939">
      <w:pPr>
        <w:numPr>
          <w:ilvl w:val="12"/>
          <w:numId w:val="0"/>
        </w:numPr>
        <w:spacing w:before="120"/>
        <w:rPr>
          <w:rFonts w:ascii="Arial" w:hAnsi="Arial" w:cs="Arial"/>
          <w:sz w:val="24"/>
          <w:szCs w:val="24"/>
        </w:rPr>
      </w:pPr>
      <w:r w:rsidRPr="002C49FD">
        <w:rPr>
          <w:rFonts w:ascii="Arial" w:hAnsi="Arial" w:cs="Arial"/>
          <w:sz w:val="24"/>
          <w:szCs w:val="24"/>
        </w:rPr>
        <w:t>The Service provides surgical assessment and management of:</w:t>
      </w:r>
    </w:p>
    <w:p w14:paraId="29703750" w14:textId="77777777" w:rsidR="00684939" w:rsidRPr="002C49FD" w:rsidRDefault="00684939" w:rsidP="00684939">
      <w:pPr>
        <w:numPr>
          <w:ilvl w:val="0"/>
          <w:numId w:val="3"/>
        </w:numPr>
        <w:tabs>
          <w:tab w:val="clear" w:pos="720"/>
          <w:tab w:val="num" w:pos="567"/>
        </w:tabs>
        <w:spacing w:before="120"/>
        <w:ind w:left="567" w:hanging="567"/>
        <w:rPr>
          <w:rFonts w:ascii="Arial" w:hAnsi="Arial" w:cs="Arial"/>
          <w:sz w:val="24"/>
          <w:szCs w:val="24"/>
        </w:rPr>
      </w:pPr>
      <w:r w:rsidRPr="002C49FD">
        <w:rPr>
          <w:rFonts w:ascii="Arial" w:hAnsi="Arial" w:cs="Arial"/>
          <w:sz w:val="24"/>
          <w:szCs w:val="24"/>
        </w:rPr>
        <w:t>symptoms or signs, either chronic or acute, suggestive of disease or dysfunction in the salivary, oesophageal, gastro-intestinal,</w:t>
      </w:r>
      <w:r w:rsidRPr="002C49FD">
        <w:rPr>
          <w:rFonts w:ascii="Arial" w:hAnsi="Arial" w:cs="Arial"/>
          <w:sz w:val="24"/>
          <w:szCs w:val="24"/>
          <w:lang w:val="en-NZ"/>
        </w:rPr>
        <w:t xml:space="preserve"> </w:t>
      </w:r>
      <w:proofErr w:type="spellStart"/>
      <w:r w:rsidRPr="002C49FD">
        <w:rPr>
          <w:rFonts w:ascii="Arial" w:hAnsi="Arial" w:cs="Arial"/>
          <w:sz w:val="24"/>
          <w:szCs w:val="24"/>
          <w:lang w:val="en-NZ"/>
        </w:rPr>
        <w:t>hepato</w:t>
      </w:r>
      <w:proofErr w:type="spellEnd"/>
      <w:r w:rsidRPr="002C49FD">
        <w:rPr>
          <w:rFonts w:ascii="Arial" w:hAnsi="Arial" w:cs="Arial"/>
          <w:sz w:val="24"/>
          <w:szCs w:val="24"/>
          <w:lang w:val="en-NZ"/>
        </w:rPr>
        <w:t>-biliary</w:t>
      </w:r>
      <w:r w:rsidRPr="002C49FD">
        <w:rPr>
          <w:rFonts w:ascii="Arial" w:hAnsi="Arial" w:cs="Arial"/>
          <w:sz w:val="24"/>
          <w:szCs w:val="24"/>
        </w:rPr>
        <w:t xml:space="preserve">, breast, endocrine and </w:t>
      </w:r>
      <w:r w:rsidRPr="00541AE8">
        <w:rPr>
          <w:rFonts w:ascii="Arial" w:hAnsi="Arial" w:cs="Arial"/>
          <w:sz w:val="24"/>
          <w:szCs w:val="24"/>
        </w:rPr>
        <w:t>vascular systems</w:t>
      </w:r>
      <w:r w:rsidRPr="002C49FD">
        <w:rPr>
          <w:rFonts w:ascii="Arial" w:hAnsi="Arial" w:cs="Arial"/>
          <w:sz w:val="24"/>
          <w:szCs w:val="24"/>
        </w:rPr>
        <w:t xml:space="preserve"> as well as the integument, subcutaneous tissues or musculature</w:t>
      </w:r>
    </w:p>
    <w:p w14:paraId="5106B7AD" w14:textId="77777777" w:rsidR="00684939" w:rsidRPr="002C49FD" w:rsidRDefault="00684939" w:rsidP="00684939">
      <w:pPr>
        <w:numPr>
          <w:ilvl w:val="0"/>
          <w:numId w:val="3"/>
        </w:numPr>
        <w:tabs>
          <w:tab w:val="clear" w:pos="720"/>
          <w:tab w:val="num" w:pos="567"/>
        </w:tabs>
        <w:spacing w:before="120"/>
        <w:ind w:left="567" w:hanging="567"/>
        <w:rPr>
          <w:rFonts w:ascii="Arial" w:hAnsi="Arial" w:cs="Arial"/>
          <w:sz w:val="24"/>
          <w:szCs w:val="24"/>
        </w:rPr>
      </w:pPr>
      <w:r w:rsidRPr="002C49FD">
        <w:rPr>
          <w:rFonts w:ascii="Arial" w:hAnsi="Arial" w:cs="Arial"/>
          <w:sz w:val="24"/>
          <w:szCs w:val="24"/>
        </w:rPr>
        <w:t>symptoms or signs of disease or dysfunction in other organ systems secondary to the disorders above</w:t>
      </w:r>
    </w:p>
    <w:p w14:paraId="09C149DC" w14:textId="77777777" w:rsidR="00684939" w:rsidRPr="002C49FD" w:rsidRDefault="00684939" w:rsidP="00684939">
      <w:pPr>
        <w:numPr>
          <w:ilvl w:val="0"/>
          <w:numId w:val="3"/>
        </w:numPr>
        <w:tabs>
          <w:tab w:val="clear" w:pos="720"/>
          <w:tab w:val="num" w:pos="567"/>
        </w:tabs>
        <w:spacing w:before="120"/>
        <w:ind w:left="567" w:hanging="567"/>
        <w:rPr>
          <w:rFonts w:ascii="Arial" w:hAnsi="Arial" w:cs="Arial"/>
          <w:sz w:val="24"/>
          <w:szCs w:val="24"/>
        </w:rPr>
      </w:pPr>
      <w:r w:rsidRPr="002C49FD">
        <w:rPr>
          <w:rFonts w:ascii="Arial" w:hAnsi="Arial" w:cs="Arial"/>
          <w:sz w:val="24"/>
          <w:szCs w:val="24"/>
        </w:rPr>
        <w:t>acute and chronic pain of any cause</w:t>
      </w:r>
    </w:p>
    <w:p w14:paraId="573B2083" w14:textId="77777777" w:rsidR="00684939" w:rsidRPr="002C49FD" w:rsidRDefault="00684939" w:rsidP="00684939">
      <w:pPr>
        <w:pStyle w:val="BodyTextIndent3"/>
        <w:numPr>
          <w:ilvl w:val="0"/>
          <w:numId w:val="3"/>
        </w:numPr>
        <w:tabs>
          <w:tab w:val="clear" w:pos="720"/>
          <w:tab w:val="num" w:pos="567"/>
        </w:tabs>
        <w:spacing w:before="120"/>
        <w:ind w:left="567" w:hanging="567"/>
        <w:jc w:val="left"/>
        <w:rPr>
          <w:rFonts w:ascii="Arial" w:hAnsi="Arial" w:cs="Arial"/>
          <w:szCs w:val="24"/>
          <w:lang w:val="en-NZ"/>
        </w:rPr>
      </w:pPr>
      <w:r w:rsidRPr="002C49FD">
        <w:rPr>
          <w:rFonts w:ascii="Arial" w:hAnsi="Arial" w:cs="Arial"/>
          <w:szCs w:val="24"/>
        </w:rPr>
        <w:t>acute trauma not specifically designated above.</w:t>
      </w:r>
    </w:p>
    <w:p w14:paraId="125B2626" w14:textId="254D1ABE" w:rsidR="00684939" w:rsidRDefault="00684939" w:rsidP="00684939">
      <w:pPr>
        <w:pStyle w:val="BodyText3"/>
        <w:spacing w:before="120"/>
        <w:jc w:val="left"/>
        <w:rPr>
          <w:rFonts w:ascii="Arial" w:hAnsi="Arial" w:cs="Arial"/>
          <w:szCs w:val="24"/>
        </w:rPr>
      </w:pPr>
      <w:r w:rsidRPr="002C49FD">
        <w:rPr>
          <w:rFonts w:ascii="Arial" w:hAnsi="Arial" w:cs="Arial"/>
          <w:szCs w:val="24"/>
        </w:rPr>
        <w:t xml:space="preserve">Assessment and management may require multidisciplinary input and clarity of the responsibility for care co-ordination, with general surgery playing a greater or lesser role, depending on specific needs of the </w:t>
      </w:r>
      <w:r w:rsidR="000E6DE3">
        <w:rPr>
          <w:rFonts w:ascii="Arial" w:hAnsi="Arial" w:cs="Arial"/>
          <w:szCs w:val="24"/>
        </w:rPr>
        <w:t>s</w:t>
      </w:r>
      <w:r w:rsidR="00D92B62">
        <w:rPr>
          <w:rFonts w:ascii="Arial" w:hAnsi="Arial" w:cs="Arial"/>
          <w:szCs w:val="24"/>
        </w:rPr>
        <w:t xml:space="preserve">ervice </w:t>
      </w:r>
      <w:r w:rsidR="000E6DE3">
        <w:rPr>
          <w:rFonts w:ascii="Arial" w:hAnsi="Arial" w:cs="Arial"/>
          <w:szCs w:val="24"/>
        </w:rPr>
        <w:t>u</w:t>
      </w:r>
      <w:r w:rsidR="00D92B62">
        <w:rPr>
          <w:rFonts w:ascii="Arial" w:hAnsi="Arial" w:cs="Arial"/>
          <w:szCs w:val="24"/>
        </w:rPr>
        <w:t>ser</w:t>
      </w:r>
      <w:r w:rsidRPr="002C49FD">
        <w:rPr>
          <w:rFonts w:ascii="Arial" w:hAnsi="Arial" w:cs="Arial"/>
          <w:szCs w:val="24"/>
        </w:rPr>
        <w:t>.</w:t>
      </w:r>
    </w:p>
    <w:p w14:paraId="4DD32A23" w14:textId="77777777" w:rsidR="00D92B62" w:rsidRPr="00DB7877" w:rsidRDefault="00D92B62" w:rsidP="000E6DE3">
      <w:pPr>
        <w:pStyle w:val="Heading1"/>
        <w:spacing w:after="120"/>
        <w:rPr>
          <w:rFonts w:cs="Arial"/>
          <w:sz w:val="24"/>
          <w:szCs w:val="24"/>
        </w:rPr>
      </w:pPr>
      <w:r w:rsidRPr="00DB7877">
        <w:rPr>
          <w:rFonts w:cs="Arial"/>
          <w:sz w:val="24"/>
          <w:szCs w:val="24"/>
        </w:rPr>
        <w:t>Service Users</w:t>
      </w:r>
    </w:p>
    <w:p w14:paraId="4C593AE4" w14:textId="1968B165" w:rsidR="008B5A9B" w:rsidRPr="00DB7877" w:rsidRDefault="00D92B62" w:rsidP="008B5A9B">
      <w:pPr>
        <w:rPr>
          <w:rFonts w:ascii="Arial" w:hAnsi="Arial" w:cs="Arial"/>
          <w:sz w:val="24"/>
          <w:szCs w:val="24"/>
        </w:rPr>
      </w:pPr>
      <w:r w:rsidRPr="00DB7877">
        <w:rPr>
          <w:rFonts w:ascii="Arial" w:hAnsi="Arial" w:cs="Arial"/>
          <w:sz w:val="24"/>
          <w:szCs w:val="24"/>
        </w:rPr>
        <w:t xml:space="preserve">Service </w:t>
      </w:r>
      <w:r w:rsidR="000E6DE3">
        <w:rPr>
          <w:rFonts w:ascii="Arial" w:hAnsi="Arial" w:cs="Arial"/>
          <w:sz w:val="24"/>
          <w:szCs w:val="24"/>
        </w:rPr>
        <w:t>u</w:t>
      </w:r>
      <w:r w:rsidRPr="00DB7877">
        <w:rPr>
          <w:rFonts w:ascii="Arial" w:hAnsi="Arial" w:cs="Arial"/>
          <w:sz w:val="24"/>
          <w:szCs w:val="24"/>
        </w:rPr>
        <w:t>sers are eligible people who meet the Service</w:t>
      </w:r>
      <w:r w:rsidR="00DB7877">
        <w:rPr>
          <w:rFonts w:ascii="Arial" w:hAnsi="Arial" w:cs="Arial"/>
          <w:sz w:val="24"/>
          <w:szCs w:val="24"/>
        </w:rPr>
        <w:t>’</w:t>
      </w:r>
      <w:r w:rsidRPr="00DB7877">
        <w:rPr>
          <w:rFonts w:ascii="Arial" w:hAnsi="Arial" w:cs="Arial"/>
          <w:sz w:val="24"/>
          <w:szCs w:val="24"/>
        </w:rPr>
        <w:t xml:space="preserve">s </w:t>
      </w:r>
      <w:r w:rsidR="00DB7877">
        <w:rPr>
          <w:rFonts w:ascii="Arial" w:hAnsi="Arial" w:cs="Arial"/>
          <w:sz w:val="24"/>
          <w:szCs w:val="24"/>
        </w:rPr>
        <w:t xml:space="preserve">clinical </w:t>
      </w:r>
      <w:r w:rsidRPr="00DB7877">
        <w:rPr>
          <w:rFonts w:ascii="Arial" w:hAnsi="Arial" w:cs="Arial"/>
          <w:sz w:val="24"/>
          <w:szCs w:val="24"/>
        </w:rPr>
        <w:t>eligibility criteria and require assessment and treatment for a general surgery condition.</w:t>
      </w:r>
    </w:p>
    <w:p w14:paraId="4284433C" w14:textId="77777777" w:rsidR="00684939" w:rsidRPr="002C49FD" w:rsidRDefault="00684939" w:rsidP="000E6DE3">
      <w:pPr>
        <w:pStyle w:val="Heading1"/>
        <w:spacing w:after="120"/>
      </w:pPr>
      <w:r w:rsidRPr="00DB7877">
        <w:rPr>
          <w:sz w:val="24"/>
          <w:szCs w:val="24"/>
        </w:rPr>
        <w:t>Access</w:t>
      </w:r>
    </w:p>
    <w:p w14:paraId="67143ED1" w14:textId="3FE8FF4A" w:rsidR="00684939" w:rsidRDefault="00684939" w:rsidP="00684939">
      <w:pPr>
        <w:spacing w:before="120"/>
        <w:rPr>
          <w:rFonts w:ascii="Arial" w:hAnsi="Arial" w:cs="Arial"/>
          <w:sz w:val="24"/>
          <w:szCs w:val="24"/>
          <w:lang w:val="en-US"/>
        </w:rPr>
      </w:pPr>
      <w:r w:rsidRPr="002C49FD">
        <w:rPr>
          <w:rFonts w:ascii="Arial" w:hAnsi="Arial" w:cs="Arial"/>
          <w:sz w:val="24"/>
          <w:szCs w:val="24"/>
          <w:lang w:val="en-NZ"/>
        </w:rPr>
        <w:t xml:space="preserve">Refer to tier </w:t>
      </w:r>
      <w:r w:rsidR="008B5A9B">
        <w:rPr>
          <w:rFonts w:ascii="Arial" w:hAnsi="Arial" w:cs="Arial"/>
          <w:sz w:val="24"/>
          <w:szCs w:val="24"/>
          <w:lang w:val="en-NZ"/>
        </w:rPr>
        <w:t>o</w:t>
      </w:r>
      <w:r w:rsidRPr="002C49FD">
        <w:rPr>
          <w:rFonts w:ascii="Arial" w:hAnsi="Arial" w:cs="Arial"/>
          <w:sz w:val="24"/>
          <w:szCs w:val="24"/>
          <w:lang w:val="en-NZ"/>
        </w:rPr>
        <w:t xml:space="preserve">ne </w:t>
      </w:r>
      <w:r w:rsidRPr="002C49FD">
        <w:rPr>
          <w:rFonts w:ascii="Arial" w:hAnsi="Arial" w:cs="Arial"/>
          <w:sz w:val="24"/>
          <w:szCs w:val="24"/>
          <w:lang w:val="en-US"/>
        </w:rPr>
        <w:t>Specialist Medical and Surgical Services</w:t>
      </w:r>
      <w:r w:rsidR="00DB7877">
        <w:rPr>
          <w:rFonts w:ascii="Arial" w:hAnsi="Arial" w:cs="Arial"/>
          <w:sz w:val="24"/>
          <w:szCs w:val="24"/>
          <w:lang w:val="en-US"/>
        </w:rPr>
        <w:t>,</w:t>
      </w:r>
      <w:r w:rsidRPr="002C49FD">
        <w:rPr>
          <w:rFonts w:ascii="Arial" w:hAnsi="Arial" w:cs="Arial"/>
          <w:sz w:val="24"/>
          <w:szCs w:val="24"/>
          <w:lang w:val="en-US"/>
        </w:rPr>
        <w:t xml:space="preserve"> and </w:t>
      </w:r>
      <w:r w:rsidR="00DB7877">
        <w:rPr>
          <w:rFonts w:ascii="Arial" w:hAnsi="Arial" w:cs="Arial"/>
          <w:sz w:val="24"/>
          <w:szCs w:val="24"/>
          <w:lang w:val="en-US"/>
        </w:rPr>
        <w:t xml:space="preserve">as age appropriate, </w:t>
      </w:r>
      <w:r w:rsidRPr="002C49FD">
        <w:rPr>
          <w:rFonts w:ascii="Arial" w:hAnsi="Arial" w:cs="Arial"/>
          <w:sz w:val="24"/>
          <w:szCs w:val="24"/>
          <w:lang w:val="en-US"/>
        </w:rPr>
        <w:t>Services for Children and Young People service specifications.</w:t>
      </w:r>
    </w:p>
    <w:p w14:paraId="0EBAD8F5" w14:textId="58C44E05" w:rsidR="00D92B62" w:rsidRPr="00BC4EA2" w:rsidRDefault="00D92B62" w:rsidP="00684939">
      <w:pPr>
        <w:spacing w:before="120"/>
        <w:rPr>
          <w:rFonts w:ascii="Arial" w:hAnsi="Arial" w:cs="Arial"/>
          <w:sz w:val="24"/>
          <w:szCs w:val="24"/>
          <w:lang w:val="en-NZ"/>
        </w:rPr>
      </w:pPr>
      <w:r w:rsidRPr="00D92B62">
        <w:rPr>
          <w:rFonts w:ascii="Arial" w:hAnsi="Arial" w:cs="Arial"/>
          <w:sz w:val="24"/>
          <w:szCs w:val="24"/>
          <w:lang w:val="en-NZ"/>
        </w:rPr>
        <w:t xml:space="preserve">The Service will maintain an acute capacity with the ability to see and treat all cases referred on an urgent basis in accordance with established clinical guidelines.  Acute referrals </w:t>
      </w:r>
      <w:r>
        <w:rPr>
          <w:rFonts w:ascii="Arial" w:hAnsi="Arial" w:cs="Arial"/>
          <w:sz w:val="24"/>
          <w:szCs w:val="24"/>
          <w:lang w:val="en-NZ"/>
        </w:rPr>
        <w:t xml:space="preserve">to the Service </w:t>
      </w:r>
      <w:r w:rsidRPr="00D92B62">
        <w:rPr>
          <w:rFonts w:ascii="Arial" w:hAnsi="Arial" w:cs="Arial"/>
          <w:sz w:val="24"/>
          <w:szCs w:val="24"/>
          <w:lang w:val="en-NZ"/>
        </w:rPr>
        <w:t xml:space="preserve">will be accepted under these arrangements irrespective of </w:t>
      </w:r>
      <w:r>
        <w:rPr>
          <w:rFonts w:ascii="Arial" w:hAnsi="Arial" w:cs="Arial"/>
          <w:sz w:val="24"/>
          <w:szCs w:val="24"/>
          <w:lang w:val="en-NZ"/>
        </w:rPr>
        <w:t xml:space="preserve">DHB of the </w:t>
      </w:r>
      <w:r w:rsidR="000E6DE3">
        <w:rPr>
          <w:rFonts w:ascii="Arial" w:hAnsi="Arial" w:cs="Arial"/>
          <w:sz w:val="24"/>
          <w:szCs w:val="24"/>
          <w:lang w:val="en-NZ"/>
        </w:rPr>
        <w:t>s</w:t>
      </w:r>
      <w:r>
        <w:rPr>
          <w:rFonts w:ascii="Arial" w:hAnsi="Arial" w:cs="Arial"/>
          <w:sz w:val="24"/>
          <w:szCs w:val="24"/>
          <w:lang w:val="en-NZ"/>
        </w:rPr>
        <w:t xml:space="preserve">ervice </w:t>
      </w:r>
      <w:r w:rsidR="000E6DE3">
        <w:rPr>
          <w:rFonts w:ascii="Arial" w:hAnsi="Arial" w:cs="Arial"/>
          <w:sz w:val="24"/>
          <w:szCs w:val="24"/>
          <w:lang w:val="en-NZ"/>
        </w:rPr>
        <w:t>u</w:t>
      </w:r>
      <w:r>
        <w:rPr>
          <w:rFonts w:ascii="Arial" w:hAnsi="Arial" w:cs="Arial"/>
          <w:sz w:val="24"/>
          <w:szCs w:val="24"/>
          <w:lang w:val="en-NZ"/>
        </w:rPr>
        <w:t xml:space="preserve">ser’s </w:t>
      </w:r>
      <w:r w:rsidRPr="00D92B62">
        <w:rPr>
          <w:rFonts w:ascii="Arial" w:hAnsi="Arial" w:cs="Arial"/>
          <w:sz w:val="24"/>
          <w:szCs w:val="24"/>
          <w:lang w:val="en-NZ"/>
        </w:rPr>
        <w:t>domicile.</w:t>
      </w:r>
    </w:p>
    <w:p w14:paraId="3121DA3D" w14:textId="77777777" w:rsidR="00684939" w:rsidRPr="002C49FD" w:rsidRDefault="00684939" w:rsidP="00DB7877">
      <w:pPr>
        <w:pStyle w:val="Heading1"/>
        <w:spacing w:before="120" w:after="0"/>
        <w:ind w:left="0" w:firstLine="0"/>
        <w:jc w:val="left"/>
        <w:rPr>
          <w:rFonts w:cs="Arial"/>
          <w:bCs/>
          <w:sz w:val="24"/>
          <w:szCs w:val="24"/>
        </w:rPr>
      </w:pPr>
      <w:r w:rsidRPr="002C49FD">
        <w:rPr>
          <w:rFonts w:cs="Arial"/>
          <w:bCs/>
          <w:sz w:val="24"/>
          <w:szCs w:val="24"/>
        </w:rPr>
        <w:lastRenderedPageBreak/>
        <w:t>Service Components</w:t>
      </w:r>
    </w:p>
    <w:p w14:paraId="7ABE2894" w14:textId="77777777" w:rsidR="00684939" w:rsidRPr="002C49FD" w:rsidRDefault="00684939" w:rsidP="000E6DE3">
      <w:pPr>
        <w:pStyle w:val="Heading2"/>
        <w:spacing w:before="120" w:after="120"/>
        <w:ind w:firstLine="0"/>
        <w:jc w:val="left"/>
        <w:rPr>
          <w:rFonts w:cs="Arial"/>
          <w:i w:val="0"/>
          <w:szCs w:val="24"/>
        </w:rPr>
      </w:pPr>
      <w:r w:rsidRPr="002C49FD">
        <w:rPr>
          <w:rFonts w:cs="Arial"/>
          <w:i w:val="0"/>
          <w:szCs w:val="24"/>
        </w:rPr>
        <w:t>Processes</w:t>
      </w:r>
    </w:p>
    <w:p w14:paraId="0A54AB38" w14:textId="21E42AC6" w:rsidR="00541AE8" w:rsidRDefault="00684939" w:rsidP="00DB7877">
      <w:pPr>
        <w:rPr>
          <w:rFonts w:ascii="Arial" w:hAnsi="Arial" w:cs="Arial"/>
          <w:sz w:val="24"/>
          <w:szCs w:val="24"/>
        </w:rPr>
      </w:pPr>
      <w:r w:rsidRPr="005A44D7">
        <w:rPr>
          <w:rFonts w:ascii="Arial" w:hAnsi="Arial" w:cs="Arial"/>
          <w:sz w:val="24"/>
          <w:szCs w:val="24"/>
        </w:rPr>
        <w:t xml:space="preserve">The </w:t>
      </w:r>
      <w:r w:rsidR="00541AE8">
        <w:rPr>
          <w:rFonts w:ascii="Arial" w:hAnsi="Arial" w:cs="Arial"/>
          <w:sz w:val="24"/>
          <w:szCs w:val="24"/>
        </w:rPr>
        <w:t xml:space="preserve">clinical </w:t>
      </w:r>
      <w:r w:rsidRPr="005A44D7">
        <w:rPr>
          <w:rFonts w:ascii="Arial" w:hAnsi="Arial" w:cs="Arial"/>
          <w:sz w:val="24"/>
          <w:szCs w:val="24"/>
        </w:rPr>
        <w:t>management of a</w:t>
      </w:r>
      <w:r w:rsidR="000E6DE3">
        <w:rPr>
          <w:rFonts w:ascii="Arial" w:hAnsi="Arial" w:cs="Arial"/>
          <w:sz w:val="24"/>
          <w:szCs w:val="24"/>
        </w:rPr>
        <w:t xml:space="preserve"> service u</w:t>
      </w:r>
      <w:r w:rsidR="00541AE8">
        <w:rPr>
          <w:rFonts w:ascii="Arial" w:hAnsi="Arial" w:cs="Arial"/>
          <w:sz w:val="24"/>
          <w:szCs w:val="24"/>
        </w:rPr>
        <w:t>ser</w:t>
      </w:r>
      <w:r w:rsidRPr="005A44D7">
        <w:rPr>
          <w:rFonts w:ascii="Arial" w:hAnsi="Arial" w:cs="Arial"/>
          <w:sz w:val="24"/>
          <w:szCs w:val="24"/>
        </w:rPr>
        <w:t xml:space="preserve"> involves a complex sequence of relationships and events.  The level of intervention varies according to the</w:t>
      </w:r>
      <w:r w:rsidR="00541AE8">
        <w:rPr>
          <w:rFonts w:ascii="Arial" w:hAnsi="Arial" w:cs="Arial"/>
          <w:sz w:val="24"/>
          <w:szCs w:val="24"/>
        </w:rPr>
        <w:t>ir</w:t>
      </w:r>
      <w:r w:rsidRPr="005A44D7">
        <w:rPr>
          <w:rFonts w:ascii="Arial" w:hAnsi="Arial" w:cs="Arial"/>
          <w:sz w:val="24"/>
          <w:szCs w:val="24"/>
        </w:rPr>
        <w:t xml:space="preserve"> clinical condition, the qualification </w:t>
      </w:r>
      <w:r w:rsidR="00541AE8">
        <w:rPr>
          <w:rFonts w:ascii="Arial" w:hAnsi="Arial" w:cs="Arial"/>
          <w:sz w:val="24"/>
          <w:szCs w:val="24"/>
        </w:rPr>
        <w:t xml:space="preserve">and </w:t>
      </w:r>
      <w:r w:rsidRPr="005A44D7">
        <w:rPr>
          <w:rFonts w:ascii="Arial" w:hAnsi="Arial" w:cs="Arial"/>
          <w:sz w:val="24"/>
          <w:szCs w:val="24"/>
        </w:rPr>
        <w:t xml:space="preserve">training of </w:t>
      </w:r>
      <w:r w:rsidR="00541AE8">
        <w:rPr>
          <w:rFonts w:ascii="Arial" w:hAnsi="Arial" w:cs="Arial"/>
          <w:sz w:val="24"/>
          <w:szCs w:val="24"/>
        </w:rPr>
        <w:t>clinical</w:t>
      </w:r>
      <w:r w:rsidRPr="005A44D7">
        <w:rPr>
          <w:rFonts w:ascii="Arial" w:hAnsi="Arial" w:cs="Arial"/>
          <w:sz w:val="24"/>
          <w:szCs w:val="24"/>
        </w:rPr>
        <w:t xml:space="preserve"> staff, and the level of clinical support available.  </w:t>
      </w:r>
    </w:p>
    <w:p w14:paraId="495D49C6" w14:textId="4ADA5300" w:rsidR="00684939" w:rsidRPr="002C49FD" w:rsidRDefault="00162AD0" w:rsidP="00DB7877">
      <w:pPr>
        <w:spacing w:before="120"/>
        <w:rPr>
          <w:rFonts w:ascii="Arial" w:hAnsi="Arial" w:cs="Arial"/>
          <w:sz w:val="24"/>
          <w:szCs w:val="24"/>
        </w:rPr>
      </w:pPr>
      <w:r>
        <w:rPr>
          <w:rFonts w:ascii="Arial" w:hAnsi="Arial" w:cs="Arial"/>
          <w:sz w:val="24"/>
          <w:szCs w:val="24"/>
        </w:rPr>
        <w:t xml:space="preserve">Refer to the </w:t>
      </w:r>
      <w:r w:rsidR="00DB7877">
        <w:rPr>
          <w:rFonts w:ascii="Arial" w:hAnsi="Arial" w:cs="Arial"/>
          <w:sz w:val="24"/>
          <w:szCs w:val="24"/>
        </w:rPr>
        <w:t>t</w:t>
      </w:r>
      <w:r>
        <w:rPr>
          <w:rFonts w:ascii="Arial" w:hAnsi="Arial" w:cs="Arial"/>
          <w:sz w:val="24"/>
          <w:szCs w:val="24"/>
        </w:rPr>
        <w:t xml:space="preserve">ier </w:t>
      </w:r>
      <w:r w:rsidR="00DB7877">
        <w:rPr>
          <w:rFonts w:ascii="Arial" w:hAnsi="Arial" w:cs="Arial"/>
          <w:sz w:val="24"/>
          <w:szCs w:val="24"/>
        </w:rPr>
        <w:t>o</w:t>
      </w:r>
      <w:r>
        <w:rPr>
          <w:rFonts w:ascii="Arial" w:hAnsi="Arial" w:cs="Arial"/>
          <w:sz w:val="24"/>
          <w:szCs w:val="24"/>
        </w:rPr>
        <w:t xml:space="preserve">ne Specialist Medical and Surgical Services service specifications for general processes. </w:t>
      </w:r>
      <w:r w:rsidR="00C70F74">
        <w:rPr>
          <w:rFonts w:ascii="Arial" w:hAnsi="Arial" w:cs="Arial"/>
          <w:sz w:val="24"/>
          <w:szCs w:val="24"/>
        </w:rPr>
        <w:t xml:space="preserve">In </w:t>
      </w:r>
      <w:r>
        <w:rPr>
          <w:rFonts w:ascii="Arial" w:hAnsi="Arial" w:cs="Arial"/>
          <w:sz w:val="24"/>
          <w:szCs w:val="24"/>
        </w:rPr>
        <w:t>addition, t</w:t>
      </w:r>
      <w:r w:rsidR="00684939" w:rsidRPr="002C49FD">
        <w:rPr>
          <w:rFonts w:ascii="Arial" w:hAnsi="Arial" w:cs="Arial"/>
          <w:sz w:val="24"/>
          <w:szCs w:val="24"/>
        </w:rPr>
        <w:t>he Service is responsible for providing</w:t>
      </w:r>
      <w:r w:rsidR="000E6DE3">
        <w:rPr>
          <w:rFonts w:ascii="Arial" w:hAnsi="Arial" w:cs="Arial"/>
          <w:sz w:val="24"/>
          <w:szCs w:val="24"/>
        </w:rPr>
        <w:t xml:space="preserve"> the following.</w:t>
      </w:r>
    </w:p>
    <w:p w14:paraId="1AE40779" w14:textId="50903303" w:rsidR="00684939" w:rsidRPr="002C49FD" w:rsidRDefault="000E6DE3" w:rsidP="00684939">
      <w:pPr>
        <w:numPr>
          <w:ilvl w:val="0"/>
          <w:numId w:val="6"/>
        </w:numPr>
        <w:tabs>
          <w:tab w:val="clear" w:pos="720"/>
          <w:tab w:val="num" w:pos="567"/>
        </w:tabs>
        <w:spacing w:before="120"/>
        <w:ind w:left="567" w:right="317" w:hanging="567"/>
        <w:rPr>
          <w:rFonts w:ascii="Arial" w:hAnsi="Arial" w:cs="Arial"/>
          <w:sz w:val="24"/>
          <w:szCs w:val="24"/>
        </w:rPr>
      </w:pPr>
      <w:r>
        <w:rPr>
          <w:rFonts w:ascii="Arial" w:hAnsi="Arial" w:cs="Arial"/>
          <w:sz w:val="24"/>
          <w:szCs w:val="24"/>
        </w:rPr>
        <w:t>S</w:t>
      </w:r>
      <w:r w:rsidR="00684939" w:rsidRPr="002C49FD">
        <w:rPr>
          <w:rFonts w:ascii="Arial" w:hAnsi="Arial" w:cs="Arial"/>
          <w:sz w:val="24"/>
          <w:szCs w:val="24"/>
        </w:rPr>
        <w:t xml:space="preserve">tabilisation and onward referral to an appropriate level of care as required or stabilisation and definitive treatment </w:t>
      </w:r>
      <w:r>
        <w:rPr>
          <w:rFonts w:ascii="Arial" w:hAnsi="Arial" w:cs="Arial"/>
          <w:sz w:val="24"/>
          <w:szCs w:val="24"/>
        </w:rPr>
        <w:t>of all patients</w:t>
      </w:r>
      <w:r w:rsidR="00684939" w:rsidRPr="002C49FD">
        <w:rPr>
          <w:rFonts w:ascii="Arial" w:hAnsi="Arial" w:cs="Arial"/>
          <w:sz w:val="24"/>
          <w:szCs w:val="24"/>
        </w:rPr>
        <w:t xml:space="preserve"> from time of presentation to discharge back to the referring medical practitioner</w:t>
      </w:r>
      <w:r>
        <w:rPr>
          <w:rFonts w:ascii="Arial" w:hAnsi="Arial" w:cs="Arial"/>
          <w:sz w:val="24"/>
          <w:szCs w:val="24"/>
        </w:rPr>
        <w:t>.</w:t>
      </w:r>
    </w:p>
    <w:p w14:paraId="38FF7EEE" w14:textId="0CB95C5D" w:rsidR="00684939" w:rsidRPr="002C49FD" w:rsidRDefault="000E6DE3" w:rsidP="00684939">
      <w:pPr>
        <w:numPr>
          <w:ilvl w:val="0"/>
          <w:numId w:val="6"/>
        </w:numPr>
        <w:tabs>
          <w:tab w:val="clear" w:pos="720"/>
          <w:tab w:val="num" w:pos="567"/>
        </w:tabs>
        <w:spacing w:before="120"/>
        <w:ind w:left="567" w:hanging="567"/>
        <w:rPr>
          <w:rFonts w:ascii="Arial" w:hAnsi="Arial" w:cs="Arial"/>
          <w:sz w:val="24"/>
          <w:szCs w:val="24"/>
        </w:rPr>
      </w:pPr>
      <w:r>
        <w:rPr>
          <w:rFonts w:ascii="Arial" w:hAnsi="Arial" w:cs="Arial"/>
          <w:sz w:val="24"/>
          <w:szCs w:val="24"/>
          <w:lang w:val="en-NZ"/>
        </w:rPr>
        <w:t>A</w:t>
      </w:r>
      <w:r w:rsidR="00684939" w:rsidRPr="00EE64E7">
        <w:rPr>
          <w:rFonts w:ascii="Arial" w:hAnsi="Arial" w:cs="Arial"/>
          <w:sz w:val="24"/>
          <w:szCs w:val="24"/>
          <w:lang w:val="en-NZ"/>
        </w:rPr>
        <w:t>ssessment and diagnosis of patients in emergency and non-acute contexts.</w:t>
      </w:r>
      <w:r w:rsidR="00684939">
        <w:rPr>
          <w:rFonts w:ascii="Arial" w:hAnsi="Arial" w:cs="Arial"/>
          <w:sz w:val="24"/>
          <w:szCs w:val="24"/>
          <w:lang w:val="en-NZ"/>
        </w:rPr>
        <w:t xml:space="preserve"> </w:t>
      </w:r>
      <w:r w:rsidR="00684939" w:rsidRPr="00EE64E7">
        <w:rPr>
          <w:rFonts w:ascii="Arial" w:hAnsi="Arial" w:cs="Arial"/>
          <w:sz w:val="24"/>
          <w:szCs w:val="24"/>
          <w:lang w:val="en-NZ"/>
        </w:rPr>
        <w:t xml:space="preserve"> </w:t>
      </w:r>
      <w:r w:rsidR="00684939" w:rsidRPr="002C49FD">
        <w:rPr>
          <w:rFonts w:ascii="Arial" w:hAnsi="Arial" w:cs="Arial"/>
          <w:sz w:val="24"/>
          <w:szCs w:val="24"/>
        </w:rPr>
        <w:t>A close liaison with specialist emergency services is necessary and easy access to telephone or other consultation services for general practitioners / primary carers are encouraged and expected</w:t>
      </w:r>
      <w:r>
        <w:rPr>
          <w:rFonts w:ascii="Arial" w:hAnsi="Arial" w:cs="Arial"/>
          <w:sz w:val="24"/>
          <w:szCs w:val="24"/>
        </w:rPr>
        <w:t>.</w:t>
      </w:r>
    </w:p>
    <w:p w14:paraId="3CB53F5C" w14:textId="3E190C90" w:rsidR="00684939" w:rsidRPr="002C49FD" w:rsidRDefault="000E6DE3" w:rsidP="00684939">
      <w:pPr>
        <w:numPr>
          <w:ilvl w:val="0"/>
          <w:numId w:val="6"/>
        </w:numPr>
        <w:tabs>
          <w:tab w:val="clear" w:pos="720"/>
          <w:tab w:val="num" w:pos="567"/>
        </w:tabs>
        <w:spacing w:before="120"/>
        <w:ind w:left="567" w:hanging="567"/>
        <w:rPr>
          <w:rFonts w:ascii="Arial" w:hAnsi="Arial" w:cs="Arial"/>
          <w:sz w:val="24"/>
          <w:szCs w:val="24"/>
        </w:rPr>
      </w:pPr>
      <w:r>
        <w:rPr>
          <w:rFonts w:ascii="Arial" w:hAnsi="Arial" w:cs="Arial"/>
          <w:sz w:val="24"/>
          <w:szCs w:val="24"/>
        </w:rPr>
        <w:t>S</w:t>
      </w:r>
      <w:r w:rsidR="00684939" w:rsidRPr="002C49FD">
        <w:rPr>
          <w:rFonts w:ascii="Arial" w:hAnsi="Arial" w:cs="Arial"/>
          <w:sz w:val="24"/>
          <w:szCs w:val="24"/>
        </w:rPr>
        <w:t xml:space="preserve">pecialist </w:t>
      </w:r>
      <w:r w:rsidR="00684939">
        <w:rPr>
          <w:rFonts w:ascii="Arial" w:hAnsi="Arial" w:cs="Arial"/>
          <w:sz w:val="24"/>
          <w:szCs w:val="24"/>
        </w:rPr>
        <w:t>a</w:t>
      </w:r>
      <w:r w:rsidR="00684939" w:rsidRPr="002C49FD">
        <w:rPr>
          <w:rFonts w:ascii="Arial" w:hAnsi="Arial" w:cs="Arial"/>
          <w:sz w:val="24"/>
          <w:szCs w:val="24"/>
        </w:rPr>
        <w:t>ssessment</w:t>
      </w:r>
      <w:r w:rsidR="00684939">
        <w:rPr>
          <w:rFonts w:ascii="Arial" w:hAnsi="Arial" w:cs="Arial"/>
          <w:sz w:val="24"/>
          <w:szCs w:val="24"/>
        </w:rPr>
        <w:t xml:space="preserve"> </w:t>
      </w:r>
      <w:r w:rsidR="00684939" w:rsidRPr="002C49FD">
        <w:rPr>
          <w:rFonts w:ascii="Arial" w:hAnsi="Arial" w:cs="Arial"/>
          <w:sz w:val="24"/>
          <w:szCs w:val="24"/>
        </w:rPr>
        <w:t>with a written plan of care</w:t>
      </w:r>
      <w:r>
        <w:rPr>
          <w:rFonts w:ascii="Arial" w:hAnsi="Arial" w:cs="Arial"/>
          <w:sz w:val="24"/>
          <w:szCs w:val="24"/>
        </w:rPr>
        <w:t>.</w:t>
      </w:r>
    </w:p>
    <w:p w14:paraId="104C9088" w14:textId="6214989B" w:rsidR="00684939" w:rsidRPr="002C49FD" w:rsidRDefault="000E6DE3" w:rsidP="00684939">
      <w:pPr>
        <w:numPr>
          <w:ilvl w:val="0"/>
          <w:numId w:val="6"/>
        </w:numPr>
        <w:tabs>
          <w:tab w:val="clear" w:pos="720"/>
          <w:tab w:val="num" w:pos="567"/>
        </w:tabs>
        <w:spacing w:before="120"/>
        <w:ind w:left="567" w:hanging="567"/>
        <w:rPr>
          <w:rFonts w:ascii="Arial" w:hAnsi="Arial" w:cs="Arial"/>
          <w:sz w:val="24"/>
          <w:szCs w:val="24"/>
        </w:rPr>
      </w:pPr>
      <w:r>
        <w:rPr>
          <w:rFonts w:ascii="Arial" w:hAnsi="Arial" w:cs="Arial"/>
          <w:sz w:val="24"/>
          <w:szCs w:val="24"/>
        </w:rPr>
        <w:t>T</w:t>
      </w:r>
      <w:r w:rsidR="00684939" w:rsidRPr="002C49FD">
        <w:rPr>
          <w:rFonts w:ascii="Arial" w:hAnsi="Arial" w:cs="Arial"/>
          <w:sz w:val="24"/>
          <w:szCs w:val="24"/>
        </w:rPr>
        <w:t>herapeutic procedures and post-procedure management</w:t>
      </w:r>
      <w:r>
        <w:rPr>
          <w:rFonts w:ascii="Arial" w:hAnsi="Arial" w:cs="Arial"/>
          <w:sz w:val="24"/>
          <w:szCs w:val="24"/>
        </w:rPr>
        <w:t>.</w:t>
      </w:r>
    </w:p>
    <w:p w14:paraId="6451584B" w14:textId="1B8FF03B" w:rsidR="00684939" w:rsidRPr="002C49FD" w:rsidRDefault="000E6DE3" w:rsidP="00684939">
      <w:pPr>
        <w:numPr>
          <w:ilvl w:val="0"/>
          <w:numId w:val="6"/>
        </w:numPr>
        <w:tabs>
          <w:tab w:val="clear" w:pos="720"/>
          <w:tab w:val="num" w:pos="567"/>
        </w:tabs>
        <w:spacing w:before="120"/>
        <w:ind w:left="567" w:right="317" w:hanging="567"/>
        <w:rPr>
          <w:rFonts w:ascii="Arial" w:hAnsi="Arial" w:cs="Arial"/>
          <w:sz w:val="24"/>
          <w:szCs w:val="24"/>
        </w:rPr>
      </w:pPr>
      <w:r>
        <w:rPr>
          <w:rFonts w:ascii="Arial" w:hAnsi="Arial" w:cs="Arial"/>
          <w:sz w:val="24"/>
          <w:szCs w:val="24"/>
        </w:rPr>
        <w:t>P</w:t>
      </w:r>
      <w:r w:rsidR="00684939" w:rsidRPr="002C49FD">
        <w:rPr>
          <w:rFonts w:ascii="Arial" w:hAnsi="Arial" w:cs="Arial"/>
          <w:sz w:val="24"/>
          <w:szCs w:val="24"/>
        </w:rPr>
        <w:t>rovision of appropriate after hours care to people undergoing day surgery, including arrangements for re-admission where required</w:t>
      </w:r>
      <w:r>
        <w:rPr>
          <w:rFonts w:ascii="Arial" w:hAnsi="Arial" w:cs="Arial"/>
          <w:sz w:val="24"/>
          <w:szCs w:val="24"/>
        </w:rPr>
        <w:t>.</w:t>
      </w:r>
    </w:p>
    <w:p w14:paraId="1FB51981" w14:textId="0A5638FC" w:rsidR="00684939" w:rsidRPr="002C49FD" w:rsidRDefault="000E6DE3" w:rsidP="00684939">
      <w:pPr>
        <w:numPr>
          <w:ilvl w:val="0"/>
          <w:numId w:val="6"/>
        </w:numPr>
        <w:tabs>
          <w:tab w:val="clear" w:pos="720"/>
          <w:tab w:val="num" w:pos="567"/>
        </w:tabs>
        <w:spacing w:before="120"/>
        <w:ind w:left="567" w:right="317" w:hanging="567"/>
        <w:rPr>
          <w:rFonts w:ascii="Arial" w:hAnsi="Arial" w:cs="Arial"/>
          <w:sz w:val="24"/>
          <w:szCs w:val="24"/>
        </w:rPr>
      </w:pPr>
      <w:r>
        <w:rPr>
          <w:rFonts w:ascii="Arial" w:hAnsi="Arial" w:cs="Arial"/>
          <w:sz w:val="24"/>
          <w:szCs w:val="24"/>
        </w:rPr>
        <w:t>Appropriate follow-</w:t>
      </w:r>
      <w:r w:rsidR="00684939" w:rsidRPr="002C49FD">
        <w:rPr>
          <w:rFonts w:ascii="Arial" w:hAnsi="Arial" w:cs="Arial"/>
          <w:sz w:val="24"/>
          <w:szCs w:val="24"/>
        </w:rPr>
        <w:t>up and treatment of all patients undergoing surgery in line with accepted standards of clinical practice and specialist follow-up and rehabilitation including co-ordination of multi-disciplinary activity</w:t>
      </w:r>
      <w:r>
        <w:rPr>
          <w:rFonts w:ascii="Arial" w:hAnsi="Arial" w:cs="Arial"/>
          <w:sz w:val="24"/>
          <w:szCs w:val="24"/>
        </w:rPr>
        <w:t>.</w:t>
      </w:r>
    </w:p>
    <w:p w14:paraId="01A01EB1" w14:textId="64BA1693" w:rsidR="00684939" w:rsidRPr="002C49FD" w:rsidRDefault="000E6DE3" w:rsidP="00684939">
      <w:pPr>
        <w:numPr>
          <w:ilvl w:val="0"/>
          <w:numId w:val="6"/>
        </w:numPr>
        <w:tabs>
          <w:tab w:val="clear" w:pos="720"/>
          <w:tab w:val="num" w:pos="567"/>
        </w:tabs>
        <w:spacing w:before="120"/>
        <w:ind w:left="567" w:right="317" w:hanging="567"/>
        <w:rPr>
          <w:rFonts w:ascii="Arial" w:hAnsi="Arial" w:cs="Arial"/>
          <w:sz w:val="24"/>
          <w:szCs w:val="24"/>
        </w:rPr>
      </w:pPr>
      <w:r w:rsidRPr="002C49FD">
        <w:rPr>
          <w:rFonts w:ascii="Arial" w:hAnsi="Arial" w:cs="Arial"/>
          <w:sz w:val="24"/>
          <w:szCs w:val="24"/>
        </w:rPr>
        <w:t>F</w:t>
      </w:r>
      <w:r w:rsidR="00684939" w:rsidRPr="002C49FD">
        <w:rPr>
          <w:rFonts w:ascii="Arial" w:hAnsi="Arial" w:cs="Arial"/>
          <w:sz w:val="24"/>
          <w:szCs w:val="24"/>
        </w:rPr>
        <w:t>ollow</w:t>
      </w:r>
      <w:r>
        <w:rPr>
          <w:rFonts w:ascii="Arial" w:hAnsi="Arial" w:cs="Arial"/>
          <w:sz w:val="24"/>
          <w:szCs w:val="24"/>
        </w:rPr>
        <w:t>-</w:t>
      </w:r>
      <w:r w:rsidR="00684939" w:rsidRPr="002C49FD">
        <w:rPr>
          <w:rFonts w:ascii="Arial" w:hAnsi="Arial" w:cs="Arial"/>
          <w:sz w:val="24"/>
          <w:szCs w:val="24"/>
        </w:rPr>
        <w:t>up, re-admission and treatment of all patients where complications arise in the course of treatment by the service (this may include appropriate referral to higher level of care)</w:t>
      </w:r>
      <w:r>
        <w:rPr>
          <w:rFonts w:ascii="Arial" w:hAnsi="Arial" w:cs="Arial"/>
          <w:sz w:val="24"/>
          <w:szCs w:val="24"/>
        </w:rPr>
        <w:t>.</w:t>
      </w:r>
    </w:p>
    <w:p w14:paraId="76C621F2" w14:textId="0867A872" w:rsidR="00684939" w:rsidRPr="002C49FD" w:rsidRDefault="000E6DE3" w:rsidP="00684939">
      <w:pPr>
        <w:numPr>
          <w:ilvl w:val="0"/>
          <w:numId w:val="6"/>
        </w:numPr>
        <w:tabs>
          <w:tab w:val="clear" w:pos="720"/>
          <w:tab w:val="num" w:pos="567"/>
        </w:tabs>
        <w:spacing w:before="120"/>
        <w:ind w:left="567" w:right="318" w:hanging="567"/>
        <w:rPr>
          <w:rFonts w:ascii="Arial" w:hAnsi="Arial" w:cs="Arial"/>
          <w:sz w:val="24"/>
          <w:szCs w:val="24"/>
        </w:rPr>
      </w:pPr>
      <w:r>
        <w:rPr>
          <w:rFonts w:ascii="Arial" w:hAnsi="Arial" w:cs="Arial"/>
          <w:sz w:val="24"/>
          <w:szCs w:val="24"/>
        </w:rPr>
        <w:t>L</w:t>
      </w:r>
      <w:r w:rsidR="00684939" w:rsidRPr="002C49FD">
        <w:rPr>
          <w:rFonts w:ascii="Arial" w:hAnsi="Arial" w:cs="Arial"/>
          <w:sz w:val="24"/>
          <w:szCs w:val="24"/>
        </w:rPr>
        <w:t>ong term follow-up and revision treatment, as required, for surgery undertaken</w:t>
      </w:r>
      <w:r w:rsidR="00684939">
        <w:rPr>
          <w:rFonts w:ascii="Arial" w:hAnsi="Arial" w:cs="Arial"/>
          <w:sz w:val="24"/>
          <w:szCs w:val="24"/>
        </w:rPr>
        <w:t>, (t</w:t>
      </w:r>
      <w:r w:rsidR="00684939" w:rsidRPr="002C49FD">
        <w:rPr>
          <w:rFonts w:ascii="Arial" w:hAnsi="Arial" w:cs="Arial"/>
          <w:sz w:val="24"/>
          <w:szCs w:val="24"/>
        </w:rPr>
        <w:t>his may include appropriate referral to other providers</w:t>
      </w:r>
      <w:r w:rsidR="00684939">
        <w:rPr>
          <w:rFonts w:ascii="Arial" w:hAnsi="Arial" w:cs="Arial"/>
          <w:sz w:val="24"/>
          <w:szCs w:val="24"/>
        </w:rPr>
        <w:t>)</w:t>
      </w:r>
      <w:r>
        <w:rPr>
          <w:rFonts w:ascii="Arial" w:hAnsi="Arial" w:cs="Arial"/>
          <w:sz w:val="24"/>
          <w:szCs w:val="24"/>
        </w:rPr>
        <w:t>.</w:t>
      </w:r>
    </w:p>
    <w:p w14:paraId="2A114338" w14:textId="57A2FD71" w:rsidR="00D14E1F" w:rsidRPr="00243195" w:rsidRDefault="000E6DE3" w:rsidP="00243195">
      <w:pPr>
        <w:numPr>
          <w:ilvl w:val="0"/>
          <w:numId w:val="6"/>
        </w:numPr>
        <w:tabs>
          <w:tab w:val="clear" w:pos="720"/>
          <w:tab w:val="num" w:pos="567"/>
        </w:tabs>
        <w:spacing w:before="120"/>
        <w:ind w:left="567" w:hanging="567"/>
        <w:rPr>
          <w:rFonts w:ascii="Arial" w:hAnsi="Arial" w:cs="Arial"/>
          <w:bCs/>
          <w:kern w:val="28"/>
          <w:sz w:val="24"/>
          <w:szCs w:val="24"/>
          <w:lang w:val="en-NZ"/>
        </w:rPr>
      </w:pPr>
      <w:r>
        <w:rPr>
          <w:rFonts w:ascii="Arial" w:hAnsi="Arial" w:cs="Arial"/>
          <w:sz w:val="24"/>
          <w:szCs w:val="24"/>
        </w:rPr>
        <w:t>L</w:t>
      </w:r>
      <w:r w:rsidR="00684939" w:rsidRPr="00243195">
        <w:rPr>
          <w:rFonts w:ascii="Arial" w:hAnsi="Arial" w:cs="Arial"/>
          <w:sz w:val="24"/>
          <w:szCs w:val="24"/>
        </w:rPr>
        <w:t>iaison with primary care providers.</w:t>
      </w:r>
    </w:p>
    <w:p w14:paraId="734C758F" w14:textId="77777777" w:rsidR="00684939" w:rsidRPr="00243195" w:rsidRDefault="00684939" w:rsidP="00243195">
      <w:pPr>
        <w:pStyle w:val="Heading1"/>
        <w:rPr>
          <w:rFonts w:cs="Arial"/>
          <w:bCs/>
          <w:sz w:val="24"/>
          <w:szCs w:val="24"/>
        </w:rPr>
      </w:pPr>
      <w:r w:rsidRPr="00243195">
        <w:rPr>
          <w:rFonts w:cs="Arial"/>
          <w:bCs/>
          <w:sz w:val="24"/>
          <w:szCs w:val="24"/>
        </w:rPr>
        <w:t>Support Services</w:t>
      </w:r>
    </w:p>
    <w:p w14:paraId="5746F452" w14:textId="47CB657E" w:rsidR="00D14E1F" w:rsidRPr="00243195" w:rsidRDefault="00243195" w:rsidP="00541AE8">
      <w:pPr>
        <w:spacing w:before="120"/>
        <w:rPr>
          <w:rFonts w:ascii="Arial" w:hAnsi="Arial" w:cs="Arial"/>
          <w:sz w:val="24"/>
          <w:szCs w:val="24"/>
        </w:rPr>
      </w:pPr>
      <w:r w:rsidRPr="00243195">
        <w:rPr>
          <w:rFonts w:ascii="Arial" w:hAnsi="Arial" w:cs="Arial"/>
          <w:sz w:val="24"/>
          <w:szCs w:val="24"/>
        </w:rPr>
        <w:t>Refer to the Tier One Specialist Medical and Surgical</w:t>
      </w:r>
      <w:r w:rsidR="000E6DE3">
        <w:rPr>
          <w:rFonts w:ascii="Arial" w:hAnsi="Arial" w:cs="Arial"/>
          <w:sz w:val="24"/>
          <w:szCs w:val="24"/>
        </w:rPr>
        <w:t xml:space="preserve"> Services service specification</w:t>
      </w:r>
      <w:r w:rsidRPr="00243195">
        <w:rPr>
          <w:rFonts w:ascii="Arial" w:hAnsi="Arial" w:cs="Arial"/>
          <w:sz w:val="24"/>
          <w:szCs w:val="24"/>
        </w:rPr>
        <w:t xml:space="preserve"> for </w:t>
      </w:r>
      <w:r w:rsidR="00F22371">
        <w:rPr>
          <w:rFonts w:ascii="Arial" w:hAnsi="Arial" w:cs="Arial"/>
          <w:sz w:val="24"/>
          <w:szCs w:val="24"/>
        </w:rPr>
        <w:t>support services</w:t>
      </w:r>
      <w:r w:rsidRPr="00243195">
        <w:rPr>
          <w:rFonts w:ascii="Arial" w:hAnsi="Arial" w:cs="Arial"/>
          <w:sz w:val="24"/>
          <w:szCs w:val="24"/>
        </w:rPr>
        <w:t xml:space="preserve">. </w:t>
      </w:r>
    </w:p>
    <w:p w14:paraId="12D79C9E" w14:textId="3A6E46CF" w:rsidR="00DB7877" w:rsidRPr="00DB7877" w:rsidRDefault="00684939" w:rsidP="00DB7877">
      <w:pPr>
        <w:pStyle w:val="Heading1"/>
        <w:rPr>
          <w:rFonts w:cs="Arial"/>
          <w:bCs/>
          <w:sz w:val="24"/>
          <w:szCs w:val="24"/>
        </w:rPr>
      </w:pPr>
      <w:r w:rsidRPr="00DB7877">
        <w:rPr>
          <w:rFonts w:cs="Arial"/>
          <w:bCs/>
          <w:sz w:val="24"/>
          <w:szCs w:val="24"/>
        </w:rPr>
        <w:t>Service Linkages</w:t>
      </w:r>
      <w:bookmarkStart w:id="1" w:name="_Toc215319158"/>
    </w:p>
    <w:p w14:paraId="1E0B00DC" w14:textId="775DEC4C" w:rsidR="00684939" w:rsidRDefault="00684939" w:rsidP="00684939">
      <w:pPr>
        <w:spacing w:before="120" w:after="120"/>
        <w:rPr>
          <w:rFonts w:ascii="Arial" w:hAnsi="Arial" w:cs="Arial"/>
          <w:sz w:val="24"/>
          <w:szCs w:val="24"/>
          <w:lang w:val="en-US"/>
        </w:rPr>
      </w:pPr>
      <w:r w:rsidRPr="00F52042">
        <w:rPr>
          <w:rFonts w:ascii="Arial" w:hAnsi="Arial" w:cs="Arial"/>
          <w:sz w:val="24"/>
          <w:szCs w:val="24"/>
        </w:rPr>
        <w:t>Refer to</w:t>
      </w:r>
      <w:r w:rsidRPr="00F52042">
        <w:rPr>
          <w:rFonts w:ascii="Arial" w:hAnsi="Arial" w:cs="Arial"/>
          <w:sz w:val="24"/>
          <w:szCs w:val="24"/>
          <w:lang w:val="en-US"/>
        </w:rPr>
        <w:t xml:space="preserve"> the tier one Specialist Medical and Surgical Services service specification</w:t>
      </w:r>
      <w:r w:rsidR="00DB7877">
        <w:rPr>
          <w:rFonts w:ascii="Arial" w:hAnsi="Arial" w:cs="Arial"/>
          <w:sz w:val="24"/>
          <w:szCs w:val="24"/>
          <w:lang w:val="en-US"/>
        </w:rPr>
        <w:t>,</w:t>
      </w:r>
      <w:r w:rsidRPr="00F52042">
        <w:rPr>
          <w:rFonts w:ascii="Arial" w:hAnsi="Arial" w:cs="Arial"/>
          <w:sz w:val="24"/>
          <w:szCs w:val="24"/>
        </w:rPr>
        <w:t xml:space="preserve"> </w:t>
      </w:r>
      <w:r w:rsidRPr="00F52042">
        <w:rPr>
          <w:rFonts w:ascii="Arial" w:hAnsi="Arial" w:cs="Arial"/>
          <w:sz w:val="24"/>
          <w:szCs w:val="24"/>
          <w:lang w:val="en-US"/>
        </w:rPr>
        <w:t xml:space="preserve">and </w:t>
      </w:r>
      <w:r w:rsidR="00DB7877">
        <w:rPr>
          <w:rFonts w:ascii="Arial" w:hAnsi="Arial" w:cs="Arial"/>
          <w:sz w:val="24"/>
          <w:szCs w:val="24"/>
          <w:lang w:val="en-US"/>
        </w:rPr>
        <w:t>as age appropriate</w:t>
      </w:r>
      <w:r w:rsidR="00000CB9">
        <w:rPr>
          <w:rFonts w:ascii="Arial" w:hAnsi="Arial" w:cs="Arial"/>
          <w:sz w:val="24"/>
          <w:szCs w:val="24"/>
          <w:lang w:val="en-US"/>
        </w:rPr>
        <w:t>,</w:t>
      </w:r>
      <w:r w:rsidR="00DB7877">
        <w:rPr>
          <w:rFonts w:ascii="Arial" w:hAnsi="Arial" w:cs="Arial"/>
          <w:sz w:val="24"/>
          <w:szCs w:val="24"/>
          <w:lang w:val="en-US"/>
        </w:rPr>
        <w:t xml:space="preserve"> </w:t>
      </w:r>
      <w:r w:rsidR="00000CB9">
        <w:rPr>
          <w:rFonts w:ascii="Arial" w:hAnsi="Arial" w:cs="Arial"/>
          <w:sz w:val="24"/>
          <w:szCs w:val="24"/>
          <w:lang w:val="en-US"/>
        </w:rPr>
        <w:t xml:space="preserve">the </w:t>
      </w:r>
      <w:r w:rsidRPr="00F52042">
        <w:rPr>
          <w:rFonts w:ascii="Arial" w:hAnsi="Arial" w:cs="Arial"/>
          <w:sz w:val="24"/>
          <w:szCs w:val="24"/>
          <w:lang w:val="en-US"/>
        </w:rPr>
        <w:t xml:space="preserve">Services for Children and Young People service specifications.  </w:t>
      </w:r>
      <w:r w:rsidR="00F22371" w:rsidRPr="00F22371">
        <w:rPr>
          <w:rFonts w:ascii="Arial" w:hAnsi="Arial" w:cs="Arial"/>
          <w:sz w:val="24"/>
          <w:szCs w:val="24"/>
          <w:lang w:val="en-US"/>
        </w:rPr>
        <w:t xml:space="preserve">In addition, </w:t>
      </w:r>
      <w:r w:rsidR="00F22371">
        <w:rPr>
          <w:rFonts w:ascii="Arial" w:hAnsi="Arial" w:cs="Arial"/>
          <w:sz w:val="24"/>
          <w:szCs w:val="24"/>
          <w:lang w:val="en-US"/>
        </w:rPr>
        <w:t>t</w:t>
      </w:r>
      <w:r w:rsidR="00F22371" w:rsidRPr="00F22371">
        <w:rPr>
          <w:rFonts w:ascii="Arial" w:hAnsi="Arial" w:cs="Arial"/>
          <w:sz w:val="24"/>
          <w:szCs w:val="24"/>
          <w:lang w:val="en-US"/>
        </w:rPr>
        <w:t>he Service should be well integrated with other general and specialist services such as vascular services, intensive care</w:t>
      </w:r>
      <w:r w:rsidR="00EA533B">
        <w:rPr>
          <w:rFonts w:ascii="Arial" w:hAnsi="Arial" w:cs="Arial"/>
          <w:sz w:val="24"/>
          <w:szCs w:val="24"/>
          <w:lang w:val="en-US"/>
        </w:rPr>
        <w:t xml:space="preserve">, </w:t>
      </w:r>
      <w:r w:rsidR="00EA533B" w:rsidRPr="00EA533B">
        <w:rPr>
          <w:rFonts w:ascii="Arial" w:hAnsi="Arial" w:cs="Arial"/>
          <w:sz w:val="24"/>
          <w:szCs w:val="24"/>
          <w:lang w:val="en-US"/>
        </w:rPr>
        <w:t>specialist pain services</w:t>
      </w:r>
      <w:r w:rsidR="00EA533B">
        <w:rPr>
          <w:rFonts w:ascii="Arial" w:hAnsi="Arial" w:cs="Arial"/>
          <w:sz w:val="24"/>
          <w:szCs w:val="24"/>
          <w:lang w:val="en-US"/>
        </w:rPr>
        <w:t>,</w:t>
      </w:r>
      <w:r w:rsidR="00F22371" w:rsidRPr="00F22371">
        <w:rPr>
          <w:rFonts w:ascii="Arial" w:hAnsi="Arial" w:cs="Arial"/>
          <w:sz w:val="24"/>
          <w:szCs w:val="24"/>
          <w:lang w:val="en-US"/>
        </w:rPr>
        <w:t xml:space="preserve"> and rehabilitation services</w:t>
      </w:r>
      <w:r w:rsidR="00F22371">
        <w:rPr>
          <w:rFonts w:ascii="Arial" w:hAnsi="Arial" w:cs="Arial"/>
          <w:sz w:val="24"/>
          <w:szCs w:val="24"/>
          <w:lang w:val="en-US"/>
        </w:rPr>
        <w:t xml:space="preserve">. </w:t>
      </w:r>
    </w:p>
    <w:p w14:paraId="272CC6E6" w14:textId="635E339C" w:rsidR="00684939" w:rsidRPr="00F52042" w:rsidRDefault="00684939" w:rsidP="00684939">
      <w:pPr>
        <w:spacing w:before="120" w:after="120"/>
        <w:rPr>
          <w:rFonts w:ascii="Arial" w:hAnsi="Arial" w:cs="Arial"/>
          <w:sz w:val="24"/>
          <w:szCs w:val="24"/>
        </w:rPr>
      </w:pPr>
      <w:r w:rsidRPr="00F52042">
        <w:rPr>
          <w:rFonts w:ascii="Arial" w:hAnsi="Arial" w:cs="Arial"/>
          <w:sz w:val="24"/>
          <w:szCs w:val="24"/>
        </w:rPr>
        <w:t>The Service is required to establish effective links and working arrangements and co</w:t>
      </w:r>
      <w:r w:rsidR="00000CB9">
        <w:rPr>
          <w:rFonts w:ascii="Arial" w:hAnsi="Arial" w:cs="Arial"/>
          <w:sz w:val="24"/>
          <w:szCs w:val="24"/>
        </w:rPr>
        <w:t>-</w:t>
      </w:r>
      <w:r w:rsidRPr="00F52042">
        <w:rPr>
          <w:rFonts w:ascii="Arial" w:hAnsi="Arial" w:cs="Arial"/>
          <w:sz w:val="24"/>
          <w:szCs w:val="24"/>
        </w:rPr>
        <w:t>operation with, but not limited to, the following service providers</w:t>
      </w:r>
      <w:bookmarkEnd w:id="1"/>
      <w:r w:rsidR="00000CB9">
        <w:rPr>
          <w:rFonts w:ascii="Arial" w:hAnsi="Arial" w:cs="Arial"/>
          <w:sz w:val="24"/>
          <w:szCs w:val="24"/>
        </w:rPr>
        <w:t>.</w:t>
      </w:r>
    </w:p>
    <w:tbl>
      <w:tblPr>
        <w:tblStyle w:val="TableGrid"/>
        <w:tblW w:w="5000" w:type="pct"/>
        <w:tblLook w:val="00A0" w:firstRow="1" w:lastRow="0" w:firstColumn="1" w:lastColumn="0" w:noHBand="0" w:noVBand="0"/>
      </w:tblPr>
      <w:tblGrid>
        <w:gridCol w:w="4883"/>
        <w:gridCol w:w="4745"/>
      </w:tblGrid>
      <w:tr w:rsidR="00F22371" w:rsidRPr="00000CB9" w14:paraId="45170765" w14:textId="77777777" w:rsidTr="00000CB9">
        <w:trPr>
          <w:tblHeader/>
        </w:trPr>
        <w:tc>
          <w:tcPr>
            <w:tcW w:w="2536" w:type="pct"/>
            <w:shd w:val="clear" w:color="auto" w:fill="D9D9D9"/>
          </w:tcPr>
          <w:p w14:paraId="7BD72A43" w14:textId="77777777" w:rsidR="00F22371" w:rsidRPr="00000CB9" w:rsidRDefault="00F22371" w:rsidP="001040D7">
            <w:pPr>
              <w:spacing w:before="120" w:after="120"/>
              <w:rPr>
                <w:rFonts w:ascii="Arial" w:hAnsi="Arial" w:cs="Arial"/>
                <w:b/>
                <w:sz w:val="22"/>
                <w:szCs w:val="22"/>
                <w:lang w:val="en-US"/>
              </w:rPr>
            </w:pPr>
            <w:r w:rsidRPr="00000CB9">
              <w:rPr>
                <w:rFonts w:ascii="Arial" w:hAnsi="Arial" w:cs="Arial"/>
                <w:b/>
                <w:sz w:val="22"/>
                <w:szCs w:val="22"/>
                <w:lang w:val="en-US"/>
              </w:rPr>
              <w:lastRenderedPageBreak/>
              <w:t>Service Provider</w:t>
            </w:r>
          </w:p>
        </w:tc>
        <w:tc>
          <w:tcPr>
            <w:tcW w:w="2464" w:type="pct"/>
            <w:shd w:val="clear" w:color="auto" w:fill="D9D9D9"/>
          </w:tcPr>
          <w:p w14:paraId="476D3F02" w14:textId="0CDF7318" w:rsidR="00F22371" w:rsidRPr="00000CB9" w:rsidRDefault="00DB7877" w:rsidP="00DB7877">
            <w:pPr>
              <w:spacing w:before="120" w:after="120"/>
              <w:rPr>
                <w:rFonts w:ascii="Arial" w:hAnsi="Arial" w:cs="Arial"/>
                <w:b/>
                <w:sz w:val="22"/>
                <w:szCs w:val="22"/>
                <w:lang w:val="en-US"/>
              </w:rPr>
            </w:pPr>
            <w:r w:rsidRPr="00000CB9">
              <w:rPr>
                <w:rFonts w:ascii="Arial" w:hAnsi="Arial" w:cs="Arial"/>
                <w:b/>
                <w:sz w:val="22"/>
                <w:szCs w:val="22"/>
                <w:lang w:val="en-US"/>
              </w:rPr>
              <w:t>Relationship</w:t>
            </w:r>
          </w:p>
        </w:tc>
      </w:tr>
      <w:tr w:rsidR="00F22371" w:rsidRPr="00000CB9" w14:paraId="1F640F61" w14:textId="77777777" w:rsidTr="00000CB9">
        <w:tc>
          <w:tcPr>
            <w:tcW w:w="2536" w:type="pct"/>
          </w:tcPr>
          <w:p w14:paraId="1F83751A" w14:textId="7C9D03FF" w:rsidR="00F22371" w:rsidRPr="00000CB9" w:rsidRDefault="00000CB9" w:rsidP="00000CB9">
            <w:pPr>
              <w:spacing w:before="60" w:after="60"/>
              <w:rPr>
                <w:rFonts w:ascii="Arial" w:hAnsi="Arial" w:cs="Arial"/>
                <w:sz w:val="22"/>
                <w:szCs w:val="22"/>
              </w:rPr>
            </w:pPr>
            <w:r>
              <w:rPr>
                <w:rFonts w:ascii="Arial" w:hAnsi="Arial" w:cs="Arial"/>
                <w:sz w:val="22"/>
                <w:szCs w:val="22"/>
                <w:lang w:val="en-US"/>
              </w:rPr>
              <w:t>Primary h</w:t>
            </w:r>
            <w:r w:rsidR="00F22371" w:rsidRPr="00000CB9">
              <w:rPr>
                <w:rFonts w:ascii="Arial" w:hAnsi="Arial" w:cs="Arial"/>
                <w:sz w:val="22"/>
                <w:szCs w:val="22"/>
                <w:lang w:val="en-US"/>
              </w:rPr>
              <w:t xml:space="preserve">ealth </w:t>
            </w:r>
            <w:r>
              <w:rPr>
                <w:rFonts w:ascii="Arial" w:hAnsi="Arial" w:cs="Arial"/>
                <w:sz w:val="22"/>
                <w:szCs w:val="22"/>
                <w:lang w:val="en-US"/>
              </w:rPr>
              <w:t>c</w:t>
            </w:r>
            <w:r w:rsidR="00F22371" w:rsidRPr="00000CB9">
              <w:rPr>
                <w:rFonts w:ascii="Arial" w:hAnsi="Arial" w:cs="Arial"/>
                <w:sz w:val="22"/>
                <w:szCs w:val="22"/>
                <w:lang w:val="en-US"/>
              </w:rPr>
              <w:t xml:space="preserve">are services, </w:t>
            </w:r>
            <w:r>
              <w:rPr>
                <w:rFonts w:ascii="Arial" w:hAnsi="Arial" w:cs="Arial"/>
                <w:sz w:val="22"/>
                <w:szCs w:val="22"/>
                <w:lang w:val="en-US"/>
              </w:rPr>
              <w:t>general practitioners, nurse p</w:t>
            </w:r>
            <w:r w:rsidR="00F22371" w:rsidRPr="00000CB9">
              <w:rPr>
                <w:rFonts w:ascii="Arial" w:hAnsi="Arial" w:cs="Arial"/>
                <w:sz w:val="22"/>
                <w:szCs w:val="22"/>
                <w:lang w:val="en-US"/>
              </w:rPr>
              <w:t xml:space="preserve">ractitioners, </w:t>
            </w:r>
            <w:r>
              <w:rPr>
                <w:rFonts w:ascii="Arial" w:hAnsi="Arial" w:cs="Arial"/>
                <w:sz w:val="22"/>
                <w:szCs w:val="22"/>
                <w:lang w:val="en-US"/>
              </w:rPr>
              <w:t>d</w:t>
            </w:r>
            <w:r w:rsidR="00F22371" w:rsidRPr="00000CB9">
              <w:rPr>
                <w:rFonts w:ascii="Arial" w:hAnsi="Arial" w:cs="Arial"/>
                <w:sz w:val="22"/>
                <w:szCs w:val="22"/>
                <w:lang w:val="en-US"/>
              </w:rPr>
              <w:t xml:space="preserve">istrict </w:t>
            </w:r>
            <w:r>
              <w:rPr>
                <w:rFonts w:ascii="Arial" w:hAnsi="Arial" w:cs="Arial"/>
                <w:sz w:val="22"/>
                <w:szCs w:val="22"/>
                <w:lang w:val="en-US"/>
              </w:rPr>
              <w:t>n</w:t>
            </w:r>
            <w:r w:rsidR="00F22371" w:rsidRPr="00000CB9">
              <w:rPr>
                <w:rFonts w:ascii="Arial" w:hAnsi="Arial" w:cs="Arial"/>
                <w:sz w:val="22"/>
                <w:szCs w:val="22"/>
                <w:lang w:val="en-US"/>
              </w:rPr>
              <w:t xml:space="preserve">urses </w:t>
            </w:r>
          </w:p>
        </w:tc>
        <w:tc>
          <w:tcPr>
            <w:tcW w:w="2464" w:type="pct"/>
          </w:tcPr>
          <w:p w14:paraId="7DF79D8C" w14:textId="377C98EC" w:rsidR="00F22371" w:rsidRPr="00000CB9" w:rsidRDefault="00F22371" w:rsidP="00000CB9">
            <w:pPr>
              <w:spacing w:before="60" w:after="60"/>
              <w:rPr>
                <w:rFonts w:ascii="Arial" w:hAnsi="Arial" w:cs="Arial"/>
                <w:sz w:val="22"/>
                <w:szCs w:val="22"/>
              </w:rPr>
            </w:pPr>
            <w:r w:rsidRPr="00000CB9">
              <w:rPr>
                <w:rFonts w:ascii="Arial" w:hAnsi="Arial" w:cs="Arial"/>
                <w:sz w:val="22"/>
                <w:szCs w:val="22"/>
              </w:rPr>
              <w:t>Liaison with primary health care organisations and community</w:t>
            </w:r>
            <w:r w:rsidR="00000CB9">
              <w:rPr>
                <w:rFonts w:ascii="Arial" w:hAnsi="Arial" w:cs="Arial"/>
                <w:sz w:val="22"/>
                <w:szCs w:val="22"/>
              </w:rPr>
              <w:t>-</w:t>
            </w:r>
            <w:r w:rsidRPr="00000CB9">
              <w:rPr>
                <w:rFonts w:ascii="Arial" w:hAnsi="Arial" w:cs="Arial"/>
                <w:sz w:val="22"/>
                <w:szCs w:val="22"/>
              </w:rPr>
              <w:t xml:space="preserve">based rehabilitation services </w:t>
            </w:r>
            <w:r w:rsidRPr="00000CB9">
              <w:rPr>
                <w:rFonts w:ascii="Arial" w:hAnsi="Arial" w:cs="Arial"/>
                <w:sz w:val="22"/>
                <w:szCs w:val="22"/>
                <w:lang w:val="en-US"/>
              </w:rPr>
              <w:t>that support continuity of care</w:t>
            </w:r>
            <w:r w:rsidRPr="00000CB9">
              <w:rPr>
                <w:rFonts w:ascii="Arial" w:hAnsi="Arial" w:cs="Arial"/>
                <w:sz w:val="22"/>
                <w:szCs w:val="22"/>
              </w:rPr>
              <w:t>.</w:t>
            </w:r>
          </w:p>
        </w:tc>
      </w:tr>
      <w:tr w:rsidR="00F22371" w:rsidRPr="00000CB9" w14:paraId="7815B8E2" w14:textId="77777777" w:rsidTr="00000CB9">
        <w:tc>
          <w:tcPr>
            <w:tcW w:w="2536" w:type="pct"/>
          </w:tcPr>
          <w:p w14:paraId="5CAEB81B" w14:textId="13F9DD7F" w:rsidR="00F22371" w:rsidRPr="00000CB9" w:rsidRDefault="00F22371" w:rsidP="00000CB9">
            <w:pPr>
              <w:ind w:right="317"/>
              <w:rPr>
                <w:rFonts w:ascii="Arial" w:hAnsi="Arial" w:cs="Arial"/>
                <w:sz w:val="22"/>
                <w:szCs w:val="22"/>
              </w:rPr>
            </w:pPr>
            <w:r w:rsidRPr="00000CB9">
              <w:rPr>
                <w:rFonts w:ascii="Arial" w:hAnsi="Arial" w:cs="Arial"/>
                <w:sz w:val="22"/>
                <w:szCs w:val="22"/>
                <w:lang w:val="en-US"/>
              </w:rPr>
              <w:t xml:space="preserve">Other health professional </w:t>
            </w:r>
            <w:r w:rsidR="00000CB9">
              <w:rPr>
                <w:rFonts w:ascii="Arial" w:hAnsi="Arial" w:cs="Arial"/>
                <w:sz w:val="22"/>
                <w:szCs w:val="22"/>
                <w:lang w:val="en-US"/>
              </w:rPr>
              <w:t>s</w:t>
            </w:r>
            <w:r w:rsidRPr="00000CB9">
              <w:rPr>
                <w:rFonts w:ascii="Arial" w:hAnsi="Arial" w:cs="Arial"/>
                <w:sz w:val="22"/>
                <w:szCs w:val="22"/>
                <w:lang w:val="en-US"/>
              </w:rPr>
              <w:t>pecialists and registered medical practitioners,</w:t>
            </w:r>
            <w:r w:rsidRPr="00000CB9">
              <w:rPr>
                <w:sz w:val="22"/>
                <w:szCs w:val="22"/>
              </w:rPr>
              <w:t xml:space="preserve"> </w:t>
            </w:r>
            <w:r w:rsidRPr="00000CB9">
              <w:rPr>
                <w:rFonts w:ascii="Arial" w:hAnsi="Arial" w:cs="Arial"/>
                <w:sz w:val="22"/>
                <w:szCs w:val="22"/>
                <w:lang w:val="en-US"/>
              </w:rPr>
              <w:t>services and sub-</w:t>
            </w:r>
            <w:r w:rsidR="00FE1E01" w:rsidRPr="00000CB9">
              <w:rPr>
                <w:rFonts w:ascii="Arial" w:hAnsi="Arial" w:cs="Arial"/>
                <w:sz w:val="22"/>
                <w:szCs w:val="22"/>
                <w:lang w:val="en-US"/>
              </w:rPr>
              <w:t>specialties</w:t>
            </w:r>
            <w:r w:rsidRPr="00000CB9">
              <w:rPr>
                <w:rFonts w:ascii="Arial" w:hAnsi="Arial" w:cs="Arial"/>
                <w:sz w:val="22"/>
                <w:szCs w:val="22"/>
                <w:lang w:val="en-US"/>
              </w:rPr>
              <w:t xml:space="preserve">, </w:t>
            </w:r>
            <w:r w:rsidR="00FE1E01" w:rsidRPr="00000CB9">
              <w:rPr>
                <w:rFonts w:ascii="Arial" w:hAnsi="Arial" w:cs="Arial"/>
                <w:sz w:val="22"/>
                <w:szCs w:val="22"/>
                <w:lang w:val="en-US"/>
              </w:rPr>
              <w:t xml:space="preserve">and </w:t>
            </w:r>
            <w:r w:rsidRPr="00000CB9">
              <w:rPr>
                <w:rFonts w:ascii="Arial" w:hAnsi="Arial" w:cs="Arial"/>
                <w:sz w:val="22"/>
                <w:szCs w:val="22"/>
                <w:lang w:val="en-US"/>
              </w:rPr>
              <w:t>pre-hospital emergency care services.</w:t>
            </w:r>
          </w:p>
        </w:tc>
        <w:tc>
          <w:tcPr>
            <w:tcW w:w="2464" w:type="pct"/>
          </w:tcPr>
          <w:p w14:paraId="7E0DF24F" w14:textId="42035E7D" w:rsidR="00F22371" w:rsidRPr="00000CB9" w:rsidRDefault="00F22371" w:rsidP="00000CB9">
            <w:pPr>
              <w:spacing w:before="60" w:after="60"/>
              <w:rPr>
                <w:rFonts w:ascii="Arial" w:hAnsi="Arial" w:cs="Arial"/>
                <w:sz w:val="22"/>
                <w:szCs w:val="22"/>
              </w:rPr>
            </w:pPr>
            <w:r w:rsidRPr="00000CB9">
              <w:rPr>
                <w:rFonts w:ascii="Arial" w:hAnsi="Arial" w:cs="Arial"/>
                <w:sz w:val="22"/>
                <w:szCs w:val="22"/>
                <w:lang w:val="en-US"/>
              </w:rPr>
              <w:t>Clinical consultation and referral services that support continuity of care</w:t>
            </w:r>
          </w:p>
        </w:tc>
      </w:tr>
    </w:tbl>
    <w:p w14:paraId="5AFE104A" w14:textId="119A53E2" w:rsidR="00684939" w:rsidRDefault="00FE1E01" w:rsidP="00FE1E01">
      <w:pPr>
        <w:pStyle w:val="Heading1"/>
        <w:numPr>
          <w:ilvl w:val="0"/>
          <w:numId w:val="0"/>
        </w:numPr>
        <w:spacing w:after="120"/>
        <w:ind w:left="567" w:hanging="567"/>
        <w:rPr>
          <w:rFonts w:cs="Arial"/>
          <w:sz w:val="24"/>
          <w:szCs w:val="24"/>
        </w:rPr>
      </w:pPr>
      <w:r>
        <w:rPr>
          <w:rFonts w:cs="Arial"/>
          <w:sz w:val="24"/>
          <w:szCs w:val="24"/>
        </w:rPr>
        <w:t>7.</w:t>
      </w:r>
      <w:r>
        <w:rPr>
          <w:rFonts w:cs="Arial"/>
          <w:sz w:val="24"/>
          <w:szCs w:val="24"/>
        </w:rPr>
        <w:tab/>
      </w:r>
      <w:r w:rsidR="00684939" w:rsidRPr="002C49FD">
        <w:rPr>
          <w:rFonts w:cs="Arial"/>
          <w:sz w:val="24"/>
          <w:szCs w:val="24"/>
        </w:rPr>
        <w:t>Quality Requirements</w:t>
      </w:r>
    </w:p>
    <w:p w14:paraId="5FC3C058" w14:textId="198118A0" w:rsidR="00684939" w:rsidRDefault="00067B22" w:rsidP="00684939">
      <w:pPr>
        <w:pStyle w:val="Heading1"/>
        <w:numPr>
          <w:ilvl w:val="0"/>
          <w:numId w:val="0"/>
        </w:numPr>
        <w:shd w:val="clear" w:color="auto" w:fill="FFFFFF"/>
        <w:tabs>
          <w:tab w:val="left" w:pos="567"/>
        </w:tabs>
        <w:spacing w:before="0" w:after="0"/>
        <w:jc w:val="left"/>
        <w:rPr>
          <w:rFonts w:cs="Arial"/>
          <w:b w:val="0"/>
          <w:sz w:val="24"/>
          <w:szCs w:val="24"/>
        </w:rPr>
      </w:pPr>
      <w:r>
        <w:rPr>
          <w:rFonts w:ascii="Arial Mäori" w:hAnsi="Arial Mäori" w:cs="Arial Mäori"/>
          <w:b w:val="0"/>
          <w:color w:val="000000"/>
          <w:sz w:val="24"/>
          <w:szCs w:val="24"/>
          <w:lang w:val="en-US"/>
        </w:rPr>
        <w:t>Where available</w:t>
      </w:r>
      <w:r w:rsidR="001040D7">
        <w:rPr>
          <w:rFonts w:ascii="Arial Mäori" w:hAnsi="Arial Mäori" w:cs="Arial Mäori"/>
          <w:b w:val="0"/>
          <w:color w:val="000000"/>
          <w:sz w:val="24"/>
          <w:szCs w:val="24"/>
          <w:lang w:val="en-US"/>
        </w:rPr>
        <w:t>,</w:t>
      </w:r>
      <w:r>
        <w:rPr>
          <w:rFonts w:ascii="Arial Mäori" w:hAnsi="Arial Mäori" w:cs="Arial Mäori"/>
          <w:b w:val="0"/>
          <w:color w:val="000000"/>
          <w:sz w:val="24"/>
          <w:szCs w:val="24"/>
          <w:lang w:val="en-US"/>
        </w:rPr>
        <w:t xml:space="preserve"> the Service should use accepted clinical guidelines</w:t>
      </w:r>
      <w:r w:rsidR="001040D7">
        <w:rPr>
          <w:rFonts w:ascii="Arial Mäori" w:hAnsi="Arial Mäori" w:cs="Arial Mäori"/>
          <w:b w:val="0"/>
          <w:color w:val="000000"/>
          <w:sz w:val="24"/>
          <w:szCs w:val="24"/>
          <w:lang w:val="en-US"/>
        </w:rPr>
        <w:t xml:space="preserve"> and standards</w:t>
      </w:r>
      <w:r>
        <w:rPr>
          <w:rFonts w:ascii="Arial Mäori" w:hAnsi="Arial Mäori" w:cs="Arial Mäori"/>
          <w:b w:val="0"/>
          <w:color w:val="000000"/>
          <w:sz w:val="24"/>
          <w:szCs w:val="24"/>
          <w:lang w:val="en-US"/>
        </w:rPr>
        <w:t>.</w:t>
      </w:r>
    </w:p>
    <w:p w14:paraId="73B6EB86" w14:textId="30B22D72" w:rsidR="00684939" w:rsidRPr="00F84BD4" w:rsidRDefault="00DB7877" w:rsidP="00684939">
      <w:pPr>
        <w:pStyle w:val="Heading1"/>
        <w:numPr>
          <w:ilvl w:val="0"/>
          <w:numId w:val="0"/>
        </w:numPr>
        <w:shd w:val="clear" w:color="auto" w:fill="FFFFFF"/>
        <w:tabs>
          <w:tab w:val="left" w:pos="567"/>
        </w:tabs>
        <w:spacing w:after="0"/>
        <w:jc w:val="left"/>
        <w:rPr>
          <w:rFonts w:cs="Arial"/>
          <w:sz w:val="24"/>
          <w:szCs w:val="24"/>
          <w:shd w:val="clear" w:color="auto" w:fill="FFFFFF"/>
        </w:rPr>
      </w:pPr>
      <w:r>
        <w:rPr>
          <w:rFonts w:cs="Arial"/>
          <w:color w:val="000000"/>
          <w:sz w:val="24"/>
          <w:szCs w:val="24"/>
          <w:lang w:val="en-US"/>
        </w:rPr>
        <w:t>8</w:t>
      </w:r>
      <w:r w:rsidR="00684939" w:rsidRPr="00F84BD4">
        <w:rPr>
          <w:rFonts w:cs="Arial"/>
          <w:color w:val="000000"/>
          <w:sz w:val="24"/>
          <w:szCs w:val="24"/>
          <w:lang w:val="en-US"/>
        </w:rPr>
        <w:t>.</w:t>
      </w:r>
      <w:r w:rsidR="00684939">
        <w:rPr>
          <w:rFonts w:cs="Arial"/>
          <w:sz w:val="24"/>
          <w:szCs w:val="24"/>
          <w:shd w:val="clear" w:color="auto" w:fill="FFFFFF"/>
        </w:rPr>
        <w:tab/>
      </w:r>
      <w:r w:rsidR="00684939" w:rsidRPr="00F84BD4">
        <w:rPr>
          <w:rFonts w:cs="Arial"/>
          <w:sz w:val="24"/>
          <w:szCs w:val="24"/>
          <w:shd w:val="clear" w:color="auto" w:fill="FFFFFF"/>
        </w:rPr>
        <w:t>Purchase Units and Reporting Requirements</w:t>
      </w:r>
    </w:p>
    <w:p w14:paraId="4B7661AD" w14:textId="1A930F34" w:rsidR="00684939" w:rsidRDefault="00000CB9" w:rsidP="00C61E2E">
      <w:pPr>
        <w:spacing w:before="120"/>
        <w:rPr>
          <w:rFonts w:ascii="Arial" w:hAnsi="Arial" w:cs="Arial"/>
          <w:sz w:val="24"/>
          <w:szCs w:val="24"/>
        </w:rPr>
      </w:pPr>
      <w:r>
        <w:rPr>
          <w:rFonts w:ascii="Arial" w:hAnsi="Arial" w:cs="Arial"/>
          <w:sz w:val="24"/>
          <w:szCs w:val="24"/>
        </w:rPr>
        <w:t>Purchase u</w:t>
      </w:r>
      <w:r w:rsidR="00684939" w:rsidRPr="002C49FD">
        <w:rPr>
          <w:rFonts w:ascii="Arial" w:hAnsi="Arial" w:cs="Arial"/>
          <w:sz w:val="24"/>
          <w:szCs w:val="24"/>
        </w:rPr>
        <w:t xml:space="preserve">nits are defined in the joint DHB and Ministry’s Nationwide Service Framework Purchase Unit Data Dictionary.  The following </w:t>
      </w:r>
      <w:r>
        <w:rPr>
          <w:rFonts w:ascii="Arial" w:hAnsi="Arial" w:cs="Arial"/>
          <w:sz w:val="24"/>
          <w:szCs w:val="24"/>
        </w:rPr>
        <w:t>p</w:t>
      </w:r>
      <w:r w:rsidR="00684939" w:rsidRPr="002C49FD">
        <w:rPr>
          <w:rFonts w:ascii="Arial" w:hAnsi="Arial" w:cs="Arial"/>
          <w:sz w:val="24"/>
          <w:szCs w:val="24"/>
        </w:rPr>
        <w:t xml:space="preserve">urchase </w:t>
      </w:r>
      <w:r>
        <w:rPr>
          <w:rFonts w:ascii="Arial" w:hAnsi="Arial" w:cs="Arial"/>
          <w:sz w:val="24"/>
          <w:szCs w:val="24"/>
        </w:rPr>
        <w:t>u</w:t>
      </w:r>
      <w:r w:rsidR="00684939" w:rsidRPr="002C49FD">
        <w:rPr>
          <w:rFonts w:ascii="Arial" w:hAnsi="Arial" w:cs="Arial"/>
          <w:sz w:val="24"/>
          <w:szCs w:val="24"/>
        </w:rPr>
        <w:t xml:space="preserve">nits apply to this </w:t>
      </w:r>
      <w:r w:rsidR="00684939">
        <w:rPr>
          <w:rFonts w:ascii="Arial" w:hAnsi="Arial" w:cs="Arial"/>
          <w:sz w:val="24"/>
          <w:szCs w:val="24"/>
        </w:rPr>
        <w:t>S</w:t>
      </w:r>
      <w:r>
        <w:rPr>
          <w:rFonts w:ascii="Arial" w:hAnsi="Arial" w:cs="Arial"/>
          <w:sz w:val="24"/>
          <w:szCs w:val="24"/>
        </w:rPr>
        <w:t>ervice.</w:t>
      </w:r>
    </w:p>
    <w:p w14:paraId="2D70F2FE" w14:textId="77777777" w:rsidR="00C61E2E" w:rsidRDefault="00C61E2E" w:rsidP="00C61E2E">
      <w:pPr>
        <w:rPr>
          <w:rFonts w:ascii="Arial" w:hAnsi="Arial" w:cs="Arial"/>
          <w:sz w:val="24"/>
          <w:szCs w:val="24"/>
        </w:rPr>
      </w:pPr>
    </w:p>
    <w:tbl>
      <w:tblPr>
        <w:tblStyle w:val="TableGrid"/>
        <w:tblW w:w="4999" w:type="pct"/>
        <w:tblLayout w:type="fixed"/>
        <w:tblLook w:val="04A0" w:firstRow="1" w:lastRow="0" w:firstColumn="1" w:lastColumn="0" w:noHBand="0" w:noVBand="1"/>
      </w:tblPr>
      <w:tblGrid>
        <w:gridCol w:w="1271"/>
        <w:gridCol w:w="1842"/>
        <w:gridCol w:w="4963"/>
        <w:gridCol w:w="1550"/>
      </w:tblGrid>
      <w:tr w:rsidR="00DB7877" w:rsidRPr="00D102ED" w14:paraId="5DBBAC45" w14:textId="77777777" w:rsidTr="000A7892">
        <w:trPr>
          <w:trHeight w:val="360"/>
          <w:tblHeader/>
        </w:trPr>
        <w:tc>
          <w:tcPr>
            <w:tcW w:w="660" w:type="pct"/>
            <w:shd w:val="clear" w:color="auto" w:fill="E7E6E6" w:themeFill="background2"/>
          </w:tcPr>
          <w:p w14:paraId="3A1DAF9B" w14:textId="77777777" w:rsidR="00DB7877" w:rsidRPr="00000CB9" w:rsidRDefault="00DB7877" w:rsidP="001040D7">
            <w:pPr>
              <w:rPr>
                <w:rFonts w:ascii="Arial" w:hAnsi="Arial" w:cs="Arial"/>
                <w:b/>
              </w:rPr>
            </w:pPr>
            <w:r w:rsidRPr="00000CB9">
              <w:rPr>
                <w:rFonts w:ascii="Arial" w:hAnsi="Arial" w:cs="Arial"/>
                <w:b/>
              </w:rPr>
              <w:t>PU Code</w:t>
            </w:r>
          </w:p>
        </w:tc>
        <w:tc>
          <w:tcPr>
            <w:tcW w:w="957" w:type="pct"/>
            <w:shd w:val="clear" w:color="auto" w:fill="E7E6E6" w:themeFill="background2"/>
          </w:tcPr>
          <w:p w14:paraId="1FE69564" w14:textId="77777777" w:rsidR="00DB7877" w:rsidRPr="00000CB9" w:rsidRDefault="00DB7877" w:rsidP="001040D7">
            <w:pPr>
              <w:pStyle w:val="Heading5"/>
              <w:spacing w:before="0" w:after="0"/>
              <w:outlineLvl w:val="4"/>
              <w:rPr>
                <w:rFonts w:ascii="Arial" w:hAnsi="Arial" w:cs="Arial"/>
                <w:bCs w:val="0"/>
                <w:i w:val="0"/>
                <w:iCs w:val="0"/>
                <w:sz w:val="20"/>
                <w:szCs w:val="20"/>
              </w:rPr>
            </w:pPr>
            <w:r w:rsidRPr="00000CB9">
              <w:rPr>
                <w:rFonts w:ascii="Arial" w:hAnsi="Arial" w:cs="Arial"/>
                <w:bCs w:val="0"/>
                <w:i w:val="0"/>
                <w:iCs w:val="0"/>
                <w:sz w:val="20"/>
                <w:szCs w:val="20"/>
              </w:rPr>
              <w:t>PU Description</w:t>
            </w:r>
          </w:p>
        </w:tc>
        <w:tc>
          <w:tcPr>
            <w:tcW w:w="2578" w:type="pct"/>
            <w:shd w:val="clear" w:color="auto" w:fill="E7E6E6" w:themeFill="background2"/>
          </w:tcPr>
          <w:p w14:paraId="6BFDED20" w14:textId="77777777" w:rsidR="00DB7877" w:rsidRPr="00000CB9" w:rsidRDefault="00DB7877" w:rsidP="001040D7">
            <w:pPr>
              <w:rPr>
                <w:rFonts w:ascii="Arial" w:hAnsi="Arial" w:cs="Arial"/>
                <w:b/>
              </w:rPr>
            </w:pPr>
            <w:r w:rsidRPr="00000CB9">
              <w:rPr>
                <w:rFonts w:ascii="Arial" w:hAnsi="Arial" w:cs="Arial"/>
                <w:b/>
              </w:rPr>
              <w:t>PU Definition</w:t>
            </w:r>
          </w:p>
        </w:tc>
        <w:tc>
          <w:tcPr>
            <w:tcW w:w="805" w:type="pct"/>
            <w:shd w:val="clear" w:color="auto" w:fill="E7E6E6" w:themeFill="background2"/>
          </w:tcPr>
          <w:p w14:paraId="077ECFA0" w14:textId="77777777" w:rsidR="00DB7877" w:rsidRPr="00000CB9" w:rsidRDefault="00DB7877" w:rsidP="001040D7">
            <w:pPr>
              <w:rPr>
                <w:rFonts w:ascii="Arial" w:hAnsi="Arial" w:cs="Arial"/>
                <w:b/>
              </w:rPr>
            </w:pPr>
            <w:r w:rsidRPr="00000CB9">
              <w:rPr>
                <w:rFonts w:ascii="Arial" w:hAnsi="Arial" w:cs="Arial"/>
                <w:b/>
              </w:rPr>
              <w:t>Unit of Measure</w:t>
            </w:r>
          </w:p>
        </w:tc>
      </w:tr>
      <w:tr w:rsidR="00DB7877" w:rsidRPr="001040D7" w14:paraId="56FC6DA1" w14:textId="77777777" w:rsidTr="000A7892">
        <w:trPr>
          <w:trHeight w:val="900"/>
        </w:trPr>
        <w:tc>
          <w:tcPr>
            <w:tcW w:w="660" w:type="pct"/>
            <w:hideMark/>
          </w:tcPr>
          <w:p w14:paraId="3A496C58" w14:textId="77777777" w:rsidR="00DB7877" w:rsidRPr="00000CB9" w:rsidRDefault="00DB7877" w:rsidP="001040D7">
            <w:pPr>
              <w:rPr>
                <w:rFonts w:ascii="Arial" w:hAnsi="Arial" w:cs="Arial"/>
                <w:lang w:val="en-NZ"/>
              </w:rPr>
            </w:pPr>
            <w:r w:rsidRPr="00000CB9">
              <w:rPr>
                <w:rFonts w:ascii="Arial" w:hAnsi="Arial" w:cs="Arial"/>
                <w:lang w:val="en-NZ"/>
              </w:rPr>
              <w:t>S00001</w:t>
            </w:r>
          </w:p>
        </w:tc>
        <w:tc>
          <w:tcPr>
            <w:tcW w:w="957" w:type="pct"/>
            <w:hideMark/>
          </w:tcPr>
          <w:p w14:paraId="2DCE4F53" w14:textId="77777777" w:rsidR="00DB7877" w:rsidRPr="00000CB9" w:rsidRDefault="00DB7877" w:rsidP="001040D7">
            <w:pPr>
              <w:rPr>
                <w:rFonts w:ascii="Arial" w:hAnsi="Arial" w:cs="Arial"/>
                <w:lang w:val="en-NZ"/>
              </w:rPr>
            </w:pPr>
            <w:r w:rsidRPr="00000CB9">
              <w:rPr>
                <w:rFonts w:ascii="Arial" w:hAnsi="Arial" w:cs="Arial"/>
                <w:lang w:val="en-NZ"/>
              </w:rPr>
              <w:t>General Surgery - Inpatient Services (DRGs)</w:t>
            </w:r>
          </w:p>
        </w:tc>
        <w:tc>
          <w:tcPr>
            <w:tcW w:w="2578" w:type="pct"/>
            <w:hideMark/>
          </w:tcPr>
          <w:p w14:paraId="5EC5F772" w14:textId="0508A781" w:rsidR="00DB7877" w:rsidRPr="00000CB9" w:rsidRDefault="00DB7877" w:rsidP="001040D7">
            <w:pPr>
              <w:rPr>
                <w:rFonts w:ascii="Arial" w:hAnsi="Arial" w:cs="Arial"/>
                <w:lang w:val="en-NZ"/>
              </w:rPr>
            </w:pPr>
            <w:r w:rsidRPr="00000CB9">
              <w:rPr>
                <w:rFonts w:ascii="Arial" w:hAnsi="Arial" w:cs="Arial"/>
                <w:lang w:val="en-NZ"/>
              </w:rPr>
              <w:t xml:space="preserve">DRG WIESNZ Discharge.  Additional Information is found in the NZ </w:t>
            </w:r>
            <w:proofErr w:type="spellStart"/>
            <w:r w:rsidRPr="00000CB9">
              <w:rPr>
                <w:rFonts w:ascii="Arial" w:hAnsi="Arial" w:cs="Arial"/>
                <w:lang w:val="en-NZ"/>
              </w:rPr>
              <w:t>Casemix</w:t>
            </w:r>
            <w:proofErr w:type="spellEnd"/>
            <w:r w:rsidRPr="00000CB9">
              <w:rPr>
                <w:rFonts w:ascii="Arial" w:hAnsi="Arial" w:cs="Arial"/>
                <w:lang w:val="en-NZ"/>
              </w:rPr>
              <w:t xml:space="preserve"> Framework for Publicly Funded Hospitals which gets updated every year.</w:t>
            </w:r>
          </w:p>
        </w:tc>
        <w:tc>
          <w:tcPr>
            <w:tcW w:w="805" w:type="pct"/>
            <w:hideMark/>
          </w:tcPr>
          <w:p w14:paraId="6BB2B783" w14:textId="77777777" w:rsidR="00DB7877" w:rsidRPr="00000CB9" w:rsidRDefault="00DB7877" w:rsidP="001040D7">
            <w:pPr>
              <w:rPr>
                <w:rFonts w:ascii="Arial" w:hAnsi="Arial" w:cs="Arial"/>
                <w:lang w:val="en-NZ"/>
              </w:rPr>
            </w:pPr>
            <w:r w:rsidRPr="00000CB9">
              <w:rPr>
                <w:rFonts w:ascii="Arial" w:hAnsi="Arial" w:cs="Arial"/>
                <w:lang w:val="en-NZ"/>
              </w:rPr>
              <w:t>Cost Weighted Discharge</w:t>
            </w:r>
          </w:p>
        </w:tc>
      </w:tr>
      <w:tr w:rsidR="00E436DB" w:rsidRPr="001040D7" w14:paraId="6B262427" w14:textId="77777777" w:rsidTr="000E6DE3">
        <w:trPr>
          <w:trHeight w:val="900"/>
        </w:trPr>
        <w:tc>
          <w:tcPr>
            <w:tcW w:w="660" w:type="pct"/>
            <w:tcBorders>
              <w:top w:val="single" w:sz="4" w:space="0" w:color="auto"/>
              <w:left w:val="single" w:sz="4" w:space="0" w:color="auto"/>
              <w:bottom w:val="single" w:sz="4" w:space="0" w:color="auto"/>
              <w:right w:val="single" w:sz="4" w:space="0" w:color="auto"/>
            </w:tcBorders>
          </w:tcPr>
          <w:p w14:paraId="3C231578" w14:textId="65816379" w:rsidR="00E436DB" w:rsidRPr="00000CB9" w:rsidRDefault="00E436DB" w:rsidP="00E436DB">
            <w:pPr>
              <w:rPr>
                <w:rFonts w:ascii="Arial" w:hAnsi="Arial" w:cs="Arial"/>
                <w:lang w:val="en-NZ"/>
              </w:rPr>
            </w:pPr>
            <w:r w:rsidRPr="00000CB9">
              <w:rPr>
                <w:rFonts w:ascii="Arial" w:hAnsi="Arial" w:cs="Arial"/>
                <w:shd w:val="clear" w:color="auto" w:fill="FFFFFF"/>
                <w:lang w:val="en-US"/>
              </w:rPr>
              <w:t>S00002</w:t>
            </w:r>
          </w:p>
        </w:tc>
        <w:tc>
          <w:tcPr>
            <w:tcW w:w="957" w:type="pct"/>
            <w:tcBorders>
              <w:top w:val="single" w:sz="4" w:space="0" w:color="auto"/>
              <w:left w:val="single" w:sz="4" w:space="0" w:color="auto"/>
              <w:bottom w:val="single" w:sz="4" w:space="0" w:color="auto"/>
              <w:right w:val="single" w:sz="4" w:space="0" w:color="auto"/>
            </w:tcBorders>
          </w:tcPr>
          <w:p w14:paraId="28FB70AA" w14:textId="2E509D6D" w:rsidR="00E436DB" w:rsidRPr="00000CB9" w:rsidRDefault="00000CB9" w:rsidP="00000CB9">
            <w:pPr>
              <w:rPr>
                <w:rFonts w:ascii="Arial" w:hAnsi="Arial" w:cs="Arial"/>
                <w:lang w:val="en-NZ"/>
              </w:rPr>
            </w:pPr>
            <w:r w:rsidRPr="00000CB9">
              <w:rPr>
                <w:rFonts w:ascii="Arial" w:hAnsi="Arial" w:cs="Arial"/>
              </w:rPr>
              <w:t xml:space="preserve">General Surgery </w:t>
            </w:r>
            <w:r w:rsidR="00E436DB" w:rsidRPr="00000CB9">
              <w:rPr>
                <w:rFonts w:ascii="Arial" w:hAnsi="Arial" w:cs="Arial"/>
              </w:rPr>
              <w:t>- 1st attendance</w:t>
            </w:r>
          </w:p>
        </w:tc>
        <w:tc>
          <w:tcPr>
            <w:tcW w:w="2578" w:type="pct"/>
            <w:tcBorders>
              <w:top w:val="single" w:sz="4" w:space="0" w:color="auto"/>
              <w:left w:val="single" w:sz="4" w:space="0" w:color="auto"/>
              <w:bottom w:val="single" w:sz="4" w:space="0" w:color="auto"/>
              <w:right w:val="single" w:sz="4" w:space="0" w:color="auto"/>
            </w:tcBorders>
          </w:tcPr>
          <w:p w14:paraId="511DFBF4" w14:textId="2858BFDF" w:rsidR="00E436DB" w:rsidRPr="00000CB9" w:rsidRDefault="00E436DB" w:rsidP="00E436DB">
            <w:pPr>
              <w:rPr>
                <w:rFonts w:ascii="Arial" w:hAnsi="Arial" w:cs="Arial"/>
                <w:lang w:val="en-NZ"/>
              </w:rPr>
            </w:pPr>
            <w:r w:rsidRPr="00000CB9">
              <w:rPr>
                <w:rFonts w:ascii="Arial" w:hAnsi="Arial" w:cs="Arial"/>
                <w:lang w:val="en-US"/>
              </w:rPr>
              <w:t xml:space="preserve">First attendance to general surgeon or medical officer at registrar level or above or nurse practitioner for specialist assessment.  </w:t>
            </w:r>
          </w:p>
        </w:tc>
        <w:tc>
          <w:tcPr>
            <w:tcW w:w="805" w:type="pct"/>
            <w:tcBorders>
              <w:top w:val="single" w:sz="4" w:space="0" w:color="auto"/>
              <w:left w:val="single" w:sz="4" w:space="0" w:color="auto"/>
              <w:bottom w:val="single" w:sz="4" w:space="0" w:color="auto"/>
              <w:right w:val="single" w:sz="4" w:space="0" w:color="auto"/>
            </w:tcBorders>
          </w:tcPr>
          <w:p w14:paraId="0657A373" w14:textId="6FC5A23B" w:rsidR="00E436DB" w:rsidRPr="00000CB9" w:rsidRDefault="00E436DB" w:rsidP="00E436DB">
            <w:pPr>
              <w:rPr>
                <w:rFonts w:ascii="Arial" w:hAnsi="Arial" w:cs="Arial"/>
                <w:lang w:val="en-NZ"/>
              </w:rPr>
            </w:pPr>
            <w:r w:rsidRPr="00000CB9">
              <w:rPr>
                <w:rFonts w:ascii="Arial" w:hAnsi="Arial" w:cs="Arial"/>
              </w:rPr>
              <w:t>Attendance</w:t>
            </w:r>
          </w:p>
        </w:tc>
      </w:tr>
      <w:tr w:rsidR="00813CA1" w:rsidRPr="001040D7" w14:paraId="75B20D29" w14:textId="77777777" w:rsidTr="00000CB9">
        <w:trPr>
          <w:trHeight w:val="970"/>
        </w:trPr>
        <w:tc>
          <w:tcPr>
            <w:tcW w:w="660" w:type="pct"/>
            <w:tcBorders>
              <w:top w:val="single" w:sz="4" w:space="0" w:color="auto"/>
              <w:left w:val="single" w:sz="4" w:space="0" w:color="auto"/>
              <w:bottom w:val="single" w:sz="4" w:space="0" w:color="auto"/>
              <w:right w:val="single" w:sz="4" w:space="0" w:color="auto"/>
            </w:tcBorders>
          </w:tcPr>
          <w:p w14:paraId="21C51E29" w14:textId="2D3297C1" w:rsidR="00813CA1" w:rsidRPr="00000CB9" w:rsidRDefault="00813CA1" w:rsidP="00813CA1">
            <w:pPr>
              <w:rPr>
                <w:rFonts w:ascii="Arial" w:hAnsi="Arial" w:cs="Arial"/>
                <w:lang w:val="en-NZ"/>
              </w:rPr>
            </w:pPr>
            <w:r w:rsidRPr="00000CB9">
              <w:rPr>
                <w:rFonts w:ascii="Arial" w:hAnsi="Arial" w:cs="Arial"/>
                <w:shd w:val="clear" w:color="auto" w:fill="FFFFFF"/>
                <w:lang w:val="en-US"/>
              </w:rPr>
              <w:t>S00003</w:t>
            </w:r>
          </w:p>
        </w:tc>
        <w:tc>
          <w:tcPr>
            <w:tcW w:w="957" w:type="pct"/>
            <w:tcBorders>
              <w:top w:val="single" w:sz="4" w:space="0" w:color="auto"/>
              <w:left w:val="single" w:sz="4" w:space="0" w:color="auto"/>
              <w:bottom w:val="single" w:sz="4" w:space="0" w:color="auto"/>
              <w:right w:val="single" w:sz="4" w:space="0" w:color="auto"/>
            </w:tcBorders>
          </w:tcPr>
          <w:p w14:paraId="2222DB98" w14:textId="65B43A62" w:rsidR="00813CA1" w:rsidRPr="00000CB9" w:rsidRDefault="00813CA1" w:rsidP="00000CB9">
            <w:pPr>
              <w:rPr>
                <w:rFonts w:ascii="Arial" w:hAnsi="Arial" w:cs="Arial"/>
                <w:lang w:val="en-NZ"/>
              </w:rPr>
            </w:pPr>
            <w:r w:rsidRPr="00000CB9">
              <w:rPr>
                <w:rFonts w:ascii="Arial" w:hAnsi="Arial" w:cs="Arial"/>
              </w:rPr>
              <w:t>General Surgery - Subsequent attendance</w:t>
            </w:r>
          </w:p>
        </w:tc>
        <w:tc>
          <w:tcPr>
            <w:tcW w:w="2578" w:type="pct"/>
            <w:tcBorders>
              <w:top w:val="single" w:sz="4" w:space="0" w:color="auto"/>
              <w:left w:val="single" w:sz="4" w:space="0" w:color="auto"/>
              <w:bottom w:val="single" w:sz="4" w:space="0" w:color="auto"/>
              <w:right w:val="single" w:sz="4" w:space="0" w:color="auto"/>
            </w:tcBorders>
          </w:tcPr>
          <w:p w14:paraId="2E4F21BF" w14:textId="2C735AF1" w:rsidR="00813CA1" w:rsidRPr="00000CB9" w:rsidRDefault="00813CA1" w:rsidP="00813CA1">
            <w:pPr>
              <w:rPr>
                <w:rFonts w:ascii="Arial" w:hAnsi="Arial" w:cs="Arial"/>
                <w:lang w:val="en-NZ"/>
              </w:rPr>
            </w:pPr>
            <w:r w:rsidRPr="00000CB9">
              <w:rPr>
                <w:rFonts w:ascii="Arial" w:hAnsi="Arial" w:cs="Arial"/>
                <w:lang w:val="en-US"/>
              </w:rPr>
              <w:t>Follow-up attendances to general surgeon or medical officer at registrar level or above or nurse practitioner.</w:t>
            </w:r>
          </w:p>
        </w:tc>
        <w:tc>
          <w:tcPr>
            <w:tcW w:w="805" w:type="pct"/>
            <w:tcBorders>
              <w:top w:val="single" w:sz="4" w:space="0" w:color="auto"/>
              <w:left w:val="single" w:sz="4" w:space="0" w:color="auto"/>
              <w:bottom w:val="single" w:sz="4" w:space="0" w:color="auto"/>
              <w:right w:val="single" w:sz="4" w:space="0" w:color="auto"/>
            </w:tcBorders>
          </w:tcPr>
          <w:p w14:paraId="2CCE79D3" w14:textId="6074A438" w:rsidR="00813CA1" w:rsidRPr="00000CB9" w:rsidRDefault="00813CA1" w:rsidP="00813CA1">
            <w:pPr>
              <w:rPr>
                <w:rFonts w:ascii="Arial" w:hAnsi="Arial" w:cs="Arial"/>
                <w:lang w:val="en-NZ"/>
              </w:rPr>
            </w:pPr>
            <w:r w:rsidRPr="00000CB9">
              <w:rPr>
                <w:rFonts w:ascii="Arial" w:hAnsi="Arial" w:cs="Arial"/>
              </w:rPr>
              <w:t>Attendance</w:t>
            </w:r>
          </w:p>
        </w:tc>
      </w:tr>
      <w:tr w:rsidR="00813CA1" w:rsidRPr="001040D7" w14:paraId="01392533" w14:textId="77777777" w:rsidTr="00E436DB">
        <w:trPr>
          <w:trHeight w:val="541"/>
        </w:trPr>
        <w:tc>
          <w:tcPr>
            <w:tcW w:w="660" w:type="pct"/>
            <w:hideMark/>
          </w:tcPr>
          <w:p w14:paraId="4AAFE477" w14:textId="77777777" w:rsidR="00813CA1" w:rsidRPr="00000CB9" w:rsidRDefault="00813CA1" w:rsidP="00813CA1">
            <w:pPr>
              <w:rPr>
                <w:rFonts w:ascii="Arial" w:hAnsi="Arial" w:cs="Arial"/>
                <w:lang w:val="en-NZ"/>
              </w:rPr>
            </w:pPr>
            <w:r w:rsidRPr="00000CB9">
              <w:rPr>
                <w:rFonts w:ascii="Arial" w:hAnsi="Arial" w:cs="Arial"/>
                <w:lang w:val="en-NZ"/>
              </w:rPr>
              <w:t>S00008</w:t>
            </w:r>
          </w:p>
        </w:tc>
        <w:tc>
          <w:tcPr>
            <w:tcW w:w="957" w:type="pct"/>
            <w:hideMark/>
          </w:tcPr>
          <w:p w14:paraId="58DC8BC3" w14:textId="77777777" w:rsidR="00813CA1" w:rsidRPr="00000CB9" w:rsidRDefault="00813CA1" w:rsidP="00813CA1">
            <w:pPr>
              <w:rPr>
                <w:rFonts w:ascii="Arial" w:hAnsi="Arial" w:cs="Arial"/>
                <w:lang w:val="en-NZ"/>
              </w:rPr>
            </w:pPr>
            <w:r w:rsidRPr="00000CB9">
              <w:rPr>
                <w:rFonts w:ascii="Arial" w:hAnsi="Arial" w:cs="Arial"/>
                <w:lang w:val="en-NZ"/>
              </w:rPr>
              <w:t>Minor Operations</w:t>
            </w:r>
          </w:p>
        </w:tc>
        <w:tc>
          <w:tcPr>
            <w:tcW w:w="2578" w:type="pct"/>
            <w:hideMark/>
          </w:tcPr>
          <w:p w14:paraId="1FEA8C36" w14:textId="77777777" w:rsidR="00813CA1" w:rsidRPr="00000CB9" w:rsidRDefault="00813CA1" w:rsidP="00813CA1">
            <w:pPr>
              <w:rPr>
                <w:rFonts w:ascii="Arial" w:hAnsi="Arial" w:cs="Arial"/>
                <w:lang w:val="en-NZ"/>
              </w:rPr>
            </w:pPr>
            <w:r w:rsidRPr="00000CB9">
              <w:rPr>
                <w:rFonts w:ascii="Arial" w:hAnsi="Arial" w:cs="Arial"/>
                <w:lang w:val="en-NZ"/>
              </w:rPr>
              <w:t>Minor surgical procedures</w:t>
            </w:r>
          </w:p>
        </w:tc>
        <w:tc>
          <w:tcPr>
            <w:tcW w:w="805" w:type="pct"/>
            <w:hideMark/>
          </w:tcPr>
          <w:p w14:paraId="0411BB54" w14:textId="77777777" w:rsidR="00813CA1" w:rsidRPr="00000CB9" w:rsidRDefault="00813CA1" w:rsidP="00813CA1">
            <w:pPr>
              <w:rPr>
                <w:rFonts w:ascii="Arial" w:hAnsi="Arial" w:cs="Arial"/>
                <w:lang w:val="en-NZ"/>
              </w:rPr>
            </w:pPr>
            <w:r w:rsidRPr="00000CB9">
              <w:rPr>
                <w:rFonts w:ascii="Arial" w:hAnsi="Arial" w:cs="Arial"/>
                <w:lang w:val="en-NZ"/>
              </w:rPr>
              <w:t>Procedure</w:t>
            </w:r>
          </w:p>
        </w:tc>
      </w:tr>
      <w:tr w:rsidR="00813CA1" w:rsidRPr="001040D7" w14:paraId="16925A1D" w14:textId="77777777" w:rsidTr="000A7892">
        <w:trPr>
          <w:trHeight w:val="1500"/>
        </w:trPr>
        <w:tc>
          <w:tcPr>
            <w:tcW w:w="660" w:type="pct"/>
            <w:hideMark/>
          </w:tcPr>
          <w:p w14:paraId="0854D5D2" w14:textId="77777777" w:rsidR="00813CA1" w:rsidRPr="00000CB9" w:rsidRDefault="00813CA1" w:rsidP="00813CA1">
            <w:pPr>
              <w:rPr>
                <w:rFonts w:ascii="Arial" w:hAnsi="Arial" w:cs="Arial"/>
                <w:lang w:val="en-NZ"/>
              </w:rPr>
            </w:pPr>
            <w:r w:rsidRPr="00000CB9">
              <w:rPr>
                <w:rFonts w:ascii="Arial" w:hAnsi="Arial" w:cs="Arial"/>
                <w:lang w:val="en-NZ"/>
              </w:rPr>
              <w:t>S00009</w:t>
            </w:r>
          </w:p>
        </w:tc>
        <w:tc>
          <w:tcPr>
            <w:tcW w:w="957" w:type="pct"/>
            <w:hideMark/>
          </w:tcPr>
          <w:p w14:paraId="399B86EC" w14:textId="77777777" w:rsidR="00813CA1" w:rsidRPr="00000CB9" w:rsidRDefault="00813CA1" w:rsidP="00813CA1">
            <w:pPr>
              <w:rPr>
                <w:rFonts w:ascii="Arial" w:hAnsi="Arial" w:cs="Arial"/>
                <w:lang w:val="en-NZ"/>
              </w:rPr>
            </w:pPr>
            <w:r w:rsidRPr="00000CB9">
              <w:rPr>
                <w:rFonts w:ascii="Arial" w:hAnsi="Arial" w:cs="Arial"/>
                <w:lang w:val="en-NZ"/>
              </w:rPr>
              <w:t>Breast multidisciplinary clinic - 1st Attendance</w:t>
            </w:r>
          </w:p>
        </w:tc>
        <w:tc>
          <w:tcPr>
            <w:tcW w:w="2578" w:type="pct"/>
            <w:hideMark/>
          </w:tcPr>
          <w:p w14:paraId="1E93E277" w14:textId="77777777" w:rsidR="00813CA1" w:rsidRPr="00000CB9" w:rsidRDefault="00813CA1" w:rsidP="00813CA1">
            <w:pPr>
              <w:rPr>
                <w:rFonts w:ascii="Arial" w:hAnsi="Arial" w:cs="Arial"/>
                <w:lang w:val="en-NZ"/>
              </w:rPr>
            </w:pPr>
            <w:r w:rsidRPr="00000CB9">
              <w:rPr>
                <w:rFonts w:ascii="Arial" w:hAnsi="Arial" w:cs="Arial"/>
                <w:lang w:val="en-NZ"/>
              </w:rPr>
              <w:t xml:space="preserve">Provision of "one stop shop" concept - access to all relevant health professionals, diagnostics and a clear treatment plan.  This evolved out of a Waikato pilot breast screening programme. Excludes breast screen </w:t>
            </w:r>
            <w:proofErr w:type="spellStart"/>
            <w:r w:rsidRPr="00000CB9">
              <w:rPr>
                <w:rFonts w:ascii="Arial" w:hAnsi="Arial" w:cs="Arial"/>
                <w:lang w:val="en-NZ"/>
              </w:rPr>
              <w:t>Aotearoa</w:t>
            </w:r>
            <w:proofErr w:type="spellEnd"/>
            <w:r w:rsidRPr="00000CB9">
              <w:rPr>
                <w:rFonts w:ascii="Arial" w:hAnsi="Arial" w:cs="Arial"/>
                <w:lang w:val="en-NZ"/>
              </w:rPr>
              <w:t xml:space="preserve"> cases.</w:t>
            </w:r>
          </w:p>
        </w:tc>
        <w:tc>
          <w:tcPr>
            <w:tcW w:w="805" w:type="pct"/>
            <w:hideMark/>
          </w:tcPr>
          <w:p w14:paraId="2A63BF68" w14:textId="77777777" w:rsidR="00813CA1" w:rsidRPr="00000CB9" w:rsidRDefault="00813CA1" w:rsidP="00813CA1">
            <w:pPr>
              <w:rPr>
                <w:rFonts w:ascii="Arial" w:hAnsi="Arial" w:cs="Arial"/>
                <w:lang w:val="en-NZ"/>
              </w:rPr>
            </w:pPr>
            <w:r w:rsidRPr="00000CB9">
              <w:rPr>
                <w:rFonts w:ascii="Arial" w:hAnsi="Arial" w:cs="Arial"/>
                <w:lang w:val="en-NZ"/>
              </w:rPr>
              <w:t>Attendance</w:t>
            </w:r>
          </w:p>
        </w:tc>
      </w:tr>
      <w:tr w:rsidR="00813CA1" w:rsidRPr="001040D7" w14:paraId="16E59CD4" w14:textId="77777777" w:rsidTr="000A7892">
        <w:trPr>
          <w:trHeight w:val="1500"/>
        </w:trPr>
        <w:tc>
          <w:tcPr>
            <w:tcW w:w="660" w:type="pct"/>
            <w:hideMark/>
          </w:tcPr>
          <w:p w14:paraId="0797CECC" w14:textId="77777777" w:rsidR="00813CA1" w:rsidRPr="00000CB9" w:rsidRDefault="00813CA1" w:rsidP="00813CA1">
            <w:pPr>
              <w:rPr>
                <w:rFonts w:ascii="Arial" w:hAnsi="Arial" w:cs="Arial"/>
                <w:lang w:val="en-NZ"/>
              </w:rPr>
            </w:pPr>
            <w:r w:rsidRPr="00000CB9">
              <w:rPr>
                <w:rFonts w:ascii="Arial" w:hAnsi="Arial" w:cs="Arial"/>
                <w:lang w:val="en-NZ"/>
              </w:rPr>
              <w:t>S00010</w:t>
            </w:r>
          </w:p>
        </w:tc>
        <w:tc>
          <w:tcPr>
            <w:tcW w:w="957" w:type="pct"/>
            <w:hideMark/>
          </w:tcPr>
          <w:p w14:paraId="65E52DCA" w14:textId="77777777" w:rsidR="00813CA1" w:rsidRPr="00000CB9" w:rsidRDefault="00813CA1" w:rsidP="00813CA1">
            <w:pPr>
              <w:rPr>
                <w:rFonts w:ascii="Arial" w:hAnsi="Arial" w:cs="Arial"/>
                <w:lang w:val="en-NZ"/>
              </w:rPr>
            </w:pPr>
            <w:r w:rsidRPr="00000CB9">
              <w:rPr>
                <w:rFonts w:ascii="Arial" w:hAnsi="Arial" w:cs="Arial"/>
                <w:lang w:val="en-NZ"/>
              </w:rPr>
              <w:t>Breast multidisciplinary clinic - Subsequent Attendance</w:t>
            </w:r>
          </w:p>
        </w:tc>
        <w:tc>
          <w:tcPr>
            <w:tcW w:w="2578" w:type="pct"/>
            <w:hideMark/>
          </w:tcPr>
          <w:p w14:paraId="241A9BBD" w14:textId="77777777" w:rsidR="00813CA1" w:rsidRPr="00000CB9" w:rsidRDefault="00813CA1" w:rsidP="00813CA1">
            <w:pPr>
              <w:rPr>
                <w:rFonts w:ascii="Arial" w:hAnsi="Arial" w:cs="Arial"/>
                <w:lang w:val="en-NZ"/>
              </w:rPr>
            </w:pPr>
            <w:r w:rsidRPr="00000CB9">
              <w:rPr>
                <w:rFonts w:ascii="Arial" w:hAnsi="Arial" w:cs="Arial"/>
                <w:lang w:val="en-NZ"/>
              </w:rPr>
              <w:t xml:space="preserve">Provision of "one stop shop" concept - access to all relevant health professionals, diagnostics and a clear treatment plan.  This evolved out of a Waikato pilot breast screening programme. Excludes breast screen </w:t>
            </w:r>
            <w:proofErr w:type="spellStart"/>
            <w:r w:rsidRPr="00000CB9">
              <w:rPr>
                <w:rFonts w:ascii="Arial" w:hAnsi="Arial" w:cs="Arial"/>
                <w:lang w:val="en-NZ"/>
              </w:rPr>
              <w:t>Aotearoa</w:t>
            </w:r>
            <w:proofErr w:type="spellEnd"/>
            <w:r w:rsidRPr="00000CB9">
              <w:rPr>
                <w:rFonts w:ascii="Arial" w:hAnsi="Arial" w:cs="Arial"/>
                <w:lang w:val="en-NZ"/>
              </w:rPr>
              <w:t xml:space="preserve"> cases.</w:t>
            </w:r>
          </w:p>
        </w:tc>
        <w:tc>
          <w:tcPr>
            <w:tcW w:w="805" w:type="pct"/>
            <w:hideMark/>
          </w:tcPr>
          <w:p w14:paraId="2BD57714" w14:textId="77777777" w:rsidR="00813CA1" w:rsidRPr="00000CB9" w:rsidRDefault="00813CA1" w:rsidP="00813CA1">
            <w:pPr>
              <w:rPr>
                <w:rFonts w:ascii="Arial" w:hAnsi="Arial" w:cs="Arial"/>
                <w:lang w:val="en-NZ"/>
              </w:rPr>
            </w:pPr>
            <w:r w:rsidRPr="00000CB9">
              <w:rPr>
                <w:rFonts w:ascii="Arial" w:hAnsi="Arial" w:cs="Arial"/>
                <w:lang w:val="en-NZ"/>
              </w:rPr>
              <w:t>Attendance</w:t>
            </w:r>
          </w:p>
        </w:tc>
      </w:tr>
      <w:tr w:rsidR="00813CA1" w:rsidRPr="001040D7" w14:paraId="300C5628" w14:textId="77777777" w:rsidTr="000A7892">
        <w:trPr>
          <w:trHeight w:val="3064"/>
        </w:trPr>
        <w:tc>
          <w:tcPr>
            <w:tcW w:w="660" w:type="pct"/>
            <w:hideMark/>
          </w:tcPr>
          <w:p w14:paraId="01BE2924" w14:textId="77777777" w:rsidR="00813CA1" w:rsidRPr="00000CB9" w:rsidRDefault="00813CA1" w:rsidP="00813CA1">
            <w:pPr>
              <w:rPr>
                <w:rFonts w:ascii="Arial" w:hAnsi="Arial" w:cs="Arial"/>
                <w:lang w:val="en-NZ"/>
              </w:rPr>
            </w:pPr>
            <w:r w:rsidRPr="00000CB9">
              <w:rPr>
                <w:rFonts w:ascii="Arial" w:hAnsi="Arial" w:cs="Arial"/>
                <w:lang w:val="en-NZ"/>
              </w:rPr>
              <w:lastRenderedPageBreak/>
              <w:t>S00011</w:t>
            </w:r>
          </w:p>
        </w:tc>
        <w:tc>
          <w:tcPr>
            <w:tcW w:w="957" w:type="pct"/>
            <w:hideMark/>
          </w:tcPr>
          <w:p w14:paraId="773CFF6D" w14:textId="77777777" w:rsidR="00813CA1" w:rsidRPr="00000CB9" w:rsidRDefault="00813CA1" w:rsidP="00813CA1">
            <w:pPr>
              <w:rPr>
                <w:rFonts w:ascii="Arial" w:hAnsi="Arial" w:cs="Arial"/>
                <w:lang w:val="en-NZ"/>
              </w:rPr>
            </w:pPr>
            <w:r w:rsidRPr="00000CB9">
              <w:rPr>
                <w:rFonts w:ascii="Arial" w:hAnsi="Arial" w:cs="Arial"/>
                <w:lang w:val="en-NZ"/>
              </w:rPr>
              <w:t xml:space="preserve">Surgical </w:t>
            </w:r>
            <w:proofErr w:type="spellStart"/>
            <w:r w:rsidRPr="00000CB9">
              <w:rPr>
                <w:rFonts w:ascii="Arial" w:hAnsi="Arial" w:cs="Arial"/>
                <w:lang w:val="en-NZ"/>
              </w:rPr>
              <w:t>non contact</w:t>
            </w:r>
            <w:proofErr w:type="spellEnd"/>
            <w:r w:rsidRPr="00000CB9">
              <w:rPr>
                <w:rFonts w:ascii="Arial" w:hAnsi="Arial" w:cs="Arial"/>
                <w:lang w:val="en-NZ"/>
              </w:rPr>
              <w:t xml:space="preserve"> First Specialist Assessment - Any health specialty</w:t>
            </w:r>
          </w:p>
        </w:tc>
        <w:tc>
          <w:tcPr>
            <w:tcW w:w="2578" w:type="pct"/>
            <w:hideMark/>
          </w:tcPr>
          <w:p w14:paraId="7A1FDF06" w14:textId="77777777" w:rsidR="00813CA1" w:rsidRPr="00000CB9" w:rsidRDefault="00813CA1" w:rsidP="00813CA1">
            <w:pPr>
              <w:rPr>
                <w:rFonts w:ascii="Arial" w:hAnsi="Arial" w:cs="Arial"/>
                <w:lang w:val="en-NZ"/>
              </w:rPr>
            </w:pPr>
            <w:r w:rsidRPr="00000CB9">
              <w:rPr>
                <w:rFonts w:ascii="Arial" w:hAnsi="Arial" w:cs="Arial"/>
                <w:lang w:val="en-NZ"/>
              </w:rPr>
              <w:t xml:space="preserve">A review is undertaken by a Registered Medical Practitioner of Registrar level or above, or a Registered Nurse Practitioner, of patient records and any diagnostic test results from Primary to Secondary or Secondary to Tertiary. GP referral can come from tertiary and secondary referrals. The original referral should only be generated after a face to face contact by the referrer. A written plan of care is developed for the patient and provision of that plan and other necessary advice is sent to the referring clinician and the patient.  The </w:t>
            </w:r>
            <w:proofErr w:type="spellStart"/>
            <w:r w:rsidRPr="00000CB9">
              <w:rPr>
                <w:rFonts w:ascii="Arial" w:hAnsi="Arial" w:cs="Arial"/>
                <w:lang w:val="en-NZ"/>
              </w:rPr>
              <w:t>non contact</w:t>
            </w:r>
            <w:proofErr w:type="spellEnd"/>
            <w:r w:rsidRPr="00000CB9">
              <w:rPr>
                <w:rFonts w:ascii="Arial" w:hAnsi="Arial" w:cs="Arial"/>
                <w:lang w:val="en-NZ"/>
              </w:rPr>
              <w:t xml:space="preserve"> FSA does not include the triaging of referral letters. The patient should not be present during the assessment.</w:t>
            </w:r>
          </w:p>
        </w:tc>
        <w:tc>
          <w:tcPr>
            <w:tcW w:w="805" w:type="pct"/>
            <w:hideMark/>
          </w:tcPr>
          <w:p w14:paraId="33BBE5A3" w14:textId="77777777" w:rsidR="00813CA1" w:rsidRPr="00000CB9" w:rsidRDefault="00813CA1" w:rsidP="00813CA1">
            <w:pPr>
              <w:rPr>
                <w:rFonts w:ascii="Arial" w:hAnsi="Arial" w:cs="Arial"/>
                <w:lang w:val="en-NZ"/>
              </w:rPr>
            </w:pPr>
            <w:r w:rsidRPr="00000CB9">
              <w:rPr>
                <w:rFonts w:ascii="Arial" w:hAnsi="Arial" w:cs="Arial"/>
                <w:lang w:val="en-NZ"/>
              </w:rPr>
              <w:t>Written plan of care</w:t>
            </w:r>
          </w:p>
        </w:tc>
      </w:tr>
      <w:tr w:rsidR="00813CA1" w:rsidRPr="001040D7" w14:paraId="0E20062B" w14:textId="77777777" w:rsidTr="000A7892">
        <w:trPr>
          <w:trHeight w:val="642"/>
        </w:trPr>
        <w:tc>
          <w:tcPr>
            <w:tcW w:w="660" w:type="pct"/>
            <w:hideMark/>
          </w:tcPr>
          <w:p w14:paraId="64521A44" w14:textId="77777777" w:rsidR="00813CA1" w:rsidRPr="00000CB9" w:rsidRDefault="00813CA1" w:rsidP="00813CA1">
            <w:pPr>
              <w:rPr>
                <w:rFonts w:ascii="Arial" w:hAnsi="Arial" w:cs="Arial"/>
                <w:lang w:val="en-NZ"/>
              </w:rPr>
            </w:pPr>
            <w:r w:rsidRPr="00000CB9">
              <w:rPr>
                <w:rFonts w:ascii="Arial" w:hAnsi="Arial" w:cs="Arial"/>
                <w:lang w:val="en-NZ"/>
              </w:rPr>
              <w:t>S00012</w:t>
            </w:r>
          </w:p>
        </w:tc>
        <w:tc>
          <w:tcPr>
            <w:tcW w:w="957" w:type="pct"/>
            <w:hideMark/>
          </w:tcPr>
          <w:p w14:paraId="3CC68576" w14:textId="77777777" w:rsidR="00813CA1" w:rsidRPr="00000CB9" w:rsidRDefault="00813CA1" w:rsidP="00813CA1">
            <w:pPr>
              <w:rPr>
                <w:rFonts w:ascii="Arial" w:hAnsi="Arial" w:cs="Arial"/>
                <w:lang w:val="en-NZ"/>
              </w:rPr>
            </w:pPr>
            <w:r w:rsidRPr="00000CB9">
              <w:rPr>
                <w:rFonts w:ascii="Arial" w:hAnsi="Arial" w:cs="Arial"/>
                <w:lang w:val="en-NZ"/>
              </w:rPr>
              <w:t xml:space="preserve">Surgical </w:t>
            </w:r>
            <w:proofErr w:type="spellStart"/>
            <w:r w:rsidRPr="00000CB9">
              <w:rPr>
                <w:rFonts w:ascii="Arial" w:hAnsi="Arial" w:cs="Arial"/>
                <w:lang w:val="en-NZ"/>
              </w:rPr>
              <w:t>non contact</w:t>
            </w:r>
            <w:proofErr w:type="spellEnd"/>
            <w:r w:rsidRPr="00000CB9">
              <w:rPr>
                <w:rFonts w:ascii="Arial" w:hAnsi="Arial" w:cs="Arial"/>
                <w:lang w:val="en-NZ"/>
              </w:rPr>
              <w:t xml:space="preserve"> Follow Up - Any health specialty</w:t>
            </w:r>
          </w:p>
        </w:tc>
        <w:tc>
          <w:tcPr>
            <w:tcW w:w="2578" w:type="pct"/>
            <w:hideMark/>
          </w:tcPr>
          <w:p w14:paraId="26FAC2C8" w14:textId="77777777" w:rsidR="00813CA1" w:rsidRPr="00000CB9" w:rsidRDefault="00813CA1" w:rsidP="00813CA1">
            <w:pPr>
              <w:rPr>
                <w:rFonts w:ascii="Arial" w:hAnsi="Arial" w:cs="Arial"/>
                <w:lang w:val="en-NZ"/>
              </w:rPr>
            </w:pPr>
            <w:r w:rsidRPr="00000CB9">
              <w:rPr>
                <w:rFonts w:ascii="Arial" w:hAnsi="Arial" w:cs="Arial"/>
                <w:lang w:val="en-NZ"/>
              </w:rPr>
              <w:t>A review is undertaken by a Registered Medical Practitioner of Registrar level or above, or a Registered Nurse Practitioner, of patient records and any relevant diagnostic test results. The patient is not present during this follow up that should only be undertaken after a face to face contact by the same service. A written plan of care is developed for the patient and that plan and other necessary advice is sent to patient and if applicable to referrer. Diagnostics are only to be included if ordered by the DHB providing the non-contact follow up.</w:t>
            </w:r>
          </w:p>
        </w:tc>
        <w:tc>
          <w:tcPr>
            <w:tcW w:w="805" w:type="pct"/>
            <w:hideMark/>
          </w:tcPr>
          <w:p w14:paraId="7D0F2DFF" w14:textId="77777777" w:rsidR="00813CA1" w:rsidRPr="00000CB9" w:rsidRDefault="00813CA1" w:rsidP="00813CA1">
            <w:pPr>
              <w:rPr>
                <w:rFonts w:ascii="Arial" w:hAnsi="Arial" w:cs="Arial"/>
                <w:lang w:val="en-NZ"/>
              </w:rPr>
            </w:pPr>
            <w:r w:rsidRPr="00000CB9">
              <w:rPr>
                <w:rFonts w:ascii="Arial" w:hAnsi="Arial" w:cs="Arial"/>
                <w:lang w:val="en-NZ"/>
              </w:rPr>
              <w:t>Written plan of care</w:t>
            </w:r>
          </w:p>
        </w:tc>
      </w:tr>
      <w:tr w:rsidR="00813CA1" w:rsidRPr="001040D7" w14:paraId="27522AD4" w14:textId="77777777" w:rsidTr="000A7892">
        <w:trPr>
          <w:trHeight w:val="900"/>
        </w:trPr>
        <w:tc>
          <w:tcPr>
            <w:tcW w:w="660" w:type="pct"/>
            <w:hideMark/>
          </w:tcPr>
          <w:p w14:paraId="7D994F6C" w14:textId="77777777" w:rsidR="00813CA1" w:rsidRPr="00000CB9" w:rsidRDefault="00813CA1" w:rsidP="00813CA1">
            <w:pPr>
              <w:rPr>
                <w:rFonts w:ascii="Arial" w:hAnsi="Arial" w:cs="Arial"/>
                <w:lang w:val="en-NZ"/>
              </w:rPr>
            </w:pPr>
            <w:r w:rsidRPr="00000CB9">
              <w:rPr>
                <w:rFonts w:ascii="Arial" w:hAnsi="Arial" w:cs="Arial"/>
                <w:lang w:val="en-NZ"/>
              </w:rPr>
              <w:t>S00CANC</w:t>
            </w:r>
          </w:p>
        </w:tc>
        <w:tc>
          <w:tcPr>
            <w:tcW w:w="957" w:type="pct"/>
            <w:hideMark/>
          </w:tcPr>
          <w:p w14:paraId="7D88DE16" w14:textId="77777777" w:rsidR="00813CA1" w:rsidRPr="00000CB9" w:rsidRDefault="00813CA1" w:rsidP="00813CA1">
            <w:pPr>
              <w:rPr>
                <w:rFonts w:ascii="Arial" w:hAnsi="Arial" w:cs="Arial"/>
                <w:lang w:val="en-NZ"/>
              </w:rPr>
            </w:pPr>
            <w:r w:rsidRPr="00000CB9">
              <w:rPr>
                <w:rFonts w:ascii="Arial" w:hAnsi="Arial" w:cs="Arial"/>
                <w:lang w:val="en-NZ"/>
              </w:rPr>
              <w:t>General Surgery Cancelled Operation</w:t>
            </w:r>
          </w:p>
        </w:tc>
        <w:tc>
          <w:tcPr>
            <w:tcW w:w="2578" w:type="pct"/>
            <w:hideMark/>
          </w:tcPr>
          <w:p w14:paraId="06BCFBF0" w14:textId="24C5B695" w:rsidR="00813CA1" w:rsidRPr="00000CB9" w:rsidRDefault="00813CA1" w:rsidP="00813CA1">
            <w:pPr>
              <w:rPr>
                <w:rFonts w:ascii="Arial" w:hAnsi="Arial" w:cs="Arial"/>
                <w:lang w:val="en-NZ"/>
              </w:rPr>
            </w:pPr>
            <w:r w:rsidRPr="00000CB9">
              <w:rPr>
                <w:rFonts w:ascii="Arial" w:hAnsi="Arial" w:cs="Arial"/>
                <w:lang w:val="en-NZ"/>
              </w:rPr>
              <w:t>NOT PURCHASED; USE FOR REPORTING TO NNPAC FOR COUNTING ONLY. General Surgery cancelled case.</w:t>
            </w:r>
          </w:p>
        </w:tc>
        <w:tc>
          <w:tcPr>
            <w:tcW w:w="805" w:type="pct"/>
            <w:hideMark/>
          </w:tcPr>
          <w:p w14:paraId="1B19E91A" w14:textId="77777777" w:rsidR="00813CA1" w:rsidRPr="00000CB9" w:rsidRDefault="00813CA1" w:rsidP="00813CA1">
            <w:pPr>
              <w:rPr>
                <w:rFonts w:ascii="Arial" w:hAnsi="Arial" w:cs="Arial"/>
                <w:lang w:val="en-NZ"/>
              </w:rPr>
            </w:pPr>
            <w:r w:rsidRPr="00000CB9">
              <w:rPr>
                <w:rFonts w:ascii="Arial" w:hAnsi="Arial" w:cs="Arial"/>
                <w:lang w:val="en-NZ"/>
              </w:rPr>
              <w:t>Attendance</w:t>
            </w:r>
          </w:p>
        </w:tc>
      </w:tr>
      <w:tr w:rsidR="00813CA1" w:rsidRPr="001040D7" w14:paraId="25CF02B1" w14:textId="77777777" w:rsidTr="000A7892">
        <w:trPr>
          <w:trHeight w:val="933"/>
        </w:trPr>
        <w:tc>
          <w:tcPr>
            <w:tcW w:w="660" w:type="pct"/>
            <w:hideMark/>
          </w:tcPr>
          <w:p w14:paraId="1641D5B1" w14:textId="77777777" w:rsidR="00813CA1" w:rsidRPr="00000CB9" w:rsidRDefault="00813CA1" w:rsidP="00813CA1">
            <w:pPr>
              <w:rPr>
                <w:rFonts w:ascii="Arial" w:hAnsi="Arial" w:cs="Arial"/>
                <w:lang w:val="en-NZ"/>
              </w:rPr>
            </w:pPr>
            <w:r w:rsidRPr="00000CB9">
              <w:rPr>
                <w:rFonts w:ascii="Arial" w:hAnsi="Arial" w:cs="Arial"/>
                <w:lang w:val="en-NZ"/>
              </w:rPr>
              <w:t>S00PRE</w:t>
            </w:r>
          </w:p>
        </w:tc>
        <w:tc>
          <w:tcPr>
            <w:tcW w:w="957" w:type="pct"/>
            <w:hideMark/>
          </w:tcPr>
          <w:p w14:paraId="76AFB67F" w14:textId="77777777" w:rsidR="00813CA1" w:rsidRPr="00000CB9" w:rsidRDefault="00813CA1" w:rsidP="00813CA1">
            <w:pPr>
              <w:rPr>
                <w:rFonts w:ascii="Arial" w:hAnsi="Arial" w:cs="Arial"/>
                <w:lang w:val="en-NZ"/>
              </w:rPr>
            </w:pPr>
            <w:r w:rsidRPr="00000CB9">
              <w:rPr>
                <w:rFonts w:ascii="Arial" w:hAnsi="Arial" w:cs="Arial"/>
                <w:lang w:val="en-NZ"/>
              </w:rPr>
              <w:t>General Surgery Preadmission visit</w:t>
            </w:r>
          </w:p>
        </w:tc>
        <w:tc>
          <w:tcPr>
            <w:tcW w:w="2578" w:type="pct"/>
            <w:hideMark/>
          </w:tcPr>
          <w:p w14:paraId="4DF9261D" w14:textId="77777777" w:rsidR="00813CA1" w:rsidRPr="00000CB9" w:rsidRDefault="00813CA1" w:rsidP="00813CA1">
            <w:pPr>
              <w:rPr>
                <w:rFonts w:ascii="Arial" w:hAnsi="Arial" w:cs="Arial"/>
                <w:lang w:val="en-NZ"/>
              </w:rPr>
            </w:pPr>
            <w:r w:rsidRPr="00000CB9">
              <w:rPr>
                <w:rFonts w:ascii="Arial" w:hAnsi="Arial" w:cs="Arial"/>
                <w:lang w:val="en-NZ"/>
              </w:rPr>
              <w:t>NOT PURCHASED; USE FOR REPORTING TO NNPAC FOR COUNTING ONLY. Preadmission visit for General Surgery procedure paid for as part of CWD price</w:t>
            </w:r>
          </w:p>
        </w:tc>
        <w:tc>
          <w:tcPr>
            <w:tcW w:w="805" w:type="pct"/>
            <w:hideMark/>
          </w:tcPr>
          <w:p w14:paraId="6A3809AA" w14:textId="77777777" w:rsidR="00813CA1" w:rsidRPr="00000CB9" w:rsidRDefault="00813CA1" w:rsidP="00813CA1">
            <w:pPr>
              <w:rPr>
                <w:rFonts w:ascii="Arial" w:hAnsi="Arial" w:cs="Arial"/>
                <w:lang w:val="en-NZ"/>
              </w:rPr>
            </w:pPr>
            <w:r w:rsidRPr="00000CB9">
              <w:rPr>
                <w:rFonts w:ascii="Arial" w:hAnsi="Arial" w:cs="Arial"/>
                <w:lang w:val="en-NZ"/>
              </w:rPr>
              <w:t>Attendance</w:t>
            </w:r>
          </w:p>
        </w:tc>
      </w:tr>
      <w:tr w:rsidR="00813CA1" w:rsidRPr="00346284" w14:paraId="46C6793A" w14:textId="77777777" w:rsidTr="000A7892">
        <w:trPr>
          <w:trHeight w:val="1500"/>
        </w:trPr>
        <w:tc>
          <w:tcPr>
            <w:tcW w:w="660" w:type="pct"/>
            <w:hideMark/>
          </w:tcPr>
          <w:p w14:paraId="1D0AC68B" w14:textId="77777777" w:rsidR="00813CA1" w:rsidRPr="00000CB9" w:rsidRDefault="00813CA1" w:rsidP="00813CA1">
            <w:pPr>
              <w:rPr>
                <w:rFonts w:ascii="Arial" w:hAnsi="Arial" w:cs="Arial"/>
                <w:lang w:val="en-NZ"/>
              </w:rPr>
            </w:pPr>
            <w:r w:rsidRPr="00000CB9">
              <w:rPr>
                <w:rFonts w:ascii="Arial" w:hAnsi="Arial" w:cs="Arial"/>
                <w:lang w:val="en-NZ"/>
              </w:rPr>
              <w:t>MS01001</w:t>
            </w:r>
          </w:p>
        </w:tc>
        <w:tc>
          <w:tcPr>
            <w:tcW w:w="957" w:type="pct"/>
            <w:hideMark/>
          </w:tcPr>
          <w:p w14:paraId="416F80FD" w14:textId="77777777" w:rsidR="00813CA1" w:rsidRPr="00000CB9" w:rsidRDefault="00813CA1" w:rsidP="00813CA1">
            <w:pPr>
              <w:rPr>
                <w:rFonts w:ascii="Arial" w:hAnsi="Arial" w:cs="Arial"/>
                <w:lang w:val="en-NZ"/>
              </w:rPr>
            </w:pPr>
            <w:r w:rsidRPr="00000CB9">
              <w:rPr>
                <w:rFonts w:ascii="Arial" w:hAnsi="Arial" w:cs="Arial"/>
                <w:lang w:val="en-NZ"/>
              </w:rPr>
              <w:t>Nurse Led Outpatient Clinics</w:t>
            </w:r>
          </w:p>
        </w:tc>
        <w:tc>
          <w:tcPr>
            <w:tcW w:w="2578" w:type="pct"/>
            <w:hideMark/>
          </w:tcPr>
          <w:p w14:paraId="6DB4301E" w14:textId="77777777" w:rsidR="00813CA1" w:rsidRPr="00000CB9" w:rsidRDefault="00813CA1" w:rsidP="00813CA1">
            <w:pPr>
              <w:rPr>
                <w:rFonts w:ascii="Arial" w:hAnsi="Arial" w:cs="Arial"/>
                <w:lang w:val="en-NZ"/>
              </w:rPr>
            </w:pPr>
            <w:r w:rsidRPr="00000CB9">
              <w:rPr>
                <w:rFonts w:ascii="Arial" w:hAnsi="Arial" w:cs="Arial"/>
                <w:lang w:val="en-NZ"/>
              </w:rPr>
              <w:t>Assessment, treatment, or education and/or management outpatient clinics led by a nurse specialist not covered under other education management PUCs. This excludes clinics led by a nurse practitioner.</w:t>
            </w:r>
          </w:p>
        </w:tc>
        <w:tc>
          <w:tcPr>
            <w:tcW w:w="805" w:type="pct"/>
            <w:hideMark/>
          </w:tcPr>
          <w:p w14:paraId="34A6D04E" w14:textId="77777777" w:rsidR="00813CA1" w:rsidRPr="00000CB9" w:rsidRDefault="00813CA1" w:rsidP="00813CA1">
            <w:pPr>
              <w:rPr>
                <w:rFonts w:ascii="Arial" w:hAnsi="Arial" w:cs="Arial"/>
                <w:lang w:val="en-NZ"/>
              </w:rPr>
            </w:pPr>
            <w:r w:rsidRPr="00000CB9">
              <w:rPr>
                <w:rFonts w:ascii="Arial" w:hAnsi="Arial" w:cs="Arial"/>
                <w:lang w:val="en-NZ"/>
              </w:rPr>
              <w:t>Attendance</w:t>
            </w:r>
          </w:p>
        </w:tc>
      </w:tr>
      <w:tr w:rsidR="00813CA1" w:rsidRPr="00346284" w14:paraId="1B11CA87" w14:textId="77777777" w:rsidTr="000A7892">
        <w:trPr>
          <w:trHeight w:val="1800"/>
        </w:trPr>
        <w:tc>
          <w:tcPr>
            <w:tcW w:w="660" w:type="pct"/>
            <w:hideMark/>
          </w:tcPr>
          <w:p w14:paraId="7932A5D2" w14:textId="77777777" w:rsidR="00813CA1" w:rsidRPr="00000CB9" w:rsidRDefault="00813CA1" w:rsidP="00813CA1">
            <w:pPr>
              <w:rPr>
                <w:rFonts w:ascii="Arial" w:hAnsi="Arial" w:cs="Arial"/>
                <w:lang w:val="en-NZ"/>
              </w:rPr>
            </w:pPr>
            <w:r w:rsidRPr="00000CB9">
              <w:rPr>
                <w:rFonts w:ascii="Arial" w:hAnsi="Arial" w:cs="Arial"/>
                <w:lang w:val="en-NZ"/>
              </w:rPr>
              <w:t>MS02004</w:t>
            </w:r>
          </w:p>
        </w:tc>
        <w:tc>
          <w:tcPr>
            <w:tcW w:w="957" w:type="pct"/>
            <w:hideMark/>
          </w:tcPr>
          <w:p w14:paraId="27105111" w14:textId="77777777" w:rsidR="00813CA1" w:rsidRPr="00000CB9" w:rsidRDefault="00813CA1" w:rsidP="00813CA1">
            <w:pPr>
              <w:rPr>
                <w:rFonts w:ascii="Arial" w:hAnsi="Arial" w:cs="Arial"/>
                <w:lang w:val="en-NZ"/>
              </w:rPr>
            </w:pPr>
            <w:r w:rsidRPr="00000CB9">
              <w:rPr>
                <w:rFonts w:ascii="Arial" w:hAnsi="Arial" w:cs="Arial"/>
                <w:lang w:val="en-NZ"/>
              </w:rPr>
              <w:t>Cystoscopy - Any health specialty</w:t>
            </w:r>
          </w:p>
        </w:tc>
        <w:tc>
          <w:tcPr>
            <w:tcW w:w="2578" w:type="pct"/>
            <w:hideMark/>
          </w:tcPr>
          <w:p w14:paraId="3802C2AE" w14:textId="77777777" w:rsidR="00813CA1" w:rsidRPr="00000CB9" w:rsidRDefault="00813CA1" w:rsidP="00813CA1">
            <w:pPr>
              <w:rPr>
                <w:rFonts w:ascii="Arial" w:hAnsi="Arial" w:cs="Arial"/>
                <w:lang w:val="en-NZ"/>
              </w:rPr>
            </w:pPr>
            <w:r w:rsidRPr="00000CB9">
              <w:rPr>
                <w:rFonts w:ascii="Arial" w:hAnsi="Arial" w:cs="Arial"/>
                <w:lang w:val="en-NZ"/>
              </w:rPr>
              <w:t xml:space="preserve">Cystoscopy performed as an outpatient or elective day case regardless of the Health Specialty providing the service, and not provided under any other purchase unit. Additional information is found in the NZ </w:t>
            </w:r>
            <w:proofErr w:type="spellStart"/>
            <w:r w:rsidRPr="00000CB9">
              <w:rPr>
                <w:rFonts w:ascii="Arial" w:hAnsi="Arial" w:cs="Arial"/>
                <w:lang w:val="en-NZ"/>
              </w:rPr>
              <w:t>Casemix</w:t>
            </w:r>
            <w:proofErr w:type="spellEnd"/>
            <w:r w:rsidRPr="00000CB9">
              <w:rPr>
                <w:rFonts w:ascii="Arial" w:hAnsi="Arial" w:cs="Arial"/>
                <w:lang w:val="en-NZ"/>
              </w:rPr>
              <w:t xml:space="preserve"> Framework for Publicly Funded Hospitals which gets updated every year.</w:t>
            </w:r>
          </w:p>
        </w:tc>
        <w:tc>
          <w:tcPr>
            <w:tcW w:w="805" w:type="pct"/>
            <w:hideMark/>
          </w:tcPr>
          <w:p w14:paraId="5CF36E51" w14:textId="77777777" w:rsidR="00813CA1" w:rsidRPr="00000CB9" w:rsidRDefault="00813CA1" w:rsidP="00813CA1">
            <w:pPr>
              <w:rPr>
                <w:rFonts w:ascii="Arial" w:hAnsi="Arial" w:cs="Arial"/>
                <w:lang w:val="en-NZ"/>
              </w:rPr>
            </w:pPr>
            <w:r w:rsidRPr="00000CB9">
              <w:rPr>
                <w:rFonts w:ascii="Arial" w:hAnsi="Arial" w:cs="Arial"/>
                <w:lang w:val="en-NZ"/>
              </w:rPr>
              <w:t>Attendance</w:t>
            </w:r>
          </w:p>
        </w:tc>
      </w:tr>
      <w:tr w:rsidR="00813CA1" w:rsidRPr="00346284" w14:paraId="79A55F62" w14:textId="77777777" w:rsidTr="000A7892">
        <w:trPr>
          <w:trHeight w:val="1740"/>
        </w:trPr>
        <w:tc>
          <w:tcPr>
            <w:tcW w:w="660" w:type="pct"/>
            <w:hideMark/>
          </w:tcPr>
          <w:p w14:paraId="14935D1C" w14:textId="77777777" w:rsidR="00813CA1" w:rsidRPr="00000CB9" w:rsidRDefault="00813CA1" w:rsidP="00813CA1">
            <w:pPr>
              <w:rPr>
                <w:rFonts w:ascii="Arial" w:hAnsi="Arial" w:cs="Arial"/>
                <w:lang w:val="en-NZ"/>
              </w:rPr>
            </w:pPr>
            <w:r w:rsidRPr="00000CB9">
              <w:rPr>
                <w:rFonts w:ascii="Arial" w:hAnsi="Arial" w:cs="Arial"/>
                <w:lang w:val="en-NZ"/>
              </w:rPr>
              <w:t>MS02005</w:t>
            </w:r>
          </w:p>
        </w:tc>
        <w:tc>
          <w:tcPr>
            <w:tcW w:w="957" w:type="pct"/>
            <w:hideMark/>
          </w:tcPr>
          <w:p w14:paraId="7467BA42" w14:textId="77777777" w:rsidR="00813CA1" w:rsidRPr="00000CB9" w:rsidRDefault="00813CA1" w:rsidP="00813CA1">
            <w:pPr>
              <w:rPr>
                <w:rFonts w:ascii="Arial" w:hAnsi="Arial" w:cs="Arial"/>
                <w:lang w:val="en-NZ"/>
              </w:rPr>
            </w:pPr>
            <w:r w:rsidRPr="00000CB9">
              <w:rPr>
                <w:rFonts w:ascii="Arial" w:hAnsi="Arial" w:cs="Arial"/>
                <w:lang w:val="en-NZ"/>
              </w:rPr>
              <w:t>Gastroscopy - Any health specialty.</w:t>
            </w:r>
          </w:p>
        </w:tc>
        <w:tc>
          <w:tcPr>
            <w:tcW w:w="2578" w:type="pct"/>
            <w:hideMark/>
          </w:tcPr>
          <w:p w14:paraId="4A6173EE" w14:textId="77777777" w:rsidR="00813CA1" w:rsidRPr="00000CB9" w:rsidRDefault="00813CA1" w:rsidP="00813CA1">
            <w:pPr>
              <w:rPr>
                <w:rFonts w:ascii="Arial" w:hAnsi="Arial" w:cs="Arial"/>
                <w:lang w:val="en-NZ"/>
              </w:rPr>
            </w:pPr>
            <w:r w:rsidRPr="00000CB9">
              <w:rPr>
                <w:rFonts w:ascii="Arial" w:hAnsi="Arial" w:cs="Arial"/>
                <w:lang w:val="en-NZ"/>
              </w:rPr>
              <w:t xml:space="preserve">Gastroscopy performed as an outpatient or elective day case regardless of the Health Specialty providing the service, and not provided under any other purchase unit. Additional information is found in the NZ </w:t>
            </w:r>
            <w:proofErr w:type="spellStart"/>
            <w:r w:rsidRPr="00000CB9">
              <w:rPr>
                <w:rFonts w:ascii="Arial" w:hAnsi="Arial" w:cs="Arial"/>
                <w:lang w:val="en-NZ"/>
              </w:rPr>
              <w:t>Casemix</w:t>
            </w:r>
            <w:proofErr w:type="spellEnd"/>
            <w:r w:rsidRPr="00000CB9">
              <w:rPr>
                <w:rFonts w:ascii="Arial" w:hAnsi="Arial" w:cs="Arial"/>
                <w:lang w:val="en-NZ"/>
              </w:rPr>
              <w:t xml:space="preserve"> Framework for Publicly Funded Hospitals which gets updated every year.</w:t>
            </w:r>
          </w:p>
        </w:tc>
        <w:tc>
          <w:tcPr>
            <w:tcW w:w="805" w:type="pct"/>
            <w:hideMark/>
          </w:tcPr>
          <w:p w14:paraId="17A95857" w14:textId="77777777" w:rsidR="00813CA1" w:rsidRPr="00000CB9" w:rsidRDefault="00813CA1" w:rsidP="00813CA1">
            <w:pPr>
              <w:rPr>
                <w:rFonts w:ascii="Arial" w:hAnsi="Arial" w:cs="Arial"/>
                <w:lang w:val="en-NZ"/>
              </w:rPr>
            </w:pPr>
            <w:r w:rsidRPr="00000CB9">
              <w:rPr>
                <w:rFonts w:ascii="Arial" w:hAnsi="Arial" w:cs="Arial"/>
                <w:lang w:val="en-NZ"/>
              </w:rPr>
              <w:t>Attendance</w:t>
            </w:r>
          </w:p>
        </w:tc>
      </w:tr>
      <w:tr w:rsidR="00813CA1" w:rsidRPr="00346284" w14:paraId="187D3447" w14:textId="77777777" w:rsidTr="00000CB9">
        <w:trPr>
          <w:trHeight w:val="1456"/>
        </w:trPr>
        <w:tc>
          <w:tcPr>
            <w:tcW w:w="660" w:type="pct"/>
            <w:hideMark/>
          </w:tcPr>
          <w:p w14:paraId="38C7674B" w14:textId="77777777" w:rsidR="00813CA1" w:rsidRPr="00000CB9" w:rsidRDefault="00813CA1" w:rsidP="00813CA1">
            <w:pPr>
              <w:rPr>
                <w:rFonts w:ascii="Arial" w:hAnsi="Arial" w:cs="Arial"/>
                <w:lang w:val="en-NZ"/>
              </w:rPr>
            </w:pPr>
            <w:r w:rsidRPr="00000CB9">
              <w:rPr>
                <w:rFonts w:ascii="Arial" w:hAnsi="Arial" w:cs="Arial"/>
                <w:lang w:val="en-NZ"/>
              </w:rPr>
              <w:lastRenderedPageBreak/>
              <w:t>MS02007</w:t>
            </w:r>
          </w:p>
        </w:tc>
        <w:tc>
          <w:tcPr>
            <w:tcW w:w="957" w:type="pct"/>
            <w:hideMark/>
          </w:tcPr>
          <w:p w14:paraId="54D286E1" w14:textId="77777777" w:rsidR="00813CA1" w:rsidRPr="00000CB9" w:rsidRDefault="00813CA1" w:rsidP="00813CA1">
            <w:pPr>
              <w:rPr>
                <w:rFonts w:ascii="Arial" w:hAnsi="Arial" w:cs="Arial"/>
                <w:lang w:val="en-NZ"/>
              </w:rPr>
            </w:pPr>
            <w:r w:rsidRPr="00000CB9">
              <w:rPr>
                <w:rFonts w:ascii="Arial" w:hAnsi="Arial" w:cs="Arial"/>
                <w:lang w:val="en-NZ"/>
              </w:rPr>
              <w:t>Colonoscopy - Any health specialty</w:t>
            </w:r>
          </w:p>
        </w:tc>
        <w:tc>
          <w:tcPr>
            <w:tcW w:w="2578" w:type="pct"/>
            <w:hideMark/>
          </w:tcPr>
          <w:p w14:paraId="2B8D4F64" w14:textId="48ED9491" w:rsidR="00813CA1" w:rsidRPr="00000CB9" w:rsidRDefault="00813CA1" w:rsidP="00813CA1">
            <w:pPr>
              <w:rPr>
                <w:rFonts w:ascii="Arial" w:hAnsi="Arial" w:cs="Arial"/>
                <w:lang w:val="en-NZ"/>
              </w:rPr>
            </w:pPr>
            <w:r w:rsidRPr="00000CB9">
              <w:rPr>
                <w:rFonts w:ascii="Arial" w:hAnsi="Arial" w:cs="Arial"/>
                <w:lang w:val="en-NZ"/>
              </w:rPr>
              <w:t xml:space="preserve">Colonoscopy performed as an outpatient or elective day case regardless of the Health Specialty providing the service, and not provided under any other purchase unit. Additional Information is found in the NZ </w:t>
            </w:r>
            <w:proofErr w:type="spellStart"/>
            <w:r w:rsidRPr="00000CB9">
              <w:rPr>
                <w:rFonts w:ascii="Arial" w:hAnsi="Arial" w:cs="Arial"/>
                <w:lang w:val="en-NZ"/>
              </w:rPr>
              <w:t>Casemix</w:t>
            </w:r>
            <w:proofErr w:type="spellEnd"/>
            <w:r w:rsidRPr="00000CB9">
              <w:rPr>
                <w:rFonts w:ascii="Arial" w:hAnsi="Arial" w:cs="Arial"/>
                <w:lang w:val="en-NZ"/>
              </w:rPr>
              <w:t xml:space="preserve"> Framework for Publicly Funded Hospitals which gets updated every year.</w:t>
            </w:r>
          </w:p>
        </w:tc>
        <w:tc>
          <w:tcPr>
            <w:tcW w:w="805" w:type="pct"/>
            <w:hideMark/>
          </w:tcPr>
          <w:p w14:paraId="672B6726" w14:textId="77777777" w:rsidR="00813CA1" w:rsidRPr="00000CB9" w:rsidRDefault="00813CA1" w:rsidP="00813CA1">
            <w:pPr>
              <w:rPr>
                <w:rFonts w:ascii="Arial" w:hAnsi="Arial" w:cs="Arial"/>
                <w:lang w:val="en-NZ"/>
              </w:rPr>
            </w:pPr>
            <w:r w:rsidRPr="00000CB9">
              <w:rPr>
                <w:rFonts w:ascii="Arial" w:hAnsi="Arial" w:cs="Arial"/>
                <w:lang w:val="en-NZ"/>
              </w:rPr>
              <w:t>Attendance</w:t>
            </w:r>
          </w:p>
        </w:tc>
      </w:tr>
      <w:tr w:rsidR="00813CA1" w:rsidRPr="00346284" w14:paraId="2E86F1E7" w14:textId="77777777" w:rsidTr="00000CB9">
        <w:trPr>
          <w:trHeight w:val="1122"/>
        </w:trPr>
        <w:tc>
          <w:tcPr>
            <w:tcW w:w="660" w:type="pct"/>
          </w:tcPr>
          <w:tbl>
            <w:tblPr>
              <w:tblW w:w="11840" w:type="dxa"/>
              <w:tblLayout w:type="fixed"/>
              <w:tblLook w:val="04A0" w:firstRow="1" w:lastRow="0" w:firstColumn="1" w:lastColumn="0" w:noHBand="0" w:noVBand="1"/>
            </w:tblPr>
            <w:tblGrid>
              <w:gridCol w:w="4320"/>
              <w:gridCol w:w="4920"/>
              <w:gridCol w:w="1240"/>
              <w:gridCol w:w="1360"/>
            </w:tblGrid>
            <w:tr w:rsidR="00813CA1" w:rsidRPr="00000CB9" w14:paraId="628FA039" w14:textId="77777777" w:rsidTr="00DB7877">
              <w:trPr>
                <w:trHeight w:val="900"/>
              </w:trPr>
              <w:tc>
                <w:tcPr>
                  <w:tcW w:w="4320" w:type="dxa"/>
                  <w:vMerge w:val="restart"/>
                  <w:tcBorders>
                    <w:top w:val="nil"/>
                    <w:left w:val="nil"/>
                    <w:right w:val="nil"/>
                  </w:tcBorders>
                  <w:shd w:val="clear" w:color="auto" w:fill="auto"/>
                  <w:hideMark/>
                </w:tcPr>
                <w:p w14:paraId="39E7E3CB" w14:textId="3326855F" w:rsidR="00813CA1" w:rsidRPr="00000CB9" w:rsidRDefault="00813CA1" w:rsidP="00000CB9">
                  <w:pPr>
                    <w:jc w:val="both"/>
                    <w:rPr>
                      <w:rFonts w:ascii="Arial" w:hAnsi="Arial" w:cs="Arial"/>
                      <w:lang w:val="en-NZ" w:eastAsia="en-NZ"/>
                    </w:rPr>
                  </w:pPr>
                  <w:r w:rsidRPr="00000CB9">
                    <w:rPr>
                      <w:rFonts w:ascii="Arial" w:hAnsi="Arial" w:cs="Arial"/>
                      <w:lang w:val="en-NZ" w:eastAsia="en-NZ"/>
                    </w:rPr>
                    <w:t>MS02024</w:t>
                  </w:r>
                </w:p>
              </w:tc>
              <w:tc>
                <w:tcPr>
                  <w:tcW w:w="4920" w:type="dxa"/>
                  <w:tcBorders>
                    <w:top w:val="nil"/>
                    <w:left w:val="nil"/>
                    <w:bottom w:val="nil"/>
                    <w:right w:val="nil"/>
                  </w:tcBorders>
                  <w:shd w:val="clear" w:color="auto" w:fill="auto"/>
                  <w:hideMark/>
                </w:tcPr>
                <w:p w14:paraId="101AC49B" w14:textId="77777777" w:rsidR="00813CA1" w:rsidRPr="00000CB9" w:rsidRDefault="00813CA1" w:rsidP="00813CA1">
                  <w:pPr>
                    <w:rPr>
                      <w:rFonts w:ascii="Arial" w:hAnsi="Arial" w:cs="Arial"/>
                      <w:lang w:val="en-NZ" w:eastAsia="en-NZ"/>
                    </w:rPr>
                  </w:pPr>
                  <w:r w:rsidRPr="00000CB9">
                    <w:rPr>
                      <w:rFonts w:ascii="Arial" w:hAnsi="Arial" w:cs="Arial"/>
                      <w:lang w:val="en-NZ" w:eastAsia="en-NZ"/>
                    </w:rPr>
                    <w:t xml:space="preserve">Surgical removal of lesion(s), excision of lesion(s), </w:t>
                  </w:r>
                  <w:proofErr w:type="gramStart"/>
                  <w:r w:rsidRPr="00000CB9">
                    <w:rPr>
                      <w:rFonts w:ascii="Arial" w:hAnsi="Arial" w:cs="Arial"/>
                      <w:lang w:val="en-NZ" w:eastAsia="en-NZ"/>
                    </w:rPr>
                    <w:t>biopsy</w:t>
                  </w:r>
                  <w:proofErr w:type="gramEnd"/>
                  <w:r w:rsidRPr="00000CB9">
                    <w:rPr>
                      <w:rFonts w:ascii="Arial" w:hAnsi="Arial" w:cs="Arial"/>
                      <w:lang w:val="en-NZ" w:eastAsia="en-NZ"/>
                    </w:rPr>
                    <w:t xml:space="preserve"> of skin lesion under local anaesthetic performed as an outpatient or day case.</w:t>
                  </w:r>
                </w:p>
              </w:tc>
              <w:tc>
                <w:tcPr>
                  <w:tcW w:w="1240" w:type="dxa"/>
                  <w:tcBorders>
                    <w:top w:val="nil"/>
                    <w:left w:val="nil"/>
                    <w:bottom w:val="nil"/>
                    <w:right w:val="nil"/>
                  </w:tcBorders>
                  <w:shd w:val="clear" w:color="auto" w:fill="auto"/>
                  <w:hideMark/>
                </w:tcPr>
                <w:p w14:paraId="6DF52A53" w14:textId="77777777" w:rsidR="00813CA1" w:rsidRPr="00000CB9" w:rsidRDefault="00813CA1" w:rsidP="00813CA1">
                  <w:pPr>
                    <w:rPr>
                      <w:rFonts w:ascii="Arial" w:hAnsi="Arial" w:cs="Arial"/>
                      <w:lang w:val="en-NZ" w:eastAsia="en-NZ"/>
                    </w:rPr>
                  </w:pPr>
                  <w:r w:rsidRPr="00000CB9">
                    <w:rPr>
                      <w:rFonts w:ascii="Arial" w:hAnsi="Arial" w:cs="Arial"/>
                      <w:lang w:val="en-NZ" w:eastAsia="en-NZ"/>
                    </w:rPr>
                    <w:t>Attendance</w:t>
                  </w:r>
                </w:p>
              </w:tc>
              <w:tc>
                <w:tcPr>
                  <w:tcW w:w="1360" w:type="dxa"/>
                  <w:tcBorders>
                    <w:top w:val="nil"/>
                    <w:left w:val="nil"/>
                    <w:bottom w:val="nil"/>
                    <w:right w:val="nil"/>
                  </w:tcBorders>
                  <w:shd w:val="clear" w:color="auto" w:fill="auto"/>
                  <w:hideMark/>
                </w:tcPr>
                <w:p w14:paraId="71659EF2" w14:textId="77777777" w:rsidR="00813CA1" w:rsidRPr="00000CB9" w:rsidRDefault="00813CA1" w:rsidP="00813CA1">
                  <w:pPr>
                    <w:rPr>
                      <w:rFonts w:ascii="Arial" w:hAnsi="Arial" w:cs="Arial"/>
                      <w:lang w:val="en-NZ" w:eastAsia="en-NZ"/>
                    </w:rPr>
                  </w:pPr>
                  <w:r w:rsidRPr="00000CB9">
                    <w:rPr>
                      <w:rFonts w:ascii="Arial" w:hAnsi="Arial" w:cs="Arial"/>
                      <w:lang w:val="en-NZ" w:eastAsia="en-NZ"/>
                    </w:rPr>
                    <w:t>NNPAC or NMDS</w:t>
                  </w:r>
                </w:p>
              </w:tc>
            </w:tr>
            <w:tr w:rsidR="00813CA1" w:rsidRPr="00000CB9" w14:paraId="40E393F1" w14:textId="77777777" w:rsidTr="00DB7877">
              <w:trPr>
                <w:trHeight w:val="1200"/>
              </w:trPr>
              <w:tc>
                <w:tcPr>
                  <w:tcW w:w="4320" w:type="dxa"/>
                  <w:vMerge/>
                  <w:tcBorders>
                    <w:left w:val="nil"/>
                    <w:bottom w:val="nil"/>
                    <w:right w:val="nil"/>
                  </w:tcBorders>
                  <w:shd w:val="clear" w:color="auto" w:fill="auto"/>
                  <w:hideMark/>
                </w:tcPr>
                <w:p w14:paraId="39D74C0B" w14:textId="10D204B2" w:rsidR="00813CA1" w:rsidRPr="00000CB9" w:rsidRDefault="00813CA1" w:rsidP="00813CA1">
                  <w:pPr>
                    <w:rPr>
                      <w:rFonts w:ascii="Arial" w:hAnsi="Arial" w:cs="Arial"/>
                      <w:lang w:val="en-NZ" w:eastAsia="en-NZ"/>
                    </w:rPr>
                  </w:pPr>
                </w:p>
              </w:tc>
              <w:tc>
                <w:tcPr>
                  <w:tcW w:w="4920" w:type="dxa"/>
                  <w:tcBorders>
                    <w:top w:val="nil"/>
                    <w:left w:val="nil"/>
                    <w:bottom w:val="nil"/>
                    <w:right w:val="nil"/>
                  </w:tcBorders>
                  <w:shd w:val="clear" w:color="auto" w:fill="auto"/>
                  <w:hideMark/>
                </w:tcPr>
                <w:p w14:paraId="138D1ACA" w14:textId="77777777" w:rsidR="00813CA1" w:rsidRPr="00000CB9" w:rsidRDefault="00813CA1" w:rsidP="00813CA1">
                  <w:pPr>
                    <w:rPr>
                      <w:rFonts w:ascii="Arial" w:hAnsi="Arial" w:cs="Arial"/>
                      <w:lang w:val="en-NZ" w:eastAsia="en-NZ"/>
                    </w:rPr>
                  </w:pPr>
                  <w:r w:rsidRPr="00000CB9">
                    <w:rPr>
                      <w:rFonts w:ascii="Arial" w:hAnsi="Arial" w:cs="Arial"/>
                      <w:lang w:val="en-NZ" w:eastAsia="en-NZ"/>
                    </w:rPr>
                    <w:t xml:space="preserve">Attendance for an assessment by more than one member of an IDT to make recommendations for further treatment and management of a </w:t>
                  </w:r>
                  <w:proofErr w:type="spellStart"/>
                  <w:r w:rsidRPr="00000CB9">
                    <w:rPr>
                      <w:rFonts w:ascii="Arial" w:hAnsi="Arial" w:cs="Arial"/>
                      <w:lang w:val="en-NZ" w:eastAsia="en-NZ"/>
                    </w:rPr>
                    <w:t>pateint's</w:t>
                  </w:r>
                  <w:proofErr w:type="spellEnd"/>
                  <w:r w:rsidRPr="00000CB9">
                    <w:rPr>
                      <w:rFonts w:ascii="Arial" w:hAnsi="Arial" w:cs="Arial"/>
                      <w:lang w:val="en-NZ" w:eastAsia="en-NZ"/>
                    </w:rPr>
                    <w:t xml:space="preserve"> condition</w:t>
                  </w:r>
                </w:p>
              </w:tc>
              <w:tc>
                <w:tcPr>
                  <w:tcW w:w="1240" w:type="dxa"/>
                  <w:tcBorders>
                    <w:top w:val="nil"/>
                    <w:left w:val="nil"/>
                    <w:bottom w:val="nil"/>
                    <w:right w:val="nil"/>
                  </w:tcBorders>
                  <w:shd w:val="clear" w:color="auto" w:fill="auto"/>
                  <w:hideMark/>
                </w:tcPr>
                <w:p w14:paraId="2749743A" w14:textId="77777777" w:rsidR="00813CA1" w:rsidRPr="00000CB9" w:rsidRDefault="00813CA1" w:rsidP="00813CA1">
                  <w:pPr>
                    <w:rPr>
                      <w:rFonts w:ascii="Arial" w:hAnsi="Arial" w:cs="Arial"/>
                      <w:lang w:val="en-NZ" w:eastAsia="en-NZ"/>
                    </w:rPr>
                  </w:pPr>
                  <w:r w:rsidRPr="00000CB9">
                    <w:rPr>
                      <w:rFonts w:ascii="Arial" w:hAnsi="Arial" w:cs="Arial"/>
                      <w:lang w:val="en-NZ" w:eastAsia="en-NZ"/>
                    </w:rPr>
                    <w:t>Attendance</w:t>
                  </w:r>
                </w:p>
              </w:tc>
              <w:tc>
                <w:tcPr>
                  <w:tcW w:w="1360" w:type="dxa"/>
                  <w:tcBorders>
                    <w:top w:val="nil"/>
                    <w:left w:val="nil"/>
                    <w:bottom w:val="nil"/>
                    <w:right w:val="nil"/>
                  </w:tcBorders>
                  <w:shd w:val="clear" w:color="auto" w:fill="auto"/>
                  <w:hideMark/>
                </w:tcPr>
                <w:p w14:paraId="47FC9B6E" w14:textId="77777777" w:rsidR="00813CA1" w:rsidRPr="00000CB9" w:rsidRDefault="00813CA1" w:rsidP="00813CA1">
                  <w:pPr>
                    <w:rPr>
                      <w:rFonts w:ascii="Arial" w:hAnsi="Arial" w:cs="Arial"/>
                      <w:lang w:val="en-NZ" w:eastAsia="en-NZ"/>
                    </w:rPr>
                  </w:pPr>
                  <w:r w:rsidRPr="00000CB9">
                    <w:rPr>
                      <w:rFonts w:ascii="Arial" w:hAnsi="Arial" w:cs="Arial"/>
                      <w:lang w:val="en-NZ" w:eastAsia="en-NZ"/>
                    </w:rPr>
                    <w:t>NNPAC</w:t>
                  </w:r>
                </w:p>
              </w:tc>
            </w:tr>
          </w:tbl>
          <w:p w14:paraId="32222CED" w14:textId="77777777" w:rsidR="00813CA1" w:rsidRPr="00000CB9" w:rsidRDefault="00813CA1" w:rsidP="00813CA1">
            <w:pPr>
              <w:rPr>
                <w:rFonts w:ascii="Arial" w:hAnsi="Arial" w:cs="Arial"/>
                <w:lang w:val="en-NZ"/>
              </w:rPr>
            </w:pPr>
          </w:p>
        </w:tc>
        <w:tc>
          <w:tcPr>
            <w:tcW w:w="957" w:type="pct"/>
          </w:tcPr>
          <w:p w14:paraId="6422537E" w14:textId="5BBEF2FE" w:rsidR="00813CA1" w:rsidRPr="00000CB9" w:rsidRDefault="00813CA1" w:rsidP="00813CA1">
            <w:pPr>
              <w:rPr>
                <w:rFonts w:ascii="Arial" w:hAnsi="Arial" w:cs="Arial"/>
                <w:lang w:val="en-NZ"/>
              </w:rPr>
            </w:pPr>
            <w:r w:rsidRPr="00000CB9">
              <w:rPr>
                <w:rFonts w:ascii="Arial" w:hAnsi="Arial" w:cs="Arial"/>
                <w:lang w:val="en-NZ"/>
              </w:rPr>
              <w:t>Interdisciplinary team (IDT) Assessment</w:t>
            </w:r>
          </w:p>
        </w:tc>
        <w:tc>
          <w:tcPr>
            <w:tcW w:w="2578" w:type="pct"/>
          </w:tcPr>
          <w:p w14:paraId="13E9E8FC" w14:textId="1376F271" w:rsidR="00813CA1" w:rsidRPr="00000CB9" w:rsidRDefault="00813CA1" w:rsidP="00813CA1">
            <w:pPr>
              <w:rPr>
                <w:rFonts w:ascii="Arial" w:hAnsi="Arial" w:cs="Arial"/>
                <w:lang w:val="en-NZ"/>
              </w:rPr>
            </w:pPr>
            <w:r w:rsidRPr="00000CB9">
              <w:rPr>
                <w:rFonts w:ascii="Arial" w:hAnsi="Arial" w:cs="Arial"/>
                <w:lang w:val="en-NZ"/>
              </w:rPr>
              <w:t>Attendance for an assessment by more than one member of an IDT to make recommendations for further treatment and management of a patient’s condition</w:t>
            </w:r>
          </w:p>
        </w:tc>
        <w:tc>
          <w:tcPr>
            <w:tcW w:w="805" w:type="pct"/>
          </w:tcPr>
          <w:p w14:paraId="0F9BC7B8" w14:textId="29BCC477" w:rsidR="00813CA1" w:rsidRPr="00000CB9" w:rsidRDefault="00813CA1" w:rsidP="00813CA1">
            <w:pPr>
              <w:rPr>
                <w:rFonts w:ascii="Arial" w:hAnsi="Arial" w:cs="Arial"/>
                <w:lang w:val="en-NZ"/>
              </w:rPr>
            </w:pPr>
            <w:r w:rsidRPr="00000CB9">
              <w:rPr>
                <w:rFonts w:ascii="Arial" w:hAnsi="Arial" w:cs="Arial"/>
                <w:lang w:val="en-NZ"/>
              </w:rPr>
              <w:t>Attendance</w:t>
            </w:r>
          </w:p>
        </w:tc>
      </w:tr>
    </w:tbl>
    <w:p w14:paraId="1DD56BBE" w14:textId="4FCFA869" w:rsidR="00B76901" w:rsidRDefault="00B76901" w:rsidP="00684939">
      <w:pPr>
        <w:shd w:val="clear" w:color="auto" w:fill="FFFFFF"/>
        <w:ind w:left="142"/>
        <w:jc w:val="both"/>
        <w:rPr>
          <w:rFonts w:ascii="Arial" w:hAnsi="Arial" w:cs="Arial"/>
          <w:sz w:val="24"/>
          <w:szCs w:val="24"/>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7612"/>
      </w:tblGrid>
      <w:tr w:rsidR="00067B22" w:rsidRPr="00067B22" w14:paraId="335DD134" w14:textId="77777777" w:rsidTr="00C61E2E">
        <w:tc>
          <w:tcPr>
            <w:tcW w:w="1047" w:type="pct"/>
            <w:shd w:val="pct12" w:color="auto" w:fill="auto"/>
          </w:tcPr>
          <w:p w14:paraId="2E587154" w14:textId="77777777" w:rsidR="00067B22" w:rsidRPr="00067B22" w:rsidRDefault="00067B22" w:rsidP="00067B22">
            <w:pPr>
              <w:spacing w:before="120" w:after="120"/>
              <w:rPr>
                <w:rFonts w:ascii="Arial" w:hAnsi="Arial" w:cs="Arial"/>
                <w:b/>
                <w:sz w:val="24"/>
                <w:szCs w:val="24"/>
                <w:lang w:val="en-NZ"/>
              </w:rPr>
            </w:pPr>
            <w:r w:rsidRPr="00067B22">
              <w:rPr>
                <w:rFonts w:ascii="Arial" w:hAnsi="Arial" w:cs="Arial"/>
                <w:b/>
                <w:sz w:val="24"/>
                <w:szCs w:val="24"/>
                <w:lang w:val="en-NZ"/>
              </w:rPr>
              <w:t>Unit of Measure</w:t>
            </w:r>
          </w:p>
        </w:tc>
        <w:tc>
          <w:tcPr>
            <w:tcW w:w="3953" w:type="pct"/>
            <w:shd w:val="pct12" w:color="auto" w:fill="auto"/>
          </w:tcPr>
          <w:p w14:paraId="12005F89" w14:textId="77777777" w:rsidR="00067B22" w:rsidRPr="00067B22" w:rsidRDefault="00067B22" w:rsidP="00067B22">
            <w:pPr>
              <w:spacing w:before="120" w:after="120"/>
              <w:rPr>
                <w:rFonts w:ascii="Arial" w:hAnsi="Arial" w:cs="Arial"/>
                <w:b/>
                <w:sz w:val="24"/>
                <w:szCs w:val="24"/>
                <w:lang w:val="en-NZ"/>
              </w:rPr>
            </w:pPr>
            <w:r w:rsidRPr="00067B22">
              <w:rPr>
                <w:rFonts w:ascii="Arial" w:hAnsi="Arial" w:cs="Arial"/>
                <w:b/>
                <w:sz w:val="24"/>
                <w:szCs w:val="24"/>
                <w:lang w:val="en-NZ"/>
              </w:rPr>
              <w:t>Unit of Measure Definition</w:t>
            </w:r>
          </w:p>
        </w:tc>
      </w:tr>
      <w:tr w:rsidR="00067B22" w:rsidRPr="00067B22" w14:paraId="17FB6E22" w14:textId="77777777" w:rsidTr="00C61E2E">
        <w:tc>
          <w:tcPr>
            <w:tcW w:w="1047" w:type="pct"/>
            <w:shd w:val="clear" w:color="auto" w:fill="auto"/>
          </w:tcPr>
          <w:p w14:paraId="312F87D7" w14:textId="77777777" w:rsidR="00067B22" w:rsidRPr="00067B22" w:rsidRDefault="00067B22" w:rsidP="00067B22">
            <w:pPr>
              <w:spacing w:before="60"/>
              <w:rPr>
                <w:rFonts w:ascii="Arial" w:hAnsi="Arial" w:cs="Arial"/>
                <w:sz w:val="22"/>
                <w:szCs w:val="22"/>
                <w:lang w:val="en-NZ"/>
              </w:rPr>
            </w:pPr>
            <w:r w:rsidRPr="00067B22">
              <w:rPr>
                <w:rFonts w:ascii="Arial" w:hAnsi="Arial" w:cs="Arial"/>
                <w:sz w:val="22"/>
                <w:szCs w:val="22"/>
                <w:lang w:val="en-NZ"/>
              </w:rPr>
              <w:t>Attendance</w:t>
            </w:r>
          </w:p>
        </w:tc>
        <w:tc>
          <w:tcPr>
            <w:tcW w:w="3953" w:type="pct"/>
            <w:shd w:val="clear" w:color="auto" w:fill="auto"/>
          </w:tcPr>
          <w:p w14:paraId="077B15AE" w14:textId="77777777" w:rsidR="00067B22" w:rsidRPr="00067B22" w:rsidRDefault="00067B22" w:rsidP="00067B22">
            <w:pPr>
              <w:spacing w:before="60"/>
              <w:rPr>
                <w:rFonts w:ascii="Arial" w:hAnsi="Arial" w:cs="Arial"/>
                <w:sz w:val="22"/>
                <w:szCs w:val="22"/>
                <w:lang w:val="en-NZ"/>
              </w:rPr>
            </w:pPr>
            <w:r w:rsidRPr="00067B22">
              <w:rPr>
                <w:rFonts w:ascii="Arial" w:hAnsi="Arial" w:cs="Arial"/>
                <w:sz w:val="22"/>
                <w:szCs w:val="22"/>
                <w:lang w:val="en-NZ"/>
              </w:rPr>
              <w:t>Number of attendances to a clinic/department/acute assessment unit or domiciliary.</w:t>
            </w:r>
          </w:p>
        </w:tc>
      </w:tr>
      <w:tr w:rsidR="00067B22" w:rsidRPr="00067B22" w14:paraId="50B5EE6E" w14:textId="77777777" w:rsidTr="00C61E2E">
        <w:tc>
          <w:tcPr>
            <w:tcW w:w="1047" w:type="pct"/>
            <w:shd w:val="clear" w:color="auto" w:fill="auto"/>
          </w:tcPr>
          <w:p w14:paraId="1B6F35EC" w14:textId="6E88DA1C" w:rsidR="00067B22" w:rsidRPr="00067B22" w:rsidRDefault="00067B22" w:rsidP="00067B22">
            <w:pPr>
              <w:spacing w:before="60"/>
              <w:rPr>
                <w:rFonts w:ascii="Arial" w:hAnsi="Arial" w:cs="Arial"/>
                <w:sz w:val="22"/>
                <w:szCs w:val="22"/>
                <w:lang w:val="en-NZ"/>
              </w:rPr>
            </w:pPr>
            <w:r>
              <w:rPr>
                <w:rFonts w:ascii="Arial" w:hAnsi="Arial" w:cs="Arial"/>
                <w:sz w:val="22"/>
                <w:szCs w:val="22"/>
                <w:lang w:val="en-NZ"/>
              </w:rPr>
              <w:t>Cost Weighted Discharge</w:t>
            </w:r>
          </w:p>
        </w:tc>
        <w:tc>
          <w:tcPr>
            <w:tcW w:w="3953" w:type="pct"/>
            <w:shd w:val="clear" w:color="auto" w:fill="auto"/>
          </w:tcPr>
          <w:p w14:paraId="14746791" w14:textId="2F12935E" w:rsidR="00067B22" w:rsidRPr="00067B22" w:rsidRDefault="00067B22" w:rsidP="00067B22">
            <w:pPr>
              <w:spacing w:before="60"/>
              <w:rPr>
                <w:rFonts w:ascii="Arial" w:hAnsi="Arial" w:cs="Arial"/>
                <w:sz w:val="22"/>
                <w:szCs w:val="22"/>
                <w:lang w:val="en-NZ"/>
              </w:rPr>
            </w:pPr>
            <w:r w:rsidRPr="00067B22">
              <w:rPr>
                <w:rFonts w:ascii="Arial" w:hAnsi="Arial" w:cs="Arial"/>
                <w:sz w:val="22"/>
                <w:szCs w:val="22"/>
                <w:lang w:val="en-US"/>
              </w:rPr>
              <w:t>A numerical measure representing the relative cost of treating a patient through to discharge</w:t>
            </w:r>
          </w:p>
        </w:tc>
      </w:tr>
      <w:tr w:rsidR="00067B22" w:rsidRPr="00067B22" w14:paraId="3F07B5B7" w14:textId="77777777" w:rsidTr="00C61E2E">
        <w:tc>
          <w:tcPr>
            <w:tcW w:w="1047" w:type="pct"/>
            <w:shd w:val="clear" w:color="auto" w:fill="auto"/>
          </w:tcPr>
          <w:p w14:paraId="63541F1E" w14:textId="77777777" w:rsidR="00067B22" w:rsidRPr="00067B22" w:rsidRDefault="00067B22" w:rsidP="00067B22">
            <w:pPr>
              <w:spacing w:before="60"/>
              <w:rPr>
                <w:rFonts w:ascii="Arial" w:hAnsi="Arial" w:cs="Arial"/>
                <w:sz w:val="22"/>
                <w:szCs w:val="22"/>
                <w:lang w:val="en-NZ"/>
              </w:rPr>
            </w:pPr>
            <w:r w:rsidRPr="00067B22">
              <w:rPr>
                <w:rFonts w:ascii="Arial" w:hAnsi="Arial" w:cs="Arial"/>
                <w:sz w:val="22"/>
                <w:szCs w:val="22"/>
                <w:lang w:val="en-NZ"/>
              </w:rPr>
              <w:t>Procedure</w:t>
            </w:r>
          </w:p>
        </w:tc>
        <w:tc>
          <w:tcPr>
            <w:tcW w:w="3953" w:type="pct"/>
            <w:shd w:val="clear" w:color="auto" w:fill="auto"/>
          </w:tcPr>
          <w:p w14:paraId="2D3AACE6" w14:textId="5A97EACF" w:rsidR="00067B22" w:rsidRPr="00067B22" w:rsidRDefault="00067B22" w:rsidP="00067B22">
            <w:pPr>
              <w:spacing w:before="60"/>
              <w:rPr>
                <w:rFonts w:ascii="Arial" w:hAnsi="Arial" w:cs="Arial"/>
                <w:sz w:val="22"/>
                <w:szCs w:val="22"/>
                <w:lang w:val="en-NZ"/>
              </w:rPr>
            </w:pPr>
            <w:r w:rsidRPr="00067B22">
              <w:rPr>
                <w:rFonts w:ascii="Arial" w:hAnsi="Arial" w:cs="Arial"/>
                <w:sz w:val="22"/>
                <w:szCs w:val="22"/>
                <w:lang w:val="en-NZ"/>
              </w:rPr>
              <w:t>The number of individual operative/diagnostic/assessment procedures in the period (period is annual 1st July - 30th June).</w:t>
            </w:r>
          </w:p>
        </w:tc>
      </w:tr>
      <w:tr w:rsidR="00067B22" w:rsidRPr="00067B22" w14:paraId="40BB4225" w14:textId="77777777" w:rsidTr="00C61E2E">
        <w:tc>
          <w:tcPr>
            <w:tcW w:w="1047" w:type="pct"/>
            <w:shd w:val="clear" w:color="auto" w:fill="auto"/>
          </w:tcPr>
          <w:p w14:paraId="32A83EBA" w14:textId="6AE56DF7" w:rsidR="00067B22" w:rsidRPr="00067B22" w:rsidRDefault="00067B22" w:rsidP="00067B22">
            <w:pPr>
              <w:spacing w:before="60"/>
              <w:rPr>
                <w:rFonts w:ascii="Arial" w:hAnsi="Arial" w:cs="Arial"/>
                <w:sz w:val="22"/>
                <w:szCs w:val="22"/>
                <w:lang w:val="en-NZ"/>
              </w:rPr>
            </w:pPr>
            <w:r>
              <w:rPr>
                <w:rFonts w:ascii="Arial" w:hAnsi="Arial" w:cs="Arial"/>
                <w:sz w:val="22"/>
                <w:szCs w:val="22"/>
                <w:lang w:val="en-NZ"/>
              </w:rPr>
              <w:t>Treatment</w:t>
            </w:r>
          </w:p>
        </w:tc>
        <w:tc>
          <w:tcPr>
            <w:tcW w:w="3953" w:type="pct"/>
            <w:shd w:val="clear" w:color="auto" w:fill="auto"/>
          </w:tcPr>
          <w:p w14:paraId="7B7B355E" w14:textId="2F919238" w:rsidR="00067B22" w:rsidRPr="00067B22" w:rsidRDefault="00067B22" w:rsidP="00067B22">
            <w:pPr>
              <w:spacing w:before="60"/>
              <w:rPr>
                <w:rFonts w:ascii="Arial" w:hAnsi="Arial" w:cs="Arial"/>
                <w:sz w:val="22"/>
                <w:szCs w:val="22"/>
                <w:lang w:val="en-NZ"/>
              </w:rPr>
            </w:pPr>
            <w:r w:rsidRPr="00067B22">
              <w:rPr>
                <w:rFonts w:ascii="Arial" w:hAnsi="Arial" w:cs="Arial"/>
                <w:sz w:val="22"/>
                <w:szCs w:val="22"/>
                <w:lang w:val="en-NZ"/>
              </w:rPr>
              <w:t>Number of attendances for treatment.</w:t>
            </w:r>
          </w:p>
        </w:tc>
      </w:tr>
      <w:tr w:rsidR="00067B22" w:rsidRPr="00067B22" w14:paraId="326E49B5" w14:textId="77777777" w:rsidTr="00C61E2E">
        <w:tc>
          <w:tcPr>
            <w:tcW w:w="1047" w:type="pct"/>
            <w:tcBorders>
              <w:top w:val="single" w:sz="4" w:space="0" w:color="auto"/>
              <w:left w:val="single" w:sz="4" w:space="0" w:color="auto"/>
              <w:bottom w:val="single" w:sz="4" w:space="0" w:color="auto"/>
              <w:right w:val="single" w:sz="4" w:space="0" w:color="auto"/>
            </w:tcBorders>
            <w:shd w:val="clear" w:color="auto" w:fill="auto"/>
          </w:tcPr>
          <w:p w14:paraId="78B78568" w14:textId="77777777" w:rsidR="00067B22" w:rsidRPr="00067B22" w:rsidRDefault="00067B22" w:rsidP="00067B22">
            <w:pPr>
              <w:spacing w:before="60"/>
              <w:rPr>
                <w:rFonts w:ascii="Arial" w:hAnsi="Arial" w:cs="Arial"/>
                <w:sz w:val="22"/>
                <w:szCs w:val="22"/>
                <w:lang w:val="en-NZ"/>
              </w:rPr>
            </w:pPr>
            <w:r w:rsidRPr="00067B22">
              <w:rPr>
                <w:rFonts w:ascii="Arial" w:hAnsi="Arial" w:cs="Arial"/>
                <w:sz w:val="22"/>
                <w:szCs w:val="22"/>
                <w:lang w:val="en-NZ"/>
              </w:rPr>
              <w:t>Written plan of care</w:t>
            </w:r>
          </w:p>
        </w:tc>
        <w:tc>
          <w:tcPr>
            <w:tcW w:w="3953" w:type="pct"/>
            <w:tcBorders>
              <w:top w:val="single" w:sz="4" w:space="0" w:color="auto"/>
              <w:left w:val="single" w:sz="4" w:space="0" w:color="auto"/>
              <w:bottom w:val="single" w:sz="4" w:space="0" w:color="auto"/>
              <w:right w:val="single" w:sz="4" w:space="0" w:color="auto"/>
            </w:tcBorders>
            <w:shd w:val="clear" w:color="auto" w:fill="auto"/>
          </w:tcPr>
          <w:p w14:paraId="3385E350" w14:textId="77777777" w:rsidR="00067B22" w:rsidRPr="00067B22" w:rsidRDefault="00067B22" w:rsidP="00067B22">
            <w:pPr>
              <w:spacing w:before="60"/>
              <w:rPr>
                <w:rFonts w:ascii="Arial" w:hAnsi="Arial" w:cs="Arial"/>
                <w:sz w:val="22"/>
                <w:szCs w:val="22"/>
                <w:lang w:val="en-NZ"/>
              </w:rPr>
            </w:pPr>
            <w:r w:rsidRPr="00067B22">
              <w:rPr>
                <w:rFonts w:ascii="Arial" w:hAnsi="Arial" w:cs="Arial"/>
                <w:sz w:val="22"/>
                <w:szCs w:val="22"/>
                <w:lang w:val="en-NZ"/>
              </w:rPr>
              <w:t>Written plan of care provided by the specialist to the referring GP</w:t>
            </w:r>
          </w:p>
        </w:tc>
      </w:tr>
    </w:tbl>
    <w:p w14:paraId="7CF722B5" w14:textId="77777777" w:rsidR="00000CB9" w:rsidRDefault="00000CB9" w:rsidP="00000CB9">
      <w:pPr>
        <w:shd w:val="clear" w:color="auto" w:fill="FFFFFF"/>
        <w:rPr>
          <w:rFonts w:ascii="Arial" w:hAnsi="Arial" w:cs="Arial"/>
          <w:sz w:val="24"/>
          <w:szCs w:val="24"/>
          <w:shd w:val="clear" w:color="auto" w:fill="FFFFFF"/>
          <w:lang w:val="en-US"/>
        </w:rPr>
      </w:pPr>
    </w:p>
    <w:p w14:paraId="08202464" w14:textId="1C60199C" w:rsidR="00684939" w:rsidRPr="002C49FD" w:rsidRDefault="00684939" w:rsidP="00000CB9">
      <w:pPr>
        <w:shd w:val="clear" w:color="auto" w:fill="FFFFFF"/>
        <w:rPr>
          <w:rFonts w:ascii="Arial" w:hAnsi="Arial" w:cs="Arial"/>
          <w:shd w:val="clear" w:color="auto" w:fill="FFFFFF"/>
        </w:rPr>
      </w:pPr>
      <w:r w:rsidRPr="002C49FD">
        <w:rPr>
          <w:rFonts w:ascii="Arial" w:hAnsi="Arial" w:cs="Arial"/>
          <w:sz w:val="24"/>
          <w:szCs w:val="24"/>
          <w:shd w:val="clear" w:color="auto" w:fill="FFFFFF"/>
          <w:lang w:val="en-US"/>
        </w:rPr>
        <w:t xml:space="preserve">The </w:t>
      </w:r>
      <w:r>
        <w:rPr>
          <w:rFonts w:ascii="Arial" w:hAnsi="Arial" w:cs="Arial"/>
          <w:sz w:val="24"/>
          <w:szCs w:val="24"/>
          <w:shd w:val="clear" w:color="auto" w:fill="FFFFFF"/>
          <w:lang w:val="en-US"/>
        </w:rPr>
        <w:t>S</w:t>
      </w:r>
      <w:r w:rsidRPr="002C49FD">
        <w:rPr>
          <w:rFonts w:ascii="Arial" w:hAnsi="Arial" w:cs="Arial"/>
          <w:sz w:val="24"/>
          <w:szCs w:val="24"/>
          <w:shd w:val="clear" w:color="auto" w:fill="FFFFFF"/>
          <w:lang w:val="en-US"/>
        </w:rPr>
        <w:t xml:space="preserve">ervice must comply with the requirements of national data collections where </w:t>
      </w:r>
      <w:r w:rsidR="00000CB9">
        <w:rPr>
          <w:rFonts w:ascii="Arial" w:hAnsi="Arial" w:cs="Arial"/>
          <w:sz w:val="24"/>
          <w:szCs w:val="24"/>
          <w:shd w:val="clear" w:color="auto" w:fill="FFFFFF"/>
          <w:lang w:val="en-US"/>
        </w:rPr>
        <w:t>applicable</w:t>
      </w:r>
      <w:r w:rsidRPr="002C49FD">
        <w:rPr>
          <w:rFonts w:ascii="Arial" w:hAnsi="Arial" w:cs="Arial"/>
          <w:sz w:val="24"/>
          <w:szCs w:val="24"/>
          <w:shd w:val="clear" w:color="auto" w:fill="FFFFFF"/>
          <w:lang w:val="en-US"/>
        </w:rPr>
        <w:t>.</w:t>
      </w:r>
    </w:p>
    <w:p w14:paraId="5420C00E" w14:textId="77777777" w:rsidR="00474F30" w:rsidRDefault="00474F30"/>
    <w:sectPr w:rsidR="00474F30" w:rsidSect="001040D7">
      <w:headerReference w:type="default" r:id="rId10"/>
      <w:footerReference w:type="even" r:id="rId11"/>
      <w:footerReference w:type="default" r:id="rId12"/>
      <w:pgSz w:w="11906" w:h="16838"/>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9C564" w14:textId="77777777" w:rsidR="00000CB9" w:rsidRDefault="00000CB9" w:rsidP="00243195">
      <w:r>
        <w:separator/>
      </w:r>
    </w:p>
  </w:endnote>
  <w:endnote w:type="continuationSeparator" w:id="0">
    <w:p w14:paraId="3538AA58" w14:textId="77777777" w:rsidR="00000CB9" w:rsidRDefault="00000CB9" w:rsidP="0024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DEBDB" w14:textId="77777777" w:rsidR="00000CB9" w:rsidRDefault="00000CB9" w:rsidP="001040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1E13FD" w14:textId="77777777" w:rsidR="00000CB9" w:rsidRDefault="00000CB9" w:rsidP="001040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6F6F7" w14:textId="77777777" w:rsidR="00000CB9" w:rsidRDefault="00000CB9" w:rsidP="001040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1E2E">
      <w:rPr>
        <w:rStyle w:val="PageNumber"/>
        <w:noProof/>
      </w:rPr>
      <w:t>6</w:t>
    </w:r>
    <w:r>
      <w:rPr>
        <w:rStyle w:val="PageNumber"/>
      </w:rPr>
      <w:fldChar w:fldCharType="end"/>
    </w:r>
  </w:p>
  <w:p w14:paraId="481D398C" w14:textId="3E9EEABA" w:rsidR="00000CB9" w:rsidRDefault="00000CB9" w:rsidP="001040D7">
    <w:pPr>
      <w:pStyle w:val="Footer"/>
      <w:pBdr>
        <w:top w:val="single" w:sz="6" w:space="1" w:color="auto"/>
      </w:pBdr>
      <w:rPr>
        <w:rFonts w:ascii="Arial Mäori" w:hAnsi="Arial Mäori"/>
      </w:rPr>
    </w:pPr>
    <w:r>
      <w:rPr>
        <w:rFonts w:ascii="Arial Mäori" w:hAnsi="Arial Mäori"/>
      </w:rPr>
      <w:t xml:space="preserve">Specialist Medical and Surgical Services - tier two </w:t>
    </w:r>
    <w:r w:rsidRPr="007F25B8">
      <w:rPr>
        <w:rFonts w:ascii="Arial Mäori" w:hAnsi="Arial Mäori"/>
      </w:rPr>
      <w:t>General Surgery</w:t>
    </w:r>
    <w:r>
      <w:rPr>
        <w:rFonts w:ascii="Arial Mäori" w:hAnsi="Arial Mäori"/>
      </w:rPr>
      <w:t xml:space="preserve"> service specification. </w:t>
    </w:r>
  </w:p>
  <w:p w14:paraId="0DA60C10" w14:textId="7DF1FD70" w:rsidR="00000CB9" w:rsidRDefault="00000CB9" w:rsidP="008F3EC0">
    <w:pPr>
      <w:pStyle w:val="Footer"/>
      <w:pBdr>
        <w:top w:val="single" w:sz="6" w:space="1" w:color="auto"/>
      </w:pBdr>
      <w:rPr>
        <w:rFonts w:ascii="Arial Mäori" w:hAnsi="Arial Mäori"/>
      </w:rPr>
    </w:pPr>
    <w:r>
      <w:rPr>
        <w:rFonts w:ascii="Arial Mäori" w:hAnsi="Arial Mäori"/>
      </w:rPr>
      <w:t xml:space="preserve">November 2016 </w:t>
    </w:r>
  </w:p>
  <w:p w14:paraId="3443F176" w14:textId="36298AA5" w:rsidR="00000CB9" w:rsidRPr="007F25B8" w:rsidRDefault="00000CB9" w:rsidP="008F3EC0">
    <w:pPr>
      <w:pStyle w:val="Footer"/>
      <w:pBdr>
        <w:top w:val="single" w:sz="6" w:space="1" w:color="auto"/>
      </w:pBdr>
      <w:rPr>
        <w:rFonts w:ascii="Arial Mäori" w:hAnsi="Arial Mäori"/>
      </w:rPr>
    </w:pPr>
    <w:r w:rsidRPr="007F25B8">
      <w:rPr>
        <w:rFonts w:ascii="Arial Mäori" w:hAnsi="Arial Mäori"/>
      </w:rPr>
      <w:t xml:space="preserve">Nationwide Service </w:t>
    </w:r>
    <w:r>
      <w:rPr>
        <w:rFonts w:ascii="Arial Mäori" w:hAnsi="Arial Mäori"/>
      </w:rPr>
      <w:t xml:space="preserve">Framework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4D421" w14:textId="77777777" w:rsidR="00000CB9" w:rsidRDefault="00000CB9" w:rsidP="00243195">
      <w:r>
        <w:separator/>
      </w:r>
    </w:p>
  </w:footnote>
  <w:footnote w:type="continuationSeparator" w:id="0">
    <w:p w14:paraId="69BCB5EA" w14:textId="77777777" w:rsidR="00000CB9" w:rsidRDefault="00000CB9" w:rsidP="00243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892969"/>
      <w:docPartObj>
        <w:docPartGallery w:val="Page Numbers (Top of Page)"/>
        <w:docPartUnique/>
      </w:docPartObj>
    </w:sdtPr>
    <w:sdtEndPr>
      <w:rPr>
        <w:noProof/>
      </w:rPr>
    </w:sdtEndPr>
    <w:sdtContent>
      <w:p w14:paraId="640F76F2" w14:textId="4D488D7D" w:rsidR="00000CB9" w:rsidRDefault="00000CB9">
        <w:pPr>
          <w:pStyle w:val="Header"/>
          <w:jc w:val="right"/>
        </w:pPr>
        <w:r>
          <w:fldChar w:fldCharType="begin"/>
        </w:r>
        <w:r>
          <w:instrText xml:space="preserve"> PAGE   \* MERGEFORMAT </w:instrText>
        </w:r>
        <w:r>
          <w:fldChar w:fldCharType="separate"/>
        </w:r>
        <w:r w:rsidR="00C61E2E">
          <w:rPr>
            <w:noProof/>
          </w:rPr>
          <w:t>6</w:t>
        </w:r>
        <w:r>
          <w:rPr>
            <w:noProof/>
          </w:rPr>
          <w:fldChar w:fldCharType="end"/>
        </w:r>
      </w:p>
    </w:sdtContent>
  </w:sdt>
  <w:p w14:paraId="2778CED7" w14:textId="77777777" w:rsidR="00000CB9" w:rsidRDefault="00000C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B19C4D04"/>
    <w:lvl w:ilvl="0">
      <w:start w:val="1"/>
      <w:numFmt w:val="decimal"/>
      <w:pStyle w:val="Heading1"/>
      <w:lvlText w:val="%1."/>
      <w:legacy w:legacy="1" w:legacySpace="120" w:legacyIndent="567"/>
      <w:lvlJc w:val="left"/>
      <w:pPr>
        <w:ind w:left="567" w:hanging="567"/>
      </w:pPr>
      <w:rPr>
        <w:sz w:val="24"/>
        <w:szCs w:val="24"/>
      </w:rPr>
    </w:lvl>
    <w:lvl w:ilvl="1">
      <w:start w:val="1"/>
      <w:numFmt w:val="decimal"/>
      <w:pStyle w:val="Heading2"/>
      <w:lvlText w:val="%1.%2."/>
      <w:legacy w:legacy="1" w:legacySpace="120" w:legacyIndent="567"/>
      <w:lvlJc w:val="left"/>
      <w:pPr>
        <w:ind w:hanging="567"/>
      </w:p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9E97149"/>
    <w:multiLevelType w:val="hybridMultilevel"/>
    <w:tmpl w:val="BB2E6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FD4CFA"/>
    <w:multiLevelType w:val="hybridMultilevel"/>
    <w:tmpl w:val="341441C4"/>
    <w:lvl w:ilvl="0" w:tplc="04090001">
      <w:start w:val="1"/>
      <w:numFmt w:val="bullet"/>
      <w:lvlText w:val=""/>
      <w:lvlJc w:val="left"/>
      <w:pPr>
        <w:tabs>
          <w:tab w:val="num" w:pos="720"/>
        </w:tabs>
        <w:ind w:left="720" w:hanging="360"/>
      </w:pPr>
      <w:rPr>
        <w:rFonts w:ascii="Symbol" w:hAnsi="Symbol" w:hint="default"/>
      </w:rPr>
    </w:lvl>
    <w:lvl w:ilvl="1" w:tplc="1F509EEA">
      <w:start w:val="3"/>
      <w:numFmt w:val="bullet"/>
      <w:lvlText w:val="–"/>
      <w:lvlJc w:val="left"/>
      <w:pPr>
        <w:tabs>
          <w:tab w:val="num" w:pos="1650"/>
        </w:tabs>
        <w:ind w:left="1650" w:hanging="570"/>
      </w:pPr>
      <w:rPr>
        <w:rFonts w:ascii="Arial Mäori" w:eastAsia="Times New Roman" w:hAnsi="Arial Mäori" w:cs="Times New Roman" w:hint="default"/>
      </w:rPr>
    </w:lvl>
    <w:lvl w:ilvl="2" w:tplc="988EF68E">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5A320E"/>
    <w:multiLevelType w:val="hybridMultilevel"/>
    <w:tmpl w:val="AEE881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60E397D"/>
    <w:multiLevelType w:val="hybridMultilevel"/>
    <w:tmpl w:val="61FC700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0"/>
    <w:lvlOverride w:ilvl="0">
      <w:startOverride w:val="7"/>
    </w:lvlOverride>
  </w:num>
  <w:num w:numId="6">
    <w:abstractNumId w:val="2"/>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04"/>
    <w:rsid w:val="00000CB9"/>
    <w:rsid w:val="000033CD"/>
    <w:rsid w:val="0001452D"/>
    <w:rsid w:val="0004579A"/>
    <w:rsid w:val="00067B22"/>
    <w:rsid w:val="000A7892"/>
    <w:rsid w:val="000A7A4B"/>
    <w:rsid w:val="000E6DE3"/>
    <w:rsid w:val="001040D7"/>
    <w:rsid w:val="00162AD0"/>
    <w:rsid w:val="00193DD1"/>
    <w:rsid w:val="00243195"/>
    <w:rsid w:val="00243E53"/>
    <w:rsid w:val="002F113F"/>
    <w:rsid w:val="00346284"/>
    <w:rsid w:val="00474F30"/>
    <w:rsid w:val="00541AE8"/>
    <w:rsid w:val="005A1A82"/>
    <w:rsid w:val="005B0280"/>
    <w:rsid w:val="00684939"/>
    <w:rsid w:val="006F14A2"/>
    <w:rsid w:val="00813CA1"/>
    <w:rsid w:val="008B5A9B"/>
    <w:rsid w:val="008F3EC0"/>
    <w:rsid w:val="009125B3"/>
    <w:rsid w:val="009827C6"/>
    <w:rsid w:val="00996589"/>
    <w:rsid w:val="009C5940"/>
    <w:rsid w:val="00AF2D15"/>
    <w:rsid w:val="00B76901"/>
    <w:rsid w:val="00C61E2E"/>
    <w:rsid w:val="00C70F74"/>
    <w:rsid w:val="00D05926"/>
    <w:rsid w:val="00D14E1F"/>
    <w:rsid w:val="00D92B62"/>
    <w:rsid w:val="00DB7877"/>
    <w:rsid w:val="00E412EA"/>
    <w:rsid w:val="00E436DB"/>
    <w:rsid w:val="00E53ECD"/>
    <w:rsid w:val="00E721BA"/>
    <w:rsid w:val="00EA533B"/>
    <w:rsid w:val="00F22371"/>
    <w:rsid w:val="00F53904"/>
    <w:rsid w:val="00FD20B3"/>
    <w:rsid w:val="00FD3860"/>
    <w:rsid w:val="00FE1E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2EC9898"/>
  <w15:chartTrackingRefBased/>
  <w15:docId w15:val="{47B636FE-776C-4977-8CEA-3983592E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0D7"/>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684939"/>
    <w:pPr>
      <w:keepNext/>
      <w:numPr>
        <w:numId w:val="1"/>
      </w:numPr>
      <w:spacing w:before="240" w:after="60"/>
      <w:jc w:val="both"/>
      <w:outlineLvl w:val="0"/>
    </w:pPr>
    <w:rPr>
      <w:rFonts w:ascii="Arial" w:hAnsi="Arial"/>
      <w:b/>
      <w:kern w:val="28"/>
      <w:sz w:val="28"/>
      <w:lang w:val="en-NZ"/>
    </w:rPr>
  </w:style>
  <w:style w:type="paragraph" w:styleId="Heading2">
    <w:name w:val="heading 2"/>
    <w:aliases w:val="H1"/>
    <w:basedOn w:val="Normal"/>
    <w:next w:val="Normal"/>
    <w:link w:val="Heading2Char"/>
    <w:qFormat/>
    <w:rsid w:val="00684939"/>
    <w:pPr>
      <w:keepNext/>
      <w:numPr>
        <w:ilvl w:val="1"/>
        <w:numId w:val="1"/>
      </w:numPr>
      <w:spacing w:before="240" w:after="60"/>
      <w:jc w:val="both"/>
      <w:outlineLvl w:val="1"/>
    </w:pPr>
    <w:rPr>
      <w:rFonts w:ascii="Arial" w:hAnsi="Arial"/>
      <w:b/>
      <w:i/>
      <w:sz w:val="24"/>
      <w:lang w:val="en-NZ"/>
    </w:rPr>
  </w:style>
  <w:style w:type="paragraph" w:styleId="Heading5">
    <w:name w:val="heading 5"/>
    <w:basedOn w:val="Normal"/>
    <w:next w:val="Normal"/>
    <w:link w:val="Heading5Char"/>
    <w:qFormat/>
    <w:rsid w:val="0068493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4939"/>
    <w:rPr>
      <w:rFonts w:ascii="Arial" w:eastAsia="Times New Roman" w:hAnsi="Arial" w:cs="Times New Roman"/>
      <w:b/>
      <w:kern w:val="28"/>
      <w:sz w:val="28"/>
      <w:szCs w:val="20"/>
    </w:rPr>
  </w:style>
  <w:style w:type="character" w:customStyle="1" w:styleId="Heading2Char">
    <w:name w:val="Heading 2 Char"/>
    <w:aliases w:val="H1 Char"/>
    <w:basedOn w:val="DefaultParagraphFont"/>
    <w:link w:val="Heading2"/>
    <w:rsid w:val="00684939"/>
    <w:rPr>
      <w:rFonts w:ascii="Arial" w:eastAsia="Times New Roman" w:hAnsi="Arial" w:cs="Times New Roman"/>
      <w:b/>
      <w:i/>
      <w:sz w:val="24"/>
      <w:szCs w:val="20"/>
    </w:rPr>
  </w:style>
  <w:style w:type="character" w:customStyle="1" w:styleId="Heading5Char">
    <w:name w:val="Heading 5 Char"/>
    <w:basedOn w:val="DefaultParagraphFont"/>
    <w:link w:val="Heading5"/>
    <w:rsid w:val="00684939"/>
    <w:rPr>
      <w:rFonts w:ascii="Times New Roman" w:eastAsia="Times New Roman" w:hAnsi="Times New Roman" w:cs="Times New Roman"/>
      <w:b/>
      <w:bCs/>
      <w:i/>
      <w:iCs/>
      <w:sz w:val="26"/>
      <w:szCs w:val="26"/>
      <w:lang w:val="en-GB"/>
    </w:rPr>
  </w:style>
  <w:style w:type="paragraph" w:styleId="BodyText2">
    <w:name w:val="Body Text 2"/>
    <w:basedOn w:val="Normal"/>
    <w:link w:val="BodyText2Char"/>
    <w:rsid w:val="00684939"/>
    <w:pPr>
      <w:jc w:val="both"/>
    </w:pPr>
    <w:rPr>
      <w:b/>
      <w:i/>
      <w:sz w:val="24"/>
    </w:rPr>
  </w:style>
  <w:style w:type="character" w:customStyle="1" w:styleId="BodyText2Char">
    <w:name w:val="Body Text 2 Char"/>
    <w:basedOn w:val="DefaultParagraphFont"/>
    <w:link w:val="BodyText2"/>
    <w:rsid w:val="00684939"/>
    <w:rPr>
      <w:rFonts w:ascii="Times New Roman" w:eastAsia="Times New Roman" w:hAnsi="Times New Roman" w:cs="Times New Roman"/>
      <w:b/>
      <w:i/>
      <w:sz w:val="24"/>
      <w:szCs w:val="20"/>
      <w:lang w:val="en-GB"/>
    </w:rPr>
  </w:style>
  <w:style w:type="paragraph" w:styleId="BodyText">
    <w:name w:val="Body Text"/>
    <w:basedOn w:val="Normal"/>
    <w:link w:val="BodyTextChar"/>
    <w:rsid w:val="00684939"/>
    <w:pPr>
      <w:jc w:val="both"/>
    </w:pPr>
    <w:rPr>
      <w:i/>
    </w:rPr>
  </w:style>
  <w:style w:type="character" w:customStyle="1" w:styleId="BodyTextChar">
    <w:name w:val="Body Text Char"/>
    <w:basedOn w:val="DefaultParagraphFont"/>
    <w:link w:val="BodyText"/>
    <w:rsid w:val="00684939"/>
    <w:rPr>
      <w:rFonts w:ascii="Times New Roman" w:eastAsia="Times New Roman" w:hAnsi="Times New Roman" w:cs="Times New Roman"/>
      <w:i/>
      <w:sz w:val="20"/>
      <w:szCs w:val="20"/>
      <w:lang w:val="en-GB"/>
    </w:rPr>
  </w:style>
  <w:style w:type="paragraph" w:styleId="Title">
    <w:name w:val="Title"/>
    <w:basedOn w:val="Normal"/>
    <w:link w:val="TitleChar"/>
    <w:qFormat/>
    <w:rsid w:val="00684939"/>
    <w:pPr>
      <w:jc w:val="center"/>
    </w:pPr>
    <w:rPr>
      <w:b/>
      <w:sz w:val="28"/>
      <w:lang w:val="en-US"/>
    </w:rPr>
  </w:style>
  <w:style w:type="character" w:customStyle="1" w:styleId="TitleChar">
    <w:name w:val="Title Char"/>
    <w:basedOn w:val="DefaultParagraphFont"/>
    <w:link w:val="Title"/>
    <w:rsid w:val="00684939"/>
    <w:rPr>
      <w:rFonts w:ascii="Times New Roman" w:eastAsia="Times New Roman" w:hAnsi="Times New Roman" w:cs="Times New Roman"/>
      <w:b/>
      <w:sz w:val="28"/>
      <w:szCs w:val="20"/>
      <w:lang w:val="en-US"/>
    </w:rPr>
  </w:style>
  <w:style w:type="paragraph" w:styleId="Footer">
    <w:name w:val="footer"/>
    <w:basedOn w:val="Normal"/>
    <w:link w:val="FooterChar"/>
    <w:rsid w:val="00684939"/>
    <w:pPr>
      <w:tabs>
        <w:tab w:val="center" w:pos="4153"/>
        <w:tab w:val="right" w:pos="8306"/>
      </w:tabs>
    </w:pPr>
  </w:style>
  <w:style w:type="character" w:customStyle="1" w:styleId="FooterChar">
    <w:name w:val="Footer Char"/>
    <w:basedOn w:val="DefaultParagraphFont"/>
    <w:link w:val="Footer"/>
    <w:rsid w:val="00684939"/>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684939"/>
    <w:pPr>
      <w:ind w:left="851"/>
      <w:jc w:val="both"/>
    </w:pPr>
    <w:rPr>
      <w:sz w:val="24"/>
    </w:rPr>
  </w:style>
  <w:style w:type="character" w:customStyle="1" w:styleId="BodyTextIndent3Char">
    <w:name w:val="Body Text Indent 3 Char"/>
    <w:basedOn w:val="DefaultParagraphFont"/>
    <w:link w:val="BodyTextIndent3"/>
    <w:rsid w:val="00684939"/>
    <w:rPr>
      <w:rFonts w:ascii="Times New Roman" w:eastAsia="Times New Roman" w:hAnsi="Times New Roman" w:cs="Times New Roman"/>
      <w:sz w:val="24"/>
      <w:szCs w:val="20"/>
      <w:lang w:val="en-GB"/>
    </w:rPr>
  </w:style>
  <w:style w:type="paragraph" w:styleId="BodyText3">
    <w:name w:val="Body Text 3"/>
    <w:basedOn w:val="Normal"/>
    <w:link w:val="BodyText3Char"/>
    <w:rsid w:val="00684939"/>
    <w:pPr>
      <w:numPr>
        <w:ilvl w:val="12"/>
      </w:numPr>
      <w:jc w:val="both"/>
    </w:pPr>
    <w:rPr>
      <w:sz w:val="24"/>
    </w:rPr>
  </w:style>
  <w:style w:type="character" w:customStyle="1" w:styleId="BodyText3Char">
    <w:name w:val="Body Text 3 Char"/>
    <w:basedOn w:val="DefaultParagraphFont"/>
    <w:link w:val="BodyText3"/>
    <w:rsid w:val="00684939"/>
    <w:rPr>
      <w:rFonts w:ascii="Times New Roman" w:eastAsia="Times New Roman" w:hAnsi="Times New Roman" w:cs="Times New Roman"/>
      <w:sz w:val="24"/>
      <w:szCs w:val="20"/>
      <w:lang w:val="en-GB"/>
    </w:rPr>
  </w:style>
  <w:style w:type="paragraph" w:styleId="Header">
    <w:name w:val="header"/>
    <w:basedOn w:val="Normal"/>
    <w:link w:val="HeaderChar"/>
    <w:uiPriority w:val="99"/>
    <w:rsid w:val="00684939"/>
    <w:pPr>
      <w:tabs>
        <w:tab w:val="center" w:pos="4153"/>
        <w:tab w:val="right" w:pos="8306"/>
      </w:tabs>
    </w:pPr>
  </w:style>
  <w:style w:type="character" w:customStyle="1" w:styleId="HeaderChar">
    <w:name w:val="Header Char"/>
    <w:basedOn w:val="DefaultParagraphFont"/>
    <w:link w:val="Header"/>
    <w:uiPriority w:val="99"/>
    <w:rsid w:val="00684939"/>
    <w:rPr>
      <w:rFonts w:ascii="Times New Roman" w:eastAsia="Times New Roman" w:hAnsi="Times New Roman" w:cs="Times New Roman"/>
      <w:sz w:val="20"/>
      <w:szCs w:val="20"/>
      <w:lang w:val="en-GB"/>
    </w:rPr>
  </w:style>
  <w:style w:type="character" w:styleId="PageNumber">
    <w:name w:val="page number"/>
    <w:basedOn w:val="DefaultParagraphFont"/>
    <w:rsid w:val="00684939"/>
  </w:style>
  <w:style w:type="table" w:styleId="TableGrid">
    <w:name w:val="Table Grid"/>
    <w:basedOn w:val="TableNormal"/>
    <w:rsid w:val="00684939"/>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49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939"/>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D92B62"/>
    <w:rPr>
      <w:sz w:val="16"/>
      <w:szCs w:val="16"/>
    </w:rPr>
  </w:style>
  <w:style w:type="paragraph" w:styleId="CommentText">
    <w:name w:val="annotation text"/>
    <w:basedOn w:val="Normal"/>
    <w:link w:val="CommentTextChar"/>
    <w:uiPriority w:val="99"/>
    <w:semiHidden/>
    <w:unhideWhenUsed/>
    <w:rsid w:val="00D92B62"/>
  </w:style>
  <w:style w:type="character" w:customStyle="1" w:styleId="CommentTextChar">
    <w:name w:val="Comment Text Char"/>
    <w:basedOn w:val="DefaultParagraphFont"/>
    <w:link w:val="CommentText"/>
    <w:uiPriority w:val="99"/>
    <w:semiHidden/>
    <w:rsid w:val="00D92B6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92B62"/>
    <w:rPr>
      <w:b/>
      <w:bCs/>
    </w:rPr>
  </w:style>
  <w:style w:type="character" w:customStyle="1" w:styleId="CommentSubjectChar">
    <w:name w:val="Comment Subject Char"/>
    <w:basedOn w:val="CommentTextChar"/>
    <w:link w:val="CommentSubject"/>
    <w:uiPriority w:val="99"/>
    <w:semiHidden/>
    <w:rsid w:val="00D92B62"/>
    <w:rPr>
      <w:rFonts w:ascii="Times New Roman" w:eastAsia="Times New Roman" w:hAnsi="Times New Roman" w:cs="Times New Roman"/>
      <w:b/>
      <w:bCs/>
      <w:sz w:val="20"/>
      <w:szCs w:val="20"/>
      <w:lang w:val="en-GB"/>
    </w:rPr>
  </w:style>
  <w:style w:type="paragraph" w:styleId="Revision">
    <w:name w:val="Revision"/>
    <w:hidden/>
    <w:uiPriority w:val="99"/>
    <w:semiHidden/>
    <w:rsid w:val="00541AE8"/>
    <w:pPr>
      <w:spacing w:after="0" w:line="240" w:lineRule="auto"/>
    </w:pPr>
    <w:rPr>
      <w:rFonts w:ascii="Times New Roman" w:eastAsia="Times New Roman" w:hAnsi="Times New Roman" w:cs="Times New Roman"/>
      <w:sz w:val="20"/>
      <w:szCs w:val="20"/>
      <w:lang w:val="en-GB"/>
    </w:rPr>
  </w:style>
  <w:style w:type="paragraph" w:customStyle="1" w:styleId="CharChar1">
    <w:name w:val="Char Char1"/>
    <w:basedOn w:val="Normal"/>
    <w:rsid w:val="00E436DB"/>
    <w:pPr>
      <w:spacing w:after="160" w:line="240" w:lineRule="exact"/>
    </w:pPr>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5878">
      <w:bodyDiv w:val="1"/>
      <w:marLeft w:val="0"/>
      <w:marRight w:val="0"/>
      <w:marTop w:val="0"/>
      <w:marBottom w:val="0"/>
      <w:divBdr>
        <w:top w:val="none" w:sz="0" w:space="0" w:color="auto"/>
        <w:left w:val="none" w:sz="0" w:space="0" w:color="auto"/>
        <w:bottom w:val="none" w:sz="0" w:space="0" w:color="auto"/>
        <w:right w:val="none" w:sz="0" w:space="0" w:color="auto"/>
      </w:divBdr>
    </w:div>
    <w:div w:id="96486571">
      <w:bodyDiv w:val="1"/>
      <w:marLeft w:val="0"/>
      <w:marRight w:val="0"/>
      <w:marTop w:val="0"/>
      <w:marBottom w:val="0"/>
      <w:divBdr>
        <w:top w:val="none" w:sz="0" w:space="0" w:color="auto"/>
        <w:left w:val="none" w:sz="0" w:space="0" w:color="auto"/>
        <w:bottom w:val="none" w:sz="0" w:space="0" w:color="auto"/>
        <w:right w:val="none" w:sz="0" w:space="0" w:color="auto"/>
      </w:divBdr>
    </w:div>
    <w:div w:id="469173974">
      <w:bodyDiv w:val="1"/>
      <w:marLeft w:val="0"/>
      <w:marRight w:val="0"/>
      <w:marTop w:val="0"/>
      <w:marBottom w:val="0"/>
      <w:divBdr>
        <w:top w:val="none" w:sz="0" w:space="0" w:color="auto"/>
        <w:left w:val="none" w:sz="0" w:space="0" w:color="auto"/>
        <w:bottom w:val="none" w:sz="0" w:space="0" w:color="auto"/>
        <w:right w:val="none" w:sz="0" w:space="0" w:color="auto"/>
      </w:divBdr>
    </w:div>
    <w:div w:id="559250615">
      <w:bodyDiv w:val="1"/>
      <w:marLeft w:val="0"/>
      <w:marRight w:val="0"/>
      <w:marTop w:val="0"/>
      <w:marBottom w:val="0"/>
      <w:divBdr>
        <w:top w:val="none" w:sz="0" w:space="0" w:color="auto"/>
        <w:left w:val="none" w:sz="0" w:space="0" w:color="auto"/>
        <w:bottom w:val="none" w:sz="0" w:space="0" w:color="auto"/>
        <w:right w:val="none" w:sz="0" w:space="0" w:color="auto"/>
      </w:divBdr>
    </w:div>
    <w:div w:id="1032077545">
      <w:bodyDiv w:val="1"/>
      <w:marLeft w:val="0"/>
      <w:marRight w:val="0"/>
      <w:marTop w:val="0"/>
      <w:marBottom w:val="0"/>
      <w:divBdr>
        <w:top w:val="none" w:sz="0" w:space="0" w:color="auto"/>
        <w:left w:val="none" w:sz="0" w:space="0" w:color="auto"/>
        <w:bottom w:val="none" w:sz="0" w:space="0" w:color="auto"/>
        <w:right w:val="none" w:sz="0" w:space="0" w:color="auto"/>
      </w:divBdr>
    </w:div>
    <w:div w:id="1112702957">
      <w:bodyDiv w:val="1"/>
      <w:marLeft w:val="0"/>
      <w:marRight w:val="0"/>
      <w:marTop w:val="0"/>
      <w:marBottom w:val="0"/>
      <w:divBdr>
        <w:top w:val="none" w:sz="0" w:space="0" w:color="auto"/>
        <w:left w:val="none" w:sz="0" w:space="0" w:color="auto"/>
        <w:bottom w:val="none" w:sz="0" w:space="0" w:color="auto"/>
        <w:right w:val="none" w:sz="0" w:space="0" w:color="auto"/>
      </w:divBdr>
    </w:div>
    <w:div w:id="1221745354">
      <w:bodyDiv w:val="1"/>
      <w:marLeft w:val="0"/>
      <w:marRight w:val="0"/>
      <w:marTop w:val="0"/>
      <w:marBottom w:val="0"/>
      <w:divBdr>
        <w:top w:val="none" w:sz="0" w:space="0" w:color="auto"/>
        <w:left w:val="none" w:sz="0" w:space="0" w:color="auto"/>
        <w:bottom w:val="none" w:sz="0" w:space="0" w:color="auto"/>
        <w:right w:val="none" w:sz="0" w:space="0" w:color="auto"/>
      </w:divBdr>
    </w:div>
    <w:div w:id="1254826344">
      <w:bodyDiv w:val="1"/>
      <w:marLeft w:val="0"/>
      <w:marRight w:val="0"/>
      <w:marTop w:val="0"/>
      <w:marBottom w:val="0"/>
      <w:divBdr>
        <w:top w:val="none" w:sz="0" w:space="0" w:color="auto"/>
        <w:left w:val="none" w:sz="0" w:space="0" w:color="auto"/>
        <w:bottom w:val="none" w:sz="0" w:space="0" w:color="auto"/>
        <w:right w:val="none" w:sz="0" w:space="0" w:color="auto"/>
      </w:divBdr>
    </w:div>
    <w:div w:id="1307397629">
      <w:bodyDiv w:val="1"/>
      <w:marLeft w:val="0"/>
      <w:marRight w:val="0"/>
      <w:marTop w:val="0"/>
      <w:marBottom w:val="0"/>
      <w:divBdr>
        <w:top w:val="none" w:sz="0" w:space="0" w:color="auto"/>
        <w:left w:val="none" w:sz="0" w:space="0" w:color="auto"/>
        <w:bottom w:val="none" w:sz="0" w:space="0" w:color="auto"/>
        <w:right w:val="none" w:sz="0" w:space="0" w:color="auto"/>
      </w:divBdr>
    </w:div>
    <w:div w:id="1308507680">
      <w:bodyDiv w:val="1"/>
      <w:marLeft w:val="0"/>
      <w:marRight w:val="0"/>
      <w:marTop w:val="0"/>
      <w:marBottom w:val="0"/>
      <w:divBdr>
        <w:top w:val="none" w:sz="0" w:space="0" w:color="auto"/>
        <w:left w:val="none" w:sz="0" w:space="0" w:color="auto"/>
        <w:bottom w:val="none" w:sz="0" w:space="0" w:color="auto"/>
        <w:right w:val="none" w:sz="0" w:space="0" w:color="auto"/>
      </w:divBdr>
    </w:div>
    <w:div w:id="1379432803">
      <w:bodyDiv w:val="1"/>
      <w:marLeft w:val="0"/>
      <w:marRight w:val="0"/>
      <w:marTop w:val="0"/>
      <w:marBottom w:val="0"/>
      <w:divBdr>
        <w:top w:val="none" w:sz="0" w:space="0" w:color="auto"/>
        <w:left w:val="none" w:sz="0" w:space="0" w:color="auto"/>
        <w:bottom w:val="none" w:sz="0" w:space="0" w:color="auto"/>
        <w:right w:val="none" w:sz="0" w:space="0" w:color="auto"/>
      </w:divBdr>
    </w:div>
    <w:div w:id="1560170636">
      <w:bodyDiv w:val="1"/>
      <w:marLeft w:val="0"/>
      <w:marRight w:val="0"/>
      <w:marTop w:val="0"/>
      <w:marBottom w:val="0"/>
      <w:divBdr>
        <w:top w:val="none" w:sz="0" w:space="0" w:color="auto"/>
        <w:left w:val="none" w:sz="0" w:space="0" w:color="auto"/>
        <w:bottom w:val="none" w:sz="0" w:space="0" w:color="auto"/>
        <w:right w:val="none" w:sz="0" w:space="0" w:color="auto"/>
      </w:divBdr>
    </w:div>
    <w:div w:id="1599481893">
      <w:bodyDiv w:val="1"/>
      <w:marLeft w:val="0"/>
      <w:marRight w:val="0"/>
      <w:marTop w:val="0"/>
      <w:marBottom w:val="0"/>
      <w:divBdr>
        <w:top w:val="none" w:sz="0" w:space="0" w:color="auto"/>
        <w:left w:val="none" w:sz="0" w:space="0" w:color="auto"/>
        <w:bottom w:val="none" w:sz="0" w:space="0" w:color="auto"/>
        <w:right w:val="none" w:sz="0" w:space="0" w:color="auto"/>
      </w:divBdr>
    </w:div>
    <w:div w:id="1635332763">
      <w:bodyDiv w:val="1"/>
      <w:marLeft w:val="0"/>
      <w:marRight w:val="0"/>
      <w:marTop w:val="0"/>
      <w:marBottom w:val="0"/>
      <w:divBdr>
        <w:top w:val="none" w:sz="0" w:space="0" w:color="auto"/>
        <w:left w:val="none" w:sz="0" w:space="0" w:color="auto"/>
        <w:bottom w:val="none" w:sz="0" w:space="0" w:color="auto"/>
        <w:right w:val="none" w:sz="0" w:space="0" w:color="auto"/>
      </w:divBdr>
    </w:div>
    <w:div w:id="1739133492">
      <w:bodyDiv w:val="1"/>
      <w:marLeft w:val="0"/>
      <w:marRight w:val="0"/>
      <w:marTop w:val="0"/>
      <w:marBottom w:val="0"/>
      <w:divBdr>
        <w:top w:val="none" w:sz="0" w:space="0" w:color="auto"/>
        <w:left w:val="none" w:sz="0" w:space="0" w:color="auto"/>
        <w:bottom w:val="none" w:sz="0" w:space="0" w:color="auto"/>
        <w:right w:val="none" w:sz="0" w:space="0" w:color="auto"/>
      </w:divBdr>
    </w:div>
    <w:div w:id="1758399879">
      <w:bodyDiv w:val="1"/>
      <w:marLeft w:val="0"/>
      <w:marRight w:val="0"/>
      <w:marTop w:val="0"/>
      <w:marBottom w:val="0"/>
      <w:divBdr>
        <w:top w:val="none" w:sz="0" w:space="0" w:color="auto"/>
        <w:left w:val="none" w:sz="0" w:space="0" w:color="auto"/>
        <w:bottom w:val="none" w:sz="0" w:space="0" w:color="auto"/>
        <w:right w:val="none" w:sz="0" w:space="0" w:color="auto"/>
      </w:divBdr>
    </w:div>
    <w:div w:id="17742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0CF94-B463-4B48-AF09-0EAFB9AE8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73836332</Template>
  <TotalTime>24</TotalTime>
  <Pages>6</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Craven</dc:creator>
  <cp:keywords/>
  <dc:description/>
  <cp:lastModifiedBy>Tiffany Vail</cp:lastModifiedBy>
  <cp:revision>6</cp:revision>
  <cp:lastPrinted>2015-11-04T20:46:00Z</cp:lastPrinted>
  <dcterms:created xsi:type="dcterms:W3CDTF">2016-11-22T03:19:00Z</dcterms:created>
  <dcterms:modified xsi:type="dcterms:W3CDTF">2017-01-04T22:47:00Z</dcterms:modified>
</cp:coreProperties>
</file>