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608"/>
        <w:gridCol w:w="2446"/>
        <w:gridCol w:w="3119"/>
      </w:tblGrid>
      <w:tr w:rsidR="009D539D" w:rsidRPr="006102D6" w:rsidTr="00711029">
        <w:trPr>
          <w:cantSplit/>
        </w:trPr>
        <w:tc>
          <w:tcPr>
            <w:tcW w:w="4608" w:type="dxa"/>
            <w:vAlign w:val="center"/>
          </w:tcPr>
          <w:p w:rsidR="009D539D" w:rsidRPr="006102D6" w:rsidRDefault="00C72B98" w:rsidP="009D539D">
            <w:pPr>
              <w:jc w:val="center"/>
              <w:rPr>
                <w:rFonts w:cs="Arial"/>
                <w:bCs/>
                <w:sz w:val="36"/>
              </w:rPr>
            </w:pPr>
            <w:bookmarkStart w:id="0" w:name="_Toc215319120"/>
            <w:r w:rsidRPr="006102D6">
              <w:rPr>
                <w:rFonts w:cs="Arial"/>
                <w:noProof/>
                <w:lang w:eastAsia="en-NZ"/>
              </w:rPr>
              <w:drawing>
                <wp:inline distT="0" distB="0" distL="0" distR="0" wp14:anchorId="6C9A4FD3" wp14:editId="76F542D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565" w:type="dxa"/>
            <w:gridSpan w:val="2"/>
            <w:vAlign w:val="center"/>
          </w:tcPr>
          <w:p w:rsidR="009D539D" w:rsidRPr="006102D6" w:rsidRDefault="006102D6" w:rsidP="009D539D">
            <w:pPr>
              <w:jc w:val="center"/>
              <w:rPr>
                <w:rFonts w:cs="Arial"/>
                <w:bCs/>
                <w:sz w:val="36"/>
              </w:rPr>
            </w:pPr>
            <w:r w:rsidRPr="006102D6">
              <w:rPr>
                <w:rFonts w:cs="Arial"/>
                <w:bCs/>
                <w:sz w:val="36"/>
              </w:rPr>
              <w:t>All District Health Boards</w:t>
            </w:r>
            <w:r w:rsidRPr="006102D6" w:rsidDel="006102D6">
              <w:rPr>
                <w:rFonts w:cs="Arial"/>
                <w:bCs/>
                <w:sz w:val="36"/>
              </w:rPr>
              <w:t xml:space="preserve"> </w:t>
            </w:r>
          </w:p>
        </w:tc>
      </w:tr>
      <w:tr w:rsidR="009D539D" w:rsidRPr="006102D6" w:rsidTr="00711029">
        <w:tc>
          <w:tcPr>
            <w:tcW w:w="10173" w:type="dxa"/>
            <w:gridSpan w:val="3"/>
          </w:tcPr>
          <w:p w:rsidR="00ED0A76" w:rsidRPr="00A463E3" w:rsidRDefault="0005754C" w:rsidP="0095340A">
            <w:pPr>
              <w:spacing w:before="1200"/>
              <w:jc w:val="center"/>
              <w:rPr>
                <w:b/>
                <w:bCs/>
                <w:caps/>
                <w:sz w:val="36"/>
              </w:rPr>
            </w:pPr>
            <w:r w:rsidRPr="00A463E3">
              <w:rPr>
                <w:b/>
                <w:bCs/>
                <w:caps/>
                <w:sz w:val="36"/>
              </w:rPr>
              <w:t xml:space="preserve">Specialist </w:t>
            </w:r>
            <w:r w:rsidR="009D539D" w:rsidRPr="00A463E3">
              <w:rPr>
                <w:b/>
                <w:bCs/>
                <w:caps/>
                <w:sz w:val="36"/>
              </w:rPr>
              <w:t>palliative care</w:t>
            </w:r>
            <w:r w:rsidR="00E203D7" w:rsidRPr="00A463E3">
              <w:rPr>
                <w:b/>
                <w:bCs/>
                <w:caps/>
                <w:sz w:val="36"/>
              </w:rPr>
              <w:t xml:space="preserve"> </w:t>
            </w:r>
            <w:r w:rsidR="002C372B" w:rsidRPr="00A463E3">
              <w:rPr>
                <w:b/>
                <w:bCs/>
                <w:caps/>
                <w:sz w:val="36"/>
              </w:rPr>
              <w:t>SERVICES</w:t>
            </w:r>
            <w:r w:rsidR="008D517F" w:rsidRPr="00A463E3">
              <w:rPr>
                <w:b/>
                <w:bCs/>
                <w:caps/>
                <w:sz w:val="36"/>
              </w:rPr>
              <w:t xml:space="preserve"> -</w:t>
            </w:r>
          </w:p>
          <w:p w:rsidR="008D517F" w:rsidRPr="00A463E3" w:rsidRDefault="008D517F" w:rsidP="00A463E3">
            <w:pPr>
              <w:spacing w:before="240"/>
              <w:jc w:val="center"/>
              <w:rPr>
                <w:b/>
                <w:bCs/>
                <w:caps/>
                <w:sz w:val="36"/>
              </w:rPr>
            </w:pPr>
            <w:r w:rsidRPr="00A463E3">
              <w:rPr>
                <w:b/>
                <w:bCs/>
                <w:caps/>
                <w:sz w:val="36"/>
              </w:rPr>
              <w:t>SPECIALIST MEDICAL AND SURGICAL SE</w:t>
            </w:r>
            <w:r w:rsidR="00A463E3" w:rsidRPr="00A463E3">
              <w:rPr>
                <w:b/>
                <w:bCs/>
                <w:caps/>
                <w:sz w:val="36"/>
              </w:rPr>
              <w:t>R</w:t>
            </w:r>
            <w:r w:rsidRPr="00A463E3">
              <w:rPr>
                <w:b/>
                <w:bCs/>
                <w:caps/>
                <w:sz w:val="36"/>
              </w:rPr>
              <w:t>VICES</w:t>
            </w:r>
          </w:p>
          <w:p w:rsidR="006102D6" w:rsidRPr="00A463E3" w:rsidRDefault="006102D6" w:rsidP="00A463E3">
            <w:pPr>
              <w:spacing w:before="240"/>
              <w:jc w:val="center"/>
              <w:rPr>
                <w:b/>
                <w:bCs/>
                <w:caps/>
                <w:sz w:val="36"/>
              </w:rPr>
            </w:pPr>
            <w:r w:rsidRPr="00A463E3">
              <w:rPr>
                <w:b/>
                <w:bCs/>
                <w:caps/>
                <w:sz w:val="36"/>
              </w:rPr>
              <w:t>Tier LEVEL two</w:t>
            </w:r>
          </w:p>
          <w:p w:rsidR="00081402" w:rsidRPr="00A463E3" w:rsidRDefault="00081402" w:rsidP="00A463E3">
            <w:pPr>
              <w:spacing w:before="240" w:after="720"/>
              <w:jc w:val="center"/>
              <w:rPr>
                <w:b/>
                <w:bCs/>
                <w:caps/>
                <w:sz w:val="36"/>
              </w:rPr>
            </w:pPr>
            <w:r w:rsidRPr="00A463E3">
              <w:rPr>
                <w:b/>
                <w:bCs/>
                <w:caps/>
                <w:sz w:val="36"/>
              </w:rPr>
              <w:t>Service Specification</w:t>
            </w:r>
          </w:p>
          <w:p w:rsidR="009D539D" w:rsidRPr="006102D6" w:rsidRDefault="009D539D" w:rsidP="009D539D">
            <w:pPr>
              <w:ind w:left="360"/>
              <w:rPr>
                <w:rFonts w:cs="Arial"/>
                <w:lang w:val="en-US"/>
              </w:rPr>
            </w:pPr>
          </w:p>
        </w:tc>
      </w:tr>
      <w:tr w:rsidR="006102D6" w:rsidRPr="006102D6" w:rsidTr="00711029">
        <w:tc>
          <w:tcPr>
            <w:tcW w:w="7054" w:type="dxa"/>
            <w:gridSpan w:val="2"/>
          </w:tcPr>
          <w:p w:rsidR="006102D6" w:rsidRPr="00A463E3" w:rsidRDefault="006102D6" w:rsidP="00B758CB">
            <w:pPr>
              <w:rPr>
                <w:b/>
                <w:sz w:val="36"/>
                <w:szCs w:val="36"/>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A463E3">
              <w:rPr>
                <w:b/>
                <w:sz w:val="36"/>
                <w:szCs w:val="36"/>
              </w:rPr>
              <w:t>ST</w:t>
            </w:r>
            <w:r w:rsidR="00A463E3" w:rsidRPr="00A463E3">
              <w:rPr>
                <w:b/>
                <w:sz w:val="36"/>
                <w:szCs w:val="36"/>
              </w:rPr>
              <w:t>ATUS</w:t>
            </w:r>
            <w:r w:rsidRPr="00A463E3">
              <w:rPr>
                <w:b/>
                <w:sz w:val="36"/>
                <w:szCs w:val="36"/>
              </w:rPr>
              <w:t>:</w:t>
            </w:r>
          </w:p>
          <w:bookmarkEnd w:id="1"/>
          <w:bookmarkEnd w:id="2"/>
          <w:bookmarkEnd w:id="3"/>
          <w:bookmarkEnd w:id="4"/>
          <w:bookmarkEnd w:id="5"/>
          <w:bookmarkEnd w:id="6"/>
          <w:bookmarkEnd w:id="7"/>
          <w:bookmarkEnd w:id="8"/>
          <w:p w:rsidR="006102D6" w:rsidRPr="00B758CB" w:rsidRDefault="0095340A" w:rsidP="00B758CB">
            <w:pPr>
              <w:spacing w:after="120"/>
              <w:jc w:val="left"/>
              <w:rPr>
                <w:rFonts w:cs="Arial"/>
                <w:lang w:val="en-US"/>
              </w:rPr>
            </w:pPr>
            <w:r w:rsidRPr="00B758CB">
              <w:rPr>
                <w:rFonts w:cs="Arial"/>
                <w:lang w:eastAsia="en-NZ"/>
              </w:rPr>
              <w:t xml:space="preserve">The Recommended status </w:t>
            </w:r>
            <w:r w:rsidR="00AF44D2" w:rsidRPr="00B758CB">
              <w:rPr>
                <w:rFonts w:cs="Arial"/>
                <w:lang w:eastAsia="en-NZ"/>
              </w:rPr>
              <w:t>to</w:t>
            </w:r>
            <w:r w:rsidRPr="00B758CB">
              <w:rPr>
                <w:rFonts w:cs="Arial"/>
                <w:lang w:eastAsia="en-NZ"/>
              </w:rPr>
              <w:t xml:space="preserve"> be</w:t>
            </w:r>
            <w:r w:rsidR="00AF44D2" w:rsidRPr="00B758CB">
              <w:rPr>
                <w:rFonts w:cs="Arial"/>
                <w:lang w:eastAsia="en-NZ"/>
              </w:rPr>
              <w:t xml:space="preserve"> reconsidered</w:t>
            </w:r>
            <w:r w:rsidRPr="00B758CB">
              <w:rPr>
                <w:rFonts w:cs="Arial"/>
                <w:lang w:eastAsia="en-NZ"/>
              </w:rPr>
              <w:t xml:space="preserve"> </w:t>
            </w:r>
            <w:r w:rsidR="00AF44D2" w:rsidRPr="00B758CB">
              <w:rPr>
                <w:rFonts w:cs="Arial"/>
                <w:lang w:eastAsia="en-NZ"/>
              </w:rPr>
              <w:t xml:space="preserve">if </w:t>
            </w:r>
            <w:r w:rsidRPr="00B758CB">
              <w:rPr>
                <w:rFonts w:cs="Arial"/>
                <w:lang w:eastAsia="en-NZ"/>
              </w:rPr>
              <w:t>suitable to be endorsed as Mandatory by DHB GMs Planning and Funding</w:t>
            </w:r>
            <w:r w:rsidR="006102D6" w:rsidRPr="00B758CB">
              <w:rPr>
                <w:rFonts w:cs="Arial"/>
                <w:lang w:eastAsia="en-NZ"/>
              </w:rPr>
              <w:t xml:space="preserve"> </w:t>
            </w:r>
            <w:r w:rsidR="00711029" w:rsidRPr="00B758CB">
              <w:rPr>
                <w:rFonts w:cs="Arial"/>
                <w:lang w:eastAsia="en-NZ"/>
              </w:rPr>
              <w:t>(</w:t>
            </w:r>
            <w:r w:rsidR="0027555B" w:rsidRPr="00B758CB">
              <w:rPr>
                <w:rFonts w:cs="Arial"/>
                <w:lang w:eastAsia="en-NZ"/>
              </w:rPr>
              <w:t>proposed to be by 1 July 2016.</w:t>
            </w:r>
            <w:r w:rsidR="00711029" w:rsidRPr="00B758CB">
              <w:rPr>
                <w:rFonts w:cs="Arial"/>
                <w:lang w:eastAsia="en-NZ"/>
              </w:rPr>
              <w:t>)</w:t>
            </w:r>
          </w:p>
        </w:tc>
        <w:tc>
          <w:tcPr>
            <w:tcW w:w="3119" w:type="dxa"/>
          </w:tcPr>
          <w:p w:rsidR="0095340A" w:rsidRDefault="0095340A" w:rsidP="004C05C9">
            <w:pPr>
              <w:rPr>
                <w:rFonts w:cs="Arial"/>
                <w:b/>
                <w:caps/>
                <w:sz w:val="36"/>
                <w:szCs w:val="36"/>
              </w:rPr>
            </w:pPr>
            <w:bookmarkStart w:id="9" w:name="_Toc206389499"/>
            <w:bookmarkStart w:id="10" w:name="_Toc215319108"/>
            <w:r>
              <w:rPr>
                <w:rFonts w:cs="Arial"/>
                <w:b/>
                <w:caps/>
                <w:sz w:val="36"/>
                <w:szCs w:val="36"/>
              </w:rPr>
              <w:t>RECOMMENDED</w:t>
            </w:r>
          </w:p>
          <w:bookmarkEnd w:id="9"/>
          <w:bookmarkEnd w:id="10"/>
          <w:p w:rsidR="006102D6" w:rsidRPr="00DF1A9D" w:rsidRDefault="006102D6" w:rsidP="00132185">
            <w:pPr>
              <w:ind w:left="34" w:hanging="34"/>
              <w:jc w:val="left"/>
              <w:rPr>
                <w:rFonts w:cs="Arial"/>
                <w:sz w:val="32"/>
                <w:szCs w:val="32"/>
                <w:lang w:val="en-US"/>
              </w:rPr>
            </w:pPr>
          </w:p>
        </w:tc>
      </w:tr>
      <w:tr w:rsidR="009D539D" w:rsidRPr="006102D6" w:rsidTr="00711029">
        <w:trPr>
          <w:trHeight w:val="297"/>
        </w:trPr>
        <w:tc>
          <w:tcPr>
            <w:tcW w:w="7054" w:type="dxa"/>
            <w:gridSpan w:val="2"/>
            <w:tcBorders>
              <w:top w:val="single" w:sz="4" w:space="0" w:color="auto"/>
              <w:bottom w:val="single" w:sz="4" w:space="0" w:color="auto"/>
            </w:tcBorders>
            <w:shd w:val="clear" w:color="auto" w:fill="CCCCCC"/>
          </w:tcPr>
          <w:p w:rsidR="009D539D" w:rsidRPr="00B758CB" w:rsidRDefault="009D539D" w:rsidP="00A463E3">
            <w:pPr>
              <w:pStyle w:val="Heading1"/>
              <w:rPr>
                <w:sz w:val="28"/>
                <w:szCs w:val="28"/>
              </w:rPr>
            </w:pPr>
            <w:r w:rsidRPr="00B758CB">
              <w:rPr>
                <w:sz w:val="28"/>
                <w:szCs w:val="28"/>
              </w:rPr>
              <w:t>Review History</w:t>
            </w:r>
          </w:p>
        </w:tc>
        <w:tc>
          <w:tcPr>
            <w:tcW w:w="3119" w:type="dxa"/>
            <w:tcBorders>
              <w:top w:val="single" w:sz="4" w:space="0" w:color="auto"/>
              <w:bottom w:val="single" w:sz="4" w:space="0" w:color="auto"/>
            </w:tcBorders>
            <w:shd w:val="clear" w:color="auto" w:fill="CCCCCC"/>
          </w:tcPr>
          <w:p w:rsidR="009D539D" w:rsidRPr="00B758CB" w:rsidRDefault="009D539D" w:rsidP="00A463E3">
            <w:pPr>
              <w:pStyle w:val="Heading1"/>
              <w:rPr>
                <w:sz w:val="28"/>
                <w:szCs w:val="28"/>
              </w:rPr>
            </w:pPr>
            <w:r w:rsidRPr="00B758CB">
              <w:rPr>
                <w:sz w:val="28"/>
                <w:szCs w:val="28"/>
              </w:rPr>
              <w:t>Date</w:t>
            </w:r>
          </w:p>
        </w:tc>
      </w:tr>
      <w:tr w:rsidR="009D539D" w:rsidRPr="006102D6" w:rsidTr="00711029">
        <w:tc>
          <w:tcPr>
            <w:tcW w:w="7054" w:type="dxa"/>
            <w:gridSpan w:val="2"/>
            <w:tcBorders>
              <w:top w:val="single" w:sz="4" w:space="0" w:color="auto"/>
              <w:left w:val="single" w:sz="4" w:space="0" w:color="auto"/>
              <w:bottom w:val="single" w:sz="4" w:space="0" w:color="auto"/>
              <w:right w:val="single" w:sz="6" w:space="0" w:color="auto"/>
            </w:tcBorders>
            <w:vAlign w:val="center"/>
          </w:tcPr>
          <w:p w:rsidR="009D539D" w:rsidRPr="006102D6" w:rsidRDefault="006102D6" w:rsidP="002E3D36">
            <w:pPr>
              <w:pStyle w:val="BodyText"/>
              <w:jc w:val="left"/>
              <w:rPr>
                <w:rFonts w:cs="Arial"/>
                <w:sz w:val="28"/>
              </w:rPr>
            </w:pPr>
            <w:r>
              <w:rPr>
                <w:rFonts w:cs="Arial"/>
                <w:sz w:val="28"/>
              </w:rPr>
              <w:t>First p</w:t>
            </w:r>
            <w:r w:rsidR="009D539D" w:rsidRPr="006102D6">
              <w:rPr>
                <w:rFonts w:cs="Arial"/>
                <w:sz w:val="28"/>
              </w:rPr>
              <w:t>ublished on NSFL</w:t>
            </w:r>
          </w:p>
        </w:tc>
        <w:tc>
          <w:tcPr>
            <w:tcW w:w="3119" w:type="dxa"/>
            <w:tcBorders>
              <w:top w:val="single" w:sz="4" w:space="0" w:color="auto"/>
              <w:left w:val="single" w:sz="6" w:space="0" w:color="auto"/>
              <w:bottom w:val="single" w:sz="6" w:space="0" w:color="auto"/>
              <w:right w:val="single" w:sz="4" w:space="0" w:color="auto"/>
            </w:tcBorders>
            <w:vAlign w:val="center"/>
          </w:tcPr>
          <w:p w:rsidR="009D539D" w:rsidRPr="006102D6" w:rsidRDefault="00B0742D" w:rsidP="009D539D">
            <w:pPr>
              <w:jc w:val="center"/>
              <w:rPr>
                <w:rFonts w:cs="Arial"/>
                <w:b/>
                <w:sz w:val="28"/>
              </w:rPr>
            </w:pPr>
            <w:r>
              <w:rPr>
                <w:rFonts w:cs="Arial"/>
                <w:b/>
                <w:sz w:val="28"/>
              </w:rPr>
              <w:t>November 2014</w:t>
            </w:r>
          </w:p>
        </w:tc>
      </w:tr>
      <w:tr w:rsidR="006102D6" w:rsidRPr="006102D6" w:rsidTr="00711029">
        <w:tc>
          <w:tcPr>
            <w:tcW w:w="7054" w:type="dxa"/>
            <w:gridSpan w:val="2"/>
            <w:tcBorders>
              <w:top w:val="single" w:sz="4" w:space="0" w:color="auto"/>
              <w:left w:val="single" w:sz="4" w:space="0" w:color="auto"/>
              <w:bottom w:val="single" w:sz="4" w:space="0" w:color="auto"/>
              <w:right w:val="single" w:sz="6" w:space="0" w:color="auto"/>
            </w:tcBorders>
            <w:vAlign w:val="center"/>
          </w:tcPr>
          <w:p w:rsidR="006102D6" w:rsidRPr="006102D6" w:rsidRDefault="006102D6" w:rsidP="00B0742D">
            <w:pPr>
              <w:pStyle w:val="BodyText"/>
              <w:jc w:val="left"/>
              <w:rPr>
                <w:rFonts w:cs="Arial"/>
                <w:sz w:val="28"/>
              </w:rPr>
            </w:pPr>
            <w:bookmarkStart w:id="11" w:name="_Toc215319114"/>
            <w:r w:rsidRPr="006102D6">
              <w:rPr>
                <w:rFonts w:cs="Arial"/>
                <w:sz w:val="28"/>
              </w:rPr>
              <w:t xml:space="preserve">Specialist Palliative Care Services </w:t>
            </w:r>
            <w:r w:rsidR="00B0742D">
              <w:rPr>
                <w:rFonts w:cs="Arial"/>
                <w:sz w:val="28"/>
              </w:rPr>
              <w:t xml:space="preserve">Service </w:t>
            </w:r>
            <w:bookmarkEnd w:id="11"/>
            <w:r w:rsidR="00B0742D">
              <w:rPr>
                <w:rFonts w:cs="Arial"/>
                <w:sz w:val="28"/>
              </w:rPr>
              <w:t xml:space="preserve">Specification </w:t>
            </w:r>
          </w:p>
        </w:tc>
        <w:tc>
          <w:tcPr>
            <w:tcW w:w="3119" w:type="dxa"/>
            <w:tcBorders>
              <w:top w:val="single" w:sz="4" w:space="0" w:color="auto"/>
              <w:left w:val="single" w:sz="6" w:space="0" w:color="auto"/>
              <w:bottom w:val="single" w:sz="6" w:space="0" w:color="auto"/>
              <w:right w:val="single" w:sz="4" w:space="0" w:color="auto"/>
            </w:tcBorders>
            <w:vAlign w:val="center"/>
          </w:tcPr>
          <w:p w:rsidR="006102D6" w:rsidRDefault="00AF44D2" w:rsidP="00D45406">
            <w:pPr>
              <w:jc w:val="center"/>
              <w:rPr>
                <w:rFonts w:cs="Arial"/>
                <w:b/>
                <w:sz w:val="28"/>
              </w:rPr>
            </w:pPr>
            <w:r>
              <w:rPr>
                <w:rFonts w:cs="Arial"/>
                <w:b/>
                <w:sz w:val="28"/>
              </w:rPr>
              <w:t>Oct</w:t>
            </w:r>
            <w:r w:rsidR="0003090C">
              <w:rPr>
                <w:rFonts w:cs="Arial"/>
                <w:b/>
                <w:sz w:val="28"/>
              </w:rPr>
              <w:t>ober</w:t>
            </w:r>
            <w:r w:rsidR="00863DBD">
              <w:rPr>
                <w:rFonts w:cs="Arial"/>
                <w:b/>
                <w:sz w:val="28"/>
              </w:rPr>
              <w:t xml:space="preserve"> 2014 </w:t>
            </w:r>
          </w:p>
        </w:tc>
      </w:tr>
      <w:tr w:rsidR="00F87354" w:rsidRPr="006102D6" w:rsidTr="00711029">
        <w:tc>
          <w:tcPr>
            <w:tcW w:w="7054" w:type="dxa"/>
            <w:gridSpan w:val="2"/>
            <w:tcBorders>
              <w:top w:val="single" w:sz="4" w:space="0" w:color="auto"/>
              <w:left w:val="single" w:sz="4" w:space="0" w:color="auto"/>
              <w:bottom w:val="single" w:sz="4" w:space="0" w:color="auto"/>
              <w:right w:val="single" w:sz="6" w:space="0" w:color="auto"/>
            </w:tcBorders>
            <w:vAlign w:val="center"/>
          </w:tcPr>
          <w:p w:rsidR="00F87354" w:rsidRPr="00D8425D" w:rsidRDefault="00D8425D" w:rsidP="00B758CB">
            <w:pPr>
              <w:pStyle w:val="BodyText"/>
              <w:jc w:val="left"/>
              <w:rPr>
                <w:rFonts w:cs="Arial"/>
              </w:rPr>
            </w:pPr>
            <w:r w:rsidRPr="00D8425D">
              <w:t>Correction to Unit of Measure in</w:t>
            </w:r>
            <w:r w:rsidRPr="00D8425D">
              <w:rPr>
                <w:rFonts w:cs="Arial"/>
              </w:rPr>
              <w:t xml:space="preserve"> M80015</w:t>
            </w:r>
          </w:p>
        </w:tc>
        <w:tc>
          <w:tcPr>
            <w:tcW w:w="3119" w:type="dxa"/>
            <w:tcBorders>
              <w:top w:val="single" w:sz="4" w:space="0" w:color="auto"/>
              <w:left w:val="single" w:sz="6" w:space="0" w:color="auto"/>
              <w:bottom w:val="single" w:sz="6" w:space="0" w:color="auto"/>
              <w:right w:val="single" w:sz="4" w:space="0" w:color="auto"/>
            </w:tcBorders>
            <w:vAlign w:val="center"/>
          </w:tcPr>
          <w:p w:rsidR="00F87354" w:rsidRDefault="00F87354" w:rsidP="005C2C99">
            <w:pPr>
              <w:spacing w:before="0"/>
              <w:jc w:val="center"/>
              <w:rPr>
                <w:rFonts w:cs="Arial"/>
                <w:b/>
                <w:sz w:val="28"/>
              </w:rPr>
            </w:pPr>
            <w:r>
              <w:rPr>
                <w:rFonts w:cs="Arial"/>
                <w:b/>
                <w:sz w:val="28"/>
              </w:rPr>
              <w:t>January 2015</w:t>
            </w:r>
          </w:p>
        </w:tc>
      </w:tr>
      <w:tr w:rsidR="009D539D" w:rsidRPr="006102D6" w:rsidTr="00711029">
        <w:tc>
          <w:tcPr>
            <w:tcW w:w="7054" w:type="dxa"/>
            <w:gridSpan w:val="2"/>
            <w:tcBorders>
              <w:top w:val="single" w:sz="4" w:space="0" w:color="auto"/>
              <w:left w:val="single" w:sz="4" w:space="0" w:color="auto"/>
              <w:bottom w:val="single" w:sz="6" w:space="0" w:color="auto"/>
              <w:right w:val="single" w:sz="6" w:space="0" w:color="auto"/>
            </w:tcBorders>
            <w:vAlign w:val="center"/>
          </w:tcPr>
          <w:p w:rsidR="009D539D" w:rsidRPr="006102D6" w:rsidRDefault="009D539D" w:rsidP="002E3D36">
            <w:pPr>
              <w:pStyle w:val="Heading5"/>
              <w:jc w:val="left"/>
              <w:rPr>
                <w:rFonts w:cs="Arial"/>
                <w:b w:val="0"/>
                <w:i w:val="0"/>
                <w:sz w:val="28"/>
              </w:rPr>
            </w:pPr>
            <w:r w:rsidRPr="006102D6">
              <w:rPr>
                <w:rFonts w:cs="Arial"/>
                <w:b w:val="0"/>
                <w:i w:val="0"/>
                <w:sz w:val="28"/>
                <w:szCs w:val="24"/>
              </w:rPr>
              <w:t>Consideration for next Service Specification Review</w:t>
            </w:r>
          </w:p>
        </w:tc>
        <w:tc>
          <w:tcPr>
            <w:tcW w:w="3119" w:type="dxa"/>
            <w:tcBorders>
              <w:top w:val="single" w:sz="6" w:space="0" w:color="auto"/>
              <w:left w:val="single" w:sz="6" w:space="0" w:color="auto"/>
              <w:bottom w:val="single" w:sz="6" w:space="0" w:color="auto"/>
              <w:right w:val="single" w:sz="4" w:space="0" w:color="auto"/>
            </w:tcBorders>
            <w:vAlign w:val="center"/>
          </w:tcPr>
          <w:p w:rsidR="009D539D" w:rsidRPr="006102D6" w:rsidRDefault="009D539D" w:rsidP="009D539D">
            <w:pPr>
              <w:jc w:val="center"/>
              <w:rPr>
                <w:rFonts w:cs="Arial"/>
                <w:sz w:val="28"/>
              </w:rPr>
            </w:pPr>
            <w:r w:rsidRPr="006102D6">
              <w:rPr>
                <w:rFonts w:cs="Arial"/>
                <w:sz w:val="28"/>
              </w:rPr>
              <w:t xml:space="preserve">within </w:t>
            </w:r>
            <w:r w:rsidR="003E4BB3">
              <w:rPr>
                <w:rFonts w:cs="Arial"/>
                <w:sz w:val="28"/>
              </w:rPr>
              <w:t>three</w:t>
            </w:r>
            <w:r w:rsidR="006102D6" w:rsidRPr="006102D6">
              <w:rPr>
                <w:rFonts w:cs="Arial"/>
                <w:sz w:val="28"/>
              </w:rPr>
              <w:t xml:space="preserve"> </w:t>
            </w:r>
            <w:r w:rsidRPr="006102D6">
              <w:rPr>
                <w:rFonts w:cs="Arial"/>
                <w:sz w:val="28"/>
              </w:rPr>
              <w:t>years</w:t>
            </w:r>
          </w:p>
          <w:p w:rsidR="009D539D" w:rsidRPr="006102D6" w:rsidRDefault="009D539D" w:rsidP="009D539D">
            <w:pPr>
              <w:jc w:val="center"/>
              <w:rPr>
                <w:rFonts w:cs="Arial"/>
                <w:sz w:val="28"/>
              </w:rPr>
            </w:pPr>
          </w:p>
        </w:tc>
      </w:tr>
    </w:tbl>
    <w:p w:rsidR="006102D6" w:rsidRPr="006102D6" w:rsidRDefault="006102D6" w:rsidP="006102D6">
      <w:pPr>
        <w:jc w:val="left"/>
        <w:rPr>
          <w:rFonts w:cs="Arial"/>
          <w:color w:val="000000"/>
          <w:lang w:eastAsia="en-NZ"/>
        </w:rPr>
      </w:pPr>
      <w:bookmarkStart w:id="12" w:name="_Toc215319119"/>
      <w:r w:rsidRPr="006102D6">
        <w:rPr>
          <w:rFonts w:cs="Arial"/>
          <w:b/>
          <w:bCs/>
          <w:color w:val="000000"/>
          <w:lang w:eastAsia="en-NZ"/>
        </w:rPr>
        <w:t>Note:</w:t>
      </w:r>
      <w:r w:rsidRPr="006102D6">
        <w:rPr>
          <w:rFonts w:cs="Arial"/>
          <w:color w:val="000000"/>
          <w:lang w:eastAsia="en-NZ"/>
        </w:rPr>
        <w:t xml:space="preserve"> Contact the Service Specification Programme Manager, National Health Board Business Unit, Ministry of Health to discuss proposed amendments to the service specifications and guidance in developing new or updating and revising existing service specifications. </w:t>
      </w:r>
    </w:p>
    <w:p w:rsidR="006102D6" w:rsidRPr="006102D6" w:rsidRDefault="006102D6" w:rsidP="006102D6">
      <w:pPr>
        <w:jc w:val="left"/>
        <w:rPr>
          <w:rFonts w:cs="Arial"/>
          <w:sz w:val="20"/>
          <w:szCs w:val="20"/>
          <w:lang w:val="en-GB" w:eastAsia="en-GB"/>
        </w:rPr>
      </w:pPr>
      <w:r w:rsidRPr="006102D6">
        <w:rPr>
          <w:rFonts w:cs="Arial"/>
          <w:color w:val="000000"/>
          <w:lang w:eastAsia="en-NZ"/>
        </w:rPr>
        <w:t xml:space="preserve">Nationwide Service Framework Library website </w:t>
      </w:r>
      <w:hyperlink r:id="rId10" w:history="1">
        <w:r w:rsidRPr="006102D6">
          <w:rPr>
            <w:rFonts w:cs="Arial"/>
            <w:color w:val="0000FF"/>
            <w:u w:val="single"/>
            <w:lang w:eastAsia="en-NZ"/>
          </w:rPr>
          <w:t>http://www.nsfl.health.govt.nz</w:t>
        </w:r>
      </w:hyperlink>
      <w:bookmarkEnd w:id="12"/>
    </w:p>
    <w:p w:rsidR="008D517F" w:rsidRPr="00A463E3" w:rsidRDefault="009D539D" w:rsidP="00A463E3">
      <w:pPr>
        <w:pBdr>
          <w:top w:val="single" w:sz="4" w:space="1" w:color="auto"/>
          <w:left w:val="single" w:sz="4" w:space="4" w:color="auto"/>
          <w:bottom w:val="single" w:sz="4" w:space="1" w:color="auto"/>
          <w:right w:val="single" w:sz="4" w:space="4" w:color="auto"/>
        </w:pBdr>
        <w:spacing w:before="0"/>
        <w:jc w:val="center"/>
        <w:rPr>
          <w:b/>
        </w:rPr>
      </w:pPr>
      <w:r w:rsidRPr="006102D6">
        <w:br w:type="page"/>
      </w:r>
      <w:bookmarkStart w:id="13" w:name="_Toc215319122"/>
      <w:bookmarkEnd w:id="0"/>
      <w:r w:rsidR="00496798" w:rsidRPr="00A463E3">
        <w:rPr>
          <w:b/>
        </w:rPr>
        <w:lastRenderedPageBreak/>
        <w:t xml:space="preserve">SPECIALIST </w:t>
      </w:r>
      <w:r w:rsidRPr="00A463E3">
        <w:rPr>
          <w:b/>
        </w:rPr>
        <w:t>PALLIATIVE CARE</w:t>
      </w:r>
      <w:r w:rsidR="00E203D7" w:rsidRPr="00A463E3">
        <w:rPr>
          <w:b/>
        </w:rPr>
        <w:t xml:space="preserve"> </w:t>
      </w:r>
      <w:r w:rsidR="002C372B" w:rsidRPr="00A463E3">
        <w:rPr>
          <w:b/>
        </w:rPr>
        <w:t>SERVICES</w:t>
      </w:r>
      <w:r w:rsidR="00BC76E3" w:rsidRPr="00A463E3">
        <w:rPr>
          <w:b/>
        </w:rPr>
        <w:t>-</w:t>
      </w:r>
    </w:p>
    <w:p w:rsidR="008D517F" w:rsidRPr="00A463E3" w:rsidRDefault="008D517F" w:rsidP="00A463E3">
      <w:pPr>
        <w:pBdr>
          <w:top w:val="single" w:sz="4" w:space="1" w:color="auto"/>
          <w:left w:val="single" w:sz="4" w:space="4" w:color="auto"/>
          <w:bottom w:val="single" w:sz="4" w:space="1" w:color="auto"/>
          <w:right w:val="single" w:sz="4" w:space="4" w:color="auto"/>
        </w:pBdr>
        <w:spacing w:before="0"/>
        <w:jc w:val="center"/>
        <w:rPr>
          <w:b/>
        </w:rPr>
      </w:pPr>
      <w:r w:rsidRPr="00A463E3">
        <w:rPr>
          <w:b/>
        </w:rPr>
        <w:t>SPECIALIST MEDICAL AND SURGICAL SE</w:t>
      </w:r>
      <w:r w:rsidR="002217BD" w:rsidRPr="00A463E3">
        <w:rPr>
          <w:b/>
        </w:rPr>
        <w:t>R</w:t>
      </w:r>
      <w:r w:rsidRPr="00A463E3">
        <w:rPr>
          <w:b/>
        </w:rPr>
        <w:t>VICES</w:t>
      </w:r>
    </w:p>
    <w:p w:rsidR="009D539D" w:rsidRPr="00A463E3" w:rsidRDefault="009D539D" w:rsidP="00A463E3">
      <w:pPr>
        <w:pBdr>
          <w:top w:val="single" w:sz="4" w:space="1" w:color="auto"/>
          <w:left w:val="single" w:sz="4" w:space="4" w:color="auto"/>
          <w:bottom w:val="single" w:sz="4" w:space="1" w:color="auto"/>
          <w:right w:val="single" w:sz="4" w:space="4" w:color="auto"/>
        </w:pBdr>
        <w:spacing w:before="0"/>
        <w:jc w:val="center"/>
        <w:rPr>
          <w:b/>
        </w:rPr>
      </w:pPr>
      <w:r w:rsidRPr="00A463E3">
        <w:rPr>
          <w:b/>
        </w:rPr>
        <w:t xml:space="preserve">TIER </w:t>
      </w:r>
      <w:bookmarkEnd w:id="13"/>
      <w:r w:rsidRPr="00A463E3">
        <w:rPr>
          <w:b/>
        </w:rPr>
        <w:t xml:space="preserve">LEVEL </w:t>
      </w:r>
      <w:r w:rsidR="00025675" w:rsidRPr="00A463E3">
        <w:rPr>
          <w:b/>
        </w:rPr>
        <w:t>TWO</w:t>
      </w:r>
    </w:p>
    <w:p w:rsidR="009D539D" w:rsidRDefault="009D539D" w:rsidP="00A463E3">
      <w:pPr>
        <w:pBdr>
          <w:top w:val="single" w:sz="4" w:space="1" w:color="auto"/>
          <w:left w:val="single" w:sz="4" w:space="4" w:color="auto"/>
          <w:bottom w:val="single" w:sz="4" w:space="1" w:color="auto"/>
          <w:right w:val="single" w:sz="4" w:space="4" w:color="auto"/>
        </w:pBdr>
        <w:spacing w:before="0"/>
        <w:jc w:val="center"/>
        <w:rPr>
          <w:b/>
        </w:rPr>
      </w:pPr>
      <w:r w:rsidRPr="00A463E3">
        <w:rPr>
          <w:b/>
        </w:rPr>
        <w:t>SERVICE SPECIFICATION</w:t>
      </w:r>
      <w:bookmarkStart w:id="14" w:name="_Toc215319134"/>
    </w:p>
    <w:p w:rsidR="00B11211" w:rsidRPr="00A463E3" w:rsidRDefault="00B11211" w:rsidP="00A463E3">
      <w:pPr>
        <w:pBdr>
          <w:top w:val="single" w:sz="4" w:space="1" w:color="auto"/>
          <w:left w:val="single" w:sz="4" w:space="4" w:color="auto"/>
          <w:bottom w:val="single" w:sz="4" w:space="1" w:color="auto"/>
          <w:right w:val="single" w:sz="4" w:space="4" w:color="auto"/>
        </w:pBdr>
        <w:spacing w:before="0"/>
        <w:jc w:val="center"/>
        <w:rPr>
          <w:b/>
        </w:rPr>
      </w:pPr>
      <w:r w:rsidRPr="00B11211">
        <w:rPr>
          <w:b/>
        </w:rPr>
        <w:t xml:space="preserve">M80001, M80007, M80008, M80009, M80010, M80011, MS01001, M00010, </w:t>
      </w:r>
      <w:r w:rsidR="00C929CB">
        <w:rPr>
          <w:b/>
        </w:rPr>
        <w:t>M80015</w:t>
      </w:r>
    </w:p>
    <w:bookmarkEnd w:id="14"/>
    <w:p w:rsidR="00025675" w:rsidRDefault="00F662C3" w:rsidP="003C54F0">
      <w:pPr>
        <w:jc w:val="left"/>
        <w:rPr>
          <w:rFonts w:cs="Arial"/>
        </w:rPr>
      </w:pPr>
      <w:r w:rsidRPr="00F662C3">
        <w:rPr>
          <w:rFonts w:cs="Arial"/>
          <w:bCs/>
          <w:color w:val="000000"/>
        </w:rPr>
        <w:t xml:space="preserve">The Tier One </w:t>
      </w:r>
      <w:r w:rsidR="002D7EF8" w:rsidRPr="002D7EF8">
        <w:rPr>
          <w:rFonts w:cs="Arial"/>
          <w:bCs/>
          <w:color w:val="000000"/>
        </w:rPr>
        <w:t xml:space="preserve">Specialist Medical and Surgical Service Specification </w:t>
      </w:r>
      <w:r>
        <w:rPr>
          <w:rFonts w:cs="Arial"/>
          <w:bCs/>
          <w:color w:val="000000"/>
        </w:rPr>
        <w:t>service</w:t>
      </w:r>
      <w:r w:rsidRPr="00F662C3">
        <w:rPr>
          <w:rFonts w:cs="Arial"/>
          <w:bCs/>
          <w:color w:val="000000"/>
        </w:rPr>
        <w:t xml:space="preserve"> specification</w:t>
      </w:r>
      <w:r>
        <w:rPr>
          <w:rFonts w:cs="Arial"/>
          <w:bCs/>
          <w:color w:val="000000"/>
        </w:rPr>
        <w:t>s contain</w:t>
      </w:r>
      <w:r w:rsidRPr="00F662C3">
        <w:rPr>
          <w:rFonts w:cs="Arial"/>
          <w:bCs/>
          <w:color w:val="000000"/>
        </w:rPr>
        <w:t xml:space="preserve"> generic principles and content common to all the tiers of specifications below it</w:t>
      </w:r>
      <w:r w:rsidR="005A758F">
        <w:rPr>
          <w:rFonts w:cs="Arial"/>
          <w:bCs/>
          <w:color w:val="000000"/>
        </w:rPr>
        <w:t xml:space="preserve"> so that the total requirements are explicit</w:t>
      </w:r>
      <w:r>
        <w:rPr>
          <w:rFonts w:cs="Arial"/>
          <w:bCs/>
          <w:color w:val="000000"/>
        </w:rPr>
        <w:t xml:space="preserve">.  </w:t>
      </w:r>
      <w:r w:rsidR="000B5B8F" w:rsidRPr="006102D6">
        <w:rPr>
          <w:rFonts w:cs="Arial"/>
          <w:bCs/>
          <w:color w:val="000000"/>
        </w:rPr>
        <w:t xml:space="preserve">This </w:t>
      </w:r>
      <w:r w:rsidR="004D09BE">
        <w:rPr>
          <w:rFonts w:cs="Arial"/>
          <w:bCs/>
          <w:color w:val="000000"/>
        </w:rPr>
        <w:t>T</w:t>
      </w:r>
      <w:r w:rsidR="000B5B8F" w:rsidRPr="006102D6">
        <w:rPr>
          <w:rFonts w:cs="Arial"/>
          <w:bCs/>
          <w:color w:val="000000"/>
        </w:rPr>
        <w:t xml:space="preserve">ier </w:t>
      </w:r>
      <w:r w:rsidR="004D09BE">
        <w:rPr>
          <w:rFonts w:cs="Arial"/>
          <w:bCs/>
          <w:color w:val="000000"/>
        </w:rPr>
        <w:t>T</w:t>
      </w:r>
      <w:r w:rsidR="00025675" w:rsidRPr="006102D6">
        <w:rPr>
          <w:rFonts w:cs="Arial"/>
          <w:bCs/>
          <w:color w:val="000000"/>
        </w:rPr>
        <w:t>wo</w:t>
      </w:r>
      <w:r w:rsidR="000B5B8F" w:rsidRPr="006102D6">
        <w:rPr>
          <w:rFonts w:cs="Arial"/>
          <w:bCs/>
          <w:color w:val="000000"/>
        </w:rPr>
        <w:t xml:space="preserve"> service specification for Specialist Palliative Care Services (the Service)</w:t>
      </w:r>
      <w:r w:rsidR="007B6347" w:rsidRPr="006102D6">
        <w:rPr>
          <w:rFonts w:cs="Arial"/>
          <w:bCs/>
          <w:color w:val="000000"/>
        </w:rPr>
        <w:t xml:space="preserve"> </w:t>
      </w:r>
      <w:r w:rsidR="00C95F22">
        <w:rPr>
          <w:rFonts w:cs="Arial"/>
          <w:bCs/>
          <w:color w:val="000000"/>
        </w:rPr>
        <w:t>is</w:t>
      </w:r>
      <w:r w:rsidR="00C95F22">
        <w:rPr>
          <w:rFonts w:cs="Arial"/>
        </w:rPr>
        <w:t xml:space="preserve"> also</w:t>
      </w:r>
      <w:r w:rsidR="00176354" w:rsidRPr="006102D6">
        <w:rPr>
          <w:rFonts w:cs="Arial"/>
        </w:rPr>
        <w:t xml:space="preserve"> used </w:t>
      </w:r>
      <w:r w:rsidR="008D517F">
        <w:rPr>
          <w:rFonts w:cs="Arial"/>
        </w:rPr>
        <w:t xml:space="preserve">(as appropriate) </w:t>
      </w:r>
      <w:r w:rsidR="00176354" w:rsidRPr="006102D6">
        <w:rPr>
          <w:rFonts w:cs="Arial"/>
        </w:rPr>
        <w:t>in conjunction with</w:t>
      </w:r>
      <w:r w:rsidR="00E0733B">
        <w:rPr>
          <w:rFonts w:cs="Arial"/>
        </w:rPr>
        <w:t xml:space="preserve"> the following documents</w:t>
      </w:r>
      <w:r w:rsidR="00025675" w:rsidRPr="006102D6">
        <w:rPr>
          <w:rFonts w:cs="Arial"/>
        </w:rPr>
        <w:t>:</w:t>
      </w:r>
    </w:p>
    <w:p w:rsidR="0014568B" w:rsidRPr="00E0733B" w:rsidRDefault="00E0733B" w:rsidP="00C94C52">
      <w:pPr>
        <w:jc w:val="left"/>
        <w:rPr>
          <w:rFonts w:cs="Arial"/>
          <w:bCs/>
          <w:color w:val="000000"/>
        </w:rPr>
      </w:pPr>
      <w:r w:rsidRPr="00E0733B">
        <w:rPr>
          <w:rFonts w:cs="Arial"/>
          <w:bCs/>
          <w:color w:val="000000"/>
        </w:rPr>
        <w:t>For service delivery:</w:t>
      </w:r>
    </w:p>
    <w:p w:rsidR="00BC76E3" w:rsidRDefault="00BC76E3" w:rsidP="00A23B15">
      <w:pPr>
        <w:pStyle w:val="ListParagraph"/>
        <w:numPr>
          <w:ilvl w:val="0"/>
          <w:numId w:val="14"/>
        </w:numPr>
        <w:ind w:left="567" w:hanging="567"/>
      </w:pPr>
      <w:r w:rsidRPr="00432E0F">
        <w:t>Tier One Services for Children and Young People (</w:t>
      </w:r>
      <w:r w:rsidR="00C95F22">
        <w:t>as</w:t>
      </w:r>
      <w:r w:rsidRPr="00432E0F">
        <w:t xml:space="preserve"> age applicable)</w:t>
      </w:r>
    </w:p>
    <w:p w:rsidR="002D7EF8" w:rsidRDefault="00A521F5" w:rsidP="00A23B15">
      <w:pPr>
        <w:pStyle w:val="ListParagraph"/>
        <w:numPr>
          <w:ilvl w:val="0"/>
          <w:numId w:val="14"/>
        </w:numPr>
        <w:ind w:left="567" w:hanging="567"/>
      </w:pPr>
      <w:r w:rsidRPr="002D7EF8">
        <w:t xml:space="preserve">Tier One Community Health, Transitional and Support Service Specification and its tier two </w:t>
      </w:r>
      <w:r w:rsidR="002612AA" w:rsidRPr="002D7EF8">
        <w:t xml:space="preserve">service specifications, </w:t>
      </w:r>
      <w:r w:rsidR="00C95F22">
        <w:t xml:space="preserve">such as </w:t>
      </w:r>
      <w:r w:rsidRPr="002D7EF8">
        <w:t>Specialist Community Nursing Services, Allied Health Services (non</w:t>
      </w:r>
      <w:r w:rsidR="00D1271E">
        <w:t>-</w:t>
      </w:r>
      <w:r w:rsidRPr="002D7EF8">
        <w:t>inpatient)</w:t>
      </w:r>
      <w:r w:rsidR="0053697E">
        <w:t>.</w:t>
      </w:r>
    </w:p>
    <w:p w:rsidR="00F662C3" w:rsidRPr="002D7EF8" w:rsidRDefault="00F662C3" w:rsidP="002D7EF8">
      <w:pPr>
        <w:jc w:val="left"/>
        <w:rPr>
          <w:rFonts w:cs="Arial"/>
        </w:rPr>
      </w:pPr>
      <w:r w:rsidRPr="002D7EF8">
        <w:rPr>
          <w:rFonts w:cs="Arial"/>
        </w:rPr>
        <w:t>For service model</w:t>
      </w:r>
      <w:r w:rsidR="00AF44D2">
        <w:rPr>
          <w:rFonts w:cs="Arial"/>
        </w:rPr>
        <w:t>s</w:t>
      </w:r>
      <w:r w:rsidRPr="002D7EF8">
        <w:rPr>
          <w:rFonts w:cs="Arial"/>
        </w:rPr>
        <w:t>:</w:t>
      </w:r>
    </w:p>
    <w:p w:rsidR="00F662C3" w:rsidRPr="00F662C3" w:rsidRDefault="00F662C3" w:rsidP="00A23B15">
      <w:pPr>
        <w:pStyle w:val="ListParagraph"/>
        <w:numPr>
          <w:ilvl w:val="0"/>
          <w:numId w:val="14"/>
        </w:numPr>
        <w:ind w:left="567" w:hanging="567"/>
      </w:pPr>
      <w:r w:rsidRPr="00F662C3">
        <w:t>Resource and Capability Framework for Integrated Adult Palliative Care Services   (the Resource and Capability Framework) (Ministry of Health 2013)</w:t>
      </w:r>
    </w:p>
    <w:p w:rsidR="00F662C3" w:rsidRPr="00F662C3" w:rsidRDefault="00F662C3" w:rsidP="00A23B15">
      <w:pPr>
        <w:pStyle w:val="ListParagraph"/>
        <w:numPr>
          <w:ilvl w:val="0"/>
          <w:numId w:val="14"/>
        </w:numPr>
        <w:ind w:left="567" w:hanging="567"/>
      </w:pPr>
      <w:r w:rsidRPr="00F662C3">
        <w:t>Guidance for Integrated Paediatric Palliative Care Services in New Zealand (Ministry of Health 2012).</w:t>
      </w:r>
    </w:p>
    <w:p w:rsidR="00753AB7" w:rsidRPr="00131DC7" w:rsidRDefault="00753AB7" w:rsidP="00E868A6">
      <w:pPr>
        <w:jc w:val="left"/>
        <w:rPr>
          <w:i/>
        </w:rPr>
      </w:pPr>
      <w:r w:rsidRPr="002D7EF8">
        <w:t xml:space="preserve">Refer to Appendix Two, Glossary of Terms for definitions of the terms used within this service specification, including definitions for </w:t>
      </w:r>
      <w:r w:rsidRPr="00131DC7">
        <w:rPr>
          <w:i/>
        </w:rPr>
        <w:t>specialist palliative care</w:t>
      </w:r>
      <w:r w:rsidRPr="00131DC7">
        <w:t xml:space="preserve"> and </w:t>
      </w:r>
      <w:r w:rsidRPr="00131DC7">
        <w:rPr>
          <w:i/>
        </w:rPr>
        <w:t>primary palliative care providers</w:t>
      </w:r>
      <w:r w:rsidRPr="00131DC7" w:rsidDel="003A1AC5">
        <w:rPr>
          <w:i/>
        </w:rPr>
        <w:t>.</w:t>
      </w:r>
      <w:r w:rsidR="000F1955" w:rsidRPr="000F1955">
        <w:t xml:space="preserve"> </w:t>
      </w:r>
    </w:p>
    <w:p w:rsidR="00A714C0" w:rsidRPr="00BC76E3" w:rsidRDefault="00A714C0" w:rsidP="004D09BE">
      <w:pPr>
        <w:pStyle w:val="Heading1"/>
      </w:pPr>
      <w:r w:rsidRPr="00BC76E3">
        <w:t>Background</w:t>
      </w:r>
    </w:p>
    <w:p w:rsidR="00844D64" w:rsidRDefault="009D6223" w:rsidP="00F4333E">
      <w:pPr>
        <w:pStyle w:val="TableText"/>
        <w:spacing w:before="0" w:after="0"/>
        <w:rPr>
          <w:rFonts w:ascii="Arial" w:hAnsi="Arial" w:cs="Arial"/>
          <w:bCs/>
          <w:color w:val="000000"/>
          <w:sz w:val="24"/>
          <w:szCs w:val="24"/>
        </w:rPr>
      </w:pPr>
      <w:r w:rsidRPr="0022547A">
        <w:rPr>
          <w:rFonts w:ascii="Arial" w:hAnsi="Arial" w:cs="Arial"/>
          <w:bCs/>
          <w:color w:val="000000"/>
          <w:sz w:val="24"/>
          <w:szCs w:val="24"/>
          <w:lang w:eastAsia="en-US"/>
        </w:rPr>
        <w:t>This service specification incorporates</w:t>
      </w:r>
      <w:r w:rsidR="00E630DB" w:rsidRPr="0022547A">
        <w:rPr>
          <w:rFonts w:ascii="Arial" w:hAnsi="Arial" w:cs="Arial"/>
          <w:bCs/>
          <w:color w:val="000000"/>
          <w:sz w:val="24"/>
          <w:szCs w:val="24"/>
          <w:lang w:eastAsia="en-US"/>
        </w:rPr>
        <w:t xml:space="preserve"> </w:t>
      </w:r>
      <w:r w:rsidR="00B231C5" w:rsidRPr="0022547A">
        <w:rPr>
          <w:rFonts w:ascii="Arial" w:hAnsi="Arial" w:cs="Arial"/>
          <w:bCs/>
          <w:color w:val="000000"/>
          <w:sz w:val="24"/>
          <w:szCs w:val="24"/>
          <w:lang w:eastAsia="en-US"/>
        </w:rPr>
        <w:t>dev</w:t>
      </w:r>
      <w:r w:rsidR="00B231C5" w:rsidRPr="001E2F16">
        <w:rPr>
          <w:rFonts w:ascii="Arial" w:hAnsi="Arial"/>
          <w:sz w:val="24"/>
          <w:szCs w:val="24"/>
          <w:lang w:eastAsia="en-US"/>
        </w:rPr>
        <w:t xml:space="preserve">elopment </w:t>
      </w:r>
      <w:r w:rsidR="00E630DB" w:rsidRPr="001E2F16">
        <w:rPr>
          <w:rFonts w:ascii="Arial" w:hAnsi="Arial"/>
          <w:sz w:val="24"/>
          <w:szCs w:val="24"/>
          <w:lang w:eastAsia="en-US"/>
        </w:rPr>
        <w:t xml:space="preserve">work </w:t>
      </w:r>
      <w:r w:rsidR="00B231C5" w:rsidRPr="001E2F16">
        <w:rPr>
          <w:rFonts w:ascii="Arial" w:hAnsi="Arial"/>
          <w:sz w:val="24"/>
          <w:szCs w:val="24"/>
          <w:lang w:eastAsia="en-US"/>
        </w:rPr>
        <w:t xml:space="preserve">previously </w:t>
      </w:r>
      <w:r w:rsidR="00E630DB" w:rsidRPr="001E2F16">
        <w:rPr>
          <w:rFonts w:ascii="Arial" w:hAnsi="Arial"/>
          <w:sz w:val="24"/>
          <w:szCs w:val="24"/>
          <w:lang w:eastAsia="en-US"/>
        </w:rPr>
        <w:t>undertaken by the Ministry of Health in conjunction with the sector</w:t>
      </w:r>
      <w:r w:rsidR="00E630DB" w:rsidRPr="0022547A">
        <w:rPr>
          <w:rFonts w:ascii="Arial" w:hAnsi="Arial" w:cs="Arial"/>
          <w:bCs/>
          <w:color w:val="000000"/>
          <w:sz w:val="24"/>
          <w:szCs w:val="24"/>
          <w:lang w:eastAsia="en-US"/>
        </w:rPr>
        <w:t xml:space="preserve"> </w:t>
      </w:r>
      <w:r w:rsidRPr="0022547A">
        <w:rPr>
          <w:rFonts w:ascii="Arial" w:hAnsi="Arial" w:cs="Arial"/>
          <w:bCs/>
          <w:color w:val="000000"/>
          <w:sz w:val="24"/>
          <w:szCs w:val="24"/>
          <w:lang w:eastAsia="en-US"/>
        </w:rPr>
        <w:t xml:space="preserve">and </w:t>
      </w:r>
      <w:r w:rsidR="00B231C5" w:rsidRPr="0022547A">
        <w:rPr>
          <w:rFonts w:ascii="Arial" w:hAnsi="Arial" w:cs="Arial"/>
          <w:bCs/>
          <w:color w:val="000000"/>
          <w:sz w:val="24"/>
          <w:szCs w:val="24"/>
          <w:lang w:eastAsia="en-US"/>
        </w:rPr>
        <w:t>aligns with</w:t>
      </w:r>
      <w:r w:rsidR="00B231C5">
        <w:rPr>
          <w:rFonts w:ascii="Arial" w:hAnsi="Arial" w:cs="Arial"/>
          <w:bCs/>
          <w:color w:val="000000"/>
          <w:sz w:val="24"/>
          <w:szCs w:val="24"/>
          <w:lang w:eastAsia="en-US"/>
        </w:rPr>
        <w:t xml:space="preserve"> </w:t>
      </w:r>
      <w:r w:rsidR="00766EA5" w:rsidRPr="00BD07D4">
        <w:rPr>
          <w:rFonts w:ascii="Arial" w:hAnsi="Arial" w:cs="Arial"/>
          <w:bCs/>
          <w:color w:val="000000"/>
          <w:sz w:val="24"/>
          <w:szCs w:val="24"/>
        </w:rPr>
        <w:t>the Resource and Capability Framework</w:t>
      </w:r>
      <w:r w:rsidR="00432E0F">
        <w:rPr>
          <w:rFonts w:ascii="Arial" w:hAnsi="Arial" w:cs="Arial"/>
          <w:bCs/>
          <w:color w:val="000000"/>
          <w:sz w:val="24"/>
          <w:szCs w:val="24"/>
        </w:rPr>
        <w:t xml:space="preserve"> </w:t>
      </w:r>
      <w:r w:rsidR="0022547A">
        <w:rPr>
          <w:rFonts w:ascii="Arial" w:hAnsi="Arial" w:cs="Arial"/>
          <w:bCs/>
          <w:color w:val="000000"/>
          <w:sz w:val="24"/>
          <w:szCs w:val="24"/>
        </w:rPr>
        <w:t>that</w:t>
      </w:r>
      <w:r w:rsidR="00844D64">
        <w:rPr>
          <w:rFonts w:ascii="Arial" w:hAnsi="Arial" w:cs="Arial"/>
          <w:bCs/>
          <w:color w:val="000000"/>
          <w:sz w:val="24"/>
          <w:szCs w:val="24"/>
        </w:rPr>
        <w:t>:</w:t>
      </w:r>
    </w:p>
    <w:p w:rsidR="00844D64" w:rsidRPr="00A463E3" w:rsidRDefault="00E81CA4" w:rsidP="00A463E3">
      <w:pPr>
        <w:pStyle w:val="ListParagraph"/>
        <w:numPr>
          <w:ilvl w:val="0"/>
          <w:numId w:val="14"/>
        </w:numPr>
        <w:ind w:left="567" w:hanging="567"/>
      </w:pPr>
      <w:r w:rsidRPr="00A463E3">
        <w:t xml:space="preserve">describes the levels of palliative care required in New Zealand </w:t>
      </w:r>
      <w:r w:rsidR="009D6223" w:rsidRPr="00A463E3">
        <w:t xml:space="preserve">and </w:t>
      </w:r>
      <w:r w:rsidR="00844D64" w:rsidRPr="00A463E3">
        <w:t>what is</w:t>
      </w:r>
      <w:r w:rsidRPr="00A463E3">
        <w:t xml:space="preserve"> needed to support service delivery</w:t>
      </w:r>
    </w:p>
    <w:p w:rsidR="00E81CA4" w:rsidRPr="00A463E3" w:rsidRDefault="00E81CA4" w:rsidP="00A463E3">
      <w:pPr>
        <w:pStyle w:val="ListParagraph"/>
        <w:numPr>
          <w:ilvl w:val="0"/>
          <w:numId w:val="14"/>
        </w:numPr>
        <w:ind w:left="567" w:hanging="567"/>
      </w:pPr>
      <w:proofErr w:type="gramStart"/>
      <w:r w:rsidRPr="00A463E3">
        <w:t>provide</w:t>
      </w:r>
      <w:r w:rsidR="00844D64" w:rsidRPr="00A463E3">
        <w:t>s</w:t>
      </w:r>
      <w:proofErr w:type="gramEnd"/>
      <w:r w:rsidRPr="00A463E3">
        <w:t xml:space="preserve"> guidance to funders</w:t>
      </w:r>
      <w:r w:rsidR="00844D64" w:rsidRPr="00A463E3">
        <w:t>, planners and policy makers to</w:t>
      </w:r>
      <w:r w:rsidRPr="00A463E3">
        <w:t xml:space="preserve"> inform strategic planning and purchasing of accessible and equitable palliative care services for New Zealanders.</w:t>
      </w:r>
    </w:p>
    <w:p w:rsidR="002923A5" w:rsidRDefault="002923A5" w:rsidP="00A463E3">
      <w:pPr>
        <w:jc w:val="left"/>
        <w:rPr>
          <w:highlight w:val="yellow"/>
        </w:rPr>
      </w:pPr>
      <w:r>
        <w:t>Palliative Care s</w:t>
      </w:r>
      <w:r w:rsidRPr="002923A5">
        <w:t>ervice models across the country recogni</w:t>
      </w:r>
      <w:r>
        <w:t>s</w:t>
      </w:r>
      <w:r w:rsidR="0053697E">
        <w:t>e</w:t>
      </w:r>
      <w:r w:rsidRPr="002923A5">
        <w:t xml:space="preserve"> geographical barriers and demographics</w:t>
      </w:r>
      <w:r>
        <w:t>,</w:t>
      </w:r>
      <w:r w:rsidRPr="002923A5">
        <w:t xml:space="preserve"> particularly for small rural areas</w:t>
      </w:r>
      <w:r>
        <w:t>.</w:t>
      </w:r>
      <w:r w:rsidRPr="002923A5">
        <w:t xml:space="preserve">  </w:t>
      </w:r>
      <w:r w:rsidR="00C95F22">
        <w:t>These</w:t>
      </w:r>
      <w:r w:rsidRPr="002923A5">
        <w:t xml:space="preserve"> model</w:t>
      </w:r>
      <w:r>
        <w:t xml:space="preserve">s </w:t>
      </w:r>
      <w:r w:rsidRPr="002923A5">
        <w:t>recogni</w:t>
      </w:r>
      <w:r>
        <w:t>s</w:t>
      </w:r>
      <w:r w:rsidRPr="002923A5">
        <w:t xml:space="preserve">e that shared care approaches will be required in some areas whilst a comprehensive palliative care service can </w:t>
      </w:r>
      <w:r>
        <w:t xml:space="preserve">best </w:t>
      </w:r>
      <w:r w:rsidRPr="002923A5">
        <w:t>be delivered in other locations</w:t>
      </w:r>
      <w:r>
        <w:t>.</w:t>
      </w:r>
      <w:r w:rsidR="00090A11">
        <w:t xml:space="preserve"> Refer to Appendix One. </w:t>
      </w:r>
    </w:p>
    <w:p w:rsidR="001E2F16" w:rsidRDefault="00753AB7" w:rsidP="00A463E3">
      <w:pPr>
        <w:jc w:val="left"/>
        <w:rPr>
          <w:lang w:val="en-GB"/>
        </w:rPr>
      </w:pPr>
      <w:r w:rsidRPr="0022547A">
        <w:t xml:space="preserve">This service specification outlines a minimum service that </w:t>
      </w:r>
      <w:r w:rsidR="003B579B">
        <w:t>District Health Boards (DHBs</w:t>
      </w:r>
      <w:proofErr w:type="gramStart"/>
      <w:r w:rsidR="003B579B">
        <w:t xml:space="preserve">) </w:t>
      </w:r>
      <w:r w:rsidRPr="0022547A">
        <w:t xml:space="preserve"> are</w:t>
      </w:r>
      <w:proofErr w:type="gramEnd"/>
      <w:r w:rsidRPr="0022547A">
        <w:t xml:space="preserve"> expected to purchase for their </w:t>
      </w:r>
      <w:r w:rsidR="00C95F22">
        <w:t>population</w:t>
      </w:r>
      <w:r w:rsidRPr="0022547A">
        <w:t xml:space="preserve">.  The </w:t>
      </w:r>
      <w:r w:rsidR="0053697E">
        <w:t xml:space="preserve">key </w:t>
      </w:r>
      <w:r w:rsidRPr="0022547A">
        <w:t xml:space="preserve">components of this </w:t>
      </w:r>
      <w:r w:rsidR="0053697E">
        <w:t>S</w:t>
      </w:r>
      <w:r w:rsidRPr="0022547A">
        <w:t xml:space="preserve">ervice are outlined in Section 6.  Some </w:t>
      </w:r>
      <w:r w:rsidR="007838CD">
        <w:t>p</w:t>
      </w:r>
      <w:r w:rsidRPr="0022547A">
        <w:t xml:space="preserve">roviders </w:t>
      </w:r>
      <w:r w:rsidR="00C95F22" w:rsidRPr="0022547A">
        <w:t>(</w:t>
      </w:r>
      <w:proofErr w:type="spellStart"/>
      <w:r w:rsidR="00C95F22">
        <w:t>eg</w:t>
      </w:r>
      <w:proofErr w:type="spellEnd"/>
      <w:r w:rsidR="00C95F22">
        <w:t>,</w:t>
      </w:r>
      <w:r w:rsidR="00C95F22" w:rsidRPr="0022547A">
        <w:t xml:space="preserve"> hospices)</w:t>
      </w:r>
      <w:r w:rsidR="00C95F22">
        <w:t xml:space="preserve"> </w:t>
      </w:r>
      <w:r w:rsidRPr="0022547A">
        <w:t xml:space="preserve">contracted </w:t>
      </w:r>
      <w:r w:rsidR="00C95F22">
        <w:t xml:space="preserve">by </w:t>
      </w:r>
      <w:r w:rsidR="00D1271E">
        <w:t>D</w:t>
      </w:r>
      <w:r w:rsidR="00C95F22">
        <w:t xml:space="preserve">HBs </w:t>
      </w:r>
      <w:r w:rsidRPr="0022547A">
        <w:t xml:space="preserve">to provide </w:t>
      </w:r>
      <w:r w:rsidR="00C95F22" w:rsidRPr="00C95F22">
        <w:t xml:space="preserve">this </w:t>
      </w:r>
      <w:r w:rsidR="0053697E">
        <w:t>Service</w:t>
      </w:r>
      <w:r w:rsidRPr="0022547A">
        <w:t xml:space="preserve"> may provide </w:t>
      </w:r>
      <w:r w:rsidR="00C95F22">
        <w:t xml:space="preserve">additional </w:t>
      </w:r>
      <w:r w:rsidRPr="0022547A">
        <w:t>services (</w:t>
      </w:r>
      <w:proofErr w:type="spellStart"/>
      <w:r w:rsidR="00C95F22">
        <w:t>eg</w:t>
      </w:r>
      <w:proofErr w:type="spellEnd"/>
      <w:r w:rsidR="00BF207C">
        <w:t>,</w:t>
      </w:r>
      <w:r w:rsidRPr="0022547A">
        <w:t xml:space="preserve"> non-clinical patient and family support services such as biography writing and day activities)</w:t>
      </w:r>
      <w:r w:rsidR="0053697E">
        <w:t xml:space="preserve">. </w:t>
      </w:r>
      <w:r w:rsidR="001E2F16">
        <w:t xml:space="preserve"> </w:t>
      </w:r>
      <w:r w:rsidR="0053697E">
        <w:t>These additional services</w:t>
      </w:r>
      <w:r w:rsidRPr="0022547A">
        <w:t xml:space="preserve"> are usually provided by volunteers and/or funded through community fundraising.</w:t>
      </w:r>
      <w:r w:rsidR="001E2F16">
        <w:t xml:space="preserve"> </w:t>
      </w:r>
      <w:r w:rsidR="00C95F22">
        <w:rPr>
          <w:lang w:val="en-GB"/>
        </w:rPr>
        <w:t xml:space="preserve"> </w:t>
      </w:r>
    </w:p>
    <w:p w:rsidR="00D313DF" w:rsidRDefault="007D62A6" w:rsidP="00D313DF">
      <w:r w:rsidRPr="00C95F22">
        <w:t xml:space="preserve">DHBs </w:t>
      </w:r>
      <w:r w:rsidR="00DC6DB9">
        <w:t xml:space="preserve">vary </w:t>
      </w:r>
      <w:r w:rsidRPr="00C95F22">
        <w:t>in the</w:t>
      </w:r>
      <w:r w:rsidR="00DC6DB9">
        <w:t>ir</w:t>
      </w:r>
      <w:r w:rsidRPr="00C95F22">
        <w:t xml:space="preserve"> funding </w:t>
      </w:r>
      <w:r w:rsidR="00C95F22">
        <w:t>arrangements of</w:t>
      </w:r>
      <w:r w:rsidRPr="00C95F22">
        <w:t xml:space="preserve"> specialist palliative care services due to long</w:t>
      </w:r>
      <w:r w:rsidR="00C95F22">
        <w:t xml:space="preserve"> standing custom and practice </w:t>
      </w:r>
      <w:r w:rsidRPr="00C95F22">
        <w:t xml:space="preserve">between a DHB and </w:t>
      </w:r>
      <w:r w:rsidR="00C95F22">
        <w:t xml:space="preserve">their </w:t>
      </w:r>
      <w:r w:rsidR="007838CD">
        <w:t>s</w:t>
      </w:r>
      <w:r w:rsidRPr="00C95F22">
        <w:t>ervice provider.</w:t>
      </w:r>
      <w:r w:rsidR="00D313DF">
        <w:t xml:space="preserve"> </w:t>
      </w:r>
    </w:p>
    <w:p w:rsidR="00BC76E3" w:rsidRPr="006102D6" w:rsidRDefault="00BC76E3" w:rsidP="00262268">
      <w:pPr>
        <w:pStyle w:val="Heading1"/>
      </w:pPr>
      <w:r w:rsidRPr="006102D6">
        <w:lastRenderedPageBreak/>
        <w:t>1.</w:t>
      </w:r>
      <w:r w:rsidRPr="006102D6">
        <w:tab/>
      </w:r>
      <w:r w:rsidRPr="00262268">
        <w:t>Service</w:t>
      </w:r>
      <w:r w:rsidRPr="006102D6">
        <w:t xml:space="preserve"> </w:t>
      </w:r>
      <w:r w:rsidRPr="00F4333E">
        <w:t>Definition</w:t>
      </w:r>
    </w:p>
    <w:p w:rsidR="001E2F16" w:rsidRDefault="00DC6DB9" w:rsidP="002612AA">
      <w:pPr>
        <w:spacing w:after="120"/>
        <w:jc w:val="left"/>
        <w:rPr>
          <w:rFonts w:cs="Arial"/>
          <w:bCs/>
          <w:color w:val="000000"/>
        </w:rPr>
      </w:pPr>
      <w:r>
        <w:rPr>
          <w:rFonts w:cs="Arial"/>
          <w:bCs/>
          <w:color w:val="000000"/>
        </w:rPr>
        <w:t xml:space="preserve">The </w:t>
      </w:r>
      <w:r w:rsidR="00382DBA">
        <w:rPr>
          <w:rFonts w:cs="Arial"/>
          <w:bCs/>
          <w:color w:val="000000"/>
        </w:rPr>
        <w:t>S</w:t>
      </w:r>
      <w:r w:rsidR="001E2F16">
        <w:rPr>
          <w:rFonts w:cs="Arial"/>
          <w:bCs/>
          <w:color w:val="000000"/>
        </w:rPr>
        <w:t>ervice provides specialist</w:t>
      </w:r>
      <w:r w:rsidR="00382DBA">
        <w:rPr>
          <w:rFonts w:cs="Arial"/>
          <w:bCs/>
          <w:color w:val="000000"/>
        </w:rPr>
        <w:t xml:space="preserve"> </w:t>
      </w:r>
      <w:r w:rsidR="001E2F16">
        <w:rPr>
          <w:rFonts w:cs="Arial"/>
          <w:bCs/>
          <w:color w:val="000000"/>
        </w:rPr>
        <w:t>p</w:t>
      </w:r>
      <w:r w:rsidR="0053697E">
        <w:rPr>
          <w:rFonts w:cs="Arial"/>
          <w:bCs/>
          <w:color w:val="000000"/>
        </w:rPr>
        <w:t xml:space="preserve">alliative </w:t>
      </w:r>
      <w:r w:rsidR="001E2F16">
        <w:rPr>
          <w:rFonts w:cs="Arial"/>
          <w:bCs/>
          <w:color w:val="000000"/>
        </w:rPr>
        <w:t>c</w:t>
      </w:r>
      <w:r w:rsidR="0053697E">
        <w:rPr>
          <w:rFonts w:cs="Arial"/>
          <w:bCs/>
          <w:color w:val="000000"/>
        </w:rPr>
        <w:t>are</w:t>
      </w:r>
      <w:r w:rsidR="00382DBA">
        <w:rPr>
          <w:rFonts w:cs="Arial"/>
          <w:bCs/>
          <w:color w:val="000000"/>
        </w:rPr>
        <w:t xml:space="preserve"> to Service Users </w:t>
      </w:r>
      <w:proofErr w:type="gramStart"/>
      <w:r w:rsidR="00382DBA">
        <w:rPr>
          <w:rFonts w:cs="Arial"/>
          <w:bCs/>
          <w:color w:val="000000"/>
        </w:rPr>
        <w:t>whose</w:t>
      </w:r>
      <w:proofErr w:type="gramEnd"/>
      <w:r w:rsidR="0053697E">
        <w:rPr>
          <w:rFonts w:cs="Arial"/>
          <w:bCs/>
          <w:color w:val="000000"/>
        </w:rPr>
        <w:t xml:space="preserve"> </w:t>
      </w:r>
      <w:r w:rsidR="000F0D71">
        <w:rPr>
          <w:rFonts w:cs="Arial"/>
          <w:bCs/>
          <w:color w:val="000000"/>
        </w:rPr>
        <w:t xml:space="preserve">assessed </w:t>
      </w:r>
      <w:r w:rsidR="002E3D36" w:rsidRPr="002E3D36">
        <w:rPr>
          <w:rFonts w:cs="Arial"/>
          <w:bCs/>
          <w:color w:val="000000"/>
        </w:rPr>
        <w:t>needs exceed the capability of the primary palliative care provider</w:t>
      </w:r>
      <w:r w:rsidR="000F0D71">
        <w:rPr>
          <w:rFonts w:cs="Arial"/>
          <w:bCs/>
          <w:color w:val="000000"/>
        </w:rPr>
        <w:t>.</w:t>
      </w:r>
      <w:r w:rsidR="001E2F16">
        <w:rPr>
          <w:rFonts w:cs="Arial"/>
          <w:bCs/>
          <w:color w:val="000000"/>
        </w:rPr>
        <w:t xml:space="preserve">  </w:t>
      </w:r>
      <w:r w:rsidR="00C95F22">
        <w:rPr>
          <w:rFonts w:cs="Arial"/>
          <w:bCs/>
          <w:color w:val="000000"/>
        </w:rPr>
        <w:t>S</w:t>
      </w:r>
      <w:r w:rsidR="002E3D36" w:rsidRPr="002E3D36">
        <w:rPr>
          <w:rFonts w:cs="Arial"/>
          <w:bCs/>
          <w:color w:val="000000"/>
        </w:rPr>
        <w:t xml:space="preserve">pecialist </w:t>
      </w:r>
      <w:r w:rsidR="00AD452A">
        <w:rPr>
          <w:rFonts w:cs="Arial"/>
          <w:bCs/>
          <w:color w:val="000000"/>
        </w:rPr>
        <w:t xml:space="preserve">palliative </w:t>
      </w:r>
      <w:r w:rsidR="002E3D36" w:rsidRPr="002E3D36">
        <w:rPr>
          <w:rFonts w:cs="Arial"/>
          <w:bCs/>
          <w:color w:val="000000"/>
        </w:rPr>
        <w:t>care may be shared, episodic or continuous</w:t>
      </w:r>
      <w:r w:rsidR="00AD452A">
        <w:rPr>
          <w:rFonts w:cs="Arial"/>
          <w:bCs/>
          <w:color w:val="000000"/>
        </w:rPr>
        <w:t xml:space="preserve"> and delivered in any appropriate setting</w:t>
      </w:r>
      <w:r w:rsidR="002E3D36" w:rsidRPr="002E3D36">
        <w:rPr>
          <w:rFonts w:cs="Arial"/>
          <w:bCs/>
          <w:color w:val="000000"/>
        </w:rPr>
        <w:t>.</w:t>
      </w:r>
      <w:r w:rsidR="0053697E">
        <w:rPr>
          <w:rFonts w:cs="Arial"/>
          <w:bCs/>
          <w:color w:val="000000"/>
        </w:rPr>
        <w:t xml:space="preserve">  </w:t>
      </w:r>
    </w:p>
    <w:p w:rsidR="002612AA" w:rsidRDefault="002E3D36" w:rsidP="002612AA">
      <w:pPr>
        <w:spacing w:after="120"/>
        <w:jc w:val="left"/>
        <w:rPr>
          <w:rFonts w:cs="Arial"/>
          <w:bCs/>
          <w:color w:val="000000"/>
        </w:rPr>
      </w:pPr>
      <w:r>
        <w:rPr>
          <w:rFonts w:cs="Arial"/>
          <w:bCs/>
          <w:color w:val="000000"/>
        </w:rPr>
        <w:t>The Service</w:t>
      </w:r>
      <w:r w:rsidR="008538F1" w:rsidRPr="008538F1">
        <w:rPr>
          <w:rFonts w:cs="Arial"/>
          <w:bCs/>
          <w:color w:val="000000"/>
        </w:rPr>
        <w:t xml:space="preserve"> </w:t>
      </w:r>
      <w:r>
        <w:rPr>
          <w:rFonts w:cs="Arial"/>
          <w:bCs/>
          <w:color w:val="000000"/>
        </w:rPr>
        <w:t xml:space="preserve">will </w:t>
      </w:r>
      <w:r w:rsidR="00844D64">
        <w:rPr>
          <w:rFonts w:cs="Arial"/>
          <w:bCs/>
          <w:color w:val="000000"/>
        </w:rPr>
        <w:t xml:space="preserve">be </w:t>
      </w:r>
      <w:r>
        <w:rPr>
          <w:rFonts w:cs="Arial"/>
          <w:bCs/>
          <w:color w:val="000000"/>
        </w:rPr>
        <w:t>delivered</w:t>
      </w:r>
      <w:r w:rsidR="00844D64">
        <w:rPr>
          <w:rFonts w:cs="Arial"/>
          <w:bCs/>
          <w:color w:val="000000"/>
        </w:rPr>
        <w:t xml:space="preserve"> </w:t>
      </w:r>
      <w:r w:rsidR="002B32BA">
        <w:rPr>
          <w:rFonts w:cs="Arial"/>
          <w:bCs/>
          <w:color w:val="000000"/>
        </w:rPr>
        <w:t>bas</w:t>
      </w:r>
      <w:r w:rsidR="00070C06">
        <w:rPr>
          <w:rFonts w:cs="Arial"/>
          <w:bCs/>
          <w:color w:val="000000"/>
        </w:rPr>
        <w:t>ed on the service configuration</w:t>
      </w:r>
      <w:r w:rsidR="002B32BA">
        <w:rPr>
          <w:rFonts w:cs="Arial"/>
          <w:bCs/>
          <w:color w:val="000000"/>
        </w:rPr>
        <w:t xml:space="preserve"> model</w:t>
      </w:r>
      <w:r w:rsidR="00FB1DAD">
        <w:rPr>
          <w:rFonts w:cs="Arial"/>
          <w:bCs/>
          <w:color w:val="000000"/>
        </w:rPr>
        <w:t xml:space="preserve"> </w:t>
      </w:r>
      <w:r w:rsidR="002B32BA">
        <w:rPr>
          <w:rFonts w:cs="Arial"/>
          <w:bCs/>
          <w:color w:val="000000"/>
        </w:rPr>
        <w:t>outlined in the Re</w:t>
      </w:r>
      <w:r w:rsidR="00070C06">
        <w:rPr>
          <w:rFonts w:cs="Arial"/>
          <w:bCs/>
          <w:color w:val="000000"/>
        </w:rPr>
        <w:t>source and Capability Framework</w:t>
      </w:r>
      <w:r>
        <w:rPr>
          <w:rFonts w:cs="Arial"/>
          <w:bCs/>
          <w:color w:val="000000"/>
        </w:rPr>
        <w:t xml:space="preserve"> for specialist palliative care, however, local a</w:t>
      </w:r>
      <w:r w:rsidR="008538F1" w:rsidRPr="008538F1">
        <w:rPr>
          <w:rFonts w:cs="Arial"/>
          <w:bCs/>
          <w:color w:val="000000"/>
        </w:rPr>
        <w:t xml:space="preserve">rrangements </w:t>
      </w:r>
      <w:r w:rsidR="00C50FB8">
        <w:rPr>
          <w:rFonts w:cs="Arial"/>
          <w:bCs/>
          <w:color w:val="000000"/>
        </w:rPr>
        <w:t>may</w:t>
      </w:r>
      <w:r w:rsidR="008538F1" w:rsidRPr="008538F1">
        <w:rPr>
          <w:rFonts w:cs="Arial"/>
          <w:bCs/>
          <w:color w:val="000000"/>
        </w:rPr>
        <w:t xml:space="preserve"> vary depending on the configuration of the organisations involved and the types of service</w:t>
      </w:r>
      <w:r w:rsidR="009061A2">
        <w:rPr>
          <w:rFonts w:cs="Arial"/>
          <w:bCs/>
          <w:color w:val="000000"/>
        </w:rPr>
        <w:t>s</w:t>
      </w:r>
      <w:r w:rsidR="008538F1" w:rsidRPr="008538F1">
        <w:rPr>
          <w:rFonts w:cs="Arial"/>
          <w:bCs/>
          <w:color w:val="000000"/>
        </w:rPr>
        <w:t xml:space="preserve"> provided. </w:t>
      </w:r>
    </w:p>
    <w:p w:rsidR="00D429FF" w:rsidRPr="00766EA5" w:rsidRDefault="00D429FF" w:rsidP="00F4333E">
      <w:pPr>
        <w:jc w:val="left"/>
        <w:rPr>
          <w:rFonts w:cs="Arial"/>
        </w:rPr>
      </w:pPr>
      <w:r>
        <w:rPr>
          <w:rFonts w:cs="Arial"/>
        </w:rPr>
        <w:t>The Service should:</w:t>
      </w:r>
    </w:p>
    <w:p w:rsidR="00D429FF" w:rsidRPr="00D429FF" w:rsidRDefault="00A2645F" w:rsidP="00A463E3">
      <w:pPr>
        <w:pStyle w:val="ListParagraph"/>
        <w:numPr>
          <w:ilvl w:val="0"/>
          <w:numId w:val="14"/>
        </w:numPr>
        <w:ind w:left="567" w:hanging="567"/>
      </w:pPr>
      <w:r>
        <w:t xml:space="preserve">be </w:t>
      </w:r>
      <w:r w:rsidR="00D429FF" w:rsidRPr="00766EA5">
        <w:t xml:space="preserve">provided in such a way as to meet the unique needs of individuals from particular communities or groups, including Māori, children and young people, immigrants, refugees, and those </w:t>
      </w:r>
      <w:r w:rsidR="00D429FF">
        <w:t xml:space="preserve">living </w:t>
      </w:r>
      <w:r w:rsidR="00D429FF" w:rsidRPr="00766EA5">
        <w:t>in isolated communities</w:t>
      </w:r>
    </w:p>
    <w:p w:rsidR="00D429FF" w:rsidRPr="00766EA5" w:rsidRDefault="00A2645F" w:rsidP="00A463E3">
      <w:pPr>
        <w:pStyle w:val="ListParagraph"/>
        <w:numPr>
          <w:ilvl w:val="0"/>
          <w:numId w:val="14"/>
        </w:numPr>
        <w:ind w:left="567" w:hanging="567"/>
      </w:pPr>
      <w:r>
        <w:t xml:space="preserve">be </w:t>
      </w:r>
      <w:r w:rsidR="00D429FF" w:rsidRPr="00766EA5">
        <w:t xml:space="preserve">available wherever the </w:t>
      </w:r>
      <w:r w:rsidR="00D429FF" w:rsidRPr="00A65F05">
        <w:t>individual</w:t>
      </w:r>
      <w:r w:rsidR="00D429FF" w:rsidRPr="00766EA5">
        <w:t xml:space="preserve"> may be</w:t>
      </w:r>
      <w:r w:rsidR="0053697E">
        <w:t>, and</w:t>
      </w:r>
    </w:p>
    <w:p w:rsidR="00A2645F" w:rsidRDefault="00542FC6" w:rsidP="00A463E3">
      <w:pPr>
        <w:pStyle w:val="ListParagraph"/>
        <w:numPr>
          <w:ilvl w:val="0"/>
          <w:numId w:val="14"/>
        </w:numPr>
        <w:ind w:left="567" w:hanging="567"/>
      </w:pPr>
      <w:proofErr w:type="gramStart"/>
      <w:r>
        <w:t>support</w:t>
      </w:r>
      <w:proofErr w:type="gramEnd"/>
      <w:r>
        <w:t xml:space="preserve"> primary palliative care providers</w:t>
      </w:r>
      <w:r w:rsidR="00D429FF" w:rsidRPr="00D429FF">
        <w:t>.</w:t>
      </w:r>
    </w:p>
    <w:p w:rsidR="00D1271E" w:rsidRPr="00D1271E" w:rsidRDefault="00D1271E" w:rsidP="00A463E3">
      <w:pPr>
        <w:pStyle w:val="Heading1"/>
      </w:pPr>
      <w:r w:rsidRPr="00D1271E">
        <w:t>2.</w:t>
      </w:r>
      <w:r w:rsidRPr="00D1271E">
        <w:tab/>
        <w:t>Service Users</w:t>
      </w:r>
    </w:p>
    <w:p w:rsidR="00D1271E" w:rsidRPr="00D1271E" w:rsidRDefault="00D1271E" w:rsidP="00D1271E">
      <w:pPr>
        <w:jc w:val="left"/>
        <w:rPr>
          <w:rFonts w:cs="Arial"/>
        </w:rPr>
      </w:pPr>
      <w:r w:rsidRPr="00D1271E">
        <w:rPr>
          <w:rFonts w:cs="Arial"/>
        </w:rPr>
        <w:t>Service Users are:</w:t>
      </w:r>
    </w:p>
    <w:p w:rsidR="00D1271E" w:rsidRPr="00D1271E" w:rsidRDefault="00DF3A3B" w:rsidP="00A463E3">
      <w:pPr>
        <w:pStyle w:val="ListParagraph"/>
        <w:numPr>
          <w:ilvl w:val="0"/>
          <w:numId w:val="14"/>
        </w:numPr>
        <w:ind w:left="567" w:hanging="567"/>
      </w:pPr>
      <w:r>
        <w:t>E</w:t>
      </w:r>
      <w:r w:rsidR="00D1271E" w:rsidRPr="00D1271E">
        <w:t>ligible</w:t>
      </w:r>
      <w:r>
        <w:rPr>
          <w:rStyle w:val="FootnoteReference"/>
        </w:rPr>
        <w:footnoteReference w:id="1"/>
      </w:r>
      <w:r w:rsidR="00D1271E" w:rsidRPr="00D1271E">
        <w:t xml:space="preserve"> people of any age who have been assessed as to their need for and ability to benefit from specialist palliative care services and meet the Entry Criteria </w:t>
      </w:r>
      <w:r w:rsidR="004D09BE">
        <w:t>4</w:t>
      </w:r>
      <w:r w:rsidR="00D1271E" w:rsidRPr="00D1271E">
        <w:t>.</w:t>
      </w:r>
      <w:r w:rsidR="004D09BE">
        <w:t>2</w:t>
      </w:r>
      <w:r w:rsidR="00D1271E" w:rsidRPr="00D1271E">
        <w:t xml:space="preserve"> below</w:t>
      </w:r>
    </w:p>
    <w:p w:rsidR="00D1271E" w:rsidRPr="00D1271E" w:rsidRDefault="00D1271E" w:rsidP="00A463E3">
      <w:pPr>
        <w:pStyle w:val="ListParagraph"/>
        <w:numPr>
          <w:ilvl w:val="0"/>
          <w:numId w:val="14"/>
        </w:numPr>
        <w:ind w:left="567" w:hanging="567"/>
      </w:pPr>
      <w:r w:rsidRPr="00D1271E">
        <w:t xml:space="preserve">families and </w:t>
      </w:r>
      <w:proofErr w:type="spellStart"/>
      <w:r w:rsidRPr="00D1271E">
        <w:t>whānau</w:t>
      </w:r>
      <w:proofErr w:type="spellEnd"/>
      <w:r w:rsidRPr="00D1271E">
        <w:t xml:space="preserve"> of </w:t>
      </w:r>
      <w:r w:rsidR="00AC4027">
        <w:t>Service Users</w:t>
      </w:r>
      <w:r w:rsidRPr="00D1271E">
        <w:t xml:space="preserve"> receiving specialist palliative care </w:t>
      </w:r>
      <w:r w:rsidR="00AC4027">
        <w:t xml:space="preserve">services </w:t>
      </w:r>
      <w:r w:rsidRPr="00D1271E">
        <w:t xml:space="preserve">and meet the Entry Criteria </w:t>
      </w:r>
      <w:r w:rsidR="00F17161">
        <w:t>4</w:t>
      </w:r>
      <w:r w:rsidRPr="00D1271E">
        <w:t>.</w:t>
      </w:r>
      <w:r w:rsidR="004D09BE">
        <w:t>2</w:t>
      </w:r>
      <w:r w:rsidRPr="00D1271E">
        <w:t xml:space="preserve"> below</w:t>
      </w:r>
    </w:p>
    <w:p w:rsidR="008C0518" w:rsidRPr="00AF44D2" w:rsidRDefault="00D1271E" w:rsidP="00AF44D2">
      <w:pPr>
        <w:pStyle w:val="ListParagraph"/>
        <w:numPr>
          <w:ilvl w:val="0"/>
          <w:numId w:val="14"/>
        </w:numPr>
        <w:ind w:left="567" w:hanging="567"/>
      </w:pPr>
      <w:proofErr w:type="gramStart"/>
      <w:r w:rsidRPr="00925DF3">
        <w:t>primary</w:t>
      </w:r>
      <w:proofErr w:type="gramEnd"/>
      <w:r w:rsidRPr="00925DF3">
        <w:t xml:space="preserve"> palliative care providers and the public or community that receive education, training, support and advice from the Service</w:t>
      </w:r>
      <w:r w:rsidR="00925DF3" w:rsidRPr="00925DF3">
        <w:t xml:space="preserve"> to competently manage primary palliative care needs.</w:t>
      </w:r>
    </w:p>
    <w:p w:rsidR="005C5457" w:rsidRPr="006102D6" w:rsidRDefault="00D1271E" w:rsidP="00A463E3">
      <w:pPr>
        <w:pStyle w:val="Heading1"/>
      </w:pPr>
      <w:r>
        <w:t>3</w:t>
      </w:r>
      <w:r w:rsidR="005C5457">
        <w:t>.</w:t>
      </w:r>
      <w:r w:rsidR="005C5457" w:rsidRPr="006102D6">
        <w:tab/>
        <w:t>Exclusions</w:t>
      </w:r>
    </w:p>
    <w:p w:rsidR="00766EA5" w:rsidRPr="00766EA5" w:rsidRDefault="00766EA5" w:rsidP="00F4333E">
      <w:pPr>
        <w:jc w:val="left"/>
        <w:rPr>
          <w:rFonts w:cs="Arial"/>
        </w:rPr>
      </w:pPr>
      <w:r>
        <w:rPr>
          <w:rFonts w:cs="Arial"/>
        </w:rPr>
        <w:t>The Service does not apply to:</w:t>
      </w:r>
    </w:p>
    <w:p w:rsidR="005C5457" w:rsidRPr="00950E07" w:rsidRDefault="008A19D3" w:rsidP="00950E07">
      <w:pPr>
        <w:pStyle w:val="ListParagraph"/>
        <w:numPr>
          <w:ilvl w:val="0"/>
          <w:numId w:val="21"/>
        </w:numPr>
        <w:ind w:left="567" w:hanging="567"/>
        <w:rPr>
          <w:bCs/>
          <w:color w:val="000000"/>
        </w:rPr>
      </w:pPr>
      <w:r w:rsidRPr="00950E07">
        <w:rPr>
          <w:bCs/>
          <w:color w:val="000000"/>
        </w:rPr>
        <w:t>people</w:t>
      </w:r>
      <w:r w:rsidR="005C5457" w:rsidRPr="00950E07">
        <w:rPr>
          <w:bCs/>
          <w:color w:val="000000"/>
        </w:rPr>
        <w:t xml:space="preserve"> eligible for </w:t>
      </w:r>
      <w:r w:rsidR="00131DC7" w:rsidRPr="00950E07">
        <w:rPr>
          <w:bCs/>
          <w:color w:val="000000"/>
        </w:rPr>
        <w:t xml:space="preserve">palliative care services </w:t>
      </w:r>
      <w:r w:rsidR="005C5457" w:rsidRPr="00950E07">
        <w:rPr>
          <w:bCs/>
          <w:color w:val="000000"/>
        </w:rPr>
        <w:t>funded under the Injury Prevention, Rehabilitat</w:t>
      </w:r>
      <w:r w:rsidR="00766EA5" w:rsidRPr="00950E07">
        <w:rPr>
          <w:bCs/>
          <w:color w:val="000000"/>
        </w:rPr>
        <w:t>ion, and Compensation Act 2001</w:t>
      </w:r>
      <w:r w:rsidR="00740E06" w:rsidRPr="00950E07">
        <w:rPr>
          <w:bCs/>
          <w:color w:val="000000"/>
        </w:rPr>
        <w:t xml:space="preserve"> </w:t>
      </w:r>
      <w:r w:rsidR="00CA4B06" w:rsidRPr="00950E07">
        <w:rPr>
          <w:bCs/>
          <w:color w:val="000000"/>
        </w:rPr>
        <w:t>except for</w:t>
      </w:r>
      <w:r w:rsidR="00740E06" w:rsidRPr="00950E07">
        <w:rPr>
          <w:bCs/>
          <w:color w:val="000000"/>
        </w:rPr>
        <w:t xml:space="preserve"> diagnosis of Mesothelioma</w:t>
      </w:r>
      <w:r w:rsidR="00CA4B06" w:rsidRPr="00950E07">
        <w:rPr>
          <w:bCs/>
          <w:color w:val="000000"/>
        </w:rPr>
        <w:t xml:space="preserve"> </w:t>
      </w:r>
      <w:r w:rsidR="00131DC7" w:rsidRPr="00950E07">
        <w:rPr>
          <w:bCs/>
          <w:color w:val="000000"/>
        </w:rPr>
        <w:t>that</w:t>
      </w:r>
      <w:r w:rsidR="00CA4B06" w:rsidRPr="00950E07">
        <w:rPr>
          <w:bCs/>
          <w:color w:val="000000"/>
        </w:rPr>
        <w:t xml:space="preserve"> is included in this </w:t>
      </w:r>
      <w:r w:rsidR="00DC7264" w:rsidRPr="00950E07">
        <w:rPr>
          <w:bCs/>
          <w:color w:val="000000"/>
        </w:rPr>
        <w:t>S</w:t>
      </w:r>
      <w:r w:rsidR="00CA4B06" w:rsidRPr="00950E07">
        <w:rPr>
          <w:bCs/>
          <w:color w:val="000000"/>
        </w:rPr>
        <w:t>ervice</w:t>
      </w:r>
    </w:p>
    <w:p w:rsidR="005C5457" w:rsidRPr="00950E07" w:rsidRDefault="005C5457" w:rsidP="00950E07">
      <w:pPr>
        <w:pStyle w:val="ListParagraph"/>
        <w:numPr>
          <w:ilvl w:val="0"/>
          <w:numId w:val="21"/>
        </w:numPr>
        <w:ind w:left="567" w:hanging="567"/>
        <w:rPr>
          <w:bCs/>
          <w:color w:val="000000"/>
        </w:rPr>
      </w:pPr>
      <w:r w:rsidRPr="00950E07">
        <w:rPr>
          <w:bCs/>
          <w:color w:val="000000"/>
        </w:rPr>
        <w:t>services normally provided by Disability Support Services (DSS)</w:t>
      </w:r>
      <w:r w:rsidRPr="00262268">
        <w:rPr>
          <w:rStyle w:val="FootnoteReference"/>
        </w:rPr>
        <w:footnoteReference w:id="2"/>
      </w:r>
    </w:p>
    <w:p w:rsidR="005C5457" w:rsidRPr="00950E07" w:rsidRDefault="001E2F16" w:rsidP="00950E07">
      <w:pPr>
        <w:pStyle w:val="ListParagraph"/>
        <w:numPr>
          <w:ilvl w:val="0"/>
          <w:numId w:val="21"/>
        </w:numPr>
        <w:ind w:left="567" w:hanging="567"/>
        <w:rPr>
          <w:bCs/>
          <w:color w:val="000000"/>
        </w:rPr>
      </w:pPr>
      <w:r>
        <w:rPr>
          <w:bCs/>
          <w:color w:val="000000"/>
        </w:rPr>
        <w:t xml:space="preserve">Services already funded by DHB under other service specifications </w:t>
      </w:r>
      <w:r w:rsidR="005C5457" w:rsidRPr="00950E07">
        <w:rPr>
          <w:bCs/>
          <w:color w:val="000000"/>
        </w:rPr>
        <w:t>(including home help and personal care</w:t>
      </w:r>
      <w:r w:rsidR="00D50DFD" w:rsidRPr="00262268">
        <w:rPr>
          <w:rStyle w:val="FootnoteReference"/>
        </w:rPr>
        <w:footnoteReference w:id="3"/>
      </w:r>
      <w:r w:rsidR="005C5457" w:rsidRPr="00262268">
        <w:rPr>
          <w:rStyle w:val="FootnoteReference"/>
        </w:rPr>
        <w:t>.)</w:t>
      </w:r>
    </w:p>
    <w:p w:rsidR="001B3FAC" w:rsidRDefault="005C5457" w:rsidP="00950E07">
      <w:pPr>
        <w:pStyle w:val="ListParagraph"/>
        <w:numPr>
          <w:ilvl w:val="0"/>
          <w:numId w:val="21"/>
        </w:numPr>
        <w:ind w:left="567" w:hanging="567"/>
      </w:pPr>
      <w:r w:rsidRPr="00950E07">
        <w:rPr>
          <w:bCs/>
          <w:color w:val="000000"/>
        </w:rPr>
        <w:t xml:space="preserve">routine nursing care or supplies provided to residents of </w:t>
      </w:r>
      <w:r w:rsidR="003722A1" w:rsidRPr="00950E07">
        <w:rPr>
          <w:bCs/>
          <w:color w:val="000000"/>
        </w:rPr>
        <w:t xml:space="preserve">a </w:t>
      </w:r>
      <w:r w:rsidRPr="00950E07">
        <w:rPr>
          <w:bCs/>
          <w:color w:val="000000"/>
        </w:rPr>
        <w:t xml:space="preserve">residential care facility, or those </w:t>
      </w:r>
      <w:r w:rsidRPr="006102D6">
        <w:t>residential homes where nursing services are a</w:t>
      </w:r>
      <w:r w:rsidR="00766EA5">
        <w:t>n integral part of the facility</w:t>
      </w:r>
    </w:p>
    <w:p w:rsidR="00542FC6" w:rsidRPr="00950E07" w:rsidRDefault="00766EA5" w:rsidP="00950E07">
      <w:pPr>
        <w:pStyle w:val="ListParagraph"/>
        <w:numPr>
          <w:ilvl w:val="0"/>
          <w:numId w:val="21"/>
        </w:numPr>
        <w:ind w:left="567" w:hanging="567"/>
        <w:rPr>
          <w:bCs/>
          <w:color w:val="000000"/>
        </w:rPr>
      </w:pPr>
      <w:r w:rsidRPr="00950E07">
        <w:rPr>
          <w:bCs/>
          <w:color w:val="000000"/>
        </w:rPr>
        <w:t xml:space="preserve">services usually provided </w:t>
      </w:r>
      <w:r w:rsidR="0009784C" w:rsidRPr="00950E07">
        <w:rPr>
          <w:bCs/>
          <w:color w:val="000000"/>
        </w:rPr>
        <w:t>by</w:t>
      </w:r>
      <w:r w:rsidRPr="00950E07">
        <w:rPr>
          <w:bCs/>
          <w:color w:val="000000"/>
        </w:rPr>
        <w:t xml:space="preserve"> volu</w:t>
      </w:r>
      <w:r w:rsidR="00A55A00" w:rsidRPr="00950E07">
        <w:rPr>
          <w:bCs/>
          <w:color w:val="000000"/>
        </w:rPr>
        <w:t>n</w:t>
      </w:r>
      <w:r w:rsidRPr="00950E07">
        <w:rPr>
          <w:bCs/>
          <w:color w:val="000000"/>
        </w:rPr>
        <w:t>teers</w:t>
      </w:r>
      <w:r w:rsidR="001B3FAC" w:rsidRPr="00950E07">
        <w:rPr>
          <w:rStyle w:val="FootnoteReference"/>
        </w:rPr>
        <w:footnoteReference w:id="4"/>
      </w:r>
      <w:r w:rsidR="00D429FF" w:rsidRPr="00950E07">
        <w:rPr>
          <w:rStyle w:val="FootnoteReference"/>
        </w:rPr>
        <w:t xml:space="preserve"> </w:t>
      </w:r>
    </w:p>
    <w:p w:rsidR="00CA4B06" w:rsidRDefault="00291130" w:rsidP="00950E07">
      <w:pPr>
        <w:pStyle w:val="ListParagraph"/>
        <w:numPr>
          <w:ilvl w:val="0"/>
          <w:numId w:val="21"/>
        </w:numPr>
        <w:ind w:left="567" w:hanging="567"/>
        <w:rPr>
          <w:bCs/>
        </w:rPr>
      </w:pPr>
      <w:proofErr w:type="gramStart"/>
      <w:r w:rsidRPr="00950E07">
        <w:rPr>
          <w:bCs/>
          <w:color w:val="000000"/>
        </w:rPr>
        <w:lastRenderedPageBreak/>
        <w:t>s</w:t>
      </w:r>
      <w:r w:rsidR="005C5457" w:rsidRPr="00950E07">
        <w:rPr>
          <w:bCs/>
          <w:color w:val="000000"/>
        </w:rPr>
        <w:t>ervices</w:t>
      </w:r>
      <w:proofErr w:type="gramEnd"/>
      <w:r w:rsidR="005C5457" w:rsidRPr="00950E07">
        <w:rPr>
          <w:bCs/>
          <w:color w:val="000000"/>
        </w:rPr>
        <w:t xml:space="preserve"> for </w:t>
      </w:r>
      <w:r w:rsidR="003B7B05" w:rsidRPr="00950E07">
        <w:rPr>
          <w:bCs/>
          <w:color w:val="000000"/>
        </w:rPr>
        <w:t>older people</w:t>
      </w:r>
      <w:r w:rsidR="00542FC6" w:rsidRPr="00950E07">
        <w:rPr>
          <w:bCs/>
          <w:color w:val="000000"/>
        </w:rPr>
        <w:t xml:space="preserve"> that</w:t>
      </w:r>
      <w:r w:rsidR="005C5457" w:rsidRPr="00950E07">
        <w:rPr>
          <w:bCs/>
          <w:color w:val="000000"/>
        </w:rPr>
        <w:t xml:space="preserve"> continue to be funded through aged care agreements with input, as required, from specialist palliative care providers for support and advice</w:t>
      </w:r>
      <w:r w:rsidR="005C5457" w:rsidRPr="00542FC6">
        <w:rPr>
          <w:bCs/>
        </w:rPr>
        <w:t xml:space="preserve">.  </w:t>
      </w:r>
      <w:bookmarkStart w:id="15" w:name="_Toc215319136"/>
    </w:p>
    <w:p w:rsidR="009D539D" w:rsidRPr="006102D6" w:rsidRDefault="002E3D36" w:rsidP="00A463E3">
      <w:pPr>
        <w:pStyle w:val="Heading1"/>
      </w:pPr>
      <w:r>
        <w:t>3</w:t>
      </w:r>
      <w:r w:rsidR="009D539D" w:rsidRPr="00945AFB">
        <w:t>.</w:t>
      </w:r>
      <w:r w:rsidR="009D539D" w:rsidRPr="006102D6">
        <w:tab/>
        <w:t>Service Objectives</w:t>
      </w:r>
      <w:bookmarkEnd w:id="15"/>
    </w:p>
    <w:p w:rsidR="007D0FFE" w:rsidRPr="001F774E" w:rsidRDefault="002E3D36" w:rsidP="00262268">
      <w:pPr>
        <w:pStyle w:val="Heading2"/>
      </w:pPr>
      <w:r>
        <w:t>3</w:t>
      </w:r>
      <w:r w:rsidR="001E4CFE" w:rsidRPr="001F774E">
        <w:t>.1</w:t>
      </w:r>
      <w:r w:rsidR="001E4CFE" w:rsidRPr="001F774E">
        <w:tab/>
      </w:r>
      <w:r w:rsidR="001F774E" w:rsidRPr="001F774E">
        <w:t>Gene</w:t>
      </w:r>
      <w:r w:rsidR="001F774E">
        <w:t>ra</w:t>
      </w:r>
      <w:r w:rsidR="001F774E" w:rsidRPr="001F774E">
        <w:t>l</w:t>
      </w:r>
    </w:p>
    <w:p w:rsidR="00D429FF" w:rsidRDefault="00945AFB" w:rsidP="00190871">
      <w:pPr>
        <w:jc w:val="left"/>
        <w:rPr>
          <w:rFonts w:cs="Arial"/>
          <w:bCs/>
        </w:rPr>
      </w:pPr>
      <w:r w:rsidRPr="00945AFB">
        <w:rPr>
          <w:rFonts w:cs="Arial"/>
          <w:bCs/>
        </w:rPr>
        <w:t>The Service will</w:t>
      </w:r>
      <w:r w:rsidR="0009784C">
        <w:rPr>
          <w:rFonts w:cs="Arial"/>
          <w:bCs/>
        </w:rPr>
        <w:t>:</w:t>
      </w:r>
    </w:p>
    <w:p w:rsidR="00D429FF" w:rsidRPr="00D429FF" w:rsidRDefault="00D429FF" w:rsidP="00190871">
      <w:pPr>
        <w:pStyle w:val="ListParagraph"/>
        <w:numPr>
          <w:ilvl w:val="0"/>
          <w:numId w:val="21"/>
        </w:numPr>
        <w:ind w:left="567" w:hanging="567"/>
        <w:rPr>
          <w:bCs/>
          <w:color w:val="000000"/>
        </w:rPr>
      </w:pPr>
      <w:r w:rsidRPr="00D429FF">
        <w:rPr>
          <w:bCs/>
          <w:color w:val="000000"/>
        </w:rPr>
        <w:t xml:space="preserve">optimise </w:t>
      </w:r>
      <w:r>
        <w:rPr>
          <w:bCs/>
          <w:color w:val="000000"/>
        </w:rPr>
        <w:t xml:space="preserve">a </w:t>
      </w:r>
      <w:r w:rsidR="00F5130F">
        <w:rPr>
          <w:bCs/>
          <w:color w:val="000000"/>
        </w:rPr>
        <w:t>Service User</w:t>
      </w:r>
      <w:r>
        <w:rPr>
          <w:bCs/>
          <w:color w:val="000000"/>
        </w:rPr>
        <w:t>’s</w:t>
      </w:r>
      <w:r w:rsidRPr="00D429FF">
        <w:rPr>
          <w:bCs/>
          <w:color w:val="000000"/>
        </w:rPr>
        <w:t xml:space="preserve"> quality of life until death by addressing the</w:t>
      </w:r>
      <w:r w:rsidR="00F5130F">
        <w:rPr>
          <w:bCs/>
          <w:color w:val="000000"/>
        </w:rPr>
        <w:t>ir</w:t>
      </w:r>
      <w:r w:rsidRPr="00D429FF">
        <w:rPr>
          <w:bCs/>
          <w:color w:val="000000"/>
        </w:rPr>
        <w:t xml:space="preserve"> physical, psychological, social, s</w:t>
      </w:r>
      <w:r>
        <w:rPr>
          <w:bCs/>
          <w:color w:val="000000"/>
        </w:rPr>
        <w:t>piritual and cultural needs</w:t>
      </w:r>
    </w:p>
    <w:p w:rsidR="00D429FF" w:rsidRPr="00AD452A" w:rsidRDefault="00D429FF" w:rsidP="00950E07">
      <w:pPr>
        <w:pStyle w:val="ListParagraph"/>
        <w:numPr>
          <w:ilvl w:val="0"/>
          <w:numId w:val="21"/>
        </w:numPr>
        <w:ind w:left="567" w:hanging="567"/>
        <w:rPr>
          <w:bCs/>
          <w:color w:val="000000"/>
        </w:rPr>
      </w:pPr>
      <w:r w:rsidRPr="00AD452A">
        <w:rPr>
          <w:bCs/>
          <w:color w:val="000000"/>
        </w:rPr>
        <w:t xml:space="preserve">support </w:t>
      </w:r>
      <w:r>
        <w:rPr>
          <w:bCs/>
          <w:color w:val="000000"/>
        </w:rPr>
        <w:t xml:space="preserve">a </w:t>
      </w:r>
      <w:r w:rsidR="00F5130F" w:rsidRPr="00F5130F">
        <w:rPr>
          <w:bCs/>
          <w:color w:val="000000"/>
        </w:rPr>
        <w:t>Service User’s</w:t>
      </w:r>
      <w:r w:rsidRPr="00AD452A">
        <w:rPr>
          <w:bCs/>
          <w:color w:val="000000"/>
        </w:rPr>
        <w:t xml:space="preserve"> family, </w:t>
      </w:r>
      <w:proofErr w:type="spellStart"/>
      <w:r w:rsidRPr="00AD452A">
        <w:rPr>
          <w:bCs/>
          <w:color w:val="000000"/>
        </w:rPr>
        <w:t>wh</w:t>
      </w:r>
      <w:r w:rsidRPr="00AD452A">
        <w:rPr>
          <w:rFonts w:hint="eastAsia"/>
          <w:bCs/>
          <w:color w:val="000000"/>
        </w:rPr>
        <w:t>ā</w:t>
      </w:r>
      <w:r w:rsidRPr="00AD452A">
        <w:rPr>
          <w:bCs/>
          <w:color w:val="000000"/>
        </w:rPr>
        <w:t>nau</w:t>
      </w:r>
      <w:proofErr w:type="spellEnd"/>
      <w:r w:rsidRPr="00AD452A">
        <w:rPr>
          <w:bCs/>
          <w:color w:val="000000"/>
        </w:rPr>
        <w:t>, and other caregivers where needed, thro</w:t>
      </w:r>
      <w:r>
        <w:rPr>
          <w:bCs/>
          <w:color w:val="000000"/>
        </w:rPr>
        <w:t>ugh the illness and after death</w:t>
      </w:r>
    </w:p>
    <w:p w:rsidR="00785A5D" w:rsidRPr="00950E07" w:rsidRDefault="00945AFB" w:rsidP="00950E07">
      <w:pPr>
        <w:pStyle w:val="ListParagraph"/>
        <w:numPr>
          <w:ilvl w:val="0"/>
          <w:numId w:val="21"/>
        </w:numPr>
        <w:ind w:left="567" w:hanging="567"/>
        <w:rPr>
          <w:bCs/>
          <w:color w:val="000000"/>
        </w:rPr>
      </w:pPr>
      <w:r w:rsidRPr="00950E07">
        <w:rPr>
          <w:bCs/>
          <w:color w:val="000000"/>
        </w:rPr>
        <w:t xml:space="preserve">improve </w:t>
      </w:r>
      <w:r w:rsidR="00555FD4" w:rsidRPr="00950E07">
        <w:rPr>
          <w:bCs/>
          <w:color w:val="000000"/>
        </w:rPr>
        <w:t>quality of care</w:t>
      </w:r>
      <w:r w:rsidR="00D429FF" w:rsidRPr="00950E07">
        <w:rPr>
          <w:bCs/>
          <w:color w:val="000000"/>
        </w:rPr>
        <w:t xml:space="preserve"> outcomes</w:t>
      </w:r>
      <w:r w:rsidRPr="00950E07">
        <w:rPr>
          <w:bCs/>
          <w:color w:val="000000"/>
        </w:rPr>
        <w:t xml:space="preserve"> for </w:t>
      </w:r>
      <w:r w:rsidR="00F5130F" w:rsidRPr="00950E07">
        <w:rPr>
          <w:bCs/>
          <w:color w:val="000000"/>
        </w:rPr>
        <w:t>Service User’s</w:t>
      </w:r>
      <w:r w:rsidRPr="00950E07">
        <w:rPr>
          <w:bCs/>
          <w:color w:val="000000"/>
        </w:rPr>
        <w:t xml:space="preserve"> (and their family and </w:t>
      </w:r>
      <w:proofErr w:type="spellStart"/>
      <w:r w:rsidRPr="00950E07">
        <w:rPr>
          <w:bCs/>
          <w:color w:val="000000"/>
        </w:rPr>
        <w:t>whānau</w:t>
      </w:r>
      <w:proofErr w:type="spellEnd"/>
      <w:r w:rsidRPr="00950E07">
        <w:rPr>
          <w:bCs/>
          <w:color w:val="000000"/>
        </w:rPr>
        <w:t>) who are living with a life limiting condition</w:t>
      </w:r>
    </w:p>
    <w:p w:rsidR="0009784C" w:rsidRPr="00950E07" w:rsidRDefault="00D429FF" w:rsidP="00950E07">
      <w:pPr>
        <w:pStyle w:val="ListParagraph"/>
        <w:numPr>
          <w:ilvl w:val="0"/>
          <w:numId w:val="21"/>
        </w:numPr>
        <w:ind w:left="567" w:hanging="567"/>
        <w:rPr>
          <w:bCs/>
          <w:color w:val="000000"/>
        </w:rPr>
      </w:pPr>
      <w:r w:rsidRPr="00950E07">
        <w:rPr>
          <w:bCs/>
          <w:color w:val="000000"/>
        </w:rPr>
        <w:t xml:space="preserve">improve service integration by </w:t>
      </w:r>
      <w:r w:rsidR="0009784C" w:rsidRPr="00950E07">
        <w:rPr>
          <w:bCs/>
          <w:color w:val="000000"/>
        </w:rPr>
        <w:t>work</w:t>
      </w:r>
      <w:r w:rsidRPr="00950E07">
        <w:rPr>
          <w:bCs/>
          <w:color w:val="000000"/>
        </w:rPr>
        <w:t>ing</w:t>
      </w:r>
      <w:r w:rsidR="0009784C" w:rsidRPr="00950E07">
        <w:rPr>
          <w:bCs/>
          <w:color w:val="000000"/>
        </w:rPr>
        <w:t xml:space="preserve"> in partnership with primary palliative care providers, who are likely to provide the </w:t>
      </w:r>
      <w:r w:rsidR="008E017A" w:rsidRPr="00950E07">
        <w:rPr>
          <w:bCs/>
          <w:color w:val="000000"/>
        </w:rPr>
        <w:t>main ongoing</w:t>
      </w:r>
      <w:r w:rsidR="0009784C" w:rsidRPr="00950E07">
        <w:rPr>
          <w:bCs/>
          <w:color w:val="000000"/>
        </w:rPr>
        <w:t xml:space="preserve"> care to Service Users</w:t>
      </w:r>
    </w:p>
    <w:p w:rsidR="008538F1" w:rsidRPr="00950E07" w:rsidRDefault="008538F1" w:rsidP="00950E07">
      <w:pPr>
        <w:pStyle w:val="ListParagraph"/>
        <w:numPr>
          <w:ilvl w:val="0"/>
          <w:numId w:val="21"/>
        </w:numPr>
        <w:ind w:left="567" w:hanging="567"/>
        <w:rPr>
          <w:bCs/>
          <w:color w:val="000000"/>
        </w:rPr>
      </w:pPr>
      <w:r w:rsidRPr="00950E07">
        <w:rPr>
          <w:bCs/>
          <w:color w:val="000000"/>
        </w:rPr>
        <w:t xml:space="preserve">ensure </w:t>
      </w:r>
      <w:r w:rsidR="00E55433" w:rsidRPr="00950E07">
        <w:rPr>
          <w:bCs/>
          <w:color w:val="000000"/>
        </w:rPr>
        <w:t xml:space="preserve">equitable </w:t>
      </w:r>
      <w:r w:rsidR="00CA4B06" w:rsidRPr="00950E07">
        <w:rPr>
          <w:bCs/>
          <w:color w:val="000000"/>
        </w:rPr>
        <w:t>access</w:t>
      </w:r>
      <w:r w:rsidRPr="00950E07">
        <w:rPr>
          <w:bCs/>
          <w:color w:val="000000"/>
        </w:rPr>
        <w:t xml:space="preserve"> to </w:t>
      </w:r>
      <w:r w:rsidR="0009784C" w:rsidRPr="00950E07">
        <w:rPr>
          <w:bCs/>
          <w:color w:val="000000"/>
        </w:rPr>
        <w:t xml:space="preserve">all the components of </w:t>
      </w:r>
      <w:r w:rsidR="00F5130F" w:rsidRPr="00950E07">
        <w:rPr>
          <w:bCs/>
          <w:color w:val="000000"/>
        </w:rPr>
        <w:t>the</w:t>
      </w:r>
      <w:r w:rsidR="0009784C" w:rsidRPr="00950E07">
        <w:rPr>
          <w:bCs/>
          <w:color w:val="000000"/>
        </w:rPr>
        <w:t xml:space="preserve"> </w:t>
      </w:r>
      <w:r w:rsidR="00F5130F" w:rsidRPr="00950E07">
        <w:rPr>
          <w:bCs/>
          <w:color w:val="000000"/>
        </w:rPr>
        <w:t>S</w:t>
      </w:r>
      <w:r w:rsidR="0009784C" w:rsidRPr="00950E07">
        <w:rPr>
          <w:bCs/>
          <w:color w:val="000000"/>
        </w:rPr>
        <w:t>ervice</w:t>
      </w:r>
      <w:r w:rsidR="00CA4B06" w:rsidRPr="00950E07">
        <w:rPr>
          <w:bCs/>
          <w:color w:val="000000"/>
        </w:rPr>
        <w:t xml:space="preserve"> for their DHB resident population</w:t>
      </w:r>
    </w:p>
    <w:p w:rsidR="008538F1" w:rsidRDefault="008538F1" w:rsidP="00950E07">
      <w:pPr>
        <w:pStyle w:val="ListParagraph"/>
        <w:numPr>
          <w:ilvl w:val="0"/>
          <w:numId w:val="21"/>
        </w:numPr>
        <w:ind w:left="567" w:hanging="567"/>
        <w:rPr>
          <w:bCs/>
        </w:rPr>
      </w:pPr>
      <w:proofErr w:type="gramStart"/>
      <w:r w:rsidRPr="00950E07">
        <w:rPr>
          <w:bCs/>
          <w:color w:val="000000"/>
        </w:rPr>
        <w:t>make</w:t>
      </w:r>
      <w:proofErr w:type="gramEnd"/>
      <w:r w:rsidRPr="00950E07">
        <w:rPr>
          <w:bCs/>
          <w:color w:val="000000"/>
        </w:rPr>
        <w:t xml:space="preserve"> the best use of existing resources within a region where the required expertise is not</w:t>
      </w:r>
      <w:r w:rsidRPr="008538F1">
        <w:rPr>
          <w:bCs/>
        </w:rPr>
        <w:t xml:space="preserve"> available from a single provider.</w:t>
      </w:r>
    </w:p>
    <w:p w:rsidR="009D539D" w:rsidRPr="006102D6" w:rsidRDefault="002E3D36" w:rsidP="00262268">
      <w:pPr>
        <w:pStyle w:val="Heading2"/>
      </w:pPr>
      <w:bookmarkStart w:id="16" w:name="_Toc215319138"/>
      <w:r>
        <w:t>3</w:t>
      </w:r>
      <w:r w:rsidR="009D539D" w:rsidRPr="006102D6">
        <w:t>.2</w:t>
      </w:r>
      <w:r w:rsidR="009D539D" w:rsidRPr="006102D6">
        <w:tab/>
        <w:t>Māori Health</w:t>
      </w:r>
      <w:bookmarkEnd w:id="16"/>
      <w:r w:rsidR="00AC4027">
        <w:t xml:space="preserve"> Objectives</w:t>
      </w:r>
    </w:p>
    <w:p w:rsidR="006A090B" w:rsidRDefault="006A090B" w:rsidP="003C54F0">
      <w:pPr>
        <w:spacing w:after="120"/>
        <w:jc w:val="left"/>
        <w:rPr>
          <w:rFonts w:cs="Arial"/>
        </w:rPr>
      </w:pPr>
      <w:bookmarkStart w:id="17" w:name="_Toc215319139"/>
      <w:r w:rsidRPr="006A090B">
        <w:rPr>
          <w:rFonts w:cs="Arial"/>
        </w:rPr>
        <w:t>The ‘</w:t>
      </w:r>
      <w:proofErr w:type="spellStart"/>
      <w:r w:rsidRPr="006A090B">
        <w:rPr>
          <w:rFonts w:cs="Arial"/>
        </w:rPr>
        <w:t>Te</w:t>
      </w:r>
      <w:proofErr w:type="spellEnd"/>
      <w:r w:rsidRPr="006A090B">
        <w:rPr>
          <w:rFonts w:cs="Arial"/>
        </w:rPr>
        <w:t xml:space="preserve"> </w:t>
      </w:r>
      <w:proofErr w:type="spellStart"/>
      <w:r w:rsidRPr="006A090B">
        <w:rPr>
          <w:rFonts w:cs="Arial"/>
        </w:rPr>
        <w:t>Whare</w:t>
      </w:r>
      <w:proofErr w:type="spellEnd"/>
      <w:r w:rsidRPr="006A090B">
        <w:rPr>
          <w:rFonts w:cs="Arial"/>
        </w:rPr>
        <w:t xml:space="preserve"> Tapa </w:t>
      </w:r>
      <w:proofErr w:type="spellStart"/>
      <w:r w:rsidRPr="006A090B">
        <w:rPr>
          <w:rFonts w:cs="Arial"/>
        </w:rPr>
        <w:t>Wha</w:t>
      </w:r>
      <w:proofErr w:type="spellEnd"/>
      <w:r w:rsidRPr="006A090B">
        <w:rPr>
          <w:rFonts w:cs="Arial"/>
        </w:rPr>
        <w:t>’ (four sided house) model of wellbeing provides a holi</w:t>
      </w:r>
      <w:r w:rsidR="00664382">
        <w:rPr>
          <w:rFonts w:cs="Arial"/>
        </w:rPr>
        <w:t>stic framework for considering palliative c</w:t>
      </w:r>
      <w:r w:rsidRPr="006A090B">
        <w:rPr>
          <w:rFonts w:cs="Arial"/>
        </w:rPr>
        <w:t xml:space="preserve">are (and other health care) provision.  This approach to wellbeing includes </w:t>
      </w:r>
      <w:proofErr w:type="spellStart"/>
      <w:r w:rsidRPr="006A090B">
        <w:rPr>
          <w:rFonts w:cs="Arial"/>
        </w:rPr>
        <w:t>Te</w:t>
      </w:r>
      <w:proofErr w:type="spellEnd"/>
      <w:r w:rsidRPr="006A090B">
        <w:rPr>
          <w:rFonts w:cs="Arial"/>
        </w:rPr>
        <w:t xml:space="preserve"> </w:t>
      </w:r>
      <w:proofErr w:type="spellStart"/>
      <w:r w:rsidRPr="006A090B">
        <w:rPr>
          <w:rFonts w:cs="Arial"/>
        </w:rPr>
        <w:t>Taha</w:t>
      </w:r>
      <w:proofErr w:type="spellEnd"/>
      <w:r w:rsidRPr="006A090B">
        <w:rPr>
          <w:rFonts w:cs="Arial"/>
        </w:rPr>
        <w:t xml:space="preserve"> </w:t>
      </w:r>
      <w:proofErr w:type="spellStart"/>
      <w:r w:rsidRPr="006A090B">
        <w:rPr>
          <w:rFonts w:cs="Arial"/>
        </w:rPr>
        <w:t>Hinengaro</w:t>
      </w:r>
      <w:proofErr w:type="spellEnd"/>
      <w:r w:rsidRPr="006A090B">
        <w:rPr>
          <w:rFonts w:cs="Arial"/>
        </w:rPr>
        <w:t xml:space="preserve"> (psychological health), </w:t>
      </w:r>
      <w:proofErr w:type="spellStart"/>
      <w:r w:rsidRPr="006A090B">
        <w:rPr>
          <w:rFonts w:cs="Arial"/>
        </w:rPr>
        <w:t>Te</w:t>
      </w:r>
      <w:proofErr w:type="spellEnd"/>
      <w:r w:rsidRPr="006A090B">
        <w:rPr>
          <w:rFonts w:cs="Arial"/>
        </w:rPr>
        <w:t xml:space="preserve"> </w:t>
      </w:r>
      <w:proofErr w:type="spellStart"/>
      <w:r w:rsidRPr="006A090B">
        <w:rPr>
          <w:rFonts w:cs="Arial"/>
        </w:rPr>
        <w:t>Taha</w:t>
      </w:r>
      <w:proofErr w:type="spellEnd"/>
      <w:r w:rsidRPr="006A090B">
        <w:rPr>
          <w:rFonts w:cs="Arial"/>
        </w:rPr>
        <w:t xml:space="preserve"> </w:t>
      </w:r>
      <w:proofErr w:type="spellStart"/>
      <w:r w:rsidRPr="006A090B">
        <w:rPr>
          <w:rFonts w:cs="Arial"/>
        </w:rPr>
        <w:t>Wairua</w:t>
      </w:r>
      <w:proofErr w:type="spellEnd"/>
      <w:r w:rsidRPr="006A090B">
        <w:rPr>
          <w:rFonts w:cs="Arial"/>
        </w:rPr>
        <w:t xml:space="preserve"> (spiritual health), </w:t>
      </w:r>
      <w:proofErr w:type="spellStart"/>
      <w:r w:rsidRPr="006A090B">
        <w:rPr>
          <w:rFonts w:cs="Arial"/>
        </w:rPr>
        <w:t>Te</w:t>
      </w:r>
      <w:proofErr w:type="spellEnd"/>
      <w:r w:rsidRPr="006A090B">
        <w:rPr>
          <w:rFonts w:cs="Arial"/>
        </w:rPr>
        <w:t xml:space="preserve"> </w:t>
      </w:r>
      <w:proofErr w:type="spellStart"/>
      <w:r w:rsidRPr="006A090B">
        <w:rPr>
          <w:rFonts w:cs="Arial"/>
        </w:rPr>
        <w:t>Taha</w:t>
      </w:r>
      <w:proofErr w:type="spellEnd"/>
      <w:r w:rsidRPr="006A090B">
        <w:rPr>
          <w:rFonts w:cs="Arial"/>
        </w:rPr>
        <w:t xml:space="preserve"> </w:t>
      </w:r>
      <w:proofErr w:type="spellStart"/>
      <w:r w:rsidRPr="006A090B">
        <w:rPr>
          <w:rFonts w:cs="Arial"/>
        </w:rPr>
        <w:t>Tinana</w:t>
      </w:r>
      <w:proofErr w:type="spellEnd"/>
      <w:r w:rsidRPr="006A090B">
        <w:rPr>
          <w:rFonts w:cs="Arial"/>
        </w:rPr>
        <w:t xml:space="preserve"> (physical health) and </w:t>
      </w:r>
      <w:proofErr w:type="spellStart"/>
      <w:r w:rsidRPr="006A090B">
        <w:rPr>
          <w:rFonts w:cs="Arial"/>
        </w:rPr>
        <w:t>Te</w:t>
      </w:r>
      <w:proofErr w:type="spellEnd"/>
      <w:r w:rsidRPr="006A090B">
        <w:rPr>
          <w:rFonts w:cs="Arial"/>
        </w:rPr>
        <w:t xml:space="preserve"> </w:t>
      </w:r>
      <w:proofErr w:type="spellStart"/>
      <w:r w:rsidRPr="006A090B">
        <w:rPr>
          <w:rFonts w:cs="Arial"/>
        </w:rPr>
        <w:t>Taha</w:t>
      </w:r>
      <w:proofErr w:type="spellEnd"/>
      <w:r w:rsidRPr="006A090B">
        <w:rPr>
          <w:rFonts w:cs="Arial"/>
        </w:rPr>
        <w:t xml:space="preserve"> </w:t>
      </w:r>
      <w:proofErr w:type="spellStart"/>
      <w:r w:rsidRPr="006A090B">
        <w:rPr>
          <w:rFonts w:cs="Arial"/>
        </w:rPr>
        <w:t>Wh</w:t>
      </w:r>
      <w:r w:rsidRPr="006A090B">
        <w:rPr>
          <w:rFonts w:cs="Arial" w:hint="eastAsia"/>
        </w:rPr>
        <w:t>ā</w:t>
      </w:r>
      <w:r w:rsidRPr="006A090B">
        <w:rPr>
          <w:rFonts w:cs="Arial"/>
        </w:rPr>
        <w:t>nau</w:t>
      </w:r>
      <w:proofErr w:type="spellEnd"/>
      <w:r w:rsidRPr="006A090B">
        <w:rPr>
          <w:rFonts w:cs="Arial"/>
        </w:rPr>
        <w:t xml:space="preserve"> (family health).</w:t>
      </w:r>
    </w:p>
    <w:p w:rsidR="001E4CFE" w:rsidRDefault="007D0FFE" w:rsidP="00190871">
      <w:pPr>
        <w:spacing w:before="0"/>
        <w:jc w:val="left"/>
        <w:rPr>
          <w:rFonts w:cs="Arial"/>
        </w:rPr>
      </w:pPr>
      <w:r w:rsidRPr="006102D6">
        <w:rPr>
          <w:rFonts w:cs="Arial"/>
        </w:rPr>
        <w:t xml:space="preserve">The Service </w:t>
      </w:r>
      <w:bookmarkEnd w:id="17"/>
      <w:r w:rsidR="00766EA5">
        <w:rPr>
          <w:rFonts w:cs="Arial"/>
        </w:rPr>
        <w:t>will:</w:t>
      </w:r>
    </w:p>
    <w:p w:rsidR="00766EA5" w:rsidRPr="00950E07" w:rsidRDefault="00766EA5" w:rsidP="00950E07">
      <w:pPr>
        <w:pStyle w:val="ListParagraph"/>
        <w:numPr>
          <w:ilvl w:val="0"/>
          <w:numId w:val="21"/>
        </w:numPr>
        <w:ind w:left="567" w:hanging="567"/>
        <w:rPr>
          <w:bCs/>
          <w:color w:val="000000"/>
        </w:rPr>
      </w:pPr>
      <w:r w:rsidRPr="00950E07">
        <w:rPr>
          <w:bCs/>
          <w:color w:val="000000"/>
        </w:rPr>
        <w:t>address the specialist palliative care needs of M</w:t>
      </w:r>
      <w:r w:rsidR="00006CE6" w:rsidRPr="00950E07">
        <w:rPr>
          <w:bCs/>
          <w:color w:val="000000"/>
        </w:rPr>
        <w:t>ā</w:t>
      </w:r>
      <w:r w:rsidRPr="00950E07">
        <w:rPr>
          <w:bCs/>
          <w:color w:val="000000"/>
        </w:rPr>
        <w:t>ori</w:t>
      </w:r>
    </w:p>
    <w:p w:rsidR="00766EA5" w:rsidRPr="00950E07" w:rsidRDefault="00766EA5" w:rsidP="00950E07">
      <w:pPr>
        <w:pStyle w:val="ListParagraph"/>
        <w:numPr>
          <w:ilvl w:val="0"/>
          <w:numId w:val="21"/>
        </w:numPr>
        <w:ind w:left="567" w:hanging="567"/>
        <w:rPr>
          <w:bCs/>
          <w:color w:val="000000"/>
        </w:rPr>
      </w:pPr>
      <w:r w:rsidRPr="00950E07">
        <w:rPr>
          <w:bCs/>
          <w:color w:val="000000"/>
        </w:rPr>
        <w:t>be clinically sound, of good quality and culturally appropriate</w:t>
      </w:r>
    </w:p>
    <w:p w:rsidR="00766EA5" w:rsidRPr="00950E07" w:rsidRDefault="00766EA5" w:rsidP="00950E07">
      <w:pPr>
        <w:pStyle w:val="ListParagraph"/>
        <w:numPr>
          <w:ilvl w:val="0"/>
          <w:numId w:val="21"/>
        </w:numPr>
        <w:ind w:left="567" w:hanging="567"/>
        <w:rPr>
          <w:bCs/>
          <w:color w:val="000000"/>
        </w:rPr>
      </w:pPr>
      <w:r w:rsidRPr="00950E07">
        <w:rPr>
          <w:bCs/>
          <w:color w:val="000000"/>
        </w:rPr>
        <w:t>be accessible</w:t>
      </w:r>
      <w:r w:rsidR="00784081" w:rsidRPr="00950E07">
        <w:rPr>
          <w:bCs/>
          <w:color w:val="000000"/>
        </w:rPr>
        <w:t>,</w:t>
      </w:r>
      <w:r w:rsidRPr="00950E07">
        <w:rPr>
          <w:bCs/>
          <w:color w:val="000000"/>
        </w:rPr>
        <w:t xml:space="preserve"> timely and effective</w:t>
      </w:r>
    </w:p>
    <w:p w:rsidR="00E55433" w:rsidRPr="00950E07" w:rsidRDefault="00766EA5" w:rsidP="00950E07">
      <w:pPr>
        <w:pStyle w:val="ListParagraph"/>
        <w:numPr>
          <w:ilvl w:val="0"/>
          <w:numId w:val="21"/>
        </w:numPr>
        <w:ind w:left="567" w:hanging="567"/>
        <w:rPr>
          <w:bCs/>
          <w:color w:val="000000"/>
        </w:rPr>
      </w:pPr>
      <w:r w:rsidRPr="00950E07">
        <w:rPr>
          <w:bCs/>
          <w:color w:val="000000"/>
        </w:rPr>
        <w:t xml:space="preserve">ensure equitable </w:t>
      </w:r>
      <w:r w:rsidR="00555FD4" w:rsidRPr="00950E07">
        <w:rPr>
          <w:bCs/>
          <w:color w:val="000000"/>
        </w:rPr>
        <w:t xml:space="preserve">quality of care </w:t>
      </w:r>
      <w:r w:rsidR="00D429FF" w:rsidRPr="00950E07">
        <w:rPr>
          <w:bCs/>
          <w:color w:val="000000"/>
        </w:rPr>
        <w:t xml:space="preserve">outcomes </w:t>
      </w:r>
      <w:r w:rsidRPr="00950E07">
        <w:rPr>
          <w:bCs/>
          <w:color w:val="000000"/>
        </w:rPr>
        <w:t>for M</w:t>
      </w:r>
      <w:r w:rsidR="00006CE6" w:rsidRPr="00950E07">
        <w:rPr>
          <w:bCs/>
          <w:color w:val="000000"/>
        </w:rPr>
        <w:t>ā</w:t>
      </w:r>
      <w:r w:rsidRPr="00950E07">
        <w:rPr>
          <w:bCs/>
          <w:color w:val="000000"/>
        </w:rPr>
        <w:t>ori</w:t>
      </w:r>
    </w:p>
    <w:p w:rsidR="00734865" w:rsidRPr="00950E07" w:rsidRDefault="00766EA5" w:rsidP="00950E07">
      <w:pPr>
        <w:pStyle w:val="ListParagraph"/>
        <w:numPr>
          <w:ilvl w:val="0"/>
          <w:numId w:val="21"/>
        </w:numPr>
        <w:ind w:left="567" w:hanging="567"/>
        <w:rPr>
          <w:bCs/>
          <w:color w:val="000000"/>
        </w:rPr>
      </w:pPr>
      <w:r w:rsidRPr="00950E07">
        <w:rPr>
          <w:bCs/>
          <w:color w:val="000000"/>
        </w:rPr>
        <w:t>collect ethnicity data for M</w:t>
      </w:r>
      <w:r w:rsidR="00006CE6" w:rsidRPr="00950E07">
        <w:rPr>
          <w:bCs/>
          <w:color w:val="000000"/>
        </w:rPr>
        <w:t>ā</w:t>
      </w:r>
      <w:r w:rsidRPr="00950E07">
        <w:rPr>
          <w:bCs/>
          <w:color w:val="000000"/>
        </w:rPr>
        <w:t xml:space="preserve">ori in accordance with the Ethnicity Data Protocols for the </w:t>
      </w:r>
      <w:r w:rsidR="0003090C">
        <w:rPr>
          <w:bCs/>
          <w:color w:val="000000"/>
        </w:rPr>
        <w:t>H</w:t>
      </w:r>
      <w:r w:rsidR="0003090C" w:rsidRPr="00950E07">
        <w:rPr>
          <w:bCs/>
          <w:color w:val="000000"/>
        </w:rPr>
        <w:t xml:space="preserve">ealth </w:t>
      </w:r>
      <w:r w:rsidRPr="00950E07">
        <w:rPr>
          <w:bCs/>
          <w:color w:val="000000"/>
        </w:rPr>
        <w:t xml:space="preserve">and </w:t>
      </w:r>
      <w:r w:rsidR="0003090C">
        <w:rPr>
          <w:bCs/>
          <w:color w:val="000000"/>
        </w:rPr>
        <w:t>D</w:t>
      </w:r>
      <w:r w:rsidR="0003090C" w:rsidRPr="00950E07">
        <w:rPr>
          <w:bCs/>
          <w:color w:val="000000"/>
        </w:rPr>
        <w:t xml:space="preserve">isability </w:t>
      </w:r>
      <w:r w:rsidRPr="00950E07">
        <w:rPr>
          <w:bCs/>
          <w:color w:val="000000"/>
        </w:rPr>
        <w:t>Sector (Ministry of Health 2004)</w:t>
      </w:r>
      <w:r w:rsidRPr="00950E07">
        <w:rPr>
          <w:rStyle w:val="FootnoteReference"/>
        </w:rPr>
        <w:footnoteReference w:id="5"/>
      </w:r>
    </w:p>
    <w:p w:rsidR="00131DC7" w:rsidRDefault="00CA4B06" w:rsidP="00950E07">
      <w:pPr>
        <w:pStyle w:val="ListParagraph"/>
        <w:numPr>
          <w:ilvl w:val="0"/>
          <w:numId w:val="21"/>
        </w:numPr>
        <w:ind w:left="567" w:hanging="567"/>
      </w:pPr>
      <w:proofErr w:type="gramStart"/>
      <w:r w:rsidRPr="00950E07">
        <w:rPr>
          <w:bCs/>
          <w:color w:val="000000"/>
        </w:rPr>
        <w:t>have</w:t>
      </w:r>
      <w:proofErr w:type="gramEnd"/>
      <w:r w:rsidRPr="00950E07">
        <w:rPr>
          <w:bCs/>
          <w:color w:val="000000"/>
        </w:rPr>
        <w:t xml:space="preserve"> </w:t>
      </w:r>
      <w:r w:rsidR="00734865" w:rsidRPr="00950E07">
        <w:rPr>
          <w:bCs/>
          <w:color w:val="000000"/>
        </w:rPr>
        <w:t xml:space="preserve">strategies </w:t>
      </w:r>
      <w:r w:rsidRPr="00950E07">
        <w:rPr>
          <w:bCs/>
          <w:color w:val="000000"/>
        </w:rPr>
        <w:t xml:space="preserve">in place </w:t>
      </w:r>
      <w:r w:rsidR="00734865" w:rsidRPr="00950E07">
        <w:rPr>
          <w:bCs/>
          <w:color w:val="000000"/>
        </w:rPr>
        <w:t>to understand and address beliefs and values regarding physical</w:t>
      </w:r>
      <w:r w:rsidR="00734865">
        <w:t xml:space="preserve">, psychological, spiritual and cultural needs of Māori and their </w:t>
      </w:r>
      <w:proofErr w:type="spellStart"/>
      <w:r w:rsidR="00734865" w:rsidRPr="002E3D36">
        <w:t>wh</w:t>
      </w:r>
      <w:r w:rsidR="00734865" w:rsidRPr="002E3D36">
        <w:rPr>
          <w:rFonts w:hint="eastAsia"/>
        </w:rPr>
        <w:t>ā</w:t>
      </w:r>
      <w:r w:rsidR="00734865" w:rsidRPr="002E3D36">
        <w:t>nau</w:t>
      </w:r>
      <w:proofErr w:type="spellEnd"/>
      <w:r w:rsidR="00D429FF">
        <w:t>.</w:t>
      </w:r>
    </w:p>
    <w:p w:rsidR="009D539D" w:rsidRPr="006102D6" w:rsidRDefault="00AC4027" w:rsidP="00262268">
      <w:pPr>
        <w:pStyle w:val="Heading1"/>
      </w:pPr>
      <w:bookmarkStart w:id="18" w:name="_Toc215319141"/>
      <w:r>
        <w:t>4</w:t>
      </w:r>
      <w:r w:rsidR="009D539D" w:rsidRPr="006102D6">
        <w:tab/>
        <w:t>Access</w:t>
      </w:r>
      <w:bookmarkEnd w:id="18"/>
    </w:p>
    <w:p w:rsidR="004339CF" w:rsidRPr="004339CF" w:rsidRDefault="004339CF" w:rsidP="00262268">
      <w:pPr>
        <w:pStyle w:val="Heading2"/>
      </w:pPr>
      <w:r w:rsidRPr="004339CF">
        <w:t>4.</w:t>
      </w:r>
      <w:r w:rsidR="001C05E9">
        <w:t>1</w:t>
      </w:r>
      <w:r w:rsidRPr="004339CF">
        <w:tab/>
        <w:t>Referral to the Service</w:t>
      </w:r>
    </w:p>
    <w:p w:rsidR="004339CF" w:rsidRPr="004339CF" w:rsidRDefault="004339CF" w:rsidP="000F0D71">
      <w:pPr>
        <w:tabs>
          <w:tab w:val="left" w:pos="1134"/>
        </w:tabs>
        <w:jc w:val="left"/>
        <w:rPr>
          <w:rFonts w:cs="Arial"/>
        </w:rPr>
      </w:pPr>
      <w:r w:rsidRPr="004339CF">
        <w:rPr>
          <w:rFonts w:cs="Arial"/>
        </w:rPr>
        <w:t>Referral to the Service may be</w:t>
      </w:r>
      <w:r>
        <w:rPr>
          <w:rFonts w:cs="Arial"/>
        </w:rPr>
        <w:t xml:space="preserve"> </w:t>
      </w:r>
      <w:r w:rsidR="000F5D6E">
        <w:rPr>
          <w:rFonts w:cs="Arial"/>
        </w:rPr>
        <w:t>made as</w:t>
      </w:r>
      <w:r w:rsidR="008F6325">
        <w:rPr>
          <w:rFonts w:cs="Arial"/>
        </w:rPr>
        <w:t xml:space="preserve"> follow</w:t>
      </w:r>
      <w:r w:rsidR="000F5D6E">
        <w:rPr>
          <w:rFonts w:cs="Arial"/>
        </w:rPr>
        <w:t>s:</w:t>
      </w:r>
    </w:p>
    <w:p w:rsidR="004339CF" w:rsidRPr="004339CF" w:rsidRDefault="004339CF" w:rsidP="00A23B15">
      <w:pPr>
        <w:pStyle w:val="ListParagraph"/>
        <w:numPr>
          <w:ilvl w:val="0"/>
          <w:numId w:val="16"/>
        </w:numPr>
        <w:ind w:left="567" w:hanging="567"/>
      </w:pPr>
      <w:r w:rsidRPr="004339CF">
        <w:t xml:space="preserve">self-referral, </w:t>
      </w:r>
      <w:r w:rsidR="008F6325">
        <w:t>as</w:t>
      </w:r>
      <w:r w:rsidRPr="004339CF">
        <w:t xml:space="preserve"> appropriate (family and </w:t>
      </w:r>
      <w:proofErr w:type="spellStart"/>
      <w:r w:rsidRPr="004339CF">
        <w:t>whānau</w:t>
      </w:r>
      <w:proofErr w:type="spellEnd"/>
      <w:r w:rsidRPr="004339CF">
        <w:t xml:space="preserve"> / carers may self-refer for bereavement, grief and loss, social and/or sp</w:t>
      </w:r>
      <w:r>
        <w:t>iritual support services)</w:t>
      </w:r>
    </w:p>
    <w:p w:rsidR="004339CF" w:rsidRPr="004339CF" w:rsidRDefault="004339CF" w:rsidP="00A23B15">
      <w:pPr>
        <w:pStyle w:val="ListParagraph"/>
        <w:numPr>
          <w:ilvl w:val="0"/>
          <w:numId w:val="16"/>
        </w:numPr>
        <w:ind w:left="567" w:hanging="567"/>
      </w:pPr>
      <w:r w:rsidRPr="004339CF">
        <w:t>community organisations / providers</w:t>
      </w:r>
    </w:p>
    <w:p w:rsidR="004339CF" w:rsidRPr="004339CF" w:rsidRDefault="004339CF" w:rsidP="00A23B15">
      <w:pPr>
        <w:pStyle w:val="ListParagraph"/>
        <w:numPr>
          <w:ilvl w:val="0"/>
          <w:numId w:val="16"/>
        </w:numPr>
        <w:ind w:left="567" w:hanging="567"/>
      </w:pPr>
      <w:r w:rsidRPr="004339CF">
        <w:t>other hospital services including community hospital services, or</w:t>
      </w:r>
    </w:p>
    <w:p w:rsidR="008F6325" w:rsidRDefault="004339CF" w:rsidP="001C7BD0">
      <w:pPr>
        <w:numPr>
          <w:ilvl w:val="0"/>
          <w:numId w:val="16"/>
        </w:numPr>
        <w:spacing w:before="0"/>
        <w:ind w:left="567" w:hanging="567"/>
        <w:jc w:val="left"/>
        <w:rPr>
          <w:rFonts w:cs="Arial"/>
        </w:rPr>
      </w:pPr>
      <w:proofErr w:type="gramStart"/>
      <w:r w:rsidRPr="004339CF">
        <w:rPr>
          <w:rFonts w:cs="Arial"/>
        </w:rPr>
        <w:lastRenderedPageBreak/>
        <w:t>primary</w:t>
      </w:r>
      <w:proofErr w:type="gramEnd"/>
      <w:r w:rsidRPr="004339CF">
        <w:rPr>
          <w:rFonts w:cs="Arial"/>
        </w:rPr>
        <w:t xml:space="preserve"> palliative care providers (for example general practice teams, Māori health providers, aged care providers).</w:t>
      </w:r>
    </w:p>
    <w:p w:rsidR="008F6325" w:rsidRPr="008F6325" w:rsidRDefault="001C05E9" w:rsidP="00262268">
      <w:pPr>
        <w:pStyle w:val="Heading2"/>
      </w:pPr>
      <w:r>
        <w:t>4.2</w:t>
      </w:r>
      <w:r>
        <w:tab/>
      </w:r>
      <w:r w:rsidR="008F6325" w:rsidRPr="008F6325">
        <w:t>Entry Criteria</w:t>
      </w:r>
    </w:p>
    <w:p w:rsidR="008F6325" w:rsidRPr="008F6325" w:rsidRDefault="008F6325" w:rsidP="008F6325">
      <w:pPr>
        <w:jc w:val="left"/>
        <w:rPr>
          <w:rFonts w:cs="Arial"/>
        </w:rPr>
      </w:pPr>
      <w:r w:rsidRPr="008F6325">
        <w:rPr>
          <w:rFonts w:cs="Arial"/>
        </w:rPr>
        <w:t>Eligible people</w:t>
      </w:r>
      <w:r w:rsidR="000F5D6E">
        <w:rPr>
          <w:rFonts w:cs="Arial"/>
        </w:rPr>
        <w:t xml:space="preserve"> </w:t>
      </w:r>
      <w:r w:rsidR="00F17161">
        <w:rPr>
          <w:rFonts w:cs="Arial"/>
        </w:rPr>
        <w:t xml:space="preserve">of any age </w:t>
      </w:r>
      <w:r w:rsidRPr="008F6325">
        <w:rPr>
          <w:rFonts w:cs="Arial"/>
        </w:rPr>
        <w:t>who:</w:t>
      </w:r>
    </w:p>
    <w:p w:rsidR="008F6325" w:rsidRPr="008F6325" w:rsidRDefault="008F6325" w:rsidP="001C7BD0">
      <w:pPr>
        <w:numPr>
          <w:ilvl w:val="0"/>
          <w:numId w:val="16"/>
        </w:numPr>
        <w:spacing w:before="0"/>
        <w:ind w:left="567" w:hanging="567"/>
        <w:jc w:val="left"/>
        <w:rPr>
          <w:rFonts w:cs="Arial"/>
        </w:rPr>
      </w:pPr>
      <w:r w:rsidRPr="008F6325">
        <w:rPr>
          <w:rFonts w:cs="Arial"/>
        </w:rPr>
        <w:t>have an active, progressive and advanced disease, and</w:t>
      </w:r>
    </w:p>
    <w:p w:rsidR="008F6325" w:rsidRDefault="008F6325" w:rsidP="001C7BD0">
      <w:pPr>
        <w:numPr>
          <w:ilvl w:val="0"/>
          <w:numId w:val="16"/>
        </w:numPr>
        <w:spacing w:before="0"/>
        <w:ind w:left="567" w:hanging="567"/>
        <w:jc w:val="left"/>
        <w:rPr>
          <w:rFonts w:cs="Arial"/>
        </w:rPr>
      </w:pPr>
      <w:r w:rsidRPr="008F6325">
        <w:rPr>
          <w:rFonts w:cs="Arial"/>
        </w:rPr>
        <w:t>are reasonably expected to die within 12 months (this timeframe may be longer especially for children and young adults, and those with non-malignant disease)</w:t>
      </w:r>
    </w:p>
    <w:p w:rsidR="009463EE" w:rsidRPr="008F6325" w:rsidRDefault="009463EE" w:rsidP="001C7BD0">
      <w:pPr>
        <w:numPr>
          <w:ilvl w:val="0"/>
          <w:numId w:val="16"/>
        </w:numPr>
        <w:spacing w:before="0"/>
        <w:ind w:left="567" w:hanging="567"/>
        <w:jc w:val="left"/>
        <w:rPr>
          <w:rFonts w:cs="Arial"/>
        </w:rPr>
      </w:pPr>
      <w:proofErr w:type="gramStart"/>
      <w:r>
        <w:rPr>
          <w:rFonts w:cs="Arial"/>
          <w:bCs/>
          <w:color w:val="000000"/>
        </w:rPr>
        <w:t>have</w:t>
      </w:r>
      <w:proofErr w:type="gramEnd"/>
      <w:r>
        <w:rPr>
          <w:rFonts w:cs="Arial"/>
          <w:bCs/>
          <w:color w:val="000000"/>
        </w:rPr>
        <w:t xml:space="preserve"> assessed </w:t>
      </w:r>
      <w:r w:rsidRPr="002E3D36">
        <w:rPr>
          <w:rFonts w:cs="Arial"/>
          <w:bCs/>
          <w:color w:val="000000"/>
        </w:rPr>
        <w:t xml:space="preserve">needs </w:t>
      </w:r>
      <w:r>
        <w:rPr>
          <w:rFonts w:cs="Arial"/>
          <w:bCs/>
          <w:color w:val="000000"/>
        </w:rPr>
        <w:t xml:space="preserve">that </w:t>
      </w:r>
      <w:r w:rsidRPr="002E3D36">
        <w:rPr>
          <w:rFonts w:cs="Arial"/>
          <w:bCs/>
          <w:color w:val="000000"/>
        </w:rPr>
        <w:t>exceed the capability of the primary palliative care provider</w:t>
      </w:r>
      <w:r>
        <w:rPr>
          <w:rFonts w:cs="Arial"/>
          <w:bCs/>
          <w:color w:val="000000"/>
        </w:rPr>
        <w:t>.</w:t>
      </w:r>
    </w:p>
    <w:p w:rsidR="00925DF3" w:rsidRPr="008F6325" w:rsidRDefault="008F6325" w:rsidP="000F0D71">
      <w:pPr>
        <w:jc w:val="left"/>
        <w:rPr>
          <w:rFonts w:cs="Arial"/>
        </w:rPr>
      </w:pPr>
      <w:r w:rsidRPr="008F6325">
        <w:rPr>
          <w:rFonts w:cs="Arial"/>
        </w:rPr>
        <w:t xml:space="preserve">A Service User’s family and </w:t>
      </w:r>
      <w:proofErr w:type="spellStart"/>
      <w:r w:rsidRPr="008F6325">
        <w:rPr>
          <w:rFonts w:cs="Arial"/>
        </w:rPr>
        <w:t>whānau</w:t>
      </w:r>
      <w:proofErr w:type="spellEnd"/>
      <w:r w:rsidRPr="008F6325">
        <w:rPr>
          <w:rFonts w:cs="Arial"/>
        </w:rPr>
        <w:t xml:space="preserve"> / carers are assessed </w:t>
      </w:r>
      <w:r w:rsidR="009463EE">
        <w:rPr>
          <w:rFonts w:cs="Arial"/>
        </w:rPr>
        <w:t xml:space="preserve">by the Service </w:t>
      </w:r>
      <w:r w:rsidRPr="008F6325">
        <w:rPr>
          <w:rFonts w:cs="Arial"/>
        </w:rPr>
        <w:t>as needing specialist palliative care input</w:t>
      </w:r>
      <w:r w:rsidR="00131DC7">
        <w:rPr>
          <w:rFonts w:cs="Arial"/>
        </w:rPr>
        <w:t xml:space="preserve"> </w:t>
      </w:r>
      <w:r w:rsidR="009463EE">
        <w:rPr>
          <w:rFonts w:cs="Arial"/>
        </w:rPr>
        <w:t xml:space="preserve">for </w:t>
      </w:r>
      <w:r w:rsidR="00555FD4" w:rsidRPr="008F6325">
        <w:rPr>
          <w:rFonts w:cs="Arial"/>
        </w:rPr>
        <w:t>bereavem</w:t>
      </w:r>
      <w:r w:rsidR="00D429FF" w:rsidRPr="008F6325">
        <w:rPr>
          <w:rFonts w:cs="Arial"/>
        </w:rPr>
        <w:t xml:space="preserve">ent, grief and loss, social and </w:t>
      </w:r>
      <w:r w:rsidR="00555FD4" w:rsidRPr="008F6325">
        <w:rPr>
          <w:rFonts w:cs="Arial"/>
        </w:rPr>
        <w:t>spiritual support services</w:t>
      </w:r>
      <w:r w:rsidR="00131DC7">
        <w:rPr>
          <w:rFonts w:cs="Arial"/>
        </w:rPr>
        <w:t>, as appropriate.</w:t>
      </w:r>
    </w:p>
    <w:p w:rsidR="009D539D" w:rsidRDefault="00AC4027" w:rsidP="00262268">
      <w:pPr>
        <w:pStyle w:val="Heading2"/>
      </w:pPr>
      <w:r>
        <w:t>4</w:t>
      </w:r>
      <w:r w:rsidR="009D539D" w:rsidRPr="006102D6">
        <w:t>.</w:t>
      </w:r>
      <w:r w:rsidR="00D36D2E">
        <w:t>3</w:t>
      </w:r>
      <w:r w:rsidR="00D620B6" w:rsidRPr="006102D6">
        <w:tab/>
      </w:r>
      <w:r w:rsidR="009D539D" w:rsidRPr="006102D6">
        <w:t>Exit Criteria</w:t>
      </w:r>
    </w:p>
    <w:p w:rsidR="004339CF" w:rsidRPr="008F6325" w:rsidRDefault="00766EA5" w:rsidP="000F5D6E">
      <w:pPr>
        <w:jc w:val="left"/>
        <w:rPr>
          <w:rFonts w:cs="Arial"/>
        </w:rPr>
      </w:pPr>
      <w:r w:rsidRPr="008F6325">
        <w:rPr>
          <w:rFonts w:cs="Arial"/>
        </w:rPr>
        <w:t>Service Users will be discharged from the Service when</w:t>
      </w:r>
      <w:r w:rsidR="002E3D36" w:rsidRPr="008F6325">
        <w:rPr>
          <w:rFonts w:cs="Arial"/>
        </w:rPr>
        <w:t xml:space="preserve"> they</w:t>
      </w:r>
      <w:r w:rsidR="000F5D6E">
        <w:rPr>
          <w:rFonts w:cs="Arial"/>
        </w:rPr>
        <w:t xml:space="preserve"> </w:t>
      </w:r>
      <w:r w:rsidR="002E3D36" w:rsidRPr="008F6325">
        <w:rPr>
          <w:rFonts w:cs="Arial"/>
        </w:rPr>
        <w:t xml:space="preserve">are assessed by </w:t>
      </w:r>
      <w:r w:rsidR="000F5D6E">
        <w:rPr>
          <w:rFonts w:cs="Arial"/>
        </w:rPr>
        <w:t>t</w:t>
      </w:r>
      <w:r w:rsidR="002E3D36" w:rsidRPr="008F6325">
        <w:rPr>
          <w:rFonts w:cs="Arial"/>
        </w:rPr>
        <w:t xml:space="preserve">he specialist palliative care team </w:t>
      </w:r>
      <w:r w:rsidR="004339CF" w:rsidRPr="008F6325">
        <w:rPr>
          <w:rFonts w:cs="Arial"/>
        </w:rPr>
        <w:t xml:space="preserve">as: </w:t>
      </w:r>
    </w:p>
    <w:p w:rsidR="002E3D36" w:rsidRPr="00950E07" w:rsidRDefault="002E3D36" w:rsidP="00950E07">
      <w:pPr>
        <w:pStyle w:val="ListParagraph"/>
        <w:numPr>
          <w:ilvl w:val="0"/>
          <w:numId w:val="21"/>
        </w:numPr>
        <w:ind w:left="567" w:hanging="567"/>
        <w:rPr>
          <w:bCs/>
          <w:color w:val="000000"/>
        </w:rPr>
      </w:pPr>
      <w:r w:rsidRPr="00950E07">
        <w:rPr>
          <w:bCs/>
          <w:color w:val="000000"/>
        </w:rPr>
        <w:t>no longer meeting the entry criteria</w:t>
      </w:r>
      <w:r w:rsidR="00A24346" w:rsidRPr="00950E07">
        <w:rPr>
          <w:bCs/>
          <w:color w:val="000000"/>
        </w:rPr>
        <w:t xml:space="preserve">, although episodic care will be offered if required, after </w:t>
      </w:r>
      <w:r w:rsidRPr="00950E07">
        <w:rPr>
          <w:bCs/>
          <w:color w:val="000000"/>
        </w:rPr>
        <w:t xml:space="preserve">a </w:t>
      </w:r>
      <w:r w:rsidR="00A24346" w:rsidRPr="00950E07">
        <w:rPr>
          <w:bCs/>
          <w:color w:val="000000"/>
        </w:rPr>
        <w:t>re-referral</w:t>
      </w:r>
      <w:r w:rsidR="008F6325" w:rsidRPr="00950E07">
        <w:rPr>
          <w:bCs/>
          <w:color w:val="000000"/>
        </w:rPr>
        <w:t xml:space="preserve"> or</w:t>
      </w:r>
    </w:p>
    <w:p w:rsidR="00D50DFD" w:rsidRPr="00950E07" w:rsidRDefault="00D50DFD" w:rsidP="00950E07">
      <w:pPr>
        <w:pStyle w:val="ListParagraph"/>
        <w:numPr>
          <w:ilvl w:val="0"/>
          <w:numId w:val="21"/>
        </w:numPr>
        <w:ind w:left="567" w:hanging="567"/>
        <w:rPr>
          <w:bCs/>
          <w:color w:val="000000"/>
        </w:rPr>
      </w:pPr>
      <w:r w:rsidRPr="00950E07">
        <w:rPr>
          <w:bCs/>
          <w:color w:val="000000"/>
        </w:rPr>
        <w:t>not currently having a specialist palliative care need</w:t>
      </w:r>
      <w:r w:rsidR="008F6325" w:rsidRPr="00950E07">
        <w:rPr>
          <w:bCs/>
          <w:color w:val="000000"/>
        </w:rPr>
        <w:t>, or</w:t>
      </w:r>
    </w:p>
    <w:p w:rsidR="00292A34" w:rsidRPr="00950E07" w:rsidRDefault="004339CF" w:rsidP="00950E07">
      <w:pPr>
        <w:pStyle w:val="ListParagraph"/>
        <w:numPr>
          <w:ilvl w:val="0"/>
          <w:numId w:val="21"/>
        </w:numPr>
        <w:ind w:left="567" w:hanging="567"/>
        <w:rPr>
          <w:bCs/>
          <w:color w:val="000000"/>
        </w:rPr>
      </w:pPr>
      <w:r w:rsidRPr="00950E07">
        <w:rPr>
          <w:bCs/>
          <w:color w:val="000000"/>
        </w:rPr>
        <w:t xml:space="preserve">no longer needing </w:t>
      </w:r>
      <w:r w:rsidR="002E3D36" w:rsidRPr="00950E07">
        <w:rPr>
          <w:bCs/>
          <w:color w:val="000000"/>
        </w:rPr>
        <w:t xml:space="preserve">specialist palliative care input for </w:t>
      </w:r>
      <w:r w:rsidR="00740E06" w:rsidRPr="00950E07">
        <w:rPr>
          <w:bCs/>
          <w:color w:val="000000"/>
        </w:rPr>
        <w:t>additional home support or respite care, bereavemen</w:t>
      </w:r>
      <w:r w:rsidR="00D429FF" w:rsidRPr="00950E07">
        <w:rPr>
          <w:bCs/>
          <w:color w:val="000000"/>
        </w:rPr>
        <w:t>t, grief and loss, social and</w:t>
      </w:r>
      <w:r w:rsidR="00740E06" w:rsidRPr="00950E07">
        <w:rPr>
          <w:bCs/>
          <w:color w:val="000000"/>
        </w:rPr>
        <w:t xml:space="preserve"> spiritual support services</w:t>
      </w:r>
      <w:r w:rsidR="00740E06" w:rsidRPr="00950E07" w:rsidDel="00740E06">
        <w:rPr>
          <w:bCs/>
          <w:color w:val="000000"/>
        </w:rPr>
        <w:t xml:space="preserve"> </w:t>
      </w:r>
      <w:r w:rsidR="002E3D36" w:rsidRPr="00950E07">
        <w:rPr>
          <w:bCs/>
          <w:color w:val="000000"/>
        </w:rPr>
        <w:t xml:space="preserve">for the Service User’s family, and </w:t>
      </w:r>
      <w:proofErr w:type="spellStart"/>
      <w:r w:rsidR="002E3D36" w:rsidRPr="00950E07">
        <w:rPr>
          <w:bCs/>
          <w:color w:val="000000"/>
        </w:rPr>
        <w:t>wh</w:t>
      </w:r>
      <w:r w:rsidR="002E3D36" w:rsidRPr="00950E07">
        <w:rPr>
          <w:rFonts w:hint="eastAsia"/>
          <w:bCs/>
          <w:color w:val="000000"/>
        </w:rPr>
        <w:t>ā</w:t>
      </w:r>
      <w:r w:rsidR="002E3D36" w:rsidRPr="00950E07">
        <w:rPr>
          <w:bCs/>
          <w:color w:val="000000"/>
        </w:rPr>
        <w:t>nau</w:t>
      </w:r>
      <w:proofErr w:type="spellEnd"/>
      <w:r w:rsidR="002E3D36" w:rsidRPr="00950E07">
        <w:rPr>
          <w:bCs/>
          <w:color w:val="000000"/>
        </w:rPr>
        <w:t xml:space="preserve"> / carers</w:t>
      </w:r>
      <w:r w:rsidR="000F5D6E" w:rsidRPr="00950E07">
        <w:rPr>
          <w:bCs/>
          <w:color w:val="000000"/>
        </w:rPr>
        <w:t>, or</w:t>
      </w:r>
    </w:p>
    <w:p w:rsidR="002E3D36" w:rsidRPr="00950E07" w:rsidRDefault="008F6325" w:rsidP="00950E07">
      <w:pPr>
        <w:pStyle w:val="ListParagraph"/>
        <w:numPr>
          <w:ilvl w:val="0"/>
          <w:numId w:val="21"/>
        </w:numPr>
        <w:ind w:left="567" w:hanging="567"/>
        <w:rPr>
          <w:bCs/>
          <w:color w:val="000000"/>
        </w:rPr>
      </w:pPr>
      <w:r w:rsidRPr="00950E07">
        <w:rPr>
          <w:bCs/>
          <w:color w:val="000000"/>
        </w:rPr>
        <w:t xml:space="preserve">they </w:t>
      </w:r>
      <w:r w:rsidR="002E3D36" w:rsidRPr="00950E07">
        <w:rPr>
          <w:bCs/>
          <w:color w:val="000000"/>
        </w:rPr>
        <w:t>self-discharge</w:t>
      </w:r>
      <w:r w:rsidR="000F5D6E" w:rsidRPr="00950E07">
        <w:rPr>
          <w:bCs/>
          <w:color w:val="000000"/>
        </w:rPr>
        <w:t>, or</w:t>
      </w:r>
    </w:p>
    <w:p w:rsidR="00734865" w:rsidRPr="00950E07" w:rsidRDefault="008F6325" w:rsidP="00950E07">
      <w:pPr>
        <w:pStyle w:val="ListParagraph"/>
        <w:numPr>
          <w:ilvl w:val="0"/>
          <w:numId w:val="21"/>
        </w:numPr>
        <w:ind w:left="567" w:hanging="567"/>
        <w:rPr>
          <w:bCs/>
          <w:color w:val="000000"/>
        </w:rPr>
      </w:pPr>
      <w:r w:rsidRPr="00950E07">
        <w:rPr>
          <w:bCs/>
          <w:color w:val="000000"/>
        </w:rPr>
        <w:t xml:space="preserve">they </w:t>
      </w:r>
      <w:r w:rsidR="00734865" w:rsidRPr="00950E07">
        <w:rPr>
          <w:bCs/>
          <w:color w:val="000000"/>
        </w:rPr>
        <w:t>move to another DHB domicile</w:t>
      </w:r>
      <w:r w:rsidR="000F5D6E" w:rsidRPr="00950E07">
        <w:rPr>
          <w:bCs/>
          <w:color w:val="000000"/>
        </w:rPr>
        <w:t>, or</w:t>
      </w:r>
    </w:p>
    <w:p w:rsidR="00292A34" w:rsidRPr="00950E07" w:rsidRDefault="008F6325" w:rsidP="00950E07">
      <w:pPr>
        <w:pStyle w:val="ListParagraph"/>
        <w:numPr>
          <w:ilvl w:val="0"/>
          <w:numId w:val="21"/>
        </w:numPr>
        <w:ind w:left="567" w:hanging="567"/>
        <w:rPr>
          <w:bCs/>
          <w:color w:val="000000"/>
        </w:rPr>
      </w:pPr>
      <w:r w:rsidRPr="00950E07">
        <w:rPr>
          <w:bCs/>
          <w:color w:val="000000"/>
        </w:rPr>
        <w:t xml:space="preserve">they </w:t>
      </w:r>
      <w:r w:rsidR="00766EA5" w:rsidRPr="00950E07">
        <w:rPr>
          <w:bCs/>
          <w:color w:val="000000"/>
        </w:rPr>
        <w:t>die</w:t>
      </w:r>
      <w:r w:rsidRPr="00950E07">
        <w:rPr>
          <w:bCs/>
          <w:color w:val="000000"/>
        </w:rPr>
        <w:t>, or</w:t>
      </w:r>
    </w:p>
    <w:p w:rsidR="00292A34" w:rsidRPr="008F6325" w:rsidRDefault="004339CF" w:rsidP="00950E07">
      <w:pPr>
        <w:pStyle w:val="ListParagraph"/>
        <w:numPr>
          <w:ilvl w:val="0"/>
          <w:numId w:val="21"/>
        </w:numPr>
        <w:ind w:left="567" w:hanging="567"/>
      </w:pPr>
      <w:proofErr w:type="gramStart"/>
      <w:r w:rsidRPr="00950E07">
        <w:rPr>
          <w:bCs/>
          <w:color w:val="000000"/>
        </w:rPr>
        <w:t>following</w:t>
      </w:r>
      <w:proofErr w:type="gramEnd"/>
      <w:r w:rsidRPr="00950E07">
        <w:rPr>
          <w:bCs/>
          <w:color w:val="000000"/>
        </w:rPr>
        <w:t xml:space="preserve"> a Service User’s death </w:t>
      </w:r>
      <w:r w:rsidR="00292A34" w:rsidRPr="00950E07">
        <w:rPr>
          <w:bCs/>
          <w:color w:val="000000"/>
        </w:rPr>
        <w:t xml:space="preserve">family and </w:t>
      </w:r>
      <w:proofErr w:type="spellStart"/>
      <w:r w:rsidR="00292A34" w:rsidRPr="00950E07">
        <w:rPr>
          <w:bCs/>
          <w:color w:val="000000"/>
        </w:rPr>
        <w:t>whānau</w:t>
      </w:r>
      <w:proofErr w:type="spellEnd"/>
      <w:r w:rsidR="00292A34" w:rsidRPr="00950E07">
        <w:rPr>
          <w:bCs/>
          <w:color w:val="000000"/>
        </w:rPr>
        <w:t xml:space="preserve"> / carers may access </w:t>
      </w:r>
      <w:r w:rsidR="00BB7964" w:rsidRPr="00950E07">
        <w:rPr>
          <w:bCs/>
          <w:color w:val="000000"/>
        </w:rPr>
        <w:t>appropriate Specialist Palliative Care services</w:t>
      </w:r>
      <w:r w:rsidR="00292A34" w:rsidRPr="00950E07">
        <w:rPr>
          <w:bCs/>
          <w:color w:val="000000"/>
        </w:rPr>
        <w:t xml:space="preserve"> for a period of up to 6 months</w:t>
      </w:r>
      <w:r w:rsidR="00131DC7" w:rsidRPr="00950E07">
        <w:rPr>
          <w:bCs/>
          <w:color w:val="000000"/>
        </w:rPr>
        <w:t>, or</w:t>
      </w:r>
      <w:r w:rsidR="00292A34" w:rsidRPr="00950E07">
        <w:rPr>
          <w:bCs/>
          <w:color w:val="000000"/>
        </w:rPr>
        <w:t xml:space="preserve"> </w:t>
      </w:r>
      <w:r w:rsidR="00BB7964" w:rsidRPr="00950E07">
        <w:rPr>
          <w:bCs/>
          <w:color w:val="000000"/>
        </w:rPr>
        <w:t>as agreed with the Service Provider</w:t>
      </w:r>
      <w:r w:rsidR="00131DC7">
        <w:t xml:space="preserve"> and DHB Funder</w:t>
      </w:r>
      <w:r w:rsidR="00BB7964" w:rsidRPr="008F6325">
        <w:t>.</w:t>
      </w:r>
    </w:p>
    <w:p w:rsidR="009D539D" w:rsidRPr="006869E1" w:rsidRDefault="004339CF" w:rsidP="00262268">
      <w:pPr>
        <w:pStyle w:val="Heading2"/>
      </w:pPr>
      <w:r>
        <w:t>4</w:t>
      </w:r>
      <w:bookmarkStart w:id="19" w:name="_Toc215319144"/>
      <w:r w:rsidR="00AC6FAA">
        <w:t>.</w:t>
      </w:r>
      <w:r w:rsidR="00D36D2E">
        <w:t>4</w:t>
      </w:r>
      <w:r w:rsidR="00AC6FAA">
        <w:tab/>
      </w:r>
      <w:r w:rsidR="009D539D" w:rsidRPr="006869E1">
        <w:t>Tim</w:t>
      </w:r>
      <w:r w:rsidR="00131DC7">
        <w:t>e</w:t>
      </w:r>
      <w:bookmarkEnd w:id="19"/>
    </w:p>
    <w:p w:rsidR="00F53D53" w:rsidRDefault="00F53D53" w:rsidP="002612AA">
      <w:pPr>
        <w:jc w:val="left"/>
        <w:rPr>
          <w:rFonts w:cs="Arial"/>
        </w:rPr>
      </w:pPr>
      <w:r>
        <w:rPr>
          <w:rFonts w:cs="Arial"/>
        </w:rPr>
        <w:t>24/7 hour telephone services must be available.</w:t>
      </w:r>
    </w:p>
    <w:p w:rsidR="00E4674A" w:rsidRDefault="0086328C" w:rsidP="002612AA">
      <w:pPr>
        <w:jc w:val="left"/>
        <w:rPr>
          <w:rFonts w:cs="Arial"/>
        </w:rPr>
      </w:pPr>
      <w:r>
        <w:t>A</w:t>
      </w:r>
      <w:r w:rsidRPr="0086328C">
        <w:t>s agreed with the DHB funder</w:t>
      </w:r>
      <w:r>
        <w:t xml:space="preserve">, </w:t>
      </w:r>
      <w:r w:rsidR="00A50E36">
        <w:rPr>
          <w:rFonts w:cs="Arial"/>
        </w:rPr>
        <w:t>some specialist palliative care s</w:t>
      </w:r>
      <w:r w:rsidR="00A50E36" w:rsidRPr="00A50E36">
        <w:rPr>
          <w:rFonts w:cs="Arial"/>
        </w:rPr>
        <w:t>ervice</w:t>
      </w:r>
      <w:r w:rsidR="00A50E36">
        <w:rPr>
          <w:rFonts w:cs="Arial"/>
        </w:rPr>
        <w:t>s</w:t>
      </w:r>
      <w:r w:rsidR="00A50E36" w:rsidRPr="00A50E36">
        <w:rPr>
          <w:rFonts w:cs="Arial"/>
        </w:rPr>
        <w:t xml:space="preserve"> may be </w:t>
      </w:r>
      <w:r w:rsidR="00F53D53">
        <w:rPr>
          <w:rFonts w:cs="Arial"/>
        </w:rPr>
        <w:t>provided</w:t>
      </w:r>
      <w:r w:rsidR="00A50E36" w:rsidRPr="00A50E36">
        <w:rPr>
          <w:rFonts w:cs="Arial"/>
        </w:rPr>
        <w:t xml:space="preserve"> outside of normal working hours</w:t>
      </w:r>
      <w:r w:rsidR="00F53D53">
        <w:rPr>
          <w:rFonts w:cs="Arial"/>
        </w:rPr>
        <w:t>, such as home visits.</w:t>
      </w:r>
    </w:p>
    <w:p w:rsidR="009D539D" w:rsidRDefault="00E4674A" w:rsidP="00262268">
      <w:pPr>
        <w:pStyle w:val="Heading1"/>
      </w:pPr>
      <w:bookmarkStart w:id="20" w:name="_Toc215319145"/>
      <w:r>
        <w:t>5</w:t>
      </w:r>
      <w:r w:rsidR="009D539D" w:rsidRPr="006102D6">
        <w:t>.</w:t>
      </w:r>
      <w:r w:rsidR="009D539D" w:rsidRPr="006102D6">
        <w:tab/>
        <w:t>Service Components</w:t>
      </w:r>
      <w:bookmarkEnd w:id="20"/>
    </w:p>
    <w:p w:rsidR="00D429FF" w:rsidRDefault="00070C06" w:rsidP="002612AA">
      <w:pPr>
        <w:spacing w:after="120"/>
        <w:jc w:val="left"/>
        <w:rPr>
          <w:rFonts w:cs="Arial"/>
        </w:rPr>
      </w:pPr>
      <w:r>
        <w:rPr>
          <w:rFonts w:cs="Arial"/>
        </w:rPr>
        <w:t xml:space="preserve">The Service </w:t>
      </w:r>
      <w:r w:rsidR="00F5130F">
        <w:rPr>
          <w:rFonts w:cs="Arial"/>
        </w:rPr>
        <w:t>includes</w:t>
      </w:r>
      <w:r>
        <w:rPr>
          <w:rFonts w:cs="Arial"/>
        </w:rPr>
        <w:t xml:space="preserve"> the following service components</w:t>
      </w:r>
      <w:r w:rsidR="00D64D2D">
        <w:rPr>
          <w:rFonts w:cs="Arial"/>
        </w:rPr>
        <w:t>.</w:t>
      </w:r>
      <w:r w:rsidR="00AD13FC">
        <w:rPr>
          <w:rStyle w:val="FootnoteReference"/>
          <w:rFonts w:cs="Arial"/>
        </w:rPr>
        <w:footnoteReference w:id="6"/>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41"/>
        <w:gridCol w:w="7113"/>
      </w:tblGrid>
      <w:tr w:rsidR="00070C06" w:rsidRPr="00C073F7" w:rsidTr="00AF44D2">
        <w:trPr>
          <w:trHeight w:val="523"/>
          <w:tblHeader/>
        </w:trPr>
        <w:tc>
          <w:tcPr>
            <w:tcW w:w="1391" w:type="pct"/>
            <w:tcBorders>
              <w:top w:val="single" w:sz="4" w:space="0" w:color="auto"/>
              <w:left w:val="single" w:sz="4" w:space="0" w:color="auto"/>
              <w:bottom w:val="single" w:sz="6" w:space="0" w:color="auto"/>
              <w:right w:val="single" w:sz="6" w:space="0" w:color="auto"/>
            </w:tcBorders>
            <w:shd w:val="clear" w:color="auto" w:fill="BFBFBF" w:themeFill="background1" w:themeFillShade="BF"/>
          </w:tcPr>
          <w:p w:rsidR="00070C06" w:rsidRPr="00C073F7" w:rsidRDefault="00070C06" w:rsidP="005B692D">
            <w:pPr>
              <w:tabs>
                <w:tab w:val="left" w:pos="567"/>
              </w:tabs>
              <w:spacing w:after="120"/>
              <w:rPr>
                <w:rFonts w:cs="Arial"/>
                <w:b/>
                <w:sz w:val="22"/>
                <w:szCs w:val="22"/>
                <w:highlight w:val="lightGray"/>
              </w:rPr>
            </w:pPr>
            <w:r w:rsidRPr="00C073F7">
              <w:rPr>
                <w:rFonts w:cs="Arial"/>
                <w:b/>
                <w:sz w:val="22"/>
                <w:szCs w:val="22"/>
              </w:rPr>
              <w:br w:type="page"/>
              <w:t>SERVICE COMPONENT</w:t>
            </w:r>
          </w:p>
        </w:tc>
        <w:tc>
          <w:tcPr>
            <w:tcW w:w="3609" w:type="pct"/>
            <w:tcBorders>
              <w:top w:val="single" w:sz="4" w:space="0" w:color="auto"/>
              <w:left w:val="single" w:sz="6" w:space="0" w:color="auto"/>
              <w:bottom w:val="single" w:sz="6" w:space="0" w:color="auto"/>
              <w:right w:val="single" w:sz="4" w:space="0" w:color="auto"/>
            </w:tcBorders>
            <w:shd w:val="clear" w:color="auto" w:fill="BFBFBF" w:themeFill="background1" w:themeFillShade="BF"/>
          </w:tcPr>
          <w:p w:rsidR="00070C06" w:rsidRPr="00C073F7" w:rsidRDefault="00070C06" w:rsidP="005B692D">
            <w:pPr>
              <w:tabs>
                <w:tab w:val="left" w:pos="567"/>
              </w:tabs>
              <w:spacing w:after="120"/>
              <w:rPr>
                <w:rFonts w:cs="Arial"/>
                <w:b/>
                <w:sz w:val="22"/>
                <w:szCs w:val="22"/>
              </w:rPr>
            </w:pPr>
            <w:r w:rsidRPr="00C073F7">
              <w:rPr>
                <w:rFonts w:cs="Arial"/>
                <w:b/>
                <w:sz w:val="22"/>
                <w:szCs w:val="22"/>
              </w:rPr>
              <w:t>DESCRIPTION</w:t>
            </w:r>
          </w:p>
        </w:tc>
      </w:tr>
      <w:tr w:rsidR="00070C06" w:rsidRPr="00C073F7" w:rsidTr="00AF44D2">
        <w:trPr>
          <w:trHeight w:val="836"/>
        </w:trPr>
        <w:tc>
          <w:tcPr>
            <w:tcW w:w="1391" w:type="pct"/>
            <w:tcBorders>
              <w:bottom w:val="single" w:sz="6" w:space="0" w:color="auto"/>
            </w:tcBorders>
          </w:tcPr>
          <w:p w:rsidR="00070C06" w:rsidRPr="0023303A" w:rsidRDefault="00440FB1" w:rsidP="001C7BD0">
            <w:pPr>
              <w:tabs>
                <w:tab w:val="left" w:pos="567"/>
              </w:tabs>
              <w:spacing w:before="0"/>
              <w:rPr>
                <w:rFonts w:cs="Arial"/>
              </w:rPr>
            </w:pPr>
            <w:r w:rsidRPr="0023303A">
              <w:rPr>
                <w:rFonts w:cs="Arial"/>
                <w:b/>
              </w:rPr>
              <w:t xml:space="preserve">Comprehensive </w:t>
            </w:r>
            <w:r w:rsidR="00973BE9" w:rsidRPr="0023303A">
              <w:rPr>
                <w:rFonts w:cs="Arial"/>
                <w:b/>
              </w:rPr>
              <w:t>assessment</w:t>
            </w:r>
          </w:p>
        </w:tc>
        <w:tc>
          <w:tcPr>
            <w:tcW w:w="3609" w:type="pct"/>
            <w:tcBorders>
              <w:bottom w:val="single" w:sz="6" w:space="0" w:color="auto"/>
            </w:tcBorders>
          </w:tcPr>
          <w:p w:rsidR="00070C06" w:rsidRPr="0023303A" w:rsidRDefault="00070C06" w:rsidP="001B59DA">
            <w:pPr>
              <w:tabs>
                <w:tab w:val="left" w:pos="567"/>
              </w:tabs>
              <w:spacing w:after="120"/>
              <w:jc w:val="left"/>
              <w:rPr>
                <w:rFonts w:cs="Arial"/>
              </w:rPr>
            </w:pPr>
            <w:r w:rsidRPr="0023303A">
              <w:rPr>
                <w:rFonts w:cs="Arial"/>
              </w:rPr>
              <w:t xml:space="preserve">An assessment / reassessment of the Service User, family and </w:t>
            </w:r>
            <w:proofErr w:type="spellStart"/>
            <w:r w:rsidRPr="0023303A">
              <w:rPr>
                <w:rFonts w:cs="Arial"/>
              </w:rPr>
              <w:t>whānau</w:t>
            </w:r>
            <w:proofErr w:type="spellEnd"/>
            <w:r w:rsidRPr="0023303A">
              <w:rPr>
                <w:rFonts w:cs="Arial"/>
              </w:rPr>
              <w:t xml:space="preserve"> undertaken by the most appropriate members of a specialist interdisciplinary palliative care team.</w:t>
            </w:r>
            <w:r w:rsidR="001B59DA">
              <w:rPr>
                <w:rFonts w:cs="Arial"/>
              </w:rPr>
              <w:t xml:space="preserve">  </w:t>
            </w:r>
            <w:r w:rsidRPr="0023303A">
              <w:rPr>
                <w:rFonts w:cs="Arial"/>
              </w:rPr>
              <w:t xml:space="preserve">The assessment </w:t>
            </w:r>
            <w:r w:rsidRPr="0023303A">
              <w:rPr>
                <w:rFonts w:cs="Arial"/>
              </w:rPr>
              <w:lastRenderedPageBreak/>
              <w:t>will include:</w:t>
            </w:r>
          </w:p>
          <w:p w:rsidR="00070C06" w:rsidRPr="0023303A" w:rsidRDefault="00070C06" w:rsidP="001C7BD0">
            <w:pPr>
              <w:numPr>
                <w:ilvl w:val="0"/>
                <w:numId w:val="13"/>
              </w:numPr>
              <w:spacing w:before="0"/>
              <w:jc w:val="left"/>
              <w:rPr>
                <w:rFonts w:cs="Arial"/>
              </w:rPr>
            </w:pPr>
            <w:r w:rsidRPr="0023303A">
              <w:rPr>
                <w:rFonts w:cs="Arial"/>
              </w:rPr>
              <w:t>identification and assessment of the specialist palliative care needs including physical, psychological, social, cultural, and spiritual aspects of care as appropriate to the</w:t>
            </w:r>
            <w:r w:rsidR="00E55433" w:rsidRPr="0023303A">
              <w:rPr>
                <w:rFonts w:cs="Arial"/>
              </w:rPr>
              <w:t xml:space="preserve"> Service Users’</w:t>
            </w:r>
            <w:r w:rsidRPr="0023303A">
              <w:rPr>
                <w:rFonts w:cs="Arial"/>
              </w:rPr>
              <w:t xml:space="preserve"> circumstances</w:t>
            </w:r>
          </w:p>
          <w:p w:rsidR="001B59DA" w:rsidRPr="001B59DA" w:rsidRDefault="00CA4B06" w:rsidP="001B59DA">
            <w:pPr>
              <w:numPr>
                <w:ilvl w:val="0"/>
                <w:numId w:val="13"/>
              </w:numPr>
              <w:spacing w:before="0"/>
              <w:jc w:val="left"/>
              <w:rPr>
                <w:rFonts w:cs="Arial"/>
              </w:rPr>
            </w:pPr>
            <w:proofErr w:type="gramStart"/>
            <w:r w:rsidRPr="0023303A">
              <w:rPr>
                <w:rFonts w:cs="Arial"/>
              </w:rPr>
              <w:t>development</w:t>
            </w:r>
            <w:proofErr w:type="gramEnd"/>
            <w:r w:rsidRPr="0023303A">
              <w:rPr>
                <w:rFonts w:cs="Arial"/>
              </w:rPr>
              <w:t xml:space="preserve"> of </w:t>
            </w:r>
            <w:r w:rsidR="00070C06" w:rsidRPr="0023303A">
              <w:rPr>
                <w:rFonts w:cs="Arial"/>
              </w:rPr>
              <w:t>a plan of care in conjunction with the Service User</w:t>
            </w:r>
            <w:r w:rsidR="00D429FF" w:rsidRPr="0023303A">
              <w:rPr>
                <w:rFonts w:cs="Arial"/>
              </w:rPr>
              <w:t xml:space="preserve">, </w:t>
            </w:r>
            <w:r w:rsidR="00D50DFD" w:rsidRPr="0023303A">
              <w:rPr>
                <w:rFonts w:cs="Arial"/>
              </w:rPr>
              <w:t>primary palliative care provider</w:t>
            </w:r>
            <w:r w:rsidR="00D429FF" w:rsidRPr="0023303A">
              <w:rPr>
                <w:rFonts w:cs="Arial"/>
              </w:rPr>
              <w:t xml:space="preserve"> and </w:t>
            </w:r>
            <w:r w:rsidR="00070C06" w:rsidRPr="0023303A">
              <w:rPr>
                <w:rFonts w:cs="Arial"/>
              </w:rPr>
              <w:t>appropriate clinical and support service providers.</w:t>
            </w:r>
          </w:p>
          <w:p w:rsidR="00070C06" w:rsidRPr="0023303A" w:rsidRDefault="001B59DA" w:rsidP="001B59DA">
            <w:pPr>
              <w:numPr>
                <w:ilvl w:val="0"/>
                <w:numId w:val="13"/>
              </w:numPr>
              <w:spacing w:before="0"/>
              <w:jc w:val="left"/>
              <w:rPr>
                <w:rFonts w:cs="Arial"/>
              </w:rPr>
            </w:pPr>
            <w:proofErr w:type="gramStart"/>
            <w:r w:rsidRPr="001B59DA">
              <w:rPr>
                <w:rFonts w:cs="Arial"/>
              </w:rPr>
              <w:t>other</w:t>
            </w:r>
            <w:proofErr w:type="gramEnd"/>
            <w:r w:rsidRPr="001B59DA">
              <w:rPr>
                <w:rFonts w:cs="Arial"/>
              </w:rPr>
              <w:t xml:space="preserve"> relevant heath assessments and care plans </w:t>
            </w:r>
            <w:r>
              <w:rPr>
                <w:rFonts w:cs="Arial"/>
              </w:rPr>
              <w:t>should be considered and integrate</w:t>
            </w:r>
            <w:r w:rsidR="0097281A">
              <w:rPr>
                <w:rFonts w:cs="Arial"/>
              </w:rPr>
              <w:t>d</w:t>
            </w:r>
            <w:r>
              <w:rPr>
                <w:rFonts w:cs="Arial"/>
              </w:rPr>
              <w:t xml:space="preserve"> </w:t>
            </w:r>
            <w:r w:rsidRPr="001B59DA">
              <w:rPr>
                <w:rFonts w:cs="Arial"/>
              </w:rPr>
              <w:t xml:space="preserve">as appropriate to reduce duplication. </w:t>
            </w:r>
          </w:p>
          <w:p w:rsidR="00070C06" w:rsidRPr="0023303A" w:rsidRDefault="00070C06" w:rsidP="00950E07">
            <w:pPr>
              <w:tabs>
                <w:tab w:val="left" w:pos="567"/>
              </w:tabs>
              <w:jc w:val="left"/>
              <w:rPr>
                <w:rFonts w:cs="Arial"/>
              </w:rPr>
            </w:pPr>
            <w:r w:rsidRPr="0023303A">
              <w:rPr>
                <w:rFonts w:cs="Arial"/>
              </w:rPr>
              <w:t xml:space="preserve">The </w:t>
            </w:r>
            <w:r w:rsidR="007838CD">
              <w:rPr>
                <w:rFonts w:cs="Arial"/>
              </w:rPr>
              <w:t xml:space="preserve">Service </w:t>
            </w:r>
            <w:r w:rsidRPr="0023303A">
              <w:rPr>
                <w:rFonts w:cs="Arial"/>
              </w:rPr>
              <w:t>Provider will:</w:t>
            </w:r>
          </w:p>
          <w:p w:rsidR="00070C06" w:rsidRPr="0023303A" w:rsidRDefault="00070C06" w:rsidP="001C7BD0">
            <w:pPr>
              <w:numPr>
                <w:ilvl w:val="0"/>
                <w:numId w:val="13"/>
              </w:numPr>
              <w:spacing w:before="0"/>
              <w:jc w:val="left"/>
              <w:rPr>
                <w:rFonts w:cs="Arial"/>
              </w:rPr>
            </w:pPr>
            <w:r w:rsidRPr="0023303A">
              <w:rPr>
                <w:rFonts w:cs="Arial"/>
              </w:rPr>
              <w:t>ensure that the Service User understands the assessment process and the nature of services to be provided and how the information collected about them will be used, and consents to the provision of the Service</w:t>
            </w:r>
          </w:p>
          <w:p w:rsidR="00070C06" w:rsidRPr="0023303A" w:rsidRDefault="00070C06" w:rsidP="001C7BD0">
            <w:pPr>
              <w:numPr>
                <w:ilvl w:val="0"/>
                <w:numId w:val="13"/>
              </w:numPr>
              <w:spacing w:before="0"/>
              <w:jc w:val="left"/>
              <w:rPr>
                <w:rFonts w:cs="Arial"/>
              </w:rPr>
            </w:pPr>
            <w:proofErr w:type="gramStart"/>
            <w:r w:rsidRPr="0023303A">
              <w:rPr>
                <w:rFonts w:cs="Arial"/>
              </w:rPr>
              <w:t>take</w:t>
            </w:r>
            <w:proofErr w:type="gramEnd"/>
            <w:r w:rsidRPr="0023303A">
              <w:rPr>
                <w:rFonts w:cs="Arial"/>
              </w:rPr>
              <w:t xml:space="preserve"> account of the Service User’s cultural and linguistic diversity and access appropriate support and interpreter services to best meet their needs.</w:t>
            </w:r>
          </w:p>
          <w:p w:rsidR="00D429FF" w:rsidRPr="0023303A" w:rsidRDefault="00070C06" w:rsidP="001C7BD0">
            <w:pPr>
              <w:numPr>
                <w:ilvl w:val="0"/>
                <w:numId w:val="13"/>
              </w:numPr>
              <w:spacing w:before="0"/>
              <w:jc w:val="left"/>
              <w:rPr>
                <w:rFonts w:cs="Arial"/>
              </w:rPr>
            </w:pPr>
            <w:proofErr w:type="gramStart"/>
            <w:r w:rsidRPr="0023303A">
              <w:rPr>
                <w:rFonts w:cs="Arial"/>
              </w:rPr>
              <w:t>ensure</w:t>
            </w:r>
            <w:proofErr w:type="gramEnd"/>
            <w:r w:rsidRPr="0023303A">
              <w:rPr>
                <w:rFonts w:cs="Arial"/>
              </w:rPr>
              <w:t xml:space="preserve"> that the initial assessment follows a planned</w:t>
            </w:r>
            <w:r w:rsidR="00D429FF" w:rsidRPr="0023303A">
              <w:rPr>
                <w:rFonts w:cs="Arial"/>
              </w:rPr>
              <w:t xml:space="preserve"> and documented</w:t>
            </w:r>
            <w:r w:rsidRPr="0023303A">
              <w:rPr>
                <w:rFonts w:cs="Arial"/>
              </w:rPr>
              <w:t xml:space="preserve"> process</w:t>
            </w:r>
            <w:r w:rsidR="00D429FF" w:rsidRPr="0023303A">
              <w:rPr>
                <w:rFonts w:cs="Arial"/>
              </w:rPr>
              <w:t>.</w:t>
            </w:r>
          </w:p>
          <w:p w:rsidR="00D429FF" w:rsidRPr="0023303A" w:rsidRDefault="00070C06" w:rsidP="00DF1A9D">
            <w:pPr>
              <w:spacing w:after="120"/>
              <w:jc w:val="left"/>
              <w:rPr>
                <w:rFonts w:cs="Arial"/>
              </w:rPr>
            </w:pPr>
            <w:r w:rsidRPr="0023303A">
              <w:rPr>
                <w:rFonts w:cs="Arial"/>
              </w:rPr>
              <w:t>In addition, refer to section 5 Assessment, Diagnosis and Treatment, Tier One Specialist Medical and Surgical Service Specification.</w:t>
            </w:r>
          </w:p>
        </w:tc>
      </w:tr>
      <w:tr w:rsidR="00AF44D2" w:rsidRPr="00C073F7" w:rsidTr="00AF44D2">
        <w:trPr>
          <w:trHeight w:val="836"/>
        </w:trPr>
        <w:tc>
          <w:tcPr>
            <w:tcW w:w="1391" w:type="pct"/>
            <w:vMerge w:val="restart"/>
          </w:tcPr>
          <w:p w:rsidR="00AF44D2" w:rsidRPr="0023303A" w:rsidRDefault="00AF44D2" w:rsidP="00312AA8">
            <w:pPr>
              <w:tabs>
                <w:tab w:val="left" w:pos="567"/>
              </w:tabs>
              <w:spacing w:before="0"/>
              <w:rPr>
                <w:rFonts w:cs="Arial"/>
                <w:b/>
              </w:rPr>
            </w:pPr>
            <w:r w:rsidRPr="0023303A">
              <w:rPr>
                <w:rFonts w:cs="Arial"/>
                <w:b/>
              </w:rPr>
              <w:lastRenderedPageBreak/>
              <w:t>Clinical care</w:t>
            </w:r>
            <w:r w:rsidR="00312AA8">
              <w:rPr>
                <w:rFonts w:cs="Arial"/>
                <w:b/>
              </w:rPr>
              <w:t xml:space="preserve"> </w:t>
            </w:r>
          </w:p>
        </w:tc>
        <w:tc>
          <w:tcPr>
            <w:tcW w:w="3609" w:type="pct"/>
            <w:tcBorders>
              <w:bottom w:val="single" w:sz="6" w:space="0" w:color="auto"/>
            </w:tcBorders>
          </w:tcPr>
          <w:p w:rsidR="00AF44D2" w:rsidRPr="0023303A" w:rsidRDefault="00AF44D2" w:rsidP="001F35D6">
            <w:pPr>
              <w:spacing w:before="0"/>
              <w:jc w:val="left"/>
              <w:rPr>
                <w:rFonts w:cs="Arial"/>
              </w:rPr>
            </w:pPr>
            <w:r w:rsidRPr="0023303A">
              <w:rPr>
                <w:rFonts w:cs="Arial"/>
              </w:rPr>
              <w:t>Clinical care includes:</w:t>
            </w:r>
          </w:p>
          <w:p w:rsidR="00AF44D2" w:rsidRPr="0023303A" w:rsidRDefault="00AF44D2" w:rsidP="001F35D6">
            <w:pPr>
              <w:pStyle w:val="ListParagraph"/>
              <w:numPr>
                <w:ilvl w:val="0"/>
                <w:numId w:val="23"/>
              </w:numPr>
              <w:ind w:left="378" w:hanging="284"/>
            </w:pPr>
            <w:r w:rsidRPr="0023303A">
              <w:t>ongoing follow-up care and symptom management for complex and/or unstable medical and/or psychological conditions</w:t>
            </w:r>
          </w:p>
          <w:p w:rsidR="00AF44D2" w:rsidRPr="0023303A" w:rsidRDefault="00AF44D2" w:rsidP="001F35D6">
            <w:pPr>
              <w:pStyle w:val="ListParagraph"/>
              <w:numPr>
                <w:ilvl w:val="0"/>
                <w:numId w:val="23"/>
              </w:numPr>
              <w:ind w:left="378" w:hanging="284"/>
            </w:pPr>
            <w:r w:rsidRPr="0023303A">
              <w:t>specialist palliative care delivered in the community by specialist community nursing or allied health professionals according to the Service User’s care plan</w:t>
            </w:r>
          </w:p>
          <w:p w:rsidR="00AF44D2" w:rsidRDefault="00AF44D2" w:rsidP="001F35D6">
            <w:pPr>
              <w:pStyle w:val="ListParagraph"/>
              <w:numPr>
                <w:ilvl w:val="0"/>
                <w:numId w:val="23"/>
              </w:numPr>
              <w:ind w:left="378" w:hanging="284"/>
            </w:pPr>
            <w:r w:rsidRPr="0023303A">
              <w:t>social and spiritual support that recognises the culturally sensitive issues relating to these services</w:t>
            </w:r>
          </w:p>
          <w:p w:rsidR="00AF44D2" w:rsidRDefault="00AF44D2" w:rsidP="001F35D6">
            <w:pPr>
              <w:pStyle w:val="ListParagraph"/>
              <w:numPr>
                <w:ilvl w:val="0"/>
                <w:numId w:val="23"/>
              </w:numPr>
              <w:ind w:left="378" w:hanging="284"/>
            </w:pPr>
            <w:proofErr w:type="gramStart"/>
            <w:r w:rsidRPr="00EC30BC">
              <w:t>engag</w:t>
            </w:r>
            <w:r>
              <w:t>ing</w:t>
            </w:r>
            <w:proofErr w:type="gramEnd"/>
            <w:r w:rsidRPr="00EC30BC">
              <w:t xml:space="preserve"> in advance care planning process</w:t>
            </w:r>
            <w:r>
              <w:t>es</w:t>
            </w:r>
            <w:r w:rsidRPr="00EC30BC">
              <w:t xml:space="preserve"> initiated by the primary palliative c</w:t>
            </w:r>
            <w:r>
              <w:t>a</w:t>
            </w:r>
            <w:r w:rsidRPr="00EC30BC">
              <w:t>re provider.</w:t>
            </w:r>
          </w:p>
          <w:p w:rsidR="00AF44D2" w:rsidRPr="0023303A" w:rsidRDefault="00AF44D2" w:rsidP="00DF1A9D">
            <w:pPr>
              <w:tabs>
                <w:tab w:val="left" w:pos="567"/>
              </w:tabs>
              <w:spacing w:after="120"/>
              <w:jc w:val="left"/>
              <w:rPr>
                <w:rFonts w:cs="Arial"/>
              </w:rPr>
            </w:pPr>
            <w:r w:rsidRPr="0023303A">
              <w:t>In addition, refer to section 5 Assessment, Diagnosis and Treatment, Tier One Specialist Medical and Surgical Service Specification.</w:t>
            </w:r>
          </w:p>
        </w:tc>
      </w:tr>
      <w:tr w:rsidR="00AF44D2" w:rsidRPr="00C073F7" w:rsidTr="00AF44D2">
        <w:trPr>
          <w:trHeight w:val="836"/>
        </w:trPr>
        <w:tc>
          <w:tcPr>
            <w:tcW w:w="1391" w:type="pct"/>
            <w:vMerge/>
            <w:tcBorders>
              <w:bottom w:val="single" w:sz="6" w:space="0" w:color="auto"/>
            </w:tcBorders>
          </w:tcPr>
          <w:p w:rsidR="00AF44D2" w:rsidRPr="001F35D6" w:rsidRDefault="00AF44D2" w:rsidP="001C7BD0">
            <w:pPr>
              <w:tabs>
                <w:tab w:val="left" w:pos="567"/>
              </w:tabs>
              <w:spacing w:before="0"/>
              <w:rPr>
                <w:rFonts w:cs="Arial"/>
              </w:rPr>
            </w:pPr>
          </w:p>
        </w:tc>
        <w:tc>
          <w:tcPr>
            <w:tcW w:w="3609" w:type="pct"/>
            <w:tcBorders>
              <w:bottom w:val="single" w:sz="6" w:space="0" w:color="auto"/>
            </w:tcBorders>
          </w:tcPr>
          <w:p w:rsidR="00AF44D2" w:rsidRPr="001F35D6" w:rsidRDefault="00AF44D2" w:rsidP="001C7BD0">
            <w:pPr>
              <w:tabs>
                <w:tab w:val="left" w:pos="567"/>
              </w:tabs>
              <w:spacing w:before="0"/>
              <w:jc w:val="left"/>
              <w:rPr>
                <w:rFonts w:cs="Arial"/>
                <w:b/>
              </w:rPr>
            </w:pPr>
            <w:r w:rsidRPr="001F35D6">
              <w:rPr>
                <w:rFonts w:cs="Arial"/>
                <w:b/>
              </w:rPr>
              <w:t>Care co</w:t>
            </w:r>
            <w:r w:rsidR="00002FD4">
              <w:rPr>
                <w:rFonts w:cs="Arial"/>
                <w:b/>
              </w:rPr>
              <w:t>-</w:t>
            </w:r>
            <w:r w:rsidRPr="001F35D6">
              <w:rPr>
                <w:rFonts w:cs="Arial"/>
                <w:b/>
              </w:rPr>
              <w:t>ordination</w:t>
            </w:r>
          </w:p>
          <w:p w:rsidR="00AF44D2" w:rsidRPr="0023303A" w:rsidRDefault="00AF44D2" w:rsidP="001C7BD0">
            <w:pPr>
              <w:tabs>
                <w:tab w:val="left" w:pos="567"/>
              </w:tabs>
              <w:spacing w:before="0"/>
              <w:jc w:val="left"/>
              <w:rPr>
                <w:rFonts w:cs="Arial"/>
              </w:rPr>
            </w:pPr>
            <w:r w:rsidRPr="0023303A">
              <w:rPr>
                <w:rFonts w:cs="Arial"/>
              </w:rPr>
              <w:t>Care co</w:t>
            </w:r>
            <w:r w:rsidR="00002FD4">
              <w:rPr>
                <w:rFonts w:cs="Arial"/>
              </w:rPr>
              <w:t>-</w:t>
            </w:r>
            <w:r w:rsidRPr="0023303A">
              <w:rPr>
                <w:rFonts w:cs="Arial"/>
              </w:rPr>
              <w:t>ordination</w:t>
            </w:r>
            <w:r w:rsidR="00312AA8">
              <w:rPr>
                <w:rFonts w:cs="Arial"/>
              </w:rPr>
              <w:t>,</w:t>
            </w:r>
            <w:r>
              <w:rPr>
                <w:rFonts w:cs="Arial"/>
              </w:rPr>
              <w:t xml:space="preserve"> as part of clinical care</w:t>
            </w:r>
            <w:r w:rsidR="00312AA8">
              <w:rPr>
                <w:rFonts w:cs="Arial"/>
              </w:rPr>
              <w:t>,</w:t>
            </w:r>
            <w:r w:rsidRPr="0023303A">
              <w:rPr>
                <w:rFonts w:cs="Arial"/>
              </w:rPr>
              <w:t xml:space="preserve"> is provided to facilitate continuity of care and services to Service Users. Care co</w:t>
            </w:r>
            <w:r w:rsidR="00002FD4">
              <w:rPr>
                <w:rFonts w:cs="Arial"/>
              </w:rPr>
              <w:t>-</w:t>
            </w:r>
            <w:r w:rsidRPr="0023303A">
              <w:rPr>
                <w:rFonts w:cs="Arial"/>
              </w:rPr>
              <w:t xml:space="preserve">ordination services may include: </w:t>
            </w:r>
          </w:p>
          <w:p w:rsidR="00AF44D2" w:rsidRPr="0023303A" w:rsidRDefault="00AF44D2" w:rsidP="001C7BD0">
            <w:pPr>
              <w:numPr>
                <w:ilvl w:val="0"/>
                <w:numId w:val="13"/>
              </w:numPr>
              <w:spacing w:before="0"/>
              <w:jc w:val="left"/>
              <w:rPr>
                <w:rFonts w:cs="Arial"/>
              </w:rPr>
            </w:pPr>
            <w:r w:rsidRPr="0023303A">
              <w:rPr>
                <w:rFonts w:cs="Arial"/>
              </w:rPr>
              <w:t>a designated care co</w:t>
            </w:r>
            <w:r w:rsidR="00002FD4">
              <w:rPr>
                <w:rFonts w:cs="Arial"/>
              </w:rPr>
              <w:t>-</w:t>
            </w:r>
            <w:r w:rsidRPr="0023303A">
              <w:rPr>
                <w:rFonts w:cs="Arial"/>
              </w:rPr>
              <w:t xml:space="preserve">ordinator to be the point of contact for the Service User and their family and </w:t>
            </w:r>
            <w:proofErr w:type="spellStart"/>
            <w:r w:rsidRPr="0023303A">
              <w:rPr>
                <w:rFonts w:cs="Arial"/>
              </w:rPr>
              <w:t>whānau</w:t>
            </w:r>
            <w:proofErr w:type="spellEnd"/>
          </w:p>
          <w:p w:rsidR="00AF44D2" w:rsidRPr="0023303A" w:rsidRDefault="00AF44D2" w:rsidP="001C7BD0">
            <w:pPr>
              <w:numPr>
                <w:ilvl w:val="0"/>
                <w:numId w:val="13"/>
              </w:numPr>
              <w:spacing w:before="0"/>
              <w:jc w:val="left"/>
              <w:rPr>
                <w:rFonts w:cs="Arial"/>
              </w:rPr>
            </w:pPr>
            <w:r w:rsidRPr="0023303A">
              <w:rPr>
                <w:rFonts w:cs="Arial"/>
              </w:rPr>
              <w:lastRenderedPageBreak/>
              <w:t>liaison with all services and disciplines relevant to the Service User to enhance service delivery and reduce duplication</w:t>
            </w:r>
          </w:p>
          <w:p w:rsidR="00AF44D2" w:rsidRPr="0023303A" w:rsidRDefault="00AF44D2" w:rsidP="001C7BD0">
            <w:pPr>
              <w:numPr>
                <w:ilvl w:val="0"/>
                <w:numId w:val="13"/>
              </w:numPr>
              <w:spacing w:before="0"/>
              <w:jc w:val="left"/>
              <w:rPr>
                <w:rFonts w:cs="Arial"/>
              </w:rPr>
            </w:pPr>
            <w:r w:rsidRPr="0023303A">
              <w:rPr>
                <w:rFonts w:cs="Arial"/>
              </w:rPr>
              <w:t>enabling the Service User to receive the necessary range of services, care and support within the timeframes required by their health needs within available resources</w:t>
            </w:r>
          </w:p>
          <w:p w:rsidR="00AF44D2" w:rsidRPr="0023303A" w:rsidRDefault="00AF44D2" w:rsidP="00DF1A9D">
            <w:pPr>
              <w:numPr>
                <w:ilvl w:val="0"/>
                <w:numId w:val="13"/>
              </w:numPr>
              <w:spacing w:before="0" w:after="120"/>
              <w:jc w:val="left"/>
              <w:rPr>
                <w:rFonts w:cs="Arial"/>
              </w:rPr>
            </w:pPr>
            <w:proofErr w:type="gramStart"/>
            <w:r w:rsidRPr="0023303A">
              <w:rPr>
                <w:rFonts w:cs="Arial"/>
              </w:rPr>
              <w:t>assisting</w:t>
            </w:r>
            <w:proofErr w:type="gramEnd"/>
            <w:r w:rsidRPr="0023303A">
              <w:rPr>
                <w:rFonts w:cs="Arial"/>
              </w:rPr>
              <w:t xml:space="preserve"> the Service User with their transition between services to enhance their pathway across all settings.</w:t>
            </w:r>
          </w:p>
        </w:tc>
      </w:tr>
      <w:tr w:rsidR="00AF44D2" w:rsidRPr="00C073F7" w:rsidTr="00AF44D2">
        <w:trPr>
          <w:trHeight w:val="836"/>
        </w:trPr>
        <w:tc>
          <w:tcPr>
            <w:tcW w:w="1391" w:type="pct"/>
            <w:vMerge w:val="restart"/>
            <w:tcBorders>
              <w:top w:val="single" w:sz="6" w:space="0" w:color="auto"/>
            </w:tcBorders>
            <w:shd w:val="clear" w:color="auto" w:fill="auto"/>
          </w:tcPr>
          <w:p w:rsidR="00AF44D2" w:rsidRPr="0023303A" w:rsidRDefault="00AF44D2" w:rsidP="001C7BD0">
            <w:pPr>
              <w:tabs>
                <w:tab w:val="left" w:pos="567"/>
              </w:tabs>
              <w:spacing w:before="0"/>
              <w:jc w:val="left"/>
              <w:rPr>
                <w:rFonts w:cs="Arial"/>
                <w:b/>
              </w:rPr>
            </w:pPr>
          </w:p>
        </w:tc>
        <w:tc>
          <w:tcPr>
            <w:tcW w:w="3609" w:type="pct"/>
            <w:tcBorders>
              <w:top w:val="single" w:sz="6" w:space="0" w:color="auto"/>
            </w:tcBorders>
          </w:tcPr>
          <w:p w:rsidR="00AF44D2" w:rsidRPr="001F35D6" w:rsidRDefault="00AF44D2" w:rsidP="001F35D6">
            <w:pPr>
              <w:tabs>
                <w:tab w:val="left" w:pos="567"/>
              </w:tabs>
              <w:spacing w:before="0"/>
              <w:jc w:val="left"/>
              <w:rPr>
                <w:rFonts w:cs="Arial"/>
                <w:b/>
              </w:rPr>
            </w:pPr>
            <w:r w:rsidRPr="001F35D6">
              <w:rPr>
                <w:rFonts w:cs="Arial"/>
                <w:b/>
              </w:rPr>
              <w:t>Bereavement, grief and loss</w:t>
            </w:r>
          </w:p>
          <w:p w:rsidR="00AF44D2" w:rsidRDefault="00AF44D2" w:rsidP="001C7BD0">
            <w:pPr>
              <w:spacing w:before="0"/>
              <w:jc w:val="left"/>
              <w:rPr>
                <w:rFonts w:cs="Arial"/>
              </w:rPr>
            </w:pPr>
            <w:r>
              <w:rPr>
                <w:rFonts w:cs="Arial"/>
              </w:rPr>
              <w:t>The following b</w:t>
            </w:r>
            <w:r w:rsidRPr="0023303A">
              <w:rPr>
                <w:rFonts w:cs="Arial"/>
              </w:rPr>
              <w:t xml:space="preserve">ereavement, grief and loss </w:t>
            </w:r>
            <w:r>
              <w:rPr>
                <w:rFonts w:cs="Arial"/>
              </w:rPr>
              <w:t xml:space="preserve">counselling </w:t>
            </w:r>
            <w:r w:rsidRPr="0023303A">
              <w:rPr>
                <w:rFonts w:cs="Arial"/>
              </w:rPr>
              <w:t>service</w:t>
            </w:r>
            <w:r>
              <w:rPr>
                <w:rFonts w:cs="Arial"/>
              </w:rPr>
              <w:t xml:space="preserve"> components may be funded as agreed with the DHB funder</w:t>
            </w:r>
            <w:r>
              <w:rPr>
                <w:rStyle w:val="FootnoteReference"/>
                <w:rFonts w:cs="Arial"/>
              </w:rPr>
              <w:footnoteReference w:id="7"/>
            </w:r>
            <w:r>
              <w:rPr>
                <w:rFonts w:cs="Arial"/>
              </w:rPr>
              <w:t>:</w:t>
            </w:r>
          </w:p>
          <w:p w:rsidR="00AF44D2" w:rsidRPr="00AF52C5" w:rsidDel="00AF52C5" w:rsidRDefault="00AF44D2" w:rsidP="00950E07">
            <w:pPr>
              <w:pStyle w:val="ListParagraph"/>
              <w:numPr>
                <w:ilvl w:val="0"/>
                <w:numId w:val="32"/>
              </w:numPr>
            </w:pPr>
            <w:r w:rsidRPr="00AF52C5">
              <w:t>Counselling s</w:t>
            </w:r>
            <w:r>
              <w:t>ervices</w:t>
            </w:r>
            <w:r w:rsidRPr="00AF52C5" w:rsidDel="00AF52C5">
              <w:t xml:space="preserve"> </w:t>
            </w:r>
            <w:r w:rsidRPr="00AF52C5">
              <w:t xml:space="preserve">provided by appropriately qualified staff and made available for the Service Users’ family, </w:t>
            </w:r>
            <w:proofErr w:type="spellStart"/>
            <w:r w:rsidRPr="00AF52C5">
              <w:t>whānau</w:t>
            </w:r>
            <w:proofErr w:type="spellEnd"/>
            <w:r w:rsidRPr="00AF52C5">
              <w:t xml:space="preserve"> or carer to meet their assessed Specialist Palliative Care needs.</w:t>
            </w:r>
          </w:p>
          <w:p w:rsidR="00AF44D2" w:rsidRPr="00AF52C5" w:rsidRDefault="00AF44D2" w:rsidP="00AF52C5">
            <w:pPr>
              <w:pStyle w:val="ListParagraph"/>
              <w:numPr>
                <w:ilvl w:val="0"/>
                <w:numId w:val="32"/>
              </w:numPr>
            </w:pPr>
            <w:r w:rsidRPr="00AF52C5">
              <w:t xml:space="preserve">Social and spiritual support </w:t>
            </w:r>
            <w:r w:rsidRPr="00AF52C5" w:rsidDel="00AF52C5">
              <w:t xml:space="preserve">may also be provided </w:t>
            </w:r>
            <w:r w:rsidRPr="00AF52C5">
              <w:t xml:space="preserve">for the Service Users’ family, </w:t>
            </w:r>
            <w:proofErr w:type="spellStart"/>
            <w:r w:rsidRPr="00AF52C5">
              <w:t>whānau</w:t>
            </w:r>
            <w:proofErr w:type="spellEnd"/>
            <w:r w:rsidRPr="00AF52C5">
              <w:t xml:space="preserve"> or carer</w:t>
            </w:r>
            <w:r w:rsidRPr="00AF52C5" w:rsidDel="00AF52C5">
              <w:t xml:space="preserve"> as agreed with the DHB funder</w:t>
            </w:r>
            <w:r w:rsidRPr="00AF52C5">
              <w:t>, that recognises their cultural needs and focuses on the holistic:</w:t>
            </w:r>
          </w:p>
          <w:p w:rsidR="00AF44D2" w:rsidRPr="00950E07" w:rsidRDefault="00AF44D2" w:rsidP="00AF52C5">
            <w:pPr>
              <w:numPr>
                <w:ilvl w:val="1"/>
                <w:numId w:val="33"/>
              </w:numPr>
              <w:spacing w:before="0"/>
              <w:jc w:val="left"/>
              <w:rPr>
                <w:rFonts w:cs="Arial"/>
              </w:rPr>
            </w:pPr>
            <w:proofErr w:type="spellStart"/>
            <w:r w:rsidRPr="00950E07">
              <w:t>taha</w:t>
            </w:r>
            <w:proofErr w:type="spellEnd"/>
            <w:r w:rsidRPr="00950E07">
              <w:t xml:space="preserve"> Māori perspective of </w:t>
            </w:r>
            <w:r w:rsidRPr="00950E07">
              <w:rPr>
                <w:rFonts w:cs="Arial"/>
              </w:rPr>
              <w:t xml:space="preserve">health </w:t>
            </w:r>
          </w:p>
          <w:p w:rsidR="00AF44D2" w:rsidRPr="0023303A" w:rsidRDefault="00AF44D2" w:rsidP="00312AA8">
            <w:pPr>
              <w:pStyle w:val="ListParagraph"/>
              <w:numPr>
                <w:ilvl w:val="0"/>
                <w:numId w:val="34"/>
              </w:numPr>
              <w:spacing w:after="120"/>
              <w:ind w:left="1087" w:hanging="284"/>
            </w:pPr>
            <w:proofErr w:type="gramStart"/>
            <w:r w:rsidRPr="00312AA8">
              <w:t>community</w:t>
            </w:r>
            <w:proofErr w:type="gramEnd"/>
            <w:r w:rsidRPr="00312AA8">
              <w:t xml:space="preserve"> approach to health for</w:t>
            </w:r>
            <w:r w:rsidRPr="00950E07">
              <w:t xml:space="preserve"> Pacific Peoples’ cultures.</w:t>
            </w:r>
          </w:p>
        </w:tc>
      </w:tr>
      <w:tr w:rsidR="00AF44D2" w:rsidRPr="00C073F7" w:rsidTr="00AF44D2">
        <w:trPr>
          <w:trHeight w:val="1011"/>
        </w:trPr>
        <w:tc>
          <w:tcPr>
            <w:tcW w:w="1391" w:type="pct"/>
            <w:vMerge/>
          </w:tcPr>
          <w:p w:rsidR="00AF44D2" w:rsidRPr="0023303A" w:rsidRDefault="00AF44D2" w:rsidP="001C7BD0">
            <w:pPr>
              <w:tabs>
                <w:tab w:val="left" w:pos="567"/>
              </w:tabs>
              <w:spacing w:before="0"/>
              <w:jc w:val="left"/>
              <w:rPr>
                <w:rFonts w:cs="Arial"/>
                <w:b/>
              </w:rPr>
            </w:pPr>
          </w:p>
        </w:tc>
        <w:tc>
          <w:tcPr>
            <w:tcW w:w="3609" w:type="pct"/>
          </w:tcPr>
          <w:p w:rsidR="00AF44D2" w:rsidRPr="001F35D6" w:rsidRDefault="00AF44D2" w:rsidP="001C7BD0">
            <w:pPr>
              <w:tabs>
                <w:tab w:val="left" w:pos="567"/>
              </w:tabs>
              <w:spacing w:before="0"/>
              <w:jc w:val="left"/>
              <w:rPr>
                <w:rFonts w:cs="Arial"/>
                <w:b/>
              </w:rPr>
            </w:pPr>
            <w:r w:rsidRPr="001F35D6">
              <w:rPr>
                <w:rFonts w:cs="Arial"/>
                <w:b/>
              </w:rPr>
              <w:t>End of life care guidance</w:t>
            </w:r>
          </w:p>
          <w:p w:rsidR="00AF44D2" w:rsidRPr="0023303A" w:rsidRDefault="00AF44D2" w:rsidP="001C7BD0">
            <w:pPr>
              <w:tabs>
                <w:tab w:val="left" w:pos="567"/>
              </w:tabs>
              <w:spacing w:before="0"/>
              <w:jc w:val="left"/>
              <w:rPr>
                <w:rFonts w:cs="Arial"/>
              </w:rPr>
            </w:pPr>
            <w:r w:rsidRPr="0023303A">
              <w:rPr>
                <w:rFonts w:cs="Arial"/>
              </w:rPr>
              <w:t>Specialist palliative care provides a dedicated end of life care approach, including:</w:t>
            </w:r>
          </w:p>
          <w:p w:rsidR="00AF44D2" w:rsidRPr="0023303A" w:rsidRDefault="00AF44D2" w:rsidP="001C7BD0">
            <w:pPr>
              <w:numPr>
                <w:ilvl w:val="0"/>
                <w:numId w:val="13"/>
              </w:numPr>
              <w:spacing w:before="0"/>
              <w:jc w:val="left"/>
              <w:rPr>
                <w:rFonts w:cs="Arial"/>
              </w:rPr>
            </w:pPr>
            <w:r w:rsidRPr="0023303A">
              <w:rPr>
                <w:rFonts w:cs="Arial"/>
              </w:rPr>
              <w:t xml:space="preserve">collaborating in developing a systematic approach to end of life care </w:t>
            </w:r>
          </w:p>
          <w:p w:rsidR="00AF44D2" w:rsidRPr="0023303A" w:rsidDel="001F35D6" w:rsidRDefault="00AF44D2" w:rsidP="001F35D6">
            <w:pPr>
              <w:numPr>
                <w:ilvl w:val="0"/>
                <w:numId w:val="13"/>
              </w:numPr>
              <w:spacing w:before="0"/>
              <w:jc w:val="left"/>
              <w:rPr>
                <w:rFonts w:cs="Arial"/>
              </w:rPr>
            </w:pPr>
            <w:r w:rsidRPr="0023303A">
              <w:rPr>
                <w:rFonts w:cs="Arial"/>
              </w:rPr>
              <w:t xml:space="preserve">implementing specific end of life care guidance </w:t>
            </w:r>
          </w:p>
          <w:p w:rsidR="00AF44D2" w:rsidRPr="00950E07" w:rsidRDefault="00AF44D2" w:rsidP="00AF52C5">
            <w:pPr>
              <w:numPr>
                <w:ilvl w:val="1"/>
                <w:numId w:val="33"/>
              </w:numPr>
              <w:spacing w:before="0" w:after="120"/>
              <w:jc w:val="left"/>
            </w:pPr>
            <w:proofErr w:type="gramStart"/>
            <w:r w:rsidRPr="0023303A" w:rsidDel="001F35D6">
              <w:rPr>
                <w:rFonts w:cs="Arial"/>
              </w:rPr>
              <w:t>providing</w:t>
            </w:r>
            <w:proofErr w:type="gramEnd"/>
            <w:r w:rsidRPr="0023303A" w:rsidDel="001F35D6">
              <w:rPr>
                <w:rFonts w:cs="Arial"/>
              </w:rPr>
              <w:t xml:space="preserve"> le</w:t>
            </w:r>
            <w:r w:rsidRPr="0023303A" w:rsidDel="001F35D6">
              <w:rPr>
                <w:rFonts w:cs="Arial"/>
                <w:lang w:val="en-AU" w:eastAsia="en-GB"/>
              </w:rPr>
              <w:t>adership, education and support to</w:t>
            </w:r>
            <w:r w:rsidRPr="0023303A" w:rsidDel="001F35D6">
              <w:rPr>
                <w:rFonts w:cs="Arial"/>
              </w:rPr>
              <w:t xml:space="preserve"> primary palliative care providers to implement end of life care. </w:t>
            </w:r>
          </w:p>
        </w:tc>
      </w:tr>
      <w:tr w:rsidR="00AF44D2" w:rsidRPr="00C073F7" w:rsidTr="00AF44D2">
        <w:trPr>
          <w:trHeight w:val="1011"/>
        </w:trPr>
        <w:tc>
          <w:tcPr>
            <w:tcW w:w="1391" w:type="pct"/>
            <w:vMerge/>
          </w:tcPr>
          <w:p w:rsidR="00AF44D2" w:rsidRPr="001F35D6" w:rsidRDefault="00AF44D2" w:rsidP="001C7BD0">
            <w:pPr>
              <w:tabs>
                <w:tab w:val="left" w:pos="567"/>
              </w:tabs>
              <w:spacing w:before="0"/>
              <w:jc w:val="left"/>
              <w:rPr>
                <w:rFonts w:cs="Arial"/>
              </w:rPr>
            </w:pPr>
          </w:p>
        </w:tc>
        <w:tc>
          <w:tcPr>
            <w:tcW w:w="3609" w:type="pct"/>
          </w:tcPr>
          <w:p w:rsidR="00AF44D2" w:rsidRPr="00AF44D2" w:rsidRDefault="00AF44D2" w:rsidP="001C7BD0">
            <w:pPr>
              <w:tabs>
                <w:tab w:val="left" w:pos="567"/>
              </w:tabs>
              <w:spacing w:before="0"/>
              <w:jc w:val="left"/>
              <w:rPr>
                <w:rFonts w:cs="Arial"/>
                <w:b/>
              </w:rPr>
            </w:pPr>
            <w:r w:rsidRPr="00AF44D2">
              <w:rPr>
                <w:rFonts w:cs="Arial"/>
                <w:b/>
              </w:rPr>
              <w:t>Education and training</w:t>
            </w:r>
          </w:p>
          <w:p w:rsidR="00AF44D2" w:rsidRPr="0023303A" w:rsidRDefault="00AF44D2" w:rsidP="001C7BD0">
            <w:pPr>
              <w:tabs>
                <w:tab w:val="left" w:pos="567"/>
              </w:tabs>
              <w:spacing w:before="0"/>
              <w:jc w:val="left"/>
              <w:rPr>
                <w:rFonts w:cs="Arial"/>
              </w:rPr>
            </w:pPr>
            <w:r w:rsidRPr="0023303A">
              <w:rPr>
                <w:rFonts w:cs="Arial"/>
              </w:rPr>
              <w:t xml:space="preserve">Specialist palliative care education and training is provided for primary palliative care providers: </w:t>
            </w:r>
          </w:p>
          <w:p w:rsidR="00AF44D2" w:rsidRPr="0023303A" w:rsidRDefault="00AF44D2" w:rsidP="001C7BD0">
            <w:pPr>
              <w:numPr>
                <w:ilvl w:val="0"/>
                <w:numId w:val="13"/>
              </w:numPr>
              <w:spacing w:before="0"/>
              <w:jc w:val="left"/>
              <w:rPr>
                <w:rFonts w:cs="Arial"/>
              </w:rPr>
            </w:pPr>
            <w:r w:rsidRPr="0023303A">
              <w:rPr>
                <w:rFonts w:cs="Arial"/>
              </w:rPr>
              <w:t>to build their capacity and capability to provide palliative care as an integral part of their clinical practice</w:t>
            </w:r>
          </w:p>
          <w:p w:rsidR="00AF44D2" w:rsidRPr="0023303A" w:rsidRDefault="00AF44D2" w:rsidP="001C7BD0">
            <w:pPr>
              <w:numPr>
                <w:ilvl w:val="0"/>
                <w:numId w:val="13"/>
              </w:numPr>
              <w:spacing w:before="0"/>
              <w:jc w:val="left"/>
              <w:rPr>
                <w:rFonts w:cs="Arial"/>
                <w:lang w:val="en-AU" w:eastAsia="en-GB"/>
              </w:rPr>
            </w:pPr>
            <w:r w:rsidRPr="0023303A">
              <w:rPr>
                <w:rFonts w:cs="Arial"/>
              </w:rPr>
              <w:t>enable and empower</w:t>
            </w:r>
            <w:r w:rsidRPr="0023303A">
              <w:rPr>
                <w:rFonts w:cs="Arial"/>
                <w:lang w:val="en-AU" w:eastAsia="en-GB"/>
              </w:rPr>
              <w:t xml:space="preserve"> the development and maintenance of an appropriately skilled primary palliative care workforce </w:t>
            </w:r>
          </w:p>
          <w:p w:rsidR="00AF44D2" w:rsidRPr="0023303A" w:rsidRDefault="00AF44D2" w:rsidP="001C7BD0">
            <w:pPr>
              <w:numPr>
                <w:ilvl w:val="0"/>
                <w:numId w:val="12"/>
              </w:numPr>
              <w:spacing w:before="0"/>
              <w:ind w:left="361" w:hanging="361"/>
              <w:jc w:val="left"/>
              <w:rPr>
                <w:rFonts w:cs="Arial"/>
              </w:rPr>
            </w:pPr>
            <w:proofErr w:type="gramStart"/>
            <w:r w:rsidRPr="0023303A">
              <w:rPr>
                <w:rFonts w:cs="Arial"/>
                <w:lang w:val="en-AU" w:eastAsia="en-GB"/>
              </w:rPr>
              <w:t>to</w:t>
            </w:r>
            <w:proofErr w:type="gramEnd"/>
            <w:r w:rsidRPr="0023303A">
              <w:rPr>
                <w:rFonts w:cs="Arial"/>
                <w:lang w:val="en-AU" w:eastAsia="en-GB"/>
              </w:rPr>
              <w:t xml:space="preserve"> promote and support the provision</w:t>
            </w:r>
            <w:r w:rsidRPr="0023303A">
              <w:rPr>
                <w:rFonts w:cs="Arial"/>
              </w:rPr>
              <w:t xml:space="preserve"> of collaborative and integrated models of care with primary palliative care providers.</w:t>
            </w:r>
          </w:p>
          <w:p w:rsidR="00AF44D2" w:rsidRPr="0023303A" w:rsidRDefault="00AF44D2" w:rsidP="00DF1A9D">
            <w:pPr>
              <w:jc w:val="left"/>
              <w:rPr>
                <w:rFonts w:cs="Arial"/>
              </w:rPr>
            </w:pPr>
            <w:r w:rsidRPr="0023303A">
              <w:rPr>
                <w:rFonts w:cs="Arial"/>
              </w:rPr>
              <w:t>Training programmes:</w:t>
            </w:r>
          </w:p>
          <w:p w:rsidR="00AF44D2" w:rsidRPr="0023303A" w:rsidRDefault="00AF44D2" w:rsidP="001C7BD0">
            <w:pPr>
              <w:numPr>
                <w:ilvl w:val="0"/>
                <w:numId w:val="13"/>
              </w:numPr>
              <w:spacing w:before="0"/>
              <w:jc w:val="left"/>
              <w:rPr>
                <w:rFonts w:cs="Arial"/>
              </w:rPr>
            </w:pPr>
            <w:r w:rsidRPr="0023303A">
              <w:rPr>
                <w:rFonts w:cs="Arial"/>
              </w:rPr>
              <w:t>are provided across a range of settings</w:t>
            </w:r>
          </w:p>
          <w:p w:rsidR="00AF44D2" w:rsidRPr="0023303A" w:rsidRDefault="00AF44D2" w:rsidP="001C7BD0">
            <w:pPr>
              <w:numPr>
                <w:ilvl w:val="0"/>
                <w:numId w:val="13"/>
              </w:numPr>
              <w:spacing w:before="0"/>
              <w:jc w:val="left"/>
              <w:rPr>
                <w:rFonts w:cs="Arial"/>
              </w:rPr>
            </w:pPr>
            <w:r w:rsidRPr="0023303A">
              <w:rPr>
                <w:rFonts w:cs="Arial"/>
              </w:rPr>
              <w:t>are evidence based</w:t>
            </w:r>
          </w:p>
          <w:p w:rsidR="00AF44D2" w:rsidRPr="0023303A" w:rsidRDefault="00AF44D2" w:rsidP="001C7BD0">
            <w:pPr>
              <w:numPr>
                <w:ilvl w:val="0"/>
                <w:numId w:val="13"/>
              </w:numPr>
              <w:spacing w:before="0"/>
              <w:jc w:val="left"/>
              <w:rPr>
                <w:rFonts w:cs="Arial"/>
              </w:rPr>
            </w:pPr>
            <w:r w:rsidRPr="0023303A">
              <w:rPr>
                <w:rFonts w:cs="Arial"/>
              </w:rPr>
              <w:lastRenderedPageBreak/>
              <w:t>use national programmes to avoid duplication (where available and appropriate)</w:t>
            </w:r>
          </w:p>
          <w:p w:rsidR="00AF44D2" w:rsidRPr="0023303A" w:rsidRDefault="00AF44D2" w:rsidP="001C7BD0">
            <w:pPr>
              <w:numPr>
                <w:ilvl w:val="0"/>
                <w:numId w:val="13"/>
              </w:numPr>
              <w:spacing w:before="0"/>
              <w:jc w:val="left"/>
              <w:rPr>
                <w:rFonts w:cs="Arial"/>
              </w:rPr>
            </w:pPr>
            <w:r w:rsidRPr="0023303A">
              <w:rPr>
                <w:rFonts w:cs="Arial"/>
              </w:rPr>
              <w:t>locally consistent</w:t>
            </w:r>
          </w:p>
          <w:p w:rsidR="00AF44D2" w:rsidRPr="0023303A" w:rsidRDefault="00AF44D2" w:rsidP="001C7BD0">
            <w:pPr>
              <w:numPr>
                <w:ilvl w:val="0"/>
                <w:numId w:val="13"/>
              </w:numPr>
              <w:spacing w:before="0"/>
              <w:jc w:val="left"/>
              <w:rPr>
                <w:rFonts w:cs="Arial"/>
              </w:rPr>
            </w:pPr>
            <w:proofErr w:type="gramStart"/>
            <w:r w:rsidRPr="0023303A">
              <w:rPr>
                <w:rFonts w:cs="Arial"/>
              </w:rPr>
              <w:t>link</w:t>
            </w:r>
            <w:proofErr w:type="gramEnd"/>
            <w:r w:rsidRPr="0023303A">
              <w:rPr>
                <w:rFonts w:cs="Arial"/>
              </w:rPr>
              <w:t xml:space="preserve"> with academic institutions as appropriate.  </w:t>
            </w:r>
          </w:p>
          <w:p w:rsidR="00AF44D2" w:rsidRPr="0023303A" w:rsidRDefault="00AF44D2" w:rsidP="00DF1A9D">
            <w:pPr>
              <w:jc w:val="left"/>
              <w:rPr>
                <w:rFonts w:cs="Arial"/>
              </w:rPr>
            </w:pPr>
            <w:r w:rsidRPr="0023303A">
              <w:rPr>
                <w:rFonts w:cs="Arial"/>
              </w:rPr>
              <w:t>Training should include the following competencies as a minimum:</w:t>
            </w:r>
          </w:p>
          <w:p w:rsidR="00AF44D2" w:rsidRPr="0023303A" w:rsidRDefault="00AF44D2" w:rsidP="001C7BD0">
            <w:pPr>
              <w:numPr>
                <w:ilvl w:val="0"/>
                <w:numId w:val="13"/>
              </w:numPr>
              <w:spacing w:before="0"/>
              <w:jc w:val="left"/>
              <w:rPr>
                <w:rFonts w:cs="Arial"/>
              </w:rPr>
            </w:pPr>
            <w:r w:rsidRPr="0023303A">
              <w:rPr>
                <w:rFonts w:cs="Arial"/>
              </w:rPr>
              <w:t>introduction to palliative care (including integrated models of care as outlined in the Resource and Capability Framework)</w:t>
            </w:r>
          </w:p>
          <w:p w:rsidR="00AF44D2" w:rsidRPr="0023303A" w:rsidRDefault="00AF44D2" w:rsidP="001C7BD0">
            <w:pPr>
              <w:numPr>
                <w:ilvl w:val="0"/>
                <w:numId w:val="13"/>
              </w:numPr>
              <w:spacing w:before="0"/>
              <w:jc w:val="left"/>
              <w:rPr>
                <w:rFonts w:cs="Arial"/>
              </w:rPr>
            </w:pPr>
            <w:r w:rsidRPr="0023303A">
              <w:rPr>
                <w:rFonts w:cs="Arial"/>
              </w:rPr>
              <w:t>age-appropriate care, for example children and young people, and older people</w:t>
            </w:r>
          </w:p>
          <w:p w:rsidR="00AF44D2" w:rsidRPr="0023303A" w:rsidRDefault="00AF44D2" w:rsidP="001C7BD0">
            <w:pPr>
              <w:numPr>
                <w:ilvl w:val="0"/>
                <w:numId w:val="13"/>
              </w:numPr>
              <w:spacing w:before="0"/>
              <w:jc w:val="left"/>
              <w:rPr>
                <w:rFonts w:cs="Arial"/>
              </w:rPr>
            </w:pPr>
            <w:r w:rsidRPr="0023303A">
              <w:rPr>
                <w:rFonts w:cs="Arial"/>
              </w:rPr>
              <w:t>pain and symptom management</w:t>
            </w:r>
          </w:p>
          <w:p w:rsidR="00AF44D2" w:rsidRPr="0023303A" w:rsidRDefault="00AF44D2" w:rsidP="001C7BD0">
            <w:pPr>
              <w:numPr>
                <w:ilvl w:val="0"/>
                <w:numId w:val="13"/>
              </w:numPr>
              <w:spacing w:before="0"/>
              <w:jc w:val="left"/>
              <w:rPr>
                <w:rFonts w:cs="Arial"/>
              </w:rPr>
            </w:pPr>
            <w:r w:rsidRPr="0023303A">
              <w:rPr>
                <w:rFonts w:cs="Arial"/>
              </w:rPr>
              <w:t>ethical decision making in palliative care</w:t>
            </w:r>
          </w:p>
          <w:p w:rsidR="00AF44D2" w:rsidRPr="0023303A" w:rsidRDefault="00AF44D2" w:rsidP="001C7BD0">
            <w:pPr>
              <w:numPr>
                <w:ilvl w:val="0"/>
                <w:numId w:val="13"/>
              </w:numPr>
              <w:spacing w:before="0"/>
              <w:jc w:val="left"/>
              <w:rPr>
                <w:rFonts w:cs="Arial"/>
              </w:rPr>
            </w:pPr>
            <w:r w:rsidRPr="0023303A">
              <w:rPr>
                <w:rFonts w:cs="Arial"/>
              </w:rPr>
              <w:t>communication</w:t>
            </w:r>
          </w:p>
          <w:p w:rsidR="00AF44D2" w:rsidRPr="0023303A" w:rsidRDefault="00AF44D2" w:rsidP="001C7BD0">
            <w:pPr>
              <w:numPr>
                <w:ilvl w:val="0"/>
                <w:numId w:val="13"/>
              </w:numPr>
              <w:spacing w:before="0"/>
              <w:jc w:val="left"/>
              <w:rPr>
                <w:rFonts w:cs="Arial"/>
              </w:rPr>
            </w:pPr>
            <w:r w:rsidRPr="0023303A">
              <w:rPr>
                <w:rFonts w:cs="Arial"/>
              </w:rPr>
              <w:t>grief and loss</w:t>
            </w:r>
          </w:p>
          <w:p w:rsidR="00AF44D2" w:rsidRPr="0023303A" w:rsidRDefault="00AF44D2" w:rsidP="001C7BD0">
            <w:pPr>
              <w:numPr>
                <w:ilvl w:val="0"/>
                <w:numId w:val="13"/>
              </w:numPr>
              <w:spacing w:before="0"/>
              <w:jc w:val="left"/>
              <w:rPr>
                <w:rFonts w:cs="Arial"/>
              </w:rPr>
            </w:pPr>
            <w:r w:rsidRPr="0023303A">
              <w:rPr>
                <w:rFonts w:cs="Arial"/>
              </w:rPr>
              <w:t>spirituality</w:t>
            </w:r>
          </w:p>
          <w:p w:rsidR="00AF44D2" w:rsidRPr="0023303A" w:rsidRDefault="00AF44D2" w:rsidP="001C7BD0">
            <w:pPr>
              <w:numPr>
                <w:ilvl w:val="0"/>
                <w:numId w:val="13"/>
              </w:numPr>
              <w:spacing w:before="0"/>
              <w:jc w:val="left"/>
              <w:rPr>
                <w:rFonts w:cs="Arial"/>
              </w:rPr>
            </w:pPr>
            <w:r w:rsidRPr="0023303A" w:rsidDel="001F35D6">
              <w:rPr>
                <w:rFonts w:cs="Arial"/>
              </w:rPr>
              <w:t>end of life care</w:t>
            </w:r>
            <w:r w:rsidR="00002FD4">
              <w:rPr>
                <w:rFonts w:cs="Arial"/>
              </w:rPr>
              <w:t xml:space="preserve"> </w:t>
            </w:r>
            <w:r w:rsidRPr="0023303A">
              <w:rPr>
                <w:rFonts w:cs="Arial"/>
                <w:lang w:val="en-AU" w:eastAsia="en-GB"/>
              </w:rPr>
              <w:t>education and support to</w:t>
            </w:r>
            <w:r w:rsidRPr="0023303A">
              <w:rPr>
                <w:rFonts w:cs="Arial"/>
              </w:rPr>
              <w:t xml:space="preserve"> implement end of life care</w:t>
            </w:r>
          </w:p>
          <w:p w:rsidR="00AF44D2" w:rsidRPr="0023303A" w:rsidRDefault="00AF44D2" w:rsidP="001C7BD0">
            <w:pPr>
              <w:numPr>
                <w:ilvl w:val="0"/>
                <w:numId w:val="13"/>
              </w:numPr>
              <w:spacing w:before="0"/>
              <w:jc w:val="left"/>
              <w:rPr>
                <w:rFonts w:cs="Arial"/>
              </w:rPr>
            </w:pPr>
            <w:r w:rsidRPr="0023303A">
              <w:rPr>
                <w:rFonts w:cs="Arial"/>
              </w:rPr>
              <w:t>syringe drive</w:t>
            </w:r>
            <w:r w:rsidRPr="0023303A">
              <w:rPr>
                <w:rFonts w:cs="Arial"/>
                <w:lang w:val="en-AU" w:eastAsia="en-GB"/>
              </w:rPr>
              <w:t>r use</w:t>
            </w:r>
          </w:p>
          <w:p w:rsidR="00AF44D2" w:rsidRPr="0023303A" w:rsidRDefault="00002FD4" w:rsidP="001F35D6">
            <w:pPr>
              <w:numPr>
                <w:ilvl w:val="0"/>
                <w:numId w:val="13"/>
              </w:numPr>
              <w:spacing w:before="0"/>
              <w:jc w:val="left"/>
              <w:rPr>
                <w:rFonts w:cs="Arial"/>
              </w:rPr>
            </w:pPr>
            <w:proofErr w:type="gramStart"/>
            <w:r>
              <w:rPr>
                <w:rFonts w:cs="Arial"/>
                <w:lang w:val="en-AU" w:eastAsia="en-GB"/>
              </w:rPr>
              <w:t>s</w:t>
            </w:r>
            <w:r w:rsidRPr="0023303A">
              <w:rPr>
                <w:rFonts w:cs="Arial"/>
                <w:lang w:val="en-AU" w:eastAsia="en-GB"/>
              </w:rPr>
              <w:t>pecialist</w:t>
            </w:r>
            <w:proofErr w:type="gramEnd"/>
            <w:r w:rsidRPr="0023303A">
              <w:rPr>
                <w:rFonts w:cs="Arial"/>
                <w:lang w:val="en-AU" w:eastAsia="en-GB"/>
              </w:rPr>
              <w:t xml:space="preserve"> </w:t>
            </w:r>
            <w:r w:rsidR="00AF44D2" w:rsidRPr="0023303A">
              <w:rPr>
                <w:rFonts w:cs="Arial"/>
              </w:rPr>
              <w:t>palliative care education and training may also be provided to the general public to increase understanding and awareness of palliative care.</w:t>
            </w:r>
          </w:p>
        </w:tc>
      </w:tr>
    </w:tbl>
    <w:p w:rsidR="009D539D" w:rsidRPr="006102D6" w:rsidRDefault="00AC6FAA" w:rsidP="00262268">
      <w:pPr>
        <w:pStyle w:val="Heading2"/>
        <w:rPr>
          <w:lang w:val="en-GB"/>
        </w:rPr>
      </w:pPr>
      <w:bookmarkStart w:id="21" w:name="_Toc215319146"/>
      <w:r>
        <w:rPr>
          <w:lang w:val="en-AU"/>
        </w:rPr>
        <w:lastRenderedPageBreak/>
        <w:t>6</w:t>
      </w:r>
      <w:r w:rsidR="009D539D" w:rsidRPr="006102D6">
        <w:rPr>
          <w:lang w:val="en-GB"/>
        </w:rPr>
        <w:t>.</w:t>
      </w:r>
      <w:r w:rsidR="00766EA5">
        <w:rPr>
          <w:lang w:val="en-GB"/>
        </w:rPr>
        <w:t>2</w:t>
      </w:r>
      <w:r w:rsidR="009D539D" w:rsidRPr="006102D6">
        <w:rPr>
          <w:lang w:val="en-GB"/>
        </w:rPr>
        <w:tab/>
        <w:t>Settings</w:t>
      </w:r>
    </w:p>
    <w:p w:rsidR="00E55433" w:rsidRPr="00E55433" w:rsidRDefault="009D539D" w:rsidP="00E55433">
      <w:pPr>
        <w:tabs>
          <w:tab w:val="left" w:pos="540"/>
        </w:tabs>
        <w:spacing w:after="120"/>
        <w:jc w:val="left"/>
        <w:rPr>
          <w:rFonts w:cs="Arial"/>
          <w:lang w:val="en-AU"/>
        </w:rPr>
      </w:pPr>
      <w:r w:rsidRPr="006102D6">
        <w:rPr>
          <w:rFonts w:cs="Arial"/>
          <w:lang w:val="en-AU"/>
        </w:rPr>
        <w:t xml:space="preserve">The </w:t>
      </w:r>
      <w:r w:rsidR="00E55433">
        <w:rPr>
          <w:rFonts w:cs="Arial"/>
          <w:lang w:val="en-AU"/>
        </w:rPr>
        <w:t xml:space="preserve">Service will be provided </w:t>
      </w:r>
      <w:r w:rsidR="00E55433">
        <w:rPr>
          <w:rFonts w:cs="Arial"/>
        </w:rPr>
        <w:t>across the following settings as (see Appendix One for further detail):</w:t>
      </w:r>
    </w:p>
    <w:p w:rsidR="00E55433" w:rsidRPr="00440FB1" w:rsidRDefault="00E55433" w:rsidP="00A23B15">
      <w:pPr>
        <w:pStyle w:val="ListParagraph"/>
        <w:numPr>
          <w:ilvl w:val="0"/>
          <w:numId w:val="18"/>
        </w:numPr>
        <w:spacing w:after="120"/>
      </w:pPr>
      <w:r>
        <w:rPr>
          <w:b/>
        </w:rPr>
        <w:t>c</w:t>
      </w:r>
      <w:r w:rsidRPr="00440FB1">
        <w:rPr>
          <w:b/>
        </w:rPr>
        <w:t>ommunity services</w:t>
      </w:r>
      <w:r>
        <w:rPr>
          <w:b/>
        </w:rPr>
        <w:t xml:space="preserve"> </w:t>
      </w:r>
      <w:r>
        <w:t xml:space="preserve">generally provided by hospices to people in their own environment (these services may also include day programmes as well as overnight </w:t>
      </w:r>
      <w:r w:rsidR="002612AA">
        <w:t>care in an accredited facility)</w:t>
      </w:r>
    </w:p>
    <w:p w:rsidR="00E55433" w:rsidRDefault="00E55433" w:rsidP="0023303A">
      <w:pPr>
        <w:pStyle w:val="ListParagraph"/>
        <w:numPr>
          <w:ilvl w:val="0"/>
          <w:numId w:val="18"/>
        </w:numPr>
      </w:pPr>
      <w:r>
        <w:rPr>
          <w:b/>
        </w:rPr>
        <w:t>c</w:t>
      </w:r>
      <w:r w:rsidRPr="00440FB1">
        <w:rPr>
          <w:b/>
        </w:rPr>
        <w:t>onsultancy services</w:t>
      </w:r>
      <w:r w:rsidRPr="00440FB1">
        <w:t xml:space="preserve"> provided by</w:t>
      </w:r>
      <w:r>
        <w:t>:</w:t>
      </w:r>
    </w:p>
    <w:p w:rsidR="00E55433" w:rsidRDefault="00E55433" w:rsidP="0023303A">
      <w:pPr>
        <w:pStyle w:val="ListParagraph"/>
        <w:numPr>
          <w:ilvl w:val="0"/>
          <w:numId w:val="16"/>
        </w:numPr>
        <w:ind w:left="1134" w:hanging="425"/>
      </w:pPr>
      <w:r w:rsidRPr="00440FB1">
        <w:t>hospital-based specialist palliative care teams</w:t>
      </w:r>
    </w:p>
    <w:p w:rsidR="00E55433" w:rsidRPr="00D429FF" w:rsidRDefault="00E55433" w:rsidP="0023303A">
      <w:pPr>
        <w:pStyle w:val="ListParagraph"/>
        <w:numPr>
          <w:ilvl w:val="0"/>
          <w:numId w:val="16"/>
        </w:numPr>
        <w:ind w:left="1134" w:hanging="425"/>
      </w:pPr>
      <w:proofErr w:type="gramStart"/>
      <w:r w:rsidRPr="00D429FF">
        <w:t>hospices</w:t>
      </w:r>
      <w:proofErr w:type="gramEnd"/>
      <w:r w:rsidRPr="00D429FF">
        <w:t xml:space="preserve"> to support primary palliative care providers or for services outside the DHB district</w:t>
      </w:r>
      <w:r>
        <w:t>.</w:t>
      </w:r>
    </w:p>
    <w:p w:rsidR="009D539D" w:rsidRDefault="00AC6FAA" w:rsidP="00262268">
      <w:pPr>
        <w:pStyle w:val="Heading2"/>
        <w:rPr>
          <w:lang w:val="en-GB"/>
        </w:rPr>
      </w:pPr>
      <w:r>
        <w:rPr>
          <w:lang w:val="en-GB"/>
        </w:rPr>
        <w:t>6</w:t>
      </w:r>
      <w:r w:rsidR="009D539D" w:rsidRPr="006102D6">
        <w:rPr>
          <w:lang w:val="en-GB"/>
        </w:rPr>
        <w:t>.</w:t>
      </w:r>
      <w:r w:rsidR="00766EA5">
        <w:rPr>
          <w:lang w:val="en-GB"/>
        </w:rPr>
        <w:t>3</w:t>
      </w:r>
      <w:r w:rsidR="009D539D" w:rsidRPr="006102D6">
        <w:rPr>
          <w:lang w:val="en-GB"/>
        </w:rPr>
        <w:tab/>
        <w:t>Equipment</w:t>
      </w:r>
      <w:r w:rsidR="00FB1DAD">
        <w:rPr>
          <w:lang w:val="en-GB"/>
        </w:rPr>
        <w:t xml:space="preserve"> and supplies</w:t>
      </w:r>
    </w:p>
    <w:p w:rsidR="00843D6D" w:rsidRDefault="00843D6D" w:rsidP="00843D6D">
      <w:pPr>
        <w:tabs>
          <w:tab w:val="left" w:pos="540"/>
        </w:tabs>
        <w:spacing w:after="120"/>
        <w:jc w:val="left"/>
        <w:rPr>
          <w:rFonts w:cs="Arial"/>
          <w:bCs/>
          <w:color w:val="000000"/>
        </w:rPr>
      </w:pPr>
      <w:r w:rsidRPr="00C95F22">
        <w:rPr>
          <w:rFonts w:cs="Arial"/>
          <w:bCs/>
          <w:color w:val="000000"/>
        </w:rPr>
        <w:t xml:space="preserve">There is variation between DHBs in the funding </w:t>
      </w:r>
      <w:r>
        <w:rPr>
          <w:rFonts w:cs="Arial"/>
          <w:bCs/>
          <w:color w:val="000000"/>
        </w:rPr>
        <w:t>arrangements of</w:t>
      </w:r>
      <w:r w:rsidRPr="00C95F22">
        <w:rPr>
          <w:rFonts w:cs="Arial"/>
          <w:bCs/>
          <w:color w:val="000000"/>
        </w:rPr>
        <w:t xml:space="preserve"> specialist palliative care services due to long</w:t>
      </w:r>
      <w:r>
        <w:rPr>
          <w:rFonts w:cs="Arial"/>
          <w:bCs/>
          <w:color w:val="000000"/>
        </w:rPr>
        <w:t xml:space="preserve"> standing custom and practice </w:t>
      </w:r>
      <w:r w:rsidRPr="00C95F22">
        <w:rPr>
          <w:rFonts w:cs="Arial"/>
          <w:bCs/>
          <w:color w:val="000000"/>
        </w:rPr>
        <w:t xml:space="preserve">between a DHB and </w:t>
      </w:r>
      <w:r>
        <w:rPr>
          <w:rFonts w:cs="Arial"/>
          <w:bCs/>
          <w:color w:val="000000"/>
        </w:rPr>
        <w:t>their S</w:t>
      </w:r>
      <w:r w:rsidRPr="00C95F22">
        <w:rPr>
          <w:rFonts w:cs="Arial"/>
          <w:bCs/>
          <w:color w:val="000000"/>
        </w:rPr>
        <w:t>ervice provider</w:t>
      </w:r>
      <w:r w:rsidR="00244409">
        <w:rPr>
          <w:rFonts w:cs="Arial"/>
          <w:bCs/>
          <w:color w:val="000000"/>
        </w:rPr>
        <w:t>.</w:t>
      </w:r>
    </w:p>
    <w:p w:rsidR="00843D6D" w:rsidRDefault="00766EA5" w:rsidP="00F4333E">
      <w:pPr>
        <w:tabs>
          <w:tab w:val="left" w:pos="540"/>
        </w:tabs>
        <w:jc w:val="left"/>
        <w:rPr>
          <w:rFonts w:cs="Arial"/>
        </w:rPr>
      </w:pPr>
      <w:r w:rsidRPr="00766EA5">
        <w:rPr>
          <w:rFonts w:cs="Arial"/>
          <w:lang w:val="en-GB"/>
        </w:rPr>
        <w:t>For community service</w:t>
      </w:r>
      <w:r>
        <w:rPr>
          <w:rFonts w:cs="Arial"/>
          <w:lang w:val="en-GB"/>
        </w:rPr>
        <w:t>s, t</w:t>
      </w:r>
      <w:r w:rsidRPr="00766EA5">
        <w:rPr>
          <w:rFonts w:cs="Arial"/>
          <w:lang w:val="en-GB"/>
        </w:rPr>
        <w:t xml:space="preserve">he Service will supply </w:t>
      </w:r>
      <w:r w:rsidR="006D252D" w:rsidRPr="006D252D">
        <w:rPr>
          <w:rFonts w:cs="Arial"/>
          <w:lang w:val="en-GB"/>
        </w:rPr>
        <w:t xml:space="preserve">or facilitate timely </w:t>
      </w:r>
      <w:r w:rsidR="006D252D">
        <w:rPr>
          <w:rFonts w:cs="Arial"/>
          <w:lang w:val="en-GB"/>
        </w:rPr>
        <w:t xml:space="preserve">access to </w:t>
      </w:r>
      <w:r w:rsidRPr="00766EA5">
        <w:rPr>
          <w:rFonts w:cs="Arial"/>
          <w:lang w:val="en-GB"/>
        </w:rPr>
        <w:t xml:space="preserve">the following </w:t>
      </w:r>
      <w:r w:rsidR="006D252D">
        <w:rPr>
          <w:rFonts w:cs="Arial"/>
          <w:lang w:val="en-GB"/>
        </w:rPr>
        <w:t xml:space="preserve">consumables and </w:t>
      </w:r>
      <w:r w:rsidRPr="00766EA5">
        <w:rPr>
          <w:rFonts w:cs="Arial"/>
          <w:lang w:val="en-GB"/>
        </w:rPr>
        <w:t xml:space="preserve">equipment for Service Users </w:t>
      </w:r>
      <w:r w:rsidR="006D252D" w:rsidRPr="006D252D">
        <w:rPr>
          <w:rFonts w:cs="Arial"/>
          <w:lang w:val="en-GB"/>
        </w:rPr>
        <w:t>as determined by the Service User’s management / care plan delivered under this specification</w:t>
      </w:r>
      <w:r w:rsidR="00DF1A9D">
        <w:rPr>
          <w:rFonts w:cs="Arial"/>
          <w:lang w:val="en-GB"/>
        </w:rPr>
        <w:t>:</w:t>
      </w:r>
    </w:p>
    <w:p w:rsidR="00766EA5" w:rsidRPr="00843D6D" w:rsidRDefault="00766EA5" w:rsidP="004738E8">
      <w:pPr>
        <w:pStyle w:val="ListParagraph"/>
        <w:numPr>
          <w:ilvl w:val="0"/>
          <w:numId w:val="27"/>
        </w:numPr>
        <w:spacing w:before="120"/>
        <w:ind w:left="567" w:hanging="567"/>
        <w:rPr>
          <w:lang w:val="en-GB"/>
        </w:rPr>
      </w:pPr>
      <w:r w:rsidRPr="00843D6D">
        <w:rPr>
          <w:lang w:val="en-GB"/>
        </w:rPr>
        <w:t>intravenous, enteral and parenteral supplies</w:t>
      </w:r>
    </w:p>
    <w:p w:rsidR="00766EA5" w:rsidRPr="00843D6D" w:rsidRDefault="0009784C" w:rsidP="00843D6D">
      <w:pPr>
        <w:pStyle w:val="ListParagraph"/>
        <w:numPr>
          <w:ilvl w:val="0"/>
          <w:numId w:val="27"/>
        </w:numPr>
        <w:ind w:left="567" w:hanging="567"/>
        <w:rPr>
          <w:lang w:val="en-GB"/>
        </w:rPr>
      </w:pPr>
      <w:r w:rsidRPr="00843D6D">
        <w:rPr>
          <w:lang w:val="en-GB"/>
        </w:rPr>
        <w:t>subcutaneous pumps and supplies</w:t>
      </w:r>
    </w:p>
    <w:p w:rsidR="00766EA5" w:rsidRPr="00843D6D" w:rsidRDefault="00766EA5" w:rsidP="00843D6D">
      <w:pPr>
        <w:pStyle w:val="ListParagraph"/>
        <w:numPr>
          <w:ilvl w:val="0"/>
          <w:numId w:val="27"/>
        </w:numPr>
        <w:ind w:left="567" w:hanging="567"/>
        <w:rPr>
          <w:lang w:val="en-GB"/>
        </w:rPr>
      </w:pPr>
      <w:proofErr w:type="spellStart"/>
      <w:r w:rsidRPr="00843D6D">
        <w:rPr>
          <w:lang w:val="en-GB"/>
        </w:rPr>
        <w:t>lymphoedema</w:t>
      </w:r>
      <w:proofErr w:type="spellEnd"/>
      <w:r w:rsidRPr="00843D6D">
        <w:rPr>
          <w:lang w:val="en-GB"/>
        </w:rPr>
        <w:t xml:space="preserve"> bandages and </w:t>
      </w:r>
      <w:r w:rsidR="00006CE6" w:rsidRPr="00843D6D">
        <w:rPr>
          <w:lang w:val="en-GB"/>
        </w:rPr>
        <w:t xml:space="preserve">support </w:t>
      </w:r>
      <w:r w:rsidR="00A521F5" w:rsidRPr="00843D6D">
        <w:rPr>
          <w:lang w:val="en-GB"/>
        </w:rPr>
        <w:t>hosiery</w:t>
      </w:r>
    </w:p>
    <w:p w:rsidR="00766EA5" w:rsidRPr="00843D6D" w:rsidRDefault="00AD13FC" w:rsidP="00843D6D">
      <w:pPr>
        <w:pStyle w:val="ListParagraph"/>
        <w:numPr>
          <w:ilvl w:val="0"/>
          <w:numId w:val="27"/>
        </w:numPr>
        <w:ind w:left="567" w:hanging="567"/>
        <w:rPr>
          <w:lang w:val="en-GB"/>
        </w:rPr>
      </w:pPr>
      <w:proofErr w:type="gramStart"/>
      <w:r w:rsidRPr="00843D6D">
        <w:rPr>
          <w:lang w:val="en-GB"/>
        </w:rPr>
        <w:t>s</w:t>
      </w:r>
      <w:r w:rsidR="00B051D3" w:rsidRPr="00843D6D">
        <w:rPr>
          <w:lang w:val="en-GB"/>
        </w:rPr>
        <w:t>hort-term</w:t>
      </w:r>
      <w:proofErr w:type="gramEnd"/>
      <w:r w:rsidR="00B051D3" w:rsidRPr="00843D6D">
        <w:rPr>
          <w:lang w:val="en-GB"/>
        </w:rPr>
        <w:t xml:space="preserve"> a</w:t>
      </w:r>
      <w:r w:rsidR="00F72550" w:rsidRPr="00843D6D">
        <w:rPr>
          <w:lang w:val="en-GB"/>
        </w:rPr>
        <w:t xml:space="preserve">ids </w:t>
      </w:r>
      <w:r w:rsidR="006D252D" w:rsidRPr="00843D6D">
        <w:rPr>
          <w:lang w:val="en-GB"/>
        </w:rPr>
        <w:t>and equipment</w:t>
      </w:r>
      <w:r w:rsidR="00F72550" w:rsidRPr="00843D6D">
        <w:rPr>
          <w:lang w:val="en-GB"/>
        </w:rPr>
        <w:t xml:space="preserve"> to support independence in activities of daily living</w:t>
      </w:r>
      <w:r w:rsidR="006D252D" w:rsidRPr="00843D6D">
        <w:rPr>
          <w:lang w:val="en-GB"/>
        </w:rPr>
        <w:t xml:space="preserve">.  </w:t>
      </w:r>
    </w:p>
    <w:p w:rsidR="00B051D3" w:rsidRDefault="00B051D3" w:rsidP="00F4333E">
      <w:pPr>
        <w:tabs>
          <w:tab w:val="left" w:pos="0"/>
        </w:tabs>
        <w:jc w:val="left"/>
        <w:rPr>
          <w:rFonts w:cs="Arial"/>
        </w:rPr>
      </w:pPr>
      <w:r>
        <w:rPr>
          <w:rFonts w:cs="Arial"/>
        </w:rPr>
        <w:lastRenderedPageBreak/>
        <w:t>The Service will facilitate access to, but not provide:</w:t>
      </w:r>
    </w:p>
    <w:p w:rsidR="00B051D3" w:rsidRDefault="00B051D3" w:rsidP="009C0C40">
      <w:pPr>
        <w:numPr>
          <w:ilvl w:val="0"/>
          <w:numId w:val="7"/>
        </w:numPr>
        <w:tabs>
          <w:tab w:val="clear" w:pos="1080"/>
          <w:tab w:val="left" w:pos="540"/>
        </w:tabs>
        <w:ind w:left="567" w:hanging="567"/>
        <w:jc w:val="left"/>
        <w:rPr>
          <w:rFonts w:cs="Arial"/>
          <w:b/>
        </w:rPr>
      </w:pPr>
      <w:r w:rsidRPr="00F72550">
        <w:rPr>
          <w:rFonts w:cs="Arial"/>
          <w:b/>
        </w:rPr>
        <w:t>continence products</w:t>
      </w:r>
      <w:r>
        <w:rPr>
          <w:rFonts w:cs="Arial"/>
          <w:b/>
        </w:rPr>
        <w:t xml:space="preserve"> </w:t>
      </w:r>
      <w:r>
        <w:rPr>
          <w:rFonts w:cs="Arial"/>
        </w:rPr>
        <w:t xml:space="preserve">will continue to be provided by Continence </w:t>
      </w:r>
      <w:r w:rsidR="003B1971">
        <w:rPr>
          <w:rFonts w:cs="Arial"/>
        </w:rPr>
        <w:t xml:space="preserve">Education and Consumables </w:t>
      </w:r>
      <w:r>
        <w:rPr>
          <w:rFonts w:cs="Arial"/>
        </w:rPr>
        <w:t>Service</w:t>
      </w:r>
      <w:r w:rsidR="003B1971">
        <w:rPr>
          <w:rFonts w:cs="Arial"/>
        </w:rPr>
        <w:t>s</w:t>
      </w:r>
      <w:r>
        <w:rPr>
          <w:rFonts w:cs="Arial"/>
        </w:rPr>
        <w:t xml:space="preserve"> where the Service User is already under the care of th</w:t>
      </w:r>
      <w:r w:rsidR="006D5024">
        <w:rPr>
          <w:rFonts w:cs="Arial"/>
        </w:rPr>
        <w:t>is</w:t>
      </w:r>
      <w:r>
        <w:rPr>
          <w:rFonts w:cs="Arial"/>
        </w:rPr>
        <w:t xml:space="preserve"> Continence Service before entering the </w:t>
      </w:r>
      <w:r w:rsidR="006D5024">
        <w:rPr>
          <w:rFonts w:cs="Arial"/>
        </w:rPr>
        <w:t>S</w:t>
      </w:r>
      <w:r w:rsidR="006D5024" w:rsidRPr="006D5024">
        <w:rPr>
          <w:rFonts w:cs="Arial"/>
        </w:rPr>
        <w:t xml:space="preserve">pecialist </w:t>
      </w:r>
      <w:r w:rsidR="006D5024">
        <w:rPr>
          <w:rFonts w:cs="Arial"/>
        </w:rPr>
        <w:t>P</w:t>
      </w:r>
      <w:r w:rsidR="006D5024" w:rsidRPr="006D5024">
        <w:rPr>
          <w:rFonts w:cs="Arial"/>
        </w:rPr>
        <w:t xml:space="preserve">alliative </w:t>
      </w:r>
      <w:r w:rsidR="006D5024">
        <w:rPr>
          <w:rFonts w:cs="Arial"/>
        </w:rPr>
        <w:t>C</w:t>
      </w:r>
      <w:r w:rsidR="006D5024" w:rsidRPr="006D5024">
        <w:rPr>
          <w:rFonts w:cs="Arial"/>
        </w:rPr>
        <w:t xml:space="preserve">are </w:t>
      </w:r>
      <w:r>
        <w:rPr>
          <w:rFonts w:cs="Arial"/>
        </w:rPr>
        <w:t>Service</w:t>
      </w:r>
    </w:p>
    <w:p w:rsidR="00B051D3" w:rsidRPr="00B051D3" w:rsidRDefault="00B051D3" w:rsidP="0023303A">
      <w:pPr>
        <w:numPr>
          <w:ilvl w:val="0"/>
          <w:numId w:val="7"/>
        </w:numPr>
        <w:tabs>
          <w:tab w:val="clear" w:pos="1080"/>
          <w:tab w:val="num" w:pos="-180"/>
          <w:tab w:val="left" w:pos="540"/>
        </w:tabs>
        <w:spacing w:before="0"/>
        <w:ind w:left="539" w:hanging="539"/>
        <w:jc w:val="left"/>
        <w:rPr>
          <w:rFonts w:cs="Arial"/>
          <w:b/>
        </w:rPr>
      </w:pPr>
      <w:r w:rsidRPr="00B051D3">
        <w:rPr>
          <w:rFonts w:cs="Arial"/>
          <w:b/>
        </w:rPr>
        <w:t xml:space="preserve">community oxygen therapy and </w:t>
      </w:r>
      <w:proofErr w:type="spellStart"/>
      <w:r w:rsidRPr="00B051D3">
        <w:rPr>
          <w:rFonts w:cs="Arial"/>
          <w:b/>
        </w:rPr>
        <w:t>stomal</w:t>
      </w:r>
      <w:proofErr w:type="spellEnd"/>
      <w:r w:rsidRPr="00B051D3">
        <w:rPr>
          <w:rFonts w:cs="Arial"/>
          <w:b/>
        </w:rPr>
        <w:t xml:space="preserve"> consumables</w:t>
      </w:r>
      <w:r>
        <w:rPr>
          <w:rFonts w:cs="Arial"/>
          <w:b/>
        </w:rPr>
        <w:t xml:space="preserve"> </w:t>
      </w:r>
      <w:r w:rsidRPr="00B051D3">
        <w:rPr>
          <w:rFonts w:cs="Arial"/>
        </w:rPr>
        <w:t xml:space="preserve">are the responsibility of the community oxygen therapy or </w:t>
      </w:r>
      <w:proofErr w:type="spellStart"/>
      <w:r w:rsidRPr="00B051D3">
        <w:rPr>
          <w:rFonts w:cs="Arial"/>
        </w:rPr>
        <w:t>stomal</w:t>
      </w:r>
      <w:proofErr w:type="spellEnd"/>
      <w:r w:rsidRPr="00B051D3">
        <w:rPr>
          <w:rFonts w:cs="Arial"/>
        </w:rPr>
        <w:t xml:space="preserve"> therapy service, even if the need arises during the palliative episode of care</w:t>
      </w:r>
    </w:p>
    <w:p w:rsidR="007D62A6" w:rsidRPr="007D62A6" w:rsidRDefault="00B051D3" w:rsidP="0023303A">
      <w:pPr>
        <w:numPr>
          <w:ilvl w:val="0"/>
          <w:numId w:val="7"/>
        </w:numPr>
        <w:tabs>
          <w:tab w:val="clear" w:pos="1080"/>
          <w:tab w:val="left" w:pos="540"/>
        </w:tabs>
        <w:spacing w:before="0"/>
        <w:ind w:left="567" w:hanging="567"/>
        <w:jc w:val="left"/>
        <w:rPr>
          <w:rFonts w:cs="Arial"/>
        </w:rPr>
      </w:pPr>
      <w:proofErr w:type="gramStart"/>
      <w:r>
        <w:rPr>
          <w:rFonts w:cs="Arial"/>
          <w:b/>
        </w:rPr>
        <w:t>long-term</w:t>
      </w:r>
      <w:proofErr w:type="gramEnd"/>
      <w:r>
        <w:rPr>
          <w:rFonts w:cs="Arial"/>
          <w:b/>
        </w:rPr>
        <w:t xml:space="preserve"> aids and equipment to support independence in activities of daily living.</w:t>
      </w:r>
      <w:r w:rsidRPr="006D5024">
        <w:rPr>
          <w:rFonts w:cs="Arial"/>
        </w:rPr>
        <w:t xml:space="preserve"> </w:t>
      </w:r>
      <w:r w:rsidRPr="006D252D">
        <w:rPr>
          <w:rFonts w:cs="Arial"/>
        </w:rPr>
        <w:t xml:space="preserve">Where the Service User is likely to need aids or </w:t>
      </w:r>
      <w:r w:rsidR="002612AA">
        <w:rPr>
          <w:rFonts w:cs="Arial"/>
        </w:rPr>
        <w:t>equipment for long term use (for example,</w:t>
      </w:r>
      <w:r w:rsidRPr="006D252D">
        <w:rPr>
          <w:rFonts w:cs="Arial"/>
        </w:rPr>
        <w:t xml:space="preserve"> over 6 months) to maintain their mobility or independence in activities of daily life, they will be referred to Equipment </w:t>
      </w:r>
      <w:r w:rsidR="00067581">
        <w:rPr>
          <w:rFonts w:cs="Arial"/>
        </w:rPr>
        <w:t xml:space="preserve">and </w:t>
      </w:r>
      <w:r w:rsidR="00002FD4" w:rsidRPr="006D252D">
        <w:rPr>
          <w:rFonts w:cs="Arial"/>
        </w:rPr>
        <w:t>M</w:t>
      </w:r>
      <w:r w:rsidR="00002FD4">
        <w:rPr>
          <w:rFonts w:cs="Arial"/>
        </w:rPr>
        <w:t>odification</w:t>
      </w:r>
      <w:r w:rsidR="00002FD4" w:rsidRPr="006D252D">
        <w:rPr>
          <w:rFonts w:cs="Arial"/>
        </w:rPr>
        <w:t xml:space="preserve"> </w:t>
      </w:r>
      <w:r w:rsidRPr="006D252D">
        <w:rPr>
          <w:rFonts w:cs="Arial"/>
        </w:rPr>
        <w:t>Servi</w:t>
      </w:r>
      <w:r>
        <w:rPr>
          <w:rFonts w:cs="Arial"/>
        </w:rPr>
        <w:t>ces (EMS)</w:t>
      </w:r>
      <w:r w:rsidR="00E4674A">
        <w:rPr>
          <w:rFonts w:cs="Arial"/>
        </w:rPr>
        <w:t xml:space="preserve"> service providers</w:t>
      </w:r>
      <w:r w:rsidR="00AD13FC">
        <w:rPr>
          <w:rFonts w:cs="Arial"/>
        </w:rPr>
        <w:t>.</w:t>
      </w:r>
    </w:p>
    <w:p w:rsidR="009D539D" w:rsidRDefault="00AC6FAA" w:rsidP="00262268">
      <w:pPr>
        <w:pStyle w:val="Heading2"/>
      </w:pPr>
      <w:r>
        <w:t>6</w:t>
      </w:r>
      <w:r w:rsidR="006324AD" w:rsidRPr="006102D6">
        <w:t>.</w:t>
      </w:r>
      <w:r w:rsidR="00766EA5">
        <w:t>4</w:t>
      </w:r>
      <w:r w:rsidR="006324AD" w:rsidRPr="006102D6">
        <w:tab/>
      </w:r>
      <w:r w:rsidR="009D539D" w:rsidRPr="006102D6">
        <w:t>Support Services</w:t>
      </w:r>
    </w:p>
    <w:p w:rsidR="00766EA5" w:rsidRDefault="001B3FAC" w:rsidP="0023303A">
      <w:pPr>
        <w:spacing w:before="0"/>
        <w:jc w:val="left"/>
        <w:rPr>
          <w:rFonts w:cs="Arial"/>
        </w:rPr>
      </w:pPr>
      <w:r w:rsidRPr="001B3FAC">
        <w:rPr>
          <w:rFonts w:cs="Arial"/>
          <w:lang w:val="en-GB"/>
        </w:rPr>
        <w:t xml:space="preserve">In addition to the Support Services outlined in Tier One Specialist Medical and Surgical Service Specification, the </w:t>
      </w:r>
      <w:r w:rsidR="00766EA5" w:rsidRPr="001B3FAC">
        <w:rPr>
          <w:rFonts w:cs="Arial"/>
          <w:lang w:val="en-GB"/>
        </w:rPr>
        <w:t>Service will</w:t>
      </w:r>
      <w:r w:rsidRPr="001B3FAC">
        <w:rPr>
          <w:rFonts w:cs="Arial"/>
          <w:lang w:val="en-GB"/>
        </w:rPr>
        <w:t xml:space="preserve"> also </w:t>
      </w:r>
      <w:r w:rsidR="00D50DFD" w:rsidRPr="001B3FAC">
        <w:rPr>
          <w:rFonts w:cs="Arial"/>
          <w:lang w:val="en-GB"/>
        </w:rPr>
        <w:t>facilitate</w:t>
      </w:r>
      <w:r w:rsidR="00766EA5" w:rsidRPr="001B3FAC">
        <w:rPr>
          <w:rFonts w:cs="Arial"/>
          <w:lang w:val="en-GB"/>
        </w:rPr>
        <w:t xml:space="preserve"> access</w:t>
      </w:r>
      <w:r w:rsidR="00766EA5">
        <w:rPr>
          <w:rFonts w:cs="Arial"/>
        </w:rPr>
        <w:t xml:space="preserve"> to:</w:t>
      </w:r>
    </w:p>
    <w:p w:rsidR="003D1A81" w:rsidRDefault="0009784C" w:rsidP="004738E8">
      <w:pPr>
        <w:numPr>
          <w:ilvl w:val="0"/>
          <w:numId w:val="7"/>
        </w:numPr>
        <w:tabs>
          <w:tab w:val="clear" w:pos="1080"/>
          <w:tab w:val="left" w:pos="540"/>
        </w:tabs>
        <w:ind w:left="567" w:hanging="567"/>
        <w:jc w:val="left"/>
        <w:rPr>
          <w:rFonts w:cs="Arial"/>
        </w:rPr>
      </w:pPr>
      <w:r>
        <w:rPr>
          <w:rFonts w:cs="Arial"/>
        </w:rPr>
        <w:t>chemotherapy and/or radiotherapy as needed</w:t>
      </w:r>
    </w:p>
    <w:p w:rsidR="0009784C" w:rsidRPr="00F72550" w:rsidRDefault="003D1A81" w:rsidP="0023303A">
      <w:pPr>
        <w:numPr>
          <w:ilvl w:val="0"/>
          <w:numId w:val="7"/>
        </w:numPr>
        <w:tabs>
          <w:tab w:val="clear" w:pos="1080"/>
          <w:tab w:val="left" w:pos="540"/>
        </w:tabs>
        <w:spacing w:before="0" w:after="120"/>
        <w:ind w:left="567" w:hanging="567"/>
        <w:jc w:val="left"/>
        <w:rPr>
          <w:rFonts w:cs="Arial"/>
        </w:rPr>
      </w:pPr>
      <w:proofErr w:type="gramStart"/>
      <w:r>
        <w:rPr>
          <w:rFonts w:cs="Arial"/>
        </w:rPr>
        <w:t>other</w:t>
      </w:r>
      <w:proofErr w:type="gramEnd"/>
      <w:r>
        <w:rPr>
          <w:rFonts w:cs="Arial"/>
        </w:rPr>
        <w:t xml:space="preserve"> support services as required (for example transport)</w:t>
      </w:r>
      <w:r w:rsidR="0009784C" w:rsidRPr="00F72550">
        <w:rPr>
          <w:rFonts w:cs="Arial"/>
        </w:rPr>
        <w:t>.</w:t>
      </w:r>
    </w:p>
    <w:p w:rsidR="007E294F" w:rsidRPr="006102D6" w:rsidRDefault="00AC6FAA" w:rsidP="00560D15">
      <w:pPr>
        <w:pStyle w:val="Heading2"/>
        <w:spacing w:before="0"/>
      </w:pPr>
      <w:r>
        <w:t>6</w:t>
      </w:r>
      <w:r w:rsidR="00070C06">
        <w:t>.5</w:t>
      </w:r>
      <w:r w:rsidR="007E294F" w:rsidRPr="006102D6">
        <w:tab/>
        <w:t xml:space="preserve">Key </w:t>
      </w:r>
      <w:r w:rsidR="00A41A78" w:rsidRPr="006102D6">
        <w:t>Inputs</w:t>
      </w:r>
    </w:p>
    <w:p w:rsidR="002A3C04" w:rsidRDefault="005D06E5" w:rsidP="00F4333E">
      <w:pPr>
        <w:autoSpaceDE w:val="0"/>
        <w:autoSpaceDN w:val="0"/>
        <w:adjustRightInd w:val="0"/>
        <w:jc w:val="left"/>
        <w:rPr>
          <w:rFonts w:cs="Arial"/>
          <w:lang w:val="en-GB"/>
        </w:rPr>
      </w:pPr>
      <w:r w:rsidRPr="006102D6">
        <w:rPr>
          <w:rFonts w:cs="Arial"/>
          <w:lang w:val="en-GB"/>
        </w:rPr>
        <w:t>The Service</w:t>
      </w:r>
      <w:r w:rsidR="00D429FF">
        <w:rPr>
          <w:rFonts w:cs="Arial"/>
          <w:lang w:val="en-GB"/>
        </w:rPr>
        <w:t xml:space="preserve"> must</w:t>
      </w:r>
      <w:r w:rsidR="002A3C04">
        <w:rPr>
          <w:rFonts w:cs="Arial"/>
          <w:lang w:val="en-GB"/>
        </w:rPr>
        <w:t>:</w:t>
      </w:r>
    </w:p>
    <w:p w:rsidR="00766EA5" w:rsidRDefault="006D5024" w:rsidP="009C0C40">
      <w:pPr>
        <w:pStyle w:val="ListParagraph"/>
        <w:numPr>
          <w:ilvl w:val="0"/>
          <w:numId w:val="20"/>
        </w:numPr>
        <w:autoSpaceDE w:val="0"/>
        <w:autoSpaceDN w:val="0"/>
        <w:adjustRightInd w:val="0"/>
        <w:spacing w:before="120"/>
        <w:ind w:left="567" w:hanging="567"/>
      </w:pPr>
      <w:r>
        <w:rPr>
          <w:lang w:val="en-GB"/>
        </w:rPr>
        <w:t xml:space="preserve">be provided </w:t>
      </w:r>
      <w:r w:rsidR="00D429FF">
        <w:rPr>
          <w:lang w:val="en-GB"/>
        </w:rPr>
        <w:t>by</w:t>
      </w:r>
      <w:r w:rsidR="00E55433">
        <w:rPr>
          <w:lang w:val="en-GB"/>
        </w:rPr>
        <w:t xml:space="preserve"> </w:t>
      </w:r>
      <w:r w:rsidR="00766EA5" w:rsidRPr="002A3C04">
        <w:t>health professionals who have undergone specific training and</w:t>
      </w:r>
      <w:r w:rsidR="00006CE6" w:rsidRPr="002A3C04">
        <w:t xml:space="preserve"> </w:t>
      </w:r>
      <w:r w:rsidR="00766EA5" w:rsidRPr="002A3C04">
        <w:t>/</w:t>
      </w:r>
      <w:r w:rsidR="00006CE6" w:rsidRPr="002A3C04">
        <w:t xml:space="preserve"> </w:t>
      </w:r>
      <w:r w:rsidR="00766EA5" w:rsidRPr="002A3C04">
        <w:t>or accreditation in palliative care</w:t>
      </w:r>
      <w:r w:rsidR="00006CE6" w:rsidRPr="002A3C04">
        <w:t xml:space="preserve"> </w:t>
      </w:r>
      <w:r w:rsidR="00766EA5" w:rsidRPr="002A3C04">
        <w:t>/</w:t>
      </w:r>
      <w:r w:rsidR="00006CE6" w:rsidRPr="002A3C04">
        <w:t xml:space="preserve"> </w:t>
      </w:r>
      <w:r w:rsidR="00766EA5" w:rsidRPr="002A3C04">
        <w:t>medicine</w:t>
      </w:r>
      <w:r w:rsidR="002B32BA" w:rsidRPr="002A3C04">
        <w:t xml:space="preserve"> including an appropriate level of training and</w:t>
      </w:r>
      <w:r w:rsidR="007B5F3D" w:rsidRPr="002A3C04">
        <w:t xml:space="preserve"> </w:t>
      </w:r>
      <w:r w:rsidR="002B32BA" w:rsidRPr="002A3C04">
        <w:t>/</w:t>
      </w:r>
      <w:r w:rsidR="007B5F3D" w:rsidRPr="002A3C04">
        <w:t xml:space="preserve"> </w:t>
      </w:r>
      <w:r w:rsidR="002B32BA" w:rsidRPr="002A3C04">
        <w:t xml:space="preserve">or </w:t>
      </w:r>
      <w:r w:rsidR="007B5F3D" w:rsidRPr="002A3C04">
        <w:t>accreditation</w:t>
      </w:r>
      <w:r w:rsidR="002B32BA" w:rsidRPr="002A3C04">
        <w:t xml:space="preserve"> to care for children and young people</w:t>
      </w:r>
      <w:r w:rsidR="00766EA5" w:rsidRPr="002A3C04">
        <w:t xml:space="preserve">, working in the context of an interdisciplinary team of </w:t>
      </w:r>
      <w:r w:rsidR="008040B5" w:rsidRPr="002A3C04">
        <w:t xml:space="preserve">specialist </w:t>
      </w:r>
      <w:r w:rsidR="00766EA5" w:rsidRPr="002A3C04">
        <w:t>palliative care health professionals</w:t>
      </w:r>
    </w:p>
    <w:p w:rsidR="00D429FF" w:rsidRPr="00D429FF" w:rsidRDefault="006D5024" w:rsidP="0023303A">
      <w:pPr>
        <w:numPr>
          <w:ilvl w:val="0"/>
          <w:numId w:val="20"/>
        </w:numPr>
        <w:spacing w:before="0"/>
        <w:ind w:left="567" w:hanging="567"/>
        <w:jc w:val="left"/>
        <w:rPr>
          <w:rFonts w:cs="Arial"/>
        </w:rPr>
      </w:pPr>
      <w:r w:rsidRPr="006D5024">
        <w:rPr>
          <w:rFonts w:cs="Arial"/>
        </w:rPr>
        <w:t xml:space="preserve">be provided </w:t>
      </w:r>
      <w:r w:rsidR="00D429FF" w:rsidRPr="00D429FF">
        <w:rPr>
          <w:rFonts w:cs="Arial"/>
        </w:rPr>
        <w:t xml:space="preserve">through accredited services or organisations, that work exclusively in palliative care and meet specific palliative care standards as they are developed </w:t>
      </w:r>
      <w:r w:rsidR="00D429FF">
        <w:rPr>
          <w:rFonts w:cs="Arial"/>
        </w:rPr>
        <w:t xml:space="preserve">and agreed on </w:t>
      </w:r>
      <w:r w:rsidR="00D429FF" w:rsidRPr="00D429FF">
        <w:rPr>
          <w:rFonts w:cs="Arial"/>
        </w:rPr>
        <w:t>nationally</w:t>
      </w:r>
    </w:p>
    <w:p w:rsidR="00CA4B06" w:rsidRDefault="006D5024" w:rsidP="00F4333E">
      <w:pPr>
        <w:pStyle w:val="ListParagraph"/>
        <w:numPr>
          <w:ilvl w:val="0"/>
          <w:numId w:val="20"/>
        </w:numPr>
        <w:autoSpaceDE w:val="0"/>
        <w:autoSpaceDN w:val="0"/>
        <w:adjustRightInd w:val="0"/>
        <w:ind w:left="567" w:hanging="567"/>
      </w:pPr>
      <w:r w:rsidRPr="006D5024">
        <w:t xml:space="preserve">be provided </w:t>
      </w:r>
      <w:r w:rsidR="00D429FF">
        <w:t xml:space="preserve">by </w:t>
      </w:r>
      <w:r w:rsidR="0001577B">
        <w:t>p</w:t>
      </w:r>
      <w:r w:rsidR="002A3C04">
        <w:t>eople working</w:t>
      </w:r>
      <w:r w:rsidR="00772103">
        <w:t xml:space="preserve"> with</w:t>
      </w:r>
      <w:r w:rsidR="002A3C04">
        <w:t xml:space="preserve"> an accredited specialist palliative care facility under the supervision of </w:t>
      </w:r>
      <w:r w:rsidR="00CA4B06">
        <w:t>a specialist palliative care provider</w:t>
      </w:r>
    </w:p>
    <w:p w:rsidR="00F36FD8" w:rsidRDefault="006D5024" w:rsidP="00F4333E">
      <w:pPr>
        <w:pStyle w:val="ListParagraph"/>
        <w:numPr>
          <w:ilvl w:val="0"/>
          <w:numId w:val="20"/>
        </w:numPr>
        <w:autoSpaceDE w:val="0"/>
        <w:autoSpaceDN w:val="0"/>
        <w:adjustRightInd w:val="0"/>
        <w:ind w:left="567" w:hanging="567"/>
      </w:pPr>
      <w:proofErr w:type="gramStart"/>
      <w:r>
        <w:t>provide</w:t>
      </w:r>
      <w:proofErr w:type="gramEnd"/>
      <w:r>
        <w:t xml:space="preserve"> </w:t>
      </w:r>
      <w:r w:rsidR="00F36FD8">
        <w:t>pharmaceutical supplies</w:t>
      </w:r>
      <w:r>
        <w:t xml:space="preserve"> used or consumed during assessment or treatment</w:t>
      </w:r>
      <w:r w:rsidR="001F35D6">
        <w:rPr>
          <w:rStyle w:val="FootnoteReference"/>
        </w:rPr>
        <w:footnoteReference w:id="8"/>
      </w:r>
      <w:r>
        <w:t>.</w:t>
      </w:r>
    </w:p>
    <w:p w:rsidR="0095760D" w:rsidRDefault="008538F1" w:rsidP="00F4333E">
      <w:pPr>
        <w:jc w:val="left"/>
        <w:rPr>
          <w:rFonts w:cs="Arial"/>
        </w:rPr>
      </w:pPr>
      <w:r w:rsidRPr="00CA4B06">
        <w:rPr>
          <w:rFonts w:cs="Arial"/>
        </w:rPr>
        <w:t xml:space="preserve">Refer to The </w:t>
      </w:r>
      <w:r w:rsidR="002B32BA" w:rsidRPr="00CA4B06">
        <w:rPr>
          <w:rFonts w:cs="Arial"/>
        </w:rPr>
        <w:t>Resource and Capability</w:t>
      </w:r>
      <w:r w:rsidRPr="00CA4B06">
        <w:rPr>
          <w:rFonts w:cs="Arial"/>
        </w:rPr>
        <w:t xml:space="preserve"> Framework for the indicative staffing profile for Specialist Palliativ</w:t>
      </w:r>
      <w:r w:rsidR="00DF1A9D">
        <w:rPr>
          <w:rFonts w:cs="Arial"/>
        </w:rPr>
        <w:t>e Care.</w:t>
      </w:r>
    </w:p>
    <w:bookmarkEnd w:id="21"/>
    <w:p w:rsidR="009D539D" w:rsidRDefault="00AC6FAA" w:rsidP="00262268">
      <w:pPr>
        <w:pStyle w:val="Heading1"/>
      </w:pPr>
      <w:r>
        <w:t>7</w:t>
      </w:r>
      <w:r w:rsidR="009D539D" w:rsidRPr="006102D6">
        <w:t>.</w:t>
      </w:r>
      <w:r w:rsidR="009D539D" w:rsidRPr="006102D6">
        <w:tab/>
      </w:r>
      <w:bookmarkStart w:id="22" w:name="_Toc215319155"/>
      <w:r w:rsidR="009D539D" w:rsidRPr="006102D6">
        <w:t>Service Linkages</w:t>
      </w:r>
      <w:bookmarkEnd w:id="22"/>
    </w:p>
    <w:p w:rsidR="00D429FF" w:rsidRDefault="00766EA5" w:rsidP="00D429FF">
      <w:pPr>
        <w:pStyle w:val="BodyText3"/>
        <w:spacing w:after="120"/>
        <w:jc w:val="left"/>
        <w:rPr>
          <w:rFonts w:ascii="Arial" w:hAnsi="Arial" w:cs="Arial"/>
          <w:sz w:val="24"/>
          <w:szCs w:val="24"/>
        </w:rPr>
      </w:pPr>
      <w:bookmarkStart w:id="23" w:name="_Toc215319164"/>
      <w:r w:rsidRPr="00766EA5">
        <w:rPr>
          <w:rFonts w:ascii="Arial" w:hAnsi="Arial" w:cs="Arial"/>
          <w:sz w:val="24"/>
          <w:szCs w:val="24"/>
        </w:rPr>
        <w:t xml:space="preserve">The </w:t>
      </w:r>
      <w:r>
        <w:rPr>
          <w:rFonts w:ascii="Arial" w:hAnsi="Arial" w:cs="Arial"/>
          <w:sz w:val="24"/>
          <w:szCs w:val="24"/>
        </w:rPr>
        <w:t xml:space="preserve">Service </w:t>
      </w:r>
      <w:r w:rsidRPr="00766EA5">
        <w:rPr>
          <w:rFonts w:ascii="Arial" w:hAnsi="Arial" w:cs="Arial"/>
          <w:sz w:val="24"/>
          <w:szCs w:val="24"/>
        </w:rPr>
        <w:t>will</w:t>
      </w:r>
      <w:r>
        <w:rPr>
          <w:rFonts w:ascii="Arial" w:hAnsi="Arial" w:cs="Arial"/>
          <w:sz w:val="24"/>
          <w:szCs w:val="24"/>
        </w:rPr>
        <w:t xml:space="preserve"> collaborate with primary palliative care providers</w:t>
      </w:r>
      <w:r w:rsidRPr="00766EA5">
        <w:rPr>
          <w:rFonts w:ascii="Arial" w:hAnsi="Arial" w:cs="Arial"/>
          <w:sz w:val="24"/>
          <w:szCs w:val="24"/>
        </w:rPr>
        <w:t xml:space="preserve"> </w:t>
      </w:r>
      <w:r>
        <w:rPr>
          <w:rFonts w:ascii="Arial" w:hAnsi="Arial" w:cs="Arial"/>
          <w:sz w:val="24"/>
          <w:szCs w:val="24"/>
        </w:rPr>
        <w:t>t</w:t>
      </w:r>
      <w:r w:rsidRPr="00766EA5">
        <w:rPr>
          <w:rFonts w:ascii="Arial" w:hAnsi="Arial" w:cs="Arial"/>
          <w:sz w:val="24"/>
          <w:szCs w:val="24"/>
        </w:rPr>
        <w:t xml:space="preserve">o facilitate open communication, continuity of care, </w:t>
      </w:r>
      <w:r w:rsidR="00A24346">
        <w:rPr>
          <w:rFonts w:ascii="Arial" w:hAnsi="Arial" w:cs="Arial"/>
          <w:sz w:val="24"/>
          <w:szCs w:val="24"/>
        </w:rPr>
        <w:t>timely</w:t>
      </w:r>
      <w:r w:rsidR="00A24346" w:rsidRPr="00766EA5">
        <w:rPr>
          <w:rFonts w:ascii="Arial" w:hAnsi="Arial" w:cs="Arial"/>
          <w:sz w:val="24"/>
          <w:szCs w:val="24"/>
        </w:rPr>
        <w:t xml:space="preserve"> </w:t>
      </w:r>
      <w:r w:rsidR="00973BE9">
        <w:rPr>
          <w:rFonts w:ascii="Arial" w:hAnsi="Arial" w:cs="Arial"/>
          <w:sz w:val="24"/>
          <w:szCs w:val="24"/>
        </w:rPr>
        <w:t>referral, assessment</w:t>
      </w:r>
      <w:r w:rsidRPr="00766EA5">
        <w:rPr>
          <w:rFonts w:ascii="Arial" w:hAnsi="Arial" w:cs="Arial"/>
          <w:sz w:val="24"/>
          <w:szCs w:val="24"/>
        </w:rPr>
        <w:t xml:space="preserve"> </w:t>
      </w:r>
      <w:r w:rsidR="00973BE9" w:rsidRPr="00766EA5">
        <w:rPr>
          <w:rFonts w:ascii="Arial" w:hAnsi="Arial" w:cs="Arial"/>
          <w:sz w:val="24"/>
          <w:szCs w:val="24"/>
        </w:rPr>
        <w:t>and treatment</w:t>
      </w:r>
      <w:r w:rsidRPr="00766EA5">
        <w:rPr>
          <w:rFonts w:ascii="Arial" w:hAnsi="Arial" w:cs="Arial"/>
          <w:sz w:val="24"/>
          <w:szCs w:val="24"/>
        </w:rPr>
        <w:t>, follow-up and discharge processes</w:t>
      </w:r>
      <w:r>
        <w:rPr>
          <w:rFonts w:ascii="Arial" w:hAnsi="Arial" w:cs="Arial"/>
          <w:sz w:val="24"/>
          <w:szCs w:val="24"/>
        </w:rPr>
        <w:t>.</w:t>
      </w:r>
      <w:r w:rsidR="006C38D6">
        <w:rPr>
          <w:rStyle w:val="FootnoteReference"/>
          <w:rFonts w:ascii="Arial" w:hAnsi="Arial" w:cs="Arial"/>
          <w:sz w:val="24"/>
          <w:szCs w:val="24"/>
        </w:rPr>
        <w:footnoteReference w:id="9"/>
      </w:r>
    </w:p>
    <w:p w:rsidR="002217BD" w:rsidRDefault="002217BD" w:rsidP="00D429FF">
      <w:pPr>
        <w:pStyle w:val="BodyText3"/>
        <w:spacing w:after="120"/>
        <w:jc w:val="left"/>
        <w:rPr>
          <w:rFonts w:ascii="Arial" w:hAnsi="Arial" w:cs="Arial"/>
          <w:sz w:val="24"/>
          <w:szCs w:val="24"/>
        </w:rPr>
      </w:pPr>
      <w:r>
        <w:rPr>
          <w:rFonts w:ascii="Arial" w:hAnsi="Arial" w:cs="Arial"/>
          <w:sz w:val="24"/>
          <w:szCs w:val="24"/>
        </w:rPr>
        <w:t xml:space="preserve">The Service will have links with regional clinical </w:t>
      </w:r>
      <w:r w:rsidR="00555FD4">
        <w:rPr>
          <w:rFonts w:ascii="Arial" w:hAnsi="Arial" w:cs="Arial"/>
          <w:sz w:val="24"/>
          <w:szCs w:val="24"/>
        </w:rPr>
        <w:t xml:space="preserve">and/or service </w:t>
      </w:r>
      <w:r>
        <w:rPr>
          <w:rFonts w:ascii="Arial" w:hAnsi="Arial" w:cs="Arial"/>
          <w:sz w:val="24"/>
          <w:szCs w:val="24"/>
        </w:rPr>
        <w:t>networks, other hospital specialties</w:t>
      </w:r>
      <w:r w:rsidR="002612AA">
        <w:rPr>
          <w:rFonts w:ascii="Arial" w:hAnsi="Arial" w:cs="Arial"/>
          <w:sz w:val="24"/>
          <w:szCs w:val="24"/>
        </w:rPr>
        <w:t xml:space="preserve"> (for example</w:t>
      </w:r>
      <w:r w:rsidR="00CA4B06">
        <w:rPr>
          <w:rFonts w:ascii="Arial" w:hAnsi="Arial" w:cs="Arial"/>
          <w:sz w:val="24"/>
          <w:szCs w:val="24"/>
        </w:rPr>
        <w:t>,</w:t>
      </w:r>
      <w:r w:rsidR="00740E06">
        <w:rPr>
          <w:rFonts w:ascii="Arial" w:hAnsi="Arial" w:cs="Arial"/>
          <w:sz w:val="24"/>
          <w:szCs w:val="24"/>
        </w:rPr>
        <w:t xml:space="preserve"> oncology services</w:t>
      </w:r>
      <w:r w:rsidR="002A3C04">
        <w:rPr>
          <w:rFonts w:ascii="Arial" w:hAnsi="Arial" w:cs="Arial"/>
          <w:sz w:val="24"/>
          <w:szCs w:val="24"/>
        </w:rPr>
        <w:t>, pain management interdisciplinary team</w:t>
      </w:r>
      <w:r w:rsidR="00740E06">
        <w:rPr>
          <w:rFonts w:ascii="Arial" w:hAnsi="Arial" w:cs="Arial"/>
          <w:sz w:val="24"/>
          <w:szCs w:val="24"/>
        </w:rPr>
        <w:t>)</w:t>
      </w:r>
      <w:r>
        <w:rPr>
          <w:rFonts w:ascii="Arial" w:hAnsi="Arial" w:cs="Arial"/>
          <w:sz w:val="24"/>
          <w:szCs w:val="24"/>
        </w:rPr>
        <w:t xml:space="preserve"> and </w:t>
      </w:r>
      <w:r>
        <w:rPr>
          <w:rFonts w:ascii="Arial" w:hAnsi="Arial" w:cs="Arial"/>
          <w:sz w:val="24"/>
          <w:szCs w:val="24"/>
        </w:rPr>
        <w:lastRenderedPageBreak/>
        <w:t>other specialist palliative care providers</w:t>
      </w:r>
      <w:r w:rsidR="00734865">
        <w:rPr>
          <w:rFonts w:ascii="Arial" w:hAnsi="Arial" w:cs="Arial"/>
          <w:sz w:val="24"/>
          <w:szCs w:val="24"/>
        </w:rPr>
        <w:t xml:space="preserve"> and regional/national palliative care bodies/organisations</w:t>
      </w:r>
      <w:r>
        <w:rPr>
          <w:rFonts w:ascii="Arial" w:hAnsi="Arial" w:cs="Arial"/>
          <w:sz w:val="24"/>
          <w:szCs w:val="24"/>
        </w:rPr>
        <w:t>.</w:t>
      </w:r>
    </w:p>
    <w:p w:rsidR="00D429FF" w:rsidRDefault="00D429FF" w:rsidP="002612AA">
      <w:pPr>
        <w:rPr>
          <w:rFonts w:cs="Arial"/>
        </w:rPr>
      </w:pPr>
      <w:r>
        <w:rPr>
          <w:rFonts w:cs="Arial"/>
        </w:rPr>
        <w:t xml:space="preserve">Where appropriate, the </w:t>
      </w:r>
      <w:r w:rsidR="007838CD">
        <w:rPr>
          <w:rFonts w:cs="Arial"/>
        </w:rPr>
        <w:t xml:space="preserve">Service </w:t>
      </w:r>
      <w:r>
        <w:rPr>
          <w:rFonts w:cs="Arial"/>
        </w:rPr>
        <w:t xml:space="preserve">Provider will ensure the Service User has access to </w:t>
      </w:r>
      <w:proofErr w:type="spellStart"/>
      <w:r w:rsidRPr="00766EA5">
        <w:rPr>
          <w:rFonts w:cs="Arial"/>
        </w:rPr>
        <w:t>whānau</w:t>
      </w:r>
      <w:proofErr w:type="spellEnd"/>
      <w:r w:rsidRPr="00766EA5">
        <w:rPr>
          <w:rFonts w:cs="Arial"/>
        </w:rPr>
        <w:t xml:space="preserve"> and Pacific advocacy and support services</w:t>
      </w:r>
      <w:r w:rsidR="009463EE">
        <w:rPr>
          <w:rFonts w:cs="Arial"/>
        </w:rPr>
        <w:t>, and home based support and respite care</w:t>
      </w:r>
      <w:r>
        <w:rPr>
          <w:rFonts w:cs="Arial"/>
        </w:rPr>
        <w:t xml:space="preserve"> </w:t>
      </w:r>
      <w:r w:rsidR="009463EE">
        <w:rPr>
          <w:rFonts w:cs="Arial"/>
        </w:rPr>
        <w:t xml:space="preserve">services </w:t>
      </w:r>
      <w:r>
        <w:rPr>
          <w:rFonts w:cs="Arial"/>
        </w:rPr>
        <w:t>as required.</w:t>
      </w:r>
    </w:p>
    <w:p w:rsidR="009D539D" w:rsidRPr="006102D6" w:rsidRDefault="00AC6FAA" w:rsidP="00262268">
      <w:pPr>
        <w:pStyle w:val="Heading1"/>
      </w:pPr>
      <w:r>
        <w:t>8</w:t>
      </w:r>
      <w:r w:rsidR="009D539D" w:rsidRPr="006102D6">
        <w:t>.</w:t>
      </w:r>
      <w:r w:rsidR="009D539D" w:rsidRPr="006102D6">
        <w:tab/>
        <w:t>Quality Requirements</w:t>
      </w:r>
      <w:bookmarkEnd w:id="23"/>
    </w:p>
    <w:p w:rsidR="00D620B6" w:rsidRPr="006102D6" w:rsidRDefault="00AC6FAA" w:rsidP="00262268">
      <w:pPr>
        <w:pStyle w:val="Heading2"/>
      </w:pPr>
      <w:bookmarkStart w:id="24" w:name="_Toc215319165"/>
      <w:r>
        <w:t>8</w:t>
      </w:r>
      <w:r w:rsidR="00D620B6" w:rsidRPr="006102D6">
        <w:t>.1</w:t>
      </w:r>
      <w:r w:rsidR="00D620B6" w:rsidRPr="006102D6">
        <w:tab/>
        <w:t>General</w:t>
      </w:r>
    </w:p>
    <w:p w:rsidR="00331A4C" w:rsidRDefault="00331A4C" w:rsidP="002612AA">
      <w:pPr>
        <w:tabs>
          <w:tab w:val="left" w:pos="0"/>
        </w:tabs>
        <w:spacing w:after="120"/>
        <w:jc w:val="left"/>
        <w:rPr>
          <w:rFonts w:cs="Arial"/>
        </w:rPr>
      </w:pPr>
      <w:r w:rsidRPr="00331A4C">
        <w:rPr>
          <w:rFonts w:cs="Arial"/>
        </w:rPr>
        <w:t xml:space="preserve">The </w:t>
      </w:r>
      <w:r w:rsidR="007838CD">
        <w:rPr>
          <w:rFonts w:cs="Arial"/>
        </w:rPr>
        <w:t xml:space="preserve">Service </w:t>
      </w:r>
      <w:r w:rsidRPr="00331A4C">
        <w:rPr>
          <w:rFonts w:cs="Arial"/>
        </w:rPr>
        <w:t>Provider must comply with the Provider Quality Standards described in t</w:t>
      </w:r>
      <w:r>
        <w:rPr>
          <w:rFonts w:cs="Arial"/>
        </w:rPr>
        <w:t>he Operational Policy Framework</w:t>
      </w:r>
      <w:r w:rsidRPr="00331A4C">
        <w:rPr>
          <w:rFonts w:cs="Arial"/>
        </w:rPr>
        <w:t>.</w:t>
      </w:r>
      <w:r>
        <w:rPr>
          <w:rStyle w:val="FootnoteReference"/>
          <w:rFonts w:cs="Arial"/>
        </w:rPr>
        <w:footnoteReference w:id="10"/>
      </w:r>
    </w:p>
    <w:p w:rsidR="00766EA5" w:rsidRPr="00766EA5" w:rsidRDefault="00FE0698" w:rsidP="007C3328">
      <w:pPr>
        <w:spacing w:before="0"/>
        <w:jc w:val="left"/>
        <w:rPr>
          <w:rFonts w:cs="Arial"/>
        </w:rPr>
      </w:pPr>
      <w:r w:rsidRPr="001B3FAC">
        <w:rPr>
          <w:rFonts w:cs="Arial"/>
        </w:rPr>
        <w:t>In addition, t</w:t>
      </w:r>
      <w:r w:rsidR="00766EA5" w:rsidRPr="001B3FAC">
        <w:rPr>
          <w:rFonts w:cs="Arial"/>
        </w:rPr>
        <w:t xml:space="preserve">he </w:t>
      </w:r>
      <w:r w:rsidR="00331A4C" w:rsidRPr="001B3FAC">
        <w:rPr>
          <w:rFonts w:cs="Arial"/>
        </w:rPr>
        <w:t>Provider</w:t>
      </w:r>
      <w:r w:rsidR="00331A4C">
        <w:rPr>
          <w:rFonts w:cs="Arial"/>
        </w:rPr>
        <w:t xml:space="preserve"> </w:t>
      </w:r>
      <w:r w:rsidR="00766EA5" w:rsidRPr="00766EA5">
        <w:rPr>
          <w:rFonts w:cs="Arial"/>
        </w:rPr>
        <w:t>will:</w:t>
      </w:r>
    </w:p>
    <w:p w:rsidR="00766EA5" w:rsidRPr="00766EA5" w:rsidRDefault="00766EA5" w:rsidP="004738E8">
      <w:pPr>
        <w:pStyle w:val="BulletPoints"/>
        <w:numPr>
          <w:ilvl w:val="0"/>
          <w:numId w:val="8"/>
        </w:numPr>
        <w:tabs>
          <w:tab w:val="left" w:pos="0"/>
        </w:tabs>
        <w:ind w:left="567" w:hanging="567"/>
        <w:jc w:val="left"/>
        <w:rPr>
          <w:rFonts w:ascii="Arial" w:hAnsi="Arial" w:cs="Arial"/>
          <w:szCs w:val="24"/>
          <w:lang w:val="en-NZ"/>
        </w:rPr>
      </w:pPr>
      <w:r w:rsidRPr="00766EA5">
        <w:rPr>
          <w:rFonts w:ascii="Arial" w:hAnsi="Arial" w:cs="Arial"/>
          <w:szCs w:val="24"/>
          <w:lang w:val="en-NZ"/>
        </w:rPr>
        <w:t>participate in an evidence based quality improvement programme that is able to measure and report the service performance and progress</w:t>
      </w:r>
      <w:r w:rsidR="00440FB1">
        <w:rPr>
          <w:rFonts w:ascii="Arial" w:hAnsi="Arial" w:cs="Arial"/>
          <w:szCs w:val="24"/>
          <w:lang w:val="en-NZ"/>
        </w:rPr>
        <w:t xml:space="preserve"> against quality initiatives</w:t>
      </w:r>
    </w:p>
    <w:p w:rsidR="00AD13FC" w:rsidRDefault="00740E06" w:rsidP="0023303A">
      <w:pPr>
        <w:pStyle w:val="BulletPoints"/>
        <w:numPr>
          <w:ilvl w:val="0"/>
          <w:numId w:val="8"/>
        </w:numPr>
        <w:tabs>
          <w:tab w:val="left" w:pos="0"/>
        </w:tabs>
        <w:spacing w:before="0"/>
        <w:ind w:left="567" w:hanging="567"/>
        <w:jc w:val="left"/>
        <w:rPr>
          <w:rFonts w:ascii="Arial" w:hAnsi="Arial" w:cs="Arial"/>
          <w:szCs w:val="24"/>
          <w:lang w:val="en-NZ"/>
        </w:rPr>
      </w:pPr>
      <w:r w:rsidRPr="00766EA5">
        <w:rPr>
          <w:rFonts w:ascii="Arial" w:hAnsi="Arial" w:cs="Arial"/>
        </w:rPr>
        <w:t xml:space="preserve">have a process for complaints and resolution of disputes </w:t>
      </w:r>
      <w:r w:rsidR="0001577B">
        <w:rPr>
          <w:rFonts w:ascii="Arial" w:hAnsi="Arial" w:cs="Arial"/>
        </w:rPr>
        <w:t xml:space="preserve">that complies with the </w:t>
      </w:r>
      <w:r w:rsidR="0001577B" w:rsidRPr="0001577B">
        <w:rPr>
          <w:rFonts w:ascii="Arial" w:hAnsi="Arial" w:cs="Arial"/>
          <w:i/>
        </w:rPr>
        <w:t>Code of Health and Disability Services Consumers’ Rights</w:t>
      </w:r>
    </w:p>
    <w:p w:rsidR="00766EA5" w:rsidRPr="00AD13FC" w:rsidRDefault="00AD13FC" w:rsidP="0023303A">
      <w:pPr>
        <w:numPr>
          <w:ilvl w:val="0"/>
          <w:numId w:val="8"/>
        </w:numPr>
        <w:tabs>
          <w:tab w:val="left" w:pos="0"/>
        </w:tabs>
        <w:spacing w:before="0"/>
        <w:ind w:left="567" w:hanging="567"/>
        <w:jc w:val="left"/>
        <w:rPr>
          <w:rFonts w:cs="Arial"/>
        </w:rPr>
      </w:pPr>
      <w:r w:rsidRPr="00AD13FC">
        <w:rPr>
          <w:rFonts w:cs="Arial"/>
        </w:rPr>
        <w:t>r</w:t>
      </w:r>
      <w:r w:rsidR="00766EA5" w:rsidRPr="00AD13FC">
        <w:rPr>
          <w:rFonts w:cs="Arial"/>
        </w:rPr>
        <w:t>eport as required on the development and implementation of the quality improvement plan and compliance with standards</w:t>
      </w:r>
      <w:r w:rsidRPr="00AD13FC">
        <w:rPr>
          <w:rFonts w:cs="Arial"/>
        </w:rPr>
        <w:t xml:space="preserve"> (including palliative care standards as they are developed and agreed on nationally)</w:t>
      </w:r>
    </w:p>
    <w:p w:rsidR="00766EA5" w:rsidRPr="00766EA5" w:rsidRDefault="00766EA5" w:rsidP="0023303A">
      <w:pPr>
        <w:pStyle w:val="BulletPoints"/>
        <w:numPr>
          <w:ilvl w:val="0"/>
          <w:numId w:val="8"/>
        </w:numPr>
        <w:tabs>
          <w:tab w:val="left" w:pos="0"/>
        </w:tabs>
        <w:spacing w:before="0"/>
        <w:ind w:left="567" w:hanging="567"/>
        <w:jc w:val="left"/>
        <w:rPr>
          <w:rFonts w:ascii="Arial" w:hAnsi="Arial" w:cs="Arial"/>
          <w:szCs w:val="24"/>
          <w:lang w:val="en-NZ"/>
        </w:rPr>
      </w:pPr>
      <w:r w:rsidRPr="00766EA5">
        <w:rPr>
          <w:rFonts w:ascii="Arial" w:hAnsi="Arial" w:cs="Arial"/>
          <w:szCs w:val="24"/>
          <w:lang w:val="en-NZ"/>
        </w:rPr>
        <w:t>undertake regular evidence based outcome monitoring, process review, clinical and process audits and peer review relevant to the Service</w:t>
      </w:r>
    </w:p>
    <w:p w:rsidR="00766EA5" w:rsidRDefault="00766EA5" w:rsidP="0023303A">
      <w:pPr>
        <w:pStyle w:val="BulletPoints"/>
        <w:numPr>
          <w:ilvl w:val="0"/>
          <w:numId w:val="8"/>
        </w:numPr>
        <w:tabs>
          <w:tab w:val="left" w:pos="0"/>
        </w:tabs>
        <w:spacing w:before="0"/>
        <w:ind w:left="567" w:hanging="567"/>
        <w:jc w:val="left"/>
        <w:rPr>
          <w:rFonts w:ascii="Arial" w:hAnsi="Arial" w:cs="Arial"/>
          <w:szCs w:val="24"/>
          <w:lang w:val="en-NZ"/>
        </w:rPr>
      </w:pPr>
      <w:proofErr w:type="gramStart"/>
      <w:r w:rsidRPr="00766EA5">
        <w:rPr>
          <w:rFonts w:ascii="Arial" w:hAnsi="Arial" w:cs="Arial"/>
          <w:szCs w:val="24"/>
          <w:lang w:val="en-NZ"/>
        </w:rPr>
        <w:t>meet</w:t>
      </w:r>
      <w:proofErr w:type="gramEnd"/>
      <w:r w:rsidRPr="00766EA5">
        <w:rPr>
          <w:rFonts w:ascii="Arial" w:hAnsi="Arial" w:cs="Arial"/>
          <w:szCs w:val="24"/>
          <w:lang w:val="en-NZ"/>
        </w:rPr>
        <w:t xml:space="preserve"> professional standards of practice required by regulatory authorities as per the Health Practitioner Competence Assurance Act (2003) and the Health Social Workers Registration Act (2003), and relevant professional authorities for self-regulated professions.</w:t>
      </w:r>
    </w:p>
    <w:bookmarkEnd w:id="24"/>
    <w:p w:rsidR="00766EA5" w:rsidRPr="006102D6" w:rsidRDefault="00AC6FAA" w:rsidP="00972FFB">
      <w:pPr>
        <w:pStyle w:val="Heading2"/>
      </w:pPr>
      <w:r>
        <w:t>8</w:t>
      </w:r>
      <w:r w:rsidR="00766EA5">
        <w:t>.2</w:t>
      </w:r>
      <w:r w:rsidR="00766EA5" w:rsidRPr="006102D6">
        <w:tab/>
      </w:r>
      <w:r w:rsidR="00766EA5">
        <w:t>Acceptability</w:t>
      </w:r>
    </w:p>
    <w:p w:rsidR="00766EA5" w:rsidRPr="00766EA5" w:rsidRDefault="00766EA5" w:rsidP="0023303A">
      <w:pPr>
        <w:jc w:val="left"/>
        <w:rPr>
          <w:rFonts w:cs="Arial"/>
        </w:rPr>
      </w:pPr>
      <w:r w:rsidRPr="00766EA5">
        <w:rPr>
          <w:rFonts w:cs="Arial"/>
        </w:rPr>
        <w:t>The Service will be acceptable to Service Users</w:t>
      </w:r>
      <w:r w:rsidR="0009784C">
        <w:rPr>
          <w:rFonts w:cs="Arial"/>
        </w:rPr>
        <w:t xml:space="preserve"> </w:t>
      </w:r>
      <w:r w:rsidR="0009784C">
        <w:rPr>
          <w:rFonts w:cs="Arial"/>
          <w:bCs/>
          <w:color w:val="000000"/>
        </w:rPr>
        <w:t>and their families</w:t>
      </w:r>
      <w:r w:rsidR="0009784C" w:rsidRPr="002E3D36">
        <w:rPr>
          <w:rFonts w:cs="Arial"/>
          <w:bCs/>
          <w:color w:val="000000"/>
        </w:rPr>
        <w:t xml:space="preserve"> and </w:t>
      </w:r>
      <w:proofErr w:type="spellStart"/>
      <w:r w:rsidR="0009784C" w:rsidRPr="002E3D36">
        <w:rPr>
          <w:rFonts w:cs="Arial"/>
          <w:bCs/>
          <w:color w:val="000000"/>
        </w:rPr>
        <w:t>wh</w:t>
      </w:r>
      <w:r w:rsidR="0009784C" w:rsidRPr="002E3D36">
        <w:rPr>
          <w:rFonts w:cs="Arial" w:hint="eastAsia"/>
          <w:bCs/>
          <w:color w:val="000000"/>
        </w:rPr>
        <w:t>ā</w:t>
      </w:r>
      <w:r w:rsidR="0009784C" w:rsidRPr="002E3D36">
        <w:rPr>
          <w:rFonts w:cs="Arial"/>
          <w:bCs/>
          <w:color w:val="000000"/>
        </w:rPr>
        <w:t>nau</w:t>
      </w:r>
      <w:proofErr w:type="spellEnd"/>
      <w:r w:rsidRPr="00766EA5">
        <w:rPr>
          <w:rFonts w:cs="Arial"/>
        </w:rPr>
        <w:t xml:space="preserve">.  This will be supported by Service User participation in on-going evaluation of the Service and by feedback contained in annual Service User surveys that will assess their </w:t>
      </w:r>
      <w:r w:rsidR="0052555C">
        <w:rPr>
          <w:rFonts w:cs="Arial"/>
        </w:rPr>
        <w:t>experience</w:t>
      </w:r>
      <w:r w:rsidRPr="00766EA5">
        <w:rPr>
          <w:rFonts w:cs="Arial"/>
        </w:rPr>
        <w:t xml:space="preserve"> with:</w:t>
      </w:r>
    </w:p>
    <w:p w:rsidR="00766EA5" w:rsidRPr="00766EA5" w:rsidRDefault="00766EA5" w:rsidP="004738E8">
      <w:pPr>
        <w:pStyle w:val="List"/>
        <w:numPr>
          <w:ilvl w:val="0"/>
          <w:numId w:val="10"/>
        </w:numPr>
        <w:spacing w:before="120" w:after="0"/>
        <w:ind w:left="567" w:hanging="567"/>
        <w:rPr>
          <w:rFonts w:cs="Arial"/>
          <w:sz w:val="24"/>
          <w:szCs w:val="24"/>
          <w:lang w:val="en-NZ" w:eastAsia="en-US"/>
        </w:rPr>
      </w:pPr>
      <w:r w:rsidRPr="00766EA5">
        <w:rPr>
          <w:rFonts w:cs="Arial"/>
          <w:sz w:val="24"/>
          <w:szCs w:val="24"/>
          <w:lang w:val="en-NZ" w:eastAsia="en-US"/>
        </w:rPr>
        <w:t>the quality and outcome of services they received</w:t>
      </w:r>
      <w:r w:rsidR="007D4EB4">
        <w:rPr>
          <w:rFonts w:cs="Arial"/>
          <w:sz w:val="24"/>
          <w:szCs w:val="24"/>
          <w:lang w:val="en-NZ" w:eastAsia="en-US"/>
        </w:rPr>
        <w:t>:</w:t>
      </w:r>
    </w:p>
    <w:p w:rsidR="00766EA5" w:rsidRPr="00766EA5" w:rsidRDefault="00766EA5" w:rsidP="00A23B15">
      <w:pPr>
        <w:pStyle w:val="List"/>
        <w:numPr>
          <w:ilvl w:val="0"/>
          <w:numId w:val="10"/>
        </w:numPr>
        <w:spacing w:before="0" w:after="0"/>
        <w:ind w:left="567" w:hanging="567"/>
        <w:rPr>
          <w:rFonts w:cs="Arial"/>
          <w:sz w:val="24"/>
          <w:szCs w:val="24"/>
          <w:lang w:val="en-NZ" w:eastAsia="en-US"/>
        </w:rPr>
      </w:pPr>
      <w:r w:rsidRPr="00766EA5">
        <w:rPr>
          <w:rFonts w:cs="Arial"/>
          <w:sz w:val="24"/>
          <w:szCs w:val="24"/>
          <w:lang w:val="en-NZ" w:eastAsia="en-US"/>
        </w:rPr>
        <w:t>the level of information they are given on their treatment programme or support service</w:t>
      </w:r>
    </w:p>
    <w:p w:rsidR="0009784C" w:rsidRDefault="00766EA5" w:rsidP="00A23B15">
      <w:pPr>
        <w:pStyle w:val="List"/>
        <w:numPr>
          <w:ilvl w:val="0"/>
          <w:numId w:val="10"/>
        </w:numPr>
        <w:spacing w:before="0" w:after="0"/>
        <w:ind w:left="567" w:hanging="567"/>
        <w:rPr>
          <w:rFonts w:cs="Arial"/>
          <w:sz w:val="24"/>
          <w:szCs w:val="24"/>
          <w:lang w:val="en-NZ" w:eastAsia="en-US"/>
        </w:rPr>
      </w:pPr>
      <w:r w:rsidRPr="00766EA5">
        <w:rPr>
          <w:rFonts w:cs="Arial"/>
          <w:sz w:val="24"/>
          <w:szCs w:val="24"/>
          <w:lang w:val="en-NZ" w:eastAsia="en-US"/>
        </w:rPr>
        <w:t xml:space="preserve">their level of involvement in the planning and delivery of their care, including their transition into and discharge from the </w:t>
      </w:r>
      <w:r w:rsidR="0009784C">
        <w:rPr>
          <w:rFonts w:cs="Arial"/>
          <w:sz w:val="24"/>
          <w:szCs w:val="24"/>
          <w:lang w:val="en-NZ" w:eastAsia="en-US"/>
        </w:rPr>
        <w:t>S</w:t>
      </w:r>
      <w:r w:rsidR="00973BE9">
        <w:rPr>
          <w:rFonts w:cs="Arial"/>
          <w:sz w:val="24"/>
          <w:szCs w:val="24"/>
          <w:lang w:val="en-NZ" w:eastAsia="en-US"/>
        </w:rPr>
        <w:t>ervice</w:t>
      </w:r>
    </w:p>
    <w:p w:rsidR="0052555C" w:rsidRDefault="00766EA5" w:rsidP="0052555C">
      <w:pPr>
        <w:pStyle w:val="List"/>
        <w:numPr>
          <w:ilvl w:val="0"/>
          <w:numId w:val="10"/>
        </w:numPr>
        <w:spacing w:before="0" w:after="0"/>
        <w:ind w:left="567" w:hanging="567"/>
        <w:rPr>
          <w:rFonts w:cs="Arial"/>
          <w:sz w:val="24"/>
          <w:szCs w:val="24"/>
          <w:lang w:val="en-NZ" w:eastAsia="en-US"/>
        </w:rPr>
      </w:pPr>
      <w:proofErr w:type="gramStart"/>
      <w:r w:rsidRPr="0009784C">
        <w:rPr>
          <w:rFonts w:cs="Arial"/>
          <w:sz w:val="24"/>
          <w:szCs w:val="24"/>
          <w:lang w:val="en-NZ" w:eastAsia="en-US"/>
        </w:rPr>
        <w:t>how</w:t>
      </w:r>
      <w:proofErr w:type="gramEnd"/>
      <w:r w:rsidRPr="0009784C">
        <w:rPr>
          <w:rFonts w:cs="Arial"/>
          <w:sz w:val="24"/>
          <w:szCs w:val="24"/>
          <w:lang w:val="en-NZ" w:eastAsia="en-US"/>
        </w:rPr>
        <w:t xml:space="preserve"> well their cultural and linguistic</w:t>
      </w:r>
      <w:r w:rsidR="00973BE9">
        <w:rPr>
          <w:rFonts w:cs="Arial"/>
          <w:sz w:val="24"/>
          <w:szCs w:val="24"/>
          <w:lang w:val="en-NZ" w:eastAsia="en-US"/>
        </w:rPr>
        <w:t xml:space="preserve"> needs were recognised and met.</w:t>
      </w:r>
    </w:p>
    <w:p w:rsidR="0052555C" w:rsidRPr="0052555C" w:rsidRDefault="007838CD" w:rsidP="0052555C">
      <w:pPr>
        <w:pStyle w:val="List"/>
        <w:numPr>
          <w:ilvl w:val="0"/>
          <w:numId w:val="0"/>
        </w:numPr>
        <w:spacing w:before="120" w:after="0"/>
        <w:rPr>
          <w:rFonts w:cs="Arial"/>
          <w:sz w:val="24"/>
          <w:szCs w:val="24"/>
          <w:lang w:val="en-NZ" w:eastAsia="en-US"/>
        </w:rPr>
      </w:pPr>
      <w:r>
        <w:rPr>
          <w:rFonts w:cs="Arial"/>
          <w:sz w:val="24"/>
          <w:szCs w:val="24"/>
          <w:lang w:val="en-NZ" w:eastAsia="en-US"/>
        </w:rPr>
        <w:t>The Service P</w:t>
      </w:r>
      <w:r w:rsidR="0052555C" w:rsidRPr="0052555C">
        <w:rPr>
          <w:rFonts w:cs="Arial"/>
          <w:sz w:val="24"/>
          <w:szCs w:val="24"/>
          <w:lang w:val="en-NZ" w:eastAsia="en-US"/>
        </w:rPr>
        <w:t>rovider should link with national</w:t>
      </w:r>
      <w:r w:rsidR="0052555C">
        <w:rPr>
          <w:rFonts w:cs="Arial"/>
          <w:sz w:val="24"/>
          <w:szCs w:val="24"/>
          <w:lang w:val="en-NZ" w:eastAsia="en-US"/>
        </w:rPr>
        <w:t xml:space="preserve">ly coordinated patient experience surveys where possible. </w:t>
      </w:r>
    </w:p>
    <w:p w:rsidR="00D620B6" w:rsidRPr="006102D6" w:rsidRDefault="00331A4C" w:rsidP="00262268">
      <w:pPr>
        <w:pStyle w:val="Heading2"/>
      </w:pPr>
      <w:r>
        <w:t>8</w:t>
      </w:r>
      <w:r w:rsidR="00766EA5">
        <w:t>.3</w:t>
      </w:r>
      <w:r w:rsidR="00D620B6" w:rsidRPr="006102D6">
        <w:tab/>
        <w:t>Safety and Efficiency</w:t>
      </w:r>
    </w:p>
    <w:p w:rsidR="00766EA5" w:rsidRDefault="00766EA5" w:rsidP="002612AA">
      <w:pPr>
        <w:spacing w:after="120"/>
        <w:jc w:val="left"/>
        <w:rPr>
          <w:rFonts w:cs="Arial"/>
        </w:rPr>
      </w:pPr>
      <w:r w:rsidRPr="00766EA5">
        <w:rPr>
          <w:rFonts w:cs="Arial"/>
        </w:rPr>
        <w:t xml:space="preserve">The </w:t>
      </w:r>
      <w:r>
        <w:rPr>
          <w:rFonts w:cs="Arial"/>
        </w:rPr>
        <w:t xml:space="preserve">Service </w:t>
      </w:r>
      <w:r w:rsidRPr="00766EA5">
        <w:rPr>
          <w:rFonts w:cs="Arial"/>
        </w:rPr>
        <w:t xml:space="preserve">will ensure that all employees who supply, provide or assist in the provision of this Service are competent, appropriately qualified and, where relevant, currently registered with or licensed by the appropriate statutory and / or professional body. </w:t>
      </w:r>
    </w:p>
    <w:p w:rsidR="00766EA5" w:rsidRDefault="00766EA5" w:rsidP="002612AA">
      <w:pPr>
        <w:spacing w:after="120"/>
        <w:jc w:val="left"/>
        <w:rPr>
          <w:rFonts w:cs="Arial"/>
        </w:rPr>
      </w:pPr>
      <w:r w:rsidRPr="00766EA5">
        <w:rPr>
          <w:rFonts w:cs="Arial"/>
        </w:rPr>
        <w:lastRenderedPageBreak/>
        <w:t>Services based in a facility should be easily accessible to the Service User and should meet New Zealand Standards 4121: 2001, Design for Access and Mobility – Buildings and Associated Facilities.</w:t>
      </w:r>
    </w:p>
    <w:p w:rsidR="00766EA5" w:rsidRDefault="00766EA5" w:rsidP="002612AA">
      <w:pPr>
        <w:spacing w:after="120"/>
        <w:jc w:val="left"/>
        <w:rPr>
          <w:rFonts w:cs="Arial"/>
        </w:rPr>
      </w:pPr>
      <w:r w:rsidRPr="00766EA5">
        <w:rPr>
          <w:rFonts w:cs="Arial"/>
        </w:rPr>
        <w:t xml:space="preserve">The Service </w:t>
      </w:r>
      <w:r w:rsidR="007838CD">
        <w:rPr>
          <w:rFonts w:cs="Arial"/>
        </w:rPr>
        <w:t>P</w:t>
      </w:r>
      <w:r w:rsidRPr="00766EA5">
        <w:rPr>
          <w:rFonts w:cs="Arial"/>
        </w:rPr>
        <w:t>rovider will have an incident management and monitoring process.</w:t>
      </w:r>
    </w:p>
    <w:p w:rsidR="00766EA5" w:rsidRPr="00766EA5" w:rsidDel="00DE2756" w:rsidRDefault="00766EA5" w:rsidP="0023303A">
      <w:pPr>
        <w:jc w:val="left"/>
        <w:rPr>
          <w:rFonts w:cs="Arial"/>
        </w:rPr>
      </w:pPr>
      <w:r>
        <w:rPr>
          <w:rFonts w:cs="Arial"/>
        </w:rPr>
        <w:t>The Service</w:t>
      </w:r>
      <w:r w:rsidRPr="00766EA5">
        <w:rPr>
          <w:rFonts w:cs="Arial"/>
        </w:rPr>
        <w:t xml:space="preserve"> will</w:t>
      </w:r>
      <w:r w:rsidR="00E55433" w:rsidRPr="00766EA5">
        <w:rPr>
          <w:rFonts w:cs="Arial"/>
        </w:rPr>
        <w:t xml:space="preserve"> have in place</w:t>
      </w:r>
      <w:r w:rsidR="00E55433">
        <w:rPr>
          <w:rFonts w:cs="Arial"/>
        </w:rPr>
        <w:t xml:space="preserve"> strategies, plans and reporting mechanisms </w:t>
      </w:r>
      <w:r w:rsidRPr="00766EA5" w:rsidDel="00DE2756">
        <w:rPr>
          <w:rFonts w:cs="Arial"/>
        </w:rPr>
        <w:t>to ensure that at all times:</w:t>
      </w:r>
    </w:p>
    <w:p w:rsidR="00766EA5" w:rsidRPr="00766EA5" w:rsidDel="00DE2756" w:rsidRDefault="00766EA5" w:rsidP="004738E8">
      <w:pPr>
        <w:numPr>
          <w:ilvl w:val="0"/>
          <w:numId w:val="11"/>
        </w:numPr>
        <w:tabs>
          <w:tab w:val="clear" w:pos="360"/>
          <w:tab w:val="num" w:pos="567"/>
        </w:tabs>
        <w:ind w:left="567" w:hanging="567"/>
        <w:jc w:val="left"/>
        <w:rPr>
          <w:rFonts w:cs="Arial"/>
        </w:rPr>
      </w:pPr>
      <w:r w:rsidRPr="00766EA5">
        <w:rPr>
          <w:rFonts w:cs="Arial"/>
        </w:rPr>
        <w:t>Service Users are</w:t>
      </w:r>
      <w:r w:rsidRPr="00766EA5" w:rsidDel="00DE2756">
        <w:rPr>
          <w:rFonts w:cs="Arial"/>
        </w:rPr>
        <w:t xml:space="preserve"> aware of </w:t>
      </w:r>
      <w:r w:rsidRPr="00766EA5">
        <w:rPr>
          <w:rFonts w:cs="Arial"/>
        </w:rPr>
        <w:t xml:space="preserve">their </w:t>
      </w:r>
      <w:r w:rsidRPr="00766EA5" w:rsidDel="00DE2756">
        <w:rPr>
          <w:rFonts w:cs="Arial"/>
        </w:rPr>
        <w:t xml:space="preserve">Health Practitioners </w:t>
      </w:r>
      <w:r w:rsidRPr="00766EA5">
        <w:rPr>
          <w:rFonts w:cs="Arial"/>
        </w:rPr>
        <w:t xml:space="preserve">current </w:t>
      </w:r>
      <w:r w:rsidRPr="00766EA5" w:rsidDel="00DE2756">
        <w:rPr>
          <w:rFonts w:cs="Arial"/>
        </w:rPr>
        <w:t>scope of practice as set by the relevant Responsible Authority;</w:t>
      </w:r>
      <w:r w:rsidRPr="00766EA5">
        <w:rPr>
          <w:rFonts w:cs="Arial"/>
        </w:rPr>
        <w:t xml:space="preserve"> and of any cha</w:t>
      </w:r>
      <w:r>
        <w:rPr>
          <w:rFonts w:cs="Arial"/>
        </w:rPr>
        <w:t>nges to their scope of practice</w:t>
      </w:r>
    </w:p>
    <w:p w:rsidR="00766EA5" w:rsidRPr="00766EA5" w:rsidRDefault="00766EA5" w:rsidP="0023303A">
      <w:pPr>
        <w:numPr>
          <w:ilvl w:val="0"/>
          <w:numId w:val="11"/>
        </w:numPr>
        <w:tabs>
          <w:tab w:val="clear" w:pos="360"/>
          <w:tab w:val="num" w:pos="567"/>
        </w:tabs>
        <w:spacing w:before="0"/>
        <w:ind w:left="567" w:hanging="567"/>
        <w:jc w:val="left"/>
        <w:rPr>
          <w:rFonts w:cs="Arial"/>
        </w:rPr>
      </w:pPr>
      <w:r w:rsidRPr="00766EA5" w:rsidDel="00DE2756">
        <w:rPr>
          <w:rFonts w:cs="Arial"/>
        </w:rPr>
        <w:t xml:space="preserve">the relevant Responsible Authority </w:t>
      </w:r>
      <w:r w:rsidRPr="00766EA5">
        <w:rPr>
          <w:rFonts w:cs="Arial"/>
        </w:rPr>
        <w:t xml:space="preserve">is informed </w:t>
      </w:r>
      <w:r w:rsidRPr="00766EA5" w:rsidDel="00DE2756">
        <w:rPr>
          <w:rFonts w:cs="Arial"/>
        </w:rPr>
        <w:t xml:space="preserve">whenever a Health Practitioner employee resigns or is dismissed from </w:t>
      </w:r>
      <w:r w:rsidRPr="00766EA5">
        <w:rPr>
          <w:rFonts w:cs="Arial"/>
        </w:rPr>
        <w:t>their</w:t>
      </w:r>
      <w:r w:rsidRPr="00766EA5" w:rsidDel="00DE2756">
        <w:rPr>
          <w:rFonts w:cs="Arial"/>
        </w:rPr>
        <w:t xml:space="preserve"> employment or under </w:t>
      </w:r>
      <w:r w:rsidRPr="00766EA5">
        <w:rPr>
          <w:rFonts w:cs="Arial"/>
        </w:rPr>
        <w:t>their</w:t>
      </w:r>
      <w:r w:rsidRPr="00766EA5" w:rsidDel="00DE2756">
        <w:rPr>
          <w:rFonts w:cs="Arial"/>
        </w:rPr>
        <w:t xml:space="preserve"> contract for reasons relating to competence </w:t>
      </w:r>
    </w:p>
    <w:p w:rsidR="00766EA5" w:rsidRDefault="00766EA5" w:rsidP="0023303A">
      <w:pPr>
        <w:numPr>
          <w:ilvl w:val="0"/>
          <w:numId w:val="11"/>
        </w:numPr>
        <w:tabs>
          <w:tab w:val="clear" w:pos="360"/>
          <w:tab w:val="num" w:pos="567"/>
        </w:tabs>
        <w:spacing w:before="0"/>
        <w:ind w:left="567" w:hanging="567"/>
        <w:jc w:val="left"/>
        <w:rPr>
          <w:rFonts w:cs="Arial"/>
        </w:rPr>
      </w:pPr>
      <w:proofErr w:type="gramStart"/>
      <w:r w:rsidRPr="00766EA5">
        <w:rPr>
          <w:rFonts w:cs="Arial"/>
        </w:rPr>
        <w:t>risks</w:t>
      </w:r>
      <w:proofErr w:type="gramEnd"/>
      <w:r w:rsidRPr="00766EA5">
        <w:rPr>
          <w:rFonts w:cs="Arial"/>
        </w:rPr>
        <w:t xml:space="preserve"> are mitigated to ensure a safe care environment for the Service User and the </w:t>
      </w:r>
      <w:r w:rsidR="007838CD">
        <w:rPr>
          <w:rFonts w:cs="Arial"/>
        </w:rPr>
        <w:t xml:space="preserve">Service </w:t>
      </w:r>
      <w:r w:rsidRPr="00766EA5">
        <w:rPr>
          <w:rFonts w:cs="Arial"/>
        </w:rPr>
        <w:t>Provider’s employees.</w:t>
      </w:r>
    </w:p>
    <w:p w:rsidR="00AA2526" w:rsidRPr="006102D6" w:rsidRDefault="00331A4C" w:rsidP="00A463E3">
      <w:pPr>
        <w:pStyle w:val="Heading1"/>
      </w:pPr>
      <w:bookmarkStart w:id="25" w:name="_GoBack"/>
      <w:bookmarkEnd w:id="25"/>
      <w:r>
        <w:t>9</w:t>
      </w:r>
      <w:r w:rsidR="00AA2526" w:rsidRPr="006102D6">
        <w:t>.</w:t>
      </w:r>
      <w:r w:rsidR="00AA2526" w:rsidRPr="006102D6">
        <w:tab/>
        <w:t>Purchase Units</w:t>
      </w:r>
      <w:r w:rsidR="007D4EB4">
        <w:t xml:space="preserve"> and Reporting Requirements</w:t>
      </w:r>
    </w:p>
    <w:p w:rsidR="00972FFB" w:rsidRDefault="00331A4C" w:rsidP="00972FFB">
      <w:pPr>
        <w:pStyle w:val="Heading2"/>
        <w:spacing w:after="120"/>
        <w:jc w:val="left"/>
        <w:rPr>
          <w:b w:val="0"/>
          <w:lang w:val="en-GB" w:eastAsia="en-GB"/>
        </w:rPr>
      </w:pPr>
      <w:r>
        <w:t>9</w:t>
      </w:r>
      <w:r w:rsidR="005C5457" w:rsidRPr="005C5457">
        <w:t>.1</w:t>
      </w:r>
      <w:r w:rsidR="005C5457" w:rsidRPr="005C5457">
        <w:tab/>
      </w:r>
      <w:r w:rsidR="00AA2526" w:rsidRPr="007D4EB4">
        <w:rPr>
          <w:b w:val="0"/>
        </w:rPr>
        <w:t xml:space="preserve">Purchase Units are defined in the joint DHB and Ministry’s Nationwide Service Framework Purchase Unit Data Dictionary.  </w:t>
      </w:r>
      <w:r w:rsidR="007D0FFE" w:rsidRPr="007D4EB4">
        <w:rPr>
          <w:b w:val="0"/>
        </w:rPr>
        <w:t xml:space="preserve">The following Purchase Units apply to this Service.  </w:t>
      </w:r>
      <w:r w:rsidR="00E012FB" w:rsidRPr="00972FFB">
        <w:rPr>
          <w:b w:val="0"/>
          <w:lang w:val="en-GB" w:eastAsia="en-GB"/>
        </w:rPr>
        <w:t>The DHB hospital based Service Providers must comply with the requirements of national data collections.</w:t>
      </w:r>
    </w:p>
    <w:tbl>
      <w:tblPr>
        <w:tblStyle w:val="TableGrid11"/>
        <w:tblW w:w="9923" w:type="dxa"/>
        <w:tblInd w:w="-34" w:type="dxa"/>
        <w:shd w:val="clear" w:color="auto" w:fill="FFFFFF" w:themeFill="background1"/>
        <w:tblLayout w:type="fixed"/>
        <w:tblLook w:val="04A0" w:firstRow="1" w:lastRow="0" w:firstColumn="1" w:lastColumn="0" w:noHBand="0" w:noVBand="1"/>
      </w:tblPr>
      <w:tblGrid>
        <w:gridCol w:w="1135"/>
        <w:gridCol w:w="1984"/>
        <w:gridCol w:w="4253"/>
        <w:gridCol w:w="1275"/>
        <w:gridCol w:w="1276"/>
      </w:tblGrid>
      <w:tr w:rsidR="005B226C" w:rsidRPr="00A84B2A" w:rsidTr="00312AA8">
        <w:trPr>
          <w:trHeight w:val="373"/>
          <w:tblHeader/>
        </w:trPr>
        <w:tc>
          <w:tcPr>
            <w:tcW w:w="1135" w:type="dxa"/>
            <w:shd w:val="pct12" w:color="auto" w:fill="FFFFFF" w:themeFill="background1"/>
          </w:tcPr>
          <w:p w:rsidR="00B86236" w:rsidRPr="0093695B" w:rsidRDefault="00B86236" w:rsidP="000F1955">
            <w:pPr>
              <w:jc w:val="left"/>
              <w:rPr>
                <w:rFonts w:cs="Arial"/>
                <w:b/>
                <w:bCs/>
                <w:color w:val="000000" w:themeColor="text1"/>
                <w:sz w:val="20"/>
                <w:szCs w:val="20"/>
                <w:lang w:val="en-GB"/>
              </w:rPr>
            </w:pPr>
            <w:r w:rsidRPr="0093695B">
              <w:rPr>
                <w:rFonts w:cs="Arial"/>
                <w:b/>
                <w:bCs/>
                <w:color w:val="000000" w:themeColor="text1"/>
                <w:sz w:val="20"/>
                <w:szCs w:val="20"/>
                <w:lang w:val="en-GB"/>
              </w:rPr>
              <w:t>Purchase Unit Code</w:t>
            </w:r>
          </w:p>
        </w:tc>
        <w:tc>
          <w:tcPr>
            <w:tcW w:w="1984" w:type="dxa"/>
            <w:shd w:val="pct12" w:color="auto" w:fill="FFFFFF" w:themeFill="background1"/>
          </w:tcPr>
          <w:p w:rsidR="00B86236" w:rsidRPr="0093695B" w:rsidRDefault="00B86236" w:rsidP="000F1955">
            <w:pPr>
              <w:spacing w:line="276" w:lineRule="auto"/>
              <w:jc w:val="left"/>
              <w:rPr>
                <w:rFonts w:cs="Arial"/>
                <w:b/>
                <w:bCs/>
                <w:color w:val="000000" w:themeColor="text1"/>
                <w:sz w:val="20"/>
                <w:szCs w:val="20"/>
                <w:lang w:val="en-GB"/>
              </w:rPr>
            </w:pPr>
            <w:r w:rsidRPr="0093695B">
              <w:rPr>
                <w:rFonts w:cs="Arial"/>
                <w:b/>
                <w:bCs/>
                <w:color w:val="000000" w:themeColor="text1"/>
                <w:sz w:val="20"/>
                <w:szCs w:val="20"/>
                <w:lang w:val="en-GB"/>
              </w:rPr>
              <w:t>Purchase Unit Description</w:t>
            </w:r>
          </w:p>
        </w:tc>
        <w:tc>
          <w:tcPr>
            <w:tcW w:w="4253" w:type="dxa"/>
            <w:shd w:val="pct12" w:color="auto" w:fill="FFFFFF" w:themeFill="background1"/>
          </w:tcPr>
          <w:p w:rsidR="00B86236" w:rsidRPr="0093695B" w:rsidRDefault="00B86236" w:rsidP="000F1955">
            <w:pPr>
              <w:spacing w:line="276" w:lineRule="auto"/>
              <w:jc w:val="left"/>
              <w:rPr>
                <w:rFonts w:cs="Arial"/>
                <w:b/>
                <w:bCs/>
                <w:color w:val="000000" w:themeColor="text1"/>
                <w:sz w:val="20"/>
                <w:szCs w:val="20"/>
                <w:lang w:val="en-GB"/>
              </w:rPr>
            </w:pPr>
            <w:r w:rsidRPr="0093695B">
              <w:rPr>
                <w:rFonts w:cs="Arial"/>
                <w:b/>
                <w:bCs/>
                <w:color w:val="000000" w:themeColor="text1"/>
                <w:sz w:val="20"/>
                <w:szCs w:val="20"/>
                <w:lang w:val="en-GB"/>
              </w:rPr>
              <w:t>Purchase Unit Definition</w:t>
            </w:r>
          </w:p>
        </w:tc>
        <w:tc>
          <w:tcPr>
            <w:tcW w:w="1275" w:type="dxa"/>
            <w:shd w:val="pct12" w:color="auto" w:fill="FFFFFF" w:themeFill="background1"/>
          </w:tcPr>
          <w:p w:rsidR="00B86236" w:rsidRPr="0093695B" w:rsidRDefault="00B86236" w:rsidP="000F1955">
            <w:pPr>
              <w:spacing w:line="276" w:lineRule="auto"/>
              <w:jc w:val="left"/>
              <w:rPr>
                <w:rFonts w:cs="Arial"/>
                <w:b/>
                <w:bCs/>
                <w:color w:val="000000" w:themeColor="text1"/>
                <w:sz w:val="20"/>
                <w:szCs w:val="20"/>
                <w:lang w:val="en-GB"/>
              </w:rPr>
            </w:pPr>
            <w:r w:rsidRPr="0093695B">
              <w:rPr>
                <w:rFonts w:cs="Arial"/>
                <w:b/>
                <w:bCs/>
                <w:color w:val="000000" w:themeColor="text1"/>
                <w:sz w:val="20"/>
                <w:szCs w:val="20"/>
                <w:lang w:val="en-GB"/>
              </w:rPr>
              <w:t>Unit of Measure</w:t>
            </w:r>
          </w:p>
        </w:tc>
        <w:tc>
          <w:tcPr>
            <w:tcW w:w="1276" w:type="dxa"/>
            <w:shd w:val="pct12" w:color="auto" w:fill="FFFFFF" w:themeFill="background1"/>
          </w:tcPr>
          <w:p w:rsidR="00B86236" w:rsidRPr="0093695B" w:rsidRDefault="00B86236" w:rsidP="000F1955">
            <w:pPr>
              <w:jc w:val="left"/>
              <w:rPr>
                <w:rFonts w:cs="Arial"/>
                <w:b/>
                <w:bCs/>
                <w:color w:val="000000" w:themeColor="text1"/>
                <w:sz w:val="20"/>
                <w:szCs w:val="20"/>
                <w:lang w:val="en-GB"/>
              </w:rPr>
            </w:pPr>
            <w:r w:rsidRPr="0093695B">
              <w:rPr>
                <w:rFonts w:cs="Arial"/>
                <w:b/>
                <w:bCs/>
                <w:color w:val="000000" w:themeColor="text1"/>
                <w:sz w:val="20"/>
                <w:szCs w:val="20"/>
                <w:lang w:val="en-GB"/>
              </w:rPr>
              <w:t>National Collection</w:t>
            </w:r>
          </w:p>
        </w:tc>
      </w:tr>
      <w:tr w:rsidR="00B86236" w:rsidRPr="00A84B2A" w:rsidTr="00312AA8">
        <w:trPr>
          <w:trHeight w:val="373"/>
        </w:trPr>
        <w:tc>
          <w:tcPr>
            <w:tcW w:w="1135" w:type="dxa"/>
            <w:shd w:val="clear" w:color="auto" w:fill="FFFFFF" w:themeFill="background1"/>
          </w:tcPr>
          <w:p w:rsidR="00B86236" w:rsidRPr="003B579B" w:rsidRDefault="00B86236" w:rsidP="007D4EB4">
            <w:pPr>
              <w:spacing w:before="0"/>
              <w:jc w:val="left"/>
              <w:rPr>
                <w:rFonts w:cs="Arial"/>
                <w:sz w:val="20"/>
                <w:szCs w:val="20"/>
                <w:lang w:val="en-GB"/>
              </w:rPr>
            </w:pPr>
            <w:r w:rsidRPr="003B579B">
              <w:rPr>
                <w:rFonts w:cs="Arial"/>
                <w:sz w:val="20"/>
                <w:szCs w:val="20"/>
                <w:lang w:val="en-GB"/>
              </w:rPr>
              <w:t>M80001</w:t>
            </w:r>
          </w:p>
        </w:tc>
        <w:tc>
          <w:tcPr>
            <w:tcW w:w="1984" w:type="dxa"/>
            <w:shd w:val="clear" w:color="auto" w:fill="FFFFFF" w:themeFill="background1"/>
          </w:tcPr>
          <w:p w:rsidR="00B86236" w:rsidRPr="0093695B" w:rsidRDefault="00F2681A" w:rsidP="007D4EB4">
            <w:pPr>
              <w:spacing w:before="0"/>
              <w:jc w:val="left"/>
              <w:rPr>
                <w:rFonts w:cs="Arial"/>
                <w:sz w:val="20"/>
                <w:szCs w:val="20"/>
                <w:lang w:val="en-GB"/>
              </w:rPr>
            </w:pPr>
            <w:r>
              <w:rPr>
                <w:rFonts w:cs="Arial"/>
                <w:sz w:val="20"/>
                <w:szCs w:val="20"/>
                <w:lang w:val="en-GB"/>
              </w:rPr>
              <w:t xml:space="preserve">Specialist </w:t>
            </w:r>
            <w:r w:rsidR="00B86236" w:rsidRPr="0093695B">
              <w:rPr>
                <w:rFonts w:cs="Arial"/>
                <w:sz w:val="20"/>
                <w:szCs w:val="20"/>
                <w:lang w:val="en-GB"/>
              </w:rPr>
              <w:t>Palliative Medical Services - Inpatient Services (DRGs)</w:t>
            </w:r>
          </w:p>
        </w:tc>
        <w:tc>
          <w:tcPr>
            <w:tcW w:w="4253" w:type="dxa"/>
            <w:shd w:val="clear" w:color="auto" w:fill="FFFFFF" w:themeFill="background1"/>
          </w:tcPr>
          <w:p w:rsidR="00B86236" w:rsidRPr="0093695B" w:rsidRDefault="00B86236" w:rsidP="00570870">
            <w:pPr>
              <w:spacing w:before="0"/>
              <w:jc w:val="left"/>
              <w:rPr>
                <w:rFonts w:cs="Arial"/>
                <w:sz w:val="20"/>
                <w:szCs w:val="20"/>
                <w:lang w:val="en-GB"/>
              </w:rPr>
            </w:pPr>
            <w:r w:rsidRPr="0093695B">
              <w:rPr>
                <w:rFonts w:cs="Arial"/>
                <w:sz w:val="20"/>
                <w:szCs w:val="20"/>
                <w:lang w:val="en-GB"/>
              </w:rPr>
              <w:t xml:space="preserve">DRG WIESNZ Discharge.  Additional Information is found in the NZ </w:t>
            </w:r>
            <w:proofErr w:type="spellStart"/>
            <w:r w:rsidRPr="0093695B">
              <w:rPr>
                <w:rFonts w:cs="Arial"/>
                <w:sz w:val="20"/>
                <w:szCs w:val="20"/>
                <w:lang w:val="en-GB"/>
              </w:rPr>
              <w:t>Casemix</w:t>
            </w:r>
            <w:proofErr w:type="spellEnd"/>
            <w:r w:rsidRPr="0093695B">
              <w:rPr>
                <w:rFonts w:cs="Arial"/>
                <w:sz w:val="20"/>
                <w:szCs w:val="20"/>
                <w:lang w:val="en-GB"/>
              </w:rPr>
              <w:t xml:space="preserve"> Framework for Publicly Funded Hospitals which gets updated every year.</w:t>
            </w:r>
            <w:r w:rsidR="00570870" w:rsidRPr="00570870">
              <w:rPr>
                <w:rFonts w:eastAsia="Times New Roman" w:cs="Arial"/>
                <w:sz w:val="20"/>
                <w:szCs w:val="20"/>
                <w:vertAlign w:val="superscript"/>
                <w:lang w:val="en-GB"/>
              </w:rPr>
              <w:t xml:space="preserve"> </w:t>
            </w:r>
            <w:r w:rsidR="00570870" w:rsidRPr="00570870">
              <w:rPr>
                <w:rFonts w:eastAsia="Times New Roman" w:cs="Arial"/>
                <w:sz w:val="20"/>
                <w:szCs w:val="20"/>
                <w:vertAlign w:val="superscript"/>
                <w:lang w:val="en-GB"/>
              </w:rPr>
              <w:footnoteReference w:id="11"/>
            </w:r>
          </w:p>
        </w:tc>
        <w:tc>
          <w:tcPr>
            <w:tcW w:w="1275" w:type="dxa"/>
            <w:shd w:val="clear" w:color="auto" w:fill="FFFFFF" w:themeFill="background1"/>
          </w:tcPr>
          <w:p w:rsidR="00B86236" w:rsidRPr="0093695B" w:rsidRDefault="00B86236" w:rsidP="007D4EB4">
            <w:pPr>
              <w:spacing w:before="0"/>
              <w:jc w:val="left"/>
              <w:rPr>
                <w:rFonts w:cs="Arial"/>
                <w:sz w:val="20"/>
                <w:szCs w:val="20"/>
                <w:lang w:val="en-GB"/>
              </w:rPr>
            </w:pPr>
            <w:r w:rsidRPr="0093695B">
              <w:rPr>
                <w:rFonts w:cs="Arial"/>
                <w:sz w:val="20"/>
                <w:szCs w:val="20"/>
                <w:lang w:val="en-GB"/>
              </w:rPr>
              <w:t>Cost Weighted Discharge</w:t>
            </w:r>
          </w:p>
        </w:tc>
        <w:tc>
          <w:tcPr>
            <w:tcW w:w="1276" w:type="dxa"/>
            <w:shd w:val="clear" w:color="auto" w:fill="FFFFFF" w:themeFill="background1"/>
          </w:tcPr>
          <w:p w:rsidR="00B86236" w:rsidRPr="0093695B" w:rsidRDefault="00262268" w:rsidP="007D4EB4">
            <w:pPr>
              <w:spacing w:before="0"/>
              <w:jc w:val="left"/>
              <w:rPr>
                <w:rFonts w:cs="Arial"/>
                <w:bCs/>
                <w:color w:val="000000" w:themeColor="text1"/>
                <w:sz w:val="20"/>
                <w:szCs w:val="20"/>
                <w:lang w:val="en-GB"/>
              </w:rPr>
            </w:pPr>
            <w:r w:rsidRPr="0093695B">
              <w:rPr>
                <w:rFonts w:cs="Arial"/>
                <w:bCs/>
                <w:color w:val="000000" w:themeColor="text1"/>
                <w:sz w:val="20"/>
                <w:szCs w:val="20"/>
                <w:lang w:val="en-GB"/>
              </w:rPr>
              <w:t>National Minimum Data System (NMDS)</w:t>
            </w:r>
          </w:p>
        </w:tc>
      </w:tr>
      <w:tr w:rsidR="00B86236" w:rsidRPr="00A84B2A" w:rsidTr="00312AA8">
        <w:trPr>
          <w:trHeight w:val="373"/>
        </w:trPr>
        <w:tc>
          <w:tcPr>
            <w:tcW w:w="1135" w:type="dxa"/>
            <w:shd w:val="clear" w:color="auto" w:fill="FFFFFF" w:themeFill="background1"/>
          </w:tcPr>
          <w:p w:rsidR="00B86236" w:rsidRPr="003B579B" w:rsidRDefault="00296166" w:rsidP="007D4EB4">
            <w:pPr>
              <w:spacing w:before="0"/>
              <w:jc w:val="left"/>
              <w:rPr>
                <w:rFonts w:cs="Arial"/>
                <w:sz w:val="20"/>
                <w:szCs w:val="20"/>
                <w:lang w:val="en-GB"/>
              </w:rPr>
            </w:pPr>
            <w:r w:rsidRPr="003B579B">
              <w:rPr>
                <w:rFonts w:cs="Arial"/>
                <w:sz w:val="20"/>
                <w:szCs w:val="20"/>
                <w:lang w:val="en-GB"/>
              </w:rPr>
              <w:t>M80007</w:t>
            </w:r>
          </w:p>
          <w:p w:rsidR="00B86236" w:rsidRPr="003B579B" w:rsidRDefault="00B86236" w:rsidP="007D4EB4">
            <w:pPr>
              <w:spacing w:before="0"/>
              <w:jc w:val="left"/>
              <w:rPr>
                <w:rFonts w:cs="Arial"/>
                <w:sz w:val="20"/>
                <w:szCs w:val="20"/>
                <w:lang w:val="en-GB"/>
              </w:rPr>
            </w:pPr>
          </w:p>
        </w:tc>
        <w:tc>
          <w:tcPr>
            <w:tcW w:w="1984" w:type="dxa"/>
            <w:shd w:val="clear" w:color="auto" w:fill="FFFFFF" w:themeFill="background1"/>
          </w:tcPr>
          <w:p w:rsidR="00B86236" w:rsidRPr="0093695B" w:rsidRDefault="00B86236" w:rsidP="007D4EB4">
            <w:pPr>
              <w:spacing w:before="0" w:line="276" w:lineRule="auto"/>
              <w:jc w:val="left"/>
              <w:rPr>
                <w:rFonts w:cs="Arial"/>
                <w:sz w:val="20"/>
                <w:szCs w:val="20"/>
                <w:lang w:val="en-GB"/>
              </w:rPr>
            </w:pPr>
            <w:r w:rsidRPr="0093695B">
              <w:rPr>
                <w:rFonts w:cs="Arial"/>
                <w:sz w:val="20"/>
                <w:szCs w:val="20"/>
                <w:lang w:val="en-GB"/>
              </w:rPr>
              <w:t>Specialist Palliative Care community inpatient</w:t>
            </w:r>
            <w:r w:rsidR="007C3328">
              <w:rPr>
                <w:rFonts w:cs="Arial"/>
                <w:sz w:val="20"/>
                <w:szCs w:val="20"/>
                <w:lang w:val="en-GB"/>
              </w:rPr>
              <w:t xml:space="preserve"> (occupied bed)</w:t>
            </w:r>
          </w:p>
        </w:tc>
        <w:tc>
          <w:tcPr>
            <w:tcW w:w="4253" w:type="dxa"/>
            <w:shd w:val="clear" w:color="auto" w:fill="FFFFFF" w:themeFill="background1"/>
          </w:tcPr>
          <w:p w:rsidR="00B86236" w:rsidRPr="0093695B" w:rsidRDefault="00B86236" w:rsidP="009968F5">
            <w:pPr>
              <w:spacing w:before="0" w:line="276" w:lineRule="auto"/>
              <w:jc w:val="left"/>
              <w:rPr>
                <w:rFonts w:cs="Arial"/>
                <w:sz w:val="20"/>
                <w:szCs w:val="20"/>
                <w:lang w:val="en-GB"/>
              </w:rPr>
            </w:pPr>
            <w:r w:rsidRPr="0093695B">
              <w:rPr>
                <w:rFonts w:cs="Arial"/>
                <w:sz w:val="20"/>
                <w:szCs w:val="20"/>
                <w:lang w:val="en-GB"/>
              </w:rPr>
              <w:t>Specialist Palliative clinical care delivered by the specialist palliative care team for Service Users who stay overnight in a community facility (</w:t>
            </w:r>
            <w:proofErr w:type="spellStart"/>
            <w:r w:rsidRPr="0093695B">
              <w:rPr>
                <w:rFonts w:cs="Arial"/>
                <w:sz w:val="20"/>
                <w:szCs w:val="20"/>
                <w:lang w:val="en-GB"/>
              </w:rPr>
              <w:t>eg</w:t>
            </w:r>
            <w:proofErr w:type="spellEnd"/>
            <w:r w:rsidRPr="0093695B">
              <w:rPr>
                <w:rFonts w:cs="Arial"/>
                <w:sz w:val="20"/>
                <w:szCs w:val="20"/>
                <w:lang w:val="en-GB"/>
              </w:rPr>
              <w:t>, hospice, aged residential care).</w:t>
            </w:r>
            <w:r w:rsidR="005A5EAD">
              <w:rPr>
                <w:rFonts w:cs="Arial"/>
                <w:sz w:val="20"/>
                <w:szCs w:val="20"/>
                <w:lang w:val="en-GB"/>
              </w:rPr>
              <w:t xml:space="preserve"> </w:t>
            </w:r>
            <w:r w:rsidR="005A5EAD">
              <w:rPr>
                <w:rFonts w:eastAsia="Times New Roman" w:cs="Arial"/>
                <w:sz w:val="20"/>
                <w:szCs w:val="20"/>
                <w:lang w:val="en-GB"/>
              </w:rPr>
              <w:t>Includes facility costs.</w:t>
            </w:r>
          </w:p>
        </w:tc>
        <w:tc>
          <w:tcPr>
            <w:tcW w:w="1275" w:type="dxa"/>
            <w:shd w:val="clear" w:color="auto" w:fill="FFFFFF" w:themeFill="background1"/>
          </w:tcPr>
          <w:p w:rsidR="00B86236" w:rsidRPr="0093695B" w:rsidRDefault="00C0711D" w:rsidP="007D4EB4">
            <w:pPr>
              <w:spacing w:before="0" w:line="276" w:lineRule="auto"/>
              <w:jc w:val="left"/>
              <w:rPr>
                <w:rFonts w:cs="Arial"/>
                <w:sz w:val="20"/>
                <w:szCs w:val="20"/>
                <w:lang w:val="en-GB"/>
              </w:rPr>
            </w:pPr>
            <w:r w:rsidRPr="0093695B">
              <w:rPr>
                <w:rFonts w:cs="Arial"/>
                <w:sz w:val="20"/>
                <w:szCs w:val="20"/>
                <w:lang w:val="en-GB"/>
              </w:rPr>
              <w:t xml:space="preserve">Occupied bed </w:t>
            </w:r>
            <w:r w:rsidR="005A5EAD">
              <w:rPr>
                <w:rFonts w:cs="Arial"/>
                <w:sz w:val="20"/>
                <w:szCs w:val="20"/>
                <w:lang w:val="en-GB"/>
              </w:rPr>
              <w:t>day</w:t>
            </w:r>
          </w:p>
        </w:tc>
        <w:tc>
          <w:tcPr>
            <w:tcW w:w="1276" w:type="dxa"/>
            <w:shd w:val="clear" w:color="auto" w:fill="FFFFFF" w:themeFill="background1"/>
          </w:tcPr>
          <w:p w:rsidR="00B86236" w:rsidRPr="00A139D1" w:rsidRDefault="00A139D1" w:rsidP="00A139D1">
            <w:pPr>
              <w:spacing w:before="0"/>
              <w:jc w:val="left"/>
              <w:rPr>
                <w:rFonts w:cs="Arial"/>
                <w:bCs/>
                <w:color w:val="000000" w:themeColor="text1"/>
                <w:sz w:val="20"/>
                <w:szCs w:val="20"/>
                <w:lang w:val="en-GB"/>
              </w:rPr>
            </w:pPr>
            <w:r w:rsidRPr="00A139D1">
              <w:rPr>
                <w:rFonts w:cs="Arial"/>
                <w:bCs/>
                <w:color w:val="000000" w:themeColor="text1"/>
                <w:sz w:val="20"/>
                <w:szCs w:val="20"/>
                <w:lang w:val="en-GB"/>
              </w:rPr>
              <w:t>Not applicable</w:t>
            </w:r>
          </w:p>
        </w:tc>
      </w:tr>
      <w:tr w:rsidR="007C3328" w:rsidRPr="00A84B2A" w:rsidTr="00312AA8">
        <w:trPr>
          <w:trHeight w:val="373"/>
        </w:trPr>
        <w:tc>
          <w:tcPr>
            <w:tcW w:w="1135" w:type="dxa"/>
            <w:shd w:val="clear" w:color="auto" w:fill="FFFFFF" w:themeFill="background1"/>
          </w:tcPr>
          <w:p w:rsidR="007C3328" w:rsidRPr="003B579B" w:rsidRDefault="00493B75" w:rsidP="00EE5680">
            <w:pPr>
              <w:spacing w:before="0"/>
              <w:jc w:val="left"/>
              <w:rPr>
                <w:rFonts w:cs="Arial"/>
                <w:sz w:val="20"/>
                <w:szCs w:val="20"/>
                <w:lang w:val="en-GB"/>
              </w:rPr>
            </w:pPr>
            <w:r w:rsidRPr="003B579B">
              <w:rPr>
                <w:rFonts w:cs="Arial"/>
                <w:sz w:val="20"/>
                <w:szCs w:val="20"/>
                <w:lang w:val="en-GB"/>
              </w:rPr>
              <w:t>M8000</w:t>
            </w:r>
            <w:r>
              <w:rPr>
                <w:rFonts w:cs="Arial"/>
                <w:sz w:val="20"/>
                <w:szCs w:val="20"/>
                <w:lang w:val="en-GB"/>
              </w:rPr>
              <w:t>8</w:t>
            </w:r>
          </w:p>
          <w:p w:rsidR="007C3328" w:rsidRPr="003B579B" w:rsidRDefault="007C3328" w:rsidP="007D4EB4">
            <w:pPr>
              <w:spacing w:before="0"/>
              <w:jc w:val="left"/>
              <w:rPr>
                <w:rFonts w:cs="Arial"/>
                <w:sz w:val="20"/>
                <w:szCs w:val="20"/>
                <w:lang w:val="en-GB"/>
              </w:rPr>
            </w:pPr>
          </w:p>
        </w:tc>
        <w:tc>
          <w:tcPr>
            <w:tcW w:w="1984"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93695B">
              <w:rPr>
                <w:rFonts w:cs="Arial"/>
                <w:sz w:val="20"/>
                <w:szCs w:val="20"/>
                <w:lang w:val="en-GB"/>
              </w:rPr>
              <w:t>Specialist Palliative Care community inpatient</w:t>
            </w:r>
            <w:r>
              <w:rPr>
                <w:rFonts w:cs="Arial"/>
                <w:sz w:val="20"/>
                <w:szCs w:val="20"/>
                <w:lang w:val="en-GB"/>
              </w:rPr>
              <w:t xml:space="preserve"> (available bed)</w:t>
            </w:r>
          </w:p>
        </w:tc>
        <w:tc>
          <w:tcPr>
            <w:tcW w:w="4253" w:type="dxa"/>
            <w:shd w:val="clear" w:color="auto" w:fill="FFFFFF" w:themeFill="background1"/>
          </w:tcPr>
          <w:p w:rsidR="007C3328" w:rsidRPr="0093695B" w:rsidRDefault="007C3328" w:rsidP="009968F5">
            <w:pPr>
              <w:spacing w:before="0" w:line="276" w:lineRule="auto"/>
              <w:jc w:val="left"/>
              <w:rPr>
                <w:rFonts w:cs="Arial"/>
                <w:sz w:val="20"/>
                <w:szCs w:val="20"/>
                <w:lang w:val="en-GB"/>
              </w:rPr>
            </w:pPr>
            <w:r w:rsidRPr="0093695B">
              <w:rPr>
                <w:rFonts w:cs="Arial"/>
                <w:sz w:val="20"/>
                <w:szCs w:val="20"/>
                <w:lang w:val="en-GB"/>
              </w:rPr>
              <w:t>Specialist Palliative clinical care delivered by the specialist palliative care team for Service Users who stay overnight in a community facility (</w:t>
            </w:r>
            <w:proofErr w:type="spellStart"/>
            <w:r w:rsidRPr="0093695B">
              <w:rPr>
                <w:rFonts w:cs="Arial"/>
                <w:sz w:val="20"/>
                <w:szCs w:val="20"/>
                <w:lang w:val="en-GB"/>
              </w:rPr>
              <w:t>eg</w:t>
            </w:r>
            <w:proofErr w:type="spellEnd"/>
            <w:r w:rsidRPr="0093695B">
              <w:rPr>
                <w:rFonts w:cs="Arial"/>
                <w:sz w:val="20"/>
                <w:szCs w:val="20"/>
                <w:lang w:val="en-GB"/>
              </w:rPr>
              <w:t>, hospice, aged residential care).</w:t>
            </w:r>
            <w:r>
              <w:rPr>
                <w:rFonts w:cs="Arial"/>
                <w:sz w:val="20"/>
                <w:szCs w:val="20"/>
                <w:lang w:val="en-GB"/>
              </w:rPr>
              <w:t xml:space="preserve"> </w:t>
            </w:r>
            <w:r>
              <w:rPr>
                <w:rFonts w:eastAsia="Times New Roman" w:cs="Arial"/>
                <w:sz w:val="20"/>
                <w:szCs w:val="20"/>
                <w:lang w:val="en-GB"/>
              </w:rPr>
              <w:t>Includes facility costs.</w:t>
            </w:r>
          </w:p>
        </w:tc>
        <w:tc>
          <w:tcPr>
            <w:tcW w:w="1275"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Pr>
                <w:rFonts w:cs="Arial"/>
                <w:sz w:val="20"/>
                <w:szCs w:val="20"/>
                <w:lang w:val="en-GB"/>
              </w:rPr>
              <w:t>Available</w:t>
            </w:r>
            <w:r w:rsidRPr="0093695B">
              <w:rPr>
                <w:rFonts w:cs="Arial"/>
                <w:sz w:val="20"/>
                <w:szCs w:val="20"/>
                <w:lang w:val="en-GB"/>
              </w:rPr>
              <w:t xml:space="preserve"> bed </w:t>
            </w:r>
            <w:r>
              <w:rPr>
                <w:rFonts w:cs="Arial"/>
                <w:sz w:val="20"/>
                <w:szCs w:val="20"/>
                <w:lang w:val="en-GB"/>
              </w:rPr>
              <w:t>day</w:t>
            </w:r>
          </w:p>
        </w:tc>
        <w:tc>
          <w:tcPr>
            <w:tcW w:w="1276" w:type="dxa"/>
            <w:shd w:val="clear" w:color="auto" w:fill="FFFFFF" w:themeFill="background1"/>
          </w:tcPr>
          <w:p w:rsidR="007C3328" w:rsidRPr="00A139D1" w:rsidRDefault="00A139D1" w:rsidP="007D4EB4">
            <w:pPr>
              <w:spacing w:before="0"/>
              <w:jc w:val="left"/>
              <w:rPr>
                <w:rFonts w:cs="Arial"/>
                <w:bCs/>
                <w:color w:val="000000" w:themeColor="text1"/>
                <w:sz w:val="20"/>
                <w:szCs w:val="20"/>
                <w:lang w:val="en-GB"/>
              </w:rPr>
            </w:pPr>
            <w:r w:rsidRPr="00A139D1">
              <w:rPr>
                <w:rFonts w:cs="Arial"/>
                <w:bCs/>
                <w:color w:val="000000" w:themeColor="text1"/>
                <w:sz w:val="20"/>
                <w:szCs w:val="20"/>
                <w:lang w:val="en-GB"/>
              </w:rPr>
              <w:t>Not applicable</w:t>
            </w:r>
          </w:p>
        </w:tc>
      </w:tr>
      <w:tr w:rsidR="007C3328" w:rsidRPr="00A84B2A" w:rsidTr="00312AA8">
        <w:trPr>
          <w:trHeight w:val="373"/>
        </w:trPr>
        <w:tc>
          <w:tcPr>
            <w:tcW w:w="1135" w:type="dxa"/>
            <w:shd w:val="clear" w:color="auto" w:fill="FFFFFF" w:themeFill="background1"/>
          </w:tcPr>
          <w:p w:rsidR="007C3328" w:rsidRPr="003B579B" w:rsidRDefault="00493B75" w:rsidP="001F35D6">
            <w:pPr>
              <w:spacing w:before="0"/>
              <w:jc w:val="left"/>
              <w:rPr>
                <w:rFonts w:cs="Arial"/>
                <w:sz w:val="20"/>
                <w:szCs w:val="20"/>
                <w:lang w:val="en-GB"/>
              </w:rPr>
            </w:pPr>
            <w:r w:rsidRPr="003B579B">
              <w:rPr>
                <w:rFonts w:cs="Arial"/>
                <w:sz w:val="20"/>
                <w:szCs w:val="20"/>
                <w:lang w:val="en-GB"/>
              </w:rPr>
              <w:t>M800</w:t>
            </w:r>
            <w:r>
              <w:rPr>
                <w:rFonts w:cs="Arial"/>
                <w:sz w:val="20"/>
                <w:szCs w:val="20"/>
                <w:lang w:val="en-GB"/>
              </w:rPr>
              <w:t>15</w:t>
            </w:r>
          </w:p>
          <w:p w:rsidR="007C3328" w:rsidRPr="003B579B" w:rsidRDefault="007C3328" w:rsidP="001F35D6">
            <w:pPr>
              <w:spacing w:before="0"/>
              <w:jc w:val="left"/>
              <w:rPr>
                <w:rFonts w:cs="Arial"/>
                <w:sz w:val="20"/>
                <w:szCs w:val="20"/>
                <w:lang w:val="en-GB"/>
              </w:rPr>
            </w:pPr>
          </w:p>
        </w:tc>
        <w:tc>
          <w:tcPr>
            <w:tcW w:w="1984" w:type="dxa"/>
            <w:shd w:val="clear" w:color="auto" w:fill="FFFFFF" w:themeFill="background1"/>
          </w:tcPr>
          <w:p w:rsidR="007C3328" w:rsidRPr="0093695B" w:rsidRDefault="00F2681A" w:rsidP="001F35D6">
            <w:pPr>
              <w:spacing w:before="0"/>
              <w:jc w:val="left"/>
              <w:rPr>
                <w:rFonts w:cs="Arial"/>
                <w:sz w:val="20"/>
                <w:szCs w:val="20"/>
                <w:lang w:val="en-GB"/>
              </w:rPr>
            </w:pPr>
            <w:r>
              <w:rPr>
                <w:rFonts w:cs="Arial"/>
                <w:sz w:val="20"/>
                <w:szCs w:val="20"/>
                <w:lang w:val="en-GB"/>
              </w:rPr>
              <w:t xml:space="preserve">Specialist </w:t>
            </w:r>
            <w:r w:rsidR="007C3328" w:rsidRPr="0093695B">
              <w:rPr>
                <w:rFonts w:cs="Arial"/>
                <w:sz w:val="20"/>
                <w:szCs w:val="20"/>
                <w:lang w:val="en-GB"/>
              </w:rPr>
              <w:t xml:space="preserve">Palliative Care </w:t>
            </w:r>
            <w:r w:rsidR="007C3328">
              <w:rPr>
                <w:rFonts w:cs="Arial"/>
                <w:sz w:val="20"/>
                <w:szCs w:val="20"/>
                <w:lang w:val="en-GB"/>
              </w:rPr>
              <w:t>–</w:t>
            </w:r>
            <w:r w:rsidR="007C3328" w:rsidRPr="0093695B">
              <w:rPr>
                <w:rFonts w:cs="Arial"/>
                <w:sz w:val="20"/>
                <w:szCs w:val="20"/>
                <w:lang w:val="en-GB"/>
              </w:rPr>
              <w:t xml:space="preserve"> Day case admission</w:t>
            </w:r>
          </w:p>
        </w:tc>
        <w:tc>
          <w:tcPr>
            <w:tcW w:w="4253" w:type="dxa"/>
            <w:shd w:val="clear" w:color="auto" w:fill="FFFFFF" w:themeFill="background1"/>
          </w:tcPr>
          <w:p w:rsidR="007C3328" w:rsidRPr="0093695B" w:rsidRDefault="007C3328" w:rsidP="001F35D6">
            <w:pPr>
              <w:spacing w:before="0"/>
              <w:jc w:val="left"/>
              <w:rPr>
                <w:rFonts w:cs="Arial"/>
                <w:sz w:val="20"/>
                <w:szCs w:val="20"/>
                <w:lang w:val="en-GB"/>
              </w:rPr>
            </w:pPr>
            <w:r w:rsidRPr="0093695B">
              <w:rPr>
                <w:rFonts w:cs="Arial"/>
                <w:sz w:val="20"/>
                <w:szCs w:val="20"/>
                <w:lang w:val="en-GB"/>
              </w:rPr>
              <w:t>Clinical care delivered in the hospice by the specialist palliative care team to palliative care clients admitted as a day case, including family/whanau as appropriate.</w:t>
            </w:r>
          </w:p>
        </w:tc>
        <w:tc>
          <w:tcPr>
            <w:tcW w:w="1275" w:type="dxa"/>
            <w:shd w:val="clear" w:color="auto" w:fill="FFFFFF" w:themeFill="background1"/>
          </w:tcPr>
          <w:p w:rsidR="007C3328" w:rsidRPr="0093695B" w:rsidRDefault="00F87354" w:rsidP="001F35D6">
            <w:pPr>
              <w:spacing w:before="0"/>
              <w:jc w:val="left"/>
              <w:rPr>
                <w:rFonts w:cs="Arial"/>
                <w:sz w:val="20"/>
                <w:szCs w:val="20"/>
                <w:lang w:val="en-GB"/>
              </w:rPr>
            </w:pPr>
            <w:r>
              <w:rPr>
                <w:rFonts w:cs="Arial"/>
                <w:sz w:val="20"/>
                <w:szCs w:val="20"/>
                <w:lang w:val="en-GB"/>
              </w:rPr>
              <w:t>Day Attendance</w:t>
            </w:r>
            <w:r w:rsidRPr="0093695B">
              <w:rPr>
                <w:rFonts w:cs="Arial"/>
                <w:sz w:val="20"/>
                <w:szCs w:val="20"/>
                <w:lang w:val="en-GB"/>
              </w:rPr>
              <w:t xml:space="preserve"> </w:t>
            </w:r>
          </w:p>
        </w:tc>
        <w:tc>
          <w:tcPr>
            <w:tcW w:w="1276" w:type="dxa"/>
            <w:shd w:val="clear" w:color="auto" w:fill="FFFFFF" w:themeFill="background1"/>
          </w:tcPr>
          <w:p w:rsidR="007C3328" w:rsidRPr="00A139D1" w:rsidRDefault="00A139D1" w:rsidP="001F35D6">
            <w:pPr>
              <w:spacing w:before="0"/>
              <w:jc w:val="left"/>
              <w:rPr>
                <w:rFonts w:cs="Arial"/>
                <w:sz w:val="20"/>
                <w:szCs w:val="20"/>
                <w:lang w:val="en-GB"/>
              </w:rPr>
            </w:pPr>
            <w:r w:rsidRPr="00A139D1">
              <w:rPr>
                <w:rFonts w:cs="Arial"/>
                <w:sz w:val="20"/>
                <w:szCs w:val="20"/>
                <w:lang w:val="en-GB"/>
              </w:rPr>
              <w:t>Not applicable</w:t>
            </w:r>
          </w:p>
        </w:tc>
      </w:tr>
      <w:tr w:rsidR="007C3328" w:rsidRPr="00A84B2A" w:rsidTr="00312AA8">
        <w:trPr>
          <w:trHeight w:val="373"/>
        </w:trPr>
        <w:tc>
          <w:tcPr>
            <w:tcW w:w="1135" w:type="dxa"/>
            <w:shd w:val="clear" w:color="auto" w:fill="FFFFFF" w:themeFill="background1"/>
          </w:tcPr>
          <w:p w:rsidR="007C3328" w:rsidRPr="003B579B" w:rsidRDefault="007C3328" w:rsidP="001F35D6">
            <w:pPr>
              <w:spacing w:before="0"/>
              <w:jc w:val="left"/>
              <w:rPr>
                <w:rFonts w:cs="Arial"/>
                <w:sz w:val="20"/>
                <w:szCs w:val="20"/>
                <w:lang w:val="en-GB"/>
              </w:rPr>
            </w:pPr>
            <w:r w:rsidRPr="003B579B">
              <w:rPr>
                <w:rFonts w:cs="Arial"/>
                <w:sz w:val="20"/>
                <w:szCs w:val="20"/>
                <w:lang w:val="en-GB"/>
              </w:rPr>
              <w:t>M80009</w:t>
            </w:r>
          </w:p>
          <w:p w:rsidR="007C3328" w:rsidRPr="003B579B" w:rsidRDefault="007C3328" w:rsidP="001F35D6">
            <w:pPr>
              <w:spacing w:before="0"/>
              <w:jc w:val="left"/>
              <w:rPr>
                <w:rFonts w:cs="Arial"/>
                <w:sz w:val="20"/>
                <w:szCs w:val="20"/>
                <w:lang w:val="en-GB"/>
              </w:rPr>
            </w:pPr>
          </w:p>
        </w:tc>
        <w:tc>
          <w:tcPr>
            <w:tcW w:w="1984" w:type="dxa"/>
            <w:shd w:val="clear" w:color="auto" w:fill="FFFFFF" w:themeFill="background1"/>
          </w:tcPr>
          <w:p w:rsidR="007C3328" w:rsidRPr="0093695B" w:rsidRDefault="007C3328" w:rsidP="001F35D6">
            <w:pPr>
              <w:spacing w:before="0" w:line="276" w:lineRule="auto"/>
              <w:jc w:val="left"/>
              <w:rPr>
                <w:rFonts w:cs="Arial"/>
                <w:sz w:val="20"/>
                <w:szCs w:val="20"/>
                <w:lang w:val="en-GB"/>
              </w:rPr>
            </w:pPr>
            <w:r w:rsidRPr="0093695B">
              <w:rPr>
                <w:rFonts w:cs="Arial"/>
                <w:sz w:val="20"/>
                <w:szCs w:val="20"/>
                <w:lang w:val="en-GB"/>
              </w:rPr>
              <w:t>Specialist Palliative care education &amp; liaison service</w:t>
            </w:r>
          </w:p>
        </w:tc>
        <w:tc>
          <w:tcPr>
            <w:tcW w:w="4253" w:type="dxa"/>
            <w:shd w:val="clear" w:color="auto" w:fill="FFFFFF" w:themeFill="background1"/>
          </w:tcPr>
          <w:p w:rsidR="007C3328" w:rsidRPr="0093695B" w:rsidRDefault="007C3328" w:rsidP="001F35D6">
            <w:pPr>
              <w:spacing w:before="0" w:line="276" w:lineRule="auto"/>
              <w:jc w:val="left"/>
              <w:rPr>
                <w:rFonts w:cs="Arial"/>
                <w:sz w:val="20"/>
                <w:szCs w:val="20"/>
                <w:lang w:val="en-GB"/>
              </w:rPr>
            </w:pPr>
            <w:r w:rsidRPr="00352FAC">
              <w:rPr>
                <w:rFonts w:eastAsia="Times New Roman" w:cs="Arial"/>
                <w:sz w:val="20"/>
                <w:szCs w:val="20"/>
                <w:lang w:val="en-GB"/>
              </w:rPr>
              <w:t xml:space="preserve">Education, training, consultation and liaison services provided by a specialist palliative care team to assist primary palliative care health professionals to identify and respond </w:t>
            </w:r>
            <w:r w:rsidRPr="00352FAC">
              <w:rPr>
                <w:rFonts w:eastAsia="Times New Roman" w:cs="Arial"/>
                <w:sz w:val="20"/>
                <w:szCs w:val="20"/>
                <w:lang w:val="en-GB"/>
              </w:rPr>
              <w:lastRenderedPageBreak/>
              <w:t>appropriately to the needs of Service Users.</w:t>
            </w:r>
          </w:p>
        </w:tc>
        <w:tc>
          <w:tcPr>
            <w:tcW w:w="1275" w:type="dxa"/>
            <w:shd w:val="clear" w:color="auto" w:fill="FFFFFF" w:themeFill="background1"/>
          </w:tcPr>
          <w:p w:rsidR="007C3328" w:rsidRPr="0093695B" w:rsidRDefault="007C3328" w:rsidP="001F35D6">
            <w:pPr>
              <w:spacing w:before="0" w:line="276" w:lineRule="auto"/>
              <w:jc w:val="left"/>
              <w:rPr>
                <w:rFonts w:cs="Arial"/>
                <w:sz w:val="20"/>
                <w:szCs w:val="20"/>
                <w:lang w:val="en-GB"/>
              </w:rPr>
            </w:pPr>
            <w:r w:rsidRPr="0093695B">
              <w:rPr>
                <w:rFonts w:cs="Arial"/>
                <w:sz w:val="20"/>
                <w:szCs w:val="20"/>
                <w:lang w:val="en-GB"/>
              </w:rPr>
              <w:lastRenderedPageBreak/>
              <w:t>Service</w:t>
            </w:r>
          </w:p>
        </w:tc>
        <w:tc>
          <w:tcPr>
            <w:tcW w:w="1276" w:type="dxa"/>
            <w:shd w:val="clear" w:color="auto" w:fill="FFFFFF" w:themeFill="background1"/>
          </w:tcPr>
          <w:p w:rsidR="007C3328" w:rsidRPr="00A139D1" w:rsidRDefault="00A139D1" w:rsidP="001F35D6">
            <w:pPr>
              <w:spacing w:before="0"/>
              <w:jc w:val="left"/>
              <w:rPr>
                <w:rFonts w:cs="Arial"/>
                <w:sz w:val="20"/>
                <w:szCs w:val="20"/>
                <w:lang w:val="en-GB"/>
              </w:rPr>
            </w:pPr>
            <w:r w:rsidRPr="00A139D1">
              <w:rPr>
                <w:rFonts w:cs="Arial"/>
                <w:bCs/>
                <w:color w:val="000000" w:themeColor="text1"/>
                <w:sz w:val="20"/>
                <w:szCs w:val="20"/>
                <w:lang w:val="en-GB"/>
              </w:rPr>
              <w:t>Not applicable</w:t>
            </w:r>
          </w:p>
        </w:tc>
      </w:tr>
      <w:tr w:rsidR="007C3328" w:rsidRPr="00A84B2A" w:rsidTr="00312AA8">
        <w:trPr>
          <w:trHeight w:val="373"/>
        </w:trPr>
        <w:tc>
          <w:tcPr>
            <w:tcW w:w="1135" w:type="dxa"/>
            <w:shd w:val="clear" w:color="auto" w:fill="FFFFFF" w:themeFill="background1"/>
          </w:tcPr>
          <w:p w:rsidR="007C3328" w:rsidRPr="003B579B" w:rsidRDefault="007C3328" w:rsidP="007D4EB4">
            <w:pPr>
              <w:spacing w:before="0"/>
              <w:jc w:val="left"/>
              <w:rPr>
                <w:rFonts w:cs="Arial"/>
                <w:sz w:val="20"/>
                <w:szCs w:val="20"/>
                <w:lang w:val="en-GB"/>
              </w:rPr>
            </w:pPr>
            <w:r w:rsidRPr="003B579B">
              <w:rPr>
                <w:rFonts w:cs="Arial"/>
                <w:sz w:val="20"/>
                <w:szCs w:val="20"/>
                <w:lang w:val="en-GB"/>
              </w:rPr>
              <w:lastRenderedPageBreak/>
              <w:t>M80010</w:t>
            </w:r>
          </w:p>
          <w:p w:rsidR="007C3328" w:rsidRPr="003B579B" w:rsidRDefault="007C3328" w:rsidP="007D4EB4">
            <w:pPr>
              <w:spacing w:before="0"/>
              <w:jc w:val="left"/>
              <w:rPr>
                <w:rFonts w:cs="Arial"/>
                <w:sz w:val="20"/>
                <w:szCs w:val="20"/>
                <w:lang w:val="en-GB"/>
              </w:rPr>
            </w:pPr>
          </w:p>
        </w:tc>
        <w:tc>
          <w:tcPr>
            <w:tcW w:w="1984" w:type="dxa"/>
            <w:shd w:val="clear" w:color="auto" w:fill="FFFFFF" w:themeFill="background1"/>
          </w:tcPr>
          <w:p w:rsidR="007C3328" w:rsidRPr="0093695B" w:rsidRDefault="00F2681A" w:rsidP="007D4EB4">
            <w:pPr>
              <w:spacing w:before="0" w:line="276" w:lineRule="auto"/>
              <w:jc w:val="left"/>
              <w:rPr>
                <w:rFonts w:cs="Arial"/>
                <w:sz w:val="20"/>
                <w:szCs w:val="20"/>
                <w:lang w:val="en-GB"/>
              </w:rPr>
            </w:pPr>
            <w:r>
              <w:rPr>
                <w:rFonts w:cs="Arial"/>
                <w:sz w:val="20"/>
                <w:szCs w:val="20"/>
                <w:lang w:val="en-GB"/>
              </w:rPr>
              <w:t xml:space="preserve">Specialist </w:t>
            </w:r>
            <w:r w:rsidR="007C3328" w:rsidRPr="0093695B">
              <w:rPr>
                <w:rFonts w:cs="Arial"/>
                <w:sz w:val="20"/>
                <w:szCs w:val="20"/>
                <w:lang w:val="en-GB"/>
              </w:rPr>
              <w:t xml:space="preserve">Palliative Care </w:t>
            </w:r>
            <w:r w:rsidR="007C3328">
              <w:rPr>
                <w:rFonts w:cs="Arial"/>
                <w:sz w:val="20"/>
                <w:szCs w:val="20"/>
                <w:lang w:val="en-GB"/>
              </w:rPr>
              <w:t>–</w:t>
            </w:r>
            <w:r w:rsidR="007C3328" w:rsidRPr="0093695B">
              <w:rPr>
                <w:rFonts w:cs="Arial"/>
                <w:sz w:val="20"/>
                <w:szCs w:val="20"/>
                <w:lang w:val="en-GB"/>
              </w:rPr>
              <w:t xml:space="preserve"> First attendance</w:t>
            </w:r>
          </w:p>
        </w:tc>
        <w:tc>
          <w:tcPr>
            <w:tcW w:w="4253" w:type="dxa"/>
            <w:shd w:val="clear" w:color="auto" w:fill="FFFFFF" w:themeFill="background1"/>
          </w:tcPr>
          <w:p w:rsidR="007C3328" w:rsidRPr="0093695B" w:rsidRDefault="007C3328" w:rsidP="00BF207C">
            <w:pPr>
              <w:spacing w:before="0" w:line="276" w:lineRule="auto"/>
              <w:jc w:val="left"/>
              <w:rPr>
                <w:rFonts w:cs="Arial"/>
                <w:sz w:val="20"/>
                <w:szCs w:val="20"/>
                <w:lang w:val="en-GB"/>
              </w:rPr>
            </w:pPr>
            <w:r w:rsidRPr="00352FAC">
              <w:rPr>
                <w:rFonts w:eastAsia="Times New Roman" w:cs="Arial"/>
                <w:sz w:val="20"/>
                <w:szCs w:val="20"/>
                <w:lang w:val="en-GB"/>
              </w:rPr>
              <w:t xml:space="preserve">First attendance </w:t>
            </w:r>
            <w:r>
              <w:rPr>
                <w:rFonts w:eastAsia="Times New Roman" w:cs="Arial"/>
                <w:sz w:val="20"/>
                <w:szCs w:val="20"/>
                <w:lang w:val="en-GB"/>
              </w:rPr>
              <w:t xml:space="preserve">for </w:t>
            </w:r>
            <w:r w:rsidRPr="00352FAC">
              <w:rPr>
                <w:rFonts w:eastAsia="Times New Roman" w:cs="Arial"/>
                <w:sz w:val="20"/>
                <w:szCs w:val="20"/>
                <w:lang w:val="en-GB"/>
              </w:rPr>
              <w:t>Specialist</w:t>
            </w:r>
            <w:r>
              <w:rPr>
                <w:rFonts w:eastAsia="Times New Roman" w:cs="Arial"/>
                <w:sz w:val="20"/>
                <w:szCs w:val="20"/>
                <w:lang w:val="en-GB"/>
              </w:rPr>
              <w:t xml:space="preserve"> Palliative Care</w:t>
            </w:r>
            <w:r w:rsidRPr="00352FAC">
              <w:rPr>
                <w:rFonts w:eastAsia="Times New Roman" w:cs="Arial"/>
                <w:sz w:val="20"/>
                <w:szCs w:val="20"/>
                <w:lang w:val="en-GB"/>
              </w:rPr>
              <w:t xml:space="preserve"> assessment by a medical specialist or medical officer at registrar level or above or Nurse Practitioner.</w:t>
            </w:r>
          </w:p>
        </w:tc>
        <w:tc>
          <w:tcPr>
            <w:tcW w:w="1275"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93695B">
              <w:rPr>
                <w:rFonts w:cs="Arial"/>
                <w:sz w:val="20"/>
                <w:szCs w:val="20"/>
                <w:lang w:val="en-GB"/>
              </w:rPr>
              <w:t>Attendance</w:t>
            </w:r>
          </w:p>
        </w:tc>
        <w:tc>
          <w:tcPr>
            <w:tcW w:w="1276" w:type="dxa"/>
            <w:shd w:val="clear" w:color="auto" w:fill="FFFFFF" w:themeFill="background1"/>
          </w:tcPr>
          <w:p w:rsidR="007C3328" w:rsidRPr="0093695B" w:rsidRDefault="007C3328" w:rsidP="007D4EB4">
            <w:pPr>
              <w:spacing w:before="0"/>
              <w:jc w:val="left"/>
              <w:rPr>
                <w:rFonts w:cs="Arial"/>
                <w:bCs/>
                <w:color w:val="000000" w:themeColor="text1"/>
                <w:sz w:val="20"/>
                <w:szCs w:val="20"/>
                <w:lang w:val="en-GB"/>
              </w:rPr>
            </w:pPr>
            <w:r w:rsidRPr="0093695B">
              <w:rPr>
                <w:rFonts w:cs="Arial"/>
                <w:bCs/>
                <w:color w:val="000000" w:themeColor="text1"/>
                <w:sz w:val="20"/>
                <w:szCs w:val="20"/>
                <w:lang w:val="en-GB"/>
              </w:rPr>
              <w:t>National Non Admitted Patient Collection (NNPAC)</w:t>
            </w:r>
          </w:p>
        </w:tc>
      </w:tr>
      <w:tr w:rsidR="007C3328" w:rsidRPr="00A84B2A" w:rsidTr="00312AA8">
        <w:trPr>
          <w:trHeight w:val="373"/>
        </w:trPr>
        <w:tc>
          <w:tcPr>
            <w:tcW w:w="1135" w:type="dxa"/>
            <w:shd w:val="clear" w:color="auto" w:fill="FFFFFF" w:themeFill="background1"/>
          </w:tcPr>
          <w:p w:rsidR="007C3328" w:rsidRPr="003B579B" w:rsidRDefault="007C3328" w:rsidP="007D4EB4">
            <w:pPr>
              <w:spacing w:before="0"/>
              <w:jc w:val="left"/>
              <w:rPr>
                <w:rFonts w:cs="Arial"/>
                <w:sz w:val="20"/>
                <w:szCs w:val="20"/>
                <w:lang w:val="en-GB"/>
              </w:rPr>
            </w:pPr>
            <w:r w:rsidRPr="003B579B">
              <w:rPr>
                <w:rFonts w:cs="Arial"/>
                <w:sz w:val="20"/>
                <w:szCs w:val="20"/>
                <w:lang w:val="en-GB"/>
              </w:rPr>
              <w:t>M80011</w:t>
            </w:r>
          </w:p>
          <w:p w:rsidR="007C3328" w:rsidRPr="003B579B" w:rsidRDefault="007C3328" w:rsidP="007D4EB4">
            <w:pPr>
              <w:spacing w:before="0"/>
              <w:jc w:val="left"/>
              <w:rPr>
                <w:rFonts w:cs="Arial"/>
                <w:sz w:val="20"/>
                <w:szCs w:val="20"/>
                <w:lang w:val="en-GB"/>
              </w:rPr>
            </w:pPr>
          </w:p>
        </w:tc>
        <w:tc>
          <w:tcPr>
            <w:tcW w:w="1984" w:type="dxa"/>
            <w:shd w:val="clear" w:color="auto" w:fill="FFFFFF" w:themeFill="background1"/>
          </w:tcPr>
          <w:p w:rsidR="007C3328" w:rsidRPr="0093695B" w:rsidRDefault="00F2681A" w:rsidP="007D4EB4">
            <w:pPr>
              <w:spacing w:before="0" w:line="276" w:lineRule="auto"/>
              <w:jc w:val="left"/>
              <w:rPr>
                <w:rFonts w:cs="Arial"/>
                <w:sz w:val="20"/>
                <w:szCs w:val="20"/>
                <w:lang w:val="en-GB"/>
              </w:rPr>
            </w:pPr>
            <w:r>
              <w:rPr>
                <w:rFonts w:cs="Arial"/>
                <w:sz w:val="20"/>
                <w:szCs w:val="20"/>
                <w:lang w:val="en-GB"/>
              </w:rPr>
              <w:t xml:space="preserve">Specialist </w:t>
            </w:r>
            <w:r w:rsidR="007C3328" w:rsidRPr="0093695B">
              <w:rPr>
                <w:rFonts w:cs="Arial"/>
                <w:sz w:val="20"/>
                <w:szCs w:val="20"/>
                <w:lang w:val="en-GB"/>
              </w:rPr>
              <w:t xml:space="preserve">Palliative Care </w:t>
            </w:r>
            <w:r w:rsidR="007C3328">
              <w:rPr>
                <w:rFonts w:cs="Arial"/>
                <w:sz w:val="20"/>
                <w:szCs w:val="20"/>
                <w:lang w:val="en-GB"/>
              </w:rPr>
              <w:t>–</w:t>
            </w:r>
            <w:r w:rsidR="007C3328" w:rsidRPr="0093695B">
              <w:rPr>
                <w:rFonts w:cs="Arial"/>
                <w:sz w:val="20"/>
                <w:szCs w:val="20"/>
                <w:lang w:val="en-GB"/>
              </w:rPr>
              <w:t xml:space="preserve"> Subsequent attendance </w:t>
            </w:r>
          </w:p>
        </w:tc>
        <w:tc>
          <w:tcPr>
            <w:tcW w:w="4253"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296166">
              <w:rPr>
                <w:rFonts w:cs="Arial"/>
                <w:sz w:val="20"/>
                <w:szCs w:val="20"/>
                <w:lang w:val="en-GB"/>
              </w:rPr>
              <w:t>Subsequent attendance for Specialist Palliative Care assessment by a medical specialist or medical officer at registrar level or above or Nurse Practitioner.</w:t>
            </w:r>
          </w:p>
        </w:tc>
        <w:tc>
          <w:tcPr>
            <w:tcW w:w="1275"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93695B">
              <w:rPr>
                <w:rFonts w:cs="Arial"/>
                <w:sz w:val="20"/>
                <w:szCs w:val="20"/>
                <w:lang w:val="en-GB"/>
              </w:rPr>
              <w:t>Attendance</w:t>
            </w:r>
          </w:p>
        </w:tc>
        <w:tc>
          <w:tcPr>
            <w:tcW w:w="1276" w:type="dxa"/>
            <w:shd w:val="clear" w:color="auto" w:fill="FFFFFF" w:themeFill="background1"/>
          </w:tcPr>
          <w:p w:rsidR="007C3328" w:rsidRPr="0093695B" w:rsidRDefault="007C3328" w:rsidP="007D4EB4">
            <w:pPr>
              <w:spacing w:before="0"/>
              <w:jc w:val="left"/>
              <w:rPr>
                <w:rFonts w:cs="Arial"/>
                <w:bCs/>
                <w:color w:val="000000" w:themeColor="text1"/>
                <w:sz w:val="20"/>
                <w:szCs w:val="20"/>
                <w:lang w:val="en-GB"/>
              </w:rPr>
            </w:pPr>
            <w:r w:rsidRPr="0093695B">
              <w:rPr>
                <w:rFonts w:cs="Arial"/>
                <w:bCs/>
                <w:color w:val="000000" w:themeColor="text1"/>
                <w:sz w:val="20"/>
                <w:szCs w:val="20"/>
                <w:lang w:val="en-GB"/>
              </w:rPr>
              <w:t>NNPAC</w:t>
            </w:r>
          </w:p>
        </w:tc>
      </w:tr>
      <w:tr w:rsidR="007C3328" w:rsidRPr="003473D0" w:rsidTr="00312AA8">
        <w:tblPrEx>
          <w:shd w:val="clear" w:color="auto" w:fill="auto"/>
        </w:tblPrEx>
        <w:trPr>
          <w:trHeight w:val="1200"/>
        </w:trPr>
        <w:tc>
          <w:tcPr>
            <w:tcW w:w="1135" w:type="dxa"/>
            <w:hideMark/>
          </w:tcPr>
          <w:p w:rsidR="007C3328" w:rsidRPr="00972FFB" w:rsidRDefault="007C3328" w:rsidP="003473D0">
            <w:pPr>
              <w:spacing w:before="0"/>
              <w:jc w:val="left"/>
              <w:rPr>
                <w:rFonts w:cs="Arial"/>
                <w:sz w:val="20"/>
                <w:szCs w:val="20"/>
                <w:lang w:val="en-GB"/>
              </w:rPr>
            </w:pPr>
            <w:r w:rsidRPr="00972FFB">
              <w:rPr>
                <w:rFonts w:cs="Arial"/>
                <w:sz w:val="20"/>
                <w:szCs w:val="20"/>
                <w:lang w:val="en-GB"/>
              </w:rPr>
              <w:t>MS01001</w:t>
            </w:r>
          </w:p>
        </w:tc>
        <w:tc>
          <w:tcPr>
            <w:tcW w:w="1984" w:type="dxa"/>
            <w:hideMark/>
          </w:tcPr>
          <w:p w:rsidR="007C3328" w:rsidRPr="00972FFB" w:rsidRDefault="007C3328" w:rsidP="003473D0">
            <w:pPr>
              <w:spacing w:before="0"/>
              <w:jc w:val="left"/>
              <w:rPr>
                <w:rFonts w:cs="Arial"/>
                <w:sz w:val="20"/>
                <w:szCs w:val="20"/>
                <w:lang w:val="en-GB"/>
              </w:rPr>
            </w:pPr>
            <w:r w:rsidRPr="00972FFB">
              <w:rPr>
                <w:rFonts w:cs="Arial"/>
                <w:sz w:val="20"/>
                <w:szCs w:val="20"/>
                <w:lang w:val="en-GB"/>
              </w:rPr>
              <w:t>Nurse Led Outpatient Clinics</w:t>
            </w:r>
          </w:p>
        </w:tc>
        <w:tc>
          <w:tcPr>
            <w:tcW w:w="4253" w:type="dxa"/>
            <w:hideMark/>
          </w:tcPr>
          <w:p w:rsidR="007C3328" w:rsidRPr="00972FFB" w:rsidRDefault="007C3328" w:rsidP="003473D0">
            <w:pPr>
              <w:spacing w:before="0"/>
              <w:jc w:val="left"/>
              <w:rPr>
                <w:rFonts w:cs="Arial"/>
                <w:sz w:val="20"/>
                <w:szCs w:val="20"/>
                <w:lang w:val="en-GB"/>
              </w:rPr>
            </w:pPr>
            <w:r w:rsidRPr="00972FFB">
              <w:rPr>
                <w:rFonts w:cs="Arial"/>
                <w:sz w:val="20"/>
                <w:szCs w:val="20"/>
                <w:lang w:val="en-GB"/>
              </w:rPr>
              <w:t xml:space="preserve">Assessment, treatment, or education and/or management outpatient clinics led by a nurse specialist not covered under other education management PUCs. </w:t>
            </w:r>
            <w:r>
              <w:rPr>
                <w:rFonts w:cs="Arial"/>
                <w:sz w:val="20"/>
                <w:szCs w:val="20"/>
                <w:lang w:val="en-GB"/>
              </w:rPr>
              <w:t>This excludes clinics led by a Nurse P</w:t>
            </w:r>
            <w:r w:rsidRPr="00972FFB">
              <w:rPr>
                <w:rFonts w:cs="Arial"/>
                <w:sz w:val="20"/>
                <w:szCs w:val="20"/>
                <w:lang w:val="en-GB"/>
              </w:rPr>
              <w:t>ractitioner.</w:t>
            </w:r>
            <w:r>
              <w:rPr>
                <w:rFonts w:cs="Arial"/>
                <w:sz w:val="20"/>
                <w:szCs w:val="20"/>
                <w:lang w:val="en-GB"/>
              </w:rPr>
              <w:t xml:space="preserve"> Activity should be reported to NNPAC with the health specialty code.</w:t>
            </w:r>
          </w:p>
        </w:tc>
        <w:tc>
          <w:tcPr>
            <w:tcW w:w="1275" w:type="dxa"/>
            <w:hideMark/>
          </w:tcPr>
          <w:p w:rsidR="007C3328" w:rsidRPr="00972FFB" w:rsidRDefault="007C3328" w:rsidP="003473D0">
            <w:pPr>
              <w:spacing w:before="0"/>
              <w:jc w:val="left"/>
              <w:rPr>
                <w:rFonts w:cs="Arial"/>
                <w:sz w:val="20"/>
                <w:szCs w:val="20"/>
                <w:lang w:val="en-GB"/>
              </w:rPr>
            </w:pPr>
            <w:r w:rsidRPr="00972FFB">
              <w:rPr>
                <w:rFonts w:cs="Arial"/>
                <w:sz w:val="20"/>
                <w:szCs w:val="20"/>
                <w:lang w:val="en-GB"/>
              </w:rPr>
              <w:t>Attendance</w:t>
            </w:r>
          </w:p>
        </w:tc>
        <w:tc>
          <w:tcPr>
            <w:tcW w:w="1276" w:type="dxa"/>
            <w:hideMark/>
          </w:tcPr>
          <w:p w:rsidR="007C3328" w:rsidRPr="00972FFB" w:rsidRDefault="007C3328" w:rsidP="003473D0">
            <w:pPr>
              <w:spacing w:before="0"/>
              <w:jc w:val="left"/>
              <w:rPr>
                <w:rFonts w:cs="Arial"/>
                <w:sz w:val="20"/>
                <w:szCs w:val="20"/>
                <w:lang w:val="en-GB"/>
              </w:rPr>
            </w:pPr>
            <w:r w:rsidRPr="00972FFB">
              <w:rPr>
                <w:rFonts w:cs="Arial"/>
                <w:sz w:val="20"/>
                <w:szCs w:val="20"/>
                <w:lang w:val="en-GB"/>
              </w:rPr>
              <w:t>NNPAC</w:t>
            </w:r>
          </w:p>
        </w:tc>
      </w:tr>
      <w:tr w:rsidR="007C3328" w:rsidRPr="00A84B2A" w:rsidTr="00312AA8">
        <w:trPr>
          <w:trHeight w:val="373"/>
        </w:trPr>
        <w:tc>
          <w:tcPr>
            <w:tcW w:w="1135" w:type="dxa"/>
            <w:shd w:val="clear" w:color="auto" w:fill="FFFFFF" w:themeFill="background1"/>
          </w:tcPr>
          <w:p w:rsidR="007C3328" w:rsidRPr="00DF1A9D" w:rsidRDefault="007C3328" w:rsidP="007D4EB4">
            <w:pPr>
              <w:spacing w:before="0"/>
              <w:jc w:val="left"/>
              <w:rPr>
                <w:rFonts w:cs="Arial"/>
                <w:sz w:val="20"/>
                <w:szCs w:val="20"/>
                <w:lang w:val="en-GB"/>
              </w:rPr>
            </w:pPr>
            <w:r w:rsidRPr="00DF1A9D">
              <w:rPr>
                <w:rFonts w:cs="Arial"/>
                <w:sz w:val="20"/>
                <w:szCs w:val="20"/>
                <w:lang w:val="en-GB"/>
              </w:rPr>
              <w:t>M00010</w:t>
            </w:r>
          </w:p>
        </w:tc>
        <w:tc>
          <w:tcPr>
            <w:tcW w:w="1984"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93695B">
              <w:rPr>
                <w:rFonts w:cs="Arial"/>
                <w:sz w:val="20"/>
                <w:szCs w:val="20"/>
                <w:lang w:val="en-GB"/>
              </w:rPr>
              <w:t xml:space="preserve">Medical </w:t>
            </w:r>
            <w:proofErr w:type="spellStart"/>
            <w:r w:rsidRPr="0093695B">
              <w:rPr>
                <w:rFonts w:cs="Arial"/>
                <w:sz w:val="20"/>
                <w:szCs w:val="20"/>
                <w:lang w:val="en-GB"/>
              </w:rPr>
              <w:t>non contact</w:t>
            </w:r>
            <w:proofErr w:type="spellEnd"/>
            <w:r w:rsidRPr="0093695B">
              <w:rPr>
                <w:rFonts w:cs="Arial"/>
                <w:sz w:val="20"/>
                <w:szCs w:val="20"/>
                <w:lang w:val="en-GB"/>
              </w:rPr>
              <w:t xml:space="preserve"> First Specialist Assessment </w:t>
            </w:r>
            <w:r>
              <w:rPr>
                <w:rFonts w:cs="Arial"/>
                <w:sz w:val="20"/>
                <w:szCs w:val="20"/>
                <w:lang w:val="en-GB"/>
              </w:rPr>
              <w:t>–</w:t>
            </w:r>
            <w:r w:rsidRPr="0093695B">
              <w:rPr>
                <w:rFonts w:cs="Arial"/>
                <w:sz w:val="20"/>
                <w:szCs w:val="20"/>
                <w:lang w:val="en-GB"/>
              </w:rPr>
              <w:t xml:space="preserve"> Any health specialty</w:t>
            </w:r>
          </w:p>
        </w:tc>
        <w:tc>
          <w:tcPr>
            <w:tcW w:w="4253"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93695B">
              <w:rPr>
                <w:rFonts w:cs="Arial"/>
                <w:sz w:val="20"/>
                <w:szCs w:val="20"/>
                <w:lang w:val="en-GB"/>
              </w:rPr>
              <w:t xml:space="preserve">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w:t>
            </w:r>
            <w:r w:rsidR="00312AA8" w:rsidRPr="0093695B">
              <w:rPr>
                <w:rFonts w:cs="Arial"/>
                <w:sz w:val="20"/>
                <w:szCs w:val="20"/>
                <w:lang w:val="en-GB"/>
              </w:rPr>
              <w:t>non-contact</w:t>
            </w:r>
            <w:r w:rsidRPr="0093695B">
              <w:rPr>
                <w:rFonts w:cs="Arial"/>
                <w:sz w:val="20"/>
                <w:szCs w:val="20"/>
                <w:lang w:val="en-GB"/>
              </w:rPr>
              <w:t xml:space="preserve"> FSA does not include the triaging of referral letters. The patient should not be present during the assessment.</w:t>
            </w:r>
          </w:p>
        </w:tc>
        <w:tc>
          <w:tcPr>
            <w:tcW w:w="1275" w:type="dxa"/>
            <w:shd w:val="clear" w:color="auto" w:fill="FFFFFF" w:themeFill="background1"/>
          </w:tcPr>
          <w:p w:rsidR="007C3328" w:rsidRPr="0093695B" w:rsidRDefault="007C3328" w:rsidP="007D4EB4">
            <w:pPr>
              <w:spacing w:before="0" w:line="276" w:lineRule="auto"/>
              <w:jc w:val="left"/>
              <w:rPr>
                <w:rFonts w:cs="Arial"/>
                <w:sz w:val="20"/>
                <w:szCs w:val="20"/>
                <w:lang w:val="en-GB"/>
              </w:rPr>
            </w:pPr>
            <w:r w:rsidRPr="0093695B">
              <w:rPr>
                <w:rFonts w:cs="Arial"/>
                <w:sz w:val="20"/>
                <w:szCs w:val="20"/>
                <w:lang w:val="en-GB"/>
              </w:rPr>
              <w:t>Written plan of care</w:t>
            </w:r>
          </w:p>
        </w:tc>
        <w:tc>
          <w:tcPr>
            <w:tcW w:w="1276" w:type="dxa"/>
            <w:shd w:val="clear" w:color="auto" w:fill="FFFFFF" w:themeFill="background1"/>
          </w:tcPr>
          <w:p w:rsidR="007C3328" w:rsidRPr="0093695B" w:rsidRDefault="007C3328" w:rsidP="007D4EB4">
            <w:pPr>
              <w:spacing w:before="0"/>
              <w:jc w:val="left"/>
              <w:rPr>
                <w:rFonts w:cs="Arial"/>
                <w:bCs/>
                <w:color w:val="000000" w:themeColor="text1"/>
                <w:sz w:val="20"/>
                <w:szCs w:val="20"/>
                <w:lang w:val="en-GB"/>
              </w:rPr>
            </w:pPr>
            <w:r w:rsidRPr="0093695B">
              <w:rPr>
                <w:rFonts w:cs="Arial"/>
                <w:bCs/>
                <w:color w:val="000000" w:themeColor="text1"/>
                <w:sz w:val="20"/>
                <w:szCs w:val="20"/>
                <w:lang w:val="en-GB"/>
              </w:rPr>
              <w:t>NNPAC</w:t>
            </w:r>
          </w:p>
        </w:tc>
      </w:tr>
    </w:tbl>
    <w:p w:rsidR="009757FE" w:rsidRDefault="009757FE">
      <w:pPr>
        <w:spacing w:befor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769"/>
      </w:tblGrid>
      <w:tr w:rsidR="00A5318C" w:rsidRPr="00A5318C" w:rsidTr="004A6402">
        <w:trPr>
          <w:tblHeader/>
        </w:trPr>
        <w:tc>
          <w:tcPr>
            <w:tcW w:w="3085" w:type="dxa"/>
            <w:shd w:val="pct12" w:color="auto" w:fill="auto"/>
          </w:tcPr>
          <w:p w:rsidR="00A5318C" w:rsidRPr="00A139D1" w:rsidRDefault="00A5318C" w:rsidP="00A5318C">
            <w:pPr>
              <w:jc w:val="left"/>
              <w:rPr>
                <w:rFonts w:cs="Arial"/>
                <w:b/>
                <w:sz w:val="22"/>
                <w:szCs w:val="22"/>
              </w:rPr>
            </w:pPr>
            <w:r w:rsidRPr="00A139D1">
              <w:rPr>
                <w:rFonts w:cs="Arial"/>
                <w:b/>
                <w:sz w:val="22"/>
                <w:szCs w:val="22"/>
              </w:rPr>
              <w:t xml:space="preserve">Unit of Measure Name </w:t>
            </w:r>
          </w:p>
        </w:tc>
        <w:tc>
          <w:tcPr>
            <w:tcW w:w="6769" w:type="dxa"/>
            <w:shd w:val="pct12" w:color="auto" w:fill="auto"/>
          </w:tcPr>
          <w:p w:rsidR="00A5318C" w:rsidRPr="00A139D1" w:rsidRDefault="00A5318C" w:rsidP="00A5318C">
            <w:pPr>
              <w:jc w:val="left"/>
              <w:rPr>
                <w:rFonts w:cs="Arial"/>
                <w:b/>
                <w:sz w:val="22"/>
                <w:szCs w:val="22"/>
              </w:rPr>
            </w:pPr>
            <w:r w:rsidRPr="00A139D1">
              <w:rPr>
                <w:rFonts w:cs="Arial"/>
                <w:b/>
                <w:sz w:val="22"/>
                <w:szCs w:val="22"/>
              </w:rPr>
              <w:t xml:space="preserve">Unit of Measure Definition </w:t>
            </w:r>
          </w:p>
        </w:tc>
      </w:tr>
      <w:tr w:rsidR="00A5318C" w:rsidRPr="00A5318C" w:rsidTr="001F35D6">
        <w:tc>
          <w:tcPr>
            <w:tcW w:w="3085" w:type="dxa"/>
          </w:tcPr>
          <w:p w:rsidR="00A5318C" w:rsidRPr="00A139D1" w:rsidRDefault="00A5318C" w:rsidP="00A5318C">
            <w:pPr>
              <w:jc w:val="left"/>
              <w:rPr>
                <w:rFonts w:cs="Arial"/>
                <w:sz w:val="22"/>
                <w:szCs w:val="22"/>
              </w:rPr>
            </w:pPr>
            <w:r w:rsidRPr="00A139D1">
              <w:rPr>
                <w:rFonts w:cs="Arial"/>
                <w:sz w:val="22"/>
                <w:szCs w:val="22"/>
              </w:rPr>
              <w:t>Attendance</w:t>
            </w:r>
          </w:p>
        </w:tc>
        <w:tc>
          <w:tcPr>
            <w:tcW w:w="6769" w:type="dxa"/>
          </w:tcPr>
          <w:p w:rsidR="00A5318C" w:rsidRPr="00A139D1" w:rsidRDefault="00A5318C" w:rsidP="00A5318C">
            <w:pPr>
              <w:jc w:val="left"/>
              <w:rPr>
                <w:rFonts w:cs="Arial"/>
                <w:sz w:val="22"/>
                <w:szCs w:val="22"/>
              </w:rPr>
            </w:pPr>
            <w:r w:rsidRPr="00A139D1">
              <w:rPr>
                <w:rFonts w:cs="Arial"/>
                <w:sz w:val="22"/>
                <w:szCs w:val="22"/>
              </w:rPr>
              <w:t>Number of attendances to a clinic/department/acute assessment unit or domiciliary.</w:t>
            </w:r>
          </w:p>
        </w:tc>
      </w:tr>
      <w:tr w:rsidR="007C3328" w:rsidRPr="00A5318C" w:rsidTr="001F35D6">
        <w:tc>
          <w:tcPr>
            <w:tcW w:w="3085" w:type="dxa"/>
          </w:tcPr>
          <w:p w:rsidR="007C3328" w:rsidRPr="00A139D1" w:rsidRDefault="007C3328" w:rsidP="00A5318C">
            <w:pPr>
              <w:jc w:val="left"/>
              <w:rPr>
                <w:rFonts w:cs="Arial"/>
                <w:sz w:val="22"/>
                <w:szCs w:val="22"/>
              </w:rPr>
            </w:pPr>
            <w:r w:rsidRPr="00A139D1">
              <w:rPr>
                <w:rFonts w:cs="Arial"/>
                <w:sz w:val="22"/>
                <w:szCs w:val="22"/>
              </w:rPr>
              <w:t>Available bed day</w:t>
            </w:r>
          </w:p>
        </w:tc>
        <w:tc>
          <w:tcPr>
            <w:tcW w:w="6769" w:type="dxa"/>
          </w:tcPr>
          <w:p w:rsidR="007C3328" w:rsidRPr="00A139D1" w:rsidRDefault="007C3328" w:rsidP="00A5318C">
            <w:pPr>
              <w:jc w:val="left"/>
              <w:rPr>
                <w:rFonts w:cs="Arial"/>
                <w:sz w:val="22"/>
                <w:szCs w:val="22"/>
              </w:rPr>
            </w:pPr>
            <w:r w:rsidRPr="00A139D1">
              <w:rPr>
                <w:rFonts w:cs="Arial"/>
                <w:sz w:val="22"/>
                <w:szCs w:val="22"/>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r w:rsidR="00A5318C" w:rsidRPr="00A5318C" w:rsidTr="001F35D6">
        <w:tc>
          <w:tcPr>
            <w:tcW w:w="3085" w:type="dxa"/>
          </w:tcPr>
          <w:p w:rsidR="00A5318C" w:rsidRPr="00A139D1" w:rsidRDefault="00A5318C" w:rsidP="00A5318C">
            <w:pPr>
              <w:jc w:val="left"/>
              <w:rPr>
                <w:rFonts w:cs="Arial"/>
                <w:sz w:val="22"/>
                <w:szCs w:val="22"/>
              </w:rPr>
            </w:pPr>
            <w:r w:rsidRPr="00A139D1">
              <w:rPr>
                <w:rFonts w:cs="Arial"/>
                <w:sz w:val="22"/>
                <w:szCs w:val="22"/>
              </w:rPr>
              <w:t>Cost Weighted Discharge</w:t>
            </w:r>
          </w:p>
        </w:tc>
        <w:tc>
          <w:tcPr>
            <w:tcW w:w="6769" w:type="dxa"/>
          </w:tcPr>
          <w:p w:rsidR="00A5318C" w:rsidRPr="00A139D1" w:rsidRDefault="00A5318C" w:rsidP="00A5318C">
            <w:pPr>
              <w:jc w:val="left"/>
              <w:rPr>
                <w:rFonts w:cs="Arial"/>
                <w:sz w:val="22"/>
                <w:szCs w:val="22"/>
              </w:rPr>
            </w:pPr>
            <w:r w:rsidRPr="00A139D1">
              <w:rPr>
                <w:rFonts w:cs="Arial"/>
                <w:sz w:val="22"/>
                <w:szCs w:val="22"/>
              </w:rPr>
              <w:t>A numerical measure representing the relative cost of treating a patient through to discharge.</w:t>
            </w:r>
          </w:p>
        </w:tc>
      </w:tr>
      <w:tr w:rsidR="00466EA4" w:rsidRPr="00A5318C" w:rsidTr="001F35D6">
        <w:tc>
          <w:tcPr>
            <w:tcW w:w="3085" w:type="dxa"/>
          </w:tcPr>
          <w:p w:rsidR="00466EA4" w:rsidRPr="00A139D1" w:rsidRDefault="00F87354" w:rsidP="00466EA4">
            <w:pPr>
              <w:jc w:val="left"/>
              <w:rPr>
                <w:rFonts w:cs="Arial"/>
                <w:sz w:val="22"/>
                <w:szCs w:val="22"/>
              </w:rPr>
            </w:pPr>
            <w:r>
              <w:rPr>
                <w:rFonts w:cs="Arial"/>
                <w:sz w:val="22"/>
                <w:szCs w:val="22"/>
              </w:rPr>
              <w:t>Day Attendance</w:t>
            </w:r>
          </w:p>
        </w:tc>
        <w:tc>
          <w:tcPr>
            <w:tcW w:w="6769" w:type="dxa"/>
          </w:tcPr>
          <w:p w:rsidR="00466EA4" w:rsidRPr="00A139D1" w:rsidRDefault="00F87354" w:rsidP="00A5318C">
            <w:pPr>
              <w:jc w:val="left"/>
              <w:rPr>
                <w:rFonts w:cs="Arial"/>
                <w:sz w:val="22"/>
                <w:szCs w:val="22"/>
              </w:rPr>
            </w:pPr>
            <w:r w:rsidRPr="00F87354">
              <w:rPr>
                <w:rFonts w:cs="Arial"/>
                <w:sz w:val="22"/>
                <w:szCs w:val="22"/>
              </w:rPr>
              <w:t>Number of attendances to a day session lasting 3 hours or more.</w:t>
            </w:r>
          </w:p>
        </w:tc>
      </w:tr>
      <w:tr w:rsidR="00A5318C" w:rsidRPr="00A5318C" w:rsidTr="001F35D6">
        <w:tc>
          <w:tcPr>
            <w:tcW w:w="3085" w:type="dxa"/>
          </w:tcPr>
          <w:p w:rsidR="00A5318C" w:rsidRPr="00A139D1" w:rsidRDefault="00A5318C" w:rsidP="00A5318C">
            <w:pPr>
              <w:jc w:val="left"/>
              <w:rPr>
                <w:rFonts w:cs="Arial"/>
                <w:sz w:val="22"/>
                <w:szCs w:val="22"/>
              </w:rPr>
            </w:pPr>
            <w:r w:rsidRPr="00A139D1">
              <w:rPr>
                <w:rFonts w:cs="Arial"/>
                <w:sz w:val="22"/>
                <w:szCs w:val="22"/>
              </w:rPr>
              <w:t>Occupied bed day</w:t>
            </w:r>
          </w:p>
        </w:tc>
        <w:tc>
          <w:tcPr>
            <w:tcW w:w="6769" w:type="dxa"/>
          </w:tcPr>
          <w:p w:rsidR="00A5318C" w:rsidRPr="00A139D1" w:rsidRDefault="00466EA4" w:rsidP="00A5318C">
            <w:pPr>
              <w:jc w:val="left"/>
              <w:rPr>
                <w:rFonts w:cs="Arial"/>
                <w:sz w:val="22"/>
                <w:szCs w:val="22"/>
              </w:rPr>
            </w:pPr>
            <w:r w:rsidRPr="00A139D1">
              <w:rPr>
                <w:rFonts w:cs="Arial"/>
                <w:sz w:val="22"/>
                <w:szCs w:val="22"/>
              </w:rPr>
              <w:t xml:space="preserve">Total number of beds that are occupied each day over a </w:t>
            </w:r>
            <w:r w:rsidRPr="00A139D1">
              <w:rPr>
                <w:rFonts w:cs="Arial"/>
                <w:sz w:val="22"/>
                <w:szCs w:val="22"/>
              </w:rPr>
              <w:lastRenderedPageBreak/>
              <w:t>designated period.  For reporting purposes, count beds occupied as at 12 midnight of each day. Leave days, when the bed is not occupied at midnight are not counted. Counting formula is discharge date less admission date less leave days</w:t>
            </w:r>
          </w:p>
        </w:tc>
      </w:tr>
      <w:tr w:rsidR="00A5318C" w:rsidRPr="00A5318C" w:rsidTr="001F35D6">
        <w:tc>
          <w:tcPr>
            <w:tcW w:w="3085" w:type="dxa"/>
          </w:tcPr>
          <w:p w:rsidR="00A5318C" w:rsidRPr="00A139D1" w:rsidRDefault="00A5318C" w:rsidP="00A5318C">
            <w:pPr>
              <w:jc w:val="left"/>
              <w:rPr>
                <w:rFonts w:cs="Arial"/>
                <w:sz w:val="22"/>
                <w:szCs w:val="22"/>
              </w:rPr>
            </w:pPr>
            <w:r w:rsidRPr="00A139D1">
              <w:rPr>
                <w:rFonts w:cs="Arial"/>
                <w:sz w:val="22"/>
                <w:szCs w:val="22"/>
              </w:rPr>
              <w:lastRenderedPageBreak/>
              <w:t>Service</w:t>
            </w:r>
          </w:p>
        </w:tc>
        <w:tc>
          <w:tcPr>
            <w:tcW w:w="6769" w:type="dxa"/>
          </w:tcPr>
          <w:p w:rsidR="00A5318C" w:rsidRPr="00A139D1" w:rsidRDefault="00A5318C" w:rsidP="00A5318C">
            <w:pPr>
              <w:jc w:val="left"/>
              <w:rPr>
                <w:rFonts w:cs="Arial"/>
                <w:sz w:val="22"/>
                <w:szCs w:val="22"/>
              </w:rPr>
            </w:pPr>
            <w:r w:rsidRPr="00A139D1">
              <w:rPr>
                <w:rFonts w:cs="Arial"/>
                <w:sz w:val="22"/>
                <w:szCs w:val="22"/>
              </w:rPr>
              <w:t>Service purchased in a block arrangement uniquely agreed between the parties to the agreement</w:t>
            </w:r>
          </w:p>
        </w:tc>
      </w:tr>
      <w:tr w:rsidR="00466EA4" w:rsidRPr="00A5318C" w:rsidTr="001F35D6">
        <w:tc>
          <w:tcPr>
            <w:tcW w:w="3085" w:type="dxa"/>
          </w:tcPr>
          <w:p w:rsidR="00466EA4" w:rsidRPr="00A139D1" w:rsidRDefault="004A6402" w:rsidP="00A5318C">
            <w:pPr>
              <w:jc w:val="left"/>
              <w:rPr>
                <w:rFonts w:cs="Arial"/>
                <w:sz w:val="22"/>
                <w:szCs w:val="22"/>
              </w:rPr>
            </w:pPr>
            <w:r w:rsidRPr="00A139D1">
              <w:rPr>
                <w:rFonts w:cs="Arial"/>
                <w:sz w:val="22"/>
                <w:szCs w:val="22"/>
                <w:lang w:val="en-GB"/>
              </w:rPr>
              <w:t>Written Plan of C</w:t>
            </w:r>
            <w:r w:rsidR="00466EA4" w:rsidRPr="00A139D1">
              <w:rPr>
                <w:rFonts w:cs="Arial"/>
                <w:sz w:val="22"/>
                <w:szCs w:val="22"/>
                <w:lang w:val="en-GB"/>
              </w:rPr>
              <w:t>are</w:t>
            </w:r>
          </w:p>
        </w:tc>
        <w:tc>
          <w:tcPr>
            <w:tcW w:w="6769" w:type="dxa"/>
          </w:tcPr>
          <w:p w:rsidR="00466EA4" w:rsidRPr="00A139D1" w:rsidRDefault="00466EA4" w:rsidP="00A5318C">
            <w:pPr>
              <w:jc w:val="left"/>
              <w:rPr>
                <w:rFonts w:cs="Arial"/>
                <w:sz w:val="22"/>
                <w:szCs w:val="22"/>
              </w:rPr>
            </w:pPr>
            <w:r w:rsidRPr="00A139D1">
              <w:rPr>
                <w:rFonts w:cs="Arial"/>
                <w:sz w:val="22"/>
                <w:szCs w:val="22"/>
              </w:rPr>
              <w:t>Written plan of care provided by the specialist to the referring GP.</w:t>
            </w:r>
          </w:p>
        </w:tc>
      </w:tr>
    </w:tbl>
    <w:p w:rsidR="00565999" w:rsidRPr="00565999" w:rsidRDefault="00565999" w:rsidP="00565999">
      <w:pPr>
        <w:jc w:val="left"/>
        <w:rPr>
          <w:b/>
        </w:rPr>
      </w:pPr>
      <w:r w:rsidRPr="00565999">
        <w:rPr>
          <w:b/>
        </w:rPr>
        <w:t xml:space="preserve">Other related Purchase Unit Codes: </w:t>
      </w:r>
    </w:p>
    <w:p w:rsidR="00565999" w:rsidRDefault="00565999" w:rsidP="00565999">
      <w:pPr>
        <w:jc w:val="left"/>
      </w:pPr>
      <w:r>
        <w:t>M80012 Specialist Palliative Care</w:t>
      </w:r>
      <w:r w:rsidR="00002FD4">
        <w:t xml:space="preserve"> </w:t>
      </w:r>
      <w:r>
        <w:t xml:space="preserve">- community nursing services are described in the </w:t>
      </w:r>
      <w:r w:rsidR="00002FD4">
        <w:t>T</w:t>
      </w:r>
      <w:r>
        <w:t xml:space="preserve">ier </w:t>
      </w:r>
      <w:r w:rsidR="00002FD4">
        <w:t>T</w:t>
      </w:r>
      <w:r>
        <w:t xml:space="preserve">wo </w:t>
      </w:r>
      <w:r w:rsidRPr="00D45406">
        <w:t>Specialist Community Nursing Service Specification</w:t>
      </w:r>
      <w:r>
        <w:t xml:space="preserve">. </w:t>
      </w:r>
    </w:p>
    <w:p w:rsidR="00565999" w:rsidRDefault="00565999" w:rsidP="00565999">
      <w:pPr>
        <w:jc w:val="left"/>
      </w:pPr>
      <w:r w:rsidRPr="00D45406">
        <w:t>MS01001 Nurse Led Outpatient Clinics</w:t>
      </w:r>
      <w:r>
        <w:t xml:space="preserve"> are generally used to count outpatient activity delivered by DHB Hospital specialist nurses.</w:t>
      </w:r>
    </w:p>
    <w:p w:rsidR="00565999" w:rsidRDefault="00565999" w:rsidP="00565999">
      <w:pPr>
        <w:jc w:val="left"/>
      </w:pPr>
      <w:r>
        <w:t xml:space="preserve">M80013 Allied Health </w:t>
      </w:r>
      <w:r w:rsidRPr="0086328C">
        <w:t xml:space="preserve">Specialist Palliative care </w:t>
      </w:r>
      <w:r>
        <w:t>–</w:t>
      </w:r>
      <w:r w:rsidRPr="0086328C">
        <w:t xml:space="preserve"> community allied health</w:t>
      </w:r>
      <w:r>
        <w:t xml:space="preserve"> services </w:t>
      </w:r>
      <w:r w:rsidRPr="0086328C">
        <w:t xml:space="preserve">are described in the tier two </w:t>
      </w:r>
      <w:r>
        <w:t>Allied Health Services s</w:t>
      </w:r>
      <w:r w:rsidRPr="0086328C">
        <w:t xml:space="preserve">ervice </w:t>
      </w:r>
      <w:r>
        <w:t>s</w:t>
      </w:r>
      <w:r w:rsidRPr="0086328C">
        <w:t>pecification.</w:t>
      </w:r>
      <w:r>
        <w:t xml:space="preserve"> </w:t>
      </w:r>
    </w:p>
    <w:p w:rsidR="00565999" w:rsidRDefault="00565999" w:rsidP="00565999">
      <w:pPr>
        <w:jc w:val="left"/>
      </w:pPr>
      <w:r>
        <w:t xml:space="preserve">M80014 </w:t>
      </w:r>
      <w:r w:rsidRPr="00096B3A">
        <w:t xml:space="preserve">Bereavement counselling for family and </w:t>
      </w:r>
      <w:proofErr w:type="spellStart"/>
      <w:r w:rsidRPr="00096B3A">
        <w:t>wh</w:t>
      </w:r>
      <w:r w:rsidR="003B579B">
        <w:rPr>
          <w:rFonts w:cs="Arial"/>
        </w:rPr>
        <w:t>ā</w:t>
      </w:r>
      <w:r w:rsidRPr="00096B3A">
        <w:t>nau</w:t>
      </w:r>
      <w:proofErr w:type="spellEnd"/>
      <w:r w:rsidRPr="00096B3A">
        <w:t xml:space="preserve"> </w:t>
      </w:r>
      <w:r>
        <w:t xml:space="preserve">(below) is a local code available for DHBs who have agreed to purchase this service in addition to the Specialist Palliative Care services described in this service specification. </w:t>
      </w:r>
    </w:p>
    <w:p w:rsidR="00565999" w:rsidRDefault="00565999" w:rsidP="00565999">
      <w:pPr>
        <w:jc w:val="left"/>
      </w:pPr>
      <w:r>
        <w:t>Note: COPL005 and COPL006 are available in the PUDD and can be used for purchasing short term primary palliative care beds in a residential facility.  If patient requires specialist palliative care the specialist component should be purchased separately.</w:t>
      </w:r>
    </w:p>
    <w:p w:rsidR="000F6D3B" w:rsidRDefault="007D4EB4" w:rsidP="00126AB0">
      <w:pPr>
        <w:pStyle w:val="Heading1"/>
      </w:pPr>
      <w:r>
        <w:t>9.2</w:t>
      </w:r>
      <w:r>
        <w:tab/>
      </w:r>
      <w:r w:rsidRPr="007D4EB4">
        <w:t>Annual Reporting Quality Measures</w:t>
      </w:r>
    </w:p>
    <w:p w:rsidR="000F6D3B" w:rsidRPr="000F6D3B" w:rsidRDefault="000F6D3B" w:rsidP="000F6D3B">
      <w:pPr>
        <w:spacing w:after="120"/>
        <w:jc w:val="left"/>
        <w:rPr>
          <w:rFonts w:cs="Arial"/>
        </w:rPr>
      </w:pPr>
      <w:r w:rsidRPr="007D4EB4">
        <w:rPr>
          <w:rFonts w:cs="Arial"/>
        </w:rPr>
        <w:t>For Non-Government</w:t>
      </w:r>
      <w:r w:rsidR="003B579B">
        <w:rPr>
          <w:rFonts w:cs="Arial"/>
        </w:rPr>
        <w:t>al</w:t>
      </w:r>
      <w:r w:rsidRPr="007D4EB4">
        <w:rPr>
          <w:rFonts w:cs="Arial"/>
        </w:rPr>
        <w:t xml:space="preserve"> Organisations t</w:t>
      </w:r>
      <w:r w:rsidRPr="000F6D3B">
        <w:rPr>
          <w:rFonts w:cs="Arial"/>
        </w:rPr>
        <w:t>he reporting requirements as detailed below should be forwarded to:</w:t>
      </w:r>
    </w:p>
    <w:p w:rsidR="000F6D3B" w:rsidRPr="000F6D3B" w:rsidRDefault="000F6D3B" w:rsidP="000F6D3B">
      <w:pPr>
        <w:spacing w:before="0"/>
        <w:ind w:left="567" w:hanging="567"/>
        <w:rPr>
          <w:rFonts w:cs="Arial"/>
        </w:rPr>
      </w:pPr>
      <w:r w:rsidRPr="000F6D3B">
        <w:rPr>
          <w:rFonts w:cs="Arial"/>
        </w:rPr>
        <w:t>The Performance Reporting Team, Sector Operations</w:t>
      </w:r>
    </w:p>
    <w:p w:rsidR="000F6D3B" w:rsidRPr="000F6D3B" w:rsidRDefault="000F6D3B" w:rsidP="000F6D3B">
      <w:pPr>
        <w:spacing w:before="0"/>
        <w:ind w:left="567" w:hanging="567"/>
        <w:rPr>
          <w:rFonts w:cs="Arial"/>
        </w:rPr>
      </w:pPr>
      <w:r w:rsidRPr="000F6D3B">
        <w:rPr>
          <w:rFonts w:cs="Arial"/>
        </w:rPr>
        <w:t>Ministry of Health</w:t>
      </w:r>
    </w:p>
    <w:p w:rsidR="000F6D3B" w:rsidRPr="000F6D3B" w:rsidRDefault="000F6D3B" w:rsidP="000F6D3B">
      <w:pPr>
        <w:spacing w:before="0"/>
        <w:ind w:left="567" w:hanging="567"/>
        <w:rPr>
          <w:rFonts w:cs="Arial"/>
        </w:rPr>
      </w:pPr>
      <w:r w:rsidRPr="000F6D3B">
        <w:rPr>
          <w:rFonts w:cs="Arial"/>
        </w:rPr>
        <w:t>Private Bag1942</w:t>
      </w:r>
    </w:p>
    <w:p w:rsidR="000F6D3B" w:rsidRPr="000F6D3B" w:rsidRDefault="000F6D3B" w:rsidP="000F6D3B">
      <w:pPr>
        <w:spacing w:before="0"/>
        <w:ind w:left="567" w:hanging="567"/>
        <w:rPr>
          <w:rFonts w:cs="Arial"/>
        </w:rPr>
      </w:pPr>
      <w:r w:rsidRPr="000F6D3B">
        <w:rPr>
          <w:rFonts w:cs="Arial"/>
        </w:rPr>
        <w:t>Dunedin 9054</w:t>
      </w:r>
    </w:p>
    <w:p w:rsidR="000F6D3B" w:rsidRPr="000F6D3B" w:rsidRDefault="000F6D3B" w:rsidP="000F6D3B">
      <w:pPr>
        <w:spacing w:before="0"/>
        <w:ind w:left="567" w:hanging="567"/>
        <w:rPr>
          <w:rFonts w:cs="Arial"/>
        </w:rPr>
      </w:pPr>
      <w:r w:rsidRPr="000F6D3B">
        <w:rPr>
          <w:rFonts w:cs="Arial"/>
        </w:rPr>
        <w:t>Email</w:t>
      </w:r>
      <w:r w:rsidR="00002FD4">
        <w:rPr>
          <w:rFonts w:cs="Arial"/>
        </w:rPr>
        <w:t>:</w:t>
      </w:r>
      <w:r w:rsidRPr="000F6D3B">
        <w:rPr>
          <w:rFonts w:cs="Arial"/>
        </w:rPr>
        <w:t xml:space="preserve"> performance_reporting@moh.govt.nz.</w:t>
      </w:r>
    </w:p>
    <w:p w:rsidR="000F6D3B" w:rsidRDefault="000F6D3B" w:rsidP="000F6D3B">
      <w:pPr>
        <w:spacing w:after="120"/>
        <w:jc w:val="left"/>
        <w:rPr>
          <w:rFonts w:cs="Arial"/>
        </w:rPr>
      </w:pPr>
      <w:r w:rsidRPr="000F6D3B">
        <w:rPr>
          <w:rFonts w:cs="Arial"/>
        </w:rPr>
        <w:t xml:space="preserve">Details of any additional information collected and frequency of reporting to Sector Operations are as specified by the Funder and documented in the Provider Specific Schedule of the contract.  </w:t>
      </w:r>
    </w:p>
    <w:p w:rsidR="007D4EB4" w:rsidRPr="007D4EB4" w:rsidRDefault="007D4EB4" w:rsidP="007D4EB4">
      <w:pPr>
        <w:spacing w:after="120"/>
        <w:jc w:val="left"/>
        <w:rPr>
          <w:rFonts w:cs="Arial"/>
        </w:rPr>
      </w:pPr>
      <w:r w:rsidRPr="007D4EB4">
        <w:rPr>
          <w:rFonts w:cs="Arial"/>
        </w:rPr>
        <w:t>As a minimum</w:t>
      </w:r>
      <w:r>
        <w:rPr>
          <w:rFonts w:cs="Arial"/>
        </w:rPr>
        <w:t>,</w:t>
      </w:r>
      <w:r w:rsidRPr="007D4EB4">
        <w:rPr>
          <w:rFonts w:cs="Arial"/>
        </w:rPr>
        <w:t xml:space="preserve"> the </w:t>
      </w:r>
      <w:r w:rsidR="007838CD">
        <w:rPr>
          <w:rFonts w:cs="Arial"/>
        </w:rPr>
        <w:t xml:space="preserve">Service </w:t>
      </w:r>
      <w:r w:rsidRPr="007D4EB4">
        <w:rPr>
          <w:rFonts w:cs="Arial"/>
        </w:rPr>
        <w:t xml:space="preserve">Provider must report annually to the Funder: </w:t>
      </w:r>
    </w:p>
    <w:p w:rsidR="007D4EB4" w:rsidRPr="007D4EB4" w:rsidRDefault="007D4EB4" w:rsidP="007D4EB4">
      <w:pPr>
        <w:numPr>
          <w:ilvl w:val="0"/>
          <w:numId w:val="11"/>
        </w:numPr>
        <w:tabs>
          <w:tab w:val="clear" w:pos="360"/>
          <w:tab w:val="num" w:pos="567"/>
        </w:tabs>
        <w:spacing w:before="0"/>
        <w:ind w:left="567" w:hanging="567"/>
        <w:jc w:val="left"/>
        <w:rPr>
          <w:rFonts w:cs="Arial"/>
        </w:rPr>
      </w:pPr>
      <w:r w:rsidRPr="007D4EB4">
        <w:rPr>
          <w:rFonts w:cs="Arial"/>
        </w:rPr>
        <w:t>a summary of the assessed Service User experience</w:t>
      </w:r>
    </w:p>
    <w:p w:rsidR="007D4EB4" w:rsidRPr="007D4EB4" w:rsidRDefault="007D4EB4" w:rsidP="007D4EB4">
      <w:pPr>
        <w:numPr>
          <w:ilvl w:val="0"/>
          <w:numId w:val="11"/>
        </w:numPr>
        <w:tabs>
          <w:tab w:val="clear" w:pos="360"/>
          <w:tab w:val="num" w:pos="567"/>
        </w:tabs>
        <w:spacing w:before="0"/>
        <w:ind w:left="567" w:hanging="567"/>
        <w:jc w:val="left"/>
        <w:rPr>
          <w:rFonts w:cs="Arial"/>
        </w:rPr>
      </w:pPr>
      <w:r w:rsidRPr="007D4EB4">
        <w:rPr>
          <w:rFonts w:cs="Arial"/>
        </w:rPr>
        <w:t>areas identified for improvement and strategies to address these areas</w:t>
      </w:r>
    </w:p>
    <w:p w:rsidR="007D4EB4" w:rsidRPr="000F6D3B" w:rsidRDefault="007D4EB4" w:rsidP="007D4EB4">
      <w:pPr>
        <w:numPr>
          <w:ilvl w:val="0"/>
          <w:numId w:val="11"/>
        </w:numPr>
        <w:tabs>
          <w:tab w:val="clear" w:pos="360"/>
          <w:tab w:val="num" w:pos="567"/>
        </w:tabs>
        <w:spacing w:before="0"/>
        <w:ind w:left="567" w:hanging="567"/>
        <w:jc w:val="left"/>
        <w:rPr>
          <w:rFonts w:cs="Arial"/>
        </w:rPr>
      </w:pPr>
      <w:proofErr w:type="gramStart"/>
      <w:r w:rsidRPr="007D4EB4">
        <w:rPr>
          <w:rFonts w:cs="Arial"/>
        </w:rPr>
        <w:t>demonstration</w:t>
      </w:r>
      <w:proofErr w:type="gramEnd"/>
      <w:r w:rsidRPr="007D4EB4">
        <w:rPr>
          <w:rFonts w:cs="Arial"/>
        </w:rPr>
        <w:t xml:space="preserve"> of examples of the Service’s responsiveness to Māori, Pacific, Asian and other ethnic peoples Service Users.</w:t>
      </w:r>
    </w:p>
    <w:p w:rsidR="003C416B" w:rsidRPr="00A84B2A" w:rsidRDefault="007D4EB4" w:rsidP="000F6D3B">
      <w:pPr>
        <w:pStyle w:val="Heading2"/>
      </w:pPr>
      <w:r>
        <w:lastRenderedPageBreak/>
        <w:t>9</w:t>
      </w:r>
      <w:r w:rsidR="000F6D3B">
        <w:t>.</w:t>
      </w:r>
      <w:r>
        <w:t>3</w:t>
      </w:r>
      <w:r w:rsidR="000F6D3B">
        <w:tab/>
      </w:r>
      <w:r w:rsidR="00E012FB" w:rsidRPr="00A84B2A">
        <w:t xml:space="preserve">Information </w:t>
      </w:r>
      <w:r w:rsidR="00973BE9" w:rsidRPr="00A84B2A">
        <w:t>Requirements</w:t>
      </w:r>
    </w:p>
    <w:p w:rsidR="001B3FAC" w:rsidRPr="00A84B2A" w:rsidRDefault="00090A11" w:rsidP="007D4EB4">
      <w:pPr>
        <w:spacing w:after="120"/>
        <w:jc w:val="left"/>
        <w:rPr>
          <w:rFonts w:cs="Arial"/>
        </w:rPr>
      </w:pPr>
      <w:r w:rsidRPr="00A84B2A">
        <w:rPr>
          <w:rFonts w:cs="Arial"/>
        </w:rPr>
        <w:t>A</w:t>
      </w:r>
      <w:r w:rsidR="001B3FAC" w:rsidRPr="00A84B2A">
        <w:rPr>
          <w:rFonts w:cs="Arial"/>
        </w:rPr>
        <w:t xml:space="preserve"> core set of </w:t>
      </w:r>
      <w:r w:rsidR="007D4EB4">
        <w:rPr>
          <w:rFonts w:cs="Arial"/>
        </w:rPr>
        <w:t xml:space="preserve">minimum </w:t>
      </w:r>
      <w:r w:rsidR="001B3FAC" w:rsidRPr="00A84B2A">
        <w:rPr>
          <w:rFonts w:cs="Arial"/>
        </w:rPr>
        <w:t>information</w:t>
      </w:r>
      <w:r w:rsidR="006969CB">
        <w:rPr>
          <w:rFonts w:cs="Arial"/>
        </w:rPr>
        <w:t xml:space="preserve"> </w:t>
      </w:r>
      <w:r w:rsidR="001B3FAC" w:rsidRPr="00A84B2A">
        <w:rPr>
          <w:rFonts w:cs="Arial"/>
        </w:rPr>
        <w:t>will be collected</w:t>
      </w:r>
      <w:r w:rsidR="00612A19">
        <w:rPr>
          <w:rFonts w:cs="Arial"/>
        </w:rPr>
        <w:t xml:space="preserve"> </w:t>
      </w:r>
      <w:r w:rsidR="001B3FAC" w:rsidRPr="00A84B2A">
        <w:rPr>
          <w:rFonts w:cs="Arial"/>
        </w:rPr>
        <w:t xml:space="preserve">by the </w:t>
      </w:r>
      <w:r w:rsidR="007838CD">
        <w:rPr>
          <w:rFonts w:cs="Arial"/>
        </w:rPr>
        <w:t xml:space="preserve">Service </w:t>
      </w:r>
      <w:r w:rsidR="001B3FAC" w:rsidRPr="00A84B2A">
        <w:rPr>
          <w:rFonts w:cs="Arial"/>
        </w:rPr>
        <w:t>Provider</w:t>
      </w:r>
      <w:r w:rsidR="007D4EB4">
        <w:rPr>
          <w:rFonts w:cs="Arial"/>
        </w:rPr>
        <w:t xml:space="preserve"> </w:t>
      </w:r>
      <w:r w:rsidR="006969CB">
        <w:rPr>
          <w:rFonts w:cs="Arial"/>
        </w:rPr>
        <w:t xml:space="preserve">according to the </w:t>
      </w:r>
      <w:r w:rsidR="006969CB" w:rsidRPr="00612A19">
        <w:rPr>
          <w:rFonts w:cs="Arial"/>
          <w:i/>
        </w:rPr>
        <w:t>National Specialist Palliative Care Data Definition Standard</w:t>
      </w:r>
      <w:r w:rsidR="006969CB">
        <w:rPr>
          <w:rStyle w:val="FootnoteReference"/>
          <w:rFonts w:cs="Arial"/>
          <w:i/>
        </w:rPr>
        <w:footnoteReference w:id="12"/>
      </w:r>
      <w:r w:rsidR="006969CB">
        <w:rPr>
          <w:rFonts w:cs="Arial"/>
          <w:i/>
        </w:rPr>
        <w:t xml:space="preserve"> </w:t>
      </w:r>
      <w:r w:rsidR="007D4EB4">
        <w:rPr>
          <w:rFonts w:cs="Arial"/>
        </w:rPr>
        <w:t>as follows</w:t>
      </w:r>
      <w:r w:rsidRPr="00A84B2A">
        <w:rPr>
          <w:rFonts w:cs="Arial"/>
        </w:rPr>
        <w:t>.</w:t>
      </w:r>
      <w:r w:rsidR="001B3FAC" w:rsidRPr="00A84B2A">
        <w:rPr>
          <w:rFonts w:cs="Arial"/>
        </w:rPr>
        <w:t xml:space="preserve"> </w:t>
      </w:r>
      <w:r w:rsidRPr="00A84B2A">
        <w:rPr>
          <w:rFonts w:cs="Arial"/>
        </w:rPr>
        <w:t xml:space="preserve"> The Funder may request </w:t>
      </w:r>
      <w:r w:rsidR="007D4EB4">
        <w:rPr>
          <w:rFonts w:cs="Arial"/>
        </w:rPr>
        <w:t>this</w:t>
      </w:r>
      <w:r w:rsidRPr="00A84B2A">
        <w:rPr>
          <w:rFonts w:cs="Arial"/>
        </w:rPr>
        <w:t xml:space="preserve"> information </w:t>
      </w:r>
      <w:r w:rsidR="00F5130F" w:rsidRPr="00A84B2A">
        <w:rPr>
          <w:rFonts w:cs="Arial"/>
        </w:rPr>
        <w:t>to</w:t>
      </w:r>
      <w:r w:rsidR="001B3FAC" w:rsidRPr="00A84B2A">
        <w:rPr>
          <w:rFonts w:cs="Arial"/>
        </w:rPr>
        <w:t xml:space="preserve"> </w:t>
      </w:r>
      <w:r w:rsidR="00F5130F" w:rsidRPr="00A84B2A">
        <w:rPr>
          <w:rFonts w:cs="Arial"/>
        </w:rPr>
        <w:t xml:space="preserve">support </w:t>
      </w:r>
      <w:r w:rsidR="001B3FAC" w:rsidRPr="00A84B2A">
        <w:rPr>
          <w:rFonts w:cs="Arial"/>
        </w:rPr>
        <w:t xml:space="preserve">monitoring of </w:t>
      </w:r>
      <w:r w:rsidRPr="00A84B2A">
        <w:rPr>
          <w:rFonts w:cs="Arial"/>
        </w:rPr>
        <w:t>the S</w:t>
      </w:r>
      <w:r w:rsidR="001B3FAC" w:rsidRPr="00A84B2A">
        <w:rPr>
          <w:rFonts w:cs="Arial"/>
        </w:rPr>
        <w:t>ervice provision</w:t>
      </w:r>
      <w:r w:rsidRPr="00A84B2A">
        <w:rPr>
          <w:rFonts w:cs="Arial"/>
        </w:rPr>
        <w:t>,</w:t>
      </w:r>
      <w:r w:rsidR="001B3FAC" w:rsidRPr="00A84B2A">
        <w:rPr>
          <w:rFonts w:cs="Arial"/>
        </w:rPr>
        <w:t xml:space="preserve"> purposes to support national consistency for service development and benchmarking</w:t>
      </w:r>
      <w:r w:rsidRPr="00A84B2A">
        <w:rPr>
          <w:rFonts w:cs="Arial"/>
        </w:rPr>
        <w:t xml:space="preserve"> including:</w:t>
      </w:r>
      <w:r w:rsidR="001B3FAC" w:rsidRPr="00A84B2A">
        <w:rPr>
          <w:rFonts w:cs="Arial"/>
        </w:rPr>
        <w:t xml:space="preserve"> </w:t>
      </w:r>
    </w:p>
    <w:p w:rsidR="001B3FAC" w:rsidRPr="00A84B2A" w:rsidRDefault="00D86F12" w:rsidP="00126AB0">
      <w:pPr>
        <w:numPr>
          <w:ilvl w:val="0"/>
          <w:numId w:val="11"/>
        </w:numPr>
        <w:tabs>
          <w:tab w:val="clear" w:pos="360"/>
          <w:tab w:val="num" w:pos="567"/>
        </w:tabs>
        <w:spacing w:before="0"/>
        <w:ind w:left="567" w:hanging="567"/>
        <w:jc w:val="left"/>
        <w:rPr>
          <w:rFonts w:cs="Arial"/>
        </w:rPr>
      </w:pPr>
      <w:r w:rsidRPr="00A84B2A">
        <w:rPr>
          <w:rFonts w:cs="Arial"/>
        </w:rPr>
        <w:t>Service User</w:t>
      </w:r>
      <w:r w:rsidR="001B3FAC" w:rsidRPr="00A84B2A">
        <w:rPr>
          <w:rFonts w:cs="Arial"/>
        </w:rPr>
        <w:t xml:space="preserve"> NHI</w:t>
      </w:r>
      <w:r w:rsidR="000F1955">
        <w:rPr>
          <w:rFonts w:cs="Arial"/>
        </w:rPr>
        <w:t xml:space="preserve"> </w:t>
      </w:r>
    </w:p>
    <w:p w:rsidR="001B3FAC" w:rsidRPr="00A84B2A" w:rsidRDefault="00E012FB" w:rsidP="00126AB0">
      <w:pPr>
        <w:numPr>
          <w:ilvl w:val="0"/>
          <w:numId w:val="11"/>
        </w:numPr>
        <w:tabs>
          <w:tab w:val="clear" w:pos="360"/>
        </w:tabs>
        <w:spacing w:before="0"/>
        <w:ind w:left="567" w:hanging="567"/>
        <w:jc w:val="left"/>
        <w:rPr>
          <w:rFonts w:cs="Arial"/>
        </w:rPr>
      </w:pPr>
      <w:r w:rsidRPr="00A84B2A">
        <w:rPr>
          <w:rFonts w:cs="Arial"/>
        </w:rPr>
        <w:t>r</w:t>
      </w:r>
      <w:r w:rsidR="002612AA" w:rsidRPr="00A84B2A">
        <w:rPr>
          <w:rFonts w:cs="Arial"/>
        </w:rPr>
        <w:t>eferr</w:t>
      </w:r>
      <w:r w:rsidRPr="00A84B2A">
        <w:rPr>
          <w:rFonts w:cs="Arial"/>
        </w:rPr>
        <w:t>ed by</w:t>
      </w:r>
      <w:r w:rsidR="00090A11" w:rsidRPr="00A84B2A">
        <w:rPr>
          <w:rFonts w:cs="Arial"/>
        </w:rPr>
        <w:t>:</w:t>
      </w:r>
      <w:r w:rsidRPr="00A84B2A">
        <w:rPr>
          <w:rFonts w:cs="Arial"/>
        </w:rPr>
        <w:t xml:space="preserve"> health professional </w:t>
      </w:r>
      <w:r w:rsidR="00A84B2A">
        <w:rPr>
          <w:rFonts w:cs="Arial"/>
        </w:rPr>
        <w:t>(</w:t>
      </w:r>
      <w:r w:rsidR="00A84B2A" w:rsidRPr="00A84B2A">
        <w:rPr>
          <w:rFonts w:cs="Arial"/>
        </w:rPr>
        <w:t>name</w:t>
      </w:r>
      <w:r w:rsidR="00A84B2A">
        <w:rPr>
          <w:rFonts w:cs="Arial"/>
        </w:rPr>
        <w:t>)</w:t>
      </w:r>
      <w:r w:rsidR="00A84B2A" w:rsidRPr="00A84B2A">
        <w:rPr>
          <w:rFonts w:cs="Arial"/>
        </w:rPr>
        <w:t xml:space="preserve"> </w:t>
      </w:r>
      <w:r w:rsidRPr="00A84B2A">
        <w:rPr>
          <w:rFonts w:cs="Arial"/>
        </w:rPr>
        <w:t>or self-referral</w:t>
      </w:r>
    </w:p>
    <w:p w:rsidR="001B3FAC" w:rsidRPr="00A84B2A" w:rsidRDefault="002612AA" w:rsidP="00126AB0">
      <w:pPr>
        <w:numPr>
          <w:ilvl w:val="0"/>
          <w:numId w:val="11"/>
        </w:numPr>
        <w:tabs>
          <w:tab w:val="clear" w:pos="360"/>
          <w:tab w:val="num" w:pos="567"/>
        </w:tabs>
        <w:spacing w:before="0"/>
        <w:ind w:left="567" w:hanging="567"/>
        <w:jc w:val="left"/>
        <w:rPr>
          <w:rFonts w:cs="Arial"/>
        </w:rPr>
      </w:pPr>
      <w:r w:rsidRPr="00A84B2A">
        <w:rPr>
          <w:rFonts w:cs="Arial"/>
        </w:rPr>
        <w:t>d</w:t>
      </w:r>
      <w:r w:rsidR="001B3FAC" w:rsidRPr="00A84B2A">
        <w:rPr>
          <w:rFonts w:cs="Arial"/>
        </w:rPr>
        <w:t xml:space="preserve">ate of referral to </w:t>
      </w:r>
      <w:r w:rsidR="00D86F12" w:rsidRPr="00A84B2A">
        <w:rPr>
          <w:rFonts w:cs="Arial"/>
        </w:rPr>
        <w:t>S</w:t>
      </w:r>
      <w:r w:rsidR="001B3FAC" w:rsidRPr="00A84B2A">
        <w:rPr>
          <w:rFonts w:cs="Arial"/>
        </w:rPr>
        <w:t>ervice</w:t>
      </w:r>
    </w:p>
    <w:p w:rsidR="001B3FAC" w:rsidRPr="00A84B2A" w:rsidRDefault="002612AA" w:rsidP="00126AB0">
      <w:pPr>
        <w:numPr>
          <w:ilvl w:val="0"/>
          <w:numId w:val="11"/>
        </w:numPr>
        <w:tabs>
          <w:tab w:val="clear" w:pos="360"/>
          <w:tab w:val="num" w:pos="567"/>
        </w:tabs>
        <w:spacing w:before="0"/>
        <w:ind w:left="567" w:hanging="567"/>
        <w:jc w:val="left"/>
        <w:rPr>
          <w:rFonts w:cs="Arial"/>
        </w:rPr>
      </w:pPr>
      <w:r w:rsidRPr="00A84B2A">
        <w:rPr>
          <w:rFonts w:cs="Arial"/>
        </w:rPr>
        <w:t>d</w:t>
      </w:r>
      <w:r w:rsidR="001B3FAC" w:rsidRPr="00A84B2A">
        <w:rPr>
          <w:rFonts w:cs="Arial"/>
        </w:rPr>
        <w:t>ate of assessment</w:t>
      </w:r>
    </w:p>
    <w:p w:rsidR="001B3FAC" w:rsidRPr="00A84B2A" w:rsidRDefault="002612AA" w:rsidP="00126AB0">
      <w:pPr>
        <w:numPr>
          <w:ilvl w:val="0"/>
          <w:numId w:val="11"/>
        </w:numPr>
        <w:tabs>
          <w:tab w:val="clear" w:pos="360"/>
          <w:tab w:val="num" w:pos="567"/>
        </w:tabs>
        <w:spacing w:before="0"/>
        <w:ind w:left="567" w:hanging="567"/>
        <w:jc w:val="left"/>
        <w:rPr>
          <w:rFonts w:cs="Arial"/>
        </w:rPr>
      </w:pPr>
      <w:r w:rsidRPr="00A84B2A">
        <w:rPr>
          <w:rFonts w:cs="Arial"/>
        </w:rPr>
        <w:t>d</w:t>
      </w:r>
      <w:r w:rsidR="001B3FAC" w:rsidRPr="00A84B2A">
        <w:rPr>
          <w:rFonts w:cs="Arial"/>
        </w:rPr>
        <w:t xml:space="preserve">ate of </w:t>
      </w:r>
      <w:r w:rsidR="00D86F12" w:rsidRPr="00A84B2A">
        <w:rPr>
          <w:rFonts w:cs="Arial"/>
        </w:rPr>
        <w:t xml:space="preserve">the </w:t>
      </w:r>
      <w:r w:rsidR="004C2B38">
        <w:rPr>
          <w:rFonts w:cs="Arial"/>
        </w:rPr>
        <w:t>treatment</w:t>
      </w:r>
      <w:r w:rsidR="004C2B38" w:rsidRPr="00A84B2A">
        <w:rPr>
          <w:rFonts w:cs="Arial"/>
        </w:rPr>
        <w:t xml:space="preserve"> </w:t>
      </w:r>
      <w:r w:rsidR="001B3FAC" w:rsidRPr="00A84B2A">
        <w:rPr>
          <w:rFonts w:cs="Arial"/>
        </w:rPr>
        <w:t>commencement</w:t>
      </w:r>
    </w:p>
    <w:p w:rsidR="001B3FAC" w:rsidRPr="00A84B2A" w:rsidRDefault="002612AA" w:rsidP="00126AB0">
      <w:pPr>
        <w:numPr>
          <w:ilvl w:val="0"/>
          <w:numId w:val="11"/>
        </w:numPr>
        <w:tabs>
          <w:tab w:val="clear" w:pos="360"/>
          <w:tab w:val="num" w:pos="567"/>
        </w:tabs>
        <w:spacing w:before="0"/>
        <w:ind w:left="567" w:hanging="567"/>
        <w:jc w:val="left"/>
        <w:rPr>
          <w:rFonts w:cs="Arial"/>
        </w:rPr>
      </w:pPr>
      <w:r w:rsidRPr="00A84B2A">
        <w:rPr>
          <w:rFonts w:cs="Arial"/>
        </w:rPr>
        <w:t>n</w:t>
      </w:r>
      <w:r w:rsidR="001B3FAC" w:rsidRPr="00A84B2A">
        <w:rPr>
          <w:rFonts w:cs="Arial"/>
        </w:rPr>
        <w:t xml:space="preserve">umber of contacts between the </w:t>
      </w:r>
      <w:r w:rsidR="007838CD">
        <w:rPr>
          <w:rFonts w:cs="Arial"/>
        </w:rPr>
        <w:t xml:space="preserve">Service </w:t>
      </w:r>
      <w:r w:rsidR="001B3FAC" w:rsidRPr="00A84B2A">
        <w:rPr>
          <w:rFonts w:cs="Arial"/>
        </w:rPr>
        <w:t>Provider and the Service User</w:t>
      </w:r>
      <w:r w:rsidR="00D86F12" w:rsidRPr="00A84B2A">
        <w:rPr>
          <w:rFonts w:cs="Arial"/>
        </w:rPr>
        <w:t xml:space="preserve"> within the reporting period</w:t>
      </w:r>
      <w:r w:rsidR="004C2B38">
        <w:rPr>
          <w:rFonts w:cs="Arial"/>
        </w:rPr>
        <w:t xml:space="preserve"> as requested</w:t>
      </w:r>
    </w:p>
    <w:p w:rsidR="001B3FAC" w:rsidRPr="00A84B2A" w:rsidRDefault="002612AA" w:rsidP="00126AB0">
      <w:pPr>
        <w:numPr>
          <w:ilvl w:val="0"/>
          <w:numId w:val="11"/>
        </w:numPr>
        <w:tabs>
          <w:tab w:val="clear" w:pos="360"/>
          <w:tab w:val="num" w:pos="567"/>
        </w:tabs>
        <w:spacing w:before="0"/>
        <w:ind w:left="567" w:hanging="567"/>
        <w:jc w:val="left"/>
        <w:rPr>
          <w:rFonts w:cs="Arial"/>
        </w:rPr>
      </w:pPr>
      <w:r w:rsidRPr="00A84B2A">
        <w:rPr>
          <w:rFonts w:cs="Arial"/>
        </w:rPr>
        <w:t>d</w:t>
      </w:r>
      <w:r w:rsidR="001B3FAC" w:rsidRPr="00A84B2A">
        <w:rPr>
          <w:rFonts w:cs="Arial"/>
        </w:rPr>
        <w:t xml:space="preserve">ate of discharge / transfer of care </w:t>
      </w:r>
      <w:r w:rsidR="00D86F12" w:rsidRPr="00A84B2A">
        <w:rPr>
          <w:rFonts w:cs="Arial"/>
        </w:rPr>
        <w:t>from the Service</w:t>
      </w:r>
    </w:p>
    <w:p w:rsidR="001B3FAC" w:rsidRPr="00A84B2A" w:rsidRDefault="002612AA" w:rsidP="00126AB0">
      <w:pPr>
        <w:numPr>
          <w:ilvl w:val="0"/>
          <w:numId w:val="11"/>
        </w:numPr>
        <w:tabs>
          <w:tab w:val="clear" w:pos="360"/>
          <w:tab w:val="num" w:pos="567"/>
        </w:tabs>
        <w:spacing w:before="0"/>
        <w:ind w:left="567" w:hanging="567"/>
        <w:jc w:val="left"/>
        <w:rPr>
          <w:rFonts w:cs="Arial"/>
        </w:rPr>
      </w:pPr>
      <w:proofErr w:type="gramStart"/>
      <w:r w:rsidRPr="00A84B2A">
        <w:rPr>
          <w:rFonts w:cs="Arial"/>
        </w:rPr>
        <w:t>p</w:t>
      </w:r>
      <w:r w:rsidR="001B3FAC" w:rsidRPr="00A84B2A">
        <w:rPr>
          <w:rFonts w:cs="Arial"/>
        </w:rPr>
        <w:t>lace</w:t>
      </w:r>
      <w:proofErr w:type="gramEnd"/>
      <w:r w:rsidR="001B3FAC" w:rsidRPr="00A84B2A">
        <w:rPr>
          <w:rFonts w:cs="Arial"/>
        </w:rPr>
        <w:t xml:space="preserve"> of death</w:t>
      </w:r>
      <w:r w:rsidR="004C2B38">
        <w:rPr>
          <w:rFonts w:cs="Arial"/>
        </w:rPr>
        <w:t xml:space="preserve"> (</w:t>
      </w:r>
      <w:r w:rsidR="00002FD4">
        <w:rPr>
          <w:rFonts w:cs="Arial"/>
        </w:rPr>
        <w:t>e.g.</w:t>
      </w:r>
      <w:r w:rsidR="004C2B38">
        <w:rPr>
          <w:rFonts w:cs="Arial"/>
        </w:rPr>
        <w:t xml:space="preserve"> home, hospital, hospice)</w:t>
      </w:r>
      <w:r w:rsidR="001B3FAC" w:rsidRPr="00A84B2A">
        <w:rPr>
          <w:rFonts w:cs="Arial"/>
        </w:rPr>
        <w:t>.</w:t>
      </w:r>
    </w:p>
    <w:p w:rsidR="000F6D3B" w:rsidRDefault="000F6D3B">
      <w:pPr>
        <w:spacing w:before="0"/>
        <w:jc w:val="left"/>
        <w:rPr>
          <w:rFonts w:cs="Arial"/>
          <w:i/>
        </w:rPr>
      </w:pPr>
      <w:r>
        <w:rPr>
          <w:rFonts w:cs="Arial"/>
          <w:i/>
        </w:rPr>
        <w:br w:type="page"/>
      </w:r>
    </w:p>
    <w:p w:rsidR="00070C06" w:rsidRDefault="00E55433" w:rsidP="000F6D3B">
      <w:pPr>
        <w:pStyle w:val="Heading1"/>
      </w:pPr>
      <w:r>
        <w:lastRenderedPageBreak/>
        <w:t xml:space="preserve">Appendix One: Models of </w:t>
      </w:r>
      <w:r w:rsidR="002612AA">
        <w:t>specialist palliative</w:t>
      </w:r>
      <w:r>
        <w:t xml:space="preserve"> care delivery</w:t>
      </w:r>
    </w:p>
    <w:tbl>
      <w:tblPr>
        <w:tblStyle w:val="TableGrid"/>
        <w:tblW w:w="0" w:type="auto"/>
        <w:tblLook w:val="04A0" w:firstRow="1" w:lastRow="0" w:firstColumn="1" w:lastColumn="0" w:noHBand="0" w:noVBand="1"/>
      </w:tblPr>
      <w:tblGrid>
        <w:gridCol w:w="1809"/>
        <w:gridCol w:w="8045"/>
      </w:tblGrid>
      <w:tr w:rsidR="0009784C" w:rsidRPr="00E55433" w:rsidTr="00E55433">
        <w:tc>
          <w:tcPr>
            <w:tcW w:w="1809" w:type="dxa"/>
          </w:tcPr>
          <w:p w:rsidR="00070C06" w:rsidRPr="00E55433" w:rsidRDefault="00070C06" w:rsidP="005B692D">
            <w:pPr>
              <w:jc w:val="left"/>
              <w:rPr>
                <w:rFonts w:cs="Arial"/>
                <w:b/>
                <w:sz w:val="22"/>
                <w:szCs w:val="22"/>
              </w:rPr>
            </w:pPr>
            <w:r w:rsidRPr="00E55433">
              <w:rPr>
                <w:rFonts w:cs="Arial"/>
                <w:b/>
                <w:sz w:val="22"/>
                <w:szCs w:val="22"/>
              </w:rPr>
              <w:t>What</w:t>
            </w:r>
          </w:p>
        </w:tc>
        <w:tc>
          <w:tcPr>
            <w:tcW w:w="8045" w:type="dxa"/>
          </w:tcPr>
          <w:p w:rsidR="00070C06" w:rsidRPr="00E55433" w:rsidRDefault="00070C06" w:rsidP="005B692D">
            <w:pPr>
              <w:jc w:val="left"/>
              <w:rPr>
                <w:rFonts w:cs="Arial"/>
                <w:b/>
                <w:sz w:val="22"/>
                <w:szCs w:val="22"/>
              </w:rPr>
            </w:pPr>
            <w:r w:rsidRPr="00E55433">
              <w:rPr>
                <w:rFonts w:cs="Arial"/>
                <w:b/>
                <w:sz w:val="22"/>
                <w:szCs w:val="22"/>
              </w:rPr>
              <w:t>How</w:t>
            </w:r>
          </w:p>
        </w:tc>
      </w:tr>
      <w:tr w:rsidR="0009784C" w:rsidRPr="00E55433" w:rsidTr="00E55433">
        <w:tc>
          <w:tcPr>
            <w:tcW w:w="1809" w:type="dxa"/>
            <w:tcBorders>
              <w:bottom w:val="single" w:sz="4" w:space="0" w:color="auto"/>
            </w:tcBorders>
          </w:tcPr>
          <w:p w:rsidR="00070C06" w:rsidRPr="00E55433" w:rsidRDefault="00070C06" w:rsidP="005B692D">
            <w:pPr>
              <w:jc w:val="left"/>
              <w:rPr>
                <w:rFonts w:cs="Arial"/>
                <w:sz w:val="22"/>
                <w:szCs w:val="22"/>
              </w:rPr>
            </w:pPr>
            <w:r w:rsidRPr="00FD73B3">
              <w:rPr>
                <w:rFonts w:cs="Arial"/>
                <w:b/>
                <w:sz w:val="22"/>
                <w:szCs w:val="22"/>
              </w:rPr>
              <w:t>1.</w:t>
            </w:r>
            <w:r w:rsidRPr="00E55433">
              <w:rPr>
                <w:rFonts w:cs="Arial"/>
                <w:b/>
                <w:sz w:val="22"/>
                <w:szCs w:val="22"/>
              </w:rPr>
              <w:t xml:space="preserve"> Community services</w:t>
            </w:r>
          </w:p>
        </w:tc>
        <w:tc>
          <w:tcPr>
            <w:tcW w:w="8045" w:type="dxa"/>
            <w:tcBorders>
              <w:bottom w:val="single" w:sz="4" w:space="0" w:color="auto"/>
            </w:tcBorders>
          </w:tcPr>
          <w:p w:rsidR="00440FB1" w:rsidRPr="00E55433" w:rsidRDefault="00070C06" w:rsidP="00AD13FC">
            <w:pPr>
              <w:jc w:val="left"/>
              <w:rPr>
                <w:rFonts w:cs="Arial"/>
                <w:sz w:val="22"/>
                <w:szCs w:val="22"/>
              </w:rPr>
            </w:pPr>
            <w:r w:rsidRPr="00E55433">
              <w:rPr>
                <w:rFonts w:cs="Arial"/>
                <w:sz w:val="22"/>
                <w:szCs w:val="22"/>
                <w:lang w:val="en-GB"/>
              </w:rPr>
              <w:t>Community specialist palliative care service</w:t>
            </w:r>
            <w:r w:rsidR="00405A9B" w:rsidRPr="00E55433">
              <w:rPr>
                <w:rFonts w:cs="Arial"/>
                <w:sz w:val="22"/>
                <w:szCs w:val="22"/>
                <w:lang w:val="en-GB"/>
              </w:rPr>
              <w:t>s are</w:t>
            </w:r>
            <w:r w:rsidRPr="00E55433">
              <w:rPr>
                <w:rFonts w:cs="Arial"/>
                <w:sz w:val="22"/>
                <w:szCs w:val="22"/>
                <w:lang w:val="en-GB"/>
              </w:rPr>
              <w:t xml:space="preserve"> </w:t>
            </w:r>
            <w:r w:rsidRPr="00E55433">
              <w:rPr>
                <w:rFonts w:cs="Arial"/>
                <w:sz w:val="22"/>
                <w:szCs w:val="22"/>
              </w:rPr>
              <w:t>provided</w:t>
            </w:r>
            <w:r w:rsidR="00440FB1" w:rsidRPr="00E55433">
              <w:rPr>
                <w:rFonts w:cs="Arial"/>
                <w:sz w:val="22"/>
                <w:szCs w:val="22"/>
              </w:rPr>
              <w:t>:</w:t>
            </w:r>
          </w:p>
          <w:p w:rsidR="00440FB1" w:rsidRPr="00E55433" w:rsidRDefault="00440FB1" w:rsidP="00FD73B3">
            <w:pPr>
              <w:pStyle w:val="ListParagraph"/>
              <w:numPr>
                <w:ilvl w:val="0"/>
                <w:numId w:val="19"/>
              </w:numPr>
              <w:ind w:left="459" w:hanging="425"/>
              <w:rPr>
                <w:sz w:val="22"/>
                <w:szCs w:val="22"/>
                <w:lang w:val="en-GB"/>
              </w:rPr>
            </w:pPr>
            <w:proofErr w:type="gramStart"/>
            <w:r w:rsidRPr="00E55433">
              <w:rPr>
                <w:sz w:val="22"/>
                <w:szCs w:val="22"/>
                <w:lang w:eastAsia="en-GB"/>
              </w:rPr>
              <w:t>for</w:t>
            </w:r>
            <w:proofErr w:type="gramEnd"/>
            <w:r w:rsidRPr="00E55433">
              <w:rPr>
                <w:sz w:val="22"/>
                <w:szCs w:val="22"/>
                <w:lang w:eastAsia="en-GB"/>
              </w:rPr>
              <w:t xml:space="preserve"> </w:t>
            </w:r>
            <w:r w:rsidR="00E55433">
              <w:rPr>
                <w:sz w:val="22"/>
                <w:szCs w:val="22"/>
                <w:lang w:eastAsia="en-GB"/>
              </w:rPr>
              <w:t>people</w:t>
            </w:r>
            <w:r w:rsidRPr="00E55433">
              <w:rPr>
                <w:sz w:val="22"/>
                <w:szCs w:val="22"/>
                <w:lang w:eastAsia="en-GB"/>
              </w:rPr>
              <w:t xml:space="preserve"> in their current environment with </w:t>
            </w:r>
            <w:r w:rsidR="00E55433">
              <w:rPr>
                <w:sz w:val="22"/>
                <w:szCs w:val="22"/>
                <w:lang w:eastAsia="en-GB"/>
              </w:rPr>
              <w:t xml:space="preserve">specialist </w:t>
            </w:r>
            <w:r w:rsidR="00AD13FC">
              <w:rPr>
                <w:sz w:val="22"/>
                <w:szCs w:val="22"/>
                <w:lang w:eastAsia="en-GB"/>
              </w:rPr>
              <w:t xml:space="preserve">palliative </w:t>
            </w:r>
            <w:r w:rsidR="00AD13FC" w:rsidRPr="00E55433">
              <w:rPr>
                <w:sz w:val="22"/>
                <w:szCs w:val="22"/>
                <w:lang w:eastAsia="en-GB"/>
              </w:rPr>
              <w:t>needs</w:t>
            </w:r>
            <w:r w:rsidRPr="00E55433">
              <w:rPr>
                <w:sz w:val="22"/>
                <w:szCs w:val="22"/>
              </w:rPr>
              <w:t xml:space="preserve"> </w:t>
            </w:r>
            <w:r w:rsidRPr="00E55433">
              <w:rPr>
                <w:sz w:val="22"/>
                <w:szCs w:val="22"/>
                <w:lang w:eastAsia="en-GB"/>
              </w:rPr>
              <w:t>that cannot be adequately managed by their primary palliative care providers.</w:t>
            </w:r>
          </w:p>
          <w:p w:rsidR="00070C06" w:rsidRPr="00E55433" w:rsidRDefault="00070C06" w:rsidP="00FD73B3">
            <w:pPr>
              <w:pStyle w:val="ListParagraph"/>
              <w:numPr>
                <w:ilvl w:val="0"/>
                <w:numId w:val="19"/>
              </w:numPr>
              <w:spacing w:after="120"/>
              <w:ind w:left="459" w:hanging="425"/>
              <w:rPr>
                <w:sz w:val="22"/>
                <w:szCs w:val="22"/>
                <w:lang w:eastAsia="en-GB"/>
              </w:rPr>
            </w:pPr>
            <w:proofErr w:type="gramStart"/>
            <w:r w:rsidRPr="002612AA">
              <w:rPr>
                <w:sz w:val="22"/>
                <w:szCs w:val="22"/>
                <w:lang w:val="en-GB"/>
              </w:rPr>
              <w:t>by</w:t>
            </w:r>
            <w:proofErr w:type="gramEnd"/>
            <w:r w:rsidRPr="002612AA">
              <w:rPr>
                <w:sz w:val="22"/>
                <w:szCs w:val="22"/>
                <w:lang w:val="en-GB"/>
              </w:rPr>
              <w:t xml:space="preserve"> hospice based specialist palliative care services</w:t>
            </w:r>
            <w:r w:rsidR="00C50FB8" w:rsidRPr="002612AA">
              <w:rPr>
                <w:sz w:val="22"/>
                <w:szCs w:val="22"/>
                <w:lang w:val="en-GB"/>
              </w:rPr>
              <w:t xml:space="preserve"> and/or</w:t>
            </w:r>
            <w:r w:rsidR="00C2657D" w:rsidRPr="002612AA">
              <w:rPr>
                <w:sz w:val="22"/>
                <w:szCs w:val="22"/>
                <w:lang w:val="en-GB"/>
              </w:rPr>
              <w:t xml:space="preserve"> </w:t>
            </w:r>
            <w:r w:rsidRPr="002612AA">
              <w:rPr>
                <w:sz w:val="22"/>
                <w:szCs w:val="22"/>
                <w:lang w:val="en-GB"/>
              </w:rPr>
              <w:t>paediatric specialist palliative care teams</w:t>
            </w:r>
            <w:r w:rsidRPr="00E55433">
              <w:rPr>
                <w:sz w:val="22"/>
                <w:szCs w:val="22"/>
                <w:lang w:val="en-GB"/>
              </w:rPr>
              <w:t>.</w:t>
            </w:r>
            <w:r w:rsidR="00E55433" w:rsidRPr="00E55433">
              <w:rPr>
                <w:rStyle w:val="FootnoteReference"/>
                <w:sz w:val="22"/>
                <w:szCs w:val="22"/>
                <w:lang w:val="en-GB"/>
              </w:rPr>
              <w:footnoteReference w:id="13"/>
            </w:r>
            <w:r w:rsidR="00C2657D" w:rsidRPr="00E55433">
              <w:rPr>
                <w:sz w:val="22"/>
                <w:szCs w:val="22"/>
                <w:lang w:val="en-GB"/>
              </w:rPr>
              <w:t xml:space="preserve">  </w:t>
            </w:r>
          </w:p>
          <w:p w:rsidR="00070C06" w:rsidRPr="00E55433" w:rsidRDefault="00070C06" w:rsidP="005B692D">
            <w:pPr>
              <w:spacing w:after="120"/>
              <w:jc w:val="left"/>
              <w:rPr>
                <w:rFonts w:cs="Arial"/>
                <w:sz w:val="22"/>
                <w:szCs w:val="22"/>
              </w:rPr>
            </w:pPr>
            <w:r w:rsidRPr="00E55433">
              <w:rPr>
                <w:rFonts w:cs="Arial"/>
                <w:sz w:val="22"/>
                <w:szCs w:val="22"/>
              </w:rPr>
              <w:t>Community specialist palliative care provider</w:t>
            </w:r>
            <w:r w:rsidR="0009784C" w:rsidRPr="00E55433">
              <w:rPr>
                <w:rFonts w:cs="Arial"/>
                <w:sz w:val="22"/>
                <w:szCs w:val="22"/>
              </w:rPr>
              <w:t>s</w:t>
            </w:r>
            <w:r w:rsidRPr="00E55433">
              <w:rPr>
                <w:rFonts w:cs="Arial"/>
                <w:sz w:val="22"/>
                <w:szCs w:val="22"/>
              </w:rPr>
              <w:t xml:space="preserve"> facilitate access to appropriate equipment for Service Users who have been assessed as requiring palliative care support services.</w:t>
            </w:r>
          </w:p>
          <w:p w:rsidR="00070C06" w:rsidRPr="00E55433" w:rsidRDefault="00070C06" w:rsidP="00E55433">
            <w:pPr>
              <w:spacing w:after="120"/>
              <w:jc w:val="left"/>
              <w:rPr>
                <w:rFonts w:cs="Arial"/>
                <w:sz w:val="22"/>
                <w:szCs w:val="22"/>
              </w:rPr>
            </w:pPr>
            <w:r w:rsidRPr="00E55433">
              <w:rPr>
                <w:rFonts w:cs="Arial"/>
                <w:sz w:val="22"/>
                <w:szCs w:val="22"/>
              </w:rPr>
              <w:t xml:space="preserve">Community specialist palliative care may provide </w:t>
            </w:r>
            <w:r w:rsidR="0001577B" w:rsidRPr="00E55433">
              <w:rPr>
                <w:rFonts w:cs="Arial"/>
                <w:sz w:val="22"/>
                <w:szCs w:val="22"/>
              </w:rPr>
              <w:t xml:space="preserve">activities-based day programmes </w:t>
            </w:r>
            <w:r w:rsidRPr="00E55433">
              <w:rPr>
                <w:rFonts w:cs="Arial"/>
                <w:sz w:val="22"/>
                <w:szCs w:val="22"/>
              </w:rPr>
              <w:t xml:space="preserve">and </w:t>
            </w:r>
            <w:r w:rsidR="00E55433" w:rsidRPr="00E55433">
              <w:rPr>
                <w:rFonts w:cs="Arial"/>
                <w:sz w:val="22"/>
                <w:szCs w:val="22"/>
              </w:rPr>
              <w:t>overnight care in an accredited facility.</w:t>
            </w:r>
          </w:p>
        </w:tc>
      </w:tr>
      <w:tr w:rsidR="0009784C" w:rsidRPr="00E55433" w:rsidTr="00E55433">
        <w:tc>
          <w:tcPr>
            <w:tcW w:w="1809" w:type="dxa"/>
          </w:tcPr>
          <w:p w:rsidR="00070C06" w:rsidRPr="00E55433" w:rsidRDefault="00070C06" w:rsidP="005B692D">
            <w:pPr>
              <w:jc w:val="left"/>
              <w:rPr>
                <w:rFonts w:cs="Arial"/>
                <w:sz w:val="22"/>
                <w:szCs w:val="22"/>
              </w:rPr>
            </w:pPr>
            <w:r w:rsidRPr="00FD73B3">
              <w:rPr>
                <w:rFonts w:cs="Arial"/>
                <w:b/>
                <w:sz w:val="22"/>
                <w:szCs w:val="22"/>
              </w:rPr>
              <w:t>2.</w:t>
            </w:r>
            <w:r w:rsidRPr="00E55433">
              <w:rPr>
                <w:rFonts w:cs="Arial"/>
                <w:sz w:val="22"/>
                <w:szCs w:val="22"/>
              </w:rPr>
              <w:t xml:space="preserve"> </w:t>
            </w:r>
            <w:r w:rsidRPr="00E55433">
              <w:rPr>
                <w:rFonts w:cs="Arial"/>
                <w:b/>
                <w:sz w:val="22"/>
                <w:szCs w:val="22"/>
              </w:rPr>
              <w:t>Consultancy services</w:t>
            </w:r>
          </w:p>
        </w:tc>
        <w:tc>
          <w:tcPr>
            <w:tcW w:w="8045" w:type="dxa"/>
          </w:tcPr>
          <w:p w:rsidR="00E55433" w:rsidRPr="00E55433" w:rsidRDefault="00E55433" w:rsidP="00E55433">
            <w:pPr>
              <w:spacing w:after="120"/>
              <w:ind w:left="162" w:hanging="162"/>
              <w:jc w:val="left"/>
              <w:rPr>
                <w:rFonts w:cs="Arial"/>
                <w:sz w:val="22"/>
                <w:szCs w:val="22"/>
                <w:lang w:val="en-GB"/>
              </w:rPr>
            </w:pPr>
            <w:proofErr w:type="spellStart"/>
            <w:r>
              <w:rPr>
                <w:rFonts w:cs="Arial"/>
                <w:sz w:val="22"/>
                <w:szCs w:val="22"/>
                <w:lang w:val="en-GB"/>
              </w:rPr>
              <w:t>i</w:t>
            </w:r>
            <w:proofErr w:type="spellEnd"/>
            <w:r>
              <w:rPr>
                <w:rFonts w:cs="Arial"/>
                <w:sz w:val="22"/>
                <w:szCs w:val="22"/>
                <w:lang w:val="en-GB"/>
              </w:rPr>
              <w:t xml:space="preserve">) </w:t>
            </w:r>
            <w:r w:rsidRPr="00AD13FC">
              <w:rPr>
                <w:rFonts w:cs="Arial"/>
                <w:b/>
                <w:sz w:val="22"/>
                <w:szCs w:val="22"/>
                <w:lang w:val="en-GB"/>
              </w:rPr>
              <w:t>Hospital-based specialist palliative care teams to support primary palliative care providers in hospitals</w:t>
            </w:r>
          </w:p>
          <w:p w:rsidR="00E55433" w:rsidRPr="00E55433" w:rsidRDefault="00E55433" w:rsidP="00AD13FC">
            <w:pPr>
              <w:ind w:left="162"/>
              <w:jc w:val="left"/>
              <w:rPr>
                <w:rFonts w:cs="Arial"/>
                <w:sz w:val="22"/>
                <w:szCs w:val="22"/>
              </w:rPr>
            </w:pPr>
            <w:r w:rsidRPr="00E55433">
              <w:rPr>
                <w:rFonts w:cs="Arial"/>
                <w:sz w:val="22"/>
                <w:szCs w:val="22"/>
              </w:rPr>
              <w:t>Hospital based specialist palliative care teams provide liaison services that:</w:t>
            </w:r>
          </w:p>
          <w:p w:rsidR="00E55433" w:rsidRPr="00E55433" w:rsidRDefault="00E55433" w:rsidP="00A23B15">
            <w:pPr>
              <w:pStyle w:val="ListParagraph"/>
              <w:numPr>
                <w:ilvl w:val="0"/>
                <w:numId w:val="22"/>
              </w:numPr>
              <w:rPr>
                <w:sz w:val="22"/>
                <w:szCs w:val="22"/>
              </w:rPr>
            </w:pPr>
            <w:r w:rsidRPr="00E55433">
              <w:rPr>
                <w:sz w:val="22"/>
                <w:szCs w:val="22"/>
              </w:rPr>
              <w:t xml:space="preserve">provide support </w:t>
            </w:r>
            <w:r w:rsidR="00AD13FC">
              <w:rPr>
                <w:sz w:val="22"/>
                <w:szCs w:val="22"/>
              </w:rPr>
              <w:t xml:space="preserve">to primary palliative care </w:t>
            </w:r>
            <w:r w:rsidRPr="00E55433">
              <w:rPr>
                <w:sz w:val="22"/>
                <w:szCs w:val="22"/>
              </w:rPr>
              <w:t>providers to ensure they can deliver high quality palliative care within the limits of their knowledge and ability</w:t>
            </w:r>
          </w:p>
          <w:p w:rsidR="00E55433" w:rsidRPr="00E55433" w:rsidRDefault="00E55433" w:rsidP="00A23B15">
            <w:pPr>
              <w:pStyle w:val="ListParagraph"/>
              <w:numPr>
                <w:ilvl w:val="0"/>
                <w:numId w:val="22"/>
              </w:numPr>
              <w:rPr>
                <w:sz w:val="22"/>
                <w:szCs w:val="22"/>
              </w:rPr>
            </w:pPr>
            <w:proofErr w:type="gramStart"/>
            <w:r w:rsidRPr="00E55433">
              <w:rPr>
                <w:sz w:val="22"/>
                <w:szCs w:val="22"/>
              </w:rPr>
              <w:t>provide</w:t>
            </w:r>
            <w:proofErr w:type="gramEnd"/>
            <w:r w:rsidRPr="00E55433">
              <w:rPr>
                <w:sz w:val="22"/>
                <w:szCs w:val="22"/>
              </w:rPr>
              <w:t xml:space="preserve"> specialist palliative care when the needs of a patient/family exceed the capability of the patient’s principle care team.</w:t>
            </w:r>
          </w:p>
          <w:p w:rsidR="00E55433" w:rsidRPr="00E55433" w:rsidRDefault="00E55433" w:rsidP="00E55433">
            <w:pPr>
              <w:ind w:left="162"/>
              <w:jc w:val="left"/>
              <w:rPr>
                <w:rFonts w:cs="Arial"/>
                <w:sz w:val="22"/>
                <w:szCs w:val="22"/>
                <w:lang w:val="en-GB"/>
              </w:rPr>
            </w:pPr>
            <w:r w:rsidRPr="00E55433">
              <w:rPr>
                <w:rFonts w:cs="Arial"/>
                <w:sz w:val="22"/>
                <w:szCs w:val="22"/>
                <w:lang w:val="en-GB"/>
              </w:rPr>
              <w:t>Hospital based liaison services also provide advice on symptom management, patient, carer and staff support, technical expertise, and bereavement support.  The services also provide advice and information to a patient’s principle care team, conducting patient consultation and assessment, offering short-term interventions, or providing complex ongoing care.</w:t>
            </w:r>
          </w:p>
          <w:p w:rsidR="00E55433" w:rsidRPr="00E55433" w:rsidRDefault="00E55433" w:rsidP="00070C06">
            <w:pPr>
              <w:pStyle w:val="BulletPoints"/>
              <w:spacing w:after="120"/>
              <w:ind w:left="77" w:firstLine="0"/>
              <w:jc w:val="left"/>
              <w:rPr>
                <w:rFonts w:ascii="Arial" w:hAnsi="Arial" w:cs="Arial"/>
                <w:sz w:val="22"/>
                <w:szCs w:val="22"/>
                <w:lang w:val="en-GB"/>
              </w:rPr>
            </w:pPr>
            <w:r>
              <w:rPr>
                <w:rFonts w:ascii="Arial" w:hAnsi="Arial" w:cs="Arial"/>
                <w:sz w:val="22"/>
                <w:szCs w:val="22"/>
                <w:lang w:val="en-GB"/>
              </w:rPr>
              <w:t xml:space="preserve">ii) </w:t>
            </w:r>
            <w:r w:rsidRPr="00AD13FC">
              <w:rPr>
                <w:rFonts w:ascii="Arial" w:hAnsi="Arial" w:cs="Arial"/>
                <w:b/>
                <w:sz w:val="22"/>
                <w:szCs w:val="22"/>
                <w:lang w:val="en-GB"/>
              </w:rPr>
              <w:t>Hospices to support primary palliative care providers or for services outside the DHB district</w:t>
            </w:r>
          </w:p>
          <w:p w:rsidR="00E55433" w:rsidRDefault="00E55433" w:rsidP="00AD13FC">
            <w:pPr>
              <w:pStyle w:val="BulletPoints"/>
              <w:ind w:left="94" w:hanging="11"/>
              <w:jc w:val="left"/>
              <w:rPr>
                <w:rFonts w:ascii="Arial" w:hAnsi="Arial" w:cs="Arial"/>
                <w:sz w:val="22"/>
                <w:szCs w:val="22"/>
                <w:lang w:val="en-GB"/>
              </w:rPr>
            </w:pPr>
            <w:r w:rsidRPr="00E55433">
              <w:rPr>
                <w:rFonts w:ascii="Arial" w:hAnsi="Arial" w:cs="Arial"/>
                <w:sz w:val="22"/>
                <w:szCs w:val="22"/>
                <w:lang w:val="en-GB"/>
              </w:rPr>
              <w:t>H</w:t>
            </w:r>
            <w:r w:rsidR="002748F9" w:rsidRPr="00E55433">
              <w:rPr>
                <w:rFonts w:ascii="Arial" w:hAnsi="Arial" w:cs="Arial"/>
                <w:sz w:val="22"/>
                <w:szCs w:val="22"/>
                <w:lang w:val="en-GB"/>
              </w:rPr>
              <w:t>ospice based specialist palliative care services</w:t>
            </w:r>
            <w:r w:rsidRPr="00E55433">
              <w:rPr>
                <w:rFonts w:ascii="Arial" w:hAnsi="Arial" w:cs="Arial"/>
                <w:sz w:val="22"/>
                <w:szCs w:val="22"/>
                <w:lang w:val="en-GB"/>
              </w:rPr>
              <w:t xml:space="preserve"> provide</w:t>
            </w:r>
            <w:r>
              <w:rPr>
                <w:rFonts w:ascii="Arial" w:hAnsi="Arial" w:cs="Arial"/>
                <w:sz w:val="22"/>
                <w:szCs w:val="22"/>
                <w:lang w:val="en-GB"/>
              </w:rPr>
              <w:t>:</w:t>
            </w:r>
          </w:p>
          <w:p w:rsidR="00070C06" w:rsidRPr="00E55433" w:rsidRDefault="00AD13FC" w:rsidP="00A23B15">
            <w:pPr>
              <w:pStyle w:val="ListParagraph"/>
              <w:numPr>
                <w:ilvl w:val="0"/>
                <w:numId w:val="22"/>
              </w:numPr>
              <w:rPr>
                <w:sz w:val="22"/>
                <w:szCs w:val="22"/>
              </w:rPr>
            </w:pPr>
            <w:proofErr w:type="gramStart"/>
            <w:r w:rsidRPr="00E55433">
              <w:rPr>
                <w:sz w:val="22"/>
                <w:szCs w:val="22"/>
              </w:rPr>
              <w:t>non-contact</w:t>
            </w:r>
            <w:proofErr w:type="gramEnd"/>
            <w:r w:rsidR="00AC0B9F" w:rsidRPr="00E55433">
              <w:rPr>
                <w:sz w:val="22"/>
                <w:szCs w:val="22"/>
              </w:rPr>
              <w:t xml:space="preserve"> </w:t>
            </w:r>
            <w:r w:rsidR="00070C06" w:rsidRPr="00E55433">
              <w:rPr>
                <w:sz w:val="22"/>
                <w:szCs w:val="22"/>
              </w:rPr>
              <w:t>specialist palliative care advice to support pr</w:t>
            </w:r>
            <w:r w:rsidR="00E55433">
              <w:rPr>
                <w:sz w:val="22"/>
                <w:szCs w:val="22"/>
              </w:rPr>
              <w:t>imary palliative care providers.  T</w:t>
            </w:r>
            <w:r w:rsidR="00070C06" w:rsidRPr="00E55433">
              <w:rPr>
                <w:sz w:val="22"/>
                <w:szCs w:val="22"/>
              </w:rPr>
              <w:t>his advice</w:t>
            </w:r>
            <w:r w:rsidR="002A3C04" w:rsidRPr="00E55433">
              <w:rPr>
                <w:sz w:val="22"/>
                <w:szCs w:val="22"/>
              </w:rPr>
              <w:t xml:space="preserve"> may</w:t>
            </w:r>
            <w:r w:rsidR="00070C06" w:rsidRPr="00E55433">
              <w:rPr>
                <w:sz w:val="22"/>
                <w:szCs w:val="22"/>
              </w:rPr>
              <w:t xml:space="preserve"> include supporting the development and implementation of a written care plan.</w:t>
            </w:r>
          </w:p>
          <w:p w:rsidR="00AC0B9F" w:rsidRPr="00E55433" w:rsidRDefault="00E55433" w:rsidP="00A23B15">
            <w:pPr>
              <w:pStyle w:val="ListParagraph"/>
              <w:numPr>
                <w:ilvl w:val="0"/>
                <w:numId w:val="22"/>
              </w:numPr>
              <w:rPr>
                <w:sz w:val="22"/>
                <w:szCs w:val="22"/>
              </w:rPr>
            </w:pPr>
            <w:r>
              <w:rPr>
                <w:sz w:val="22"/>
                <w:szCs w:val="22"/>
              </w:rPr>
              <w:t xml:space="preserve">assessment </w:t>
            </w:r>
            <w:r w:rsidR="00AC0B9F" w:rsidRPr="00E55433">
              <w:rPr>
                <w:sz w:val="22"/>
                <w:szCs w:val="22"/>
              </w:rPr>
              <w:t xml:space="preserve">for people with </w:t>
            </w:r>
            <w:r>
              <w:rPr>
                <w:sz w:val="22"/>
                <w:szCs w:val="22"/>
              </w:rPr>
              <w:t>specialist</w:t>
            </w:r>
            <w:r w:rsidR="00AC0B9F" w:rsidRPr="00E55433">
              <w:rPr>
                <w:sz w:val="22"/>
                <w:szCs w:val="22"/>
              </w:rPr>
              <w:t xml:space="preserve"> palliative care needs who are</w:t>
            </w:r>
            <w:r w:rsidR="00440FB1" w:rsidRPr="00E55433">
              <w:rPr>
                <w:sz w:val="22"/>
                <w:szCs w:val="22"/>
              </w:rPr>
              <w:t xml:space="preserve"> hospital</w:t>
            </w:r>
            <w:r w:rsidR="00AC0B9F" w:rsidRPr="00E55433">
              <w:rPr>
                <w:sz w:val="22"/>
                <w:szCs w:val="22"/>
              </w:rPr>
              <w:t xml:space="preserve"> inpatients</w:t>
            </w:r>
            <w:r w:rsidR="002748F9" w:rsidRPr="00E55433">
              <w:rPr>
                <w:sz w:val="22"/>
                <w:szCs w:val="22"/>
              </w:rPr>
              <w:t xml:space="preserve"> (and the hospital does not have an existing hospital</w:t>
            </w:r>
            <w:r>
              <w:rPr>
                <w:sz w:val="22"/>
                <w:szCs w:val="22"/>
              </w:rPr>
              <w:t>-</w:t>
            </w:r>
            <w:r w:rsidR="002748F9" w:rsidRPr="00E55433">
              <w:rPr>
                <w:sz w:val="22"/>
                <w:szCs w:val="22"/>
              </w:rPr>
              <w:t>based</w:t>
            </w:r>
            <w:r>
              <w:rPr>
                <w:sz w:val="22"/>
                <w:szCs w:val="22"/>
              </w:rPr>
              <w:t xml:space="preserve"> </w:t>
            </w:r>
            <w:r w:rsidRPr="00AD13FC">
              <w:rPr>
                <w:sz w:val="22"/>
                <w:szCs w:val="22"/>
              </w:rPr>
              <w:t>specialist palliative care team)</w:t>
            </w:r>
          </w:p>
          <w:p w:rsidR="00E55433" w:rsidRDefault="00E55433" w:rsidP="00A23B15">
            <w:pPr>
              <w:pStyle w:val="ListParagraph"/>
              <w:numPr>
                <w:ilvl w:val="0"/>
                <w:numId w:val="22"/>
              </w:numPr>
              <w:rPr>
                <w:sz w:val="22"/>
                <w:szCs w:val="22"/>
              </w:rPr>
            </w:pPr>
            <w:r w:rsidRPr="00E55433">
              <w:rPr>
                <w:sz w:val="22"/>
                <w:szCs w:val="22"/>
              </w:rPr>
              <w:t xml:space="preserve">end of life care </w:t>
            </w:r>
            <w:r>
              <w:rPr>
                <w:sz w:val="22"/>
                <w:szCs w:val="22"/>
              </w:rPr>
              <w:t xml:space="preserve">input to support </w:t>
            </w:r>
            <w:r w:rsidR="00070C06" w:rsidRPr="00E55433">
              <w:rPr>
                <w:sz w:val="22"/>
                <w:szCs w:val="22"/>
              </w:rPr>
              <w:t>primary palliative care provider</w:t>
            </w:r>
            <w:r>
              <w:rPr>
                <w:sz w:val="22"/>
                <w:szCs w:val="22"/>
              </w:rPr>
              <w:t>s</w:t>
            </w:r>
          </w:p>
          <w:p w:rsidR="002748F9" w:rsidRPr="00E55433" w:rsidRDefault="00E55433" w:rsidP="00A23B15">
            <w:pPr>
              <w:pStyle w:val="ListParagraph"/>
              <w:numPr>
                <w:ilvl w:val="0"/>
                <w:numId w:val="22"/>
              </w:numPr>
              <w:spacing w:after="120"/>
              <w:rPr>
                <w:sz w:val="22"/>
                <w:szCs w:val="22"/>
              </w:rPr>
            </w:pPr>
            <w:proofErr w:type="gramStart"/>
            <w:r w:rsidRPr="00E55433">
              <w:rPr>
                <w:sz w:val="22"/>
                <w:szCs w:val="22"/>
              </w:rPr>
              <w:t>support</w:t>
            </w:r>
            <w:proofErr w:type="gramEnd"/>
            <w:r w:rsidRPr="00E55433">
              <w:rPr>
                <w:sz w:val="22"/>
                <w:szCs w:val="22"/>
              </w:rPr>
              <w:t xml:space="preserve"> to </w:t>
            </w:r>
            <w:r w:rsidR="0009784C" w:rsidRPr="00E55433">
              <w:rPr>
                <w:sz w:val="22"/>
                <w:szCs w:val="22"/>
              </w:rPr>
              <w:t xml:space="preserve">other DHBs to have access to a full specialist palliative care service (for example, hospices without medical input, or where there is no hospice or hospital-based specialist palliative care team in the </w:t>
            </w:r>
            <w:r w:rsidRPr="00E55433">
              <w:rPr>
                <w:sz w:val="22"/>
                <w:szCs w:val="22"/>
              </w:rPr>
              <w:t>DHB of Domicile</w:t>
            </w:r>
            <w:r w:rsidR="0009784C" w:rsidRPr="00E55433">
              <w:rPr>
                <w:sz w:val="22"/>
                <w:szCs w:val="22"/>
              </w:rPr>
              <w:t>)</w:t>
            </w:r>
            <w:r w:rsidR="00070C06" w:rsidRPr="00E55433">
              <w:rPr>
                <w:sz w:val="22"/>
                <w:szCs w:val="22"/>
              </w:rPr>
              <w:t xml:space="preserve">.  </w:t>
            </w:r>
          </w:p>
          <w:p w:rsidR="00070C06" w:rsidRPr="00E55433" w:rsidRDefault="00E55433" w:rsidP="00AD13FC">
            <w:pPr>
              <w:pStyle w:val="BulletPoints"/>
              <w:spacing w:after="120"/>
              <w:ind w:left="0" w:firstLine="6"/>
              <w:jc w:val="left"/>
              <w:rPr>
                <w:rFonts w:ascii="Arial" w:hAnsi="Arial" w:cs="Arial"/>
                <w:sz w:val="22"/>
                <w:szCs w:val="22"/>
              </w:rPr>
            </w:pPr>
            <w:r>
              <w:rPr>
                <w:rFonts w:ascii="Arial" w:hAnsi="Arial" w:cs="Arial"/>
                <w:sz w:val="22"/>
                <w:szCs w:val="22"/>
              </w:rPr>
              <w:t>Consultancy services are also provided to i</w:t>
            </w:r>
            <w:r w:rsidR="002748F9" w:rsidRPr="00E55433">
              <w:rPr>
                <w:rFonts w:ascii="Arial" w:hAnsi="Arial" w:cs="Arial"/>
                <w:sz w:val="22"/>
                <w:szCs w:val="22"/>
              </w:rPr>
              <w:t>ndividuals who have not been referred to the Service but where a specialist opinion is sought.</w:t>
            </w:r>
          </w:p>
        </w:tc>
      </w:tr>
    </w:tbl>
    <w:p w:rsidR="00A521F5" w:rsidRPr="00E55433" w:rsidRDefault="00A521F5">
      <w:pPr>
        <w:jc w:val="left"/>
        <w:rPr>
          <w:rFonts w:cs="Arial"/>
          <w:b/>
          <w:sz w:val="22"/>
          <w:szCs w:val="22"/>
        </w:rPr>
      </w:pPr>
      <w:r w:rsidRPr="00E55433">
        <w:rPr>
          <w:rFonts w:cs="Arial"/>
          <w:b/>
          <w:sz w:val="22"/>
          <w:szCs w:val="22"/>
        </w:rPr>
        <w:br w:type="page"/>
      </w:r>
    </w:p>
    <w:p w:rsidR="00C2382B" w:rsidRPr="00070C06" w:rsidRDefault="00A521F5" w:rsidP="00766EA5">
      <w:pPr>
        <w:jc w:val="left"/>
        <w:rPr>
          <w:rFonts w:cs="Arial"/>
          <w:b/>
          <w:sz w:val="28"/>
          <w:szCs w:val="28"/>
        </w:rPr>
      </w:pPr>
      <w:r>
        <w:rPr>
          <w:rFonts w:cs="Arial"/>
          <w:b/>
          <w:sz w:val="28"/>
          <w:szCs w:val="28"/>
        </w:rPr>
        <w:lastRenderedPageBreak/>
        <w:t>Appendix Two</w:t>
      </w:r>
      <w:r w:rsidR="002612AA">
        <w:rPr>
          <w:rFonts w:cs="Arial"/>
          <w:b/>
          <w:sz w:val="28"/>
          <w:szCs w:val="28"/>
        </w:rPr>
        <w:t>:</w:t>
      </w:r>
      <w:r>
        <w:rPr>
          <w:rFonts w:cs="Arial"/>
          <w:b/>
          <w:sz w:val="28"/>
          <w:szCs w:val="28"/>
        </w:rPr>
        <w:t xml:space="preserve"> </w:t>
      </w:r>
      <w:r w:rsidR="00766EA5" w:rsidRPr="00070C06">
        <w:rPr>
          <w:rFonts w:cs="Arial"/>
          <w:b/>
          <w:sz w:val="28"/>
          <w:szCs w:val="28"/>
        </w:rPr>
        <w:t>Glossary of terms</w:t>
      </w:r>
    </w:p>
    <w:p w:rsidR="00FB1DAD" w:rsidRDefault="00FB1DAD" w:rsidP="007E4280">
      <w:pPr>
        <w:ind w:left="567" w:hanging="567"/>
        <w:jc w:val="left"/>
        <w:rPr>
          <w:rFonts w:cs="Arial"/>
          <w:b/>
        </w:rPr>
      </w:pPr>
      <w:r>
        <w:rPr>
          <w:rFonts w:cs="Arial"/>
          <w:b/>
        </w:rPr>
        <w:t>DHB of Domicile</w:t>
      </w:r>
    </w:p>
    <w:p w:rsidR="00FB1DAD" w:rsidRPr="00FB1DAD" w:rsidRDefault="0009784C" w:rsidP="00FB1DAD">
      <w:pPr>
        <w:jc w:val="left"/>
        <w:rPr>
          <w:rFonts w:cs="Arial"/>
        </w:rPr>
      </w:pPr>
      <w:r>
        <w:rPr>
          <w:rFonts w:cs="Arial"/>
        </w:rPr>
        <w:t xml:space="preserve">The DHB of Domicile </w:t>
      </w:r>
      <w:r w:rsidR="00FB1DAD" w:rsidRPr="00FB1DAD">
        <w:rPr>
          <w:rFonts w:cs="Arial"/>
        </w:rPr>
        <w:t xml:space="preserve">is the DHB that is responsible for funding services for its resident population.  </w:t>
      </w:r>
    </w:p>
    <w:p w:rsidR="00945216" w:rsidRDefault="002217BD" w:rsidP="008F6793">
      <w:pPr>
        <w:ind w:left="567" w:hanging="567"/>
        <w:jc w:val="left"/>
        <w:rPr>
          <w:rFonts w:cs="Arial"/>
        </w:rPr>
      </w:pPr>
      <w:r w:rsidRPr="00B66CCB">
        <w:rPr>
          <w:rFonts w:cs="Arial"/>
          <w:b/>
        </w:rPr>
        <w:t>End-of-life care</w:t>
      </w:r>
    </w:p>
    <w:p w:rsidR="002217BD" w:rsidRPr="00B66CCB" w:rsidRDefault="002217BD" w:rsidP="00945216">
      <w:pPr>
        <w:jc w:val="left"/>
        <w:rPr>
          <w:rFonts w:cs="Arial"/>
        </w:rPr>
      </w:pPr>
      <w:r w:rsidRPr="00B66CCB">
        <w:rPr>
          <w:rFonts w:cs="Arial"/>
        </w:rPr>
        <w:t>End-of-life care is the provision of supportive and palliative care in response to the assessed needs of the patient and family/</w:t>
      </w:r>
      <w:proofErr w:type="spellStart"/>
      <w:r w:rsidRPr="00B66CCB">
        <w:rPr>
          <w:rFonts w:cs="Arial"/>
        </w:rPr>
        <w:t>wh</w:t>
      </w:r>
      <w:r w:rsidRPr="00B66CCB">
        <w:rPr>
          <w:rFonts w:cs="Arial" w:hint="eastAsia"/>
        </w:rPr>
        <w:t>ā</w:t>
      </w:r>
      <w:r w:rsidRPr="00B66CCB">
        <w:rPr>
          <w:rFonts w:cs="Arial"/>
        </w:rPr>
        <w:t>nau</w:t>
      </w:r>
      <w:proofErr w:type="spellEnd"/>
      <w:r w:rsidRPr="00B66CCB">
        <w:rPr>
          <w:rFonts w:cs="Arial"/>
        </w:rPr>
        <w:t xml:space="preserve"> during the end-of-life phase. It focuses on preparing for an anticipated death and managing the end stage of a life-limiting or life-threatening condition. This includes care during and around the time of death, and immediately afterwards. It enables the supportive and palliative care needs of both the person and their family and </w:t>
      </w:r>
      <w:proofErr w:type="spellStart"/>
      <w:r w:rsidRPr="00B66CCB">
        <w:rPr>
          <w:rFonts w:cs="Arial"/>
        </w:rPr>
        <w:t>wh</w:t>
      </w:r>
      <w:r w:rsidRPr="00B66CCB">
        <w:rPr>
          <w:rFonts w:cs="Arial" w:hint="eastAsia"/>
        </w:rPr>
        <w:t>ā</w:t>
      </w:r>
      <w:r w:rsidRPr="00B66CCB">
        <w:rPr>
          <w:rFonts w:cs="Arial"/>
        </w:rPr>
        <w:t>nau</w:t>
      </w:r>
      <w:proofErr w:type="spellEnd"/>
      <w:r w:rsidRPr="00B66CCB">
        <w:rPr>
          <w:rFonts w:cs="Arial"/>
        </w:rPr>
        <w:t xml:space="preserve"> to be identified and met throughout the last phase of life and into bereavement. It includes management of pain and other symptoms, and provision of psychological, social, spiritual and practical support and support for the family.</w:t>
      </w:r>
    </w:p>
    <w:p w:rsidR="00945216" w:rsidRDefault="00405A9B" w:rsidP="00E86F02">
      <w:pPr>
        <w:spacing w:after="120"/>
        <w:ind w:left="567" w:hanging="567"/>
        <w:jc w:val="left"/>
        <w:rPr>
          <w:rFonts w:cs="Arial"/>
          <w:b/>
        </w:rPr>
      </w:pPr>
      <w:r>
        <w:rPr>
          <w:rFonts w:cs="Arial"/>
          <w:b/>
        </w:rPr>
        <w:t>Family</w:t>
      </w:r>
    </w:p>
    <w:p w:rsidR="002217BD" w:rsidRDefault="002217BD" w:rsidP="00945216">
      <w:pPr>
        <w:jc w:val="left"/>
        <w:rPr>
          <w:rFonts w:cs="Arial"/>
        </w:rPr>
      </w:pPr>
      <w:proofErr w:type="gramStart"/>
      <w:r w:rsidRPr="00B66CCB">
        <w:rPr>
          <w:rFonts w:cs="Arial"/>
        </w:rPr>
        <w:t>Those who are closest to the patient in knowledge, care and affection.</w:t>
      </w:r>
      <w:proofErr w:type="gramEnd"/>
      <w:r w:rsidRPr="00B66CCB">
        <w:rPr>
          <w:rFonts w:cs="Arial"/>
        </w:rPr>
        <w:t xml:space="preserve"> The family may include the biological family, the family of acquisition (related by marriage/contract), and the family of choice and friends (including pets). See also </w:t>
      </w:r>
      <w:proofErr w:type="spellStart"/>
      <w:r w:rsidRPr="00B66CCB">
        <w:rPr>
          <w:rFonts w:cs="Arial"/>
        </w:rPr>
        <w:t>wh</w:t>
      </w:r>
      <w:r w:rsidRPr="00B66CCB">
        <w:rPr>
          <w:rFonts w:cs="Arial" w:hint="eastAsia"/>
        </w:rPr>
        <w:t>ā</w:t>
      </w:r>
      <w:r w:rsidRPr="00B66CCB">
        <w:rPr>
          <w:rFonts w:cs="Arial"/>
        </w:rPr>
        <w:t>nau</w:t>
      </w:r>
      <w:proofErr w:type="spellEnd"/>
      <w:r w:rsidRPr="00B66CCB">
        <w:rPr>
          <w:rFonts w:cs="Arial"/>
        </w:rPr>
        <w:t>.</w:t>
      </w:r>
    </w:p>
    <w:p w:rsidR="00945216" w:rsidRPr="00945216" w:rsidRDefault="00405A9B" w:rsidP="00E86F02">
      <w:pPr>
        <w:spacing w:after="120"/>
        <w:ind w:left="567" w:hanging="567"/>
        <w:jc w:val="left"/>
        <w:rPr>
          <w:rFonts w:cs="Arial"/>
          <w:b/>
        </w:rPr>
      </w:pPr>
      <w:r>
        <w:rPr>
          <w:rFonts w:cs="Arial"/>
          <w:b/>
        </w:rPr>
        <w:t>Interdisciplinary team</w:t>
      </w:r>
    </w:p>
    <w:p w:rsidR="002217BD" w:rsidRDefault="002217BD" w:rsidP="00945216">
      <w:pPr>
        <w:jc w:val="left"/>
        <w:rPr>
          <w:rFonts w:cs="Arial"/>
        </w:rPr>
      </w:pPr>
      <w:proofErr w:type="gramStart"/>
      <w:r w:rsidRPr="00B66CCB">
        <w:rPr>
          <w:rFonts w:cs="Arial"/>
        </w:rPr>
        <w:t>A group of individuals with diverse training and backgrounds who work together as an identified unit or system.</w:t>
      </w:r>
      <w:proofErr w:type="gramEnd"/>
      <w:r w:rsidRPr="00B66CCB">
        <w:rPr>
          <w:rFonts w:cs="Arial"/>
        </w:rPr>
        <w:t xml:space="preserve"> Team members consistently collaborate to solve problems that are too complex to be solved by one discipline or many disciplines in sequence.</w:t>
      </w:r>
    </w:p>
    <w:p w:rsidR="002217BD" w:rsidRPr="00B66CCB" w:rsidRDefault="002217BD" w:rsidP="00E86F02">
      <w:pPr>
        <w:jc w:val="left"/>
        <w:rPr>
          <w:rFonts w:cs="Arial"/>
        </w:rPr>
      </w:pPr>
      <w:r w:rsidRPr="00B66CCB">
        <w:rPr>
          <w:rFonts w:cs="Arial"/>
        </w:rPr>
        <w:t xml:space="preserve">Membership of the team varies depending on the services required to identify and address the expectations and needs of the patient, caregiver and family. A </w:t>
      </w:r>
      <w:r w:rsidR="00003AED">
        <w:rPr>
          <w:rFonts w:cs="Arial"/>
        </w:rPr>
        <w:t xml:space="preserve">specialist </w:t>
      </w:r>
      <w:r w:rsidRPr="00B66CCB">
        <w:rPr>
          <w:rFonts w:cs="Arial"/>
        </w:rPr>
        <w:t>palliative care interdisciplinary team typically includes one or more doctors, nurses, social workers, spiritual advisers, pharmacists, allied health workers and personal care workers. Other disciplines will be part of the team as resources permit.</w:t>
      </w:r>
    </w:p>
    <w:p w:rsidR="00945216" w:rsidRDefault="002217BD" w:rsidP="00E86F02">
      <w:pPr>
        <w:spacing w:after="120"/>
        <w:ind w:left="567" w:hanging="567"/>
        <w:jc w:val="left"/>
        <w:rPr>
          <w:rFonts w:cs="Arial"/>
        </w:rPr>
      </w:pPr>
      <w:r w:rsidRPr="00B66CCB">
        <w:rPr>
          <w:rFonts w:cs="Arial"/>
          <w:b/>
        </w:rPr>
        <w:t>Primary palliative care (generalist)</w:t>
      </w:r>
    </w:p>
    <w:p w:rsidR="002217BD" w:rsidRDefault="002217BD" w:rsidP="00945216">
      <w:pPr>
        <w:jc w:val="left"/>
        <w:rPr>
          <w:rFonts w:cs="Arial"/>
        </w:rPr>
      </w:pPr>
      <w:r w:rsidRPr="00B66CCB">
        <w:rPr>
          <w:rFonts w:cs="Arial"/>
        </w:rPr>
        <w:t xml:space="preserve">Care provided by all individuals and organisations that deliver palliative care as a component of their service, but whose substantive work is not the care of people who are dying. It is palliative care provided for those affected by a life-limiting or life-threatening condition as an integral part of standard clinical practice by any health care professional </w:t>
      </w:r>
      <w:proofErr w:type="gramStart"/>
      <w:r w:rsidRPr="00B66CCB">
        <w:rPr>
          <w:rFonts w:cs="Arial"/>
        </w:rPr>
        <w:t>who</w:t>
      </w:r>
      <w:proofErr w:type="gramEnd"/>
      <w:r w:rsidRPr="00B66CCB">
        <w:rPr>
          <w:rFonts w:cs="Arial"/>
        </w:rPr>
        <w:t xml:space="preserve"> is not part of a specialist palliative care team.</w:t>
      </w:r>
    </w:p>
    <w:p w:rsidR="002217BD" w:rsidRDefault="002217BD" w:rsidP="00E86F02">
      <w:pPr>
        <w:jc w:val="left"/>
        <w:rPr>
          <w:rFonts w:cs="Arial"/>
        </w:rPr>
      </w:pPr>
      <w:r w:rsidRPr="00B66CCB">
        <w:rPr>
          <w:rFonts w:cs="Arial"/>
        </w:rPr>
        <w:t xml:space="preserve">In the context of end-of-life care, a primary palliative care provider is the </w:t>
      </w:r>
      <w:r w:rsidR="008E017A">
        <w:rPr>
          <w:rFonts w:cs="Arial"/>
        </w:rPr>
        <w:t xml:space="preserve">main </w:t>
      </w:r>
      <w:r w:rsidRPr="00B66CCB">
        <w:rPr>
          <w:rFonts w:cs="Arial"/>
        </w:rPr>
        <w:t>medical, nursing or allied health professional who undertakes ongoing care of patients with a life-limiting or life-threatening condition. A primary palliative care provider may have a broad health focus or be specialised in a particular field of medicine. This care is provided in the community by general practice teams, M</w:t>
      </w:r>
      <w:r w:rsidRPr="00B66CCB">
        <w:rPr>
          <w:rFonts w:cs="Arial" w:hint="eastAsia"/>
        </w:rPr>
        <w:t>ā</w:t>
      </w:r>
      <w:r w:rsidRPr="00B66CCB">
        <w:rPr>
          <w:rFonts w:cs="Arial"/>
        </w:rPr>
        <w:t>ori health providers, allied health teams, district nurses and residential care staff, etc. It is provided in hospitals by general ward staff, as we</w:t>
      </w:r>
      <w:r w:rsidR="002612AA">
        <w:rPr>
          <w:rFonts w:cs="Arial"/>
        </w:rPr>
        <w:t>ll as disease-specific teams (for example</w:t>
      </w:r>
      <w:r w:rsidRPr="00B66CCB">
        <w:rPr>
          <w:rFonts w:cs="Arial"/>
        </w:rPr>
        <w:t>, oncology, respiratory, renal and cardiac teams).</w:t>
      </w:r>
    </w:p>
    <w:p w:rsidR="002217BD" w:rsidRPr="00B66CCB" w:rsidRDefault="002217BD" w:rsidP="00945216">
      <w:pPr>
        <w:jc w:val="left"/>
        <w:rPr>
          <w:rFonts w:cs="Arial"/>
        </w:rPr>
      </w:pPr>
      <w:r w:rsidRPr="00B66CCB">
        <w:rPr>
          <w:rFonts w:cs="Arial"/>
        </w:rPr>
        <w:t>Primary palliative care providers assess and refer patients to specialist palliative care services when the patient’s needs exceed their services capability.</w:t>
      </w:r>
    </w:p>
    <w:p w:rsidR="002217BD" w:rsidRDefault="002217BD" w:rsidP="00945216">
      <w:pPr>
        <w:jc w:val="left"/>
        <w:rPr>
          <w:rFonts w:cs="Arial"/>
        </w:rPr>
      </w:pPr>
      <w:r w:rsidRPr="00B66CCB">
        <w:rPr>
          <w:rFonts w:cs="Arial"/>
        </w:rPr>
        <w:lastRenderedPageBreak/>
        <w:t>Quality care at the end of life is realised when strong networks exist between specialist palliative care providers, primary palliative care providers, support care providers and the community – working together to meet the needs of all people.</w:t>
      </w:r>
    </w:p>
    <w:p w:rsidR="002217BD" w:rsidRDefault="002217BD" w:rsidP="00E86F02">
      <w:pPr>
        <w:jc w:val="left"/>
        <w:rPr>
          <w:rFonts w:cs="Arial"/>
        </w:rPr>
      </w:pPr>
      <w:r w:rsidRPr="00B66CCB">
        <w:rPr>
          <w:rFonts w:cs="Arial"/>
        </w:rPr>
        <w:t>Note: this terminology is in a transitional phase, moving from the term ‘generalist palliative care’ to ‘primary palliative care’. Only the term ‘primary palliative care’ is used in the Framework.</w:t>
      </w:r>
    </w:p>
    <w:p w:rsidR="00945216" w:rsidRDefault="002217BD" w:rsidP="00E86F02">
      <w:pPr>
        <w:spacing w:after="120"/>
        <w:ind w:left="567" w:hanging="567"/>
        <w:jc w:val="left"/>
        <w:rPr>
          <w:rFonts w:cs="Arial"/>
        </w:rPr>
      </w:pPr>
      <w:r w:rsidRPr="00B66CCB">
        <w:rPr>
          <w:rFonts w:cs="Arial"/>
          <w:b/>
        </w:rPr>
        <w:t>Specialist palliative care</w:t>
      </w:r>
    </w:p>
    <w:p w:rsidR="002217BD" w:rsidRDefault="002217BD" w:rsidP="00945216">
      <w:pPr>
        <w:jc w:val="left"/>
        <w:rPr>
          <w:rFonts w:cs="Arial"/>
        </w:rPr>
      </w:pPr>
      <w:r w:rsidRPr="00B66CCB">
        <w:rPr>
          <w:rFonts w:cs="Arial"/>
        </w:rPr>
        <w:t>Palliative care provided by health professionals who have undergone specific training and/or accreditation in palliative care/medicine</w:t>
      </w:r>
      <w:r w:rsidR="002B32BA">
        <w:rPr>
          <w:rFonts w:cs="Arial"/>
        </w:rPr>
        <w:t xml:space="preserve"> including an appropriate level of training and/or accreditation to care for children and young people</w:t>
      </w:r>
      <w:r w:rsidRPr="00B66CCB">
        <w:rPr>
          <w:rFonts w:cs="Arial"/>
        </w:rPr>
        <w:t>, working in the context of an expert interdisciplinary team of palliative care health professionals. Specialist palliative care may be provided by hospice- or hospital-based palliative care services where patients have access to at least medical and nursing palliative care specialists.</w:t>
      </w:r>
    </w:p>
    <w:p w:rsidR="002217BD" w:rsidRPr="00B66CCB" w:rsidRDefault="002217BD" w:rsidP="00E86F02">
      <w:pPr>
        <w:jc w:val="left"/>
        <w:rPr>
          <w:rFonts w:cs="Arial"/>
        </w:rPr>
      </w:pPr>
      <w:r w:rsidRPr="00B66CCB">
        <w:rPr>
          <w:rFonts w:cs="Arial"/>
        </w:rPr>
        <w:t>Specialist palliative care will be provided through accredited services (or organisations) that work exclusively in palliative care and meet specific palliative care standards as they are developed nationally. Specialist palliative care practice builds on the palliative care provided by primary palliative care providers and reflects a higher level of expertise in complex symptom management, psycho</w:t>
      </w:r>
      <w:r w:rsidR="00FB1DAD">
        <w:rPr>
          <w:rFonts w:cs="Arial"/>
        </w:rPr>
        <w:t xml:space="preserve">logical, social, </w:t>
      </w:r>
      <w:r w:rsidR="002B32BA">
        <w:rPr>
          <w:rFonts w:cs="Arial"/>
        </w:rPr>
        <w:t xml:space="preserve"> cultural and spiritual support, </w:t>
      </w:r>
      <w:r w:rsidRPr="00B66CCB">
        <w:rPr>
          <w:rFonts w:cs="Arial"/>
        </w:rPr>
        <w:t>grief and bereavement. Specialist palliative care provision works in two ways.</w:t>
      </w:r>
    </w:p>
    <w:p w:rsidR="002217BD" w:rsidRPr="00B66CCB" w:rsidRDefault="002217BD" w:rsidP="00945216">
      <w:pPr>
        <w:ind w:left="709" w:hanging="709"/>
        <w:jc w:val="left"/>
        <w:rPr>
          <w:rFonts w:cs="Arial"/>
        </w:rPr>
      </w:pPr>
      <w:r w:rsidRPr="00B66CCB">
        <w:rPr>
          <w:rFonts w:cs="Arial"/>
        </w:rPr>
        <w:t>1.</w:t>
      </w:r>
      <w:r w:rsidRPr="00B66CCB">
        <w:rPr>
          <w:rFonts w:cs="Arial"/>
        </w:rPr>
        <w:tab/>
        <w:t xml:space="preserve">Directly – to provide direct management and support of patients, their families and </w:t>
      </w:r>
      <w:proofErr w:type="spellStart"/>
      <w:r w:rsidRPr="00B66CCB">
        <w:rPr>
          <w:rFonts w:cs="Arial"/>
        </w:rPr>
        <w:t>wh</w:t>
      </w:r>
      <w:r w:rsidRPr="00B66CCB">
        <w:rPr>
          <w:rFonts w:cs="Arial" w:hint="eastAsia"/>
        </w:rPr>
        <w:t>ā</w:t>
      </w:r>
      <w:r w:rsidRPr="00B66CCB">
        <w:rPr>
          <w:rFonts w:cs="Arial"/>
        </w:rPr>
        <w:t>nau</w:t>
      </w:r>
      <w:proofErr w:type="spellEnd"/>
      <w:r w:rsidRPr="00B66CCB">
        <w:rPr>
          <w:rFonts w:cs="Arial"/>
        </w:rPr>
        <w:t>, where more complex palliative care need exceeds the resources of the primary palliative care provider. Specialist palliative care involvement with any patient and the family/</w:t>
      </w:r>
      <w:proofErr w:type="spellStart"/>
      <w:r w:rsidRPr="00B66CCB">
        <w:rPr>
          <w:rFonts w:cs="Arial"/>
        </w:rPr>
        <w:t>wh</w:t>
      </w:r>
      <w:r w:rsidRPr="00B66CCB">
        <w:rPr>
          <w:rFonts w:cs="Arial" w:hint="eastAsia"/>
        </w:rPr>
        <w:t>ā</w:t>
      </w:r>
      <w:r w:rsidRPr="00B66CCB">
        <w:rPr>
          <w:rFonts w:cs="Arial"/>
        </w:rPr>
        <w:t>nau</w:t>
      </w:r>
      <w:proofErr w:type="spellEnd"/>
      <w:r w:rsidRPr="00B66CCB">
        <w:rPr>
          <w:rFonts w:cs="Arial"/>
        </w:rPr>
        <w:t xml:space="preserve"> can be continuous or episodic depending on changing need. Complex need in this context is defined as a level of need that exceeds the resources of the primary palliative care team. This may be in any of the domains of care – physical, psychological, spiritual, </w:t>
      </w:r>
      <w:r w:rsidR="00440FB1">
        <w:rPr>
          <w:rFonts w:cs="Arial"/>
        </w:rPr>
        <w:t xml:space="preserve">cultural </w:t>
      </w:r>
      <w:r w:rsidRPr="00B66CCB">
        <w:rPr>
          <w:rFonts w:cs="Arial"/>
        </w:rPr>
        <w:t>etc.</w:t>
      </w:r>
    </w:p>
    <w:p w:rsidR="002217BD" w:rsidRPr="00B66CCB" w:rsidRDefault="002217BD" w:rsidP="00945216">
      <w:pPr>
        <w:ind w:left="709" w:hanging="709"/>
        <w:jc w:val="left"/>
        <w:rPr>
          <w:rFonts w:cs="Arial"/>
        </w:rPr>
      </w:pPr>
      <w:r w:rsidRPr="00B66CCB">
        <w:rPr>
          <w:rFonts w:cs="Arial"/>
        </w:rPr>
        <w:t>2.</w:t>
      </w:r>
      <w:r w:rsidRPr="00B66CCB">
        <w:rPr>
          <w:rFonts w:cs="Arial"/>
        </w:rPr>
        <w:tab/>
        <w:t>Indirectly – to provide advice, support, education and training of other health professionals and volunteers to support the provision of primary palliative care.</w:t>
      </w:r>
    </w:p>
    <w:p w:rsidR="00945216" w:rsidRDefault="002217BD" w:rsidP="00E86F02">
      <w:pPr>
        <w:spacing w:after="120"/>
        <w:ind w:left="720" w:hanging="720"/>
        <w:jc w:val="left"/>
        <w:rPr>
          <w:rFonts w:cs="Arial"/>
        </w:rPr>
      </w:pPr>
      <w:r w:rsidRPr="00B66CCB">
        <w:rPr>
          <w:rFonts w:cs="Arial"/>
          <w:b/>
        </w:rPr>
        <w:t>Wh</w:t>
      </w:r>
      <w:r w:rsidRPr="00B66CCB">
        <w:rPr>
          <w:rFonts w:cs="Arial" w:hint="eastAsia"/>
          <w:b/>
        </w:rPr>
        <w:t>ā</w:t>
      </w:r>
      <w:r w:rsidRPr="00B66CCB">
        <w:rPr>
          <w:rFonts w:cs="Arial"/>
          <w:b/>
        </w:rPr>
        <w:t>nau</w:t>
      </w:r>
    </w:p>
    <w:p w:rsidR="00212E68" w:rsidRPr="00B66CCB" w:rsidRDefault="002217BD" w:rsidP="00405A9B">
      <w:pPr>
        <w:jc w:val="left"/>
        <w:rPr>
          <w:rFonts w:cs="Arial"/>
        </w:rPr>
      </w:pPr>
      <w:proofErr w:type="gramStart"/>
      <w:r w:rsidRPr="00B66CCB">
        <w:rPr>
          <w:rFonts w:cs="Arial"/>
        </w:rPr>
        <w:t xml:space="preserve">The extended </w:t>
      </w:r>
      <w:r w:rsidR="00405A9B" w:rsidRPr="00B66CCB">
        <w:rPr>
          <w:rFonts w:cs="Arial"/>
        </w:rPr>
        <w:t>family</w:t>
      </w:r>
      <w:r w:rsidRPr="00B66CCB">
        <w:rPr>
          <w:rFonts w:cs="Arial"/>
        </w:rPr>
        <w:t xml:space="preserve"> or family group.</w:t>
      </w:r>
      <w:proofErr w:type="gramEnd"/>
      <w:r w:rsidRPr="00B66CCB">
        <w:rPr>
          <w:rFonts w:cs="Arial"/>
        </w:rPr>
        <w:t xml:space="preserve"> In the modern context the term </w:t>
      </w:r>
      <w:proofErr w:type="spellStart"/>
      <w:r w:rsidR="00405A9B">
        <w:rPr>
          <w:rFonts w:cs="Arial"/>
        </w:rPr>
        <w:t>whānau</w:t>
      </w:r>
      <w:proofErr w:type="spellEnd"/>
      <w:r w:rsidR="00405A9B">
        <w:rPr>
          <w:rFonts w:cs="Arial"/>
        </w:rPr>
        <w:t xml:space="preserve"> </w:t>
      </w:r>
      <w:r w:rsidRPr="00B66CCB">
        <w:rPr>
          <w:rFonts w:cs="Arial"/>
        </w:rPr>
        <w:t>is sometimes used as a familiar term of address to a number of people, including friends who may not have any kinship ties to other members.</w:t>
      </w:r>
    </w:p>
    <w:sectPr w:rsidR="00212E68" w:rsidRPr="00B66CCB" w:rsidSect="00CF21AB">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EA" w:rsidRDefault="00A253EA">
      <w:r>
        <w:separator/>
      </w:r>
    </w:p>
  </w:endnote>
  <w:endnote w:type="continuationSeparator" w:id="0">
    <w:p w:rsidR="00A253EA" w:rsidRDefault="00A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Mäori">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D6" w:rsidRDefault="001F3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5D6" w:rsidRDefault="001F3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07591"/>
      <w:docPartObj>
        <w:docPartGallery w:val="Page Numbers (Bottom of Page)"/>
        <w:docPartUnique/>
      </w:docPartObj>
    </w:sdtPr>
    <w:sdtEndPr>
      <w:rPr>
        <w:rFonts w:cs="Arial"/>
        <w:noProof/>
      </w:rPr>
    </w:sdtEndPr>
    <w:sdtContent>
      <w:p w:rsidR="001F35D6" w:rsidRPr="002E3D36" w:rsidRDefault="001F35D6">
        <w:pPr>
          <w:pStyle w:val="Footer"/>
          <w:jc w:val="right"/>
          <w:rPr>
            <w:rFonts w:cs="Arial"/>
          </w:rPr>
        </w:pPr>
        <w:r w:rsidRPr="002E3D36">
          <w:rPr>
            <w:rFonts w:cs="Arial"/>
          </w:rPr>
          <w:fldChar w:fldCharType="begin"/>
        </w:r>
        <w:r w:rsidRPr="002E3D36">
          <w:rPr>
            <w:rFonts w:cs="Arial"/>
          </w:rPr>
          <w:instrText xml:space="preserve"> PAGE   \* MERGEFORMAT </w:instrText>
        </w:r>
        <w:r w:rsidRPr="002E3D36">
          <w:rPr>
            <w:rFonts w:cs="Arial"/>
          </w:rPr>
          <w:fldChar w:fldCharType="separate"/>
        </w:r>
        <w:r w:rsidR="00D8425D">
          <w:rPr>
            <w:rFonts w:cs="Arial"/>
            <w:noProof/>
          </w:rPr>
          <w:t>14</w:t>
        </w:r>
        <w:r w:rsidRPr="002E3D36">
          <w:rPr>
            <w:rFonts w:cs="Arial"/>
            <w:noProof/>
          </w:rPr>
          <w:fldChar w:fldCharType="end"/>
        </w:r>
      </w:p>
    </w:sdtContent>
  </w:sdt>
  <w:p w:rsidR="001F35D6" w:rsidRDefault="001F35D6" w:rsidP="00190871">
    <w:pPr>
      <w:pStyle w:val="Footer"/>
      <w:pBdr>
        <w:top w:val="single" w:sz="4" w:space="1" w:color="auto"/>
      </w:pBdr>
      <w:spacing w:before="0"/>
      <w:ind w:right="357"/>
      <w:rPr>
        <w:rFonts w:cs="Arial"/>
        <w:sz w:val="20"/>
        <w:szCs w:val="20"/>
      </w:rPr>
    </w:pPr>
    <w:r>
      <w:rPr>
        <w:rFonts w:cs="Arial"/>
        <w:sz w:val="20"/>
        <w:szCs w:val="20"/>
      </w:rPr>
      <w:t>Specialist Medical and Surgical Services</w:t>
    </w:r>
    <w:r w:rsidR="00002FD4">
      <w:rPr>
        <w:rFonts w:cs="Arial"/>
        <w:sz w:val="20"/>
        <w:szCs w:val="20"/>
      </w:rPr>
      <w:t xml:space="preserve"> </w:t>
    </w:r>
    <w:r>
      <w:rPr>
        <w:rFonts w:cs="Arial"/>
        <w:sz w:val="20"/>
        <w:szCs w:val="20"/>
      </w:rPr>
      <w:t xml:space="preserve">- Specialist Palliative Care Services </w:t>
    </w:r>
    <w:r w:rsidR="0003090C">
      <w:rPr>
        <w:rFonts w:cs="Arial"/>
        <w:sz w:val="20"/>
        <w:szCs w:val="20"/>
      </w:rPr>
      <w:t xml:space="preserve">Service Specification </w:t>
    </w:r>
  </w:p>
  <w:p w:rsidR="001F35D6" w:rsidRDefault="00F87354" w:rsidP="00190871">
    <w:pPr>
      <w:pStyle w:val="Footer"/>
      <w:pBdr>
        <w:top w:val="single" w:sz="4" w:space="1" w:color="auto"/>
      </w:pBdr>
      <w:spacing w:before="0"/>
      <w:ind w:right="357"/>
      <w:rPr>
        <w:rFonts w:cs="Arial"/>
        <w:sz w:val="20"/>
        <w:szCs w:val="20"/>
      </w:rPr>
    </w:pPr>
    <w:r>
      <w:rPr>
        <w:rFonts w:cs="Arial"/>
        <w:sz w:val="20"/>
        <w:szCs w:val="20"/>
      </w:rPr>
      <w:t>January 2015</w:t>
    </w:r>
  </w:p>
  <w:p w:rsidR="001F35D6" w:rsidRPr="000B5B8F" w:rsidRDefault="001F35D6" w:rsidP="00190871">
    <w:pPr>
      <w:pStyle w:val="Footer"/>
      <w:spacing w:before="0"/>
      <w:ind w:right="357"/>
      <w:rPr>
        <w:rFonts w:cs="Arial"/>
        <w:sz w:val="20"/>
        <w:szCs w:val="20"/>
      </w:rPr>
    </w:pPr>
    <w:r>
      <w:rPr>
        <w:rFonts w:cs="Arial"/>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EA" w:rsidRDefault="00A253EA">
      <w:r>
        <w:separator/>
      </w:r>
    </w:p>
  </w:footnote>
  <w:footnote w:type="continuationSeparator" w:id="0">
    <w:p w:rsidR="00A253EA" w:rsidRDefault="00A253EA">
      <w:r>
        <w:continuationSeparator/>
      </w:r>
    </w:p>
  </w:footnote>
  <w:footnote w:id="1">
    <w:p w:rsidR="001F35D6" w:rsidRDefault="001F35D6" w:rsidP="00190871">
      <w:pPr>
        <w:pStyle w:val="FootnoteText"/>
        <w:spacing w:before="0"/>
      </w:pPr>
      <w:r>
        <w:rPr>
          <w:rStyle w:val="FootnoteReference"/>
        </w:rPr>
        <w:footnoteRef/>
      </w:r>
      <w:r>
        <w:t xml:space="preserve"> </w:t>
      </w:r>
      <w:r>
        <w:rPr>
          <w:rFonts w:cs="Arial"/>
        </w:rPr>
        <w:t>Not all Service Users who are referred or present to the Service are eligible for publicly funded services.  The eligibility criteria for publicly funded health and disability services are prescribed by Ministerial Direction.  Refer to http://www.health.govt.nz/new-zealand-health-system/eligibility-publicly-funded-health-and-disability-services for information on the latest eligibility criteria.</w:t>
      </w:r>
    </w:p>
  </w:footnote>
  <w:footnote w:id="2">
    <w:p w:rsidR="001F35D6" w:rsidRPr="00DC7264" w:rsidRDefault="001F35D6" w:rsidP="00190871">
      <w:pPr>
        <w:pStyle w:val="FootnoteText"/>
        <w:spacing w:before="0"/>
        <w:jc w:val="left"/>
        <w:rPr>
          <w:rFonts w:cs="Arial"/>
          <w:lang w:val="en-US"/>
        </w:rPr>
      </w:pPr>
      <w:r w:rsidRPr="00726ABD">
        <w:rPr>
          <w:rStyle w:val="FootnoteReference"/>
          <w:rFonts w:cs="Arial"/>
        </w:rPr>
        <w:footnoteRef/>
      </w:r>
      <w:r w:rsidRPr="00726ABD">
        <w:rPr>
          <w:rFonts w:cs="Arial"/>
        </w:rPr>
        <w:t xml:space="preserve"> Disability Support Services (</w:t>
      </w:r>
      <w:r w:rsidRPr="00726ABD">
        <w:rPr>
          <w:rFonts w:cs="Arial"/>
          <w:lang w:val="en-US"/>
        </w:rPr>
        <w:t xml:space="preserve">DSS) </w:t>
      </w:r>
      <w:r w:rsidRPr="00DC7264">
        <w:rPr>
          <w:rFonts w:cs="Arial"/>
          <w:lang w:val="en-US"/>
        </w:rPr>
        <w:t xml:space="preserve">are a range of support services funded by the Ministry of Health, for people with long-term physical, sensory or intellectual disabilities or a combination of these who are generally under the age of 65.  </w:t>
      </w:r>
      <w:r>
        <w:rPr>
          <w:rFonts w:cs="Arial"/>
          <w:lang w:val="en-US"/>
        </w:rPr>
        <w:t>N</w:t>
      </w:r>
      <w:r w:rsidRPr="00DC7264">
        <w:rPr>
          <w:rFonts w:cs="Arial"/>
          <w:lang w:val="en-US"/>
        </w:rPr>
        <w:t xml:space="preserve">ote: specialist palliative care services for those who receive DSS are not excluded- the exclusion refers to </w:t>
      </w:r>
      <w:r w:rsidRPr="00DC7264">
        <w:rPr>
          <w:rFonts w:cs="Arial"/>
          <w:i/>
          <w:lang w:val="en-US"/>
        </w:rPr>
        <w:t>usual</w:t>
      </w:r>
      <w:r w:rsidRPr="00DC7264">
        <w:rPr>
          <w:rFonts w:cs="Arial"/>
          <w:lang w:val="en-US"/>
        </w:rPr>
        <w:t xml:space="preserve"> DSS services.</w:t>
      </w:r>
    </w:p>
  </w:footnote>
  <w:footnote w:id="3">
    <w:p w:rsidR="001F35D6" w:rsidRPr="00DC7264" w:rsidRDefault="001F35D6" w:rsidP="00190871">
      <w:pPr>
        <w:pStyle w:val="FootnoteText"/>
        <w:spacing w:before="0"/>
        <w:rPr>
          <w:rFonts w:cs="Arial"/>
          <w:lang w:val="en-US"/>
        </w:rPr>
      </w:pPr>
      <w:r w:rsidRPr="00DC7264">
        <w:rPr>
          <w:rStyle w:val="FootnoteReference"/>
          <w:rFonts w:cs="Arial"/>
        </w:rPr>
        <w:footnoteRef/>
      </w:r>
      <w:r w:rsidRPr="00DC7264">
        <w:rPr>
          <w:rFonts w:cs="Arial"/>
        </w:rPr>
        <w:t xml:space="preserve"> </w:t>
      </w:r>
      <w:r w:rsidRPr="00DC7264">
        <w:rPr>
          <w:rFonts w:cs="Arial"/>
          <w:lang w:val="en-US"/>
        </w:rPr>
        <w:t>Where specialist palliative care services are provided by a hospice and the hospice uses home and community services, a formal agreement should be in place to ensure there is no duplication of service and funding.</w:t>
      </w:r>
    </w:p>
  </w:footnote>
  <w:footnote w:id="4">
    <w:p w:rsidR="001F35D6" w:rsidRDefault="001F35D6" w:rsidP="00DC7264">
      <w:pPr>
        <w:pStyle w:val="FootnoteText"/>
      </w:pPr>
      <w:r w:rsidRPr="00DC7264">
        <w:rPr>
          <w:rStyle w:val="FootnoteReference"/>
          <w:rFonts w:cs="Arial"/>
        </w:rPr>
        <w:footnoteRef/>
      </w:r>
      <w:r w:rsidRPr="00DC7264">
        <w:rPr>
          <w:rFonts w:cs="Arial"/>
        </w:rPr>
        <w:t xml:space="preserve"> For example non-clinical patient and family</w:t>
      </w:r>
      <w:r w:rsidRPr="001B3FAC">
        <w:rPr>
          <w:rFonts w:cs="Arial"/>
        </w:rPr>
        <w:t xml:space="preserve"> support service </w:t>
      </w:r>
      <w:r w:rsidRPr="001B3FAC">
        <w:rPr>
          <w:rFonts w:cs="Arial"/>
          <w:bCs/>
          <w:color w:val="000000"/>
        </w:rPr>
        <w:t>such as biography writing and day activities</w:t>
      </w:r>
    </w:p>
  </w:footnote>
  <w:footnote w:id="5">
    <w:p w:rsidR="001F35D6" w:rsidRPr="00766EA5" w:rsidRDefault="001F35D6" w:rsidP="00D64D2D">
      <w:pPr>
        <w:pStyle w:val="FootnoteText"/>
        <w:spacing w:before="0"/>
        <w:rPr>
          <w:rFonts w:cs="Arial"/>
        </w:rPr>
      </w:pPr>
      <w:r w:rsidRPr="00766EA5">
        <w:rPr>
          <w:rStyle w:val="FootnoteReference"/>
          <w:rFonts w:cs="Arial"/>
        </w:rPr>
        <w:footnoteRef/>
      </w:r>
      <w:r w:rsidRPr="00766EA5">
        <w:rPr>
          <w:rFonts w:cs="Arial"/>
        </w:rPr>
        <w:t xml:space="preserve"> http://www.health.govt.nz/publication/ethnicity-data-protocols-health-and-disability-sector</w:t>
      </w:r>
    </w:p>
  </w:footnote>
  <w:footnote w:id="6">
    <w:p w:rsidR="001F35D6" w:rsidRDefault="001F35D6" w:rsidP="00F5130F">
      <w:pPr>
        <w:jc w:val="left"/>
      </w:pPr>
      <w:r>
        <w:rPr>
          <w:rStyle w:val="FootnoteReference"/>
        </w:rPr>
        <w:footnoteRef/>
      </w:r>
      <w:r>
        <w:t xml:space="preserve"> </w:t>
      </w:r>
      <w:r>
        <w:rPr>
          <w:rFonts w:cs="Arial"/>
          <w:sz w:val="20"/>
          <w:szCs w:val="20"/>
        </w:rPr>
        <w:t xml:space="preserve">The </w:t>
      </w:r>
      <w:r w:rsidRPr="00AD13FC">
        <w:rPr>
          <w:rFonts w:cs="Arial"/>
          <w:sz w:val="20"/>
          <w:szCs w:val="20"/>
        </w:rPr>
        <w:t xml:space="preserve">Service User’s general practice team continue to have primary responsibility for the care of the Service User while they are in their usual place of residence and as long as the primary palliative carer can meet the needs of the Service User, their family and </w:t>
      </w:r>
      <w:proofErr w:type="spellStart"/>
      <w:r w:rsidRPr="00AD13FC">
        <w:rPr>
          <w:rFonts w:cs="Arial"/>
          <w:sz w:val="20"/>
          <w:szCs w:val="20"/>
        </w:rPr>
        <w:t>wh</w:t>
      </w:r>
      <w:r w:rsidRPr="00AD13FC">
        <w:rPr>
          <w:rFonts w:cs="Arial" w:hint="eastAsia"/>
          <w:sz w:val="20"/>
          <w:szCs w:val="20"/>
        </w:rPr>
        <w:t>ā</w:t>
      </w:r>
      <w:r w:rsidRPr="00AD13FC">
        <w:rPr>
          <w:rFonts w:cs="Arial"/>
          <w:sz w:val="20"/>
          <w:szCs w:val="20"/>
        </w:rPr>
        <w:t>nau</w:t>
      </w:r>
      <w:proofErr w:type="spellEnd"/>
      <w:r w:rsidRPr="00AD13FC">
        <w:rPr>
          <w:rFonts w:cs="Arial"/>
          <w:sz w:val="20"/>
          <w:szCs w:val="20"/>
        </w:rPr>
        <w:t>/carers.  While in a public hospital or a specialist inpatient unit, primary responsibility for the care of the Service User is provided by the specialist physician.</w:t>
      </w:r>
    </w:p>
  </w:footnote>
  <w:footnote w:id="7">
    <w:p w:rsidR="00AF44D2" w:rsidRDefault="00AF44D2">
      <w:pPr>
        <w:pStyle w:val="FootnoteText"/>
      </w:pPr>
      <w:r>
        <w:rPr>
          <w:rStyle w:val="FootnoteReference"/>
        </w:rPr>
        <w:footnoteRef/>
      </w:r>
      <w:r>
        <w:t xml:space="preserve"> </w:t>
      </w:r>
      <w:r w:rsidR="00312AA8">
        <w:t>Note t</w:t>
      </w:r>
      <w:r>
        <w:t xml:space="preserve">here is regional </w:t>
      </w:r>
      <w:r w:rsidRPr="00A82E41">
        <w:t>variation in</w:t>
      </w:r>
      <w:r>
        <w:t xml:space="preserve"> the DHB funding of bereavement</w:t>
      </w:r>
      <w:r w:rsidR="00002FD4">
        <w:t>,</w:t>
      </w:r>
      <w:r>
        <w:t xml:space="preserve"> grief and loss services based on long standing practice.</w:t>
      </w:r>
    </w:p>
  </w:footnote>
  <w:footnote w:id="8">
    <w:p w:rsidR="001F35D6" w:rsidRDefault="001F35D6">
      <w:pPr>
        <w:pStyle w:val="FootnoteText"/>
      </w:pPr>
      <w:r>
        <w:rPr>
          <w:rStyle w:val="FootnoteReference"/>
        </w:rPr>
        <w:footnoteRef/>
      </w:r>
      <w:r>
        <w:t xml:space="preserve"> </w:t>
      </w:r>
      <w:r w:rsidR="00312AA8">
        <w:t>Note t</w:t>
      </w:r>
      <w:r>
        <w:t xml:space="preserve">here is regional </w:t>
      </w:r>
      <w:r w:rsidRPr="00A82E41">
        <w:t>variation in</w:t>
      </w:r>
      <w:r>
        <w:t xml:space="preserve"> the DHB funding of pharmaceuticals in hospices based on long standing practice.</w:t>
      </w:r>
    </w:p>
  </w:footnote>
  <w:footnote w:id="9">
    <w:p w:rsidR="001F35D6" w:rsidRPr="00F5130F" w:rsidRDefault="001F35D6" w:rsidP="00F5130F">
      <w:pPr>
        <w:pStyle w:val="FootnoteText"/>
        <w:tabs>
          <w:tab w:val="left" w:pos="142"/>
        </w:tabs>
        <w:jc w:val="left"/>
        <w:rPr>
          <w:rFonts w:cs="Arial"/>
        </w:rPr>
      </w:pPr>
      <w:r w:rsidRPr="00F5130F">
        <w:rPr>
          <w:rStyle w:val="FootnoteReference"/>
          <w:rFonts w:cs="Arial"/>
        </w:rPr>
        <w:footnoteRef/>
      </w:r>
      <w:r w:rsidRPr="00F5130F">
        <w:rPr>
          <w:rFonts w:cs="Arial"/>
        </w:rPr>
        <w:t xml:space="preserve"> Refer to the Resource and Capability Framework</w:t>
      </w:r>
      <w:r>
        <w:rPr>
          <w:rFonts w:cs="Arial"/>
        </w:rPr>
        <w:t xml:space="preserve"> for guidance </w:t>
      </w:r>
      <w:r w:rsidRPr="00F5130F">
        <w:rPr>
          <w:rFonts w:cs="Arial"/>
        </w:rPr>
        <w:t>http://www.health.govt.nz/publication/resource-and-capability-framework-integrated-adult-palliative-care-services-new-zealand</w:t>
      </w:r>
    </w:p>
  </w:footnote>
  <w:footnote w:id="10">
    <w:p w:rsidR="001F35D6" w:rsidRDefault="001F35D6" w:rsidP="0023303A">
      <w:pPr>
        <w:pStyle w:val="FootnoteText"/>
        <w:spacing w:before="0"/>
        <w:jc w:val="left"/>
      </w:pPr>
      <w:r w:rsidRPr="00F5130F">
        <w:rPr>
          <w:rStyle w:val="FootnoteReference"/>
          <w:rFonts w:cs="Arial"/>
        </w:rPr>
        <w:footnoteRef/>
      </w:r>
      <w:r w:rsidRPr="00F5130F">
        <w:rPr>
          <w:rFonts w:cs="Arial"/>
        </w:rPr>
        <w:t xml:space="preserve"> The Operational Policy Framework is updated annually and is published on the Nationwide Service </w:t>
      </w:r>
      <w:r w:rsidR="00002FD4">
        <w:rPr>
          <w:rFonts w:cs="Arial"/>
        </w:rPr>
        <w:t>F</w:t>
      </w:r>
      <w:r w:rsidRPr="00F5130F">
        <w:rPr>
          <w:rFonts w:cs="Arial"/>
        </w:rPr>
        <w:t>ramework</w:t>
      </w:r>
      <w:r w:rsidR="00002FD4">
        <w:rPr>
          <w:rFonts w:cs="Arial"/>
        </w:rPr>
        <w:t xml:space="preserve"> Library</w:t>
      </w:r>
      <w:r w:rsidRPr="00F5130F">
        <w:rPr>
          <w:rFonts w:cs="Arial"/>
        </w:rPr>
        <w:t xml:space="preserve"> website: http://www.nsfl.health.govt.nz/apps/nsfl.nsf/menumh/Accountability+Documents</w:t>
      </w:r>
    </w:p>
  </w:footnote>
  <w:footnote w:id="11">
    <w:p w:rsidR="001F35D6" w:rsidRDefault="001F35D6" w:rsidP="00570870">
      <w:pPr>
        <w:pStyle w:val="FootnoteText"/>
      </w:pPr>
      <w:r>
        <w:rPr>
          <w:rStyle w:val="FootnoteReference"/>
        </w:rPr>
        <w:footnoteRef/>
      </w:r>
      <w:r>
        <w:t xml:space="preserve"> </w:t>
      </w:r>
      <w:r>
        <w:rPr>
          <w:rFonts w:cs="Arial"/>
          <w:color w:val="333333"/>
        </w:rPr>
        <w:t xml:space="preserve">The NZ </w:t>
      </w:r>
      <w:proofErr w:type="spellStart"/>
      <w:r>
        <w:rPr>
          <w:rFonts w:cs="Arial"/>
          <w:color w:val="333333"/>
        </w:rPr>
        <w:t>Casemix</w:t>
      </w:r>
      <w:proofErr w:type="spellEnd"/>
      <w:r>
        <w:rPr>
          <w:rFonts w:cs="Arial"/>
          <w:color w:val="333333"/>
        </w:rPr>
        <w:t xml:space="preserve"> Framework for Publicly Funded Hospitals provides definitions for inclusion of hospital events in </w:t>
      </w:r>
      <w:proofErr w:type="spellStart"/>
      <w:r>
        <w:rPr>
          <w:rFonts w:cs="Arial"/>
          <w:color w:val="333333"/>
        </w:rPr>
        <w:t>casemix</w:t>
      </w:r>
      <w:proofErr w:type="spellEnd"/>
      <w:r>
        <w:rPr>
          <w:rFonts w:cs="Arial"/>
          <w:color w:val="333333"/>
        </w:rPr>
        <w:t xml:space="preserve"> funding together with information related to the calculation of cost weights for these events and the assignment of events to purchase units. </w:t>
      </w:r>
    </w:p>
  </w:footnote>
  <w:footnote w:id="12">
    <w:p w:rsidR="001F35D6" w:rsidRDefault="001F35D6" w:rsidP="006969CB">
      <w:pPr>
        <w:pStyle w:val="FootnoteText"/>
      </w:pPr>
      <w:r>
        <w:rPr>
          <w:rStyle w:val="FootnoteReference"/>
        </w:rPr>
        <w:footnoteRef/>
      </w:r>
      <w:r>
        <w:t xml:space="preserve"> </w:t>
      </w:r>
      <w:r w:rsidRPr="001B3FAC">
        <w:rPr>
          <w:rFonts w:cs="Arial"/>
        </w:rPr>
        <w:t xml:space="preserve">The Service must collect all data relevant to the business of the Service in line with the </w:t>
      </w:r>
      <w:r w:rsidRPr="001B3FAC">
        <w:rPr>
          <w:rFonts w:cs="Arial"/>
          <w:i/>
        </w:rPr>
        <w:t>National Specialist Palliative Care Data Definition Standard.</w:t>
      </w:r>
      <w:r w:rsidRPr="001B3FAC">
        <w:rPr>
          <w:rFonts w:cs="Arial"/>
          <w:sz w:val="22"/>
          <w:szCs w:val="22"/>
        </w:rPr>
        <w:t xml:space="preserve"> </w:t>
      </w:r>
      <w:r w:rsidRPr="001B3FAC">
        <w:rPr>
          <w:rFonts w:cs="Arial"/>
        </w:rPr>
        <w:t>This data must be readily available, at Service User/patient activity level, upon request by the DHB or the Ministry of Health</w:t>
      </w:r>
    </w:p>
  </w:footnote>
  <w:footnote w:id="13">
    <w:p w:rsidR="001F35D6" w:rsidRPr="00E55433" w:rsidRDefault="001F35D6" w:rsidP="00E55433">
      <w:pPr>
        <w:pStyle w:val="FootnoteText"/>
        <w:jc w:val="left"/>
      </w:pPr>
      <w:r w:rsidRPr="00E55433">
        <w:rPr>
          <w:rStyle w:val="FootnoteReference"/>
        </w:rPr>
        <w:footnoteRef/>
      </w:r>
      <w:r w:rsidRPr="00E55433">
        <w:t xml:space="preserve"> </w:t>
      </w:r>
      <w:r w:rsidRPr="00E55433">
        <w:rPr>
          <w:rFonts w:cs="Arial"/>
          <w:lang w:val="en-GB"/>
        </w:rPr>
        <w:t xml:space="preserve">When </w:t>
      </w:r>
      <w:r w:rsidRPr="00E55433">
        <w:rPr>
          <w:rFonts w:cs="Arial"/>
          <w:color w:val="000000"/>
          <w:lang w:eastAsia="en-NZ"/>
        </w:rPr>
        <w:t>these services are not able to be provided by either a local hospice or a DHB hospital-based specialist palliative care team, these services will be delivered as in the agreed care plan by specialist community nursing and/or allied health (non in patient) services under their service specifications</w:t>
      </w:r>
      <w:r>
        <w:rPr>
          <w:rFonts w:cs="Arial"/>
          <w:color w:val="000000"/>
          <w:lang w:eastAsia="en-N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D6" w:rsidRPr="00ED0A76" w:rsidRDefault="001F35D6" w:rsidP="009D539D">
    <w:pPr>
      <w:pStyle w:val="Header"/>
      <w:tabs>
        <w:tab w:val="left" w:pos="7418"/>
      </w:tabs>
      <w:rPr>
        <w:rFonts w:cs="Arial"/>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1637"/>
    <w:multiLevelType w:val="hybridMultilevel"/>
    <w:tmpl w:val="FCE81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6947BD8"/>
    <w:multiLevelType w:val="hybridMultilevel"/>
    <w:tmpl w:val="A93E3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942A79"/>
    <w:multiLevelType w:val="hybridMultilevel"/>
    <w:tmpl w:val="8A80F8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F321F6D"/>
    <w:multiLevelType w:val="hybridMultilevel"/>
    <w:tmpl w:val="E37EDA3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09C5877"/>
    <w:multiLevelType w:val="hybridMultilevel"/>
    <w:tmpl w:val="18DADF7A"/>
    <w:lvl w:ilvl="0" w:tplc="14090001">
      <w:start w:val="1"/>
      <w:numFmt w:val="bullet"/>
      <w:lvlText w:val=""/>
      <w:lvlJc w:val="left"/>
      <w:pPr>
        <w:tabs>
          <w:tab w:val="num" w:pos="376"/>
        </w:tabs>
        <w:ind w:left="280" w:hanging="340"/>
      </w:pPr>
      <w:rPr>
        <w:rFonts w:ascii="Symbol" w:hAnsi="Symbol" w:hint="default"/>
      </w:rPr>
    </w:lvl>
    <w:lvl w:ilvl="1" w:tplc="14090001">
      <w:start w:val="1"/>
      <w:numFmt w:val="bullet"/>
      <w:lvlText w:val=""/>
      <w:lvlJc w:val="left"/>
      <w:pPr>
        <w:tabs>
          <w:tab w:val="num" w:pos="300"/>
        </w:tabs>
        <w:ind w:left="300" w:hanging="360"/>
      </w:pPr>
      <w:rPr>
        <w:rFonts w:ascii="Symbol" w:hAnsi="Symbol" w:hint="default"/>
      </w:rPr>
    </w:lvl>
    <w:lvl w:ilvl="2" w:tplc="04090005">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7">
    <w:nsid w:val="1F1060E1"/>
    <w:multiLevelType w:val="hybridMultilevel"/>
    <w:tmpl w:val="C516616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22723783"/>
    <w:multiLevelType w:val="hybridMultilevel"/>
    <w:tmpl w:val="AC861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EA13E1"/>
    <w:multiLevelType w:val="singleLevel"/>
    <w:tmpl w:val="44340C64"/>
    <w:lvl w:ilvl="0">
      <w:start w:val="1"/>
      <w:numFmt w:val="bullet"/>
      <w:pStyle w:val="List"/>
      <w:lvlText w:val=""/>
      <w:lvlJc w:val="left"/>
      <w:pPr>
        <w:tabs>
          <w:tab w:val="num" w:pos="363"/>
        </w:tabs>
        <w:ind w:left="363" w:hanging="363"/>
      </w:pPr>
      <w:rPr>
        <w:rFonts w:ascii="Symbol" w:hAnsi="Symbol" w:hint="default"/>
      </w:rPr>
    </w:lvl>
  </w:abstractNum>
  <w:abstractNum w:abstractNumId="10">
    <w:nsid w:val="24CB2A50"/>
    <w:multiLevelType w:val="hybridMultilevel"/>
    <w:tmpl w:val="C7CC7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7C0271"/>
    <w:multiLevelType w:val="hybridMultilevel"/>
    <w:tmpl w:val="65CA5D20"/>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2">
    <w:nsid w:val="2B9477D4"/>
    <w:multiLevelType w:val="hybridMultilevel"/>
    <w:tmpl w:val="076AE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595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86E22A8"/>
    <w:multiLevelType w:val="hybridMultilevel"/>
    <w:tmpl w:val="597A334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C647D55"/>
    <w:multiLevelType w:val="hybridMultilevel"/>
    <w:tmpl w:val="8D8E1516"/>
    <w:lvl w:ilvl="0" w:tplc="E812B9FC">
      <w:start w:val="10"/>
      <w:numFmt w:val="bullet"/>
      <w:lvlText w:val="-"/>
      <w:lvlJc w:val="left"/>
      <w:pPr>
        <w:ind w:left="1364" w:hanging="360"/>
      </w:pPr>
      <w:rPr>
        <w:rFonts w:ascii="Arial" w:eastAsia="Times New Roman" w:hAnsi="Arial" w:cs="Aria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6">
    <w:nsid w:val="3CDF7EDD"/>
    <w:multiLevelType w:val="hybridMultilevel"/>
    <w:tmpl w:val="7F36DC92"/>
    <w:lvl w:ilvl="0" w:tplc="14090001">
      <w:start w:val="1"/>
      <w:numFmt w:val="bullet"/>
      <w:lvlText w:val=""/>
      <w:lvlJc w:val="left"/>
      <w:pPr>
        <w:tabs>
          <w:tab w:val="num" w:pos="376"/>
        </w:tabs>
        <w:ind w:left="280" w:hanging="340"/>
      </w:pPr>
      <w:rPr>
        <w:rFonts w:ascii="Symbol" w:hAnsi="Symbol" w:hint="default"/>
      </w:rPr>
    </w:lvl>
    <w:lvl w:ilvl="1" w:tplc="B69AD60E">
      <w:start w:val="1"/>
      <w:numFmt w:val="bullet"/>
      <w:lvlText w:val="­"/>
      <w:lvlJc w:val="left"/>
      <w:pPr>
        <w:tabs>
          <w:tab w:val="num" w:pos="300"/>
        </w:tabs>
        <w:ind w:left="300" w:hanging="360"/>
      </w:pPr>
      <w:rPr>
        <w:rFonts w:ascii="Courier New" w:hAnsi="Courier New" w:hint="default"/>
      </w:rPr>
    </w:lvl>
    <w:lvl w:ilvl="2" w:tplc="04090005">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7">
    <w:nsid w:val="3F042AEC"/>
    <w:multiLevelType w:val="hybridMultilevel"/>
    <w:tmpl w:val="1C0415C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nsid w:val="42BD0835"/>
    <w:multiLevelType w:val="hybridMultilevel"/>
    <w:tmpl w:val="129EB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31843D0"/>
    <w:multiLevelType w:val="hybridMultilevel"/>
    <w:tmpl w:val="A0789C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601577"/>
    <w:multiLevelType w:val="hybridMultilevel"/>
    <w:tmpl w:val="69AED96A"/>
    <w:lvl w:ilvl="0" w:tplc="67B87736">
      <w:numFmt w:val="bullet"/>
      <w:lvlText w:val="-"/>
      <w:lvlJc w:val="left"/>
      <w:pPr>
        <w:ind w:left="2160" w:hanging="72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nsid w:val="4B7509E2"/>
    <w:multiLevelType w:val="hybridMultilevel"/>
    <w:tmpl w:val="BFD0F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3720D87"/>
    <w:multiLevelType w:val="hybridMultilevel"/>
    <w:tmpl w:val="697ADE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EB34184"/>
    <w:multiLevelType w:val="hybridMultilevel"/>
    <w:tmpl w:val="4038F86C"/>
    <w:lvl w:ilvl="0" w:tplc="14090001">
      <w:start w:val="1"/>
      <w:numFmt w:val="bullet"/>
      <w:lvlText w:val=""/>
      <w:lvlJc w:val="left"/>
      <w:pPr>
        <w:tabs>
          <w:tab w:val="num" w:pos="360"/>
        </w:tabs>
        <w:ind w:left="360" w:hanging="360"/>
      </w:pPr>
      <w:rPr>
        <w:rFonts w:ascii="Symbol" w:hAnsi="Symbol" w:hint="default"/>
      </w:rPr>
    </w:lvl>
    <w:lvl w:ilvl="1" w:tplc="86D8B048">
      <w:start w:val="1"/>
      <w:numFmt w:val="bullet"/>
      <w:lvlText w:val="-"/>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4">
    <w:nsid w:val="5F562D74"/>
    <w:multiLevelType w:val="hybridMultilevel"/>
    <w:tmpl w:val="7AA22518"/>
    <w:lvl w:ilvl="0" w:tplc="91B8CD70">
      <w:start w:val="1"/>
      <w:numFmt w:val="bullet"/>
      <w:lvlText w:val=""/>
      <w:lvlJc w:val="left"/>
      <w:pPr>
        <w:tabs>
          <w:tab w:val="num" w:pos="376"/>
        </w:tabs>
        <w:ind w:left="280" w:hanging="340"/>
      </w:pPr>
      <w:rPr>
        <w:rFonts w:ascii="Symbol" w:hAnsi="Symbol" w:hint="default"/>
      </w:rPr>
    </w:lvl>
    <w:lvl w:ilvl="1" w:tplc="04090003">
      <w:start w:val="1"/>
      <w:numFmt w:val="bullet"/>
      <w:lvlText w:val="o"/>
      <w:lvlJc w:val="left"/>
      <w:pPr>
        <w:tabs>
          <w:tab w:val="num" w:pos="300"/>
        </w:tabs>
        <w:ind w:left="300" w:hanging="360"/>
      </w:pPr>
      <w:rPr>
        <w:rFonts w:ascii="Courier New" w:hAnsi="Courier New" w:cs="Courier New" w:hint="default"/>
      </w:rPr>
    </w:lvl>
    <w:lvl w:ilvl="2" w:tplc="04090005">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5">
    <w:nsid w:val="5FD40CD2"/>
    <w:multiLevelType w:val="hybridMultilevel"/>
    <w:tmpl w:val="E4425654"/>
    <w:lvl w:ilvl="0" w:tplc="67B8773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BA5545"/>
    <w:multiLevelType w:val="hybridMultilevel"/>
    <w:tmpl w:val="228CD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3F4664E"/>
    <w:multiLevelType w:val="hybridMultilevel"/>
    <w:tmpl w:val="F1DAC9A6"/>
    <w:lvl w:ilvl="0" w:tplc="B69AD60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3C233A5"/>
    <w:multiLevelType w:val="hybridMultilevel"/>
    <w:tmpl w:val="44002DA8"/>
    <w:lvl w:ilvl="0" w:tplc="A6B01B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9542462">
      <w:numFmt w:val="bullet"/>
      <w:lvlText w:val="–"/>
      <w:lvlJc w:val="left"/>
      <w:pPr>
        <w:tabs>
          <w:tab w:val="num" w:pos="2520"/>
        </w:tabs>
        <w:ind w:left="2520" w:hanging="108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D17CCB"/>
    <w:multiLevelType w:val="hybridMultilevel"/>
    <w:tmpl w:val="DCF8BE42"/>
    <w:lvl w:ilvl="0" w:tplc="04090001">
      <w:start w:val="1"/>
      <w:numFmt w:val="bullet"/>
      <w:lvlText w:val=""/>
      <w:lvlJc w:val="left"/>
      <w:pPr>
        <w:tabs>
          <w:tab w:val="num" w:pos="522"/>
        </w:tabs>
        <w:ind w:left="522" w:hanging="360"/>
      </w:pPr>
      <w:rPr>
        <w:rFonts w:ascii="Symbol" w:hAnsi="Symbol" w:hint="default"/>
      </w:rPr>
    </w:lvl>
    <w:lvl w:ilvl="1" w:tplc="14090003" w:tentative="1">
      <w:start w:val="1"/>
      <w:numFmt w:val="bullet"/>
      <w:lvlText w:val="o"/>
      <w:lvlJc w:val="left"/>
      <w:pPr>
        <w:ind w:left="1602" w:hanging="360"/>
      </w:pPr>
      <w:rPr>
        <w:rFonts w:ascii="Courier New" w:hAnsi="Courier New" w:cs="Courier New" w:hint="default"/>
      </w:rPr>
    </w:lvl>
    <w:lvl w:ilvl="2" w:tplc="14090005" w:tentative="1">
      <w:start w:val="1"/>
      <w:numFmt w:val="bullet"/>
      <w:lvlText w:val=""/>
      <w:lvlJc w:val="left"/>
      <w:pPr>
        <w:ind w:left="2322" w:hanging="360"/>
      </w:pPr>
      <w:rPr>
        <w:rFonts w:ascii="Wingdings" w:hAnsi="Wingdings" w:hint="default"/>
      </w:rPr>
    </w:lvl>
    <w:lvl w:ilvl="3" w:tplc="14090001" w:tentative="1">
      <w:start w:val="1"/>
      <w:numFmt w:val="bullet"/>
      <w:lvlText w:val=""/>
      <w:lvlJc w:val="left"/>
      <w:pPr>
        <w:ind w:left="3042" w:hanging="360"/>
      </w:pPr>
      <w:rPr>
        <w:rFonts w:ascii="Symbol" w:hAnsi="Symbol" w:hint="default"/>
      </w:rPr>
    </w:lvl>
    <w:lvl w:ilvl="4" w:tplc="14090003" w:tentative="1">
      <w:start w:val="1"/>
      <w:numFmt w:val="bullet"/>
      <w:lvlText w:val="o"/>
      <w:lvlJc w:val="left"/>
      <w:pPr>
        <w:ind w:left="3762" w:hanging="360"/>
      </w:pPr>
      <w:rPr>
        <w:rFonts w:ascii="Courier New" w:hAnsi="Courier New" w:cs="Courier New" w:hint="default"/>
      </w:rPr>
    </w:lvl>
    <w:lvl w:ilvl="5" w:tplc="14090005" w:tentative="1">
      <w:start w:val="1"/>
      <w:numFmt w:val="bullet"/>
      <w:lvlText w:val=""/>
      <w:lvlJc w:val="left"/>
      <w:pPr>
        <w:ind w:left="4482" w:hanging="360"/>
      </w:pPr>
      <w:rPr>
        <w:rFonts w:ascii="Wingdings" w:hAnsi="Wingdings" w:hint="default"/>
      </w:rPr>
    </w:lvl>
    <w:lvl w:ilvl="6" w:tplc="14090001" w:tentative="1">
      <w:start w:val="1"/>
      <w:numFmt w:val="bullet"/>
      <w:lvlText w:val=""/>
      <w:lvlJc w:val="left"/>
      <w:pPr>
        <w:ind w:left="5202" w:hanging="360"/>
      </w:pPr>
      <w:rPr>
        <w:rFonts w:ascii="Symbol" w:hAnsi="Symbol" w:hint="default"/>
      </w:rPr>
    </w:lvl>
    <w:lvl w:ilvl="7" w:tplc="14090003" w:tentative="1">
      <w:start w:val="1"/>
      <w:numFmt w:val="bullet"/>
      <w:lvlText w:val="o"/>
      <w:lvlJc w:val="left"/>
      <w:pPr>
        <w:ind w:left="5922" w:hanging="360"/>
      </w:pPr>
      <w:rPr>
        <w:rFonts w:ascii="Courier New" w:hAnsi="Courier New" w:cs="Courier New" w:hint="default"/>
      </w:rPr>
    </w:lvl>
    <w:lvl w:ilvl="8" w:tplc="14090005" w:tentative="1">
      <w:start w:val="1"/>
      <w:numFmt w:val="bullet"/>
      <w:lvlText w:val=""/>
      <w:lvlJc w:val="left"/>
      <w:pPr>
        <w:ind w:left="6642" w:hanging="360"/>
      </w:pPr>
      <w:rPr>
        <w:rFonts w:ascii="Wingdings" w:hAnsi="Wingdings" w:hint="default"/>
      </w:rPr>
    </w:lvl>
  </w:abstractNum>
  <w:abstractNum w:abstractNumId="3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nsid w:val="7E6A0DAD"/>
    <w:multiLevelType w:val="hybridMultilevel"/>
    <w:tmpl w:val="B03E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30"/>
  </w:num>
  <w:num w:numId="5">
    <w:abstractNumId w:val="2"/>
  </w:num>
  <w:num w:numId="6">
    <w:abstractNumId w:val="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0"/>
    <w:lvlOverride w:ilvl="0">
      <w:lvl w:ilvl="0">
        <w:numFmt w:val="bullet"/>
        <w:lvlText w:val=""/>
        <w:legacy w:legacy="1" w:legacySpace="0" w:legacyIndent="284"/>
        <w:lvlJc w:val="left"/>
        <w:pPr>
          <w:ind w:left="284" w:hanging="284"/>
        </w:pPr>
        <w:rPr>
          <w:rFonts w:ascii="Symbol" w:hAnsi="Symbol" w:hint="default"/>
        </w:rPr>
      </w:lvl>
    </w:lvlOverride>
  </w:num>
  <w:num w:numId="13">
    <w:abstractNumId w:val="11"/>
  </w:num>
  <w:num w:numId="14">
    <w:abstractNumId w:val="12"/>
  </w:num>
  <w:num w:numId="15">
    <w:abstractNumId w:val="31"/>
  </w:num>
  <w:num w:numId="16">
    <w:abstractNumId w:val="4"/>
  </w:num>
  <w:num w:numId="17">
    <w:abstractNumId w:val="10"/>
  </w:num>
  <w:num w:numId="18">
    <w:abstractNumId w:val="5"/>
  </w:num>
  <w:num w:numId="19">
    <w:abstractNumId w:val="7"/>
  </w:num>
  <w:num w:numId="20">
    <w:abstractNumId w:val="17"/>
  </w:num>
  <w:num w:numId="21">
    <w:abstractNumId w:val="21"/>
  </w:num>
  <w:num w:numId="22">
    <w:abstractNumId w:val="29"/>
  </w:num>
  <w:num w:numId="23">
    <w:abstractNumId w:val="3"/>
  </w:num>
  <w:num w:numId="24">
    <w:abstractNumId w:val="15"/>
  </w:num>
  <w:num w:numId="25">
    <w:abstractNumId w:val="16"/>
  </w:num>
  <w:num w:numId="26">
    <w:abstractNumId w:val="13"/>
  </w:num>
  <w:num w:numId="27">
    <w:abstractNumId w:val="26"/>
  </w:num>
  <w:num w:numId="28">
    <w:abstractNumId w:val="6"/>
  </w:num>
  <w:num w:numId="29">
    <w:abstractNumId w:val="8"/>
  </w:num>
  <w:num w:numId="30">
    <w:abstractNumId w:val="25"/>
  </w:num>
  <w:num w:numId="31">
    <w:abstractNumId w:val="20"/>
  </w:num>
  <w:num w:numId="32">
    <w:abstractNumId w:val="18"/>
  </w:num>
  <w:num w:numId="33">
    <w:abstractNumId w:val="23"/>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9D"/>
    <w:rsid w:val="00002FD4"/>
    <w:rsid w:val="00003AED"/>
    <w:rsid w:val="00006CE6"/>
    <w:rsid w:val="00007710"/>
    <w:rsid w:val="000126D5"/>
    <w:rsid w:val="00012CFC"/>
    <w:rsid w:val="0001577B"/>
    <w:rsid w:val="00025675"/>
    <w:rsid w:val="0003090C"/>
    <w:rsid w:val="0004127C"/>
    <w:rsid w:val="0005754C"/>
    <w:rsid w:val="00061BEE"/>
    <w:rsid w:val="0006523B"/>
    <w:rsid w:val="00065422"/>
    <w:rsid w:val="00067581"/>
    <w:rsid w:val="00070C06"/>
    <w:rsid w:val="00081402"/>
    <w:rsid w:val="00082A95"/>
    <w:rsid w:val="00084157"/>
    <w:rsid w:val="00090A11"/>
    <w:rsid w:val="00094737"/>
    <w:rsid w:val="00096B3A"/>
    <w:rsid w:val="00096B89"/>
    <w:rsid w:val="0009784C"/>
    <w:rsid w:val="00097C6F"/>
    <w:rsid w:val="000A1F32"/>
    <w:rsid w:val="000A3888"/>
    <w:rsid w:val="000B2E26"/>
    <w:rsid w:val="000B36E4"/>
    <w:rsid w:val="000B5B8F"/>
    <w:rsid w:val="000D0154"/>
    <w:rsid w:val="000D0F4D"/>
    <w:rsid w:val="000E48F0"/>
    <w:rsid w:val="000E7035"/>
    <w:rsid w:val="000F0D71"/>
    <w:rsid w:val="000F17A5"/>
    <w:rsid w:val="000F1955"/>
    <w:rsid w:val="000F5D6E"/>
    <w:rsid w:val="000F6D3B"/>
    <w:rsid w:val="00104234"/>
    <w:rsid w:val="00121614"/>
    <w:rsid w:val="00126AB0"/>
    <w:rsid w:val="00131DC7"/>
    <w:rsid w:val="00132185"/>
    <w:rsid w:val="00141273"/>
    <w:rsid w:val="0014568B"/>
    <w:rsid w:val="00145D47"/>
    <w:rsid w:val="00153A81"/>
    <w:rsid w:val="00155086"/>
    <w:rsid w:val="001638CD"/>
    <w:rsid w:val="00166232"/>
    <w:rsid w:val="00176354"/>
    <w:rsid w:val="0018140F"/>
    <w:rsid w:val="0018345C"/>
    <w:rsid w:val="00190871"/>
    <w:rsid w:val="00191D73"/>
    <w:rsid w:val="001925EF"/>
    <w:rsid w:val="00192C3B"/>
    <w:rsid w:val="001946C2"/>
    <w:rsid w:val="001A71BA"/>
    <w:rsid w:val="001B3FAC"/>
    <w:rsid w:val="001B59DA"/>
    <w:rsid w:val="001B5B25"/>
    <w:rsid w:val="001B7012"/>
    <w:rsid w:val="001C05E9"/>
    <w:rsid w:val="001C5755"/>
    <w:rsid w:val="001C7BD0"/>
    <w:rsid w:val="001D19E7"/>
    <w:rsid w:val="001D1C74"/>
    <w:rsid w:val="001D2F99"/>
    <w:rsid w:val="001E2F16"/>
    <w:rsid w:val="001E4CFE"/>
    <w:rsid w:val="001F35D6"/>
    <w:rsid w:val="001F774E"/>
    <w:rsid w:val="0020180D"/>
    <w:rsid w:val="00212E68"/>
    <w:rsid w:val="00213E6C"/>
    <w:rsid w:val="00214942"/>
    <w:rsid w:val="00220638"/>
    <w:rsid w:val="002217BD"/>
    <w:rsid w:val="0022547A"/>
    <w:rsid w:val="00225B87"/>
    <w:rsid w:val="0023303A"/>
    <w:rsid w:val="00234A36"/>
    <w:rsid w:val="00240902"/>
    <w:rsid w:val="00244409"/>
    <w:rsid w:val="00244B89"/>
    <w:rsid w:val="00254854"/>
    <w:rsid w:val="002612AA"/>
    <w:rsid w:val="00262268"/>
    <w:rsid w:val="00263A4D"/>
    <w:rsid w:val="00272B56"/>
    <w:rsid w:val="002748F9"/>
    <w:rsid w:val="0027555B"/>
    <w:rsid w:val="00276976"/>
    <w:rsid w:val="002770DA"/>
    <w:rsid w:val="00280E9D"/>
    <w:rsid w:val="002847B2"/>
    <w:rsid w:val="00291130"/>
    <w:rsid w:val="002923A5"/>
    <w:rsid w:val="00292A34"/>
    <w:rsid w:val="00296166"/>
    <w:rsid w:val="002A0636"/>
    <w:rsid w:val="002A3C04"/>
    <w:rsid w:val="002B32BA"/>
    <w:rsid w:val="002B3C93"/>
    <w:rsid w:val="002C0B12"/>
    <w:rsid w:val="002C1448"/>
    <w:rsid w:val="002C27B3"/>
    <w:rsid w:val="002C372B"/>
    <w:rsid w:val="002D2C8E"/>
    <w:rsid w:val="002D7EF8"/>
    <w:rsid w:val="002E2D93"/>
    <w:rsid w:val="002E3D36"/>
    <w:rsid w:val="002F23B2"/>
    <w:rsid w:val="002F5F5D"/>
    <w:rsid w:val="003045B5"/>
    <w:rsid w:val="00312AA8"/>
    <w:rsid w:val="00331A4C"/>
    <w:rsid w:val="00344D16"/>
    <w:rsid w:val="003473D0"/>
    <w:rsid w:val="003501FE"/>
    <w:rsid w:val="00351F35"/>
    <w:rsid w:val="00352C47"/>
    <w:rsid w:val="00362B64"/>
    <w:rsid w:val="0036458C"/>
    <w:rsid w:val="00367716"/>
    <w:rsid w:val="0037146E"/>
    <w:rsid w:val="003722A1"/>
    <w:rsid w:val="00382DBA"/>
    <w:rsid w:val="00383951"/>
    <w:rsid w:val="003A1AC5"/>
    <w:rsid w:val="003A3962"/>
    <w:rsid w:val="003A7E1D"/>
    <w:rsid w:val="003B1971"/>
    <w:rsid w:val="003B3C4C"/>
    <w:rsid w:val="003B579B"/>
    <w:rsid w:val="003B7B05"/>
    <w:rsid w:val="003C058E"/>
    <w:rsid w:val="003C416B"/>
    <w:rsid w:val="003C54F0"/>
    <w:rsid w:val="003C5C0A"/>
    <w:rsid w:val="003D0BE8"/>
    <w:rsid w:val="003D1A81"/>
    <w:rsid w:val="003D7DCC"/>
    <w:rsid w:val="003E4BB3"/>
    <w:rsid w:val="00405A9B"/>
    <w:rsid w:val="00415085"/>
    <w:rsid w:val="00416E09"/>
    <w:rsid w:val="00423778"/>
    <w:rsid w:val="00424756"/>
    <w:rsid w:val="00425E73"/>
    <w:rsid w:val="00430A08"/>
    <w:rsid w:val="00432E0F"/>
    <w:rsid w:val="004339CF"/>
    <w:rsid w:val="00440FB1"/>
    <w:rsid w:val="004442F3"/>
    <w:rsid w:val="00466EA4"/>
    <w:rsid w:val="0047276D"/>
    <w:rsid w:val="004738E8"/>
    <w:rsid w:val="00475A53"/>
    <w:rsid w:val="00483EC5"/>
    <w:rsid w:val="0048470A"/>
    <w:rsid w:val="00486E02"/>
    <w:rsid w:val="00487B11"/>
    <w:rsid w:val="00491D98"/>
    <w:rsid w:val="00493B75"/>
    <w:rsid w:val="0049578F"/>
    <w:rsid w:val="00496798"/>
    <w:rsid w:val="004A44A1"/>
    <w:rsid w:val="004A6402"/>
    <w:rsid w:val="004B169F"/>
    <w:rsid w:val="004C05C9"/>
    <w:rsid w:val="004C2B38"/>
    <w:rsid w:val="004D09BE"/>
    <w:rsid w:val="004D22AE"/>
    <w:rsid w:val="004D4B5A"/>
    <w:rsid w:val="004E139B"/>
    <w:rsid w:val="004E53F9"/>
    <w:rsid w:val="004E7319"/>
    <w:rsid w:val="004F3018"/>
    <w:rsid w:val="00504443"/>
    <w:rsid w:val="00505991"/>
    <w:rsid w:val="00506179"/>
    <w:rsid w:val="0052555C"/>
    <w:rsid w:val="005259C7"/>
    <w:rsid w:val="00527C25"/>
    <w:rsid w:val="00532595"/>
    <w:rsid w:val="0053321D"/>
    <w:rsid w:val="0053697E"/>
    <w:rsid w:val="0054008B"/>
    <w:rsid w:val="00540E25"/>
    <w:rsid w:val="00542FC6"/>
    <w:rsid w:val="00552D26"/>
    <w:rsid w:val="00555E11"/>
    <w:rsid w:val="00555F0B"/>
    <w:rsid w:val="00555FD4"/>
    <w:rsid w:val="00560D15"/>
    <w:rsid w:val="00565999"/>
    <w:rsid w:val="00570870"/>
    <w:rsid w:val="005722A2"/>
    <w:rsid w:val="00593012"/>
    <w:rsid w:val="005A3C38"/>
    <w:rsid w:val="005A516F"/>
    <w:rsid w:val="005A5EAD"/>
    <w:rsid w:val="005A5FA8"/>
    <w:rsid w:val="005A758F"/>
    <w:rsid w:val="005B2025"/>
    <w:rsid w:val="005B226C"/>
    <w:rsid w:val="005B692D"/>
    <w:rsid w:val="005C165D"/>
    <w:rsid w:val="005C2C99"/>
    <w:rsid w:val="005C47F6"/>
    <w:rsid w:val="005C5457"/>
    <w:rsid w:val="005C5840"/>
    <w:rsid w:val="005D02C4"/>
    <w:rsid w:val="005D06E5"/>
    <w:rsid w:val="005D2DDC"/>
    <w:rsid w:val="005D2F82"/>
    <w:rsid w:val="005D5758"/>
    <w:rsid w:val="005D61A8"/>
    <w:rsid w:val="005E49A5"/>
    <w:rsid w:val="005E6E6E"/>
    <w:rsid w:val="005F3F62"/>
    <w:rsid w:val="006102D6"/>
    <w:rsid w:val="006115C3"/>
    <w:rsid w:val="00612A19"/>
    <w:rsid w:val="00617616"/>
    <w:rsid w:val="006201F4"/>
    <w:rsid w:val="00623A35"/>
    <w:rsid w:val="0062686F"/>
    <w:rsid w:val="006324AD"/>
    <w:rsid w:val="00635C8A"/>
    <w:rsid w:val="00645E34"/>
    <w:rsid w:val="00650FBE"/>
    <w:rsid w:val="00664070"/>
    <w:rsid w:val="00664382"/>
    <w:rsid w:val="006869E1"/>
    <w:rsid w:val="006950FD"/>
    <w:rsid w:val="006969CB"/>
    <w:rsid w:val="006A090B"/>
    <w:rsid w:val="006A7283"/>
    <w:rsid w:val="006B36DA"/>
    <w:rsid w:val="006C10FE"/>
    <w:rsid w:val="006C38D6"/>
    <w:rsid w:val="006D0C7F"/>
    <w:rsid w:val="006D106D"/>
    <w:rsid w:val="006D252D"/>
    <w:rsid w:val="006D5024"/>
    <w:rsid w:val="006D6EF2"/>
    <w:rsid w:val="006E29D7"/>
    <w:rsid w:val="006E437D"/>
    <w:rsid w:val="006F6906"/>
    <w:rsid w:val="00701B62"/>
    <w:rsid w:val="00711029"/>
    <w:rsid w:val="00711726"/>
    <w:rsid w:val="00711F5C"/>
    <w:rsid w:val="00721163"/>
    <w:rsid w:val="00726ABD"/>
    <w:rsid w:val="00730471"/>
    <w:rsid w:val="0073177B"/>
    <w:rsid w:val="00732C89"/>
    <w:rsid w:val="00734865"/>
    <w:rsid w:val="00735F0B"/>
    <w:rsid w:val="00737BBA"/>
    <w:rsid w:val="00740E06"/>
    <w:rsid w:val="00740F83"/>
    <w:rsid w:val="00746135"/>
    <w:rsid w:val="00753AB7"/>
    <w:rsid w:val="00754D6B"/>
    <w:rsid w:val="00760EB7"/>
    <w:rsid w:val="00763AD9"/>
    <w:rsid w:val="00765706"/>
    <w:rsid w:val="00765A8C"/>
    <w:rsid w:val="00766EA5"/>
    <w:rsid w:val="00772103"/>
    <w:rsid w:val="00774CD8"/>
    <w:rsid w:val="00777DD6"/>
    <w:rsid w:val="007838CD"/>
    <w:rsid w:val="00784081"/>
    <w:rsid w:val="00784575"/>
    <w:rsid w:val="00785A5D"/>
    <w:rsid w:val="00785F6E"/>
    <w:rsid w:val="0079680A"/>
    <w:rsid w:val="007A06AE"/>
    <w:rsid w:val="007A4D3D"/>
    <w:rsid w:val="007B0149"/>
    <w:rsid w:val="007B3983"/>
    <w:rsid w:val="007B5F3D"/>
    <w:rsid w:val="007B6347"/>
    <w:rsid w:val="007C3328"/>
    <w:rsid w:val="007D0FFE"/>
    <w:rsid w:val="007D3247"/>
    <w:rsid w:val="007D4EB4"/>
    <w:rsid w:val="007D62A6"/>
    <w:rsid w:val="007D7C86"/>
    <w:rsid w:val="007E294F"/>
    <w:rsid w:val="007E4214"/>
    <w:rsid w:val="007E4280"/>
    <w:rsid w:val="007E54E8"/>
    <w:rsid w:val="007E5A4A"/>
    <w:rsid w:val="007F11E1"/>
    <w:rsid w:val="007F2183"/>
    <w:rsid w:val="007F6CF4"/>
    <w:rsid w:val="008040B5"/>
    <w:rsid w:val="008042E2"/>
    <w:rsid w:val="00804EAF"/>
    <w:rsid w:val="00807C28"/>
    <w:rsid w:val="008142E1"/>
    <w:rsid w:val="00827A2B"/>
    <w:rsid w:val="0083450C"/>
    <w:rsid w:val="0084297A"/>
    <w:rsid w:val="00843D6D"/>
    <w:rsid w:val="00844D64"/>
    <w:rsid w:val="008538F1"/>
    <w:rsid w:val="00855B09"/>
    <w:rsid w:val="0086127F"/>
    <w:rsid w:val="0086328C"/>
    <w:rsid w:val="00863DBD"/>
    <w:rsid w:val="00874CB9"/>
    <w:rsid w:val="00874FDD"/>
    <w:rsid w:val="0088041F"/>
    <w:rsid w:val="00881884"/>
    <w:rsid w:val="00890BA3"/>
    <w:rsid w:val="00890BB9"/>
    <w:rsid w:val="00893797"/>
    <w:rsid w:val="00895539"/>
    <w:rsid w:val="008A19D3"/>
    <w:rsid w:val="008A4B41"/>
    <w:rsid w:val="008A721D"/>
    <w:rsid w:val="008B02D5"/>
    <w:rsid w:val="008B58C9"/>
    <w:rsid w:val="008C0518"/>
    <w:rsid w:val="008C1010"/>
    <w:rsid w:val="008C692F"/>
    <w:rsid w:val="008D517F"/>
    <w:rsid w:val="008E017A"/>
    <w:rsid w:val="008E0735"/>
    <w:rsid w:val="008F6325"/>
    <w:rsid w:val="008F6793"/>
    <w:rsid w:val="00902C30"/>
    <w:rsid w:val="00903264"/>
    <w:rsid w:val="0090586F"/>
    <w:rsid w:val="009061A2"/>
    <w:rsid w:val="0090647E"/>
    <w:rsid w:val="009171AA"/>
    <w:rsid w:val="00924314"/>
    <w:rsid w:val="00925DF3"/>
    <w:rsid w:val="00926B4D"/>
    <w:rsid w:val="0093695B"/>
    <w:rsid w:val="0093715E"/>
    <w:rsid w:val="00945216"/>
    <w:rsid w:val="00945A9F"/>
    <w:rsid w:val="00945AFB"/>
    <w:rsid w:val="009463EE"/>
    <w:rsid w:val="00950E07"/>
    <w:rsid w:val="00951E8D"/>
    <w:rsid w:val="0095340A"/>
    <w:rsid w:val="0095475C"/>
    <w:rsid w:val="0095760D"/>
    <w:rsid w:val="00957A3C"/>
    <w:rsid w:val="0097120B"/>
    <w:rsid w:val="0097281A"/>
    <w:rsid w:val="00972FFB"/>
    <w:rsid w:val="00973BE9"/>
    <w:rsid w:val="009757FE"/>
    <w:rsid w:val="009767D8"/>
    <w:rsid w:val="0098125B"/>
    <w:rsid w:val="00982412"/>
    <w:rsid w:val="0098678B"/>
    <w:rsid w:val="0099567B"/>
    <w:rsid w:val="009968F5"/>
    <w:rsid w:val="009A2F66"/>
    <w:rsid w:val="009B6C8E"/>
    <w:rsid w:val="009B6E1C"/>
    <w:rsid w:val="009C0C40"/>
    <w:rsid w:val="009D539D"/>
    <w:rsid w:val="009D6223"/>
    <w:rsid w:val="009D7208"/>
    <w:rsid w:val="009E3695"/>
    <w:rsid w:val="009F1BAA"/>
    <w:rsid w:val="009F5D13"/>
    <w:rsid w:val="00A01DFB"/>
    <w:rsid w:val="00A11458"/>
    <w:rsid w:val="00A121B1"/>
    <w:rsid w:val="00A139D1"/>
    <w:rsid w:val="00A145DE"/>
    <w:rsid w:val="00A22375"/>
    <w:rsid w:val="00A23B15"/>
    <w:rsid w:val="00A24346"/>
    <w:rsid w:val="00A253EA"/>
    <w:rsid w:val="00A2645F"/>
    <w:rsid w:val="00A26F29"/>
    <w:rsid w:val="00A3187A"/>
    <w:rsid w:val="00A36839"/>
    <w:rsid w:val="00A37601"/>
    <w:rsid w:val="00A41A78"/>
    <w:rsid w:val="00A42DCA"/>
    <w:rsid w:val="00A463E3"/>
    <w:rsid w:val="00A506F2"/>
    <w:rsid w:val="00A50E36"/>
    <w:rsid w:val="00A513DC"/>
    <w:rsid w:val="00A521F5"/>
    <w:rsid w:val="00A5318C"/>
    <w:rsid w:val="00A55A00"/>
    <w:rsid w:val="00A61E5E"/>
    <w:rsid w:val="00A632FD"/>
    <w:rsid w:val="00A65F05"/>
    <w:rsid w:val="00A708EF"/>
    <w:rsid w:val="00A714C0"/>
    <w:rsid w:val="00A84B2A"/>
    <w:rsid w:val="00A85C15"/>
    <w:rsid w:val="00A861E4"/>
    <w:rsid w:val="00AA11E5"/>
    <w:rsid w:val="00AA2526"/>
    <w:rsid w:val="00AA7886"/>
    <w:rsid w:val="00AB5FA1"/>
    <w:rsid w:val="00AC0B9F"/>
    <w:rsid w:val="00AC149A"/>
    <w:rsid w:val="00AC4027"/>
    <w:rsid w:val="00AC540D"/>
    <w:rsid w:val="00AC6FAA"/>
    <w:rsid w:val="00AD13FC"/>
    <w:rsid w:val="00AD160E"/>
    <w:rsid w:val="00AD452A"/>
    <w:rsid w:val="00AE44DC"/>
    <w:rsid w:val="00AF2810"/>
    <w:rsid w:val="00AF30DB"/>
    <w:rsid w:val="00AF44D2"/>
    <w:rsid w:val="00AF52C5"/>
    <w:rsid w:val="00AF543F"/>
    <w:rsid w:val="00AF68A0"/>
    <w:rsid w:val="00B051D3"/>
    <w:rsid w:val="00B0742D"/>
    <w:rsid w:val="00B11211"/>
    <w:rsid w:val="00B231C5"/>
    <w:rsid w:val="00B242D4"/>
    <w:rsid w:val="00B34D82"/>
    <w:rsid w:val="00B42C7F"/>
    <w:rsid w:val="00B43D29"/>
    <w:rsid w:val="00B60E6D"/>
    <w:rsid w:val="00B66CCB"/>
    <w:rsid w:val="00B758CB"/>
    <w:rsid w:val="00B83458"/>
    <w:rsid w:val="00B84680"/>
    <w:rsid w:val="00B84B25"/>
    <w:rsid w:val="00B86236"/>
    <w:rsid w:val="00B9343D"/>
    <w:rsid w:val="00BA5918"/>
    <w:rsid w:val="00BB23BC"/>
    <w:rsid w:val="00BB7964"/>
    <w:rsid w:val="00BC76E3"/>
    <w:rsid w:val="00BD07D4"/>
    <w:rsid w:val="00BD2088"/>
    <w:rsid w:val="00BD47F7"/>
    <w:rsid w:val="00BF207C"/>
    <w:rsid w:val="00BF30F9"/>
    <w:rsid w:val="00BF472D"/>
    <w:rsid w:val="00C00E7B"/>
    <w:rsid w:val="00C017C2"/>
    <w:rsid w:val="00C0711D"/>
    <w:rsid w:val="00C073F7"/>
    <w:rsid w:val="00C12783"/>
    <w:rsid w:val="00C222C4"/>
    <w:rsid w:val="00C2382B"/>
    <w:rsid w:val="00C2657D"/>
    <w:rsid w:val="00C32838"/>
    <w:rsid w:val="00C367D1"/>
    <w:rsid w:val="00C4672F"/>
    <w:rsid w:val="00C50DF1"/>
    <w:rsid w:val="00C50FB8"/>
    <w:rsid w:val="00C52FA1"/>
    <w:rsid w:val="00C534D0"/>
    <w:rsid w:val="00C54E3A"/>
    <w:rsid w:val="00C649BC"/>
    <w:rsid w:val="00C66C09"/>
    <w:rsid w:val="00C72B98"/>
    <w:rsid w:val="00C82324"/>
    <w:rsid w:val="00C83DB6"/>
    <w:rsid w:val="00C929CB"/>
    <w:rsid w:val="00C94C52"/>
    <w:rsid w:val="00C95F22"/>
    <w:rsid w:val="00CA4834"/>
    <w:rsid w:val="00CA4B06"/>
    <w:rsid w:val="00CA53FB"/>
    <w:rsid w:val="00CA6F1C"/>
    <w:rsid w:val="00CB35DF"/>
    <w:rsid w:val="00CB4F92"/>
    <w:rsid w:val="00CC171F"/>
    <w:rsid w:val="00CC52E6"/>
    <w:rsid w:val="00CD2EA3"/>
    <w:rsid w:val="00CD312D"/>
    <w:rsid w:val="00CD3755"/>
    <w:rsid w:val="00CD5B24"/>
    <w:rsid w:val="00CD5EA7"/>
    <w:rsid w:val="00CD6F98"/>
    <w:rsid w:val="00CE30CE"/>
    <w:rsid w:val="00CF004C"/>
    <w:rsid w:val="00CF0794"/>
    <w:rsid w:val="00CF21AB"/>
    <w:rsid w:val="00D03C88"/>
    <w:rsid w:val="00D05ABF"/>
    <w:rsid w:val="00D1271E"/>
    <w:rsid w:val="00D158CC"/>
    <w:rsid w:val="00D23A28"/>
    <w:rsid w:val="00D27FE0"/>
    <w:rsid w:val="00D313DF"/>
    <w:rsid w:val="00D36D2E"/>
    <w:rsid w:val="00D40659"/>
    <w:rsid w:val="00D41196"/>
    <w:rsid w:val="00D429FF"/>
    <w:rsid w:val="00D45406"/>
    <w:rsid w:val="00D50DFD"/>
    <w:rsid w:val="00D51615"/>
    <w:rsid w:val="00D620B6"/>
    <w:rsid w:val="00D623B9"/>
    <w:rsid w:val="00D64D2D"/>
    <w:rsid w:val="00D6641E"/>
    <w:rsid w:val="00D76B84"/>
    <w:rsid w:val="00D80A3B"/>
    <w:rsid w:val="00D82FC3"/>
    <w:rsid w:val="00D8425D"/>
    <w:rsid w:val="00D86F12"/>
    <w:rsid w:val="00D87F2E"/>
    <w:rsid w:val="00D91220"/>
    <w:rsid w:val="00DA01D2"/>
    <w:rsid w:val="00DA0505"/>
    <w:rsid w:val="00DC5438"/>
    <w:rsid w:val="00DC5863"/>
    <w:rsid w:val="00DC6C1D"/>
    <w:rsid w:val="00DC6DB9"/>
    <w:rsid w:val="00DC7264"/>
    <w:rsid w:val="00DC7E2B"/>
    <w:rsid w:val="00DD69AF"/>
    <w:rsid w:val="00DE1B0D"/>
    <w:rsid w:val="00DE309E"/>
    <w:rsid w:val="00DE5AAC"/>
    <w:rsid w:val="00DF1A9D"/>
    <w:rsid w:val="00DF2571"/>
    <w:rsid w:val="00DF3A3B"/>
    <w:rsid w:val="00E012FB"/>
    <w:rsid w:val="00E0286B"/>
    <w:rsid w:val="00E03FC9"/>
    <w:rsid w:val="00E0733B"/>
    <w:rsid w:val="00E07FBD"/>
    <w:rsid w:val="00E16915"/>
    <w:rsid w:val="00E203D7"/>
    <w:rsid w:val="00E236B9"/>
    <w:rsid w:val="00E25C66"/>
    <w:rsid w:val="00E26E75"/>
    <w:rsid w:val="00E30A7E"/>
    <w:rsid w:val="00E37675"/>
    <w:rsid w:val="00E37B34"/>
    <w:rsid w:val="00E41147"/>
    <w:rsid w:val="00E4674A"/>
    <w:rsid w:val="00E50B65"/>
    <w:rsid w:val="00E55433"/>
    <w:rsid w:val="00E60A47"/>
    <w:rsid w:val="00E630DB"/>
    <w:rsid w:val="00E75688"/>
    <w:rsid w:val="00E80D5E"/>
    <w:rsid w:val="00E81CA4"/>
    <w:rsid w:val="00E856AE"/>
    <w:rsid w:val="00E867BE"/>
    <w:rsid w:val="00E868A6"/>
    <w:rsid w:val="00E86F02"/>
    <w:rsid w:val="00E871AD"/>
    <w:rsid w:val="00E91FD7"/>
    <w:rsid w:val="00E95EB3"/>
    <w:rsid w:val="00E97A12"/>
    <w:rsid w:val="00EA3573"/>
    <w:rsid w:val="00EC065E"/>
    <w:rsid w:val="00EC30BC"/>
    <w:rsid w:val="00EC4BA6"/>
    <w:rsid w:val="00EC5484"/>
    <w:rsid w:val="00EC6145"/>
    <w:rsid w:val="00ED0A76"/>
    <w:rsid w:val="00ED64C1"/>
    <w:rsid w:val="00ED7C61"/>
    <w:rsid w:val="00EE002D"/>
    <w:rsid w:val="00EE1AF4"/>
    <w:rsid w:val="00EE6F5D"/>
    <w:rsid w:val="00EF4105"/>
    <w:rsid w:val="00EF5BC1"/>
    <w:rsid w:val="00EF6BDC"/>
    <w:rsid w:val="00EF7CDB"/>
    <w:rsid w:val="00F01CC8"/>
    <w:rsid w:val="00F17161"/>
    <w:rsid w:val="00F177F8"/>
    <w:rsid w:val="00F21CA6"/>
    <w:rsid w:val="00F22CEA"/>
    <w:rsid w:val="00F24734"/>
    <w:rsid w:val="00F26596"/>
    <w:rsid w:val="00F2681A"/>
    <w:rsid w:val="00F30048"/>
    <w:rsid w:val="00F31CE9"/>
    <w:rsid w:val="00F364CF"/>
    <w:rsid w:val="00F36FD8"/>
    <w:rsid w:val="00F41BA3"/>
    <w:rsid w:val="00F4333E"/>
    <w:rsid w:val="00F45039"/>
    <w:rsid w:val="00F5130F"/>
    <w:rsid w:val="00F51DA0"/>
    <w:rsid w:val="00F525AD"/>
    <w:rsid w:val="00F53D53"/>
    <w:rsid w:val="00F5565B"/>
    <w:rsid w:val="00F61D26"/>
    <w:rsid w:val="00F6438C"/>
    <w:rsid w:val="00F662C3"/>
    <w:rsid w:val="00F72550"/>
    <w:rsid w:val="00F75466"/>
    <w:rsid w:val="00F84211"/>
    <w:rsid w:val="00F87354"/>
    <w:rsid w:val="00F87C37"/>
    <w:rsid w:val="00F91454"/>
    <w:rsid w:val="00FA4F88"/>
    <w:rsid w:val="00FA66C5"/>
    <w:rsid w:val="00FB0F79"/>
    <w:rsid w:val="00FB1DAD"/>
    <w:rsid w:val="00FB20CE"/>
    <w:rsid w:val="00FB6C4B"/>
    <w:rsid w:val="00FD3F7C"/>
    <w:rsid w:val="00FD7217"/>
    <w:rsid w:val="00FD73B3"/>
    <w:rsid w:val="00FE0698"/>
    <w:rsid w:val="00FF02CD"/>
    <w:rsid w:val="00FF77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6C"/>
    <w:pPr>
      <w:spacing w:before="120"/>
      <w:jc w:val="both"/>
    </w:pPr>
    <w:rPr>
      <w:rFonts w:ascii="Arial" w:hAnsi="Arial"/>
      <w:sz w:val="24"/>
      <w:szCs w:val="24"/>
      <w:lang w:eastAsia="en-US"/>
    </w:rPr>
  </w:style>
  <w:style w:type="paragraph" w:styleId="Heading1">
    <w:name w:val="heading 1"/>
    <w:basedOn w:val="Normal"/>
    <w:next w:val="Normal"/>
    <w:link w:val="Heading1Char"/>
    <w:autoRedefine/>
    <w:qFormat/>
    <w:rsid w:val="00262268"/>
    <w:pPr>
      <w:keepNext/>
      <w:spacing w:before="240" w:after="120"/>
      <w:jc w:val="left"/>
      <w:outlineLvl w:val="0"/>
    </w:pPr>
    <w:rPr>
      <w:rFonts w:cs="Arial"/>
      <w:b/>
      <w:bCs/>
    </w:rPr>
  </w:style>
  <w:style w:type="paragraph" w:styleId="Heading2">
    <w:name w:val="heading 2"/>
    <w:basedOn w:val="Normal"/>
    <w:next w:val="Normal"/>
    <w:qFormat/>
    <w:rsid w:val="00262268"/>
    <w:pPr>
      <w:keepNext/>
      <w:outlineLvl w:val="1"/>
    </w:pPr>
    <w:rPr>
      <w:rFonts w:cs="Tahoma"/>
      <w:b/>
      <w:bCs/>
      <w:szCs w:val="20"/>
    </w:rPr>
  </w:style>
  <w:style w:type="paragraph" w:styleId="Heading3">
    <w:name w:val="heading 3"/>
    <w:basedOn w:val="Normal"/>
    <w:next w:val="Normal"/>
    <w:qFormat/>
    <w:rsid w:val="009D539D"/>
    <w:pPr>
      <w:keepNext/>
      <w:spacing w:before="240" w:after="60"/>
      <w:outlineLvl w:val="2"/>
    </w:pPr>
    <w:rPr>
      <w:rFonts w:cs="Arial"/>
      <w:b/>
      <w:bCs/>
      <w:sz w:val="26"/>
      <w:szCs w:val="26"/>
    </w:rPr>
  </w:style>
  <w:style w:type="paragraph" w:styleId="Heading4">
    <w:name w:val="heading 4"/>
    <w:basedOn w:val="Normal"/>
    <w:next w:val="Normal"/>
    <w:qFormat/>
    <w:rsid w:val="009D53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D53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D539D"/>
    <w:rPr>
      <w:rFonts w:ascii="Tahoma" w:hAnsi="Tahoma" w:cs="Tahoma"/>
      <w:sz w:val="20"/>
      <w:szCs w:val="20"/>
    </w:rPr>
  </w:style>
  <w:style w:type="paragraph" w:styleId="Footer">
    <w:name w:val="footer"/>
    <w:basedOn w:val="Normal"/>
    <w:link w:val="FooterChar"/>
    <w:uiPriority w:val="99"/>
    <w:rsid w:val="009D539D"/>
    <w:pPr>
      <w:tabs>
        <w:tab w:val="center" w:pos="4153"/>
        <w:tab w:val="right" w:pos="8306"/>
      </w:tabs>
    </w:pPr>
  </w:style>
  <w:style w:type="character" w:styleId="PageNumber">
    <w:name w:val="page number"/>
    <w:basedOn w:val="DefaultParagraphFont"/>
    <w:rsid w:val="009D539D"/>
  </w:style>
  <w:style w:type="paragraph" w:styleId="Header">
    <w:name w:val="header"/>
    <w:basedOn w:val="Normal"/>
    <w:rsid w:val="009D539D"/>
    <w:pPr>
      <w:tabs>
        <w:tab w:val="center" w:pos="4153"/>
        <w:tab w:val="right" w:pos="8306"/>
      </w:tabs>
    </w:pPr>
  </w:style>
  <w:style w:type="paragraph" w:styleId="ListBullet">
    <w:name w:val="List Bullet"/>
    <w:basedOn w:val="Normal"/>
    <w:autoRedefine/>
    <w:rsid w:val="009D539D"/>
    <w:pPr>
      <w:jc w:val="left"/>
    </w:pPr>
    <w:rPr>
      <w:rFonts w:cs="Arial"/>
      <w:lang w:val="en-AU"/>
    </w:rPr>
  </w:style>
  <w:style w:type="paragraph" w:customStyle="1" w:styleId="BulletPoints">
    <w:name w:val="Bullet Points"/>
    <w:basedOn w:val="Normal"/>
    <w:rsid w:val="009D539D"/>
    <w:pPr>
      <w:ind w:left="720" w:hanging="720"/>
    </w:pPr>
    <w:rPr>
      <w:rFonts w:ascii="Times New Roman" w:hAnsi="Times New Roman"/>
      <w:szCs w:val="20"/>
      <w:lang w:val="en-AU"/>
    </w:rPr>
  </w:style>
  <w:style w:type="paragraph" w:styleId="BodyTextIndent">
    <w:name w:val="Body Text Indent"/>
    <w:basedOn w:val="Normal"/>
    <w:rsid w:val="009D539D"/>
    <w:pPr>
      <w:ind w:left="720"/>
      <w:jc w:val="left"/>
    </w:pPr>
    <w:rPr>
      <w:rFonts w:ascii="Arial Mäori" w:hAnsi="Arial Mäori"/>
    </w:rPr>
  </w:style>
  <w:style w:type="paragraph" w:styleId="BodyText">
    <w:name w:val="Body Text"/>
    <w:basedOn w:val="Normal"/>
    <w:rsid w:val="009D539D"/>
    <w:pPr>
      <w:spacing w:after="120"/>
    </w:pPr>
  </w:style>
  <w:style w:type="paragraph" w:customStyle="1" w:styleId="CharCharCharCharChar">
    <w:name w:val="Char Char Char Char Char"/>
    <w:basedOn w:val="Normal"/>
    <w:rsid w:val="009D539D"/>
    <w:pPr>
      <w:spacing w:after="160" w:line="240" w:lineRule="exact"/>
      <w:jc w:val="left"/>
    </w:pPr>
    <w:rPr>
      <w:sz w:val="20"/>
      <w:szCs w:val="20"/>
      <w:lang w:val="en-US"/>
    </w:rPr>
  </w:style>
  <w:style w:type="paragraph" w:styleId="BodyTextIndent3">
    <w:name w:val="Body Text Indent 3"/>
    <w:basedOn w:val="Normal"/>
    <w:rsid w:val="009D539D"/>
    <w:pPr>
      <w:spacing w:after="120"/>
      <w:ind w:left="283"/>
      <w:jc w:val="left"/>
    </w:pPr>
    <w:rPr>
      <w:rFonts w:ascii="Arial Mäori" w:hAnsi="Arial Mäori"/>
      <w:sz w:val="16"/>
      <w:szCs w:val="16"/>
    </w:rPr>
  </w:style>
  <w:style w:type="paragraph" w:styleId="FootnoteText">
    <w:name w:val="footnote text"/>
    <w:basedOn w:val="Normal"/>
    <w:link w:val="FootnoteTextChar"/>
    <w:semiHidden/>
    <w:rsid w:val="009D539D"/>
    <w:rPr>
      <w:sz w:val="20"/>
      <w:szCs w:val="20"/>
    </w:rPr>
  </w:style>
  <w:style w:type="character" w:styleId="FootnoteReference">
    <w:name w:val="footnote reference"/>
    <w:semiHidden/>
    <w:rsid w:val="009D539D"/>
    <w:rPr>
      <w:vertAlign w:val="superscript"/>
    </w:rPr>
  </w:style>
  <w:style w:type="paragraph" w:styleId="BalloonText">
    <w:name w:val="Balloon Text"/>
    <w:basedOn w:val="Normal"/>
    <w:semiHidden/>
    <w:rsid w:val="009D539D"/>
    <w:rPr>
      <w:rFonts w:ascii="Tahoma" w:hAnsi="Tahoma" w:cs="Tahoma"/>
      <w:sz w:val="16"/>
      <w:szCs w:val="16"/>
    </w:rPr>
  </w:style>
  <w:style w:type="paragraph" w:customStyle="1" w:styleId="CharChar">
    <w:name w:val="Char Char"/>
    <w:basedOn w:val="Normal"/>
    <w:rsid w:val="009D539D"/>
    <w:pPr>
      <w:spacing w:after="160" w:line="240" w:lineRule="exact"/>
      <w:jc w:val="left"/>
    </w:pPr>
    <w:rPr>
      <w:sz w:val="20"/>
      <w:szCs w:val="20"/>
      <w:lang w:val="en-US"/>
    </w:rPr>
  </w:style>
  <w:style w:type="character" w:styleId="Hyperlink">
    <w:name w:val="Hyperlink"/>
    <w:rsid w:val="009D539D"/>
    <w:rPr>
      <w:color w:val="000066"/>
      <w:u w:val="single"/>
    </w:rPr>
  </w:style>
  <w:style w:type="paragraph" w:customStyle="1" w:styleId="Char1CharChar">
    <w:name w:val="Char1 Char Char"/>
    <w:basedOn w:val="Normal"/>
    <w:rsid w:val="009D539D"/>
    <w:pPr>
      <w:spacing w:after="160" w:line="240" w:lineRule="exact"/>
      <w:jc w:val="left"/>
    </w:pPr>
    <w:rPr>
      <w:sz w:val="20"/>
      <w:szCs w:val="20"/>
      <w:lang w:val="en-US"/>
    </w:rPr>
  </w:style>
  <w:style w:type="character" w:styleId="CommentReference">
    <w:name w:val="annotation reference"/>
    <w:uiPriority w:val="99"/>
    <w:semiHidden/>
    <w:rsid w:val="009D539D"/>
    <w:rPr>
      <w:sz w:val="16"/>
      <w:szCs w:val="16"/>
    </w:rPr>
  </w:style>
  <w:style w:type="paragraph" w:styleId="CommentText">
    <w:name w:val="annotation text"/>
    <w:basedOn w:val="Normal"/>
    <w:link w:val="CommentTextChar"/>
    <w:semiHidden/>
    <w:rsid w:val="009D539D"/>
    <w:rPr>
      <w:sz w:val="20"/>
      <w:szCs w:val="20"/>
    </w:rPr>
  </w:style>
  <w:style w:type="paragraph" w:styleId="CommentSubject">
    <w:name w:val="annotation subject"/>
    <w:basedOn w:val="CommentText"/>
    <w:next w:val="CommentText"/>
    <w:semiHidden/>
    <w:rsid w:val="009D539D"/>
    <w:rPr>
      <w:b/>
      <w:bCs/>
    </w:rPr>
  </w:style>
  <w:style w:type="paragraph" w:customStyle="1" w:styleId="CharChar1">
    <w:name w:val="Char Char1"/>
    <w:basedOn w:val="Normal"/>
    <w:rsid w:val="001638CD"/>
    <w:pPr>
      <w:spacing w:after="160" w:line="240" w:lineRule="exact"/>
      <w:jc w:val="left"/>
    </w:pPr>
    <w:rPr>
      <w:sz w:val="20"/>
      <w:szCs w:val="20"/>
      <w:lang w:val="en-US"/>
    </w:rPr>
  </w:style>
  <w:style w:type="table" w:styleId="TableGrid">
    <w:name w:val="Table Grid"/>
    <w:basedOn w:val="TableNormal"/>
    <w:uiPriority w:val="59"/>
    <w:rsid w:val="00BD47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7120B"/>
    <w:pPr>
      <w:spacing w:after="120" w:line="480" w:lineRule="auto"/>
    </w:pPr>
  </w:style>
  <w:style w:type="paragraph" w:customStyle="1" w:styleId="TableText">
    <w:name w:val="TableText"/>
    <w:basedOn w:val="Normal"/>
    <w:rsid w:val="00025675"/>
    <w:pPr>
      <w:spacing w:before="80" w:after="80" w:line="264" w:lineRule="auto"/>
      <w:jc w:val="left"/>
    </w:pPr>
    <w:rPr>
      <w:rFonts w:ascii="Georgia" w:hAnsi="Georgia"/>
      <w:sz w:val="20"/>
      <w:szCs w:val="20"/>
      <w:lang w:eastAsia="en-GB"/>
    </w:rPr>
  </w:style>
  <w:style w:type="paragraph" w:customStyle="1" w:styleId="Bullet">
    <w:name w:val="Bullet"/>
    <w:basedOn w:val="Normal"/>
    <w:rsid w:val="00A121B1"/>
    <w:pPr>
      <w:numPr>
        <w:numId w:val="4"/>
      </w:numPr>
      <w:spacing w:line="264" w:lineRule="auto"/>
      <w:jc w:val="left"/>
    </w:pPr>
    <w:rPr>
      <w:rFonts w:ascii="Georgia" w:hAnsi="Georgia"/>
      <w:sz w:val="22"/>
      <w:szCs w:val="20"/>
      <w:lang w:eastAsia="en-GB"/>
    </w:rPr>
  </w:style>
  <w:style w:type="paragraph" w:styleId="ListParagraph">
    <w:name w:val="List Paragraph"/>
    <w:basedOn w:val="ListBullet"/>
    <w:uiPriority w:val="34"/>
    <w:qFormat/>
    <w:rsid w:val="00A463E3"/>
    <w:pPr>
      <w:spacing w:before="0"/>
      <w:ind w:left="720"/>
    </w:pPr>
  </w:style>
  <w:style w:type="character" w:customStyle="1" w:styleId="Heading1Char">
    <w:name w:val="Heading 1 Char"/>
    <w:link w:val="Heading1"/>
    <w:rsid w:val="00262268"/>
    <w:rPr>
      <w:rFonts w:ascii="Arial" w:hAnsi="Arial" w:cs="Arial"/>
      <w:b/>
      <w:bCs/>
      <w:sz w:val="24"/>
      <w:szCs w:val="24"/>
      <w:lang w:eastAsia="en-US"/>
    </w:rPr>
  </w:style>
  <w:style w:type="paragraph" w:customStyle="1" w:styleId="TableBullet">
    <w:name w:val="TableBullet"/>
    <w:basedOn w:val="TableText"/>
    <w:rsid w:val="007D0FFE"/>
    <w:pPr>
      <w:numPr>
        <w:numId w:val="5"/>
      </w:numPr>
      <w:spacing w:before="0"/>
    </w:pPr>
  </w:style>
  <w:style w:type="paragraph" w:styleId="Revision">
    <w:name w:val="Revision"/>
    <w:hidden/>
    <w:uiPriority w:val="99"/>
    <w:semiHidden/>
    <w:rsid w:val="00785A5D"/>
    <w:rPr>
      <w:rFonts w:ascii="Times New Roman Mäori" w:hAnsi="Times New Roman Mäori"/>
      <w:sz w:val="24"/>
      <w:szCs w:val="24"/>
      <w:lang w:eastAsia="en-US"/>
    </w:rPr>
  </w:style>
  <w:style w:type="paragraph" w:styleId="BodyTextIndent2">
    <w:name w:val="Body Text Indent 2"/>
    <w:basedOn w:val="Normal"/>
    <w:link w:val="BodyTextIndent2Char"/>
    <w:uiPriority w:val="99"/>
    <w:semiHidden/>
    <w:unhideWhenUsed/>
    <w:rsid w:val="00766EA5"/>
    <w:pPr>
      <w:spacing w:after="120" w:line="480" w:lineRule="auto"/>
      <w:ind w:left="283"/>
    </w:pPr>
  </w:style>
  <w:style w:type="character" w:customStyle="1" w:styleId="BodyTextIndent2Char">
    <w:name w:val="Body Text Indent 2 Char"/>
    <w:basedOn w:val="DefaultParagraphFont"/>
    <w:link w:val="BodyTextIndent2"/>
    <w:uiPriority w:val="99"/>
    <w:semiHidden/>
    <w:rsid w:val="00766EA5"/>
    <w:rPr>
      <w:rFonts w:ascii="Times New Roman Mäori" w:hAnsi="Times New Roman Mäori"/>
      <w:sz w:val="24"/>
      <w:szCs w:val="24"/>
      <w:lang w:eastAsia="en-US"/>
    </w:rPr>
  </w:style>
  <w:style w:type="paragraph" w:styleId="List">
    <w:name w:val="List"/>
    <w:basedOn w:val="Normal"/>
    <w:rsid w:val="00766EA5"/>
    <w:pPr>
      <w:numPr>
        <w:numId w:val="9"/>
      </w:numPr>
      <w:spacing w:before="40" w:after="40"/>
      <w:jc w:val="left"/>
    </w:pPr>
    <w:rPr>
      <w:sz w:val="22"/>
      <w:szCs w:val="20"/>
      <w:lang w:val="en-US" w:eastAsia="en-GB"/>
    </w:rPr>
  </w:style>
  <w:style w:type="character" w:customStyle="1" w:styleId="FootnoteTextChar">
    <w:name w:val="Footnote Text Char"/>
    <w:basedOn w:val="DefaultParagraphFont"/>
    <w:link w:val="FootnoteText"/>
    <w:semiHidden/>
    <w:rsid w:val="00766EA5"/>
    <w:rPr>
      <w:rFonts w:ascii="Times New Roman Mäori" w:hAnsi="Times New Roman Mäori"/>
      <w:lang w:eastAsia="en-US"/>
    </w:rPr>
  </w:style>
  <w:style w:type="character" w:styleId="FollowedHyperlink">
    <w:name w:val="FollowedHyperlink"/>
    <w:basedOn w:val="DefaultParagraphFont"/>
    <w:uiPriority w:val="99"/>
    <w:semiHidden/>
    <w:unhideWhenUsed/>
    <w:rsid w:val="0098125B"/>
    <w:rPr>
      <w:color w:val="800080" w:themeColor="followedHyperlink"/>
      <w:u w:val="single"/>
    </w:rPr>
  </w:style>
  <w:style w:type="character" w:customStyle="1" w:styleId="CommentTextChar">
    <w:name w:val="Comment Text Char"/>
    <w:basedOn w:val="DefaultParagraphFont"/>
    <w:link w:val="CommentText"/>
    <w:semiHidden/>
    <w:rsid w:val="00070C06"/>
    <w:rPr>
      <w:rFonts w:ascii="Times New Roman Mäori" w:hAnsi="Times New Roman Mäori"/>
      <w:lang w:eastAsia="en-US"/>
    </w:rPr>
  </w:style>
  <w:style w:type="character" w:customStyle="1" w:styleId="FooterChar">
    <w:name w:val="Footer Char"/>
    <w:basedOn w:val="DefaultParagraphFont"/>
    <w:link w:val="Footer"/>
    <w:uiPriority w:val="99"/>
    <w:rsid w:val="00070C06"/>
    <w:rPr>
      <w:rFonts w:ascii="Times New Roman Mäori" w:hAnsi="Times New Roman Mäori"/>
      <w:sz w:val="24"/>
      <w:szCs w:val="24"/>
      <w:lang w:eastAsia="en-US"/>
    </w:rPr>
  </w:style>
  <w:style w:type="table" w:customStyle="1" w:styleId="TableGrid1">
    <w:name w:val="Table Grid1"/>
    <w:basedOn w:val="TableNormal"/>
    <w:next w:val="TableGrid"/>
    <w:uiPriority w:val="59"/>
    <w:rsid w:val="00263A4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4B2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F4105"/>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13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6C"/>
    <w:pPr>
      <w:spacing w:before="120"/>
      <w:jc w:val="both"/>
    </w:pPr>
    <w:rPr>
      <w:rFonts w:ascii="Arial" w:hAnsi="Arial"/>
      <w:sz w:val="24"/>
      <w:szCs w:val="24"/>
      <w:lang w:eastAsia="en-US"/>
    </w:rPr>
  </w:style>
  <w:style w:type="paragraph" w:styleId="Heading1">
    <w:name w:val="heading 1"/>
    <w:basedOn w:val="Normal"/>
    <w:next w:val="Normal"/>
    <w:link w:val="Heading1Char"/>
    <w:autoRedefine/>
    <w:qFormat/>
    <w:rsid w:val="00262268"/>
    <w:pPr>
      <w:keepNext/>
      <w:spacing w:before="240" w:after="120"/>
      <w:jc w:val="left"/>
      <w:outlineLvl w:val="0"/>
    </w:pPr>
    <w:rPr>
      <w:rFonts w:cs="Arial"/>
      <w:b/>
      <w:bCs/>
    </w:rPr>
  </w:style>
  <w:style w:type="paragraph" w:styleId="Heading2">
    <w:name w:val="heading 2"/>
    <w:basedOn w:val="Normal"/>
    <w:next w:val="Normal"/>
    <w:qFormat/>
    <w:rsid w:val="00262268"/>
    <w:pPr>
      <w:keepNext/>
      <w:outlineLvl w:val="1"/>
    </w:pPr>
    <w:rPr>
      <w:rFonts w:cs="Tahoma"/>
      <w:b/>
      <w:bCs/>
      <w:szCs w:val="20"/>
    </w:rPr>
  </w:style>
  <w:style w:type="paragraph" w:styleId="Heading3">
    <w:name w:val="heading 3"/>
    <w:basedOn w:val="Normal"/>
    <w:next w:val="Normal"/>
    <w:qFormat/>
    <w:rsid w:val="009D539D"/>
    <w:pPr>
      <w:keepNext/>
      <w:spacing w:before="240" w:after="60"/>
      <w:outlineLvl w:val="2"/>
    </w:pPr>
    <w:rPr>
      <w:rFonts w:cs="Arial"/>
      <w:b/>
      <w:bCs/>
      <w:sz w:val="26"/>
      <w:szCs w:val="26"/>
    </w:rPr>
  </w:style>
  <w:style w:type="paragraph" w:styleId="Heading4">
    <w:name w:val="heading 4"/>
    <w:basedOn w:val="Normal"/>
    <w:next w:val="Normal"/>
    <w:qFormat/>
    <w:rsid w:val="009D53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D53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D539D"/>
    <w:rPr>
      <w:rFonts w:ascii="Tahoma" w:hAnsi="Tahoma" w:cs="Tahoma"/>
      <w:sz w:val="20"/>
      <w:szCs w:val="20"/>
    </w:rPr>
  </w:style>
  <w:style w:type="paragraph" w:styleId="Footer">
    <w:name w:val="footer"/>
    <w:basedOn w:val="Normal"/>
    <w:link w:val="FooterChar"/>
    <w:uiPriority w:val="99"/>
    <w:rsid w:val="009D539D"/>
    <w:pPr>
      <w:tabs>
        <w:tab w:val="center" w:pos="4153"/>
        <w:tab w:val="right" w:pos="8306"/>
      </w:tabs>
    </w:pPr>
  </w:style>
  <w:style w:type="character" w:styleId="PageNumber">
    <w:name w:val="page number"/>
    <w:basedOn w:val="DefaultParagraphFont"/>
    <w:rsid w:val="009D539D"/>
  </w:style>
  <w:style w:type="paragraph" w:styleId="Header">
    <w:name w:val="header"/>
    <w:basedOn w:val="Normal"/>
    <w:rsid w:val="009D539D"/>
    <w:pPr>
      <w:tabs>
        <w:tab w:val="center" w:pos="4153"/>
        <w:tab w:val="right" w:pos="8306"/>
      </w:tabs>
    </w:pPr>
  </w:style>
  <w:style w:type="paragraph" w:styleId="ListBullet">
    <w:name w:val="List Bullet"/>
    <w:basedOn w:val="Normal"/>
    <w:autoRedefine/>
    <w:rsid w:val="009D539D"/>
    <w:pPr>
      <w:jc w:val="left"/>
    </w:pPr>
    <w:rPr>
      <w:rFonts w:cs="Arial"/>
      <w:lang w:val="en-AU"/>
    </w:rPr>
  </w:style>
  <w:style w:type="paragraph" w:customStyle="1" w:styleId="BulletPoints">
    <w:name w:val="Bullet Points"/>
    <w:basedOn w:val="Normal"/>
    <w:rsid w:val="009D539D"/>
    <w:pPr>
      <w:ind w:left="720" w:hanging="720"/>
    </w:pPr>
    <w:rPr>
      <w:rFonts w:ascii="Times New Roman" w:hAnsi="Times New Roman"/>
      <w:szCs w:val="20"/>
      <w:lang w:val="en-AU"/>
    </w:rPr>
  </w:style>
  <w:style w:type="paragraph" w:styleId="BodyTextIndent">
    <w:name w:val="Body Text Indent"/>
    <w:basedOn w:val="Normal"/>
    <w:rsid w:val="009D539D"/>
    <w:pPr>
      <w:ind w:left="720"/>
      <w:jc w:val="left"/>
    </w:pPr>
    <w:rPr>
      <w:rFonts w:ascii="Arial Mäori" w:hAnsi="Arial Mäori"/>
    </w:rPr>
  </w:style>
  <w:style w:type="paragraph" w:styleId="BodyText">
    <w:name w:val="Body Text"/>
    <w:basedOn w:val="Normal"/>
    <w:rsid w:val="009D539D"/>
    <w:pPr>
      <w:spacing w:after="120"/>
    </w:pPr>
  </w:style>
  <w:style w:type="paragraph" w:customStyle="1" w:styleId="CharCharCharCharChar">
    <w:name w:val="Char Char Char Char Char"/>
    <w:basedOn w:val="Normal"/>
    <w:rsid w:val="009D539D"/>
    <w:pPr>
      <w:spacing w:after="160" w:line="240" w:lineRule="exact"/>
      <w:jc w:val="left"/>
    </w:pPr>
    <w:rPr>
      <w:sz w:val="20"/>
      <w:szCs w:val="20"/>
      <w:lang w:val="en-US"/>
    </w:rPr>
  </w:style>
  <w:style w:type="paragraph" w:styleId="BodyTextIndent3">
    <w:name w:val="Body Text Indent 3"/>
    <w:basedOn w:val="Normal"/>
    <w:rsid w:val="009D539D"/>
    <w:pPr>
      <w:spacing w:after="120"/>
      <w:ind w:left="283"/>
      <w:jc w:val="left"/>
    </w:pPr>
    <w:rPr>
      <w:rFonts w:ascii="Arial Mäori" w:hAnsi="Arial Mäori"/>
      <w:sz w:val="16"/>
      <w:szCs w:val="16"/>
    </w:rPr>
  </w:style>
  <w:style w:type="paragraph" w:styleId="FootnoteText">
    <w:name w:val="footnote text"/>
    <w:basedOn w:val="Normal"/>
    <w:link w:val="FootnoteTextChar"/>
    <w:semiHidden/>
    <w:rsid w:val="009D539D"/>
    <w:rPr>
      <w:sz w:val="20"/>
      <w:szCs w:val="20"/>
    </w:rPr>
  </w:style>
  <w:style w:type="character" w:styleId="FootnoteReference">
    <w:name w:val="footnote reference"/>
    <w:semiHidden/>
    <w:rsid w:val="009D539D"/>
    <w:rPr>
      <w:vertAlign w:val="superscript"/>
    </w:rPr>
  </w:style>
  <w:style w:type="paragraph" w:styleId="BalloonText">
    <w:name w:val="Balloon Text"/>
    <w:basedOn w:val="Normal"/>
    <w:semiHidden/>
    <w:rsid w:val="009D539D"/>
    <w:rPr>
      <w:rFonts w:ascii="Tahoma" w:hAnsi="Tahoma" w:cs="Tahoma"/>
      <w:sz w:val="16"/>
      <w:szCs w:val="16"/>
    </w:rPr>
  </w:style>
  <w:style w:type="paragraph" w:customStyle="1" w:styleId="CharChar">
    <w:name w:val="Char Char"/>
    <w:basedOn w:val="Normal"/>
    <w:rsid w:val="009D539D"/>
    <w:pPr>
      <w:spacing w:after="160" w:line="240" w:lineRule="exact"/>
      <w:jc w:val="left"/>
    </w:pPr>
    <w:rPr>
      <w:sz w:val="20"/>
      <w:szCs w:val="20"/>
      <w:lang w:val="en-US"/>
    </w:rPr>
  </w:style>
  <w:style w:type="character" w:styleId="Hyperlink">
    <w:name w:val="Hyperlink"/>
    <w:rsid w:val="009D539D"/>
    <w:rPr>
      <w:color w:val="000066"/>
      <w:u w:val="single"/>
    </w:rPr>
  </w:style>
  <w:style w:type="paragraph" w:customStyle="1" w:styleId="Char1CharChar">
    <w:name w:val="Char1 Char Char"/>
    <w:basedOn w:val="Normal"/>
    <w:rsid w:val="009D539D"/>
    <w:pPr>
      <w:spacing w:after="160" w:line="240" w:lineRule="exact"/>
      <w:jc w:val="left"/>
    </w:pPr>
    <w:rPr>
      <w:sz w:val="20"/>
      <w:szCs w:val="20"/>
      <w:lang w:val="en-US"/>
    </w:rPr>
  </w:style>
  <w:style w:type="character" w:styleId="CommentReference">
    <w:name w:val="annotation reference"/>
    <w:uiPriority w:val="99"/>
    <w:semiHidden/>
    <w:rsid w:val="009D539D"/>
    <w:rPr>
      <w:sz w:val="16"/>
      <w:szCs w:val="16"/>
    </w:rPr>
  </w:style>
  <w:style w:type="paragraph" w:styleId="CommentText">
    <w:name w:val="annotation text"/>
    <w:basedOn w:val="Normal"/>
    <w:link w:val="CommentTextChar"/>
    <w:semiHidden/>
    <w:rsid w:val="009D539D"/>
    <w:rPr>
      <w:sz w:val="20"/>
      <w:szCs w:val="20"/>
    </w:rPr>
  </w:style>
  <w:style w:type="paragraph" w:styleId="CommentSubject">
    <w:name w:val="annotation subject"/>
    <w:basedOn w:val="CommentText"/>
    <w:next w:val="CommentText"/>
    <w:semiHidden/>
    <w:rsid w:val="009D539D"/>
    <w:rPr>
      <w:b/>
      <w:bCs/>
    </w:rPr>
  </w:style>
  <w:style w:type="paragraph" w:customStyle="1" w:styleId="CharChar1">
    <w:name w:val="Char Char1"/>
    <w:basedOn w:val="Normal"/>
    <w:rsid w:val="001638CD"/>
    <w:pPr>
      <w:spacing w:after="160" w:line="240" w:lineRule="exact"/>
      <w:jc w:val="left"/>
    </w:pPr>
    <w:rPr>
      <w:sz w:val="20"/>
      <w:szCs w:val="20"/>
      <w:lang w:val="en-US"/>
    </w:rPr>
  </w:style>
  <w:style w:type="table" w:styleId="TableGrid">
    <w:name w:val="Table Grid"/>
    <w:basedOn w:val="TableNormal"/>
    <w:uiPriority w:val="59"/>
    <w:rsid w:val="00BD47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7120B"/>
    <w:pPr>
      <w:spacing w:after="120" w:line="480" w:lineRule="auto"/>
    </w:pPr>
  </w:style>
  <w:style w:type="paragraph" w:customStyle="1" w:styleId="TableText">
    <w:name w:val="TableText"/>
    <w:basedOn w:val="Normal"/>
    <w:rsid w:val="00025675"/>
    <w:pPr>
      <w:spacing w:before="80" w:after="80" w:line="264" w:lineRule="auto"/>
      <w:jc w:val="left"/>
    </w:pPr>
    <w:rPr>
      <w:rFonts w:ascii="Georgia" w:hAnsi="Georgia"/>
      <w:sz w:val="20"/>
      <w:szCs w:val="20"/>
      <w:lang w:eastAsia="en-GB"/>
    </w:rPr>
  </w:style>
  <w:style w:type="paragraph" w:customStyle="1" w:styleId="Bullet">
    <w:name w:val="Bullet"/>
    <w:basedOn w:val="Normal"/>
    <w:rsid w:val="00A121B1"/>
    <w:pPr>
      <w:numPr>
        <w:numId w:val="4"/>
      </w:numPr>
      <w:spacing w:line="264" w:lineRule="auto"/>
      <w:jc w:val="left"/>
    </w:pPr>
    <w:rPr>
      <w:rFonts w:ascii="Georgia" w:hAnsi="Georgia"/>
      <w:sz w:val="22"/>
      <w:szCs w:val="20"/>
      <w:lang w:eastAsia="en-GB"/>
    </w:rPr>
  </w:style>
  <w:style w:type="paragraph" w:styleId="ListParagraph">
    <w:name w:val="List Paragraph"/>
    <w:basedOn w:val="ListBullet"/>
    <w:uiPriority w:val="34"/>
    <w:qFormat/>
    <w:rsid w:val="00A463E3"/>
    <w:pPr>
      <w:spacing w:before="0"/>
      <w:ind w:left="720"/>
    </w:pPr>
  </w:style>
  <w:style w:type="character" w:customStyle="1" w:styleId="Heading1Char">
    <w:name w:val="Heading 1 Char"/>
    <w:link w:val="Heading1"/>
    <w:rsid w:val="00262268"/>
    <w:rPr>
      <w:rFonts w:ascii="Arial" w:hAnsi="Arial" w:cs="Arial"/>
      <w:b/>
      <w:bCs/>
      <w:sz w:val="24"/>
      <w:szCs w:val="24"/>
      <w:lang w:eastAsia="en-US"/>
    </w:rPr>
  </w:style>
  <w:style w:type="paragraph" w:customStyle="1" w:styleId="TableBullet">
    <w:name w:val="TableBullet"/>
    <w:basedOn w:val="TableText"/>
    <w:rsid w:val="007D0FFE"/>
    <w:pPr>
      <w:numPr>
        <w:numId w:val="5"/>
      </w:numPr>
      <w:spacing w:before="0"/>
    </w:pPr>
  </w:style>
  <w:style w:type="paragraph" w:styleId="Revision">
    <w:name w:val="Revision"/>
    <w:hidden/>
    <w:uiPriority w:val="99"/>
    <w:semiHidden/>
    <w:rsid w:val="00785A5D"/>
    <w:rPr>
      <w:rFonts w:ascii="Times New Roman Mäori" w:hAnsi="Times New Roman Mäori"/>
      <w:sz w:val="24"/>
      <w:szCs w:val="24"/>
      <w:lang w:eastAsia="en-US"/>
    </w:rPr>
  </w:style>
  <w:style w:type="paragraph" w:styleId="BodyTextIndent2">
    <w:name w:val="Body Text Indent 2"/>
    <w:basedOn w:val="Normal"/>
    <w:link w:val="BodyTextIndent2Char"/>
    <w:uiPriority w:val="99"/>
    <w:semiHidden/>
    <w:unhideWhenUsed/>
    <w:rsid w:val="00766EA5"/>
    <w:pPr>
      <w:spacing w:after="120" w:line="480" w:lineRule="auto"/>
      <w:ind w:left="283"/>
    </w:pPr>
  </w:style>
  <w:style w:type="character" w:customStyle="1" w:styleId="BodyTextIndent2Char">
    <w:name w:val="Body Text Indent 2 Char"/>
    <w:basedOn w:val="DefaultParagraphFont"/>
    <w:link w:val="BodyTextIndent2"/>
    <w:uiPriority w:val="99"/>
    <w:semiHidden/>
    <w:rsid w:val="00766EA5"/>
    <w:rPr>
      <w:rFonts w:ascii="Times New Roman Mäori" w:hAnsi="Times New Roman Mäori"/>
      <w:sz w:val="24"/>
      <w:szCs w:val="24"/>
      <w:lang w:eastAsia="en-US"/>
    </w:rPr>
  </w:style>
  <w:style w:type="paragraph" w:styleId="List">
    <w:name w:val="List"/>
    <w:basedOn w:val="Normal"/>
    <w:rsid w:val="00766EA5"/>
    <w:pPr>
      <w:numPr>
        <w:numId w:val="9"/>
      </w:numPr>
      <w:spacing w:before="40" w:after="40"/>
      <w:jc w:val="left"/>
    </w:pPr>
    <w:rPr>
      <w:sz w:val="22"/>
      <w:szCs w:val="20"/>
      <w:lang w:val="en-US" w:eastAsia="en-GB"/>
    </w:rPr>
  </w:style>
  <w:style w:type="character" w:customStyle="1" w:styleId="FootnoteTextChar">
    <w:name w:val="Footnote Text Char"/>
    <w:basedOn w:val="DefaultParagraphFont"/>
    <w:link w:val="FootnoteText"/>
    <w:semiHidden/>
    <w:rsid w:val="00766EA5"/>
    <w:rPr>
      <w:rFonts w:ascii="Times New Roman Mäori" w:hAnsi="Times New Roman Mäori"/>
      <w:lang w:eastAsia="en-US"/>
    </w:rPr>
  </w:style>
  <w:style w:type="character" w:styleId="FollowedHyperlink">
    <w:name w:val="FollowedHyperlink"/>
    <w:basedOn w:val="DefaultParagraphFont"/>
    <w:uiPriority w:val="99"/>
    <w:semiHidden/>
    <w:unhideWhenUsed/>
    <w:rsid w:val="0098125B"/>
    <w:rPr>
      <w:color w:val="800080" w:themeColor="followedHyperlink"/>
      <w:u w:val="single"/>
    </w:rPr>
  </w:style>
  <w:style w:type="character" w:customStyle="1" w:styleId="CommentTextChar">
    <w:name w:val="Comment Text Char"/>
    <w:basedOn w:val="DefaultParagraphFont"/>
    <w:link w:val="CommentText"/>
    <w:semiHidden/>
    <w:rsid w:val="00070C06"/>
    <w:rPr>
      <w:rFonts w:ascii="Times New Roman Mäori" w:hAnsi="Times New Roman Mäori"/>
      <w:lang w:eastAsia="en-US"/>
    </w:rPr>
  </w:style>
  <w:style w:type="character" w:customStyle="1" w:styleId="FooterChar">
    <w:name w:val="Footer Char"/>
    <w:basedOn w:val="DefaultParagraphFont"/>
    <w:link w:val="Footer"/>
    <w:uiPriority w:val="99"/>
    <w:rsid w:val="00070C06"/>
    <w:rPr>
      <w:rFonts w:ascii="Times New Roman Mäori" w:hAnsi="Times New Roman Mäori"/>
      <w:sz w:val="24"/>
      <w:szCs w:val="24"/>
      <w:lang w:eastAsia="en-US"/>
    </w:rPr>
  </w:style>
  <w:style w:type="table" w:customStyle="1" w:styleId="TableGrid1">
    <w:name w:val="Table Grid1"/>
    <w:basedOn w:val="TableNormal"/>
    <w:next w:val="TableGrid"/>
    <w:uiPriority w:val="59"/>
    <w:rsid w:val="00263A4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4B2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F4105"/>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1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698">
      <w:bodyDiv w:val="1"/>
      <w:marLeft w:val="0"/>
      <w:marRight w:val="0"/>
      <w:marTop w:val="0"/>
      <w:marBottom w:val="0"/>
      <w:divBdr>
        <w:top w:val="none" w:sz="0" w:space="0" w:color="auto"/>
        <w:left w:val="none" w:sz="0" w:space="0" w:color="auto"/>
        <w:bottom w:val="none" w:sz="0" w:space="0" w:color="auto"/>
        <w:right w:val="none" w:sz="0" w:space="0" w:color="auto"/>
      </w:divBdr>
    </w:div>
    <w:div w:id="84690084">
      <w:bodyDiv w:val="1"/>
      <w:marLeft w:val="0"/>
      <w:marRight w:val="0"/>
      <w:marTop w:val="0"/>
      <w:marBottom w:val="0"/>
      <w:divBdr>
        <w:top w:val="none" w:sz="0" w:space="0" w:color="auto"/>
        <w:left w:val="none" w:sz="0" w:space="0" w:color="auto"/>
        <w:bottom w:val="none" w:sz="0" w:space="0" w:color="auto"/>
        <w:right w:val="none" w:sz="0" w:space="0" w:color="auto"/>
      </w:divBdr>
    </w:div>
    <w:div w:id="152573397">
      <w:bodyDiv w:val="1"/>
      <w:marLeft w:val="0"/>
      <w:marRight w:val="0"/>
      <w:marTop w:val="0"/>
      <w:marBottom w:val="0"/>
      <w:divBdr>
        <w:top w:val="none" w:sz="0" w:space="0" w:color="auto"/>
        <w:left w:val="none" w:sz="0" w:space="0" w:color="auto"/>
        <w:bottom w:val="none" w:sz="0" w:space="0" w:color="auto"/>
        <w:right w:val="none" w:sz="0" w:space="0" w:color="auto"/>
      </w:divBdr>
    </w:div>
    <w:div w:id="164056607">
      <w:bodyDiv w:val="1"/>
      <w:marLeft w:val="0"/>
      <w:marRight w:val="0"/>
      <w:marTop w:val="0"/>
      <w:marBottom w:val="0"/>
      <w:divBdr>
        <w:top w:val="none" w:sz="0" w:space="0" w:color="auto"/>
        <w:left w:val="none" w:sz="0" w:space="0" w:color="auto"/>
        <w:bottom w:val="none" w:sz="0" w:space="0" w:color="auto"/>
        <w:right w:val="none" w:sz="0" w:space="0" w:color="auto"/>
      </w:divBdr>
    </w:div>
    <w:div w:id="193545456">
      <w:bodyDiv w:val="1"/>
      <w:marLeft w:val="0"/>
      <w:marRight w:val="0"/>
      <w:marTop w:val="0"/>
      <w:marBottom w:val="0"/>
      <w:divBdr>
        <w:top w:val="none" w:sz="0" w:space="0" w:color="auto"/>
        <w:left w:val="none" w:sz="0" w:space="0" w:color="auto"/>
        <w:bottom w:val="none" w:sz="0" w:space="0" w:color="auto"/>
        <w:right w:val="none" w:sz="0" w:space="0" w:color="auto"/>
      </w:divBdr>
    </w:div>
    <w:div w:id="195197217">
      <w:bodyDiv w:val="1"/>
      <w:marLeft w:val="0"/>
      <w:marRight w:val="0"/>
      <w:marTop w:val="0"/>
      <w:marBottom w:val="0"/>
      <w:divBdr>
        <w:top w:val="none" w:sz="0" w:space="0" w:color="auto"/>
        <w:left w:val="none" w:sz="0" w:space="0" w:color="auto"/>
        <w:bottom w:val="none" w:sz="0" w:space="0" w:color="auto"/>
        <w:right w:val="none" w:sz="0" w:space="0" w:color="auto"/>
      </w:divBdr>
    </w:div>
    <w:div w:id="239680493">
      <w:bodyDiv w:val="1"/>
      <w:marLeft w:val="0"/>
      <w:marRight w:val="0"/>
      <w:marTop w:val="0"/>
      <w:marBottom w:val="0"/>
      <w:divBdr>
        <w:top w:val="none" w:sz="0" w:space="0" w:color="auto"/>
        <w:left w:val="none" w:sz="0" w:space="0" w:color="auto"/>
        <w:bottom w:val="none" w:sz="0" w:space="0" w:color="auto"/>
        <w:right w:val="none" w:sz="0" w:space="0" w:color="auto"/>
      </w:divBdr>
    </w:div>
    <w:div w:id="242572216">
      <w:bodyDiv w:val="1"/>
      <w:marLeft w:val="0"/>
      <w:marRight w:val="0"/>
      <w:marTop w:val="0"/>
      <w:marBottom w:val="0"/>
      <w:divBdr>
        <w:top w:val="none" w:sz="0" w:space="0" w:color="auto"/>
        <w:left w:val="none" w:sz="0" w:space="0" w:color="auto"/>
        <w:bottom w:val="none" w:sz="0" w:space="0" w:color="auto"/>
        <w:right w:val="none" w:sz="0" w:space="0" w:color="auto"/>
      </w:divBdr>
    </w:div>
    <w:div w:id="262038846">
      <w:bodyDiv w:val="1"/>
      <w:marLeft w:val="0"/>
      <w:marRight w:val="0"/>
      <w:marTop w:val="0"/>
      <w:marBottom w:val="0"/>
      <w:divBdr>
        <w:top w:val="none" w:sz="0" w:space="0" w:color="auto"/>
        <w:left w:val="none" w:sz="0" w:space="0" w:color="auto"/>
        <w:bottom w:val="none" w:sz="0" w:space="0" w:color="auto"/>
        <w:right w:val="none" w:sz="0" w:space="0" w:color="auto"/>
      </w:divBdr>
    </w:div>
    <w:div w:id="288897559">
      <w:bodyDiv w:val="1"/>
      <w:marLeft w:val="0"/>
      <w:marRight w:val="0"/>
      <w:marTop w:val="0"/>
      <w:marBottom w:val="0"/>
      <w:divBdr>
        <w:top w:val="none" w:sz="0" w:space="0" w:color="auto"/>
        <w:left w:val="none" w:sz="0" w:space="0" w:color="auto"/>
        <w:bottom w:val="none" w:sz="0" w:space="0" w:color="auto"/>
        <w:right w:val="none" w:sz="0" w:space="0" w:color="auto"/>
      </w:divBdr>
    </w:div>
    <w:div w:id="311249925">
      <w:bodyDiv w:val="1"/>
      <w:marLeft w:val="0"/>
      <w:marRight w:val="0"/>
      <w:marTop w:val="0"/>
      <w:marBottom w:val="0"/>
      <w:divBdr>
        <w:top w:val="none" w:sz="0" w:space="0" w:color="auto"/>
        <w:left w:val="none" w:sz="0" w:space="0" w:color="auto"/>
        <w:bottom w:val="none" w:sz="0" w:space="0" w:color="auto"/>
        <w:right w:val="none" w:sz="0" w:space="0" w:color="auto"/>
      </w:divBdr>
    </w:div>
    <w:div w:id="333412887">
      <w:bodyDiv w:val="1"/>
      <w:marLeft w:val="0"/>
      <w:marRight w:val="0"/>
      <w:marTop w:val="0"/>
      <w:marBottom w:val="0"/>
      <w:divBdr>
        <w:top w:val="none" w:sz="0" w:space="0" w:color="auto"/>
        <w:left w:val="none" w:sz="0" w:space="0" w:color="auto"/>
        <w:bottom w:val="none" w:sz="0" w:space="0" w:color="auto"/>
        <w:right w:val="none" w:sz="0" w:space="0" w:color="auto"/>
      </w:divBdr>
    </w:div>
    <w:div w:id="392118227">
      <w:bodyDiv w:val="1"/>
      <w:marLeft w:val="0"/>
      <w:marRight w:val="0"/>
      <w:marTop w:val="0"/>
      <w:marBottom w:val="0"/>
      <w:divBdr>
        <w:top w:val="none" w:sz="0" w:space="0" w:color="auto"/>
        <w:left w:val="none" w:sz="0" w:space="0" w:color="auto"/>
        <w:bottom w:val="none" w:sz="0" w:space="0" w:color="auto"/>
        <w:right w:val="none" w:sz="0" w:space="0" w:color="auto"/>
      </w:divBdr>
    </w:div>
    <w:div w:id="441848128">
      <w:bodyDiv w:val="1"/>
      <w:marLeft w:val="0"/>
      <w:marRight w:val="0"/>
      <w:marTop w:val="0"/>
      <w:marBottom w:val="0"/>
      <w:divBdr>
        <w:top w:val="none" w:sz="0" w:space="0" w:color="auto"/>
        <w:left w:val="none" w:sz="0" w:space="0" w:color="auto"/>
        <w:bottom w:val="none" w:sz="0" w:space="0" w:color="auto"/>
        <w:right w:val="none" w:sz="0" w:space="0" w:color="auto"/>
      </w:divBdr>
    </w:div>
    <w:div w:id="546920627">
      <w:bodyDiv w:val="1"/>
      <w:marLeft w:val="0"/>
      <w:marRight w:val="0"/>
      <w:marTop w:val="0"/>
      <w:marBottom w:val="0"/>
      <w:divBdr>
        <w:top w:val="none" w:sz="0" w:space="0" w:color="auto"/>
        <w:left w:val="none" w:sz="0" w:space="0" w:color="auto"/>
        <w:bottom w:val="none" w:sz="0" w:space="0" w:color="auto"/>
        <w:right w:val="none" w:sz="0" w:space="0" w:color="auto"/>
      </w:divBdr>
    </w:div>
    <w:div w:id="592973285">
      <w:bodyDiv w:val="1"/>
      <w:marLeft w:val="0"/>
      <w:marRight w:val="0"/>
      <w:marTop w:val="0"/>
      <w:marBottom w:val="0"/>
      <w:divBdr>
        <w:top w:val="none" w:sz="0" w:space="0" w:color="auto"/>
        <w:left w:val="none" w:sz="0" w:space="0" w:color="auto"/>
        <w:bottom w:val="none" w:sz="0" w:space="0" w:color="auto"/>
        <w:right w:val="none" w:sz="0" w:space="0" w:color="auto"/>
      </w:divBdr>
    </w:div>
    <w:div w:id="595989800">
      <w:bodyDiv w:val="1"/>
      <w:marLeft w:val="0"/>
      <w:marRight w:val="0"/>
      <w:marTop w:val="0"/>
      <w:marBottom w:val="0"/>
      <w:divBdr>
        <w:top w:val="none" w:sz="0" w:space="0" w:color="auto"/>
        <w:left w:val="none" w:sz="0" w:space="0" w:color="auto"/>
        <w:bottom w:val="none" w:sz="0" w:space="0" w:color="auto"/>
        <w:right w:val="none" w:sz="0" w:space="0" w:color="auto"/>
      </w:divBdr>
    </w:div>
    <w:div w:id="653609423">
      <w:bodyDiv w:val="1"/>
      <w:marLeft w:val="0"/>
      <w:marRight w:val="0"/>
      <w:marTop w:val="0"/>
      <w:marBottom w:val="0"/>
      <w:divBdr>
        <w:top w:val="none" w:sz="0" w:space="0" w:color="auto"/>
        <w:left w:val="none" w:sz="0" w:space="0" w:color="auto"/>
        <w:bottom w:val="none" w:sz="0" w:space="0" w:color="auto"/>
        <w:right w:val="none" w:sz="0" w:space="0" w:color="auto"/>
      </w:divBdr>
    </w:div>
    <w:div w:id="665859323">
      <w:bodyDiv w:val="1"/>
      <w:marLeft w:val="0"/>
      <w:marRight w:val="0"/>
      <w:marTop w:val="0"/>
      <w:marBottom w:val="0"/>
      <w:divBdr>
        <w:top w:val="none" w:sz="0" w:space="0" w:color="auto"/>
        <w:left w:val="none" w:sz="0" w:space="0" w:color="auto"/>
        <w:bottom w:val="none" w:sz="0" w:space="0" w:color="auto"/>
        <w:right w:val="none" w:sz="0" w:space="0" w:color="auto"/>
      </w:divBdr>
    </w:div>
    <w:div w:id="690031852">
      <w:bodyDiv w:val="1"/>
      <w:marLeft w:val="0"/>
      <w:marRight w:val="0"/>
      <w:marTop w:val="0"/>
      <w:marBottom w:val="0"/>
      <w:divBdr>
        <w:top w:val="none" w:sz="0" w:space="0" w:color="auto"/>
        <w:left w:val="none" w:sz="0" w:space="0" w:color="auto"/>
        <w:bottom w:val="none" w:sz="0" w:space="0" w:color="auto"/>
        <w:right w:val="none" w:sz="0" w:space="0" w:color="auto"/>
      </w:divBdr>
    </w:div>
    <w:div w:id="723676619">
      <w:bodyDiv w:val="1"/>
      <w:marLeft w:val="0"/>
      <w:marRight w:val="0"/>
      <w:marTop w:val="0"/>
      <w:marBottom w:val="0"/>
      <w:divBdr>
        <w:top w:val="none" w:sz="0" w:space="0" w:color="auto"/>
        <w:left w:val="none" w:sz="0" w:space="0" w:color="auto"/>
        <w:bottom w:val="none" w:sz="0" w:space="0" w:color="auto"/>
        <w:right w:val="none" w:sz="0" w:space="0" w:color="auto"/>
      </w:divBdr>
    </w:div>
    <w:div w:id="757406698">
      <w:bodyDiv w:val="1"/>
      <w:marLeft w:val="0"/>
      <w:marRight w:val="0"/>
      <w:marTop w:val="0"/>
      <w:marBottom w:val="0"/>
      <w:divBdr>
        <w:top w:val="none" w:sz="0" w:space="0" w:color="auto"/>
        <w:left w:val="none" w:sz="0" w:space="0" w:color="auto"/>
        <w:bottom w:val="none" w:sz="0" w:space="0" w:color="auto"/>
        <w:right w:val="none" w:sz="0" w:space="0" w:color="auto"/>
      </w:divBdr>
    </w:div>
    <w:div w:id="762383277">
      <w:bodyDiv w:val="1"/>
      <w:marLeft w:val="0"/>
      <w:marRight w:val="0"/>
      <w:marTop w:val="0"/>
      <w:marBottom w:val="0"/>
      <w:divBdr>
        <w:top w:val="none" w:sz="0" w:space="0" w:color="auto"/>
        <w:left w:val="none" w:sz="0" w:space="0" w:color="auto"/>
        <w:bottom w:val="none" w:sz="0" w:space="0" w:color="auto"/>
        <w:right w:val="none" w:sz="0" w:space="0" w:color="auto"/>
      </w:divBdr>
    </w:div>
    <w:div w:id="765152849">
      <w:bodyDiv w:val="1"/>
      <w:marLeft w:val="0"/>
      <w:marRight w:val="0"/>
      <w:marTop w:val="0"/>
      <w:marBottom w:val="0"/>
      <w:divBdr>
        <w:top w:val="none" w:sz="0" w:space="0" w:color="auto"/>
        <w:left w:val="none" w:sz="0" w:space="0" w:color="auto"/>
        <w:bottom w:val="none" w:sz="0" w:space="0" w:color="auto"/>
        <w:right w:val="none" w:sz="0" w:space="0" w:color="auto"/>
      </w:divBdr>
    </w:div>
    <w:div w:id="798258575">
      <w:bodyDiv w:val="1"/>
      <w:marLeft w:val="0"/>
      <w:marRight w:val="0"/>
      <w:marTop w:val="0"/>
      <w:marBottom w:val="0"/>
      <w:divBdr>
        <w:top w:val="none" w:sz="0" w:space="0" w:color="auto"/>
        <w:left w:val="none" w:sz="0" w:space="0" w:color="auto"/>
        <w:bottom w:val="none" w:sz="0" w:space="0" w:color="auto"/>
        <w:right w:val="none" w:sz="0" w:space="0" w:color="auto"/>
      </w:divBdr>
    </w:div>
    <w:div w:id="800921365">
      <w:bodyDiv w:val="1"/>
      <w:marLeft w:val="0"/>
      <w:marRight w:val="0"/>
      <w:marTop w:val="0"/>
      <w:marBottom w:val="0"/>
      <w:divBdr>
        <w:top w:val="none" w:sz="0" w:space="0" w:color="auto"/>
        <w:left w:val="none" w:sz="0" w:space="0" w:color="auto"/>
        <w:bottom w:val="none" w:sz="0" w:space="0" w:color="auto"/>
        <w:right w:val="none" w:sz="0" w:space="0" w:color="auto"/>
      </w:divBdr>
    </w:div>
    <w:div w:id="825241123">
      <w:bodyDiv w:val="1"/>
      <w:marLeft w:val="0"/>
      <w:marRight w:val="0"/>
      <w:marTop w:val="0"/>
      <w:marBottom w:val="0"/>
      <w:divBdr>
        <w:top w:val="none" w:sz="0" w:space="0" w:color="auto"/>
        <w:left w:val="none" w:sz="0" w:space="0" w:color="auto"/>
        <w:bottom w:val="none" w:sz="0" w:space="0" w:color="auto"/>
        <w:right w:val="none" w:sz="0" w:space="0" w:color="auto"/>
      </w:divBdr>
    </w:div>
    <w:div w:id="921138184">
      <w:bodyDiv w:val="1"/>
      <w:marLeft w:val="0"/>
      <w:marRight w:val="0"/>
      <w:marTop w:val="0"/>
      <w:marBottom w:val="0"/>
      <w:divBdr>
        <w:top w:val="none" w:sz="0" w:space="0" w:color="auto"/>
        <w:left w:val="none" w:sz="0" w:space="0" w:color="auto"/>
        <w:bottom w:val="none" w:sz="0" w:space="0" w:color="auto"/>
        <w:right w:val="none" w:sz="0" w:space="0" w:color="auto"/>
      </w:divBdr>
    </w:div>
    <w:div w:id="974944720">
      <w:bodyDiv w:val="1"/>
      <w:marLeft w:val="0"/>
      <w:marRight w:val="0"/>
      <w:marTop w:val="0"/>
      <w:marBottom w:val="0"/>
      <w:divBdr>
        <w:top w:val="none" w:sz="0" w:space="0" w:color="auto"/>
        <w:left w:val="none" w:sz="0" w:space="0" w:color="auto"/>
        <w:bottom w:val="none" w:sz="0" w:space="0" w:color="auto"/>
        <w:right w:val="none" w:sz="0" w:space="0" w:color="auto"/>
      </w:divBdr>
    </w:div>
    <w:div w:id="1000043376">
      <w:bodyDiv w:val="1"/>
      <w:marLeft w:val="0"/>
      <w:marRight w:val="0"/>
      <w:marTop w:val="0"/>
      <w:marBottom w:val="0"/>
      <w:divBdr>
        <w:top w:val="none" w:sz="0" w:space="0" w:color="auto"/>
        <w:left w:val="none" w:sz="0" w:space="0" w:color="auto"/>
        <w:bottom w:val="none" w:sz="0" w:space="0" w:color="auto"/>
        <w:right w:val="none" w:sz="0" w:space="0" w:color="auto"/>
      </w:divBdr>
    </w:div>
    <w:div w:id="1012957045">
      <w:bodyDiv w:val="1"/>
      <w:marLeft w:val="0"/>
      <w:marRight w:val="0"/>
      <w:marTop w:val="0"/>
      <w:marBottom w:val="0"/>
      <w:divBdr>
        <w:top w:val="none" w:sz="0" w:space="0" w:color="auto"/>
        <w:left w:val="none" w:sz="0" w:space="0" w:color="auto"/>
        <w:bottom w:val="none" w:sz="0" w:space="0" w:color="auto"/>
        <w:right w:val="none" w:sz="0" w:space="0" w:color="auto"/>
      </w:divBdr>
    </w:div>
    <w:div w:id="1031222516">
      <w:bodyDiv w:val="1"/>
      <w:marLeft w:val="0"/>
      <w:marRight w:val="0"/>
      <w:marTop w:val="0"/>
      <w:marBottom w:val="0"/>
      <w:divBdr>
        <w:top w:val="none" w:sz="0" w:space="0" w:color="auto"/>
        <w:left w:val="none" w:sz="0" w:space="0" w:color="auto"/>
        <w:bottom w:val="none" w:sz="0" w:space="0" w:color="auto"/>
        <w:right w:val="none" w:sz="0" w:space="0" w:color="auto"/>
      </w:divBdr>
    </w:div>
    <w:div w:id="1106734159">
      <w:bodyDiv w:val="1"/>
      <w:marLeft w:val="0"/>
      <w:marRight w:val="0"/>
      <w:marTop w:val="0"/>
      <w:marBottom w:val="0"/>
      <w:divBdr>
        <w:top w:val="none" w:sz="0" w:space="0" w:color="auto"/>
        <w:left w:val="none" w:sz="0" w:space="0" w:color="auto"/>
        <w:bottom w:val="none" w:sz="0" w:space="0" w:color="auto"/>
        <w:right w:val="none" w:sz="0" w:space="0" w:color="auto"/>
      </w:divBdr>
    </w:div>
    <w:div w:id="1119178428">
      <w:bodyDiv w:val="1"/>
      <w:marLeft w:val="0"/>
      <w:marRight w:val="0"/>
      <w:marTop w:val="0"/>
      <w:marBottom w:val="0"/>
      <w:divBdr>
        <w:top w:val="none" w:sz="0" w:space="0" w:color="auto"/>
        <w:left w:val="none" w:sz="0" w:space="0" w:color="auto"/>
        <w:bottom w:val="none" w:sz="0" w:space="0" w:color="auto"/>
        <w:right w:val="none" w:sz="0" w:space="0" w:color="auto"/>
      </w:divBdr>
    </w:div>
    <w:div w:id="1131704235">
      <w:bodyDiv w:val="1"/>
      <w:marLeft w:val="0"/>
      <w:marRight w:val="0"/>
      <w:marTop w:val="0"/>
      <w:marBottom w:val="0"/>
      <w:divBdr>
        <w:top w:val="none" w:sz="0" w:space="0" w:color="auto"/>
        <w:left w:val="none" w:sz="0" w:space="0" w:color="auto"/>
        <w:bottom w:val="none" w:sz="0" w:space="0" w:color="auto"/>
        <w:right w:val="none" w:sz="0" w:space="0" w:color="auto"/>
      </w:divBdr>
    </w:div>
    <w:div w:id="1156916960">
      <w:bodyDiv w:val="1"/>
      <w:marLeft w:val="0"/>
      <w:marRight w:val="0"/>
      <w:marTop w:val="0"/>
      <w:marBottom w:val="0"/>
      <w:divBdr>
        <w:top w:val="none" w:sz="0" w:space="0" w:color="auto"/>
        <w:left w:val="none" w:sz="0" w:space="0" w:color="auto"/>
        <w:bottom w:val="none" w:sz="0" w:space="0" w:color="auto"/>
        <w:right w:val="none" w:sz="0" w:space="0" w:color="auto"/>
      </w:divBdr>
    </w:div>
    <w:div w:id="1163156081">
      <w:bodyDiv w:val="1"/>
      <w:marLeft w:val="0"/>
      <w:marRight w:val="0"/>
      <w:marTop w:val="0"/>
      <w:marBottom w:val="0"/>
      <w:divBdr>
        <w:top w:val="none" w:sz="0" w:space="0" w:color="auto"/>
        <w:left w:val="none" w:sz="0" w:space="0" w:color="auto"/>
        <w:bottom w:val="none" w:sz="0" w:space="0" w:color="auto"/>
        <w:right w:val="none" w:sz="0" w:space="0" w:color="auto"/>
      </w:divBdr>
    </w:div>
    <w:div w:id="1186215831">
      <w:bodyDiv w:val="1"/>
      <w:marLeft w:val="0"/>
      <w:marRight w:val="0"/>
      <w:marTop w:val="0"/>
      <w:marBottom w:val="0"/>
      <w:divBdr>
        <w:top w:val="none" w:sz="0" w:space="0" w:color="auto"/>
        <w:left w:val="none" w:sz="0" w:space="0" w:color="auto"/>
        <w:bottom w:val="none" w:sz="0" w:space="0" w:color="auto"/>
        <w:right w:val="none" w:sz="0" w:space="0" w:color="auto"/>
      </w:divBdr>
    </w:div>
    <w:div w:id="1263302695">
      <w:bodyDiv w:val="1"/>
      <w:marLeft w:val="0"/>
      <w:marRight w:val="0"/>
      <w:marTop w:val="0"/>
      <w:marBottom w:val="0"/>
      <w:divBdr>
        <w:top w:val="none" w:sz="0" w:space="0" w:color="auto"/>
        <w:left w:val="none" w:sz="0" w:space="0" w:color="auto"/>
        <w:bottom w:val="none" w:sz="0" w:space="0" w:color="auto"/>
        <w:right w:val="none" w:sz="0" w:space="0" w:color="auto"/>
      </w:divBdr>
    </w:div>
    <w:div w:id="1286041960">
      <w:bodyDiv w:val="1"/>
      <w:marLeft w:val="0"/>
      <w:marRight w:val="0"/>
      <w:marTop w:val="0"/>
      <w:marBottom w:val="0"/>
      <w:divBdr>
        <w:top w:val="none" w:sz="0" w:space="0" w:color="auto"/>
        <w:left w:val="none" w:sz="0" w:space="0" w:color="auto"/>
        <w:bottom w:val="none" w:sz="0" w:space="0" w:color="auto"/>
        <w:right w:val="none" w:sz="0" w:space="0" w:color="auto"/>
      </w:divBdr>
    </w:div>
    <w:div w:id="1303073316">
      <w:bodyDiv w:val="1"/>
      <w:marLeft w:val="0"/>
      <w:marRight w:val="0"/>
      <w:marTop w:val="0"/>
      <w:marBottom w:val="0"/>
      <w:divBdr>
        <w:top w:val="none" w:sz="0" w:space="0" w:color="auto"/>
        <w:left w:val="none" w:sz="0" w:space="0" w:color="auto"/>
        <w:bottom w:val="none" w:sz="0" w:space="0" w:color="auto"/>
        <w:right w:val="none" w:sz="0" w:space="0" w:color="auto"/>
      </w:divBdr>
    </w:div>
    <w:div w:id="1314219202">
      <w:bodyDiv w:val="1"/>
      <w:marLeft w:val="0"/>
      <w:marRight w:val="0"/>
      <w:marTop w:val="0"/>
      <w:marBottom w:val="0"/>
      <w:divBdr>
        <w:top w:val="none" w:sz="0" w:space="0" w:color="auto"/>
        <w:left w:val="none" w:sz="0" w:space="0" w:color="auto"/>
        <w:bottom w:val="none" w:sz="0" w:space="0" w:color="auto"/>
        <w:right w:val="none" w:sz="0" w:space="0" w:color="auto"/>
      </w:divBdr>
    </w:div>
    <w:div w:id="1345472439">
      <w:bodyDiv w:val="1"/>
      <w:marLeft w:val="0"/>
      <w:marRight w:val="0"/>
      <w:marTop w:val="0"/>
      <w:marBottom w:val="0"/>
      <w:divBdr>
        <w:top w:val="none" w:sz="0" w:space="0" w:color="auto"/>
        <w:left w:val="none" w:sz="0" w:space="0" w:color="auto"/>
        <w:bottom w:val="none" w:sz="0" w:space="0" w:color="auto"/>
        <w:right w:val="none" w:sz="0" w:space="0" w:color="auto"/>
      </w:divBdr>
    </w:div>
    <w:div w:id="1362821800">
      <w:bodyDiv w:val="1"/>
      <w:marLeft w:val="0"/>
      <w:marRight w:val="0"/>
      <w:marTop w:val="0"/>
      <w:marBottom w:val="0"/>
      <w:divBdr>
        <w:top w:val="none" w:sz="0" w:space="0" w:color="auto"/>
        <w:left w:val="none" w:sz="0" w:space="0" w:color="auto"/>
        <w:bottom w:val="none" w:sz="0" w:space="0" w:color="auto"/>
        <w:right w:val="none" w:sz="0" w:space="0" w:color="auto"/>
      </w:divBdr>
    </w:div>
    <w:div w:id="1368488788">
      <w:bodyDiv w:val="1"/>
      <w:marLeft w:val="0"/>
      <w:marRight w:val="0"/>
      <w:marTop w:val="0"/>
      <w:marBottom w:val="0"/>
      <w:divBdr>
        <w:top w:val="none" w:sz="0" w:space="0" w:color="auto"/>
        <w:left w:val="none" w:sz="0" w:space="0" w:color="auto"/>
        <w:bottom w:val="none" w:sz="0" w:space="0" w:color="auto"/>
        <w:right w:val="none" w:sz="0" w:space="0" w:color="auto"/>
      </w:divBdr>
    </w:div>
    <w:div w:id="1370181867">
      <w:bodyDiv w:val="1"/>
      <w:marLeft w:val="0"/>
      <w:marRight w:val="0"/>
      <w:marTop w:val="0"/>
      <w:marBottom w:val="0"/>
      <w:divBdr>
        <w:top w:val="none" w:sz="0" w:space="0" w:color="auto"/>
        <w:left w:val="none" w:sz="0" w:space="0" w:color="auto"/>
        <w:bottom w:val="none" w:sz="0" w:space="0" w:color="auto"/>
        <w:right w:val="none" w:sz="0" w:space="0" w:color="auto"/>
      </w:divBdr>
    </w:div>
    <w:div w:id="1398936295">
      <w:bodyDiv w:val="1"/>
      <w:marLeft w:val="0"/>
      <w:marRight w:val="0"/>
      <w:marTop w:val="0"/>
      <w:marBottom w:val="0"/>
      <w:divBdr>
        <w:top w:val="none" w:sz="0" w:space="0" w:color="auto"/>
        <w:left w:val="none" w:sz="0" w:space="0" w:color="auto"/>
        <w:bottom w:val="none" w:sz="0" w:space="0" w:color="auto"/>
        <w:right w:val="none" w:sz="0" w:space="0" w:color="auto"/>
      </w:divBdr>
    </w:div>
    <w:div w:id="1403211325">
      <w:bodyDiv w:val="1"/>
      <w:marLeft w:val="0"/>
      <w:marRight w:val="0"/>
      <w:marTop w:val="0"/>
      <w:marBottom w:val="0"/>
      <w:divBdr>
        <w:top w:val="none" w:sz="0" w:space="0" w:color="auto"/>
        <w:left w:val="none" w:sz="0" w:space="0" w:color="auto"/>
        <w:bottom w:val="none" w:sz="0" w:space="0" w:color="auto"/>
        <w:right w:val="none" w:sz="0" w:space="0" w:color="auto"/>
      </w:divBdr>
    </w:div>
    <w:div w:id="1463040796">
      <w:bodyDiv w:val="1"/>
      <w:marLeft w:val="0"/>
      <w:marRight w:val="0"/>
      <w:marTop w:val="0"/>
      <w:marBottom w:val="0"/>
      <w:divBdr>
        <w:top w:val="none" w:sz="0" w:space="0" w:color="auto"/>
        <w:left w:val="none" w:sz="0" w:space="0" w:color="auto"/>
        <w:bottom w:val="none" w:sz="0" w:space="0" w:color="auto"/>
        <w:right w:val="none" w:sz="0" w:space="0" w:color="auto"/>
      </w:divBdr>
    </w:div>
    <w:div w:id="1496873691">
      <w:bodyDiv w:val="1"/>
      <w:marLeft w:val="0"/>
      <w:marRight w:val="0"/>
      <w:marTop w:val="0"/>
      <w:marBottom w:val="0"/>
      <w:divBdr>
        <w:top w:val="none" w:sz="0" w:space="0" w:color="auto"/>
        <w:left w:val="none" w:sz="0" w:space="0" w:color="auto"/>
        <w:bottom w:val="none" w:sz="0" w:space="0" w:color="auto"/>
        <w:right w:val="none" w:sz="0" w:space="0" w:color="auto"/>
      </w:divBdr>
    </w:div>
    <w:div w:id="1510869537">
      <w:bodyDiv w:val="1"/>
      <w:marLeft w:val="0"/>
      <w:marRight w:val="0"/>
      <w:marTop w:val="0"/>
      <w:marBottom w:val="0"/>
      <w:divBdr>
        <w:top w:val="none" w:sz="0" w:space="0" w:color="auto"/>
        <w:left w:val="none" w:sz="0" w:space="0" w:color="auto"/>
        <w:bottom w:val="none" w:sz="0" w:space="0" w:color="auto"/>
        <w:right w:val="none" w:sz="0" w:space="0" w:color="auto"/>
      </w:divBdr>
    </w:div>
    <w:div w:id="1575894107">
      <w:bodyDiv w:val="1"/>
      <w:marLeft w:val="0"/>
      <w:marRight w:val="0"/>
      <w:marTop w:val="0"/>
      <w:marBottom w:val="0"/>
      <w:divBdr>
        <w:top w:val="none" w:sz="0" w:space="0" w:color="auto"/>
        <w:left w:val="none" w:sz="0" w:space="0" w:color="auto"/>
        <w:bottom w:val="none" w:sz="0" w:space="0" w:color="auto"/>
        <w:right w:val="none" w:sz="0" w:space="0" w:color="auto"/>
      </w:divBdr>
    </w:div>
    <w:div w:id="1586379118">
      <w:bodyDiv w:val="1"/>
      <w:marLeft w:val="0"/>
      <w:marRight w:val="0"/>
      <w:marTop w:val="0"/>
      <w:marBottom w:val="0"/>
      <w:divBdr>
        <w:top w:val="none" w:sz="0" w:space="0" w:color="auto"/>
        <w:left w:val="none" w:sz="0" w:space="0" w:color="auto"/>
        <w:bottom w:val="none" w:sz="0" w:space="0" w:color="auto"/>
        <w:right w:val="none" w:sz="0" w:space="0" w:color="auto"/>
      </w:divBdr>
    </w:div>
    <w:div w:id="1594971728">
      <w:bodyDiv w:val="1"/>
      <w:marLeft w:val="0"/>
      <w:marRight w:val="0"/>
      <w:marTop w:val="0"/>
      <w:marBottom w:val="0"/>
      <w:divBdr>
        <w:top w:val="none" w:sz="0" w:space="0" w:color="auto"/>
        <w:left w:val="none" w:sz="0" w:space="0" w:color="auto"/>
        <w:bottom w:val="none" w:sz="0" w:space="0" w:color="auto"/>
        <w:right w:val="none" w:sz="0" w:space="0" w:color="auto"/>
      </w:divBdr>
    </w:div>
    <w:div w:id="1692803661">
      <w:bodyDiv w:val="1"/>
      <w:marLeft w:val="0"/>
      <w:marRight w:val="0"/>
      <w:marTop w:val="0"/>
      <w:marBottom w:val="0"/>
      <w:divBdr>
        <w:top w:val="none" w:sz="0" w:space="0" w:color="auto"/>
        <w:left w:val="none" w:sz="0" w:space="0" w:color="auto"/>
        <w:bottom w:val="none" w:sz="0" w:space="0" w:color="auto"/>
        <w:right w:val="none" w:sz="0" w:space="0" w:color="auto"/>
      </w:divBdr>
    </w:div>
    <w:div w:id="1733238917">
      <w:bodyDiv w:val="1"/>
      <w:marLeft w:val="0"/>
      <w:marRight w:val="0"/>
      <w:marTop w:val="0"/>
      <w:marBottom w:val="0"/>
      <w:divBdr>
        <w:top w:val="none" w:sz="0" w:space="0" w:color="auto"/>
        <w:left w:val="none" w:sz="0" w:space="0" w:color="auto"/>
        <w:bottom w:val="none" w:sz="0" w:space="0" w:color="auto"/>
        <w:right w:val="none" w:sz="0" w:space="0" w:color="auto"/>
      </w:divBdr>
    </w:div>
    <w:div w:id="1741948473">
      <w:bodyDiv w:val="1"/>
      <w:marLeft w:val="0"/>
      <w:marRight w:val="0"/>
      <w:marTop w:val="0"/>
      <w:marBottom w:val="0"/>
      <w:divBdr>
        <w:top w:val="none" w:sz="0" w:space="0" w:color="auto"/>
        <w:left w:val="none" w:sz="0" w:space="0" w:color="auto"/>
        <w:bottom w:val="none" w:sz="0" w:space="0" w:color="auto"/>
        <w:right w:val="none" w:sz="0" w:space="0" w:color="auto"/>
      </w:divBdr>
    </w:div>
    <w:div w:id="1742558565">
      <w:bodyDiv w:val="1"/>
      <w:marLeft w:val="0"/>
      <w:marRight w:val="0"/>
      <w:marTop w:val="0"/>
      <w:marBottom w:val="0"/>
      <w:divBdr>
        <w:top w:val="none" w:sz="0" w:space="0" w:color="auto"/>
        <w:left w:val="none" w:sz="0" w:space="0" w:color="auto"/>
        <w:bottom w:val="none" w:sz="0" w:space="0" w:color="auto"/>
        <w:right w:val="none" w:sz="0" w:space="0" w:color="auto"/>
      </w:divBdr>
    </w:div>
    <w:div w:id="1756168532">
      <w:bodyDiv w:val="1"/>
      <w:marLeft w:val="0"/>
      <w:marRight w:val="0"/>
      <w:marTop w:val="0"/>
      <w:marBottom w:val="0"/>
      <w:divBdr>
        <w:top w:val="none" w:sz="0" w:space="0" w:color="auto"/>
        <w:left w:val="none" w:sz="0" w:space="0" w:color="auto"/>
        <w:bottom w:val="none" w:sz="0" w:space="0" w:color="auto"/>
        <w:right w:val="none" w:sz="0" w:space="0" w:color="auto"/>
      </w:divBdr>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
    <w:div w:id="1806503451">
      <w:bodyDiv w:val="1"/>
      <w:marLeft w:val="0"/>
      <w:marRight w:val="0"/>
      <w:marTop w:val="0"/>
      <w:marBottom w:val="0"/>
      <w:divBdr>
        <w:top w:val="none" w:sz="0" w:space="0" w:color="auto"/>
        <w:left w:val="none" w:sz="0" w:space="0" w:color="auto"/>
        <w:bottom w:val="none" w:sz="0" w:space="0" w:color="auto"/>
        <w:right w:val="none" w:sz="0" w:space="0" w:color="auto"/>
      </w:divBdr>
    </w:div>
    <w:div w:id="1884252155">
      <w:bodyDiv w:val="1"/>
      <w:marLeft w:val="0"/>
      <w:marRight w:val="0"/>
      <w:marTop w:val="0"/>
      <w:marBottom w:val="0"/>
      <w:divBdr>
        <w:top w:val="none" w:sz="0" w:space="0" w:color="auto"/>
        <w:left w:val="none" w:sz="0" w:space="0" w:color="auto"/>
        <w:bottom w:val="none" w:sz="0" w:space="0" w:color="auto"/>
        <w:right w:val="none" w:sz="0" w:space="0" w:color="auto"/>
      </w:divBdr>
    </w:div>
    <w:div w:id="1932159166">
      <w:bodyDiv w:val="1"/>
      <w:marLeft w:val="0"/>
      <w:marRight w:val="0"/>
      <w:marTop w:val="0"/>
      <w:marBottom w:val="0"/>
      <w:divBdr>
        <w:top w:val="none" w:sz="0" w:space="0" w:color="auto"/>
        <w:left w:val="none" w:sz="0" w:space="0" w:color="auto"/>
        <w:bottom w:val="none" w:sz="0" w:space="0" w:color="auto"/>
        <w:right w:val="none" w:sz="0" w:space="0" w:color="auto"/>
      </w:divBdr>
    </w:div>
    <w:div w:id="1950970383">
      <w:bodyDiv w:val="1"/>
      <w:marLeft w:val="0"/>
      <w:marRight w:val="0"/>
      <w:marTop w:val="0"/>
      <w:marBottom w:val="0"/>
      <w:divBdr>
        <w:top w:val="none" w:sz="0" w:space="0" w:color="auto"/>
        <w:left w:val="none" w:sz="0" w:space="0" w:color="auto"/>
        <w:bottom w:val="none" w:sz="0" w:space="0" w:color="auto"/>
        <w:right w:val="none" w:sz="0" w:space="0" w:color="auto"/>
      </w:divBdr>
    </w:div>
    <w:div w:id="1967544754">
      <w:bodyDiv w:val="1"/>
      <w:marLeft w:val="0"/>
      <w:marRight w:val="0"/>
      <w:marTop w:val="0"/>
      <w:marBottom w:val="0"/>
      <w:divBdr>
        <w:top w:val="none" w:sz="0" w:space="0" w:color="auto"/>
        <w:left w:val="none" w:sz="0" w:space="0" w:color="auto"/>
        <w:bottom w:val="none" w:sz="0" w:space="0" w:color="auto"/>
        <w:right w:val="none" w:sz="0" w:space="0" w:color="auto"/>
      </w:divBdr>
    </w:div>
    <w:div w:id="1996686008">
      <w:bodyDiv w:val="1"/>
      <w:marLeft w:val="0"/>
      <w:marRight w:val="0"/>
      <w:marTop w:val="0"/>
      <w:marBottom w:val="0"/>
      <w:divBdr>
        <w:top w:val="none" w:sz="0" w:space="0" w:color="auto"/>
        <w:left w:val="none" w:sz="0" w:space="0" w:color="auto"/>
        <w:bottom w:val="none" w:sz="0" w:space="0" w:color="auto"/>
        <w:right w:val="none" w:sz="0" w:space="0" w:color="auto"/>
      </w:divBdr>
    </w:div>
    <w:div w:id="2015691831">
      <w:bodyDiv w:val="1"/>
      <w:marLeft w:val="0"/>
      <w:marRight w:val="0"/>
      <w:marTop w:val="0"/>
      <w:marBottom w:val="0"/>
      <w:divBdr>
        <w:top w:val="none" w:sz="0" w:space="0" w:color="auto"/>
        <w:left w:val="none" w:sz="0" w:space="0" w:color="auto"/>
        <w:bottom w:val="none" w:sz="0" w:space="0" w:color="auto"/>
        <w:right w:val="none" w:sz="0" w:space="0" w:color="auto"/>
      </w:divBdr>
    </w:div>
    <w:div w:id="2079473937">
      <w:bodyDiv w:val="1"/>
      <w:marLeft w:val="0"/>
      <w:marRight w:val="0"/>
      <w:marTop w:val="0"/>
      <w:marBottom w:val="0"/>
      <w:divBdr>
        <w:top w:val="none" w:sz="0" w:space="0" w:color="auto"/>
        <w:left w:val="none" w:sz="0" w:space="0" w:color="auto"/>
        <w:bottom w:val="none" w:sz="0" w:space="0" w:color="auto"/>
        <w:right w:val="none" w:sz="0" w:space="0" w:color="auto"/>
      </w:divBdr>
    </w:div>
    <w:div w:id="2119059336">
      <w:bodyDiv w:val="1"/>
      <w:marLeft w:val="0"/>
      <w:marRight w:val="0"/>
      <w:marTop w:val="0"/>
      <w:marBottom w:val="0"/>
      <w:divBdr>
        <w:top w:val="none" w:sz="0" w:space="0" w:color="auto"/>
        <w:left w:val="none" w:sz="0" w:space="0" w:color="auto"/>
        <w:bottom w:val="none" w:sz="0" w:space="0" w:color="auto"/>
        <w:right w:val="none" w:sz="0" w:space="0" w:color="auto"/>
      </w:divBdr>
    </w:div>
    <w:div w:id="21436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D12A-F361-45AC-8676-A5284102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5333</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2015-01-28T03:31:00Z</dcterms:created>
  <dcterms:modified xsi:type="dcterms:W3CDTF">2015-01-29T22:51:00Z</dcterms:modified>
</cp:coreProperties>
</file>