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000" w:firstRow="0" w:lastRow="0" w:firstColumn="0" w:lastColumn="0" w:noHBand="0" w:noVBand="0"/>
      </w:tblPr>
      <w:tblGrid>
        <w:gridCol w:w="4304"/>
        <w:gridCol w:w="2467"/>
        <w:gridCol w:w="3260"/>
      </w:tblGrid>
      <w:tr w:rsidR="009425A3" w:rsidRPr="005D17CE" w:rsidTr="000921A9">
        <w:trPr>
          <w:cantSplit/>
        </w:trPr>
        <w:tc>
          <w:tcPr>
            <w:tcW w:w="4304" w:type="dxa"/>
            <w:vAlign w:val="center"/>
          </w:tcPr>
          <w:p w:rsidR="009425A3" w:rsidRPr="005D17CE" w:rsidRDefault="009425A3" w:rsidP="00640E3E">
            <w:r w:rsidRPr="005D17CE">
              <w:rPr>
                <w:noProof/>
                <w:lang w:val="en-NZ" w:eastAsia="en-NZ"/>
              </w:rPr>
              <w:drawing>
                <wp:inline distT="0" distB="0" distL="0" distR="0" wp14:anchorId="50151819" wp14:editId="544A5484">
                  <wp:extent cx="2028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800100"/>
                          </a:xfrm>
                          <a:prstGeom prst="rect">
                            <a:avLst/>
                          </a:prstGeom>
                          <a:noFill/>
                          <a:ln>
                            <a:noFill/>
                          </a:ln>
                        </pic:spPr>
                      </pic:pic>
                    </a:graphicData>
                  </a:graphic>
                </wp:inline>
              </w:drawing>
            </w:r>
          </w:p>
        </w:tc>
        <w:tc>
          <w:tcPr>
            <w:tcW w:w="5727" w:type="dxa"/>
            <w:gridSpan w:val="2"/>
            <w:vAlign w:val="center"/>
          </w:tcPr>
          <w:p w:rsidR="009425A3" w:rsidRPr="004D1F02" w:rsidRDefault="006C6EB9" w:rsidP="00F15383">
            <w:pPr>
              <w:jc w:val="center"/>
              <w:rPr>
                <w:rStyle w:val="Strong"/>
                <w:sz w:val="32"/>
                <w:szCs w:val="32"/>
              </w:rPr>
            </w:pPr>
            <w:r w:rsidRPr="004D1F02">
              <w:rPr>
                <w:rStyle w:val="Strong"/>
                <w:sz w:val="32"/>
                <w:szCs w:val="32"/>
              </w:rPr>
              <w:t xml:space="preserve">All </w:t>
            </w:r>
            <w:r w:rsidR="009425A3" w:rsidRPr="004D1F02">
              <w:rPr>
                <w:rStyle w:val="Strong"/>
                <w:sz w:val="32"/>
                <w:szCs w:val="32"/>
              </w:rPr>
              <w:t>District Health Boards</w:t>
            </w:r>
          </w:p>
        </w:tc>
      </w:tr>
      <w:tr w:rsidR="00536430" w:rsidRPr="005D17CE" w:rsidTr="000921A9">
        <w:tc>
          <w:tcPr>
            <w:tcW w:w="10031" w:type="dxa"/>
            <w:gridSpan w:val="3"/>
            <w:tcBorders>
              <w:bottom w:val="single" w:sz="4" w:space="0" w:color="auto"/>
            </w:tcBorders>
          </w:tcPr>
          <w:p w:rsidR="00536430" w:rsidRDefault="00536430" w:rsidP="005F6546">
            <w:pPr>
              <w:pStyle w:val="Title"/>
              <w:spacing w:before="1920"/>
            </w:pPr>
            <w:r w:rsidRPr="00536430">
              <w:t xml:space="preserve">PAIN MANAGEMENT SERVICE </w:t>
            </w:r>
            <w:r w:rsidR="00227D0F">
              <w:t>-</w:t>
            </w:r>
          </w:p>
          <w:p w:rsidR="00227D0F" w:rsidRPr="00536430" w:rsidRDefault="00227D0F" w:rsidP="00E4274C">
            <w:pPr>
              <w:pStyle w:val="Title"/>
              <w:spacing w:before="120" w:after="240"/>
            </w:pPr>
            <w:r w:rsidRPr="00536430">
              <w:t>Specialist Medical AND SURGICAL services</w:t>
            </w:r>
            <w:r>
              <w:t xml:space="preserve"> </w:t>
            </w:r>
            <w:r w:rsidRPr="00536430">
              <w:t>–</w:t>
            </w:r>
          </w:p>
          <w:p w:rsidR="00536430" w:rsidRPr="00536430" w:rsidRDefault="00536430" w:rsidP="00227D0F">
            <w:pPr>
              <w:pStyle w:val="Title"/>
              <w:spacing w:before="120"/>
            </w:pPr>
            <w:r w:rsidRPr="00536430">
              <w:t xml:space="preserve">tier two </w:t>
            </w:r>
          </w:p>
          <w:p w:rsidR="00536430" w:rsidRPr="00536430" w:rsidRDefault="00536430" w:rsidP="00227D0F">
            <w:pPr>
              <w:pStyle w:val="Title"/>
              <w:spacing w:before="120" w:after="1920"/>
            </w:pPr>
            <w:r w:rsidRPr="00536430">
              <w:t>service specification</w:t>
            </w:r>
          </w:p>
        </w:tc>
      </w:tr>
      <w:tr w:rsidR="00536430" w:rsidRPr="005D17CE" w:rsidTr="00C84045">
        <w:tc>
          <w:tcPr>
            <w:tcW w:w="6771" w:type="dxa"/>
            <w:gridSpan w:val="2"/>
            <w:tcBorders>
              <w:top w:val="single" w:sz="4" w:space="0" w:color="auto"/>
              <w:left w:val="single" w:sz="4" w:space="0" w:color="auto"/>
              <w:bottom w:val="single" w:sz="4" w:space="0" w:color="auto"/>
              <w:right w:val="single" w:sz="4" w:space="0" w:color="auto"/>
            </w:tcBorders>
          </w:tcPr>
          <w:p w:rsidR="00536430" w:rsidRPr="00A346CA" w:rsidRDefault="00536430" w:rsidP="00A346CA">
            <w:pPr>
              <w:spacing w:before="120" w:after="120"/>
              <w:rPr>
                <w:rStyle w:val="Strong"/>
                <w:sz w:val="36"/>
                <w:szCs w:val="36"/>
              </w:rPr>
            </w:pPr>
            <w:r w:rsidRPr="00A346CA">
              <w:rPr>
                <w:rStyle w:val="Strong"/>
                <w:sz w:val="36"/>
                <w:szCs w:val="36"/>
              </w:rPr>
              <w:t>S</w:t>
            </w:r>
            <w:r w:rsidR="006C6EB9" w:rsidRPr="00A346CA">
              <w:rPr>
                <w:rStyle w:val="Strong"/>
                <w:sz w:val="36"/>
                <w:szCs w:val="36"/>
              </w:rPr>
              <w:t>TATUS</w:t>
            </w:r>
          </w:p>
          <w:p w:rsidR="00536430" w:rsidRPr="00A346CA" w:rsidRDefault="00016749" w:rsidP="00A346CA">
            <w:pPr>
              <w:spacing w:before="120" w:after="120"/>
              <w:rPr>
                <w:sz w:val="36"/>
                <w:szCs w:val="36"/>
              </w:rPr>
            </w:pPr>
            <w:r w:rsidRPr="00016749">
              <w:rPr>
                <w:rFonts w:cs="Arial"/>
                <w:sz w:val="32"/>
                <w:szCs w:val="32"/>
                <w:lang w:val="en-NZ" w:eastAsia="en-NZ"/>
              </w:rPr>
              <w:t>It is compulsory to use this nationwide service specification when purchasing this service.</w:t>
            </w:r>
          </w:p>
        </w:tc>
        <w:tc>
          <w:tcPr>
            <w:tcW w:w="3260" w:type="dxa"/>
            <w:tcBorders>
              <w:top w:val="single" w:sz="4" w:space="0" w:color="auto"/>
              <w:left w:val="single" w:sz="4" w:space="0" w:color="auto"/>
              <w:bottom w:val="single" w:sz="4" w:space="0" w:color="auto"/>
              <w:right w:val="single" w:sz="4" w:space="0" w:color="auto"/>
            </w:tcBorders>
          </w:tcPr>
          <w:p w:rsidR="00536430" w:rsidRPr="00A346CA" w:rsidRDefault="00536430" w:rsidP="001D5959">
            <w:pPr>
              <w:spacing w:before="120" w:after="120"/>
              <w:rPr>
                <w:sz w:val="36"/>
                <w:szCs w:val="36"/>
              </w:rPr>
            </w:pPr>
            <w:r w:rsidRPr="00A346CA">
              <w:rPr>
                <w:rStyle w:val="Strong"/>
                <w:sz w:val="36"/>
                <w:szCs w:val="36"/>
              </w:rPr>
              <w:t>MANDATORY</w:t>
            </w:r>
            <w:r w:rsidRPr="00A346CA">
              <w:rPr>
                <w:sz w:val="36"/>
                <w:szCs w:val="36"/>
              </w:rPr>
              <w:t xml:space="preserve"> </w:t>
            </w:r>
            <w:r w:rsidRPr="00A346CA">
              <w:rPr>
                <w:sz w:val="36"/>
                <w:szCs w:val="36"/>
              </w:rPr>
              <w:sym w:font="Wingdings" w:char="F0FE"/>
            </w:r>
            <w:r w:rsidR="00C84045">
              <w:rPr>
                <w:sz w:val="36"/>
                <w:szCs w:val="36"/>
              </w:rPr>
              <w:br/>
              <w:t>from July 2014</w:t>
            </w:r>
          </w:p>
        </w:tc>
      </w:tr>
      <w:tr w:rsidR="00536430" w:rsidRPr="005D17CE" w:rsidTr="00C84045">
        <w:tc>
          <w:tcPr>
            <w:tcW w:w="6771" w:type="dxa"/>
            <w:gridSpan w:val="2"/>
            <w:tcBorders>
              <w:top w:val="single" w:sz="4" w:space="0" w:color="auto"/>
              <w:left w:val="single" w:sz="4" w:space="0" w:color="auto"/>
              <w:bottom w:val="single" w:sz="4" w:space="0" w:color="auto"/>
              <w:right w:val="single" w:sz="4" w:space="0" w:color="auto"/>
            </w:tcBorders>
            <w:shd w:val="clear" w:color="auto" w:fill="C0C0C0"/>
          </w:tcPr>
          <w:p w:rsidR="00536430" w:rsidRPr="00536430" w:rsidRDefault="00536430" w:rsidP="00A346CA">
            <w:pPr>
              <w:spacing w:before="120" w:after="120"/>
              <w:rPr>
                <w:rStyle w:val="Strong"/>
                <w:sz w:val="28"/>
                <w:szCs w:val="28"/>
              </w:rPr>
            </w:pPr>
            <w:r w:rsidRPr="00536430">
              <w:rPr>
                <w:rStyle w:val="Strong"/>
                <w:sz w:val="28"/>
                <w:szCs w:val="28"/>
              </w:rPr>
              <w:t>Review History</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536430" w:rsidRPr="00536430" w:rsidRDefault="00536430" w:rsidP="00A346CA">
            <w:pPr>
              <w:spacing w:before="120" w:after="120"/>
              <w:rPr>
                <w:rStyle w:val="Strong"/>
                <w:sz w:val="28"/>
                <w:szCs w:val="28"/>
              </w:rPr>
            </w:pPr>
            <w:r w:rsidRPr="00536430">
              <w:rPr>
                <w:rStyle w:val="Strong"/>
                <w:sz w:val="28"/>
                <w:szCs w:val="28"/>
              </w:rPr>
              <w:t>Date</w:t>
            </w:r>
          </w:p>
        </w:tc>
      </w:tr>
      <w:tr w:rsidR="00536430" w:rsidRPr="005D17CE" w:rsidTr="00C84045">
        <w:tc>
          <w:tcPr>
            <w:tcW w:w="6771" w:type="dxa"/>
            <w:gridSpan w:val="2"/>
            <w:tcBorders>
              <w:top w:val="single" w:sz="4" w:space="0" w:color="auto"/>
              <w:left w:val="single" w:sz="4" w:space="0" w:color="auto"/>
              <w:bottom w:val="single" w:sz="6" w:space="0" w:color="auto"/>
              <w:right w:val="single" w:sz="6" w:space="0" w:color="auto"/>
            </w:tcBorders>
          </w:tcPr>
          <w:p w:rsidR="00536430" w:rsidRPr="00536430" w:rsidRDefault="00536430" w:rsidP="00DC4C4D">
            <w:pPr>
              <w:spacing w:before="120" w:after="120"/>
              <w:rPr>
                <w:sz w:val="28"/>
                <w:szCs w:val="28"/>
              </w:rPr>
            </w:pPr>
            <w:r w:rsidRPr="00536430">
              <w:rPr>
                <w:sz w:val="28"/>
                <w:szCs w:val="28"/>
              </w:rPr>
              <w:t>Published on NSF Library</w:t>
            </w:r>
          </w:p>
        </w:tc>
        <w:tc>
          <w:tcPr>
            <w:tcW w:w="3260" w:type="dxa"/>
            <w:tcBorders>
              <w:top w:val="single" w:sz="4" w:space="0" w:color="auto"/>
              <w:left w:val="single" w:sz="6" w:space="0" w:color="auto"/>
              <w:bottom w:val="single" w:sz="6" w:space="0" w:color="auto"/>
              <w:right w:val="single" w:sz="4" w:space="0" w:color="auto"/>
            </w:tcBorders>
          </w:tcPr>
          <w:p w:rsidR="00536430" w:rsidRPr="00536430" w:rsidRDefault="00DC4C4D" w:rsidP="00A346CA">
            <w:pPr>
              <w:spacing w:before="120" w:after="120"/>
              <w:rPr>
                <w:rStyle w:val="Strong"/>
                <w:sz w:val="28"/>
                <w:szCs w:val="28"/>
              </w:rPr>
            </w:pPr>
            <w:r>
              <w:rPr>
                <w:rStyle w:val="Strong"/>
                <w:sz w:val="28"/>
                <w:szCs w:val="28"/>
              </w:rPr>
              <w:t>December 2013</w:t>
            </w:r>
          </w:p>
        </w:tc>
      </w:tr>
      <w:tr w:rsidR="00F15383" w:rsidRPr="005D17CE" w:rsidTr="00C84045">
        <w:tc>
          <w:tcPr>
            <w:tcW w:w="6771" w:type="dxa"/>
            <w:gridSpan w:val="2"/>
            <w:tcBorders>
              <w:top w:val="single" w:sz="4" w:space="0" w:color="auto"/>
              <w:left w:val="single" w:sz="4" w:space="0" w:color="auto"/>
              <w:bottom w:val="single" w:sz="6" w:space="0" w:color="auto"/>
              <w:right w:val="single" w:sz="6" w:space="0" w:color="auto"/>
            </w:tcBorders>
          </w:tcPr>
          <w:p w:rsidR="00F15383" w:rsidRPr="00C84045" w:rsidRDefault="00F15383" w:rsidP="00C84045">
            <w:pPr>
              <w:spacing w:before="120" w:after="120"/>
              <w:rPr>
                <w:szCs w:val="24"/>
              </w:rPr>
            </w:pPr>
            <w:r>
              <w:rPr>
                <w:szCs w:val="24"/>
              </w:rPr>
              <w:t>Minor Correction to Unit of Measure in PC0019 and PC0022</w:t>
            </w:r>
          </w:p>
        </w:tc>
        <w:tc>
          <w:tcPr>
            <w:tcW w:w="3260" w:type="dxa"/>
            <w:tcBorders>
              <w:top w:val="single" w:sz="4" w:space="0" w:color="auto"/>
              <w:left w:val="single" w:sz="6" w:space="0" w:color="auto"/>
              <w:bottom w:val="single" w:sz="6" w:space="0" w:color="auto"/>
              <w:right w:val="single" w:sz="4" w:space="0" w:color="auto"/>
            </w:tcBorders>
          </w:tcPr>
          <w:p w:rsidR="00F15383" w:rsidRDefault="00F15383" w:rsidP="00A346CA">
            <w:pPr>
              <w:spacing w:before="120" w:after="120"/>
              <w:rPr>
                <w:rStyle w:val="Strong"/>
                <w:sz w:val="28"/>
                <w:szCs w:val="28"/>
              </w:rPr>
            </w:pPr>
            <w:r>
              <w:rPr>
                <w:rStyle w:val="Strong"/>
                <w:sz w:val="28"/>
                <w:szCs w:val="28"/>
              </w:rPr>
              <w:t>January 2015</w:t>
            </w:r>
          </w:p>
        </w:tc>
      </w:tr>
      <w:tr w:rsidR="00536430" w:rsidRPr="005D17CE" w:rsidTr="00C84045">
        <w:tc>
          <w:tcPr>
            <w:tcW w:w="6771" w:type="dxa"/>
            <w:gridSpan w:val="2"/>
            <w:tcBorders>
              <w:top w:val="single" w:sz="6" w:space="0" w:color="auto"/>
              <w:left w:val="single" w:sz="4" w:space="0" w:color="auto"/>
              <w:bottom w:val="single" w:sz="4" w:space="0" w:color="auto"/>
              <w:right w:val="single" w:sz="6" w:space="0" w:color="auto"/>
            </w:tcBorders>
          </w:tcPr>
          <w:p w:rsidR="00536430" w:rsidRPr="00536430" w:rsidRDefault="00536430" w:rsidP="00A346CA">
            <w:pPr>
              <w:spacing w:before="120" w:after="120"/>
              <w:rPr>
                <w:sz w:val="28"/>
                <w:szCs w:val="28"/>
              </w:rPr>
            </w:pPr>
            <w:r w:rsidRPr="00536430">
              <w:rPr>
                <w:sz w:val="28"/>
                <w:szCs w:val="28"/>
              </w:rPr>
              <w:t>Consideration for next Service Specification Review</w:t>
            </w:r>
          </w:p>
        </w:tc>
        <w:tc>
          <w:tcPr>
            <w:tcW w:w="3260" w:type="dxa"/>
            <w:tcBorders>
              <w:top w:val="single" w:sz="6" w:space="0" w:color="auto"/>
              <w:left w:val="single" w:sz="6" w:space="0" w:color="auto"/>
              <w:bottom w:val="single" w:sz="4" w:space="0" w:color="auto"/>
              <w:right w:val="single" w:sz="4" w:space="0" w:color="auto"/>
            </w:tcBorders>
          </w:tcPr>
          <w:p w:rsidR="00536430" w:rsidRPr="00536430" w:rsidRDefault="00536430" w:rsidP="00A346CA">
            <w:pPr>
              <w:spacing w:before="120" w:after="120"/>
              <w:rPr>
                <w:sz w:val="28"/>
                <w:szCs w:val="28"/>
              </w:rPr>
            </w:pPr>
            <w:r w:rsidRPr="00536430">
              <w:rPr>
                <w:sz w:val="28"/>
                <w:szCs w:val="28"/>
              </w:rPr>
              <w:t>within five years</w:t>
            </w:r>
          </w:p>
        </w:tc>
      </w:tr>
    </w:tbl>
    <w:p w:rsidR="00016749" w:rsidRPr="00016749" w:rsidRDefault="00016749" w:rsidP="00016749">
      <w:pPr>
        <w:spacing w:before="120"/>
        <w:rPr>
          <w:rFonts w:cs="Arial"/>
          <w:szCs w:val="24"/>
          <w:lang w:eastAsia="en-GB"/>
        </w:rPr>
      </w:pPr>
      <w:bookmarkStart w:id="0" w:name="_Toc215319119"/>
      <w:r w:rsidRPr="00016749">
        <w:rPr>
          <w:rFonts w:cs="Arial"/>
          <w:b/>
          <w:szCs w:val="24"/>
          <w:lang w:eastAsia="en-GB"/>
        </w:rPr>
        <w:t>Note:</w:t>
      </w:r>
      <w:r w:rsidRPr="00016749">
        <w:rPr>
          <w:rFonts w:cs="Arial"/>
          <w:szCs w:val="24"/>
          <w:lang w:eastAsia="en-GB"/>
        </w:rPr>
        <w:t xml:space="preserve"> Contact the Service Specification Programme Manager, Ministry of Health</w:t>
      </w:r>
      <w:r w:rsidR="001219ED">
        <w:rPr>
          <w:rFonts w:cs="Arial"/>
          <w:szCs w:val="24"/>
          <w:lang w:eastAsia="en-GB"/>
        </w:rPr>
        <w:t>,</w:t>
      </w:r>
      <w:r w:rsidRPr="00016749">
        <w:rPr>
          <w:rFonts w:cs="Arial"/>
          <w:szCs w:val="24"/>
          <w:lang w:eastAsia="en-GB"/>
        </w:rPr>
        <w:t xml:space="preserve"> to discuss proposed amendments to the service specifications and guidance in developing new or updating and revising existing service specifications. </w:t>
      </w:r>
    </w:p>
    <w:p w:rsidR="001F783D" w:rsidRDefault="00016749" w:rsidP="000921A9">
      <w:pPr>
        <w:spacing w:before="120"/>
        <w:rPr>
          <w:rFonts w:cs="Arial"/>
          <w:szCs w:val="24"/>
          <w:lang w:eastAsia="en-GB"/>
        </w:rPr>
      </w:pPr>
      <w:r w:rsidRPr="00016749">
        <w:rPr>
          <w:rFonts w:cs="Arial"/>
          <w:szCs w:val="24"/>
          <w:lang w:eastAsia="en-GB"/>
        </w:rPr>
        <w:t xml:space="preserve">Nationwide Service Framework Library </w:t>
      </w:r>
      <w:hyperlink r:id="rId10" w:history="1">
        <w:r w:rsidRPr="00016749">
          <w:rPr>
            <w:rFonts w:cs="Arial"/>
            <w:color w:val="0000FF"/>
            <w:szCs w:val="24"/>
            <w:u w:val="single"/>
            <w:lang w:eastAsia="en-GB"/>
          </w:rPr>
          <w:t>http://www.nsfl.health.govt.nz/</w:t>
        </w:r>
      </w:hyperlink>
      <w:r w:rsidR="000921A9">
        <w:rPr>
          <w:rFonts w:cs="Arial"/>
          <w:color w:val="0000FF"/>
          <w:szCs w:val="24"/>
          <w:u w:val="single"/>
          <w:lang w:eastAsia="en-GB"/>
        </w:rPr>
        <w:t xml:space="preserve"> </w:t>
      </w:r>
      <w:r w:rsidR="008341AA">
        <w:rPr>
          <w:rFonts w:cs="Arial"/>
          <w:color w:val="0000FF"/>
          <w:szCs w:val="24"/>
          <w:u w:val="single"/>
          <w:lang w:eastAsia="en-GB"/>
        </w:rPr>
        <w:br w:type="page"/>
      </w:r>
    </w:p>
    <w:bookmarkEnd w:id="0"/>
    <w:p w:rsidR="009425A3" w:rsidRDefault="009425A3" w:rsidP="009425A3">
      <w:pPr>
        <w:pBdr>
          <w:top w:val="single" w:sz="4" w:space="1" w:color="auto"/>
          <w:left w:val="single" w:sz="4" w:space="4" w:color="auto"/>
          <w:bottom w:val="single" w:sz="4" w:space="1" w:color="auto"/>
          <w:right w:val="single" w:sz="4" w:space="4" w:color="auto"/>
        </w:pBdr>
        <w:jc w:val="center"/>
        <w:rPr>
          <w:b/>
        </w:rPr>
      </w:pPr>
      <w:r w:rsidRPr="009425A3">
        <w:rPr>
          <w:b/>
        </w:rPr>
        <w:lastRenderedPageBreak/>
        <w:t>PAIN MANAGEMENT SERVICE</w:t>
      </w:r>
      <w:r w:rsidR="00227D0F">
        <w:rPr>
          <w:b/>
        </w:rPr>
        <w:t>-</w:t>
      </w:r>
    </w:p>
    <w:p w:rsidR="00227D0F" w:rsidRPr="009425A3" w:rsidRDefault="00227D0F" w:rsidP="00227D0F">
      <w:pPr>
        <w:pBdr>
          <w:top w:val="single" w:sz="4" w:space="1" w:color="auto"/>
          <w:left w:val="single" w:sz="4" w:space="4" w:color="auto"/>
          <w:bottom w:val="single" w:sz="4" w:space="1" w:color="auto"/>
          <w:right w:val="single" w:sz="4" w:space="4" w:color="auto"/>
        </w:pBdr>
        <w:jc w:val="center"/>
        <w:rPr>
          <w:b/>
        </w:rPr>
      </w:pPr>
      <w:r w:rsidRPr="009425A3">
        <w:rPr>
          <w:b/>
        </w:rPr>
        <w:t>SPECIALIST MEDICAL AND SURGICAL SERVICES</w:t>
      </w:r>
    </w:p>
    <w:p w:rsidR="009425A3" w:rsidRPr="009425A3" w:rsidRDefault="009425A3" w:rsidP="009425A3">
      <w:pPr>
        <w:pBdr>
          <w:top w:val="single" w:sz="4" w:space="1" w:color="auto"/>
          <w:left w:val="single" w:sz="4" w:space="4" w:color="auto"/>
          <w:bottom w:val="single" w:sz="4" w:space="1" w:color="auto"/>
          <w:right w:val="single" w:sz="4" w:space="4" w:color="auto"/>
        </w:pBdr>
        <w:jc w:val="center"/>
        <w:rPr>
          <w:b/>
        </w:rPr>
      </w:pPr>
      <w:r w:rsidRPr="009425A3">
        <w:rPr>
          <w:b/>
        </w:rPr>
        <w:t>TIER TWO</w:t>
      </w:r>
    </w:p>
    <w:p w:rsidR="00C84045" w:rsidRDefault="009425A3" w:rsidP="009425A3">
      <w:pPr>
        <w:pBdr>
          <w:top w:val="single" w:sz="4" w:space="1" w:color="auto"/>
          <w:left w:val="single" w:sz="4" w:space="4" w:color="auto"/>
          <w:bottom w:val="single" w:sz="4" w:space="1" w:color="auto"/>
          <w:right w:val="single" w:sz="4" w:space="4" w:color="auto"/>
        </w:pBdr>
        <w:jc w:val="center"/>
        <w:rPr>
          <w:b/>
        </w:rPr>
      </w:pPr>
      <w:r w:rsidRPr="009425A3">
        <w:rPr>
          <w:b/>
        </w:rPr>
        <w:t>SERVICE SPECIFICATION</w:t>
      </w:r>
    </w:p>
    <w:p w:rsidR="009425A3" w:rsidRPr="009425A3" w:rsidRDefault="00C84045" w:rsidP="009425A3">
      <w:pPr>
        <w:pBdr>
          <w:top w:val="single" w:sz="4" w:space="1" w:color="auto"/>
          <w:left w:val="single" w:sz="4" w:space="4" w:color="auto"/>
          <w:bottom w:val="single" w:sz="4" w:space="1" w:color="auto"/>
          <w:right w:val="single" w:sz="4" w:space="4" w:color="auto"/>
        </w:pBdr>
        <w:jc w:val="center"/>
        <w:rPr>
          <w:b/>
        </w:rPr>
      </w:pPr>
      <w:r>
        <w:rPr>
          <w:b/>
        </w:rPr>
        <w:t xml:space="preserve"> </w:t>
      </w:r>
      <w:r w:rsidRPr="00C84045">
        <w:rPr>
          <w:b/>
        </w:rPr>
        <w:t>PC0001, PC0003, PC0007, PC0010, PC0014, PC0015, PC0016, PC0017, PC0019, PC0020, PC0021, PC0022,</w:t>
      </w:r>
    </w:p>
    <w:p w:rsidR="00776C68" w:rsidRPr="00BF66E0" w:rsidRDefault="009425A3" w:rsidP="003C2678">
      <w:pPr>
        <w:spacing w:before="120"/>
        <w:rPr>
          <w:szCs w:val="24"/>
        </w:rPr>
      </w:pPr>
      <w:r w:rsidRPr="00BF66E0">
        <w:rPr>
          <w:szCs w:val="24"/>
        </w:rPr>
        <w:t>Th</w:t>
      </w:r>
      <w:r w:rsidR="002A593B" w:rsidRPr="00BF66E0">
        <w:rPr>
          <w:szCs w:val="24"/>
        </w:rPr>
        <w:t>is</w:t>
      </w:r>
      <w:r w:rsidRPr="00BF66E0">
        <w:rPr>
          <w:szCs w:val="24"/>
        </w:rPr>
        <w:t xml:space="preserve"> </w:t>
      </w:r>
      <w:r w:rsidR="00251D8E" w:rsidRPr="00BF66E0">
        <w:rPr>
          <w:szCs w:val="24"/>
        </w:rPr>
        <w:t>Tier</w:t>
      </w:r>
      <w:r w:rsidR="0093051C" w:rsidRPr="00BF66E0">
        <w:rPr>
          <w:szCs w:val="24"/>
        </w:rPr>
        <w:t xml:space="preserve"> Two</w:t>
      </w:r>
      <w:r w:rsidR="00251D8E" w:rsidRPr="00BF66E0">
        <w:rPr>
          <w:szCs w:val="24"/>
        </w:rPr>
        <w:t xml:space="preserve"> Service Specification </w:t>
      </w:r>
      <w:r w:rsidR="0093051C" w:rsidRPr="00BF66E0">
        <w:rPr>
          <w:szCs w:val="24"/>
        </w:rPr>
        <w:t xml:space="preserve">specifies the particular content detail and principles for the Pain Management Service (the Service).  It </w:t>
      </w:r>
      <w:r w:rsidR="00D92500">
        <w:rPr>
          <w:szCs w:val="24"/>
        </w:rPr>
        <w:t>is</w:t>
      </w:r>
      <w:r w:rsidR="00251D8E" w:rsidRPr="00BF66E0">
        <w:rPr>
          <w:szCs w:val="24"/>
        </w:rPr>
        <w:t xml:space="preserve"> used in conjunction with the </w:t>
      </w:r>
      <w:r w:rsidRPr="00BF66E0">
        <w:rPr>
          <w:szCs w:val="24"/>
        </w:rPr>
        <w:t>overarching Tier One Specialist Medical and Surgical Services and Tier One Services for Children and Young People service specifications</w:t>
      </w:r>
      <w:r w:rsidR="00F66DDF" w:rsidRPr="00BF66E0">
        <w:rPr>
          <w:szCs w:val="24"/>
        </w:rPr>
        <w:t xml:space="preserve"> </w:t>
      </w:r>
      <w:r w:rsidR="0093051C" w:rsidRPr="00BF66E0">
        <w:rPr>
          <w:szCs w:val="24"/>
        </w:rPr>
        <w:t>that</w:t>
      </w:r>
      <w:r w:rsidRPr="00BF66E0">
        <w:rPr>
          <w:szCs w:val="24"/>
        </w:rPr>
        <w:t xml:space="preserve"> contain generic principles and content </w:t>
      </w:r>
      <w:r w:rsidR="00251D8E" w:rsidRPr="00BF66E0">
        <w:rPr>
          <w:szCs w:val="24"/>
        </w:rPr>
        <w:t>in the following Sections:</w:t>
      </w:r>
    </w:p>
    <w:p w:rsidR="00251D8E" w:rsidRPr="00BF66E0" w:rsidRDefault="00251D8E" w:rsidP="003C2678">
      <w:pPr>
        <w:pStyle w:val="ListParagraph"/>
        <w:numPr>
          <w:ilvl w:val="0"/>
          <w:numId w:val="46"/>
        </w:numPr>
        <w:ind w:left="567" w:hanging="567"/>
        <w:rPr>
          <w:szCs w:val="24"/>
          <w:lang w:val="en-US"/>
        </w:rPr>
      </w:pPr>
      <w:r w:rsidRPr="00BF66E0">
        <w:rPr>
          <w:szCs w:val="24"/>
          <w:lang w:val="en-US"/>
        </w:rPr>
        <w:t>Philosophy of Integrated Service Delivery</w:t>
      </w:r>
    </w:p>
    <w:p w:rsidR="00251D8E" w:rsidRPr="00BF66E0" w:rsidRDefault="00251D8E" w:rsidP="003C2678">
      <w:pPr>
        <w:pStyle w:val="ListParagraph"/>
        <w:numPr>
          <w:ilvl w:val="0"/>
          <w:numId w:val="46"/>
        </w:numPr>
        <w:ind w:left="567" w:hanging="567"/>
        <w:rPr>
          <w:szCs w:val="24"/>
          <w:lang w:val="en-US"/>
        </w:rPr>
      </w:pPr>
      <w:r w:rsidRPr="00BF66E0">
        <w:rPr>
          <w:szCs w:val="24"/>
          <w:lang w:val="en-US"/>
        </w:rPr>
        <w:t>M</w:t>
      </w:r>
      <w:r w:rsidR="001E03FE">
        <w:rPr>
          <w:szCs w:val="24"/>
          <w:lang w:val="en-US"/>
        </w:rPr>
        <w:t>ā</w:t>
      </w:r>
      <w:r w:rsidRPr="00BF66E0">
        <w:rPr>
          <w:szCs w:val="24"/>
          <w:lang w:val="en-US"/>
        </w:rPr>
        <w:t>ori Health</w:t>
      </w:r>
    </w:p>
    <w:p w:rsidR="00251D8E" w:rsidRPr="00BF66E0" w:rsidRDefault="00251D8E" w:rsidP="003C2678">
      <w:pPr>
        <w:pStyle w:val="ListParagraph"/>
        <w:numPr>
          <w:ilvl w:val="0"/>
          <w:numId w:val="46"/>
        </w:numPr>
        <w:ind w:left="567" w:hanging="567"/>
        <w:rPr>
          <w:szCs w:val="24"/>
          <w:lang w:val="en-US"/>
        </w:rPr>
      </w:pPr>
      <w:r w:rsidRPr="00BF66E0">
        <w:rPr>
          <w:szCs w:val="24"/>
          <w:lang w:val="en-US"/>
        </w:rPr>
        <w:t>Access</w:t>
      </w:r>
    </w:p>
    <w:p w:rsidR="00251D8E" w:rsidRPr="00BF66E0" w:rsidRDefault="00251D8E" w:rsidP="003C2678">
      <w:pPr>
        <w:pStyle w:val="ListParagraph"/>
        <w:numPr>
          <w:ilvl w:val="0"/>
          <w:numId w:val="46"/>
        </w:numPr>
        <w:ind w:left="567" w:hanging="567"/>
        <w:rPr>
          <w:szCs w:val="24"/>
          <w:lang w:val="en-US"/>
        </w:rPr>
      </w:pPr>
      <w:r w:rsidRPr="00BF66E0">
        <w:rPr>
          <w:szCs w:val="24"/>
          <w:lang w:val="en-US"/>
        </w:rPr>
        <w:t>Service Components</w:t>
      </w:r>
    </w:p>
    <w:p w:rsidR="00251D8E" w:rsidRPr="00BF66E0" w:rsidRDefault="00251D8E" w:rsidP="003C2678">
      <w:pPr>
        <w:pStyle w:val="ListParagraph"/>
        <w:numPr>
          <w:ilvl w:val="0"/>
          <w:numId w:val="46"/>
        </w:numPr>
        <w:ind w:left="567" w:hanging="567"/>
        <w:rPr>
          <w:szCs w:val="24"/>
          <w:lang w:val="en-US"/>
        </w:rPr>
      </w:pPr>
      <w:r w:rsidRPr="00BF66E0">
        <w:rPr>
          <w:szCs w:val="24"/>
          <w:lang w:val="en-US"/>
        </w:rPr>
        <w:t>Support Services</w:t>
      </w:r>
    </w:p>
    <w:p w:rsidR="00251D8E" w:rsidRPr="00BF66E0" w:rsidRDefault="00251D8E" w:rsidP="003C2678">
      <w:pPr>
        <w:pStyle w:val="ListParagraph"/>
        <w:numPr>
          <w:ilvl w:val="0"/>
          <w:numId w:val="46"/>
        </w:numPr>
        <w:ind w:left="567" w:hanging="567"/>
        <w:rPr>
          <w:szCs w:val="24"/>
          <w:lang w:val="en-NZ"/>
        </w:rPr>
      </w:pPr>
      <w:r w:rsidRPr="00BF66E0">
        <w:rPr>
          <w:szCs w:val="24"/>
          <w:lang w:val="en-NZ"/>
        </w:rPr>
        <w:t>Service Linkages</w:t>
      </w:r>
    </w:p>
    <w:p w:rsidR="0012773D" w:rsidRPr="00BF66E0" w:rsidRDefault="00251D8E" w:rsidP="003C2678">
      <w:pPr>
        <w:pStyle w:val="ListParagraph"/>
        <w:numPr>
          <w:ilvl w:val="0"/>
          <w:numId w:val="46"/>
        </w:numPr>
        <w:ind w:left="567" w:hanging="567"/>
        <w:rPr>
          <w:szCs w:val="24"/>
          <w:lang w:val="en-US"/>
        </w:rPr>
      </w:pPr>
      <w:r w:rsidRPr="00BF66E0">
        <w:rPr>
          <w:szCs w:val="24"/>
          <w:lang w:val="en-US"/>
        </w:rPr>
        <w:t>Elective Services</w:t>
      </w:r>
    </w:p>
    <w:p w:rsidR="00251D8E" w:rsidRPr="00BF66E0" w:rsidRDefault="0012773D" w:rsidP="003C2678">
      <w:pPr>
        <w:pStyle w:val="ListParagraph"/>
        <w:numPr>
          <w:ilvl w:val="0"/>
          <w:numId w:val="46"/>
        </w:numPr>
        <w:ind w:left="567" w:hanging="567"/>
        <w:rPr>
          <w:szCs w:val="24"/>
          <w:lang w:val="en-US"/>
        </w:rPr>
      </w:pPr>
      <w:r w:rsidRPr="00BF66E0">
        <w:rPr>
          <w:rFonts w:cs="Arial"/>
          <w:szCs w:val="24"/>
        </w:rPr>
        <w:t>Pacific Health and Health for other Ethnic Groups.</w:t>
      </w:r>
    </w:p>
    <w:p w:rsidR="00E20F00" w:rsidRPr="00BF66E0" w:rsidRDefault="00E20F00" w:rsidP="003C2678">
      <w:pPr>
        <w:spacing w:before="120"/>
        <w:rPr>
          <w:szCs w:val="24"/>
          <w:lang w:val="en-US"/>
        </w:rPr>
      </w:pPr>
      <w:r w:rsidRPr="00BF66E0">
        <w:rPr>
          <w:szCs w:val="24"/>
        </w:rPr>
        <w:t>In addition</w:t>
      </w:r>
      <w:r w:rsidR="00227D0F" w:rsidRPr="00BF66E0">
        <w:rPr>
          <w:szCs w:val="24"/>
        </w:rPr>
        <w:t>, where appropriate, the Pain Management Service specification</w:t>
      </w:r>
      <w:r w:rsidR="00251D8E" w:rsidRPr="00BF66E0">
        <w:rPr>
          <w:szCs w:val="24"/>
        </w:rPr>
        <w:t xml:space="preserve"> will be</w:t>
      </w:r>
      <w:r w:rsidR="00227D0F" w:rsidRPr="00BF66E0">
        <w:rPr>
          <w:szCs w:val="24"/>
        </w:rPr>
        <w:t xml:space="preserve"> used in conjunction with the</w:t>
      </w:r>
      <w:r w:rsidRPr="00BF66E0">
        <w:rPr>
          <w:szCs w:val="24"/>
        </w:rPr>
        <w:t xml:space="preserve"> Tier One Community Health, Transitional and Support Services and, in particular, the Allied Health Services (non- inpatient) service specification.</w:t>
      </w:r>
    </w:p>
    <w:p w:rsidR="004D1F02" w:rsidRPr="004D1F02" w:rsidRDefault="004D1F02" w:rsidP="00BF66E0">
      <w:pPr>
        <w:spacing w:before="240" w:after="120"/>
        <w:rPr>
          <w:b/>
          <w:szCs w:val="24"/>
        </w:rPr>
      </w:pPr>
      <w:r w:rsidRPr="004D1F02">
        <w:rPr>
          <w:b/>
          <w:szCs w:val="24"/>
        </w:rPr>
        <w:t>Background</w:t>
      </w:r>
      <w:bookmarkStart w:id="1" w:name="_GoBack"/>
      <w:bookmarkEnd w:id="1"/>
    </w:p>
    <w:p w:rsidR="00166E60" w:rsidRPr="008633A7" w:rsidRDefault="00166E60" w:rsidP="00BF66E0">
      <w:pPr>
        <w:pStyle w:val="BodyText"/>
        <w:ind w:left="0"/>
      </w:pPr>
      <w:r w:rsidRPr="008633A7">
        <w:t>Approximately 16%</w:t>
      </w:r>
      <w:r w:rsidR="002F6A6E">
        <w:t xml:space="preserve"> </w:t>
      </w:r>
      <w:r w:rsidRPr="008633A7">
        <w:t>of New Zealanders suffer from persistent pain</w:t>
      </w:r>
      <w:r w:rsidR="002F6A6E">
        <w:rPr>
          <w:rStyle w:val="FootnoteReference"/>
        </w:rPr>
        <w:footnoteReference w:id="1"/>
      </w:r>
      <w:r w:rsidRPr="008633A7">
        <w:t xml:space="preserve">. Not all of these people need a persistent pain service. Cure of any underlying problem may or may not be possible. As such, the model for care of this common chronic problem once it is beyond the scope of primary care is of expert assessment, diagnosis and treatment, supported by Service User education in </w:t>
      </w:r>
      <w:r w:rsidR="000E4682" w:rsidRPr="008633A7">
        <w:t>self-management</w:t>
      </w:r>
      <w:r w:rsidRPr="008633A7">
        <w:t>.</w:t>
      </w:r>
      <w:r w:rsidR="00234C4E">
        <w:t xml:space="preserve"> </w:t>
      </w:r>
      <w:r w:rsidRPr="008633A7">
        <w:t xml:space="preserve">Once a Service User is stabilised, the aim is for them </w:t>
      </w:r>
      <w:r w:rsidR="004D1DBA" w:rsidRPr="008633A7">
        <w:t xml:space="preserve">to </w:t>
      </w:r>
      <w:r w:rsidR="00C431BD" w:rsidRPr="008633A7">
        <w:t xml:space="preserve">return to </w:t>
      </w:r>
      <w:r w:rsidR="000E4682" w:rsidRPr="008633A7">
        <w:t>self-care</w:t>
      </w:r>
      <w:r w:rsidR="00C431BD" w:rsidRPr="008633A7">
        <w:t xml:space="preserve"> management </w:t>
      </w:r>
      <w:r w:rsidRPr="008633A7">
        <w:t xml:space="preserve">within the primary </w:t>
      </w:r>
      <w:r w:rsidR="00016749" w:rsidRPr="008633A7">
        <w:t xml:space="preserve">health </w:t>
      </w:r>
      <w:r w:rsidRPr="008633A7">
        <w:t xml:space="preserve">care setting. </w:t>
      </w:r>
    </w:p>
    <w:p w:rsidR="00166E60" w:rsidRPr="008633A7" w:rsidRDefault="00166E60" w:rsidP="00927014">
      <w:pPr>
        <w:pStyle w:val="BodyText"/>
        <w:ind w:left="0"/>
      </w:pPr>
      <w:r w:rsidRPr="008633A7">
        <w:t>The complexity of managing persistent pain conditions requires the collaborative interaction of an interdisciplinary team with expertise in Pain Management.</w:t>
      </w:r>
      <w:r w:rsidR="00234C4E">
        <w:t xml:space="preserve"> </w:t>
      </w:r>
      <w:r w:rsidRPr="008633A7">
        <w:t xml:space="preserve">Each </w:t>
      </w:r>
      <w:r w:rsidR="00781839">
        <w:t>District Health Board (</w:t>
      </w:r>
      <w:r w:rsidRPr="008633A7">
        <w:t>DHB</w:t>
      </w:r>
      <w:r w:rsidR="00781839">
        <w:t>)</w:t>
      </w:r>
      <w:r w:rsidRPr="008633A7">
        <w:t xml:space="preserve"> will provide </w:t>
      </w:r>
      <w:r w:rsidR="00007E97">
        <w:t xml:space="preserve">access to </w:t>
      </w:r>
      <w:r w:rsidRPr="008633A7">
        <w:t xml:space="preserve">a </w:t>
      </w:r>
      <w:r w:rsidR="00C431BD" w:rsidRPr="008633A7">
        <w:t xml:space="preserve">Pain </w:t>
      </w:r>
      <w:r w:rsidR="00007E97">
        <w:t xml:space="preserve">Management </w:t>
      </w:r>
      <w:r w:rsidR="00C431BD" w:rsidRPr="008633A7">
        <w:t xml:space="preserve">Interdisciplinary </w:t>
      </w:r>
      <w:r w:rsidR="001528F9" w:rsidRPr="008633A7">
        <w:t>T</w:t>
      </w:r>
      <w:r w:rsidR="00C431BD" w:rsidRPr="008633A7">
        <w:t>eam</w:t>
      </w:r>
      <w:r w:rsidR="00860FD2" w:rsidRPr="008633A7">
        <w:t xml:space="preserve"> (IDT)</w:t>
      </w:r>
      <w:r w:rsidRPr="008633A7">
        <w:t xml:space="preserve">. </w:t>
      </w:r>
    </w:p>
    <w:p w:rsidR="009425A3" w:rsidRPr="000E4682" w:rsidRDefault="009425A3" w:rsidP="003C2678">
      <w:pPr>
        <w:pStyle w:val="Heading1"/>
        <w:spacing w:after="0"/>
        <w:rPr>
          <w:sz w:val="24"/>
          <w:szCs w:val="24"/>
        </w:rPr>
      </w:pPr>
      <w:r w:rsidRPr="000E4682">
        <w:rPr>
          <w:sz w:val="24"/>
          <w:szCs w:val="24"/>
        </w:rPr>
        <w:t>Service Definition</w:t>
      </w:r>
    </w:p>
    <w:p w:rsidR="002F6A6E" w:rsidRDefault="001C0948" w:rsidP="008341AA">
      <w:pPr>
        <w:pStyle w:val="BodyText"/>
        <w:spacing w:before="120"/>
        <w:ind w:left="0"/>
      </w:pPr>
      <w:r w:rsidRPr="004D1F02">
        <w:t xml:space="preserve">The Service provides a coordinated interdisciplinary service that is customised to meet the complexity of </w:t>
      </w:r>
      <w:r w:rsidR="00007E97">
        <w:t>biopsychosocial</w:t>
      </w:r>
      <w:r w:rsidR="002B5B56">
        <w:rPr>
          <w:rStyle w:val="FootnoteReference"/>
        </w:rPr>
        <w:footnoteReference w:id="2"/>
      </w:r>
      <w:r w:rsidR="00007E97">
        <w:t xml:space="preserve"> and functional </w:t>
      </w:r>
      <w:r w:rsidRPr="004D1F02">
        <w:t xml:space="preserve">needs of people referred with chronic </w:t>
      </w:r>
      <w:r w:rsidR="00636CB0">
        <w:t>or</w:t>
      </w:r>
      <w:r w:rsidRPr="004D1F02">
        <w:t xml:space="preserve"> acute persistent pain problems.</w:t>
      </w:r>
      <w:r w:rsidR="00234C4E">
        <w:t xml:space="preserve"> </w:t>
      </w:r>
      <w:r w:rsidR="00B74C7E" w:rsidRPr="004D1F02">
        <w:t>The delivery of this Service supports the continuum of care.</w:t>
      </w:r>
      <w:r w:rsidR="0000242C">
        <w:t xml:space="preserve"> </w:t>
      </w:r>
    </w:p>
    <w:p w:rsidR="00166E60" w:rsidRDefault="0087265B" w:rsidP="00927014">
      <w:pPr>
        <w:pStyle w:val="BodyText"/>
        <w:ind w:left="0"/>
      </w:pPr>
      <w:r w:rsidRPr="004D1F02">
        <w:t xml:space="preserve">There are </w:t>
      </w:r>
      <w:r w:rsidR="007D7F61">
        <w:t>t</w:t>
      </w:r>
      <w:r w:rsidRPr="004D1F02">
        <w:t>wo Service Levels (See Section 6.</w:t>
      </w:r>
      <w:r w:rsidR="00695655">
        <w:t>4</w:t>
      </w:r>
      <w:r w:rsidR="008341AA">
        <w:t xml:space="preserve"> below</w:t>
      </w:r>
      <w:r w:rsidRPr="004D1F02">
        <w:t>)</w:t>
      </w:r>
      <w:r w:rsidR="000E4682" w:rsidRPr="004D1F02">
        <w:t>.</w:t>
      </w:r>
    </w:p>
    <w:p w:rsidR="003D1561" w:rsidRPr="004D1F02" w:rsidRDefault="003D1561" w:rsidP="00927014">
      <w:pPr>
        <w:pStyle w:val="BodyText"/>
        <w:ind w:left="0"/>
      </w:pPr>
      <w:r>
        <w:t>A glossary of terms used in this service specification is provide</w:t>
      </w:r>
      <w:r w:rsidR="001E03FE">
        <w:t>d</w:t>
      </w:r>
      <w:r>
        <w:t xml:space="preserve"> in Section 10, below. </w:t>
      </w:r>
    </w:p>
    <w:p w:rsidR="009425A3" w:rsidRPr="000E4682" w:rsidRDefault="009425A3" w:rsidP="00E4274C">
      <w:pPr>
        <w:pStyle w:val="Heading1"/>
        <w:spacing w:before="0" w:after="0"/>
        <w:rPr>
          <w:sz w:val="24"/>
          <w:szCs w:val="24"/>
        </w:rPr>
      </w:pPr>
      <w:r w:rsidRPr="000E4682">
        <w:rPr>
          <w:sz w:val="24"/>
          <w:szCs w:val="24"/>
        </w:rPr>
        <w:lastRenderedPageBreak/>
        <w:t>Exclusions</w:t>
      </w:r>
    </w:p>
    <w:p w:rsidR="009425A3" w:rsidRPr="000E4682" w:rsidRDefault="009425A3" w:rsidP="003C2678">
      <w:pPr>
        <w:pStyle w:val="BodyText"/>
        <w:spacing w:before="120"/>
        <w:ind w:left="0"/>
      </w:pPr>
      <w:r w:rsidRPr="000E4682">
        <w:t xml:space="preserve">Funding for this Service will not duplicate services already funded by the </w:t>
      </w:r>
      <w:r w:rsidR="00781839">
        <w:t>DHB</w:t>
      </w:r>
      <w:r w:rsidRPr="000E4682">
        <w:t xml:space="preserve">, Ministry of Health (the Ministry) or where the responsibility for funding is with the Accident Compensation Corporation (ACC). </w:t>
      </w:r>
    </w:p>
    <w:p w:rsidR="009425A3" w:rsidRPr="000E4682" w:rsidRDefault="009425A3" w:rsidP="000E4682">
      <w:pPr>
        <w:pStyle w:val="Heading1"/>
        <w:spacing w:after="0"/>
        <w:ind w:left="567" w:hanging="567"/>
        <w:rPr>
          <w:sz w:val="24"/>
          <w:szCs w:val="24"/>
        </w:rPr>
      </w:pPr>
      <w:r w:rsidRPr="000E4682">
        <w:rPr>
          <w:sz w:val="24"/>
          <w:szCs w:val="24"/>
        </w:rPr>
        <w:t>Service Objectives</w:t>
      </w:r>
    </w:p>
    <w:p w:rsidR="009425A3" w:rsidRPr="000E4682" w:rsidRDefault="009425A3" w:rsidP="00932D1B">
      <w:pPr>
        <w:pStyle w:val="Heading2"/>
        <w:spacing w:before="120" w:after="0"/>
      </w:pPr>
      <w:r w:rsidRPr="000E4682">
        <w:t>General</w:t>
      </w:r>
    </w:p>
    <w:p w:rsidR="009425A3" w:rsidRPr="003870BB" w:rsidRDefault="009425A3" w:rsidP="00781839">
      <w:pPr>
        <w:pStyle w:val="BodyText"/>
        <w:tabs>
          <w:tab w:val="left" w:pos="5700"/>
        </w:tabs>
        <w:spacing w:before="120"/>
        <w:ind w:left="0"/>
      </w:pPr>
      <w:r w:rsidRPr="003870BB">
        <w:t>Key objectives for the Service include:</w:t>
      </w:r>
      <w:r w:rsidR="00781839">
        <w:tab/>
      </w:r>
    </w:p>
    <w:p w:rsidR="009425A3" w:rsidRPr="00151BF5" w:rsidRDefault="00227D0F" w:rsidP="00927014">
      <w:pPr>
        <w:pStyle w:val="ListParagraph"/>
        <w:numPr>
          <w:ilvl w:val="0"/>
          <w:numId w:val="43"/>
        </w:numPr>
        <w:ind w:left="425" w:hanging="567"/>
        <w:rPr>
          <w:szCs w:val="24"/>
        </w:rPr>
      </w:pPr>
      <w:r w:rsidRPr="00151BF5">
        <w:rPr>
          <w:szCs w:val="24"/>
        </w:rPr>
        <w:t xml:space="preserve">supporting </w:t>
      </w:r>
      <w:r w:rsidR="002F6A6E">
        <w:rPr>
          <w:szCs w:val="24"/>
        </w:rPr>
        <w:t xml:space="preserve">referrers’ </w:t>
      </w:r>
      <w:r w:rsidR="009425A3" w:rsidRPr="00151BF5">
        <w:rPr>
          <w:szCs w:val="24"/>
        </w:rPr>
        <w:t xml:space="preserve">early identification of </w:t>
      </w:r>
      <w:r w:rsidRPr="00151BF5">
        <w:rPr>
          <w:szCs w:val="24"/>
        </w:rPr>
        <w:t>individuals</w:t>
      </w:r>
      <w:r w:rsidR="009425A3" w:rsidRPr="00151BF5">
        <w:rPr>
          <w:szCs w:val="24"/>
        </w:rPr>
        <w:t xml:space="preserve"> who would benefit from </w:t>
      </w:r>
      <w:r w:rsidR="002F6A6E">
        <w:rPr>
          <w:szCs w:val="24"/>
        </w:rPr>
        <w:t xml:space="preserve">treatment by </w:t>
      </w:r>
      <w:r w:rsidR="009425A3" w:rsidRPr="00151BF5">
        <w:rPr>
          <w:szCs w:val="24"/>
        </w:rPr>
        <w:t>the Service</w:t>
      </w:r>
    </w:p>
    <w:p w:rsidR="00227D0F" w:rsidRPr="00227D0F" w:rsidRDefault="002F6A6E" w:rsidP="00927014">
      <w:pPr>
        <w:pStyle w:val="ListParagraph"/>
        <w:ind w:left="425" w:hanging="567"/>
        <w:rPr>
          <w:rFonts w:cs="Arial"/>
        </w:rPr>
      </w:pPr>
      <w:r>
        <w:rPr>
          <w:rFonts w:cs="Arial"/>
        </w:rPr>
        <w:t xml:space="preserve">commitment/ ability </w:t>
      </w:r>
      <w:r w:rsidR="00227D0F" w:rsidRPr="00227D0F">
        <w:rPr>
          <w:rFonts w:cs="Arial"/>
        </w:rPr>
        <w:t>to manage or improve a</w:t>
      </w:r>
      <w:r w:rsidR="00227D0F">
        <w:rPr>
          <w:rFonts w:cs="Arial"/>
        </w:rPr>
        <w:t xml:space="preserve"> Service User’s </w:t>
      </w:r>
      <w:r>
        <w:rPr>
          <w:rFonts w:cs="Arial"/>
        </w:rPr>
        <w:t>response to persistent pain</w:t>
      </w:r>
      <w:r w:rsidR="00227D0F" w:rsidRPr="00227D0F">
        <w:rPr>
          <w:rFonts w:cs="Arial"/>
        </w:rPr>
        <w:t>, within established clinical guidelines</w:t>
      </w:r>
      <w:r w:rsidR="00227D0F">
        <w:rPr>
          <w:rFonts w:cs="Arial"/>
        </w:rPr>
        <w:t>,</w:t>
      </w:r>
      <w:r w:rsidR="00227D0F" w:rsidRPr="00227D0F">
        <w:rPr>
          <w:rFonts w:cs="Arial"/>
        </w:rPr>
        <w:t xml:space="preserve"> </w:t>
      </w:r>
      <w:r w:rsidR="00227D0F" w:rsidRPr="00227D0F">
        <w:t xml:space="preserve">to ensure that </w:t>
      </w:r>
      <w:r w:rsidR="00227D0F">
        <w:t>they</w:t>
      </w:r>
      <w:r w:rsidR="00227D0F" w:rsidRPr="00227D0F">
        <w:t xml:space="preserve"> receive the necessary range of services, care and support within the timeframes </w:t>
      </w:r>
      <w:r>
        <w:t>set in their management plan</w:t>
      </w:r>
      <w:r w:rsidR="00227D0F" w:rsidRPr="00227D0F">
        <w:t>.</w:t>
      </w:r>
    </w:p>
    <w:p w:rsidR="00C431BD" w:rsidRPr="00AC49D2" w:rsidRDefault="007D7F61" w:rsidP="00927014">
      <w:pPr>
        <w:pStyle w:val="ListParagraph"/>
        <w:ind w:left="425" w:hanging="567"/>
        <w:rPr>
          <w:szCs w:val="24"/>
        </w:rPr>
      </w:pPr>
      <w:r w:rsidRPr="00AC49D2">
        <w:rPr>
          <w:szCs w:val="24"/>
        </w:rPr>
        <w:t>optimising Service User’s social rehabilitation, occupational, and educational performance</w:t>
      </w:r>
      <w:r w:rsidR="00227D0F">
        <w:rPr>
          <w:szCs w:val="24"/>
        </w:rPr>
        <w:t xml:space="preserve"> by</w:t>
      </w:r>
      <w:r w:rsidR="00227D0F" w:rsidRPr="00227D0F">
        <w:rPr>
          <w:szCs w:val="24"/>
          <w:lang w:val="en-NZ"/>
        </w:rPr>
        <w:t xml:space="preserve"> </w:t>
      </w:r>
      <w:r w:rsidR="00227D0F" w:rsidRPr="003870BB">
        <w:rPr>
          <w:szCs w:val="24"/>
          <w:lang w:val="en-NZ"/>
        </w:rPr>
        <w:t xml:space="preserve">maximising </w:t>
      </w:r>
      <w:r w:rsidR="00227D0F">
        <w:rPr>
          <w:szCs w:val="24"/>
          <w:lang w:val="en-NZ"/>
        </w:rPr>
        <w:t>their</w:t>
      </w:r>
      <w:r w:rsidR="00227D0F" w:rsidRPr="003870BB">
        <w:rPr>
          <w:szCs w:val="24"/>
          <w:lang w:val="en-NZ"/>
        </w:rPr>
        <w:t xml:space="preserve"> functioning</w:t>
      </w:r>
      <w:r w:rsidR="008341AA">
        <w:rPr>
          <w:szCs w:val="24"/>
          <w:lang w:val="en-NZ"/>
        </w:rPr>
        <w:t>,</w:t>
      </w:r>
      <w:r w:rsidR="00227D0F" w:rsidRPr="003870BB">
        <w:rPr>
          <w:szCs w:val="24"/>
          <w:lang w:val="en-NZ"/>
        </w:rPr>
        <w:t xml:space="preserve"> enhancing</w:t>
      </w:r>
      <w:r w:rsidR="008341AA">
        <w:rPr>
          <w:szCs w:val="24"/>
          <w:lang w:val="en-NZ"/>
        </w:rPr>
        <w:t xml:space="preserve"> their</w:t>
      </w:r>
      <w:r w:rsidR="00227D0F" w:rsidRPr="003870BB">
        <w:rPr>
          <w:szCs w:val="24"/>
          <w:lang w:val="en-NZ"/>
        </w:rPr>
        <w:t xml:space="preserve"> quality of life</w:t>
      </w:r>
      <w:r w:rsidR="00227D0F">
        <w:rPr>
          <w:szCs w:val="24"/>
          <w:lang w:val="en-NZ"/>
        </w:rPr>
        <w:t xml:space="preserve"> </w:t>
      </w:r>
      <w:r w:rsidR="008341AA">
        <w:rPr>
          <w:szCs w:val="24"/>
          <w:lang w:val="en-NZ"/>
        </w:rPr>
        <w:t xml:space="preserve">where possible, </w:t>
      </w:r>
      <w:r w:rsidR="00227D0F">
        <w:rPr>
          <w:szCs w:val="24"/>
          <w:lang w:val="en-NZ"/>
        </w:rPr>
        <w:t xml:space="preserve">and </w:t>
      </w:r>
      <w:r w:rsidR="00227D0F" w:rsidRPr="003870BB">
        <w:rPr>
          <w:szCs w:val="24"/>
        </w:rPr>
        <w:t>minimising the impact of pain</w:t>
      </w:r>
    </w:p>
    <w:p w:rsidR="00227D0F" w:rsidRPr="00007E97" w:rsidRDefault="00227D0F" w:rsidP="00927014">
      <w:pPr>
        <w:pStyle w:val="ListParagraph"/>
        <w:ind w:left="425" w:hanging="567"/>
        <w:rPr>
          <w:szCs w:val="24"/>
        </w:rPr>
      </w:pPr>
      <w:r>
        <w:rPr>
          <w:szCs w:val="24"/>
        </w:rPr>
        <w:t>e</w:t>
      </w:r>
      <w:r w:rsidR="000978EA" w:rsidRPr="003870BB">
        <w:rPr>
          <w:szCs w:val="24"/>
        </w:rPr>
        <w:t xml:space="preserve">nhancing </w:t>
      </w:r>
      <w:r>
        <w:rPr>
          <w:szCs w:val="24"/>
        </w:rPr>
        <w:t xml:space="preserve">the Service User’s </w:t>
      </w:r>
      <w:r w:rsidR="000978EA" w:rsidRPr="003870BB">
        <w:rPr>
          <w:szCs w:val="24"/>
        </w:rPr>
        <w:t xml:space="preserve">development of personal and </w:t>
      </w:r>
      <w:r w:rsidR="00071C59">
        <w:rPr>
          <w:szCs w:val="24"/>
        </w:rPr>
        <w:t>bio</w:t>
      </w:r>
      <w:r w:rsidR="000978EA" w:rsidRPr="003870BB">
        <w:rPr>
          <w:szCs w:val="24"/>
        </w:rPr>
        <w:t>psychosocial skills, and physical abilities</w:t>
      </w:r>
      <w:r w:rsidRPr="00227D0F">
        <w:t xml:space="preserve"> </w:t>
      </w:r>
      <w:r>
        <w:t xml:space="preserve">by </w:t>
      </w:r>
      <w:r w:rsidRPr="003870BB">
        <w:t xml:space="preserve">collaborating with </w:t>
      </w:r>
      <w:r>
        <w:t xml:space="preserve">Service User </w:t>
      </w:r>
      <w:r w:rsidRPr="003870BB">
        <w:t>to develop appropriate and effective self-management strategies for pain management</w:t>
      </w:r>
    </w:p>
    <w:p w:rsidR="00007E97" w:rsidRDefault="00007E97" w:rsidP="00927014">
      <w:pPr>
        <w:pStyle w:val="ListParagraph"/>
        <w:ind w:left="425" w:hanging="567"/>
      </w:pPr>
      <w:r w:rsidRPr="000E4682">
        <w:t xml:space="preserve">using pharmacological and </w:t>
      </w:r>
      <w:r>
        <w:t xml:space="preserve">/or </w:t>
      </w:r>
      <w:r w:rsidRPr="000E4682">
        <w:t xml:space="preserve">other interventions </w:t>
      </w:r>
      <w:r>
        <w:t xml:space="preserve">where appropriate </w:t>
      </w:r>
    </w:p>
    <w:p w:rsidR="00227D0F" w:rsidRDefault="00227D0F" w:rsidP="00927014">
      <w:pPr>
        <w:pStyle w:val="ListParagraph"/>
        <w:ind w:left="425" w:hanging="567"/>
        <w:rPr>
          <w:szCs w:val="24"/>
        </w:rPr>
      </w:pPr>
      <w:r w:rsidRPr="003870BB">
        <w:rPr>
          <w:szCs w:val="24"/>
        </w:rPr>
        <w:t>collaborating with other disciplines to develop appropriate and effective self-management strategies for pain management</w:t>
      </w:r>
    </w:p>
    <w:p w:rsidR="00227D0F" w:rsidRPr="003870BB" w:rsidRDefault="00227D0F" w:rsidP="00927014">
      <w:pPr>
        <w:pStyle w:val="ListParagraph"/>
        <w:ind w:left="425" w:hanging="567"/>
        <w:rPr>
          <w:szCs w:val="24"/>
        </w:rPr>
      </w:pPr>
      <w:r w:rsidRPr="003870BB">
        <w:rPr>
          <w:szCs w:val="24"/>
        </w:rPr>
        <w:t xml:space="preserve">collaborating with other </w:t>
      </w:r>
      <w:r>
        <w:rPr>
          <w:szCs w:val="24"/>
        </w:rPr>
        <w:t>health professionals to educate,</w:t>
      </w:r>
      <w:r w:rsidRPr="00227D0F">
        <w:rPr>
          <w:szCs w:val="24"/>
        </w:rPr>
        <w:t xml:space="preserve"> </w:t>
      </w:r>
      <w:r w:rsidRPr="003870BB">
        <w:rPr>
          <w:szCs w:val="24"/>
        </w:rPr>
        <w:t>identify</w:t>
      </w:r>
      <w:r>
        <w:rPr>
          <w:szCs w:val="24"/>
        </w:rPr>
        <w:t xml:space="preserve"> </w:t>
      </w:r>
      <w:r w:rsidRPr="003870BB">
        <w:rPr>
          <w:szCs w:val="24"/>
        </w:rPr>
        <w:t>and prom</w:t>
      </w:r>
      <w:r>
        <w:rPr>
          <w:szCs w:val="24"/>
        </w:rPr>
        <w:t>ote</w:t>
      </w:r>
      <w:r w:rsidRPr="003870BB">
        <w:rPr>
          <w:szCs w:val="24"/>
        </w:rPr>
        <w:t xml:space="preserve"> the appropriate use of health care services to minimise over-medicalisation and over-investigation</w:t>
      </w:r>
    </w:p>
    <w:p w:rsidR="009425A3" w:rsidRPr="003870BB" w:rsidRDefault="00AC49D2" w:rsidP="00927014">
      <w:pPr>
        <w:pStyle w:val="ListParagraph"/>
        <w:ind w:left="425" w:hanging="567"/>
        <w:rPr>
          <w:szCs w:val="24"/>
        </w:rPr>
      </w:pPr>
      <w:r w:rsidRPr="00227D0F">
        <w:rPr>
          <w:szCs w:val="24"/>
        </w:rPr>
        <w:t xml:space="preserve">(for inpatients) </w:t>
      </w:r>
      <w:r w:rsidR="00692896" w:rsidRPr="00227D0F">
        <w:rPr>
          <w:rFonts w:cs="Arial"/>
          <w:szCs w:val="24"/>
        </w:rPr>
        <w:t xml:space="preserve">earlier discharge of the Service User with </w:t>
      </w:r>
      <w:r w:rsidR="00227D0F" w:rsidRPr="00227D0F">
        <w:rPr>
          <w:rFonts w:cs="Arial"/>
          <w:szCs w:val="24"/>
        </w:rPr>
        <w:t xml:space="preserve">appropriate </w:t>
      </w:r>
      <w:r w:rsidR="005C409C">
        <w:rPr>
          <w:rFonts w:cs="Arial"/>
          <w:szCs w:val="24"/>
        </w:rPr>
        <w:t xml:space="preserve">follow up care in the community </w:t>
      </w:r>
      <w:r w:rsidR="009425A3" w:rsidRPr="003870BB">
        <w:rPr>
          <w:szCs w:val="24"/>
        </w:rPr>
        <w:t>using pharmacological and other interventions to reduce the pain intensity</w:t>
      </w:r>
      <w:r w:rsidR="00160D24">
        <w:rPr>
          <w:szCs w:val="24"/>
        </w:rPr>
        <w:t>, where possible</w:t>
      </w:r>
      <w:r w:rsidR="008E5C66">
        <w:rPr>
          <w:szCs w:val="24"/>
        </w:rPr>
        <w:t>.</w:t>
      </w:r>
    </w:p>
    <w:p w:rsidR="009425A3" w:rsidRPr="000E4682" w:rsidRDefault="009425A3" w:rsidP="00BA449C">
      <w:pPr>
        <w:pStyle w:val="Heading2"/>
        <w:ind w:hanging="596"/>
      </w:pPr>
      <w:r w:rsidRPr="000E4682">
        <w:t>M</w:t>
      </w:r>
      <w:r w:rsidR="008341AA">
        <w:t>ā</w:t>
      </w:r>
      <w:r w:rsidRPr="000E4682">
        <w:t>ori Health</w:t>
      </w:r>
    </w:p>
    <w:p w:rsidR="009425A3" w:rsidRPr="000E4682" w:rsidRDefault="009425A3" w:rsidP="003C2678">
      <w:pPr>
        <w:pStyle w:val="BodyText"/>
        <w:ind w:left="0"/>
      </w:pPr>
      <w:r w:rsidRPr="000E4682">
        <w:t xml:space="preserve">Refer to Tier One Specialist Medical and Surgical Services </w:t>
      </w:r>
      <w:r w:rsidR="004D1F02">
        <w:t>or</w:t>
      </w:r>
      <w:r w:rsidRPr="000E4682">
        <w:t xml:space="preserve"> Tier One Children and Young Peoples Services service specifications</w:t>
      </w:r>
      <w:r w:rsidR="004D1F02">
        <w:t>, as age appropriate</w:t>
      </w:r>
      <w:r w:rsidRPr="000E4682">
        <w:t>.</w:t>
      </w:r>
    </w:p>
    <w:p w:rsidR="009425A3" w:rsidRPr="008341AA" w:rsidRDefault="009425A3" w:rsidP="00674532">
      <w:pPr>
        <w:pStyle w:val="Heading1"/>
        <w:rPr>
          <w:sz w:val="24"/>
          <w:szCs w:val="24"/>
        </w:rPr>
      </w:pPr>
      <w:r w:rsidRPr="008341AA">
        <w:rPr>
          <w:sz w:val="24"/>
          <w:szCs w:val="24"/>
        </w:rPr>
        <w:t>Service Users</w:t>
      </w:r>
    </w:p>
    <w:p w:rsidR="00CC75B1" w:rsidRPr="000E4682" w:rsidRDefault="0013668A" w:rsidP="00927014">
      <w:pPr>
        <w:pStyle w:val="BodyText"/>
        <w:ind w:left="0"/>
      </w:pPr>
      <w:r>
        <w:t xml:space="preserve">Service Users are </w:t>
      </w:r>
      <w:r w:rsidR="00B173A3">
        <w:t>E</w:t>
      </w:r>
      <w:r w:rsidR="00CC75B1" w:rsidRPr="000E4682">
        <w:t>ligible</w:t>
      </w:r>
      <w:r w:rsidR="00CC75B1" w:rsidRPr="000E4682">
        <w:rPr>
          <w:rStyle w:val="FootnoteReference"/>
          <w:rFonts w:cs="Arial"/>
          <w:szCs w:val="24"/>
        </w:rPr>
        <w:footnoteReference w:id="3"/>
      </w:r>
      <w:r w:rsidR="00CC75B1" w:rsidRPr="000E4682">
        <w:t xml:space="preserve"> people of any age who </w:t>
      </w:r>
      <w:r w:rsidR="00CC75B1">
        <w:t>meet the entry criteria in Section 5.1</w:t>
      </w:r>
      <w:r w:rsidR="008341AA">
        <w:t xml:space="preserve"> below</w:t>
      </w:r>
      <w:r w:rsidR="00CC75B1">
        <w:t>.</w:t>
      </w:r>
    </w:p>
    <w:p w:rsidR="002B43CA" w:rsidRPr="000E4682" w:rsidRDefault="0013668A" w:rsidP="00927014">
      <w:pPr>
        <w:pStyle w:val="BodyText"/>
        <w:ind w:left="0"/>
      </w:pPr>
      <w:r>
        <w:t>W</w:t>
      </w:r>
      <w:r w:rsidR="00CC75B1">
        <w:t>here appropriate</w:t>
      </w:r>
      <w:r>
        <w:t xml:space="preserve"> the Service User’s</w:t>
      </w:r>
      <w:r w:rsidR="00CC75B1">
        <w:t xml:space="preserve"> </w:t>
      </w:r>
      <w:r w:rsidR="002B43CA" w:rsidRPr="002B43CA">
        <w:t xml:space="preserve">family / </w:t>
      </w:r>
      <w:r>
        <w:t>whānau</w:t>
      </w:r>
      <w:r w:rsidR="003D1561">
        <w:t xml:space="preserve"> </w:t>
      </w:r>
      <w:r>
        <w:t>/ carer are included</w:t>
      </w:r>
      <w:r w:rsidR="004F7081">
        <w:t xml:space="preserve"> - </w:t>
      </w:r>
      <w:r w:rsidR="00227D0F">
        <w:t>this</w:t>
      </w:r>
      <w:r w:rsidR="002B43CA" w:rsidRPr="002B43CA">
        <w:t xml:space="preserve"> is particularly important for children and young people</w:t>
      </w:r>
      <w:r w:rsidR="002B43CA">
        <w:t>.</w:t>
      </w:r>
    </w:p>
    <w:p w:rsidR="009425A3" w:rsidRPr="000E4682" w:rsidRDefault="009425A3" w:rsidP="000E4682">
      <w:pPr>
        <w:pStyle w:val="Heading1"/>
        <w:spacing w:after="0"/>
        <w:rPr>
          <w:sz w:val="24"/>
          <w:szCs w:val="24"/>
        </w:rPr>
      </w:pPr>
      <w:r w:rsidRPr="000E4682">
        <w:rPr>
          <w:sz w:val="24"/>
          <w:szCs w:val="24"/>
        </w:rPr>
        <w:t>Access</w:t>
      </w:r>
    </w:p>
    <w:p w:rsidR="009425A3" w:rsidRPr="000E4682" w:rsidRDefault="009425A3" w:rsidP="00BA449C">
      <w:pPr>
        <w:pStyle w:val="Heading2"/>
        <w:spacing w:before="120"/>
        <w:ind w:hanging="596"/>
      </w:pPr>
      <w:r w:rsidRPr="00CD60AF">
        <w:t>Entry</w:t>
      </w:r>
      <w:r w:rsidRPr="000E4682">
        <w:t xml:space="preserve"> </w:t>
      </w:r>
      <w:r w:rsidR="00AB3687">
        <w:t>Criteria</w:t>
      </w:r>
    </w:p>
    <w:p w:rsidR="00227D0F" w:rsidRDefault="002814F2" w:rsidP="00AD0D07">
      <w:pPr>
        <w:pStyle w:val="BodyText"/>
        <w:ind w:left="0"/>
      </w:pPr>
      <w:r w:rsidRPr="000E4682">
        <w:t>People of any age who are</w:t>
      </w:r>
      <w:r w:rsidR="00227D0F">
        <w:t>:</w:t>
      </w:r>
    </w:p>
    <w:p w:rsidR="00227D0F" w:rsidRDefault="002814F2" w:rsidP="003C2678">
      <w:pPr>
        <w:pStyle w:val="ListParagraph"/>
        <w:ind w:hanging="567"/>
      </w:pPr>
      <w:r w:rsidRPr="000E4682">
        <w:t>experiencing persistent pain</w:t>
      </w:r>
      <w:r w:rsidR="00BA3618" w:rsidRPr="00BA3618">
        <w:t xml:space="preserve"> </w:t>
      </w:r>
      <w:r w:rsidR="006C6230">
        <w:rPr>
          <w:rStyle w:val="FootnoteReference"/>
        </w:rPr>
        <w:footnoteReference w:id="4"/>
      </w:r>
      <w:r w:rsidR="00BA3618" w:rsidRPr="000E4682">
        <w:t>that cannot be managed by other health services</w:t>
      </w:r>
      <w:r w:rsidR="00227D0F">
        <w:t>,</w:t>
      </w:r>
      <w:r w:rsidRPr="000E4682">
        <w:t xml:space="preserve"> and </w:t>
      </w:r>
    </w:p>
    <w:p w:rsidR="00BA3618" w:rsidRPr="000E4682" w:rsidRDefault="002814F2" w:rsidP="003C2678">
      <w:pPr>
        <w:pStyle w:val="ListParagraph"/>
        <w:ind w:hanging="567"/>
      </w:pPr>
      <w:r w:rsidRPr="00227D0F">
        <w:lastRenderedPageBreak/>
        <w:t xml:space="preserve">likely to benefit from specialist </w:t>
      </w:r>
      <w:r w:rsidR="00227D0F" w:rsidRPr="00227D0F">
        <w:t xml:space="preserve">pain </w:t>
      </w:r>
      <w:r w:rsidRPr="00227D0F">
        <w:t>assessment</w:t>
      </w:r>
      <w:r w:rsidR="000E0157">
        <w:t>,</w:t>
      </w:r>
      <w:r w:rsidRPr="00227D0F">
        <w:t xml:space="preserve"> management</w:t>
      </w:r>
      <w:r w:rsidR="004F7081">
        <w:t xml:space="preserve"> </w:t>
      </w:r>
      <w:r w:rsidR="004F7081" w:rsidRPr="00B83DA3">
        <w:t>and treatment</w:t>
      </w:r>
      <w:r w:rsidR="00071C59" w:rsidRPr="00B83DA3">
        <w:t>.</w:t>
      </w:r>
      <w:r w:rsidR="001C0948" w:rsidRPr="00B83DA3">
        <w:t xml:space="preserve"> </w:t>
      </w:r>
    </w:p>
    <w:p w:rsidR="00D12C01" w:rsidRPr="00CD60AF" w:rsidRDefault="00D12C01" w:rsidP="00AD0D07">
      <w:pPr>
        <w:pStyle w:val="Heading2"/>
        <w:ind w:left="567" w:hanging="567"/>
      </w:pPr>
      <w:r w:rsidRPr="00CD60AF">
        <w:t>Referral to the Service</w:t>
      </w:r>
    </w:p>
    <w:p w:rsidR="00AB3687" w:rsidRDefault="00115AEE" w:rsidP="008341AA">
      <w:pPr>
        <w:pStyle w:val="BodyText"/>
        <w:spacing w:before="120"/>
        <w:ind w:left="0"/>
      </w:pPr>
      <w:r w:rsidRPr="00CD60AF">
        <w:t>Referral to the Service will be from</w:t>
      </w:r>
      <w:r w:rsidR="00007E97" w:rsidRPr="00007E97">
        <w:t xml:space="preserve"> </w:t>
      </w:r>
      <w:r w:rsidR="00007E97">
        <w:t>Registered Medical Practi</w:t>
      </w:r>
      <w:r w:rsidR="005D5B47">
        <w:t>ti</w:t>
      </w:r>
      <w:r w:rsidR="00007E97">
        <w:t>oners</w:t>
      </w:r>
      <w:r w:rsidR="00007E97" w:rsidRPr="00CD60AF" w:rsidDel="00007E97">
        <w:t xml:space="preserve"> </w:t>
      </w:r>
      <w:r w:rsidR="00F146E1">
        <w:t>or</w:t>
      </w:r>
      <w:r w:rsidR="004F7081">
        <w:t xml:space="preserve"> </w:t>
      </w:r>
      <w:r w:rsidR="000B7D11">
        <w:t xml:space="preserve">Registered </w:t>
      </w:r>
      <w:r w:rsidR="004F7081">
        <w:t xml:space="preserve">Allied Health </w:t>
      </w:r>
      <w:r w:rsidR="000B7D11">
        <w:t>P</w:t>
      </w:r>
      <w:r w:rsidR="004F7081">
        <w:t>rofessionals</w:t>
      </w:r>
      <w:r w:rsidR="000B7D11">
        <w:t xml:space="preserve"> </w:t>
      </w:r>
      <w:r w:rsidR="00F146E1">
        <w:t xml:space="preserve">as detailed in </w:t>
      </w:r>
      <w:r w:rsidR="005978F8">
        <w:t xml:space="preserve">Service User’s </w:t>
      </w:r>
      <w:r w:rsidR="00F146E1">
        <w:t>care pathway</w:t>
      </w:r>
      <w:r w:rsidR="005D5B47">
        <w:t>.</w:t>
      </w:r>
      <w:r w:rsidR="000B7D11">
        <w:t xml:space="preserve"> </w:t>
      </w:r>
    </w:p>
    <w:p w:rsidR="00C431BD" w:rsidRPr="000E4682" w:rsidRDefault="002A240F" w:rsidP="003C2678">
      <w:pPr>
        <w:pStyle w:val="BodyText"/>
        <w:ind w:left="0"/>
        <w:rPr>
          <w:rFonts w:cs="Arial"/>
          <w:szCs w:val="24"/>
        </w:rPr>
      </w:pPr>
      <w:r w:rsidRPr="00CD60AF">
        <w:t>Eligible people who will benefit from provision of pain management services have often had a number of procedures and investigations carried out to establish a clinical need for referral</w:t>
      </w:r>
      <w:r w:rsidRPr="000E4682">
        <w:rPr>
          <w:rFonts w:cs="Arial"/>
          <w:szCs w:val="24"/>
        </w:rPr>
        <w:t xml:space="preserve"> to the Service. </w:t>
      </w:r>
    </w:p>
    <w:p w:rsidR="009425A3" w:rsidRPr="000E4682" w:rsidRDefault="009425A3" w:rsidP="00D92500">
      <w:pPr>
        <w:pStyle w:val="Heading2"/>
        <w:ind w:hanging="596"/>
      </w:pPr>
      <w:r w:rsidRPr="000E4682">
        <w:t xml:space="preserve">Exit </w:t>
      </w:r>
      <w:r w:rsidR="00AB3687">
        <w:t>C</w:t>
      </w:r>
      <w:r w:rsidRPr="000E4682">
        <w:t>riteria</w:t>
      </w:r>
    </w:p>
    <w:p w:rsidR="009425A3" w:rsidRPr="000E4682" w:rsidRDefault="009425A3" w:rsidP="003C2678">
      <w:pPr>
        <w:pStyle w:val="BodyText"/>
        <w:ind w:left="567" w:hanging="567"/>
      </w:pPr>
      <w:r w:rsidRPr="000E4682">
        <w:t>The Service User</w:t>
      </w:r>
      <w:r w:rsidR="00CC75B1">
        <w:t xml:space="preserve"> exits the Service when they:</w:t>
      </w:r>
    </w:p>
    <w:p w:rsidR="009425A3" w:rsidRPr="004D1F02" w:rsidRDefault="009425A3" w:rsidP="003C2678">
      <w:pPr>
        <w:pStyle w:val="ListParagraph"/>
        <w:ind w:hanging="567"/>
      </w:pPr>
      <w:r w:rsidRPr="004D1F02">
        <w:t xml:space="preserve">no </w:t>
      </w:r>
      <w:r w:rsidRPr="00151BF5">
        <w:t>longer</w:t>
      </w:r>
      <w:r w:rsidRPr="004D1F02">
        <w:t xml:space="preserve"> h</w:t>
      </w:r>
      <w:r w:rsidR="00CC75B1">
        <w:t xml:space="preserve">ave </w:t>
      </w:r>
      <w:r w:rsidRPr="004D1F02">
        <w:t>pain, or</w:t>
      </w:r>
    </w:p>
    <w:p w:rsidR="009425A3" w:rsidRPr="004D1F02" w:rsidRDefault="009425A3" w:rsidP="003C2678">
      <w:pPr>
        <w:pStyle w:val="ListParagraph"/>
        <w:ind w:hanging="567"/>
        <w:rPr>
          <w:szCs w:val="24"/>
        </w:rPr>
      </w:pPr>
      <w:r w:rsidRPr="004D1F02">
        <w:rPr>
          <w:szCs w:val="24"/>
        </w:rPr>
        <w:t>ha</w:t>
      </w:r>
      <w:r w:rsidR="00CC75B1">
        <w:rPr>
          <w:szCs w:val="24"/>
        </w:rPr>
        <w:t xml:space="preserve">ve </w:t>
      </w:r>
      <w:r w:rsidRPr="004D1F02">
        <w:rPr>
          <w:szCs w:val="24"/>
        </w:rPr>
        <w:t>successfully completed their pain</w:t>
      </w:r>
      <w:r w:rsidR="00234C4E">
        <w:rPr>
          <w:szCs w:val="24"/>
        </w:rPr>
        <w:t xml:space="preserve"> </w:t>
      </w:r>
      <w:r w:rsidRPr="004D1F02">
        <w:rPr>
          <w:szCs w:val="24"/>
        </w:rPr>
        <w:t>management plan, or</w:t>
      </w:r>
    </w:p>
    <w:p w:rsidR="00860FD2" w:rsidRDefault="00CC75B1" w:rsidP="003C2678">
      <w:pPr>
        <w:pStyle w:val="ListParagraph"/>
        <w:ind w:hanging="567"/>
        <w:rPr>
          <w:szCs w:val="24"/>
        </w:rPr>
      </w:pPr>
      <w:r>
        <w:rPr>
          <w:szCs w:val="24"/>
        </w:rPr>
        <w:t xml:space="preserve">are </w:t>
      </w:r>
      <w:r w:rsidR="009425A3" w:rsidRPr="004D1F02">
        <w:rPr>
          <w:szCs w:val="24"/>
        </w:rPr>
        <w:t xml:space="preserve">clinically assessed as having their pain under better control, or </w:t>
      </w:r>
    </w:p>
    <w:p w:rsidR="009425A3" w:rsidRPr="004D1F02" w:rsidRDefault="009425A3" w:rsidP="003C2678">
      <w:pPr>
        <w:pStyle w:val="ListParagraph"/>
        <w:ind w:hanging="567"/>
        <w:rPr>
          <w:szCs w:val="24"/>
        </w:rPr>
      </w:pPr>
      <w:r w:rsidRPr="004D1F02">
        <w:rPr>
          <w:szCs w:val="24"/>
        </w:rPr>
        <w:t>no longer benefiting from receiving the Service, or</w:t>
      </w:r>
    </w:p>
    <w:p w:rsidR="009425A3" w:rsidRPr="004D1F02" w:rsidRDefault="00CC75B1" w:rsidP="003C2678">
      <w:pPr>
        <w:pStyle w:val="ListParagraph"/>
        <w:ind w:hanging="567"/>
      </w:pPr>
      <w:r>
        <w:t>are</w:t>
      </w:r>
      <w:r w:rsidR="009425A3" w:rsidRPr="004D1F02">
        <w:t xml:space="preserve"> discharged / transferred, with a management plan, to </w:t>
      </w:r>
      <w:r w:rsidR="008341AA">
        <w:t xml:space="preserve">a </w:t>
      </w:r>
      <w:r w:rsidR="009425A3" w:rsidRPr="004D1F02">
        <w:t>Primary Health Care Provider or another service, or</w:t>
      </w:r>
    </w:p>
    <w:p w:rsidR="009425A3" w:rsidRPr="004D1F02" w:rsidRDefault="009425A3" w:rsidP="003C2678">
      <w:pPr>
        <w:pStyle w:val="ListParagraph"/>
        <w:ind w:hanging="567"/>
        <w:rPr>
          <w:szCs w:val="24"/>
        </w:rPr>
      </w:pPr>
      <w:r w:rsidRPr="004D1F02">
        <w:rPr>
          <w:szCs w:val="24"/>
        </w:rPr>
        <w:t>voluntarily exit the Service, or</w:t>
      </w:r>
    </w:p>
    <w:p w:rsidR="009425A3" w:rsidRPr="0093051C" w:rsidRDefault="00CC75B1" w:rsidP="003C2678">
      <w:pPr>
        <w:pStyle w:val="ListParagraph"/>
        <w:ind w:hanging="567"/>
      </w:pPr>
      <w:r w:rsidRPr="0093051C">
        <w:t>are</w:t>
      </w:r>
      <w:r w:rsidR="009425A3" w:rsidRPr="0093051C">
        <w:t xml:space="preserve"> deceased.</w:t>
      </w:r>
    </w:p>
    <w:p w:rsidR="00BE37B6" w:rsidRPr="008341AA" w:rsidRDefault="00BE37B6" w:rsidP="00BE37B6">
      <w:pPr>
        <w:pStyle w:val="Heading1"/>
        <w:rPr>
          <w:sz w:val="24"/>
          <w:szCs w:val="24"/>
        </w:rPr>
      </w:pPr>
      <w:r w:rsidRPr="008341AA">
        <w:rPr>
          <w:sz w:val="24"/>
          <w:szCs w:val="24"/>
        </w:rPr>
        <w:t>Service Components</w:t>
      </w:r>
    </w:p>
    <w:p w:rsidR="009425A3" w:rsidRPr="000E4682" w:rsidRDefault="009425A3" w:rsidP="001E03FE">
      <w:pPr>
        <w:pStyle w:val="Heading2"/>
        <w:spacing w:before="120"/>
        <w:ind w:hanging="596"/>
      </w:pPr>
      <w:r w:rsidRPr="00BE37B6">
        <w:t>General</w:t>
      </w:r>
    </w:p>
    <w:p w:rsidR="009425A3" w:rsidRPr="000E4682" w:rsidRDefault="009425A3" w:rsidP="003C2678">
      <w:pPr>
        <w:pStyle w:val="BodyText"/>
        <w:ind w:left="142"/>
      </w:pPr>
      <w:r w:rsidRPr="00227D0F">
        <w:t>Principles applied to the service components below are detailed in</w:t>
      </w:r>
      <w:r w:rsidRPr="000E4682">
        <w:t xml:space="preserve"> the Tier One Specialist Medical and Surgical Services </w:t>
      </w:r>
      <w:r w:rsidR="00472886">
        <w:t xml:space="preserve">and Services for Children and Young People </w:t>
      </w:r>
      <w:r w:rsidRPr="000E4682">
        <w:t>service specification</w:t>
      </w:r>
      <w:r w:rsidR="00472886">
        <w:t>s</w:t>
      </w:r>
      <w:r w:rsidRPr="000E4682">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01"/>
        <w:gridCol w:w="8080"/>
      </w:tblGrid>
      <w:tr w:rsidR="009425A3" w:rsidRPr="001219ED" w:rsidTr="00AD0D07">
        <w:trPr>
          <w:tblHeader/>
        </w:trPr>
        <w:tc>
          <w:tcPr>
            <w:tcW w:w="1701" w:type="dxa"/>
            <w:tcBorders>
              <w:top w:val="single" w:sz="4" w:space="0" w:color="auto"/>
              <w:left w:val="single" w:sz="4" w:space="0" w:color="auto"/>
              <w:bottom w:val="single" w:sz="6" w:space="0" w:color="auto"/>
              <w:right w:val="single" w:sz="6" w:space="0" w:color="auto"/>
            </w:tcBorders>
            <w:shd w:val="clear" w:color="auto" w:fill="E0E0E0"/>
            <w:hideMark/>
          </w:tcPr>
          <w:p w:rsidR="009425A3" w:rsidRPr="001219ED" w:rsidRDefault="009425A3" w:rsidP="000E4682">
            <w:pPr>
              <w:rPr>
                <w:rFonts w:cs="Arial"/>
                <w:b/>
                <w:sz w:val="22"/>
                <w:szCs w:val="22"/>
              </w:rPr>
            </w:pPr>
            <w:r w:rsidRPr="001219ED">
              <w:rPr>
                <w:rFonts w:cs="Arial"/>
                <w:b/>
                <w:sz w:val="22"/>
                <w:szCs w:val="22"/>
              </w:rPr>
              <w:br w:type="page"/>
              <w:t>Service Component</w:t>
            </w:r>
          </w:p>
        </w:tc>
        <w:tc>
          <w:tcPr>
            <w:tcW w:w="8080" w:type="dxa"/>
            <w:tcBorders>
              <w:top w:val="single" w:sz="4" w:space="0" w:color="auto"/>
              <w:left w:val="single" w:sz="6" w:space="0" w:color="auto"/>
              <w:bottom w:val="single" w:sz="6" w:space="0" w:color="auto"/>
              <w:right w:val="single" w:sz="4" w:space="0" w:color="auto"/>
            </w:tcBorders>
            <w:shd w:val="clear" w:color="auto" w:fill="E0E0E0"/>
            <w:hideMark/>
          </w:tcPr>
          <w:p w:rsidR="009425A3" w:rsidRPr="001219ED" w:rsidRDefault="009425A3" w:rsidP="000E4682">
            <w:pPr>
              <w:rPr>
                <w:rFonts w:cs="Arial"/>
                <w:b/>
                <w:sz w:val="22"/>
                <w:szCs w:val="22"/>
              </w:rPr>
            </w:pPr>
            <w:r w:rsidRPr="001219ED">
              <w:rPr>
                <w:rFonts w:cs="Arial"/>
                <w:b/>
                <w:sz w:val="22"/>
                <w:szCs w:val="22"/>
              </w:rPr>
              <w:t>Description</w:t>
            </w:r>
          </w:p>
        </w:tc>
      </w:tr>
      <w:tr w:rsidR="009425A3" w:rsidRPr="001219ED" w:rsidTr="00AD0D07">
        <w:trPr>
          <w:trHeight w:val="1978"/>
        </w:trPr>
        <w:tc>
          <w:tcPr>
            <w:tcW w:w="1701" w:type="dxa"/>
            <w:tcBorders>
              <w:top w:val="single" w:sz="6" w:space="0" w:color="auto"/>
              <w:left w:val="single" w:sz="4" w:space="0" w:color="auto"/>
              <w:bottom w:val="single" w:sz="6" w:space="0" w:color="auto"/>
              <w:right w:val="single" w:sz="6" w:space="0" w:color="auto"/>
            </w:tcBorders>
            <w:hideMark/>
          </w:tcPr>
          <w:p w:rsidR="009425A3" w:rsidRPr="001219ED" w:rsidRDefault="009425A3" w:rsidP="00AD0D07">
            <w:pPr>
              <w:spacing w:before="60"/>
              <w:rPr>
                <w:rFonts w:cs="Arial"/>
                <w:b/>
                <w:sz w:val="22"/>
                <w:szCs w:val="22"/>
              </w:rPr>
            </w:pPr>
            <w:r w:rsidRPr="001219ED">
              <w:rPr>
                <w:rFonts w:cs="Arial"/>
                <w:b/>
                <w:sz w:val="22"/>
                <w:szCs w:val="22"/>
              </w:rPr>
              <w:t>Referral management</w:t>
            </w:r>
          </w:p>
        </w:tc>
        <w:tc>
          <w:tcPr>
            <w:tcW w:w="8080" w:type="dxa"/>
            <w:tcBorders>
              <w:top w:val="single" w:sz="6" w:space="0" w:color="auto"/>
              <w:left w:val="single" w:sz="6" w:space="0" w:color="auto"/>
              <w:bottom w:val="single" w:sz="6" w:space="0" w:color="auto"/>
              <w:right w:val="single" w:sz="4" w:space="0" w:color="auto"/>
            </w:tcBorders>
            <w:hideMark/>
          </w:tcPr>
          <w:p w:rsidR="00115AEE" w:rsidRPr="001219ED" w:rsidRDefault="009425A3" w:rsidP="00AD0D07">
            <w:pPr>
              <w:pStyle w:val="Tablenormal0"/>
              <w:spacing w:before="60"/>
              <w:rPr>
                <w:szCs w:val="22"/>
              </w:rPr>
            </w:pPr>
            <w:r w:rsidRPr="001219ED">
              <w:rPr>
                <w:szCs w:val="22"/>
              </w:rPr>
              <w:t xml:space="preserve">All referrals will be reviewed and triaged by designated member(s) of the </w:t>
            </w:r>
            <w:r w:rsidR="00860FD2" w:rsidRPr="001219ED">
              <w:rPr>
                <w:szCs w:val="22"/>
              </w:rPr>
              <w:t>IDT</w:t>
            </w:r>
            <w:r w:rsidR="00BA3618" w:rsidRPr="001219ED">
              <w:rPr>
                <w:szCs w:val="22"/>
              </w:rPr>
              <w:t xml:space="preserve"> to</w:t>
            </w:r>
            <w:r w:rsidR="00115AEE" w:rsidRPr="001219ED">
              <w:rPr>
                <w:szCs w:val="22"/>
              </w:rPr>
              <w:t>:</w:t>
            </w:r>
          </w:p>
          <w:p w:rsidR="00115AEE" w:rsidRPr="001219ED" w:rsidRDefault="00BA3618" w:rsidP="00AD0D07">
            <w:pPr>
              <w:pStyle w:val="Tablelist"/>
              <w:spacing w:before="60"/>
              <w:ind w:left="459" w:hanging="425"/>
              <w:rPr>
                <w:szCs w:val="22"/>
              </w:rPr>
            </w:pPr>
            <w:r w:rsidRPr="001219ED">
              <w:rPr>
                <w:szCs w:val="22"/>
              </w:rPr>
              <w:t>evaluate the priority of the referral and</w:t>
            </w:r>
          </w:p>
          <w:p w:rsidR="009425A3" w:rsidRPr="001219ED" w:rsidRDefault="00BA3618" w:rsidP="00AD0D07">
            <w:pPr>
              <w:pStyle w:val="Tablelist"/>
              <w:spacing w:before="60"/>
              <w:ind w:left="459" w:hanging="425"/>
              <w:rPr>
                <w:szCs w:val="22"/>
              </w:rPr>
            </w:pPr>
            <w:r w:rsidRPr="001219ED">
              <w:rPr>
                <w:szCs w:val="22"/>
              </w:rPr>
              <w:t xml:space="preserve">allocate an appropriate response </w:t>
            </w:r>
            <w:r w:rsidR="000412E8" w:rsidRPr="001219ED">
              <w:rPr>
                <w:szCs w:val="22"/>
              </w:rPr>
              <w:t>time required for each referral,</w:t>
            </w:r>
            <w:r w:rsidR="00115AEE" w:rsidRPr="001219ED">
              <w:rPr>
                <w:szCs w:val="22"/>
              </w:rPr>
              <w:t xml:space="preserve"> based on the person’s clinical condition as assessed from the information given with the referral</w:t>
            </w:r>
            <w:r w:rsidR="00227D0F" w:rsidRPr="001219ED">
              <w:rPr>
                <w:szCs w:val="22"/>
              </w:rPr>
              <w:t>.</w:t>
            </w:r>
          </w:p>
          <w:p w:rsidR="009425A3" w:rsidRPr="001219ED" w:rsidRDefault="00BA3618" w:rsidP="00AD0D07">
            <w:pPr>
              <w:pStyle w:val="Tablenormal0"/>
              <w:spacing w:before="60"/>
              <w:rPr>
                <w:rFonts w:cs="Arial"/>
                <w:szCs w:val="22"/>
              </w:rPr>
            </w:pPr>
            <w:r w:rsidRPr="001219ED">
              <w:rPr>
                <w:szCs w:val="22"/>
              </w:rPr>
              <w:t>The Service provider will operate an effective and efficient system to receive and pri</w:t>
            </w:r>
            <w:r w:rsidR="00DA215D" w:rsidRPr="001219ED">
              <w:rPr>
                <w:szCs w:val="22"/>
              </w:rPr>
              <w:t>oritise all service referrals.</w:t>
            </w:r>
          </w:p>
        </w:tc>
      </w:tr>
      <w:tr w:rsidR="009425A3" w:rsidRPr="001219ED" w:rsidTr="00AD0D07">
        <w:tc>
          <w:tcPr>
            <w:tcW w:w="1701" w:type="dxa"/>
            <w:tcBorders>
              <w:top w:val="single" w:sz="6" w:space="0" w:color="auto"/>
              <w:left w:val="single" w:sz="4" w:space="0" w:color="auto"/>
              <w:bottom w:val="single" w:sz="6" w:space="0" w:color="auto"/>
              <w:right w:val="single" w:sz="6" w:space="0" w:color="auto"/>
            </w:tcBorders>
          </w:tcPr>
          <w:p w:rsidR="009425A3" w:rsidRPr="001219ED" w:rsidRDefault="009425A3" w:rsidP="00AD0D07">
            <w:pPr>
              <w:spacing w:before="60"/>
              <w:rPr>
                <w:rFonts w:cs="Arial"/>
                <w:b/>
                <w:sz w:val="22"/>
                <w:szCs w:val="22"/>
              </w:rPr>
            </w:pPr>
            <w:r w:rsidRPr="001219ED">
              <w:rPr>
                <w:rFonts w:cs="Arial"/>
                <w:b/>
                <w:sz w:val="22"/>
                <w:szCs w:val="22"/>
              </w:rPr>
              <w:t>Assessment</w:t>
            </w:r>
            <w:r w:rsidR="00657BA4" w:rsidRPr="001219ED">
              <w:rPr>
                <w:rFonts w:cs="Arial"/>
                <w:b/>
                <w:sz w:val="22"/>
                <w:szCs w:val="22"/>
              </w:rPr>
              <w:t>, monitoring and evaluation</w:t>
            </w:r>
            <w:r w:rsidR="00115AEE" w:rsidRPr="001219ED">
              <w:rPr>
                <w:rFonts w:cs="Arial"/>
                <w:b/>
                <w:sz w:val="22"/>
                <w:szCs w:val="22"/>
              </w:rPr>
              <w:t xml:space="preserve"> </w:t>
            </w:r>
          </w:p>
        </w:tc>
        <w:tc>
          <w:tcPr>
            <w:tcW w:w="8080" w:type="dxa"/>
            <w:tcBorders>
              <w:top w:val="single" w:sz="6" w:space="0" w:color="auto"/>
              <w:left w:val="single" w:sz="6" w:space="0" w:color="auto"/>
              <w:bottom w:val="single" w:sz="6" w:space="0" w:color="auto"/>
              <w:right w:val="single" w:sz="4" w:space="0" w:color="auto"/>
            </w:tcBorders>
            <w:hideMark/>
          </w:tcPr>
          <w:p w:rsidR="00D318F1" w:rsidRPr="001219ED" w:rsidRDefault="00FC5621" w:rsidP="00AD0D07">
            <w:pPr>
              <w:pStyle w:val="Tablenormal0"/>
              <w:spacing w:before="60"/>
              <w:rPr>
                <w:szCs w:val="22"/>
              </w:rPr>
            </w:pPr>
            <w:r w:rsidRPr="001219ED">
              <w:rPr>
                <w:rFonts w:eastAsiaTheme="minorHAnsi"/>
                <w:szCs w:val="22"/>
                <w:lang w:val="en-NZ"/>
              </w:rPr>
              <w:t>Ass</w:t>
            </w:r>
            <w:r w:rsidR="00115AEE" w:rsidRPr="001219ED">
              <w:rPr>
                <w:rFonts w:eastAsiaTheme="minorHAnsi"/>
                <w:szCs w:val="22"/>
                <w:lang w:val="en-NZ"/>
              </w:rPr>
              <w:t>essment of</w:t>
            </w:r>
            <w:r w:rsidRPr="001219ED">
              <w:rPr>
                <w:rFonts w:eastAsiaTheme="minorHAnsi"/>
                <w:szCs w:val="22"/>
                <w:lang w:val="en-NZ"/>
              </w:rPr>
              <w:t xml:space="preserve"> </w:t>
            </w:r>
            <w:r w:rsidR="00F04670" w:rsidRPr="001219ED">
              <w:rPr>
                <w:rFonts w:eastAsiaTheme="minorHAnsi"/>
                <w:szCs w:val="22"/>
                <w:lang w:val="en-NZ"/>
              </w:rPr>
              <w:t>biopsychosocial and functional</w:t>
            </w:r>
            <w:r w:rsidRPr="001219ED">
              <w:rPr>
                <w:rFonts w:eastAsiaTheme="minorHAnsi"/>
                <w:szCs w:val="22"/>
                <w:lang w:val="en-NZ"/>
              </w:rPr>
              <w:t xml:space="preserve"> aspects of persistent pain</w:t>
            </w:r>
            <w:r w:rsidR="00115AEE" w:rsidRPr="001219ED">
              <w:rPr>
                <w:rFonts w:eastAsiaTheme="minorHAnsi"/>
                <w:szCs w:val="22"/>
                <w:lang w:val="en-NZ"/>
              </w:rPr>
              <w:t xml:space="preserve"> to develop a </w:t>
            </w:r>
            <w:r w:rsidR="00D318F1" w:rsidRPr="001219ED">
              <w:rPr>
                <w:rFonts w:eastAsiaTheme="minorHAnsi"/>
                <w:szCs w:val="22"/>
                <w:lang w:val="en-NZ"/>
              </w:rPr>
              <w:t>management</w:t>
            </w:r>
            <w:r w:rsidR="00115AEE" w:rsidRPr="001219ED">
              <w:rPr>
                <w:rFonts w:eastAsiaTheme="minorHAnsi"/>
                <w:szCs w:val="22"/>
                <w:lang w:val="en-NZ"/>
              </w:rPr>
              <w:t xml:space="preserve"> plan</w:t>
            </w:r>
            <w:r w:rsidRPr="001219ED">
              <w:rPr>
                <w:rFonts w:eastAsiaTheme="minorHAnsi"/>
                <w:szCs w:val="22"/>
                <w:lang w:val="en-NZ"/>
              </w:rPr>
              <w:t>.</w:t>
            </w:r>
          </w:p>
          <w:p w:rsidR="00F04670" w:rsidRPr="001219ED" w:rsidRDefault="00F04670" w:rsidP="00AD0D07">
            <w:pPr>
              <w:pStyle w:val="ListParagraph"/>
              <w:spacing w:before="60"/>
              <w:ind w:hanging="533"/>
              <w:rPr>
                <w:sz w:val="22"/>
                <w:szCs w:val="22"/>
                <w:lang w:val="en-NZ"/>
              </w:rPr>
            </w:pPr>
            <w:r w:rsidRPr="001219ED">
              <w:rPr>
                <w:sz w:val="22"/>
                <w:szCs w:val="22"/>
              </w:rPr>
              <w:t>Monitoring and evaluation, of the Service User’s progress against their management plan.</w:t>
            </w:r>
          </w:p>
          <w:p w:rsidR="00657BA4" w:rsidRPr="001219ED" w:rsidRDefault="00227D0F" w:rsidP="00AD0D07">
            <w:pPr>
              <w:pStyle w:val="ListParagraph"/>
              <w:spacing w:before="60"/>
              <w:ind w:hanging="533"/>
              <w:rPr>
                <w:sz w:val="22"/>
                <w:szCs w:val="22"/>
              </w:rPr>
            </w:pPr>
            <w:r w:rsidRPr="001219ED">
              <w:rPr>
                <w:sz w:val="22"/>
                <w:szCs w:val="22"/>
              </w:rPr>
              <w:t>W</w:t>
            </w:r>
            <w:r w:rsidR="000C403E" w:rsidRPr="001219ED">
              <w:rPr>
                <w:sz w:val="22"/>
                <w:szCs w:val="22"/>
              </w:rPr>
              <w:t>here progress is different from expected, make changes to the Service User’s manag</w:t>
            </w:r>
            <w:r w:rsidR="00657BA4" w:rsidRPr="001219ED">
              <w:rPr>
                <w:sz w:val="22"/>
                <w:szCs w:val="22"/>
              </w:rPr>
              <w:t xml:space="preserve">ement plan and update referrer </w:t>
            </w:r>
          </w:p>
          <w:p w:rsidR="00657BA4" w:rsidRPr="001219ED" w:rsidRDefault="00227D0F" w:rsidP="00AD0D07">
            <w:pPr>
              <w:pStyle w:val="ListParagraph"/>
              <w:spacing w:before="60"/>
              <w:ind w:hanging="533"/>
              <w:rPr>
                <w:sz w:val="22"/>
                <w:szCs w:val="22"/>
              </w:rPr>
            </w:pPr>
            <w:r w:rsidRPr="001219ED">
              <w:rPr>
                <w:sz w:val="22"/>
                <w:szCs w:val="22"/>
              </w:rPr>
              <w:t>U</w:t>
            </w:r>
            <w:r w:rsidR="00657BA4" w:rsidRPr="001219ED">
              <w:rPr>
                <w:sz w:val="22"/>
                <w:szCs w:val="22"/>
              </w:rPr>
              <w:t xml:space="preserve">ndertake and document a formal reassessment against the care plan or treatment goals, based on evidence and within the Management Plan, time frame, using assessment tools </w:t>
            </w:r>
            <w:r w:rsidR="00376E98" w:rsidRPr="001219ED">
              <w:rPr>
                <w:sz w:val="22"/>
                <w:szCs w:val="22"/>
              </w:rPr>
              <w:t xml:space="preserve">referenced in the common dataset </w:t>
            </w:r>
            <w:r w:rsidR="00FB6079" w:rsidRPr="001219ED">
              <w:rPr>
                <w:sz w:val="22"/>
                <w:szCs w:val="22"/>
              </w:rPr>
              <w:t>(</w:t>
            </w:r>
            <w:r w:rsidR="00DC0F4B" w:rsidRPr="001219ED">
              <w:rPr>
                <w:sz w:val="22"/>
                <w:szCs w:val="22"/>
              </w:rPr>
              <w:t xml:space="preserve">see </w:t>
            </w:r>
            <w:r w:rsidR="00FB6079" w:rsidRPr="001219ED">
              <w:rPr>
                <w:sz w:val="22"/>
                <w:szCs w:val="22"/>
              </w:rPr>
              <w:t xml:space="preserve">Appendix1) </w:t>
            </w:r>
            <w:r w:rsidR="00657BA4" w:rsidRPr="001219ED">
              <w:rPr>
                <w:sz w:val="22"/>
                <w:szCs w:val="22"/>
              </w:rPr>
              <w:t>as appropriate</w:t>
            </w:r>
          </w:p>
          <w:p w:rsidR="00D061BB" w:rsidRPr="001219ED" w:rsidRDefault="00227D0F" w:rsidP="00AD0D07">
            <w:pPr>
              <w:pStyle w:val="ListParagraph"/>
              <w:spacing w:before="60"/>
              <w:ind w:hanging="533"/>
              <w:rPr>
                <w:rFonts w:cs="Arial"/>
                <w:sz w:val="22"/>
                <w:szCs w:val="22"/>
              </w:rPr>
            </w:pPr>
            <w:r w:rsidRPr="001219ED">
              <w:rPr>
                <w:sz w:val="22"/>
                <w:szCs w:val="22"/>
              </w:rPr>
              <w:t>D</w:t>
            </w:r>
            <w:r w:rsidR="00657BA4" w:rsidRPr="001219ED">
              <w:rPr>
                <w:sz w:val="22"/>
                <w:szCs w:val="22"/>
              </w:rPr>
              <w:t>ocument demonstration of achievement of the desired outcomes.</w:t>
            </w:r>
          </w:p>
          <w:p w:rsidR="00376E98" w:rsidRPr="001219ED" w:rsidRDefault="00A30AB4" w:rsidP="00AD0D07">
            <w:pPr>
              <w:spacing w:before="60"/>
              <w:ind w:left="34"/>
              <w:rPr>
                <w:rFonts w:cs="Arial"/>
                <w:sz w:val="22"/>
                <w:szCs w:val="22"/>
              </w:rPr>
            </w:pPr>
            <w:r w:rsidRPr="001219ED">
              <w:rPr>
                <w:rFonts w:eastAsiaTheme="minorHAnsi"/>
                <w:sz w:val="22"/>
                <w:szCs w:val="22"/>
                <w:lang w:val="en-NZ"/>
              </w:rPr>
              <w:t>The range of a</w:t>
            </w:r>
            <w:r w:rsidR="00376E98" w:rsidRPr="001219ED">
              <w:rPr>
                <w:rFonts w:eastAsiaTheme="minorHAnsi"/>
                <w:sz w:val="22"/>
                <w:szCs w:val="22"/>
                <w:lang w:val="en-NZ"/>
              </w:rPr>
              <w:t xml:space="preserve">ssessment services provided by the Pain Service are listed in Appendix </w:t>
            </w:r>
            <w:r w:rsidRPr="001219ED">
              <w:rPr>
                <w:rFonts w:eastAsiaTheme="minorHAnsi"/>
                <w:sz w:val="22"/>
                <w:szCs w:val="22"/>
                <w:lang w:val="en-NZ"/>
              </w:rPr>
              <w:t>2.</w:t>
            </w:r>
          </w:p>
        </w:tc>
      </w:tr>
      <w:tr w:rsidR="009425A3" w:rsidRPr="001219ED" w:rsidTr="00AD0D07">
        <w:tc>
          <w:tcPr>
            <w:tcW w:w="1701" w:type="dxa"/>
            <w:tcBorders>
              <w:top w:val="single" w:sz="6" w:space="0" w:color="auto"/>
              <w:left w:val="single" w:sz="4" w:space="0" w:color="auto"/>
              <w:bottom w:val="single" w:sz="6" w:space="0" w:color="auto"/>
              <w:right w:val="single" w:sz="6" w:space="0" w:color="auto"/>
            </w:tcBorders>
            <w:hideMark/>
          </w:tcPr>
          <w:p w:rsidR="009425A3" w:rsidRPr="001219ED" w:rsidRDefault="009425A3" w:rsidP="00AD0D07">
            <w:pPr>
              <w:spacing w:before="60"/>
              <w:rPr>
                <w:rFonts w:cs="Arial"/>
                <w:b/>
                <w:sz w:val="22"/>
                <w:szCs w:val="22"/>
              </w:rPr>
            </w:pPr>
            <w:r w:rsidRPr="001219ED">
              <w:rPr>
                <w:rFonts w:cs="Arial"/>
                <w:b/>
                <w:sz w:val="22"/>
                <w:szCs w:val="22"/>
              </w:rPr>
              <w:lastRenderedPageBreak/>
              <w:t>Planning</w:t>
            </w:r>
            <w:r w:rsidR="00B95C45" w:rsidRPr="001219ED">
              <w:rPr>
                <w:rFonts w:cs="Arial"/>
                <w:b/>
                <w:sz w:val="22"/>
                <w:szCs w:val="22"/>
              </w:rPr>
              <w:t xml:space="preserve"> and </w:t>
            </w:r>
            <w:r w:rsidR="00A30AB4" w:rsidRPr="001219ED">
              <w:rPr>
                <w:rFonts w:cs="Arial"/>
                <w:b/>
                <w:sz w:val="22"/>
                <w:szCs w:val="22"/>
              </w:rPr>
              <w:t>Provision</w:t>
            </w:r>
          </w:p>
        </w:tc>
        <w:tc>
          <w:tcPr>
            <w:tcW w:w="8080" w:type="dxa"/>
            <w:tcBorders>
              <w:top w:val="single" w:sz="6" w:space="0" w:color="auto"/>
              <w:left w:val="single" w:sz="6" w:space="0" w:color="auto"/>
              <w:bottom w:val="single" w:sz="6" w:space="0" w:color="auto"/>
              <w:right w:val="single" w:sz="4" w:space="0" w:color="auto"/>
            </w:tcBorders>
          </w:tcPr>
          <w:p w:rsidR="00B95C45" w:rsidRPr="001219ED" w:rsidRDefault="00D318F1" w:rsidP="00AD0D07">
            <w:pPr>
              <w:pStyle w:val="Tablenormal0"/>
              <w:spacing w:before="60"/>
              <w:rPr>
                <w:szCs w:val="22"/>
              </w:rPr>
            </w:pPr>
            <w:r w:rsidRPr="001219ED">
              <w:rPr>
                <w:szCs w:val="22"/>
              </w:rPr>
              <w:t xml:space="preserve">Having determined the Service User’s needs (and that of the family and whanau (where appropriate) the Service will develop an outcome orientated </w:t>
            </w:r>
            <w:r w:rsidR="000412E8" w:rsidRPr="001219ED">
              <w:rPr>
                <w:szCs w:val="22"/>
              </w:rPr>
              <w:t xml:space="preserve">Management Plan </w:t>
            </w:r>
            <w:r w:rsidRPr="001219ED">
              <w:rPr>
                <w:szCs w:val="22"/>
              </w:rPr>
              <w:t xml:space="preserve">that is agreed with the Service User </w:t>
            </w:r>
            <w:r w:rsidR="000412E8" w:rsidRPr="001219ED">
              <w:rPr>
                <w:szCs w:val="22"/>
              </w:rPr>
              <w:t>(</w:t>
            </w:r>
            <w:r w:rsidRPr="001219ED">
              <w:rPr>
                <w:szCs w:val="22"/>
              </w:rPr>
              <w:t>and family</w:t>
            </w:r>
            <w:r w:rsidR="000412E8" w:rsidRPr="001219ED">
              <w:rPr>
                <w:szCs w:val="22"/>
              </w:rPr>
              <w:t>/ whānau)</w:t>
            </w:r>
            <w:r w:rsidRPr="001219ED">
              <w:rPr>
                <w:szCs w:val="22"/>
              </w:rPr>
              <w:t>, that identifies and documents outcomes and timeframes for achieving management of their persistent pain</w:t>
            </w:r>
            <w:r w:rsidR="00B95C45" w:rsidRPr="001219ED">
              <w:rPr>
                <w:szCs w:val="22"/>
              </w:rPr>
              <w:t>.</w:t>
            </w:r>
          </w:p>
          <w:p w:rsidR="009425A3" w:rsidRPr="001219ED" w:rsidRDefault="00A30AB4" w:rsidP="00AD0D07">
            <w:pPr>
              <w:pStyle w:val="Tablenormal0"/>
              <w:spacing w:before="60"/>
              <w:rPr>
                <w:rFonts w:cs="Arial"/>
                <w:szCs w:val="22"/>
              </w:rPr>
            </w:pPr>
            <w:r w:rsidRPr="001219ED">
              <w:rPr>
                <w:rFonts w:eastAsiaTheme="minorHAnsi"/>
                <w:szCs w:val="22"/>
                <w:lang w:val="en-NZ"/>
              </w:rPr>
              <w:t>The range of t</w:t>
            </w:r>
            <w:r w:rsidR="00376E98" w:rsidRPr="001219ED">
              <w:rPr>
                <w:rFonts w:eastAsiaTheme="minorHAnsi"/>
                <w:szCs w:val="22"/>
                <w:lang w:val="en-NZ"/>
              </w:rPr>
              <w:t>reatment services provided by the Pain Service are listed in Appendix 2.</w:t>
            </w:r>
          </w:p>
        </w:tc>
      </w:tr>
      <w:tr w:rsidR="009425A3" w:rsidRPr="001219ED" w:rsidTr="00AD0D07">
        <w:tc>
          <w:tcPr>
            <w:tcW w:w="1701" w:type="dxa"/>
            <w:tcBorders>
              <w:top w:val="single" w:sz="6" w:space="0" w:color="auto"/>
              <w:left w:val="single" w:sz="4" w:space="0" w:color="auto"/>
              <w:bottom w:val="single" w:sz="6" w:space="0" w:color="auto"/>
              <w:right w:val="single" w:sz="6" w:space="0" w:color="auto"/>
            </w:tcBorders>
            <w:hideMark/>
          </w:tcPr>
          <w:p w:rsidR="009425A3" w:rsidRPr="001219ED" w:rsidRDefault="009425A3" w:rsidP="00AD0D07">
            <w:pPr>
              <w:spacing w:before="60"/>
              <w:rPr>
                <w:rFonts w:cs="Arial"/>
                <w:b/>
                <w:sz w:val="22"/>
                <w:szCs w:val="22"/>
              </w:rPr>
            </w:pPr>
            <w:r w:rsidRPr="001219ED">
              <w:rPr>
                <w:rFonts w:cs="Arial"/>
                <w:b/>
                <w:sz w:val="22"/>
                <w:szCs w:val="22"/>
              </w:rPr>
              <w:t>Information, Education and Advice</w:t>
            </w:r>
            <w:r w:rsidR="000C403E" w:rsidRPr="001219ED">
              <w:rPr>
                <w:rFonts w:cs="Arial"/>
                <w:b/>
                <w:sz w:val="22"/>
                <w:szCs w:val="22"/>
              </w:rPr>
              <w:t xml:space="preserve"> </w:t>
            </w:r>
          </w:p>
        </w:tc>
        <w:tc>
          <w:tcPr>
            <w:tcW w:w="8080" w:type="dxa"/>
            <w:tcBorders>
              <w:top w:val="single" w:sz="6" w:space="0" w:color="auto"/>
              <w:left w:val="single" w:sz="6" w:space="0" w:color="auto"/>
              <w:bottom w:val="single" w:sz="6" w:space="0" w:color="auto"/>
              <w:right w:val="single" w:sz="4" w:space="0" w:color="auto"/>
            </w:tcBorders>
            <w:hideMark/>
          </w:tcPr>
          <w:p w:rsidR="00007E97" w:rsidRPr="001219ED" w:rsidRDefault="00DC0F4B" w:rsidP="00AD0D07">
            <w:pPr>
              <w:spacing w:before="60"/>
              <w:rPr>
                <w:sz w:val="22"/>
                <w:szCs w:val="22"/>
              </w:rPr>
            </w:pPr>
            <w:r w:rsidRPr="001219ED">
              <w:rPr>
                <w:sz w:val="22"/>
                <w:szCs w:val="22"/>
              </w:rPr>
              <w:t xml:space="preserve">Provision of </w:t>
            </w:r>
            <w:r w:rsidR="00007E97" w:rsidRPr="001219ED">
              <w:rPr>
                <w:sz w:val="22"/>
                <w:szCs w:val="22"/>
              </w:rPr>
              <w:t>education of</w:t>
            </w:r>
            <w:r w:rsidRPr="001219ED">
              <w:rPr>
                <w:sz w:val="22"/>
                <w:szCs w:val="22"/>
              </w:rPr>
              <w:t xml:space="preserve"> and advice for </w:t>
            </w:r>
            <w:r w:rsidR="00007E97" w:rsidRPr="001219ED">
              <w:rPr>
                <w:sz w:val="22"/>
                <w:szCs w:val="22"/>
              </w:rPr>
              <w:t>:</w:t>
            </w:r>
          </w:p>
          <w:p w:rsidR="009425A3" w:rsidRPr="001219ED" w:rsidRDefault="009425A3" w:rsidP="00AD0D07">
            <w:pPr>
              <w:pStyle w:val="Tablelist"/>
              <w:spacing w:before="60"/>
              <w:ind w:hanging="533"/>
              <w:rPr>
                <w:szCs w:val="22"/>
              </w:rPr>
            </w:pPr>
            <w:r w:rsidRPr="001219ED">
              <w:rPr>
                <w:szCs w:val="22"/>
              </w:rPr>
              <w:t xml:space="preserve">referring </w:t>
            </w:r>
            <w:r w:rsidR="00472886" w:rsidRPr="001219ED">
              <w:rPr>
                <w:szCs w:val="22"/>
              </w:rPr>
              <w:t>c</w:t>
            </w:r>
            <w:r w:rsidRPr="001219ED">
              <w:rPr>
                <w:szCs w:val="22"/>
              </w:rPr>
              <w:t xml:space="preserve">linicians on </w:t>
            </w:r>
            <w:r w:rsidR="00472886" w:rsidRPr="001219ED">
              <w:rPr>
                <w:szCs w:val="22"/>
              </w:rPr>
              <w:t xml:space="preserve">the </w:t>
            </w:r>
            <w:r w:rsidRPr="001219ED">
              <w:rPr>
                <w:szCs w:val="22"/>
              </w:rPr>
              <w:t>importance of early intervention, for types of persistent pain symptoms that can best treated by the Service</w:t>
            </w:r>
          </w:p>
          <w:p w:rsidR="0033378D" w:rsidRPr="001219ED" w:rsidRDefault="0033378D" w:rsidP="00AD0D07">
            <w:pPr>
              <w:pStyle w:val="ListParagraph"/>
              <w:spacing w:before="60"/>
              <w:ind w:hanging="533"/>
              <w:rPr>
                <w:sz w:val="22"/>
                <w:szCs w:val="22"/>
              </w:rPr>
            </w:pPr>
            <w:r w:rsidRPr="001219ED">
              <w:rPr>
                <w:sz w:val="22"/>
                <w:szCs w:val="22"/>
              </w:rPr>
              <w:t>other health professionals to educate, identify and promote the appropriate use of health care services to minimise over-medicalisation and over-investigation of people with chronic pain</w:t>
            </w:r>
          </w:p>
          <w:p w:rsidR="0069681C" w:rsidRPr="001219ED" w:rsidRDefault="008341AA" w:rsidP="00AD0D07">
            <w:pPr>
              <w:pStyle w:val="Tablelist"/>
              <w:spacing w:before="60"/>
              <w:ind w:hanging="533"/>
              <w:rPr>
                <w:szCs w:val="22"/>
              </w:rPr>
            </w:pPr>
            <w:r w:rsidRPr="001219ED">
              <w:rPr>
                <w:szCs w:val="22"/>
              </w:rPr>
              <w:t xml:space="preserve">GP / </w:t>
            </w:r>
            <w:r w:rsidR="009425A3" w:rsidRPr="001219ED">
              <w:rPr>
                <w:szCs w:val="22"/>
              </w:rPr>
              <w:t xml:space="preserve">Primary Health Care Teams on </w:t>
            </w:r>
            <w:r w:rsidR="00E4274C" w:rsidRPr="001219ED">
              <w:rPr>
                <w:szCs w:val="22"/>
              </w:rPr>
              <w:t xml:space="preserve">the </w:t>
            </w:r>
            <w:r w:rsidR="009425A3" w:rsidRPr="001219ED">
              <w:rPr>
                <w:szCs w:val="22"/>
              </w:rPr>
              <w:t xml:space="preserve">ongoing management of Service Users according to the </w:t>
            </w:r>
            <w:r w:rsidR="000C403E" w:rsidRPr="001219ED">
              <w:rPr>
                <w:szCs w:val="22"/>
              </w:rPr>
              <w:t>M</w:t>
            </w:r>
            <w:r w:rsidR="009425A3" w:rsidRPr="001219ED">
              <w:rPr>
                <w:szCs w:val="22"/>
              </w:rPr>
              <w:t xml:space="preserve">anagement </w:t>
            </w:r>
            <w:r w:rsidR="000C403E" w:rsidRPr="001219ED">
              <w:rPr>
                <w:szCs w:val="22"/>
              </w:rPr>
              <w:t>P</w:t>
            </w:r>
            <w:r w:rsidR="009425A3" w:rsidRPr="001219ED">
              <w:rPr>
                <w:szCs w:val="22"/>
              </w:rPr>
              <w:t>lan</w:t>
            </w:r>
            <w:r w:rsidR="000D5131" w:rsidRPr="001219ED">
              <w:rPr>
                <w:szCs w:val="22"/>
              </w:rPr>
              <w:t>.</w:t>
            </w:r>
          </w:p>
        </w:tc>
      </w:tr>
      <w:tr w:rsidR="00A30AB4" w:rsidRPr="001219ED" w:rsidTr="00AD0D07">
        <w:tc>
          <w:tcPr>
            <w:tcW w:w="1701" w:type="dxa"/>
            <w:tcBorders>
              <w:top w:val="single" w:sz="6" w:space="0" w:color="auto"/>
              <w:left w:val="single" w:sz="4" w:space="0" w:color="auto"/>
              <w:bottom w:val="single" w:sz="6" w:space="0" w:color="auto"/>
              <w:right w:val="single" w:sz="6" w:space="0" w:color="auto"/>
            </w:tcBorders>
          </w:tcPr>
          <w:p w:rsidR="00A30AB4" w:rsidRPr="001219ED" w:rsidRDefault="00A30AB4" w:rsidP="00AD0D07">
            <w:pPr>
              <w:spacing w:before="60"/>
              <w:rPr>
                <w:rFonts w:cs="Arial"/>
                <w:b/>
                <w:sz w:val="22"/>
                <w:szCs w:val="22"/>
              </w:rPr>
            </w:pPr>
            <w:r w:rsidRPr="001219ED">
              <w:rPr>
                <w:b/>
                <w:sz w:val="22"/>
                <w:szCs w:val="22"/>
              </w:rPr>
              <w:t>Consultation Services</w:t>
            </w:r>
          </w:p>
        </w:tc>
        <w:tc>
          <w:tcPr>
            <w:tcW w:w="8080" w:type="dxa"/>
            <w:tcBorders>
              <w:top w:val="single" w:sz="6" w:space="0" w:color="auto"/>
              <w:left w:val="single" w:sz="6" w:space="0" w:color="auto"/>
              <w:bottom w:val="single" w:sz="6" w:space="0" w:color="auto"/>
              <w:right w:val="single" w:sz="4" w:space="0" w:color="auto"/>
            </w:tcBorders>
          </w:tcPr>
          <w:p w:rsidR="00A30AB4" w:rsidRPr="001219ED" w:rsidRDefault="00A30AB4" w:rsidP="00AD0D07">
            <w:pPr>
              <w:spacing w:before="60"/>
              <w:rPr>
                <w:sz w:val="22"/>
                <w:szCs w:val="22"/>
              </w:rPr>
            </w:pPr>
            <w:r w:rsidRPr="001219ED">
              <w:rPr>
                <w:sz w:val="22"/>
                <w:szCs w:val="22"/>
              </w:rPr>
              <w:t xml:space="preserve">Inpatient </w:t>
            </w:r>
            <w:r w:rsidRPr="001219ED">
              <w:rPr>
                <w:rStyle w:val="FootnoteReference"/>
                <w:sz w:val="22"/>
                <w:szCs w:val="22"/>
              </w:rPr>
              <w:footnoteReference w:id="5"/>
            </w:r>
            <w:r w:rsidRPr="001219ED">
              <w:rPr>
                <w:sz w:val="22"/>
                <w:szCs w:val="22"/>
              </w:rPr>
              <w:t xml:space="preserve">consultation services by pain management specialists for people who have severe pain requiring admission, as an inpatient, because of complex medical and / or psychological factors which require close observation, assessment and / or intensive treatment as an inpatient.  </w:t>
            </w:r>
          </w:p>
          <w:p w:rsidR="00A30AB4" w:rsidRPr="001219ED" w:rsidRDefault="0051336D" w:rsidP="00AD0D07">
            <w:pPr>
              <w:spacing w:before="60"/>
              <w:rPr>
                <w:sz w:val="22"/>
                <w:szCs w:val="22"/>
              </w:rPr>
            </w:pPr>
            <w:r w:rsidRPr="001219ED">
              <w:rPr>
                <w:sz w:val="22"/>
                <w:szCs w:val="22"/>
              </w:rPr>
              <w:t>Pain c</w:t>
            </w:r>
            <w:r w:rsidR="00A30AB4" w:rsidRPr="001219ED">
              <w:rPr>
                <w:sz w:val="22"/>
                <w:szCs w:val="22"/>
              </w:rPr>
              <w:t>onsultation services are also provided for outpatient and community patients with acute or persistent pain.</w:t>
            </w:r>
          </w:p>
        </w:tc>
      </w:tr>
      <w:tr w:rsidR="009425A3" w:rsidRPr="001219ED" w:rsidTr="00AD0D07">
        <w:tc>
          <w:tcPr>
            <w:tcW w:w="1701" w:type="dxa"/>
            <w:tcBorders>
              <w:top w:val="single" w:sz="6" w:space="0" w:color="auto"/>
              <w:left w:val="single" w:sz="4" w:space="0" w:color="auto"/>
              <w:bottom w:val="single" w:sz="6" w:space="0" w:color="auto"/>
              <w:right w:val="single" w:sz="6" w:space="0" w:color="auto"/>
            </w:tcBorders>
            <w:shd w:val="clear" w:color="auto" w:fill="auto"/>
          </w:tcPr>
          <w:p w:rsidR="009425A3" w:rsidRPr="001219ED" w:rsidRDefault="009425A3" w:rsidP="00AD0D07">
            <w:pPr>
              <w:spacing w:before="60"/>
              <w:rPr>
                <w:rFonts w:cs="Arial"/>
                <w:b/>
                <w:sz w:val="22"/>
                <w:szCs w:val="22"/>
              </w:rPr>
            </w:pPr>
            <w:r w:rsidRPr="001219ED">
              <w:rPr>
                <w:rFonts w:cs="Arial"/>
                <w:b/>
                <w:sz w:val="22"/>
                <w:szCs w:val="22"/>
              </w:rPr>
              <w:t>Discharge Planning</w:t>
            </w:r>
            <w:r w:rsidR="00472886" w:rsidRPr="001219ED">
              <w:rPr>
                <w:rFonts w:cs="Arial"/>
                <w:b/>
                <w:sz w:val="22"/>
                <w:szCs w:val="22"/>
              </w:rPr>
              <w:t xml:space="preserve"> and Transfer of Care </w:t>
            </w:r>
          </w:p>
        </w:tc>
        <w:tc>
          <w:tcPr>
            <w:tcW w:w="8080" w:type="dxa"/>
            <w:tcBorders>
              <w:top w:val="single" w:sz="6" w:space="0" w:color="auto"/>
              <w:left w:val="single" w:sz="6" w:space="0" w:color="auto"/>
              <w:bottom w:val="single" w:sz="6" w:space="0" w:color="auto"/>
              <w:right w:val="single" w:sz="4" w:space="0" w:color="auto"/>
            </w:tcBorders>
            <w:shd w:val="clear" w:color="auto" w:fill="auto"/>
          </w:tcPr>
          <w:p w:rsidR="00657BA4" w:rsidRPr="001219ED" w:rsidRDefault="00657BA4" w:rsidP="00AD0D07">
            <w:pPr>
              <w:pStyle w:val="Tablenormal0"/>
              <w:spacing w:before="60"/>
              <w:rPr>
                <w:b/>
                <w:szCs w:val="22"/>
              </w:rPr>
            </w:pPr>
            <w:r w:rsidRPr="001219ED">
              <w:rPr>
                <w:b/>
                <w:szCs w:val="22"/>
              </w:rPr>
              <w:t>Discharge</w:t>
            </w:r>
            <w:r w:rsidR="00227D0F" w:rsidRPr="001219ED">
              <w:rPr>
                <w:b/>
                <w:szCs w:val="22"/>
              </w:rPr>
              <w:t xml:space="preserve"> Planning</w:t>
            </w:r>
          </w:p>
          <w:p w:rsidR="00472886" w:rsidRPr="001219ED" w:rsidRDefault="00860A0E" w:rsidP="00AD0D07">
            <w:pPr>
              <w:pStyle w:val="Tablenormal0"/>
              <w:spacing w:before="60"/>
              <w:rPr>
                <w:szCs w:val="22"/>
              </w:rPr>
            </w:pPr>
            <w:r w:rsidRPr="001219ED">
              <w:rPr>
                <w:szCs w:val="22"/>
              </w:rPr>
              <w:t>D</w:t>
            </w:r>
            <w:r w:rsidR="00472886" w:rsidRPr="001219ED">
              <w:rPr>
                <w:szCs w:val="22"/>
              </w:rPr>
              <w:t>ischarge the Service User from the Service when, on formal assessment, the Service User has obtained identified outcomes, or is not receiving clinical or functional benefit from the Service</w:t>
            </w:r>
            <w:r w:rsidR="00227D0F" w:rsidRPr="001219ED">
              <w:rPr>
                <w:szCs w:val="22"/>
              </w:rPr>
              <w:t>.</w:t>
            </w:r>
          </w:p>
          <w:p w:rsidR="00657BA4" w:rsidRPr="001219ED" w:rsidRDefault="00227D0F" w:rsidP="00AD0D07">
            <w:pPr>
              <w:pStyle w:val="Tablelist"/>
              <w:numPr>
                <w:ilvl w:val="0"/>
                <w:numId w:val="0"/>
              </w:numPr>
              <w:spacing w:before="60"/>
              <w:rPr>
                <w:szCs w:val="22"/>
              </w:rPr>
            </w:pPr>
            <w:r w:rsidRPr="001219ED">
              <w:rPr>
                <w:szCs w:val="22"/>
              </w:rPr>
              <w:t>P</w:t>
            </w:r>
            <w:r w:rsidR="009425A3" w:rsidRPr="001219ED">
              <w:rPr>
                <w:szCs w:val="22"/>
              </w:rPr>
              <w:t>lan discharge in consultation with the Service User</w:t>
            </w:r>
            <w:r w:rsidR="00657BA4" w:rsidRPr="001219ED">
              <w:rPr>
                <w:szCs w:val="22"/>
              </w:rPr>
              <w:t>, their family and whānau, carers</w:t>
            </w:r>
            <w:r w:rsidR="00234C4E" w:rsidRPr="001219ED">
              <w:rPr>
                <w:szCs w:val="22"/>
              </w:rPr>
              <w:t xml:space="preserve"> </w:t>
            </w:r>
            <w:r w:rsidR="009425A3" w:rsidRPr="001219ED">
              <w:rPr>
                <w:szCs w:val="22"/>
              </w:rPr>
              <w:t>and agencies as appropriate</w:t>
            </w:r>
            <w:r w:rsidR="00E4274C" w:rsidRPr="001219ED">
              <w:rPr>
                <w:szCs w:val="22"/>
              </w:rPr>
              <w:t>.</w:t>
            </w:r>
          </w:p>
          <w:p w:rsidR="00657BA4" w:rsidRPr="001219ED" w:rsidRDefault="00227D0F" w:rsidP="00AD0D07">
            <w:pPr>
              <w:pStyle w:val="Tablelist"/>
              <w:numPr>
                <w:ilvl w:val="0"/>
                <w:numId w:val="0"/>
              </w:numPr>
              <w:spacing w:before="60"/>
              <w:rPr>
                <w:szCs w:val="22"/>
              </w:rPr>
            </w:pPr>
            <w:r w:rsidRPr="001219ED">
              <w:rPr>
                <w:szCs w:val="22"/>
              </w:rPr>
              <w:t>M</w:t>
            </w:r>
            <w:r w:rsidR="00657BA4" w:rsidRPr="001219ED">
              <w:rPr>
                <w:szCs w:val="22"/>
              </w:rPr>
              <w:t xml:space="preserve">ake a written discharge report available to the Service User, the referrer and the </w:t>
            </w:r>
            <w:r w:rsidR="00DC0F4B" w:rsidRPr="001219ED">
              <w:rPr>
                <w:szCs w:val="22"/>
              </w:rPr>
              <w:t xml:space="preserve">Service User’s </w:t>
            </w:r>
            <w:r w:rsidR="00657BA4" w:rsidRPr="001219ED">
              <w:rPr>
                <w:szCs w:val="22"/>
              </w:rPr>
              <w:t>GP</w:t>
            </w:r>
            <w:r w:rsidR="008341AA" w:rsidRPr="001219ED">
              <w:rPr>
                <w:szCs w:val="22"/>
              </w:rPr>
              <w:t xml:space="preserve"> </w:t>
            </w:r>
            <w:r w:rsidR="009A44CD" w:rsidRPr="001219ED">
              <w:rPr>
                <w:szCs w:val="22"/>
              </w:rPr>
              <w:t>/</w:t>
            </w:r>
            <w:r w:rsidR="008341AA" w:rsidRPr="001219ED">
              <w:rPr>
                <w:szCs w:val="22"/>
              </w:rPr>
              <w:t xml:space="preserve"> </w:t>
            </w:r>
            <w:r w:rsidR="009A44CD" w:rsidRPr="001219ED">
              <w:rPr>
                <w:szCs w:val="22"/>
              </w:rPr>
              <w:t xml:space="preserve">Primary </w:t>
            </w:r>
            <w:r w:rsidR="008341AA" w:rsidRPr="001219ED">
              <w:rPr>
                <w:szCs w:val="22"/>
              </w:rPr>
              <w:t>H</w:t>
            </w:r>
            <w:r w:rsidR="009A44CD" w:rsidRPr="001219ED">
              <w:rPr>
                <w:szCs w:val="22"/>
              </w:rPr>
              <w:t xml:space="preserve">ealth </w:t>
            </w:r>
            <w:r w:rsidR="008341AA" w:rsidRPr="001219ED">
              <w:rPr>
                <w:szCs w:val="22"/>
              </w:rPr>
              <w:t>C</w:t>
            </w:r>
            <w:r w:rsidR="009A44CD" w:rsidRPr="001219ED">
              <w:rPr>
                <w:szCs w:val="22"/>
              </w:rPr>
              <w:t xml:space="preserve">are </w:t>
            </w:r>
            <w:r w:rsidR="008341AA" w:rsidRPr="001219ED">
              <w:rPr>
                <w:szCs w:val="22"/>
              </w:rPr>
              <w:t>T</w:t>
            </w:r>
            <w:r w:rsidR="009A44CD" w:rsidRPr="001219ED">
              <w:rPr>
                <w:szCs w:val="22"/>
              </w:rPr>
              <w:t>eam</w:t>
            </w:r>
            <w:r w:rsidR="00DC0F4B" w:rsidRPr="001219ED">
              <w:rPr>
                <w:szCs w:val="22"/>
              </w:rPr>
              <w:t xml:space="preserve"> (if they have not been the referrer)</w:t>
            </w:r>
            <w:r w:rsidR="00657BA4" w:rsidRPr="001219ED">
              <w:rPr>
                <w:szCs w:val="22"/>
              </w:rPr>
              <w:t>.</w:t>
            </w:r>
          </w:p>
          <w:p w:rsidR="00657BA4" w:rsidRPr="001219ED" w:rsidRDefault="00657BA4" w:rsidP="00AD0D07">
            <w:pPr>
              <w:pStyle w:val="Tablenormal0"/>
              <w:spacing w:before="60"/>
              <w:rPr>
                <w:b/>
                <w:szCs w:val="22"/>
              </w:rPr>
            </w:pPr>
            <w:r w:rsidRPr="001219ED">
              <w:rPr>
                <w:b/>
                <w:szCs w:val="22"/>
              </w:rPr>
              <w:t>Transfer</w:t>
            </w:r>
            <w:r w:rsidR="00227D0F" w:rsidRPr="001219ED">
              <w:rPr>
                <w:b/>
                <w:szCs w:val="22"/>
              </w:rPr>
              <w:t xml:space="preserve"> of Care</w:t>
            </w:r>
          </w:p>
          <w:p w:rsidR="00526980" w:rsidRPr="001219ED" w:rsidRDefault="00227D0F" w:rsidP="00AD0D07">
            <w:pPr>
              <w:pStyle w:val="Tablenormal0"/>
              <w:spacing w:before="60"/>
              <w:rPr>
                <w:szCs w:val="22"/>
              </w:rPr>
            </w:pPr>
            <w:r w:rsidRPr="001219ED">
              <w:rPr>
                <w:szCs w:val="22"/>
              </w:rPr>
              <w:t>R</w:t>
            </w:r>
            <w:r w:rsidR="00526980" w:rsidRPr="001219ED">
              <w:rPr>
                <w:szCs w:val="22"/>
              </w:rPr>
              <w:t xml:space="preserve">efer the Service User to other services as required and notify the </w:t>
            </w:r>
            <w:r w:rsidR="009A44CD" w:rsidRPr="001219ED">
              <w:rPr>
                <w:szCs w:val="22"/>
              </w:rPr>
              <w:t>GP</w:t>
            </w:r>
            <w:r w:rsidR="008341AA" w:rsidRPr="001219ED">
              <w:rPr>
                <w:szCs w:val="22"/>
              </w:rPr>
              <w:t xml:space="preserve"> </w:t>
            </w:r>
            <w:r w:rsidR="009A44CD" w:rsidRPr="001219ED">
              <w:rPr>
                <w:szCs w:val="22"/>
              </w:rPr>
              <w:t xml:space="preserve">/ </w:t>
            </w:r>
            <w:r w:rsidR="00526980" w:rsidRPr="001219ED">
              <w:rPr>
                <w:szCs w:val="22"/>
              </w:rPr>
              <w:t>Primary Health Care Team of the referrals</w:t>
            </w:r>
            <w:r w:rsidRPr="001219ED">
              <w:rPr>
                <w:szCs w:val="22"/>
              </w:rPr>
              <w:t>.</w:t>
            </w:r>
          </w:p>
          <w:p w:rsidR="00657BA4" w:rsidRPr="001219ED" w:rsidRDefault="00227D0F" w:rsidP="00AD0D07">
            <w:pPr>
              <w:pStyle w:val="Tablenormal0"/>
              <w:spacing w:before="60"/>
              <w:rPr>
                <w:szCs w:val="22"/>
              </w:rPr>
            </w:pPr>
            <w:r w:rsidRPr="001219ED">
              <w:rPr>
                <w:szCs w:val="22"/>
              </w:rPr>
              <w:t>E</w:t>
            </w:r>
            <w:r w:rsidR="00657BA4" w:rsidRPr="001219ED">
              <w:rPr>
                <w:szCs w:val="22"/>
              </w:rPr>
              <w:t>nsure that transition of responsibility of care for the Service User to other providers has occurred to support the continuum of care</w:t>
            </w:r>
            <w:r w:rsidRPr="001219ED">
              <w:rPr>
                <w:szCs w:val="22"/>
              </w:rPr>
              <w:t>.</w:t>
            </w:r>
          </w:p>
          <w:p w:rsidR="00472886" w:rsidRPr="001219ED" w:rsidRDefault="00227D0F" w:rsidP="00AD0D07">
            <w:pPr>
              <w:pStyle w:val="Tablenormal0"/>
              <w:spacing w:before="60"/>
              <w:rPr>
                <w:rFonts w:cs="Arial"/>
                <w:szCs w:val="22"/>
              </w:rPr>
            </w:pPr>
            <w:r w:rsidRPr="001219ED">
              <w:rPr>
                <w:szCs w:val="22"/>
              </w:rPr>
              <w:t>L</w:t>
            </w:r>
            <w:r w:rsidR="009425A3" w:rsidRPr="001219ED">
              <w:rPr>
                <w:szCs w:val="22"/>
              </w:rPr>
              <w:t xml:space="preserve">iaise, and share information, with the Service User’s </w:t>
            </w:r>
            <w:r w:rsidR="008341AA" w:rsidRPr="001219ED">
              <w:rPr>
                <w:szCs w:val="22"/>
              </w:rPr>
              <w:t xml:space="preserve">GP / </w:t>
            </w:r>
            <w:r w:rsidR="009425A3" w:rsidRPr="001219ED">
              <w:rPr>
                <w:szCs w:val="22"/>
              </w:rPr>
              <w:t>Primary Health Care Team</w:t>
            </w:r>
            <w:r w:rsidR="00B173A3" w:rsidRPr="001219ED">
              <w:rPr>
                <w:szCs w:val="22"/>
              </w:rPr>
              <w:t>.</w:t>
            </w:r>
          </w:p>
        </w:tc>
      </w:tr>
    </w:tbl>
    <w:p w:rsidR="009425A3" w:rsidRPr="000E4682" w:rsidRDefault="009425A3" w:rsidP="001E03FE">
      <w:pPr>
        <w:pStyle w:val="Heading2"/>
        <w:ind w:hanging="596"/>
      </w:pPr>
      <w:r w:rsidRPr="000E4682">
        <w:t>Processes</w:t>
      </w:r>
    </w:p>
    <w:p w:rsidR="000D5131" w:rsidRDefault="001B207A" w:rsidP="001E03FE">
      <w:pPr>
        <w:pStyle w:val="BodyText"/>
        <w:ind w:left="142" w:hanging="142"/>
      </w:pPr>
      <w:r w:rsidRPr="000E4682">
        <w:t xml:space="preserve">The Service will </w:t>
      </w:r>
      <w:r w:rsidR="009425A3" w:rsidRPr="000E4682">
        <w:t xml:space="preserve">include all or a number of the </w:t>
      </w:r>
      <w:r w:rsidR="00D97846">
        <w:t xml:space="preserve">procedures </w:t>
      </w:r>
      <w:r w:rsidR="00B87FB8">
        <w:t>listed in</w:t>
      </w:r>
      <w:r w:rsidR="00D97846">
        <w:t xml:space="preserve"> Appendix 2</w:t>
      </w:r>
      <w:r w:rsidR="00B87FB8">
        <w:t>.</w:t>
      </w:r>
      <w:r w:rsidR="00227D0F">
        <w:t xml:space="preserve"> </w:t>
      </w:r>
    </w:p>
    <w:p w:rsidR="009425A3" w:rsidRPr="000E4682" w:rsidRDefault="009425A3" w:rsidP="001E03FE">
      <w:pPr>
        <w:pStyle w:val="Heading2"/>
        <w:spacing w:before="120"/>
        <w:ind w:hanging="596"/>
      </w:pPr>
      <w:r w:rsidRPr="000E4682">
        <w:t>Settings</w:t>
      </w:r>
    </w:p>
    <w:p w:rsidR="00B173A3" w:rsidRPr="00B173A3" w:rsidRDefault="007D3876" w:rsidP="001E03FE">
      <w:pPr>
        <w:pStyle w:val="BodyText"/>
        <w:ind w:left="0"/>
      </w:pPr>
      <w:r w:rsidRPr="00B173A3">
        <w:t xml:space="preserve">The Service </w:t>
      </w:r>
      <w:r w:rsidR="00D97846">
        <w:t>will</w:t>
      </w:r>
      <w:r w:rsidR="00D97846" w:rsidRPr="00B173A3">
        <w:t xml:space="preserve"> </w:t>
      </w:r>
      <w:r w:rsidRPr="00B173A3">
        <w:t xml:space="preserve">be provided in and across a range of clinical and </w:t>
      </w:r>
      <w:r w:rsidR="00781839">
        <w:t>DHB</w:t>
      </w:r>
      <w:r w:rsidRPr="00B173A3">
        <w:t xml:space="preserve"> settings (inpatient, outpatient and community).</w:t>
      </w:r>
    </w:p>
    <w:p w:rsidR="009425A3" w:rsidRPr="000E4682" w:rsidRDefault="009425A3" w:rsidP="001E03FE">
      <w:pPr>
        <w:pStyle w:val="Heading2"/>
        <w:spacing w:before="120"/>
        <w:ind w:hanging="596"/>
      </w:pPr>
      <w:r w:rsidRPr="000E4682">
        <w:lastRenderedPageBreak/>
        <w:t>Service Level</w:t>
      </w:r>
      <w:r w:rsidR="0000242C">
        <w:t xml:space="preserve"> Provision</w:t>
      </w:r>
    </w:p>
    <w:p w:rsidR="007D3876" w:rsidRDefault="009425A3" w:rsidP="001E03FE">
      <w:pPr>
        <w:pStyle w:val="BodyText"/>
        <w:ind w:left="0"/>
      </w:pPr>
      <w:r w:rsidRPr="00227D0F">
        <w:t xml:space="preserve">The Service </w:t>
      </w:r>
      <w:r w:rsidR="009A75C8" w:rsidRPr="00227D0F">
        <w:t>is provided at two</w:t>
      </w:r>
      <w:r w:rsidRPr="00227D0F">
        <w:t xml:space="preserve"> </w:t>
      </w:r>
      <w:r w:rsidR="00B173A3" w:rsidRPr="00227D0F">
        <w:t>levels that</w:t>
      </w:r>
      <w:r w:rsidRPr="00227D0F">
        <w:t xml:space="preserve"> are based on their catchment area and the specialist services available within that </w:t>
      </w:r>
      <w:r w:rsidR="0000242C" w:rsidRPr="00227D0F">
        <w:t>area</w:t>
      </w:r>
      <w:r w:rsidRPr="00227D0F">
        <w:t>.</w:t>
      </w:r>
      <w:r w:rsidR="00234C4E">
        <w:t xml:space="preserve"> </w:t>
      </w:r>
      <w:r w:rsidR="00227D0F">
        <w:t>The</w:t>
      </w:r>
      <w:r w:rsidR="00227D0F" w:rsidRPr="000E4682">
        <w:t xml:space="preserve"> </w:t>
      </w:r>
      <w:r w:rsidR="00227D0F" w:rsidRPr="00227D0F">
        <w:t>level of interdisciplinary care</w:t>
      </w:r>
      <w:r w:rsidR="00227D0F" w:rsidRPr="000E4682">
        <w:t xml:space="preserve"> </w:t>
      </w:r>
      <w:r w:rsidR="00227D0F">
        <w:t xml:space="preserve">provided by the Service may </w:t>
      </w:r>
      <w:r w:rsidR="00D97846">
        <w:t xml:space="preserve">vary </w:t>
      </w:r>
      <w:r w:rsidR="00227D0F">
        <w:t>according to the level of clinical support available, the presence of other speciality or tertiary services, and qualifications, training and skill of medical staff.</w:t>
      </w:r>
      <w:r w:rsidR="00234C4E">
        <w:t xml:space="preserve"> </w:t>
      </w:r>
    </w:p>
    <w:p w:rsidR="009425A3" w:rsidRPr="00FF3D27" w:rsidRDefault="009A5A91" w:rsidP="001E03FE">
      <w:pPr>
        <w:pStyle w:val="Heading3"/>
        <w:spacing w:before="0"/>
        <w:ind w:hanging="454"/>
      </w:pPr>
      <w:r>
        <w:t>L</w:t>
      </w:r>
      <w:r w:rsidR="009425A3" w:rsidRPr="00FF3D27">
        <w:t>evel</w:t>
      </w:r>
      <w:r>
        <w:t xml:space="preserve"> One</w:t>
      </w:r>
      <w:r w:rsidR="009425A3" w:rsidRPr="00FF3D27">
        <w:t xml:space="preserve"> </w:t>
      </w:r>
      <w:r w:rsidR="00227D0F">
        <w:t>P</w:t>
      </w:r>
      <w:r w:rsidR="009425A3" w:rsidRPr="00FF3D27">
        <w:t xml:space="preserve">rovision – </w:t>
      </w:r>
      <w:r w:rsidR="00822F55">
        <w:t>Inter</w:t>
      </w:r>
      <w:r w:rsidR="009425A3" w:rsidRPr="00FF3D27">
        <w:t>disciplinary Pain Centres</w:t>
      </w:r>
    </w:p>
    <w:p w:rsidR="003344EC" w:rsidRPr="003344EC" w:rsidRDefault="009A5A91" w:rsidP="003C2678">
      <w:pPr>
        <w:pStyle w:val="BodyText"/>
        <w:ind w:left="0"/>
        <w:rPr>
          <w:rFonts w:eastAsiaTheme="minorHAnsi"/>
          <w:lang w:val="en-NZ"/>
        </w:rPr>
      </w:pPr>
      <w:r>
        <w:rPr>
          <w:rFonts w:eastAsiaTheme="minorHAnsi"/>
          <w:lang w:val="en-NZ"/>
        </w:rPr>
        <w:t>L</w:t>
      </w:r>
      <w:r w:rsidR="003344EC">
        <w:rPr>
          <w:rFonts w:eastAsiaTheme="minorHAnsi"/>
          <w:lang w:val="en-NZ"/>
        </w:rPr>
        <w:t>evel</w:t>
      </w:r>
      <w:r w:rsidR="003344EC" w:rsidRPr="003344EC">
        <w:rPr>
          <w:rFonts w:eastAsiaTheme="minorHAnsi"/>
          <w:lang w:val="en-NZ"/>
        </w:rPr>
        <w:t xml:space="preserve"> </w:t>
      </w:r>
      <w:r>
        <w:rPr>
          <w:rFonts w:eastAsiaTheme="minorHAnsi"/>
          <w:lang w:val="en-NZ"/>
        </w:rPr>
        <w:t xml:space="preserve">One </w:t>
      </w:r>
      <w:r w:rsidR="003344EC">
        <w:rPr>
          <w:rFonts w:eastAsiaTheme="minorHAnsi"/>
          <w:lang w:val="en-NZ"/>
        </w:rPr>
        <w:t>S</w:t>
      </w:r>
      <w:r w:rsidR="003344EC" w:rsidRPr="003344EC">
        <w:rPr>
          <w:rFonts w:eastAsiaTheme="minorHAnsi"/>
          <w:lang w:val="en-NZ"/>
        </w:rPr>
        <w:t>ervices are designed to manage more complex Service User</w:t>
      </w:r>
      <w:r w:rsidR="003344EC">
        <w:rPr>
          <w:rFonts w:eastAsiaTheme="minorHAnsi"/>
          <w:lang w:val="en-NZ"/>
        </w:rPr>
        <w:t>s</w:t>
      </w:r>
      <w:r w:rsidR="003344EC" w:rsidRPr="003344EC">
        <w:rPr>
          <w:rFonts w:eastAsiaTheme="minorHAnsi"/>
          <w:lang w:val="en-NZ"/>
        </w:rPr>
        <w:t xml:space="preserve"> </w:t>
      </w:r>
      <w:r w:rsidR="003344EC">
        <w:rPr>
          <w:rFonts w:eastAsiaTheme="minorHAnsi"/>
          <w:lang w:val="en-NZ"/>
        </w:rPr>
        <w:t>who</w:t>
      </w:r>
      <w:r w:rsidR="003344EC" w:rsidRPr="003344EC">
        <w:rPr>
          <w:rFonts w:eastAsiaTheme="minorHAnsi"/>
          <w:lang w:val="en-NZ"/>
        </w:rPr>
        <w:t xml:space="preserve"> ha</w:t>
      </w:r>
      <w:r w:rsidR="003344EC">
        <w:rPr>
          <w:rFonts w:eastAsiaTheme="minorHAnsi"/>
          <w:lang w:val="en-NZ"/>
        </w:rPr>
        <w:t>ve</w:t>
      </w:r>
      <w:r w:rsidR="003344EC" w:rsidRPr="003344EC">
        <w:rPr>
          <w:rFonts w:eastAsiaTheme="minorHAnsi"/>
          <w:lang w:val="en-NZ"/>
        </w:rPr>
        <w:t xml:space="preserve"> a number of contributing </w:t>
      </w:r>
      <w:r w:rsidR="003344EC">
        <w:rPr>
          <w:rFonts w:eastAsiaTheme="minorHAnsi"/>
          <w:lang w:val="en-NZ"/>
        </w:rPr>
        <w:t>problems</w:t>
      </w:r>
      <w:r w:rsidR="003344EC" w:rsidRPr="003344EC">
        <w:rPr>
          <w:rFonts w:eastAsiaTheme="minorHAnsi"/>
          <w:lang w:val="en-NZ"/>
        </w:rPr>
        <w:t xml:space="preserve"> including biomedical and psychosocial problems.</w:t>
      </w:r>
    </w:p>
    <w:p w:rsidR="003344EC" w:rsidRDefault="009A5A91" w:rsidP="003C2678">
      <w:pPr>
        <w:pStyle w:val="BodyText"/>
        <w:ind w:left="0"/>
        <w:rPr>
          <w:rFonts w:eastAsiaTheme="minorHAnsi"/>
          <w:color w:val="000000"/>
          <w:lang w:val="en-NZ"/>
        </w:rPr>
      </w:pPr>
      <w:r>
        <w:t>In addition to Level Two Services provision (</w:t>
      </w:r>
      <w:r w:rsidR="009A75C8">
        <w:t>see below)</w:t>
      </w:r>
      <w:r>
        <w:t xml:space="preserve"> </w:t>
      </w:r>
      <w:r w:rsidR="009A75C8">
        <w:t>Level One</w:t>
      </w:r>
      <w:r>
        <w:rPr>
          <w:rFonts w:eastAsiaTheme="minorHAnsi"/>
          <w:color w:val="000000"/>
          <w:lang w:val="en-NZ"/>
        </w:rPr>
        <w:t xml:space="preserve"> </w:t>
      </w:r>
      <w:r w:rsidR="007D3876" w:rsidRPr="00301CAE">
        <w:rPr>
          <w:rFonts w:eastAsiaTheme="minorHAnsi"/>
          <w:color w:val="000000"/>
          <w:lang w:val="en-NZ"/>
        </w:rPr>
        <w:t>Service</w:t>
      </w:r>
      <w:r w:rsidR="009A75C8">
        <w:rPr>
          <w:rFonts w:eastAsiaTheme="minorHAnsi"/>
          <w:color w:val="000000"/>
          <w:lang w:val="en-NZ"/>
        </w:rPr>
        <w:t>s p</w:t>
      </w:r>
      <w:r w:rsidR="007D3876" w:rsidRPr="00301CAE">
        <w:rPr>
          <w:rFonts w:eastAsiaTheme="minorHAnsi"/>
          <w:color w:val="000000"/>
          <w:lang w:val="en-NZ"/>
        </w:rPr>
        <w:t>rovide</w:t>
      </w:r>
      <w:r w:rsidR="003344EC">
        <w:rPr>
          <w:rFonts w:eastAsiaTheme="minorHAnsi"/>
          <w:color w:val="000000"/>
          <w:lang w:val="en-NZ"/>
        </w:rPr>
        <w:t>:</w:t>
      </w:r>
    </w:p>
    <w:p w:rsidR="00F66DDF" w:rsidRPr="00151BF5" w:rsidRDefault="00F66DDF" w:rsidP="0093051C">
      <w:pPr>
        <w:pStyle w:val="ListParagraph"/>
        <w:ind w:hanging="567"/>
      </w:pPr>
      <w:r w:rsidRPr="00151BF5">
        <w:t>a full interdisciplinary assessment, development and execution of individual management plans</w:t>
      </w:r>
    </w:p>
    <w:p w:rsidR="009A75C8" w:rsidRPr="00151BF5" w:rsidRDefault="00301CAE" w:rsidP="0093051C">
      <w:pPr>
        <w:pStyle w:val="ListParagraph"/>
        <w:ind w:hanging="567"/>
        <w:rPr>
          <w:rFonts w:eastAsiaTheme="minorHAnsi"/>
        </w:rPr>
      </w:pPr>
      <w:r w:rsidRPr="00151BF5">
        <w:rPr>
          <w:rFonts w:eastAsiaTheme="minorHAnsi"/>
        </w:rPr>
        <w:t>day</w:t>
      </w:r>
      <w:r w:rsidR="007D3876" w:rsidRPr="00151BF5">
        <w:rPr>
          <w:rFonts w:eastAsiaTheme="minorHAnsi"/>
        </w:rPr>
        <w:t xml:space="preserve"> and/</w:t>
      </w:r>
      <w:r w:rsidRPr="00151BF5">
        <w:rPr>
          <w:rFonts w:eastAsiaTheme="minorHAnsi"/>
        </w:rPr>
        <w:t xml:space="preserve"> </w:t>
      </w:r>
      <w:r w:rsidR="007D3876" w:rsidRPr="00151BF5">
        <w:rPr>
          <w:rFonts w:eastAsiaTheme="minorHAnsi"/>
        </w:rPr>
        <w:t>or outpatient pain management programmes</w:t>
      </w:r>
    </w:p>
    <w:p w:rsidR="00B173A3" w:rsidRPr="00F66DDF" w:rsidRDefault="007D3876" w:rsidP="0093051C">
      <w:pPr>
        <w:pStyle w:val="ListParagraph"/>
        <w:ind w:hanging="567"/>
      </w:pPr>
      <w:r w:rsidRPr="00151BF5">
        <w:rPr>
          <w:rFonts w:eastAsiaTheme="minorHAnsi"/>
        </w:rPr>
        <w:t>a wide range of procedural and invasive interventions that may require access to operating theatres or recovery wards</w:t>
      </w:r>
    </w:p>
    <w:p w:rsidR="00F66DDF" w:rsidRPr="00151BF5" w:rsidRDefault="00F66DDF" w:rsidP="0093051C">
      <w:pPr>
        <w:pStyle w:val="ListParagraph"/>
        <w:ind w:hanging="567"/>
      </w:pPr>
      <w:r>
        <w:t xml:space="preserve">interventions for </w:t>
      </w:r>
      <w:r w:rsidRPr="00151BF5">
        <w:t>the more complex Service Users who have a number of contributing factors including biomedical and psychosocial problems.</w:t>
      </w:r>
    </w:p>
    <w:p w:rsidR="00301CAE" w:rsidRDefault="003344EC" w:rsidP="003C2678">
      <w:pPr>
        <w:pStyle w:val="BodyText"/>
        <w:spacing w:before="120"/>
        <w:ind w:left="0"/>
      </w:pPr>
      <w:r>
        <w:t>S</w:t>
      </w:r>
      <w:r w:rsidR="00301CAE">
        <w:t>taff</w:t>
      </w:r>
      <w:r w:rsidR="00301CAE" w:rsidRPr="000E4682">
        <w:t xml:space="preserve"> will be actively engaged in </w:t>
      </w:r>
      <w:r w:rsidR="00227D0F" w:rsidRPr="000E4682">
        <w:t>research</w:t>
      </w:r>
      <w:r w:rsidR="00227D0F">
        <w:t xml:space="preserve"> that</w:t>
      </w:r>
      <w:r w:rsidR="00301CAE" w:rsidRPr="000E4682">
        <w:t xml:space="preserve"> contribute</w:t>
      </w:r>
      <w:r w:rsidR="00227D0F">
        <w:t>s</w:t>
      </w:r>
      <w:r w:rsidR="00301CAE" w:rsidRPr="000E4682">
        <w:t xml:space="preserve"> to the evidence base for the treatment and management of pain and further research.</w:t>
      </w:r>
    </w:p>
    <w:p w:rsidR="009425A3" w:rsidRPr="002B43CA" w:rsidRDefault="009A5A91" w:rsidP="001E03FE">
      <w:pPr>
        <w:pStyle w:val="Heading3"/>
        <w:ind w:left="567" w:hanging="567"/>
      </w:pPr>
      <w:r>
        <w:t>L</w:t>
      </w:r>
      <w:r w:rsidR="009425A3" w:rsidRPr="002B43CA">
        <w:t xml:space="preserve">evel </w:t>
      </w:r>
      <w:r>
        <w:t xml:space="preserve">Two </w:t>
      </w:r>
      <w:r w:rsidR="00227D0F">
        <w:t>P</w:t>
      </w:r>
      <w:r w:rsidR="009425A3" w:rsidRPr="002B43CA">
        <w:t xml:space="preserve">rovision – </w:t>
      </w:r>
      <w:r w:rsidR="00A31332">
        <w:t>Inter</w:t>
      </w:r>
      <w:r w:rsidR="009425A3" w:rsidRPr="002B43CA">
        <w:t xml:space="preserve">disciplinary </w:t>
      </w:r>
      <w:r w:rsidR="00D12C01" w:rsidRPr="002B43CA">
        <w:t>P</w:t>
      </w:r>
      <w:r w:rsidR="009425A3" w:rsidRPr="002B43CA">
        <w:t>ain Clinics</w:t>
      </w:r>
    </w:p>
    <w:p w:rsidR="00F124D1" w:rsidRDefault="009A5A91" w:rsidP="00B87FB8">
      <w:pPr>
        <w:pStyle w:val="BodyText"/>
        <w:spacing w:before="120"/>
        <w:ind w:left="0"/>
      </w:pPr>
      <w:r>
        <w:t>L</w:t>
      </w:r>
      <w:r w:rsidRPr="003344EC">
        <w:t xml:space="preserve">evel </w:t>
      </w:r>
      <w:r>
        <w:t>Two Services can be</w:t>
      </w:r>
      <w:r w:rsidRPr="003344EC">
        <w:t xml:space="preserve"> provided for Service Users in their DHB of Domicile</w:t>
      </w:r>
      <w:r w:rsidR="00F124D1">
        <w:t>.</w:t>
      </w:r>
    </w:p>
    <w:p w:rsidR="003344EC" w:rsidRDefault="009A5A91" w:rsidP="003C2678">
      <w:pPr>
        <w:pStyle w:val="BodyText"/>
        <w:ind w:left="0"/>
      </w:pPr>
      <w:r>
        <w:t>L</w:t>
      </w:r>
      <w:r w:rsidR="003344EC">
        <w:t>evel</w:t>
      </w:r>
      <w:r>
        <w:t xml:space="preserve"> Two</w:t>
      </w:r>
      <w:r w:rsidR="003344EC">
        <w:t xml:space="preserve"> Services</w:t>
      </w:r>
      <w:r w:rsidR="009425A3" w:rsidRPr="000E4682">
        <w:t xml:space="preserve"> include</w:t>
      </w:r>
      <w:r w:rsidR="003344EC">
        <w:t>:</w:t>
      </w:r>
    </w:p>
    <w:p w:rsidR="003344EC" w:rsidRDefault="009425A3" w:rsidP="003C2678">
      <w:pPr>
        <w:pStyle w:val="ListParagraph"/>
        <w:ind w:hanging="567"/>
      </w:pPr>
      <w:r w:rsidRPr="003344EC">
        <w:t xml:space="preserve">an </w:t>
      </w:r>
      <w:r w:rsidR="009A5A91">
        <w:t>IDT</w:t>
      </w:r>
      <w:r w:rsidRPr="003344EC">
        <w:t xml:space="preserve"> </w:t>
      </w:r>
      <w:r w:rsidR="00511CD8">
        <w:t xml:space="preserve">who </w:t>
      </w:r>
      <w:r w:rsidR="00511CD8" w:rsidRPr="0000242C">
        <w:rPr>
          <w:szCs w:val="24"/>
        </w:rPr>
        <w:t>will individually and collectively manage the care of the Service User and their family / whānau</w:t>
      </w:r>
    </w:p>
    <w:p w:rsidR="003344EC" w:rsidRDefault="009425A3" w:rsidP="003C2678">
      <w:pPr>
        <w:pStyle w:val="ListParagraph"/>
        <w:ind w:hanging="567"/>
      </w:pPr>
      <w:r w:rsidRPr="003344EC">
        <w:t>a number of specialist staff who provide a consultative service and run a number of medical / psychosocial / functional assessment services.</w:t>
      </w:r>
      <w:r w:rsidR="00234C4E">
        <w:t xml:space="preserve"> </w:t>
      </w:r>
    </w:p>
    <w:p w:rsidR="003344EC" w:rsidRDefault="009425A3" w:rsidP="003C2678">
      <w:pPr>
        <w:pStyle w:val="ListParagraph"/>
        <w:ind w:hanging="567"/>
      </w:pPr>
      <w:r w:rsidRPr="003344EC">
        <w:t>provi</w:t>
      </w:r>
      <w:r w:rsidR="003344EC">
        <w:t>sion of</w:t>
      </w:r>
      <w:r w:rsidRPr="003344EC">
        <w:t xml:space="preserve"> simple procedures</w:t>
      </w:r>
      <w:r w:rsidR="003D1561">
        <w:t xml:space="preserve">, </w:t>
      </w:r>
      <w:r w:rsidRPr="003344EC">
        <w:t>such as single peripheral nerve blocks</w:t>
      </w:r>
      <w:r w:rsidR="002B43CA" w:rsidRPr="003344EC">
        <w:t xml:space="preserve"> </w:t>
      </w:r>
      <w:r w:rsidRPr="003344EC">
        <w:t>but not more complex interventions.</w:t>
      </w:r>
    </w:p>
    <w:p w:rsidR="00F66DDF" w:rsidRPr="00F43E19" w:rsidRDefault="00F66DDF" w:rsidP="003C2678">
      <w:pPr>
        <w:pStyle w:val="BodyText"/>
        <w:spacing w:before="120"/>
        <w:ind w:left="0"/>
      </w:pPr>
      <w:r w:rsidRPr="00F43E19">
        <w:t xml:space="preserve">Level Two teams will </w:t>
      </w:r>
      <w:r w:rsidR="00511CD8">
        <w:t xml:space="preserve">collaborate / </w:t>
      </w:r>
      <w:r w:rsidRPr="00F43E19">
        <w:t>consult with and use the expertise of the Level One services which are more individually focused.</w:t>
      </w:r>
    </w:p>
    <w:p w:rsidR="009425A3" w:rsidRPr="000E4682" w:rsidRDefault="009425A3" w:rsidP="001E03FE">
      <w:pPr>
        <w:pStyle w:val="Heading2"/>
        <w:ind w:left="567" w:hanging="567"/>
      </w:pPr>
      <w:r w:rsidRPr="000E4682">
        <w:t xml:space="preserve">Support </w:t>
      </w:r>
      <w:r w:rsidR="00597DBE">
        <w:t>S</w:t>
      </w:r>
      <w:r w:rsidRPr="000E4682">
        <w:t>ervices</w:t>
      </w:r>
    </w:p>
    <w:p w:rsidR="00727587" w:rsidRDefault="009425A3" w:rsidP="003D1561">
      <w:pPr>
        <w:pStyle w:val="BodyText"/>
        <w:ind w:left="0"/>
      </w:pPr>
      <w:r w:rsidRPr="000E4682">
        <w:t>Refer to Tier One Specialist Medical and Surgical Services and Tier One Children and Young Peoples Services service specifications</w:t>
      </w:r>
      <w:r w:rsidR="00597DBE">
        <w:t>.</w:t>
      </w:r>
    </w:p>
    <w:p w:rsidR="009425A3" w:rsidRPr="000E4682" w:rsidRDefault="009425A3" w:rsidP="001E03FE">
      <w:pPr>
        <w:pStyle w:val="Heading2"/>
        <w:ind w:hanging="596"/>
      </w:pPr>
      <w:r w:rsidRPr="000E4682">
        <w:t>Key inputs</w:t>
      </w:r>
    </w:p>
    <w:p w:rsidR="009425A3" w:rsidRDefault="009425A3" w:rsidP="003C2678">
      <w:pPr>
        <w:pStyle w:val="BodyText"/>
        <w:ind w:left="0"/>
      </w:pPr>
      <w:r w:rsidRPr="000E4682">
        <w:t>The DHB will ensure that there is sufficient, appropriately qualified Pain Management staff available to safely meet the assessed needs of the Service Users within the timeframes set.</w:t>
      </w:r>
      <w:r w:rsidR="00234C4E">
        <w:t xml:space="preserve"> </w:t>
      </w:r>
    </w:p>
    <w:p w:rsidR="00D92500" w:rsidRPr="003344EC" w:rsidRDefault="00511CD8" w:rsidP="003C2678">
      <w:pPr>
        <w:pStyle w:val="BodyText"/>
        <w:ind w:left="0"/>
      </w:pPr>
      <w:r>
        <w:t>S</w:t>
      </w:r>
      <w:r w:rsidRPr="003344EC">
        <w:t>ervice</w:t>
      </w:r>
      <w:r>
        <w:t>s</w:t>
      </w:r>
      <w:r w:rsidRPr="003344EC">
        <w:t xml:space="preserve"> caring for children / young people </w:t>
      </w:r>
      <w:r>
        <w:t>should</w:t>
      </w:r>
      <w:r w:rsidRPr="003344EC">
        <w:t xml:space="preserve"> have an appropriate level of training and</w:t>
      </w:r>
      <w:r w:rsidR="008341AA">
        <w:t xml:space="preserve"> </w:t>
      </w:r>
      <w:r w:rsidRPr="003344EC">
        <w:t>/</w:t>
      </w:r>
      <w:r w:rsidR="008341AA">
        <w:t xml:space="preserve"> </w:t>
      </w:r>
      <w:r w:rsidRPr="003344EC">
        <w:t>or</w:t>
      </w:r>
      <w:r>
        <w:t xml:space="preserve"> </w:t>
      </w:r>
      <w:r w:rsidRPr="003344EC">
        <w:t>qualification in paediatric care and conduct these services in close liaison with local paediatric providers.</w:t>
      </w:r>
    </w:p>
    <w:p w:rsidR="00D92500" w:rsidRDefault="00D92500">
      <w:pPr>
        <w:spacing w:after="200" w:line="276" w:lineRule="auto"/>
      </w:pPr>
      <w:r>
        <w:br w:type="page"/>
      </w:r>
    </w:p>
    <w:p w:rsidR="005A5A48" w:rsidRPr="00AD0D07" w:rsidRDefault="00AD0D07" w:rsidP="00D92500">
      <w:pPr>
        <w:pStyle w:val="BodyText"/>
        <w:ind w:left="0"/>
      </w:pPr>
      <w:r w:rsidRPr="00AD0D07">
        <w:lastRenderedPageBreak/>
        <w:t xml:space="preserve">The </w:t>
      </w:r>
      <w:r w:rsidR="0093051C" w:rsidRPr="00AD0D07">
        <w:t xml:space="preserve">Pain </w:t>
      </w:r>
      <w:r w:rsidR="007D7B17" w:rsidRPr="00AD0D07">
        <w:t xml:space="preserve">Management </w:t>
      </w:r>
      <w:r w:rsidR="00B173A3" w:rsidRPr="00AD0D07">
        <w:t>Interdisciplinary Team</w:t>
      </w:r>
      <w:r w:rsidR="00D92500" w:rsidRPr="00AD0D07">
        <w:t xml:space="preserve"> (IDT)</w:t>
      </w:r>
    </w:p>
    <w:p w:rsidR="005A5A48" w:rsidRPr="000E4682" w:rsidRDefault="005A5A48" w:rsidP="003C2678">
      <w:pPr>
        <w:pStyle w:val="BodyText"/>
        <w:ind w:left="0"/>
      </w:pPr>
      <w:r w:rsidRPr="000E4682">
        <w:t xml:space="preserve">The </w:t>
      </w:r>
      <w:r w:rsidR="00886D7A">
        <w:t>IDT</w:t>
      </w:r>
      <w:r w:rsidRPr="000E4682">
        <w:t xml:space="preserve"> encompasses a wide range of health disciplines that have </w:t>
      </w:r>
      <w:r w:rsidR="00AA6DC7">
        <w:t xml:space="preserve">qualifications in and /or </w:t>
      </w:r>
      <w:r w:rsidRPr="000E4682">
        <w:t xml:space="preserve">extensive experience, skills and knowledge in pain management strategies and programmes. </w:t>
      </w:r>
    </w:p>
    <w:p w:rsidR="00A60E92" w:rsidRDefault="00A60E92" w:rsidP="003C2678">
      <w:pPr>
        <w:pStyle w:val="BodyText"/>
        <w:ind w:left="0"/>
      </w:pPr>
      <w:r>
        <w:t>A Pain Medicine Specialist</w:t>
      </w:r>
      <w:r w:rsidRPr="000E4682">
        <w:t xml:space="preserve"> holding a Fellowship from the Australian and New Zealand Faculty of Pain Medicine whose vocational sc</w:t>
      </w:r>
      <w:r>
        <w:t>ope of Pain Medicine is recognis</w:t>
      </w:r>
      <w:r w:rsidRPr="000E4682">
        <w:t>ed by the</w:t>
      </w:r>
      <w:r>
        <w:t xml:space="preserve"> Medical Council of New Zealand, will be a member of the IDT.</w:t>
      </w:r>
    </w:p>
    <w:p w:rsidR="005A5A48" w:rsidRDefault="005A5A48" w:rsidP="003C2678">
      <w:pPr>
        <w:pStyle w:val="BodyText"/>
        <w:ind w:left="0"/>
      </w:pPr>
      <w:r w:rsidRPr="000E4682">
        <w:t xml:space="preserve">The coordinated approach offered by the Service’s </w:t>
      </w:r>
      <w:r w:rsidR="00795909">
        <w:t>IDT</w:t>
      </w:r>
      <w:r w:rsidRPr="000E4682">
        <w:t xml:space="preserve"> uses a number of different modalities from </w:t>
      </w:r>
      <w:r w:rsidR="00DE3BFA">
        <w:t>biopsychosocial</w:t>
      </w:r>
      <w:r w:rsidRPr="000E4682">
        <w:t xml:space="preserve"> and functional viewpoints.</w:t>
      </w:r>
    </w:p>
    <w:p w:rsidR="0038532D" w:rsidRPr="00597DBE" w:rsidRDefault="0038532D" w:rsidP="003C2678">
      <w:pPr>
        <w:pStyle w:val="BodyText"/>
        <w:ind w:left="0"/>
      </w:pPr>
      <w:r w:rsidRPr="00597DBE">
        <w:t xml:space="preserve">The IDT </w:t>
      </w:r>
      <w:r>
        <w:t xml:space="preserve">staff </w:t>
      </w:r>
      <w:r w:rsidRPr="00597DBE">
        <w:t>will</w:t>
      </w:r>
      <w:r>
        <w:t xml:space="preserve"> demonstrate the following competencies</w:t>
      </w:r>
      <w:r w:rsidRPr="00597DBE">
        <w:t>:</w:t>
      </w:r>
    </w:p>
    <w:p w:rsidR="0038532D" w:rsidRPr="00597DBE" w:rsidRDefault="0038532D" w:rsidP="003C2678">
      <w:pPr>
        <w:pStyle w:val="ListParagraph"/>
        <w:ind w:hanging="567"/>
      </w:pPr>
      <w:r w:rsidRPr="00151BF5">
        <w:t>assessing</w:t>
      </w:r>
      <w:r w:rsidRPr="00597DBE">
        <w:t xml:space="preserve"> and treating physical, psychological, medical, vocational and social and rehabilitative aspects of pain.</w:t>
      </w:r>
    </w:p>
    <w:p w:rsidR="0038532D" w:rsidRPr="00597DBE" w:rsidRDefault="0038532D" w:rsidP="003C2678">
      <w:pPr>
        <w:pStyle w:val="ListParagraph"/>
        <w:ind w:hanging="567"/>
      </w:pPr>
      <w:r w:rsidRPr="00597DBE">
        <w:t>maintaining adequate records so that treatment outcomes and overall programme effectiveness can be evaluated</w:t>
      </w:r>
    </w:p>
    <w:p w:rsidR="0038532D" w:rsidRPr="00886D7A" w:rsidRDefault="0038532D" w:rsidP="003C2678">
      <w:pPr>
        <w:pStyle w:val="ListParagraph"/>
        <w:ind w:hanging="567"/>
        <w:rPr>
          <w:rFonts w:cs="Arial"/>
          <w:szCs w:val="24"/>
        </w:rPr>
      </w:pPr>
      <w:r w:rsidRPr="00597DBE">
        <w:t xml:space="preserve">supporting the </w:t>
      </w:r>
      <w:r w:rsidR="00571C4C">
        <w:t xml:space="preserve">collection and </w:t>
      </w:r>
      <w:r w:rsidRPr="00597DBE">
        <w:t xml:space="preserve">use of the </w:t>
      </w:r>
      <w:r w:rsidR="00D97846">
        <w:t xml:space="preserve">New Zealand </w:t>
      </w:r>
      <w:r w:rsidR="006835EB">
        <w:t xml:space="preserve">- </w:t>
      </w:r>
      <w:r w:rsidRPr="00597DBE">
        <w:t>Austral</w:t>
      </w:r>
      <w:r w:rsidR="00D97846">
        <w:t>ia</w:t>
      </w:r>
      <w:r w:rsidRPr="00597DBE">
        <w:t xml:space="preserve"> </w:t>
      </w:r>
      <w:r w:rsidR="006835EB">
        <w:t>C</w:t>
      </w:r>
      <w:r w:rsidRPr="00597DBE">
        <w:t xml:space="preserve">ommon </w:t>
      </w:r>
      <w:r w:rsidR="006835EB">
        <w:t>D</w:t>
      </w:r>
      <w:r w:rsidRPr="00597DBE">
        <w:t xml:space="preserve">ata </w:t>
      </w:r>
      <w:r w:rsidR="006835EB">
        <w:t>S</w:t>
      </w:r>
      <w:r w:rsidRPr="00597DBE">
        <w:t>et</w:t>
      </w:r>
      <w:r w:rsidR="00636CB0">
        <w:t xml:space="preserve"> (Appendix 1</w:t>
      </w:r>
      <w:r w:rsidR="006835EB">
        <w:t>.)</w:t>
      </w:r>
    </w:p>
    <w:p w:rsidR="00597DBE" w:rsidRDefault="009425A3" w:rsidP="001E03FE">
      <w:pPr>
        <w:pStyle w:val="Heading1"/>
        <w:spacing w:after="0"/>
        <w:ind w:left="567" w:hanging="567"/>
      </w:pPr>
      <w:r w:rsidRPr="000E4682">
        <w:rPr>
          <w:sz w:val="24"/>
          <w:szCs w:val="24"/>
        </w:rPr>
        <w:t>Service Linkages</w:t>
      </w:r>
    </w:p>
    <w:p w:rsidR="009425A3" w:rsidRDefault="00B90ABF" w:rsidP="003C2678">
      <w:pPr>
        <w:pStyle w:val="BodyText"/>
        <w:spacing w:before="120"/>
        <w:ind w:left="0"/>
      </w:pPr>
      <w:r>
        <w:rPr>
          <w:szCs w:val="24"/>
        </w:rPr>
        <w:t xml:space="preserve">The Service </w:t>
      </w:r>
      <w:r w:rsidRPr="000B531B">
        <w:t xml:space="preserve">must be well integrated with other </w:t>
      </w:r>
      <w:r w:rsidR="00571C4C">
        <w:t xml:space="preserve">health </w:t>
      </w:r>
      <w:r w:rsidRPr="000B531B">
        <w:t xml:space="preserve">services and ensure </w:t>
      </w:r>
      <w:r>
        <w:t xml:space="preserve">that </w:t>
      </w:r>
      <w:r w:rsidRPr="000B531B">
        <w:t xml:space="preserve">there is effective consultation, liaison and referral between services and sub-specialties. </w:t>
      </w:r>
      <w:r w:rsidR="009425A3" w:rsidRPr="000E4682">
        <w:rPr>
          <w:szCs w:val="24"/>
        </w:rPr>
        <w:t>Providers are required to establish working arrangements or protocols that reflect the size and scope of each organisation and the degree of cooperation required between them</w:t>
      </w:r>
      <w:r w:rsidR="00597DBE">
        <w:rPr>
          <w:szCs w:val="24"/>
        </w:rPr>
        <w:t>.</w:t>
      </w:r>
    </w:p>
    <w:p w:rsidR="00C219A5" w:rsidRPr="00C219A5" w:rsidRDefault="00C219A5" w:rsidP="003C2678">
      <w:pPr>
        <w:pStyle w:val="BodyText"/>
        <w:ind w:left="0"/>
        <w:rPr>
          <w:lang w:val="en-NZ"/>
        </w:rPr>
      </w:pPr>
      <w:r w:rsidRPr="00C219A5">
        <w:rPr>
          <w:lang w:val="en-NZ"/>
        </w:rPr>
        <w:t>The linkages include, but are not limited to the following:</w:t>
      </w:r>
    </w:p>
    <w:p w:rsidR="009425A3" w:rsidRPr="00151BF5" w:rsidRDefault="009425A3" w:rsidP="003938B3">
      <w:pPr>
        <w:pStyle w:val="ListParagraph"/>
        <w:ind w:hanging="567"/>
      </w:pPr>
      <w:r w:rsidRPr="00151BF5">
        <w:t>A</w:t>
      </w:r>
      <w:r w:rsidR="005E7624" w:rsidRPr="00151BF5">
        <w:t xml:space="preserve">ccident Compensation </w:t>
      </w:r>
      <w:r w:rsidRPr="00151BF5">
        <w:t>C</w:t>
      </w:r>
      <w:r w:rsidR="005E7624" w:rsidRPr="00151BF5">
        <w:t>orporation (AC</w:t>
      </w:r>
      <w:r w:rsidRPr="00151BF5">
        <w:t>C</w:t>
      </w:r>
      <w:r w:rsidR="005E7624" w:rsidRPr="00151BF5">
        <w:t>)</w:t>
      </w:r>
    </w:p>
    <w:p w:rsidR="009425A3" w:rsidRPr="00151BF5" w:rsidRDefault="009425A3" w:rsidP="003938B3">
      <w:pPr>
        <w:pStyle w:val="ListParagraph"/>
        <w:ind w:hanging="567"/>
      </w:pPr>
      <w:r w:rsidRPr="00151BF5">
        <w:t>Other hospital</w:t>
      </w:r>
      <w:r w:rsidR="00C219A5" w:rsidRPr="00151BF5">
        <w:t xml:space="preserve"> services</w:t>
      </w:r>
    </w:p>
    <w:p w:rsidR="009425A3" w:rsidRPr="00151BF5" w:rsidRDefault="008341AA" w:rsidP="003938B3">
      <w:pPr>
        <w:pStyle w:val="ListParagraph"/>
        <w:ind w:hanging="567"/>
      </w:pPr>
      <w:r>
        <w:t>GPs</w:t>
      </w:r>
      <w:r w:rsidR="00781839">
        <w:t xml:space="preserve"> </w:t>
      </w:r>
      <w:r>
        <w:t xml:space="preserve">/ </w:t>
      </w:r>
      <w:r w:rsidR="00C219A5" w:rsidRPr="00151BF5">
        <w:t>P</w:t>
      </w:r>
      <w:r w:rsidR="009425A3" w:rsidRPr="00151BF5">
        <w:t xml:space="preserve">rimary </w:t>
      </w:r>
      <w:r>
        <w:t>H</w:t>
      </w:r>
      <w:r w:rsidR="00C219A5" w:rsidRPr="00151BF5">
        <w:t xml:space="preserve">ealth </w:t>
      </w:r>
      <w:r>
        <w:t>C</w:t>
      </w:r>
      <w:r w:rsidR="00F94342">
        <w:t>are</w:t>
      </w:r>
      <w:r w:rsidR="0015341A">
        <w:t xml:space="preserve"> </w:t>
      </w:r>
      <w:r>
        <w:t xml:space="preserve">Teams </w:t>
      </w:r>
      <w:r w:rsidR="00C219A5" w:rsidRPr="00151BF5">
        <w:t>and o</w:t>
      </w:r>
      <w:r w:rsidR="009425A3" w:rsidRPr="00151BF5">
        <w:t xml:space="preserve">ther primary </w:t>
      </w:r>
      <w:r w:rsidR="00597DBE" w:rsidRPr="00151BF5">
        <w:t xml:space="preserve">health </w:t>
      </w:r>
      <w:r w:rsidR="009425A3" w:rsidRPr="00151BF5">
        <w:t>providers</w:t>
      </w:r>
    </w:p>
    <w:p w:rsidR="005C40AB" w:rsidRDefault="00C219A5" w:rsidP="003938B3">
      <w:pPr>
        <w:pStyle w:val="ListParagraph"/>
        <w:ind w:hanging="567"/>
      </w:pPr>
      <w:r w:rsidRPr="00151BF5">
        <w:t xml:space="preserve">Specialist and community </w:t>
      </w:r>
      <w:r w:rsidR="005C40AB" w:rsidRPr="00151BF5">
        <w:t>Palliative Care services</w:t>
      </w:r>
    </w:p>
    <w:p w:rsidR="00F94342" w:rsidRPr="00151BF5" w:rsidRDefault="00F94342" w:rsidP="003938B3">
      <w:pPr>
        <w:pStyle w:val="ListParagraph"/>
        <w:ind w:hanging="567"/>
      </w:pPr>
      <w:r>
        <w:t>N</w:t>
      </w:r>
      <w:r w:rsidR="0012773D">
        <w:t>on-</w:t>
      </w:r>
      <w:r>
        <w:t>G</w:t>
      </w:r>
      <w:r w:rsidR="0012773D">
        <w:t>overnment</w:t>
      </w:r>
      <w:r w:rsidR="00781839">
        <w:t>al</w:t>
      </w:r>
      <w:r w:rsidR="0012773D">
        <w:t xml:space="preserve"> </w:t>
      </w:r>
      <w:r>
        <w:t>O</w:t>
      </w:r>
      <w:r w:rsidR="0012773D">
        <w:t>rganisation</w:t>
      </w:r>
      <w:r>
        <w:t>s</w:t>
      </w:r>
      <w:r w:rsidR="0012773D">
        <w:t xml:space="preserve"> (NGOs)</w:t>
      </w:r>
      <w:r>
        <w:t xml:space="preserve"> </w:t>
      </w:r>
      <w:r w:rsidR="0012773D">
        <w:t>eg</w:t>
      </w:r>
      <w:r w:rsidR="005D5B47">
        <w:t>.</w:t>
      </w:r>
      <w:r>
        <w:t xml:space="preserve"> </w:t>
      </w:r>
      <w:r w:rsidR="0012773D">
        <w:t>C</w:t>
      </w:r>
      <w:r>
        <w:t xml:space="preserve">ancer </w:t>
      </w:r>
      <w:r w:rsidR="0012773D">
        <w:t>S</w:t>
      </w:r>
      <w:r>
        <w:t>ociety</w:t>
      </w:r>
      <w:r w:rsidR="0012773D">
        <w:t xml:space="preserve"> of New Zealand</w:t>
      </w:r>
      <w:r>
        <w:t xml:space="preserve">, </w:t>
      </w:r>
      <w:r w:rsidR="0012773D">
        <w:t>A</w:t>
      </w:r>
      <w:r>
        <w:t xml:space="preserve">rthritis </w:t>
      </w:r>
      <w:r w:rsidR="005D5B47">
        <w:t>New Zealand</w:t>
      </w:r>
    </w:p>
    <w:p w:rsidR="009425A3" w:rsidRPr="00151BF5" w:rsidRDefault="009425A3" w:rsidP="003938B3">
      <w:pPr>
        <w:pStyle w:val="ListParagraph"/>
        <w:ind w:hanging="567"/>
      </w:pPr>
      <w:r w:rsidRPr="00151BF5">
        <w:t>Residential support services providers for people with intellectual, physical or sensory disabilities, and</w:t>
      </w:r>
      <w:r w:rsidR="008341AA">
        <w:t xml:space="preserve"> </w:t>
      </w:r>
      <w:r w:rsidRPr="00151BF5">
        <w:t>/</w:t>
      </w:r>
      <w:r w:rsidR="008341AA">
        <w:t xml:space="preserve"> </w:t>
      </w:r>
      <w:r w:rsidRPr="00151BF5">
        <w:t>or mental illn</w:t>
      </w:r>
      <w:r w:rsidR="00597DBE" w:rsidRPr="00151BF5">
        <w:t>ess or drug and alcohol issues</w:t>
      </w:r>
      <w:r w:rsidR="00F9645D">
        <w:t xml:space="preserve"> and / or chronic health conditions</w:t>
      </w:r>
    </w:p>
    <w:p w:rsidR="009425A3" w:rsidRPr="00151BF5" w:rsidRDefault="009425A3" w:rsidP="003938B3">
      <w:pPr>
        <w:pStyle w:val="ListParagraph"/>
        <w:ind w:hanging="567"/>
      </w:pPr>
      <w:r w:rsidRPr="00151BF5">
        <w:t>Aged Residential Care contracted service providers</w:t>
      </w:r>
    </w:p>
    <w:p w:rsidR="009425A3" w:rsidRPr="00151BF5" w:rsidRDefault="009425A3" w:rsidP="003938B3">
      <w:pPr>
        <w:pStyle w:val="ListParagraph"/>
        <w:ind w:hanging="567"/>
      </w:pPr>
      <w:r w:rsidRPr="00151BF5">
        <w:t>Community mental health and / or crisis services</w:t>
      </w:r>
    </w:p>
    <w:p w:rsidR="009425A3" w:rsidRPr="00151BF5" w:rsidRDefault="009425A3" w:rsidP="003C2678">
      <w:pPr>
        <w:pStyle w:val="ListParagraph"/>
        <w:ind w:hanging="567"/>
      </w:pPr>
      <w:r w:rsidRPr="00151BF5">
        <w:t>Social workers and counsellors</w:t>
      </w:r>
    </w:p>
    <w:p w:rsidR="009425A3" w:rsidRPr="00151BF5" w:rsidRDefault="009425A3" w:rsidP="003C2678">
      <w:pPr>
        <w:pStyle w:val="ListParagraph"/>
        <w:ind w:hanging="567"/>
      </w:pPr>
      <w:r w:rsidRPr="00151BF5">
        <w:t>Specialist Community Nursing services</w:t>
      </w:r>
    </w:p>
    <w:p w:rsidR="009425A3" w:rsidRPr="00151BF5" w:rsidRDefault="009425A3" w:rsidP="003C2678">
      <w:pPr>
        <w:pStyle w:val="ListParagraph"/>
        <w:ind w:hanging="567"/>
      </w:pPr>
      <w:r w:rsidRPr="00151BF5">
        <w:t>Consumer advocacy services</w:t>
      </w:r>
      <w:r w:rsidR="003C2678">
        <w:t>.</w:t>
      </w:r>
      <w:r w:rsidRPr="00151BF5">
        <w:t xml:space="preserve"> </w:t>
      </w:r>
    </w:p>
    <w:p w:rsidR="00C25292" w:rsidRDefault="00C25292">
      <w:pPr>
        <w:spacing w:after="200" w:line="276" w:lineRule="auto"/>
        <w:rPr>
          <w:rFonts w:cs="Arial"/>
          <w:b/>
          <w:bCs/>
          <w:kern w:val="32"/>
          <w:szCs w:val="24"/>
          <w:lang w:eastAsia="en-NZ"/>
        </w:rPr>
      </w:pPr>
      <w:r>
        <w:rPr>
          <w:szCs w:val="24"/>
        </w:rPr>
        <w:br w:type="page"/>
      </w:r>
    </w:p>
    <w:p w:rsidR="009425A3" w:rsidRPr="000E4682" w:rsidRDefault="009425A3" w:rsidP="00227D0F">
      <w:pPr>
        <w:pStyle w:val="Heading1"/>
        <w:spacing w:after="0"/>
        <w:rPr>
          <w:sz w:val="24"/>
          <w:szCs w:val="24"/>
        </w:rPr>
      </w:pPr>
      <w:r w:rsidRPr="000E4682">
        <w:rPr>
          <w:sz w:val="24"/>
          <w:szCs w:val="24"/>
        </w:rPr>
        <w:lastRenderedPageBreak/>
        <w:t>Quality Requirements</w:t>
      </w:r>
    </w:p>
    <w:p w:rsidR="00C219A5" w:rsidRDefault="00C219A5" w:rsidP="001E03FE">
      <w:pPr>
        <w:pStyle w:val="Heading2"/>
        <w:spacing w:before="120" w:after="0"/>
        <w:ind w:hanging="596"/>
      </w:pPr>
      <w:r>
        <w:t>General</w:t>
      </w:r>
    </w:p>
    <w:p w:rsidR="00C219A5" w:rsidRDefault="009425A3" w:rsidP="003C2678">
      <w:pPr>
        <w:pStyle w:val="BodyText"/>
        <w:spacing w:before="120"/>
        <w:ind w:left="0"/>
        <w:rPr>
          <w:b/>
          <w:szCs w:val="22"/>
          <w:lang w:val="en-NZ"/>
        </w:rPr>
      </w:pPr>
      <w:r w:rsidRPr="00597DBE">
        <w:t>The Provider must comply with the Provider Quality Standards described in the Operational Policy Framework</w:t>
      </w:r>
      <w:r w:rsidR="008341AA">
        <w:rPr>
          <w:rStyle w:val="FootnoteReference"/>
        </w:rPr>
        <w:footnoteReference w:id="6"/>
      </w:r>
      <w:r w:rsidR="008341AA">
        <w:t xml:space="preserve"> </w:t>
      </w:r>
      <w:r w:rsidRPr="00597DBE">
        <w:t>of the Crown Funding Agreement.</w:t>
      </w:r>
    </w:p>
    <w:p w:rsidR="00D92500" w:rsidRDefault="005E7624" w:rsidP="00D92500">
      <w:r w:rsidRPr="00151BF5">
        <w:t xml:space="preserve">The </w:t>
      </w:r>
      <w:r w:rsidR="0038532D" w:rsidRPr="00151BF5">
        <w:t>Service</w:t>
      </w:r>
      <w:r w:rsidR="00A93165" w:rsidRPr="00151BF5">
        <w:t xml:space="preserve"> will</w:t>
      </w:r>
      <w:r w:rsidR="00D92500">
        <w:t>:</w:t>
      </w:r>
    </w:p>
    <w:p w:rsidR="005E7624" w:rsidRPr="00151BF5" w:rsidRDefault="005E7624" w:rsidP="0093051C">
      <w:pPr>
        <w:pStyle w:val="ListParagraph"/>
        <w:ind w:hanging="567"/>
      </w:pPr>
      <w:r w:rsidRPr="00151BF5">
        <w:t xml:space="preserve">have a process for </w:t>
      </w:r>
      <w:r w:rsidR="00227D0F" w:rsidRPr="00151BF5">
        <w:t xml:space="preserve">effective </w:t>
      </w:r>
      <w:r w:rsidRPr="00151BF5">
        <w:t>resolution of disputes over the level of service delivery</w:t>
      </w:r>
    </w:p>
    <w:p w:rsidR="005E7624" w:rsidRPr="00151BF5" w:rsidRDefault="005E7624" w:rsidP="0093051C">
      <w:pPr>
        <w:pStyle w:val="ListParagraph"/>
        <w:ind w:hanging="567"/>
      </w:pPr>
      <w:r w:rsidRPr="00151BF5">
        <w:t xml:space="preserve">report as required to the funder on the development and implementation of the quality improvement plan and compliance with standards </w:t>
      </w:r>
    </w:p>
    <w:p w:rsidR="0038532D" w:rsidRPr="00151BF5" w:rsidRDefault="005E7624" w:rsidP="0093051C">
      <w:pPr>
        <w:pStyle w:val="ListParagraph"/>
        <w:ind w:hanging="567"/>
      </w:pPr>
      <w:r w:rsidRPr="00151BF5">
        <w:t>undertake regular evidence based outcome monitoring, process review, clinical and process audits and peer review relevant to the Service</w:t>
      </w:r>
    </w:p>
    <w:p w:rsidR="00C219A5" w:rsidRPr="00151BF5" w:rsidRDefault="0038532D" w:rsidP="0093051C">
      <w:pPr>
        <w:pStyle w:val="ListParagraph"/>
        <w:ind w:hanging="567"/>
      </w:pPr>
      <w:r w:rsidRPr="00151BF5">
        <w:t>participate in an evidence based quality improvement programme that is able to measure and report the service performance and progress</w:t>
      </w:r>
      <w:r w:rsidR="00D92500">
        <w:t>.</w:t>
      </w:r>
    </w:p>
    <w:p w:rsidR="00C219A5" w:rsidRPr="00EF7981" w:rsidRDefault="00C219A5" w:rsidP="001E03FE">
      <w:pPr>
        <w:pStyle w:val="Heading2"/>
        <w:ind w:hanging="596"/>
        <w:rPr>
          <w:i/>
          <w:lang w:val="en-AU"/>
        </w:rPr>
      </w:pPr>
      <w:r w:rsidRPr="00EF7981">
        <w:rPr>
          <w:lang w:val="en-AU"/>
        </w:rPr>
        <w:t>Acceptability</w:t>
      </w:r>
      <w:r>
        <w:rPr>
          <w:lang w:val="en-AU"/>
        </w:rPr>
        <w:t xml:space="preserve"> to the Service Users</w:t>
      </w:r>
    </w:p>
    <w:p w:rsidR="00C219A5" w:rsidRPr="008C5F6F" w:rsidRDefault="0038532D" w:rsidP="00C612A1">
      <w:pPr>
        <w:pStyle w:val="BodyText"/>
        <w:ind w:left="142"/>
      </w:pPr>
      <w:r>
        <w:rPr>
          <w:szCs w:val="24"/>
        </w:rPr>
        <w:t>P</w:t>
      </w:r>
      <w:r w:rsidRPr="00597DBE">
        <w:rPr>
          <w:szCs w:val="24"/>
        </w:rPr>
        <w:t>rovi</w:t>
      </w:r>
      <w:r>
        <w:rPr>
          <w:szCs w:val="24"/>
        </w:rPr>
        <w:t>de</w:t>
      </w:r>
      <w:r w:rsidRPr="00597DBE">
        <w:rPr>
          <w:szCs w:val="24"/>
        </w:rPr>
        <w:t xml:space="preserve"> access to advocacy and support services</w:t>
      </w:r>
      <w:r w:rsidR="008341AA">
        <w:rPr>
          <w:szCs w:val="24"/>
        </w:rPr>
        <w:t>,</w:t>
      </w:r>
      <w:r w:rsidRPr="00597DBE">
        <w:rPr>
          <w:szCs w:val="24"/>
        </w:rPr>
        <w:t xml:space="preserve"> as required</w:t>
      </w:r>
      <w:r w:rsidR="008341AA">
        <w:rPr>
          <w:szCs w:val="24"/>
        </w:rPr>
        <w:t>,</w:t>
      </w:r>
      <w:r w:rsidRPr="00597DBE">
        <w:rPr>
          <w:szCs w:val="24"/>
        </w:rPr>
        <w:t xml:space="preserve"> </w:t>
      </w:r>
      <w:r>
        <w:rPr>
          <w:szCs w:val="24"/>
        </w:rPr>
        <w:t>to e</w:t>
      </w:r>
      <w:r w:rsidR="00C219A5" w:rsidRPr="008C5F6F">
        <w:rPr>
          <w:lang w:val="en-NZ"/>
        </w:rPr>
        <w:t xml:space="preserve">nsure </w:t>
      </w:r>
      <w:r w:rsidR="00C219A5">
        <w:rPr>
          <w:lang w:val="en-NZ"/>
        </w:rPr>
        <w:t>Service User</w:t>
      </w:r>
      <w:r w:rsidR="00C219A5" w:rsidRPr="008C5F6F">
        <w:rPr>
          <w:lang w:val="en-NZ"/>
        </w:rPr>
        <w:t>s have their health and disability related support needs met in a manner that respects and acknowledges their individual and cultural values and beliefs.</w:t>
      </w:r>
    </w:p>
    <w:p w:rsidR="0038532D" w:rsidRDefault="00C219A5" w:rsidP="00C612A1">
      <w:pPr>
        <w:pStyle w:val="BodyText"/>
        <w:ind w:left="142"/>
      </w:pPr>
      <w:r w:rsidRPr="00EF7981">
        <w:t xml:space="preserve">Consider and meet </w:t>
      </w:r>
      <w:r>
        <w:t xml:space="preserve">the age appropriate </w:t>
      </w:r>
      <w:r w:rsidRPr="00EF7981">
        <w:t xml:space="preserve">needs of the </w:t>
      </w:r>
      <w:r>
        <w:t>Service Users,</w:t>
      </w:r>
      <w:r w:rsidRPr="00EF7981">
        <w:t xml:space="preserve"> and their </w:t>
      </w:r>
      <w:r>
        <w:t xml:space="preserve">family and </w:t>
      </w:r>
      <w:r w:rsidR="00007E97">
        <w:t>w</w:t>
      </w:r>
      <w:r w:rsidR="00230356">
        <w:t>hānau</w:t>
      </w:r>
      <w:r w:rsidRPr="00EF7981">
        <w:t>, and / or carers</w:t>
      </w:r>
      <w:r>
        <w:t xml:space="preserve"> where applicable</w:t>
      </w:r>
      <w:r w:rsidRPr="00EF7981">
        <w:t>.</w:t>
      </w:r>
      <w:r w:rsidR="00234C4E">
        <w:t xml:space="preserve"> </w:t>
      </w:r>
    </w:p>
    <w:p w:rsidR="00B90ABF" w:rsidRPr="0038532D" w:rsidRDefault="00B90ABF" w:rsidP="001E03FE">
      <w:pPr>
        <w:pStyle w:val="Heading2"/>
        <w:ind w:hanging="596"/>
        <w:rPr>
          <w:rFonts w:cs="Arial"/>
        </w:rPr>
      </w:pPr>
      <w:r w:rsidRPr="000E4682">
        <w:rPr>
          <w:rFonts w:cs="Arial"/>
        </w:rPr>
        <w:t xml:space="preserve">Pacific Health </w:t>
      </w:r>
      <w:r w:rsidR="0038532D">
        <w:rPr>
          <w:rFonts w:cs="Arial"/>
        </w:rPr>
        <w:t>and Health for other</w:t>
      </w:r>
      <w:r w:rsidR="0038532D" w:rsidRPr="00092CC9">
        <w:rPr>
          <w:rFonts w:cs="Arial"/>
        </w:rPr>
        <w:t xml:space="preserve"> Ethnic </w:t>
      </w:r>
      <w:r w:rsidR="0038532D">
        <w:rPr>
          <w:rFonts w:cs="Arial"/>
        </w:rPr>
        <w:t>Groups</w:t>
      </w:r>
    </w:p>
    <w:p w:rsidR="00A60E92" w:rsidRDefault="00B90ABF" w:rsidP="00A60E92">
      <w:pPr>
        <w:pStyle w:val="BodyText"/>
        <w:ind w:left="142"/>
      </w:pPr>
      <w:r w:rsidRPr="000E4682">
        <w:t xml:space="preserve">Refer to </w:t>
      </w:r>
      <w:r w:rsidR="00B87FB8">
        <w:t>the</w:t>
      </w:r>
      <w:r w:rsidR="00B87FB8" w:rsidRPr="000E4682">
        <w:t xml:space="preserve"> </w:t>
      </w:r>
      <w:r w:rsidRPr="000E4682">
        <w:t>Tier One Specialist Medical and Surgical Services and Tier One Services for Children and Young People service specifications</w:t>
      </w:r>
      <w:r w:rsidR="00C612A1">
        <w:t>.</w:t>
      </w:r>
      <w:r>
        <w:t xml:space="preserve"> </w:t>
      </w:r>
    </w:p>
    <w:p w:rsidR="00B90ABF" w:rsidRPr="00A60E92" w:rsidRDefault="00B90ABF" w:rsidP="00A60E92">
      <w:pPr>
        <w:pStyle w:val="BodyText"/>
        <w:ind w:left="142"/>
      </w:pPr>
      <w:r w:rsidRPr="00A60E92">
        <w:t>As New Zealand is made up of culturally diverse communities, the Provider will take into account the particular cultural and linguistic needs of the groups within the community it serves.</w:t>
      </w:r>
      <w:r w:rsidR="00234C4E" w:rsidRPr="00A60E92">
        <w:t xml:space="preserve"> </w:t>
      </w:r>
    </w:p>
    <w:p w:rsidR="009425A3" w:rsidRPr="000E4682" w:rsidRDefault="009425A3" w:rsidP="000921FE">
      <w:pPr>
        <w:pStyle w:val="Heading1"/>
        <w:rPr>
          <w:sz w:val="24"/>
          <w:szCs w:val="24"/>
        </w:rPr>
      </w:pPr>
      <w:r w:rsidRPr="000E4682">
        <w:rPr>
          <w:sz w:val="24"/>
          <w:szCs w:val="24"/>
        </w:rPr>
        <w:t xml:space="preserve">Purchase </w:t>
      </w:r>
      <w:r w:rsidR="00597DBE">
        <w:rPr>
          <w:sz w:val="24"/>
          <w:szCs w:val="24"/>
        </w:rPr>
        <w:t>U</w:t>
      </w:r>
      <w:r w:rsidRPr="000E4682">
        <w:rPr>
          <w:sz w:val="24"/>
          <w:szCs w:val="24"/>
        </w:rPr>
        <w:t xml:space="preserve">nits and </w:t>
      </w:r>
      <w:r w:rsidR="00597DBE">
        <w:rPr>
          <w:sz w:val="24"/>
          <w:szCs w:val="24"/>
        </w:rPr>
        <w:t>R</w:t>
      </w:r>
      <w:r w:rsidRPr="000E4682">
        <w:rPr>
          <w:sz w:val="24"/>
          <w:szCs w:val="24"/>
        </w:rPr>
        <w:t xml:space="preserve">eporting </w:t>
      </w:r>
      <w:r w:rsidR="00597DBE">
        <w:rPr>
          <w:sz w:val="24"/>
          <w:szCs w:val="24"/>
        </w:rPr>
        <w:t>R</w:t>
      </w:r>
      <w:r w:rsidRPr="000E4682">
        <w:rPr>
          <w:sz w:val="24"/>
          <w:szCs w:val="24"/>
        </w:rPr>
        <w:t>equirements</w:t>
      </w:r>
    </w:p>
    <w:p w:rsidR="000978EA" w:rsidRDefault="000978EA" w:rsidP="001E03FE">
      <w:pPr>
        <w:pStyle w:val="Heading2"/>
        <w:spacing w:before="120"/>
        <w:ind w:hanging="596"/>
      </w:pPr>
      <w:r>
        <w:t>Purchase Units</w:t>
      </w:r>
    </w:p>
    <w:p w:rsidR="009425A3" w:rsidRPr="000E4682" w:rsidRDefault="009425A3" w:rsidP="001E03FE">
      <w:pPr>
        <w:pStyle w:val="BodyText"/>
        <w:ind w:left="0"/>
      </w:pPr>
      <w:r w:rsidRPr="000E4682">
        <w:t>Purchase Units are defined in the joint DHB and Ministry’s Nationwide Service Framework Purchase Unit Data Dictionary.</w:t>
      </w:r>
      <w:r w:rsidR="00234C4E">
        <w:t xml:space="preserve"> </w:t>
      </w:r>
      <w:r w:rsidRPr="000E4682">
        <w:t>The Service must comply with the requirements of Ministry of Health national data collections.</w:t>
      </w:r>
      <w:r w:rsidR="00234C4E">
        <w:t xml:space="preserve"> </w:t>
      </w:r>
      <w:r w:rsidRPr="000E4682">
        <w:t>The following Purchase Units apply to this Service.</w:t>
      </w:r>
    </w:p>
    <w:tbl>
      <w:tblPr>
        <w:tblStyle w:val="TableGrid"/>
        <w:tblW w:w="10065" w:type="dxa"/>
        <w:tblInd w:w="-34" w:type="dxa"/>
        <w:tblLayout w:type="fixed"/>
        <w:tblLook w:val="04A0" w:firstRow="1" w:lastRow="0" w:firstColumn="1" w:lastColumn="0" w:noHBand="0" w:noVBand="1"/>
      </w:tblPr>
      <w:tblGrid>
        <w:gridCol w:w="993"/>
        <w:gridCol w:w="1843"/>
        <w:gridCol w:w="4536"/>
        <w:gridCol w:w="1275"/>
        <w:gridCol w:w="1418"/>
      </w:tblGrid>
      <w:tr w:rsidR="00C25292" w:rsidRPr="00597DBE" w:rsidTr="00C25292">
        <w:trPr>
          <w:trHeight w:val="556"/>
          <w:tblHeader/>
        </w:trPr>
        <w:tc>
          <w:tcPr>
            <w:tcW w:w="993" w:type="dxa"/>
            <w:shd w:val="clear" w:color="auto" w:fill="D9D9D9" w:themeFill="background1" w:themeFillShade="D9"/>
          </w:tcPr>
          <w:p w:rsidR="009425A3" w:rsidRPr="005D5B47" w:rsidRDefault="009425A3" w:rsidP="000E4682">
            <w:pPr>
              <w:rPr>
                <w:rFonts w:cs="Arial"/>
                <w:b/>
                <w:sz w:val="22"/>
                <w:szCs w:val="22"/>
              </w:rPr>
            </w:pPr>
            <w:r w:rsidRPr="005D5B47">
              <w:rPr>
                <w:rFonts w:cs="Arial"/>
                <w:b/>
                <w:sz w:val="22"/>
                <w:szCs w:val="22"/>
              </w:rPr>
              <w:t>PU Code</w:t>
            </w:r>
          </w:p>
        </w:tc>
        <w:tc>
          <w:tcPr>
            <w:tcW w:w="1843" w:type="dxa"/>
            <w:shd w:val="clear" w:color="auto" w:fill="D9D9D9" w:themeFill="background1" w:themeFillShade="D9"/>
          </w:tcPr>
          <w:p w:rsidR="009425A3" w:rsidRPr="005D5B47" w:rsidRDefault="009425A3" w:rsidP="000E4682">
            <w:pPr>
              <w:rPr>
                <w:rFonts w:cs="Arial"/>
                <w:b/>
                <w:sz w:val="22"/>
                <w:szCs w:val="22"/>
              </w:rPr>
            </w:pPr>
            <w:r w:rsidRPr="005D5B47">
              <w:rPr>
                <w:rFonts w:cs="Arial"/>
                <w:b/>
                <w:sz w:val="22"/>
                <w:szCs w:val="22"/>
              </w:rPr>
              <w:t>PU Description</w:t>
            </w:r>
          </w:p>
        </w:tc>
        <w:tc>
          <w:tcPr>
            <w:tcW w:w="4536" w:type="dxa"/>
            <w:shd w:val="clear" w:color="auto" w:fill="D9D9D9" w:themeFill="background1" w:themeFillShade="D9"/>
          </w:tcPr>
          <w:p w:rsidR="009425A3" w:rsidRPr="005D5B47" w:rsidRDefault="009425A3" w:rsidP="000E4682">
            <w:pPr>
              <w:rPr>
                <w:rFonts w:cs="Arial"/>
                <w:b/>
                <w:sz w:val="22"/>
                <w:szCs w:val="22"/>
              </w:rPr>
            </w:pPr>
            <w:r w:rsidRPr="005D5B47">
              <w:rPr>
                <w:rFonts w:cs="Arial"/>
                <w:b/>
                <w:sz w:val="22"/>
                <w:szCs w:val="22"/>
              </w:rPr>
              <w:t>PU Definition</w:t>
            </w:r>
          </w:p>
        </w:tc>
        <w:tc>
          <w:tcPr>
            <w:tcW w:w="1275" w:type="dxa"/>
            <w:shd w:val="clear" w:color="auto" w:fill="D9D9D9" w:themeFill="background1" w:themeFillShade="D9"/>
          </w:tcPr>
          <w:p w:rsidR="009425A3" w:rsidRPr="005D5B47" w:rsidRDefault="009425A3" w:rsidP="000E4682">
            <w:pPr>
              <w:rPr>
                <w:rFonts w:cs="Arial"/>
                <w:b/>
                <w:sz w:val="22"/>
                <w:szCs w:val="22"/>
              </w:rPr>
            </w:pPr>
            <w:r w:rsidRPr="005D5B47">
              <w:rPr>
                <w:rFonts w:cs="Arial"/>
                <w:b/>
                <w:sz w:val="22"/>
                <w:szCs w:val="22"/>
              </w:rPr>
              <w:t>Unit of Measure</w:t>
            </w:r>
          </w:p>
        </w:tc>
        <w:tc>
          <w:tcPr>
            <w:tcW w:w="1418" w:type="dxa"/>
            <w:shd w:val="clear" w:color="auto" w:fill="D9D9D9" w:themeFill="background1" w:themeFillShade="D9"/>
          </w:tcPr>
          <w:p w:rsidR="009425A3" w:rsidRPr="005D5B47" w:rsidRDefault="009425A3" w:rsidP="00C612A1">
            <w:pPr>
              <w:rPr>
                <w:rFonts w:cs="Arial"/>
                <w:b/>
                <w:sz w:val="22"/>
                <w:szCs w:val="22"/>
              </w:rPr>
            </w:pPr>
            <w:r w:rsidRPr="005D5B47">
              <w:rPr>
                <w:rFonts w:cs="Arial"/>
                <w:b/>
                <w:sz w:val="22"/>
                <w:szCs w:val="22"/>
              </w:rPr>
              <w:t>National Collections</w:t>
            </w:r>
          </w:p>
        </w:tc>
      </w:tr>
      <w:tr w:rsidR="00C25292" w:rsidRPr="00597DBE" w:rsidTr="00C25292">
        <w:trPr>
          <w:trHeight w:val="852"/>
        </w:trPr>
        <w:tc>
          <w:tcPr>
            <w:tcW w:w="993" w:type="dxa"/>
          </w:tcPr>
          <w:p w:rsidR="00B95C45" w:rsidRPr="00C612A1" w:rsidRDefault="009425A3" w:rsidP="001836AF">
            <w:pPr>
              <w:rPr>
                <w:rFonts w:cs="Arial"/>
                <w:sz w:val="20"/>
              </w:rPr>
            </w:pPr>
            <w:r w:rsidRPr="00C612A1">
              <w:rPr>
                <w:rFonts w:cs="Arial"/>
                <w:sz w:val="20"/>
              </w:rPr>
              <w:t>PC0001</w:t>
            </w:r>
          </w:p>
        </w:tc>
        <w:tc>
          <w:tcPr>
            <w:tcW w:w="1843" w:type="dxa"/>
          </w:tcPr>
          <w:p w:rsidR="009425A3" w:rsidRPr="00C612A1" w:rsidRDefault="009425A3" w:rsidP="00B95C45">
            <w:pPr>
              <w:rPr>
                <w:rFonts w:cs="Arial"/>
                <w:sz w:val="20"/>
              </w:rPr>
            </w:pPr>
            <w:r w:rsidRPr="00C612A1">
              <w:rPr>
                <w:rFonts w:cs="Arial"/>
                <w:sz w:val="20"/>
              </w:rPr>
              <w:t>Pain Medicine</w:t>
            </w:r>
            <w:r w:rsidR="00781BCD" w:rsidRPr="00C612A1">
              <w:rPr>
                <w:rFonts w:cs="Arial"/>
                <w:sz w:val="20"/>
              </w:rPr>
              <w:t xml:space="preserve"> </w:t>
            </w:r>
            <w:r w:rsidR="0051336D">
              <w:rPr>
                <w:rFonts w:cs="Arial"/>
                <w:sz w:val="20"/>
              </w:rPr>
              <w:t>1</w:t>
            </w:r>
            <w:r w:rsidR="00B95C45">
              <w:rPr>
                <w:rFonts w:cs="Arial"/>
                <w:sz w:val="20"/>
              </w:rPr>
              <w:t>st</w:t>
            </w:r>
            <w:r w:rsidR="00B95C45" w:rsidRPr="00C612A1">
              <w:rPr>
                <w:rFonts w:cs="Arial"/>
                <w:sz w:val="20"/>
              </w:rPr>
              <w:t xml:space="preserve"> </w:t>
            </w:r>
            <w:r w:rsidRPr="00C612A1">
              <w:rPr>
                <w:rFonts w:cs="Arial"/>
                <w:sz w:val="20"/>
              </w:rPr>
              <w:t>Specialist Assessment</w:t>
            </w:r>
          </w:p>
        </w:tc>
        <w:tc>
          <w:tcPr>
            <w:tcW w:w="4536" w:type="dxa"/>
          </w:tcPr>
          <w:p w:rsidR="009425A3" w:rsidRPr="00C612A1" w:rsidRDefault="009425A3" w:rsidP="00D21B94">
            <w:pPr>
              <w:rPr>
                <w:rFonts w:cs="Arial"/>
                <w:sz w:val="20"/>
              </w:rPr>
            </w:pPr>
            <w:r w:rsidRPr="00C612A1">
              <w:rPr>
                <w:rFonts w:cs="Arial"/>
                <w:sz w:val="20"/>
              </w:rPr>
              <w:t xml:space="preserve">First </w:t>
            </w:r>
            <w:r w:rsidR="00B95C45">
              <w:rPr>
                <w:rFonts w:cs="Arial"/>
                <w:sz w:val="20"/>
              </w:rPr>
              <w:t xml:space="preserve">attendance to </w:t>
            </w:r>
            <w:r w:rsidRPr="00C612A1">
              <w:rPr>
                <w:rFonts w:cs="Arial"/>
                <w:sz w:val="20"/>
              </w:rPr>
              <w:t xml:space="preserve">a Pain </w:t>
            </w:r>
            <w:r w:rsidR="00944F34">
              <w:rPr>
                <w:rFonts w:cs="Arial"/>
                <w:sz w:val="20"/>
              </w:rPr>
              <w:t>Medicine</w:t>
            </w:r>
            <w:r w:rsidR="00944F34" w:rsidRPr="00C612A1">
              <w:rPr>
                <w:rFonts w:cs="Arial"/>
                <w:sz w:val="20"/>
              </w:rPr>
              <w:t xml:space="preserve"> </w:t>
            </w:r>
            <w:r w:rsidRPr="00C612A1">
              <w:rPr>
                <w:rFonts w:cs="Arial"/>
                <w:sz w:val="20"/>
              </w:rPr>
              <w:t>medical practitioner</w:t>
            </w:r>
            <w:r w:rsidR="00B95C45">
              <w:rPr>
                <w:rFonts w:cs="Arial"/>
                <w:sz w:val="20"/>
              </w:rPr>
              <w:t xml:space="preserve"> or </w:t>
            </w:r>
            <w:r w:rsidR="0051336D">
              <w:rPr>
                <w:rFonts w:cs="Arial"/>
                <w:sz w:val="20"/>
              </w:rPr>
              <w:t xml:space="preserve">medical officer at </w:t>
            </w:r>
            <w:r w:rsidR="00B95C45">
              <w:rPr>
                <w:rFonts w:cs="Arial"/>
                <w:sz w:val="20"/>
              </w:rPr>
              <w:t xml:space="preserve">registrar </w:t>
            </w:r>
            <w:r w:rsidR="0051336D" w:rsidRPr="00C612A1">
              <w:rPr>
                <w:rFonts w:cs="Arial"/>
                <w:sz w:val="20"/>
              </w:rPr>
              <w:t>level or above</w:t>
            </w:r>
            <w:r w:rsidR="0051336D">
              <w:rPr>
                <w:rFonts w:cs="Arial"/>
                <w:sz w:val="20"/>
              </w:rPr>
              <w:t xml:space="preserve"> </w:t>
            </w:r>
            <w:r w:rsidR="00B95C45">
              <w:rPr>
                <w:rFonts w:cs="Arial"/>
                <w:sz w:val="20"/>
              </w:rPr>
              <w:t xml:space="preserve">or </w:t>
            </w:r>
            <w:r w:rsidR="00D21B94">
              <w:rPr>
                <w:rFonts w:cs="Arial"/>
                <w:sz w:val="20"/>
              </w:rPr>
              <w:t>N</w:t>
            </w:r>
            <w:r w:rsidR="00B95C45">
              <w:rPr>
                <w:rFonts w:cs="Arial"/>
                <w:sz w:val="20"/>
              </w:rPr>
              <w:t>urse</w:t>
            </w:r>
            <w:r w:rsidR="00D21B94">
              <w:rPr>
                <w:rFonts w:cs="Arial"/>
                <w:sz w:val="20"/>
              </w:rPr>
              <w:t xml:space="preserve"> P</w:t>
            </w:r>
            <w:r w:rsidR="00B95C45">
              <w:rPr>
                <w:rFonts w:cs="Arial"/>
                <w:sz w:val="20"/>
              </w:rPr>
              <w:t>ractitioner for specialist assessment</w:t>
            </w:r>
            <w:r w:rsidR="00D21B94">
              <w:rPr>
                <w:rFonts w:cs="Arial"/>
                <w:sz w:val="20"/>
              </w:rPr>
              <w:t>.</w:t>
            </w:r>
          </w:p>
        </w:tc>
        <w:tc>
          <w:tcPr>
            <w:tcW w:w="1275" w:type="dxa"/>
          </w:tcPr>
          <w:p w:rsidR="009425A3" w:rsidRPr="00C612A1" w:rsidRDefault="009425A3" w:rsidP="000E4682">
            <w:pPr>
              <w:rPr>
                <w:rFonts w:cs="Arial"/>
                <w:sz w:val="20"/>
              </w:rPr>
            </w:pPr>
            <w:r w:rsidRPr="00C612A1">
              <w:rPr>
                <w:rFonts w:cs="Arial"/>
                <w:sz w:val="20"/>
              </w:rPr>
              <w:t>Attendance</w:t>
            </w:r>
          </w:p>
        </w:tc>
        <w:tc>
          <w:tcPr>
            <w:tcW w:w="1418" w:type="dxa"/>
          </w:tcPr>
          <w:p w:rsidR="009425A3" w:rsidRPr="00C612A1" w:rsidRDefault="009425A3" w:rsidP="00C612A1">
            <w:pPr>
              <w:rPr>
                <w:rFonts w:cs="Arial"/>
                <w:sz w:val="20"/>
              </w:rPr>
            </w:pPr>
            <w:r w:rsidRPr="00C612A1">
              <w:rPr>
                <w:rFonts w:cs="Arial"/>
                <w:sz w:val="20"/>
              </w:rPr>
              <w:t xml:space="preserve">National Non Admitted </w:t>
            </w:r>
            <w:r w:rsidR="00C612A1" w:rsidRPr="00C612A1">
              <w:rPr>
                <w:rFonts w:cs="Arial"/>
                <w:sz w:val="20"/>
              </w:rPr>
              <w:t>P</w:t>
            </w:r>
            <w:r w:rsidRPr="00C612A1">
              <w:rPr>
                <w:rFonts w:cs="Arial"/>
                <w:sz w:val="20"/>
              </w:rPr>
              <w:t>atient Collection (NNPAC)</w:t>
            </w:r>
          </w:p>
        </w:tc>
      </w:tr>
      <w:tr w:rsidR="00C25292" w:rsidRPr="00597DBE" w:rsidTr="00C25292">
        <w:trPr>
          <w:trHeight w:val="767"/>
        </w:trPr>
        <w:tc>
          <w:tcPr>
            <w:tcW w:w="993" w:type="dxa"/>
            <w:hideMark/>
          </w:tcPr>
          <w:p w:rsidR="00B95C45" w:rsidRPr="00C612A1" w:rsidRDefault="009425A3" w:rsidP="001836AF">
            <w:pPr>
              <w:rPr>
                <w:rFonts w:cs="Arial"/>
                <w:sz w:val="20"/>
              </w:rPr>
            </w:pPr>
            <w:r w:rsidRPr="00C612A1">
              <w:rPr>
                <w:rFonts w:cs="Arial"/>
                <w:sz w:val="20"/>
              </w:rPr>
              <w:t>PC0003</w:t>
            </w:r>
          </w:p>
        </w:tc>
        <w:tc>
          <w:tcPr>
            <w:tcW w:w="1843" w:type="dxa"/>
            <w:hideMark/>
          </w:tcPr>
          <w:p w:rsidR="009425A3" w:rsidRPr="00C612A1" w:rsidRDefault="009425A3" w:rsidP="000E4682">
            <w:pPr>
              <w:rPr>
                <w:rFonts w:cs="Arial"/>
                <w:sz w:val="20"/>
              </w:rPr>
            </w:pPr>
            <w:r w:rsidRPr="00C612A1">
              <w:rPr>
                <w:rFonts w:cs="Arial"/>
                <w:sz w:val="20"/>
              </w:rPr>
              <w:t xml:space="preserve">Pain Medicine Assessment </w:t>
            </w:r>
            <w:r w:rsidR="00230356" w:rsidRPr="00C612A1">
              <w:rPr>
                <w:rFonts w:cs="Arial"/>
                <w:sz w:val="20"/>
              </w:rPr>
              <w:t>–</w:t>
            </w:r>
            <w:r w:rsidRPr="00C612A1">
              <w:rPr>
                <w:rFonts w:cs="Arial"/>
                <w:sz w:val="20"/>
              </w:rPr>
              <w:t xml:space="preserve"> Follow-up</w:t>
            </w:r>
          </w:p>
        </w:tc>
        <w:tc>
          <w:tcPr>
            <w:tcW w:w="4536" w:type="dxa"/>
            <w:hideMark/>
          </w:tcPr>
          <w:p w:rsidR="009425A3" w:rsidRPr="00C612A1" w:rsidRDefault="00D21B94" w:rsidP="00EC7A5D">
            <w:pPr>
              <w:rPr>
                <w:rFonts w:cs="Arial"/>
                <w:sz w:val="20"/>
              </w:rPr>
            </w:pPr>
            <w:r w:rsidRPr="00323437">
              <w:rPr>
                <w:rFonts w:eastAsiaTheme="minorHAnsi" w:cs="Arial"/>
                <w:sz w:val="20"/>
              </w:rPr>
              <w:t xml:space="preserve">Follow Up attendance for a pain assessment to a Pain </w:t>
            </w:r>
            <w:r w:rsidRPr="00B91789">
              <w:rPr>
                <w:rFonts w:eastAsiaTheme="minorHAnsi" w:cs="Arial"/>
                <w:sz w:val="20"/>
              </w:rPr>
              <w:t>Medicine medical practitioner, medical officer at registrar level or above or Nurse Practitioner for specialist assessment</w:t>
            </w:r>
            <w:r>
              <w:rPr>
                <w:rFonts w:eastAsiaTheme="minorHAnsi" w:cs="Arial"/>
                <w:sz w:val="20"/>
              </w:rPr>
              <w:t>.</w:t>
            </w:r>
          </w:p>
        </w:tc>
        <w:tc>
          <w:tcPr>
            <w:tcW w:w="1275" w:type="dxa"/>
            <w:hideMark/>
          </w:tcPr>
          <w:p w:rsidR="009425A3" w:rsidRPr="00C612A1" w:rsidRDefault="009425A3" w:rsidP="000E4682">
            <w:pPr>
              <w:rPr>
                <w:rFonts w:cs="Arial"/>
                <w:sz w:val="20"/>
              </w:rPr>
            </w:pPr>
            <w:r w:rsidRPr="00C612A1">
              <w:rPr>
                <w:rFonts w:cs="Arial"/>
                <w:sz w:val="20"/>
              </w:rPr>
              <w:t>Attendance</w:t>
            </w:r>
          </w:p>
        </w:tc>
        <w:tc>
          <w:tcPr>
            <w:tcW w:w="1418" w:type="dxa"/>
          </w:tcPr>
          <w:p w:rsidR="009425A3" w:rsidRPr="00C612A1" w:rsidRDefault="009425A3" w:rsidP="000E4682">
            <w:pPr>
              <w:rPr>
                <w:rFonts w:cs="Arial"/>
                <w:sz w:val="20"/>
              </w:rPr>
            </w:pPr>
            <w:r w:rsidRPr="00C612A1">
              <w:rPr>
                <w:rFonts w:cs="Arial"/>
                <w:sz w:val="20"/>
              </w:rPr>
              <w:t>NNPAC</w:t>
            </w:r>
          </w:p>
        </w:tc>
      </w:tr>
      <w:tr w:rsidR="00C25292" w:rsidRPr="00597DBE" w:rsidTr="00C25292">
        <w:trPr>
          <w:trHeight w:val="844"/>
        </w:trPr>
        <w:tc>
          <w:tcPr>
            <w:tcW w:w="993" w:type="dxa"/>
            <w:hideMark/>
          </w:tcPr>
          <w:p w:rsidR="00B95C45" w:rsidRPr="00C612A1" w:rsidRDefault="009425A3" w:rsidP="001836AF">
            <w:pPr>
              <w:rPr>
                <w:rFonts w:cs="Arial"/>
                <w:sz w:val="20"/>
              </w:rPr>
            </w:pPr>
            <w:r w:rsidRPr="00C612A1">
              <w:rPr>
                <w:rFonts w:cs="Arial"/>
                <w:sz w:val="20"/>
              </w:rPr>
              <w:lastRenderedPageBreak/>
              <w:t>PC0007</w:t>
            </w:r>
          </w:p>
        </w:tc>
        <w:tc>
          <w:tcPr>
            <w:tcW w:w="1843" w:type="dxa"/>
            <w:hideMark/>
          </w:tcPr>
          <w:p w:rsidR="009425A3" w:rsidRPr="00C612A1" w:rsidRDefault="00B452BA" w:rsidP="000E4682">
            <w:pPr>
              <w:rPr>
                <w:rFonts w:cs="Arial"/>
                <w:sz w:val="20"/>
              </w:rPr>
            </w:pPr>
            <w:r>
              <w:rPr>
                <w:rFonts w:cs="Arial"/>
                <w:sz w:val="20"/>
              </w:rPr>
              <w:t>Pain IDT</w:t>
            </w:r>
            <w:r w:rsidR="009425A3" w:rsidRPr="00C612A1">
              <w:rPr>
                <w:rFonts w:cs="Arial"/>
                <w:sz w:val="20"/>
              </w:rPr>
              <w:t xml:space="preserve"> </w:t>
            </w:r>
            <w:r>
              <w:rPr>
                <w:rFonts w:cs="Arial"/>
                <w:sz w:val="20"/>
              </w:rPr>
              <w:t>A</w:t>
            </w:r>
            <w:r w:rsidR="009425A3" w:rsidRPr="00C612A1">
              <w:rPr>
                <w:rFonts w:cs="Arial"/>
                <w:sz w:val="20"/>
              </w:rPr>
              <w:t xml:space="preserve">ssessment </w:t>
            </w:r>
          </w:p>
        </w:tc>
        <w:tc>
          <w:tcPr>
            <w:tcW w:w="4536" w:type="dxa"/>
            <w:hideMark/>
          </w:tcPr>
          <w:p w:rsidR="009425A3" w:rsidRPr="00C612A1" w:rsidRDefault="00FE7B1F" w:rsidP="00ED7C35">
            <w:pPr>
              <w:rPr>
                <w:rFonts w:cs="Arial"/>
                <w:sz w:val="20"/>
              </w:rPr>
            </w:pPr>
            <w:r>
              <w:rPr>
                <w:rFonts w:cs="Arial"/>
                <w:sz w:val="20"/>
              </w:rPr>
              <w:t xml:space="preserve">Attendance </w:t>
            </w:r>
            <w:r w:rsidR="00ED7C35">
              <w:rPr>
                <w:rFonts w:cs="Arial"/>
                <w:sz w:val="20"/>
              </w:rPr>
              <w:t xml:space="preserve">for </w:t>
            </w:r>
            <w:r>
              <w:rPr>
                <w:rFonts w:cs="Arial"/>
                <w:sz w:val="20"/>
              </w:rPr>
              <w:t>a pain a</w:t>
            </w:r>
            <w:r w:rsidR="009425A3" w:rsidRPr="00C612A1">
              <w:rPr>
                <w:rFonts w:cs="Arial"/>
                <w:sz w:val="20"/>
              </w:rPr>
              <w:t xml:space="preserve">ssessment by </w:t>
            </w:r>
            <w:r w:rsidR="005C6AEF" w:rsidRPr="00C612A1">
              <w:rPr>
                <w:rFonts w:cs="Arial"/>
                <w:sz w:val="20"/>
              </w:rPr>
              <w:t xml:space="preserve">at least three </w:t>
            </w:r>
            <w:r w:rsidR="009425A3" w:rsidRPr="00C612A1">
              <w:rPr>
                <w:rFonts w:cs="Arial"/>
                <w:sz w:val="20"/>
              </w:rPr>
              <w:t>members of the Pain Interdisciplinary Team</w:t>
            </w:r>
            <w:r w:rsidR="00F54593" w:rsidRPr="00C612A1">
              <w:rPr>
                <w:rFonts w:cs="Arial"/>
                <w:sz w:val="20"/>
              </w:rPr>
              <w:t xml:space="preserve"> </w:t>
            </w:r>
            <w:r w:rsidR="00B452BA">
              <w:rPr>
                <w:rFonts w:cs="Arial"/>
                <w:sz w:val="20"/>
              </w:rPr>
              <w:t xml:space="preserve">(IDT) </w:t>
            </w:r>
            <w:r w:rsidR="00F54593" w:rsidRPr="00C612A1">
              <w:rPr>
                <w:rFonts w:cs="Arial"/>
                <w:sz w:val="20"/>
              </w:rPr>
              <w:t>to make recommendations for further treatment and management of persistent pain</w:t>
            </w:r>
            <w:r w:rsidR="00D21B94">
              <w:rPr>
                <w:rFonts w:cs="Arial"/>
                <w:sz w:val="20"/>
              </w:rPr>
              <w:t>.</w:t>
            </w:r>
          </w:p>
        </w:tc>
        <w:tc>
          <w:tcPr>
            <w:tcW w:w="1275" w:type="dxa"/>
            <w:hideMark/>
          </w:tcPr>
          <w:p w:rsidR="009425A3" w:rsidRPr="00C612A1" w:rsidRDefault="009425A3" w:rsidP="000E4682">
            <w:pPr>
              <w:rPr>
                <w:rFonts w:cs="Arial"/>
                <w:sz w:val="20"/>
              </w:rPr>
            </w:pPr>
            <w:r w:rsidRPr="00C612A1">
              <w:rPr>
                <w:rFonts w:cs="Arial"/>
                <w:sz w:val="20"/>
              </w:rPr>
              <w:t>Attendance</w:t>
            </w:r>
          </w:p>
        </w:tc>
        <w:tc>
          <w:tcPr>
            <w:tcW w:w="1418" w:type="dxa"/>
          </w:tcPr>
          <w:p w:rsidR="009425A3" w:rsidRPr="00C612A1" w:rsidRDefault="009425A3" w:rsidP="000E4682">
            <w:pPr>
              <w:rPr>
                <w:rFonts w:cs="Arial"/>
                <w:sz w:val="20"/>
              </w:rPr>
            </w:pPr>
            <w:r w:rsidRPr="00C612A1">
              <w:rPr>
                <w:rFonts w:cs="Arial"/>
                <w:sz w:val="20"/>
              </w:rPr>
              <w:t>NNPAC</w:t>
            </w:r>
          </w:p>
        </w:tc>
      </w:tr>
      <w:tr w:rsidR="00C25292" w:rsidRPr="00597DBE" w:rsidTr="00C25292">
        <w:trPr>
          <w:trHeight w:val="1262"/>
        </w:trPr>
        <w:tc>
          <w:tcPr>
            <w:tcW w:w="993" w:type="dxa"/>
            <w:hideMark/>
          </w:tcPr>
          <w:p w:rsidR="00B95C45" w:rsidRPr="00C612A1" w:rsidRDefault="009425A3" w:rsidP="001836AF">
            <w:pPr>
              <w:rPr>
                <w:rFonts w:cs="Arial"/>
                <w:sz w:val="20"/>
              </w:rPr>
            </w:pPr>
            <w:r w:rsidRPr="00C612A1">
              <w:rPr>
                <w:rFonts w:cs="Arial"/>
                <w:sz w:val="20"/>
              </w:rPr>
              <w:t>PC0010</w:t>
            </w:r>
          </w:p>
        </w:tc>
        <w:tc>
          <w:tcPr>
            <w:tcW w:w="1843" w:type="dxa"/>
            <w:hideMark/>
          </w:tcPr>
          <w:p w:rsidR="009425A3" w:rsidRPr="00C612A1" w:rsidRDefault="009425A3" w:rsidP="00CC4495">
            <w:pPr>
              <w:rPr>
                <w:rFonts w:cs="Arial"/>
                <w:sz w:val="20"/>
              </w:rPr>
            </w:pPr>
            <w:r w:rsidRPr="00C612A1">
              <w:rPr>
                <w:rFonts w:cs="Arial"/>
                <w:sz w:val="20"/>
              </w:rPr>
              <w:t>Pain Psychosocial</w:t>
            </w:r>
            <w:r w:rsidR="0051336D" w:rsidRPr="00C612A1">
              <w:rPr>
                <w:rFonts w:cs="Arial"/>
                <w:sz w:val="20"/>
              </w:rPr>
              <w:t xml:space="preserve"> </w:t>
            </w:r>
            <w:r w:rsidR="00BC02E2">
              <w:rPr>
                <w:rFonts w:cs="Arial"/>
                <w:sz w:val="20"/>
              </w:rPr>
              <w:t>1</w:t>
            </w:r>
            <w:r w:rsidR="00BC02E2" w:rsidRPr="00BC02E2">
              <w:rPr>
                <w:rFonts w:cs="Arial"/>
                <w:sz w:val="20"/>
                <w:vertAlign w:val="superscript"/>
              </w:rPr>
              <w:t>st</w:t>
            </w:r>
            <w:r w:rsidR="00BC02E2">
              <w:rPr>
                <w:rFonts w:cs="Arial"/>
                <w:sz w:val="20"/>
              </w:rPr>
              <w:t xml:space="preserve"> </w:t>
            </w:r>
            <w:r w:rsidRPr="00C612A1">
              <w:rPr>
                <w:rFonts w:cs="Arial"/>
                <w:sz w:val="20"/>
              </w:rPr>
              <w:t>assessment</w:t>
            </w:r>
          </w:p>
        </w:tc>
        <w:tc>
          <w:tcPr>
            <w:tcW w:w="4536" w:type="dxa"/>
            <w:hideMark/>
          </w:tcPr>
          <w:p w:rsidR="009425A3" w:rsidRPr="00C612A1" w:rsidRDefault="00785BCE" w:rsidP="00BC7356">
            <w:pPr>
              <w:rPr>
                <w:rFonts w:cs="Arial"/>
                <w:sz w:val="20"/>
              </w:rPr>
            </w:pPr>
            <w:r w:rsidRPr="00785BCE">
              <w:rPr>
                <w:rFonts w:cs="Arial"/>
                <w:sz w:val="20"/>
              </w:rPr>
              <w:t>First attendance for assessment by a Clinical / Health Psychologist, Occupational Therapist or Nurse Practitioner trained in psychosocial assessments</w:t>
            </w:r>
            <w:r>
              <w:rPr>
                <w:rFonts w:cs="Arial"/>
                <w:sz w:val="20"/>
              </w:rPr>
              <w:t>.</w:t>
            </w:r>
          </w:p>
        </w:tc>
        <w:tc>
          <w:tcPr>
            <w:tcW w:w="1275" w:type="dxa"/>
            <w:hideMark/>
          </w:tcPr>
          <w:p w:rsidR="009425A3" w:rsidRPr="00C612A1" w:rsidRDefault="009425A3" w:rsidP="000E4682">
            <w:pPr>
              <w:rPr>
                <w:rFonts w:cs="Arial"/>
                <w:sz w:val="20"/>
              </w:rPr>
            </w:pPr>
            <w:r w:rsidRPr="00C612A1">
              <w:rPr>
                <w:rFonts w:cs="Arial"/>
                <w:sz w:val="20"/>
              </w:rPr>
              <w:t>Attendance</w:t>
            </w:r>
          </w:p>
        </w:tc>
        <w:tc>
          <w:tcPr>
            <w:tcW w:w="1418" w:type="dxa"/>
          </w:tcPr>
          <w:p w:rsidR="009425A3" w:rsidRPr="00C612A1" w:rsidRDefault="009425A3" w:rsidP="000E4682">
            <w:pPr>
              <w:rPr>
                <w:rFonts w:cs="Arial"/>
                <w:sz w:val="20"/>
              </w:rPr>
            </w:pPr>
            <w:r w:rsidRPr="00C612A1">
              <w:rPr>
                <w:rFonts w:cs="Arial"/>
                <w:sz w:val="20"/>
              </w:rPr>
              <w:t>NNPAC</w:t>
            </w:r>
          </w:p>
        </w:tc>
      </w:tr>
      <w:tr w:rsidR="00C25292" w:rsidRPr="00597DBE" w:rsidTr="00C25292">
        <w:trPr>
          <w:trHeight w:val="1262"/>
        </w:trPr>
        <w:tc>
          <w:tcPr>
            <w:tcW w:w="993" w:type="dxa"/>
          </w:tcPr>
          <w:p w:rsidR="0051336D" w:rsidRPr="00C612A1" w:rsidRDefault="0051336D" w:rsidP="001836AF">
            <w:pPr>
              <w:rPr>
                <w:rFonts w:cs="Arial"/>
                <w:sz w:val="20"/>
              </w:rPr>
            </w:pPr>
            <w:r w:rsidRPr="00C612A1">
              <w:rPr>
                <w:rFonts w:cs="Arial"/>
                <w:sz w:val="20"/>
              </w:rPr>
              <w:t>PC0016</w:t>
            </w:r>
          </w:p>
        </w:tc>
        <w:tc>
          <w:tcPr>
            <w:tcW w:w="1843" w:type="dxa"/>
          </w:tcPr>
          <w:p w:rsidR="0051336D" w:rsidRPr="00C612A1" w:rsidRDefault="00632B4C" w:rsidP="00CC4495">
            <w:pPr>
              <w:rPr>
                <w:rFonts w:cs="Arial"/>
                <w:sz w:val="20"/>
              </w:rPr>
            </w:pPr>
            <w:r>
              <w:rPr>
                <w:rFonts w:cs="Arial"/>
                <w:sz w:val="20"/>
              </w:rPr>
              <w:t xml:space="preserve">Pain </w:t>
            </w:r>
            <w:r w:rsidR="0051336D" w:rsidRPr="00C612A1">
              <w:rPr>
                <w:rFonts w:cs="Arial"/>
                <w:sz w:val="20"/>
              </w:rPr>
              <w:t xml:space="preserve">Psychosocial </w:t>
            </w:r>
            <w:r w:rsidR="00BC02E2">
              <w:rPr>
                <w:rFonts w:cs="Arial"/>
                <w:sz w:val="20"/>
              </w:rPr>
              <w:t>–</w:t>
            </w:r>
            <w:r w:rsidR="001836AF">
              <w:rPr>
                <w:rFonts w:cs="Arial"/>
                <w:sz w:val="20"/>
              </w:rPr>
              <w:t xml:space="preserve"> </w:t>
            </w:r>
            <w:r w:rsidR="0051336D" w:rsidRPr="00C612A1">
              <w:rPr>
                <w:rFonts w:cs="Arial"/>
                <w:sz w:val="20"/>
              </w:rPr>
              <w:t>Follow</w:t>
            </w:r>
            <w:r w:rsidR="00BC02E2">
              <w:rPr>
                <w:rFonts w:cs="Arial"/>
                <w:sz w:val="20"/>
              </w:rPr>
              <w:t xml:space="preserve"> </w:t>
            </w:r>
            <w:r w:rsidR="0051336D" w:rsidRPr="00C612A1">
              <w:rPr>
                <w:rFonts w:cs="Arial"/>
                <w:sz w:val="20"/>
              </w:rPr>
              <w:t>up</w:t>
            </w:r>
          </w:p>
        </w:tc>
        <w:tc>
          <w:tcPr>
            <w:tcW w:w="4536" w:type="dxa"/>
          </w:tcPr>
          <w:p w:rsidR="0051336D" w:rsidRPr="00C612A1" w:rsidRDefault="0051336D" w:rsidP="00ED7C35">
            <w:pPr>
              <w:rPr>
                <w:rFonts w:cs="Arial"/>
                <w:sz w:val="20"/>
              </w:rPr>
            </w:pPr>
            <w:r w:rsidRPr="00C612A1">
              <w:rPr>
                <w:rFonts w:cs="Arial"/>
                <w:sz w:val="20"/>
              </w:rPr>
              <w:t xml:space="preserve">Follow up </w:t>
            </w:r>
            <w:r w:rsidR="00EC7A5D">
              <w:rPr>
                <w:rFonts w:cs="Arial"/>
                <w:sz w:val="20"/>
              </w:rPr>
              <w:t xml:space="preserve">attendance </w:t>
            </w:r>
            <w:r w:rsidR="00ED7C35">
              <w:rPr>
                <w:rFonts w:cs="Arial"/>
                <w:sz w:val="20"/>
              </w:rPr>
              <w:t>to</w:t>
            </w:r>
            <w:r w:rsidRPr="00C612A1">
              <w:rPr>
                <w:rFonts w:cs="Arial"/>
                <w:sz w:val="20"/>
              </w:rPr>
              <w:t xml:space="preserve"> a psychiatrist, medical officer at registrar level or above, or Clinical / Health Psychologist, Occupational Therapist</w:t>
            </w:r>
            <w:r w:rsidR="00440B40">
              <w:rPr>
                <w:rFonts w:cs="Arial"/>
                <w:sz w:val="20"/>
              </w:rPr>
              <w:t>,</w:t>
            </w:r>
            <w:r w:rsidRPr="00C612A1">
              <w:rPr>
                <w:rFonts w:cs="Arial"/>
                <w:sz w:val="20"/>
              </w:rPr>
              <w:t xml:space="preserve"> </w:t>
            </w:r>
            <w:r w:rsidR="00440B40">
              <w:rPr>
                <w:rFonts w:cs="Arial"/>
                <w:sz w:val="20"/>
              </w:rPr>
              <w:t>Social Worker</w:t>
            </w:r>
            <w:r w:rsidR="00440B40" w:rsidRPr="00C612A1">
              <w:rPr>
                <w:rFonts w:cs="Arial"/>
                <w:sz w:val="20"/>
              </w:rPr>
              <w:t xml:space="preserve"> </w:t>
            </w:r>
            <w:r w:rsidRPr="00C612A1">
              <w:rPr>
                <w:rFonts w:cs="Arial"/>
                <w:sz w:val="20"/>
              </w:rPr>
              <w:t xml:space="preserve">or Nurse Practitioner trained in psychosocial assessments. </w:t>
            </w:r>
          </w:p>
        </w:tc>
        <w:tc>
          <w:tcPr>
            <w:tcW w:w="1275" w:type="dxa"/>
          </w:tcPr>
          <w:p w:rsidR="0051336D" w:rsidRPr="00C612A1" w:rsidRDefault="0051336D" w:rsidP="000E4682">
            <w:pPr>
              <w:rPr>
                <w:rFonts w:cs="Arial"/>
                <w:sz w:val="20"/>
              </w:rPr>
            </w:pPr>
            <w:r w:rsidRPr="00C612A1">
              <w:rPr>
                <w:rFonts w:cs="Arial"/>
                <w:sz w:val="20"/>
              </w:rPr>
              <w:t xml:space="preserve">Attendance </w:t>
            </w:r>
          </w:p>
        </w:tc>
        <w:tc>
          <w:tcPr>
            <w:tcW w:w="1418" w:type="dxa"/>
          </w:tcPr>
          <w:p w:rsidR="0051336D" w:rsidRPr="00C612A1" w:rsidRDefault="0051336D" w:rsidP="000E4682">
            <w:pPr>
              <w:rPr>
                <w:rFonts w:cs="Arial"/>
                <w:sz w:val="20"/>
              </w:rPr>
            </w:pPr>
            <w:r w:rsidRPr="00C612A1">
              <w:rPr>
                <w:rFonts w:cs="Arial"/>
                <w:sz w:val="20"/>
              </w:rPr>
              <w:t>NNPAC</w:t>
            </w:r>
          </w:p>
        </w:tc>
      </w:tr>
      <w:tr w:rsidR="00C25292" w:rsidRPr="00597DBE" w:rsidTr="00C25292">
        <w:trPr>
          <w:trHeight w:val="841"/>
        </w:trPr>
        <w:tc>
          <w:tcPr>
            <w:tcW w:w="993" w:type="dxa"/>
          </w:tcPr>
          <w:p w:rsidR="00785BCE" w:rsidRPr="00DC6EC1" w:rsidRDefault="00785BCE" w:rsidP="00DC6EC1">
            <w:pPr>
              <w:rPr>
                <w:rFonts w:cs="Arial"/>
                <w:color w:val="FF0000"/>
                <w:sz w:val="20"/>
              </w:rPr>
            </w:pPr>
            <w:r w:rsidRPr="00DC6EC1">
              <w:rPr>
                <w:rFonts w:cs="Arial"/>
                <w:sz w:val="20"/>
              </w:rPr>
              <w:t>PC00</w:t>
            </w:r>
            <w:r w:rsidR="00DC6EC1" w:rsidRPr="00DC6EC1">
              <w:rPr>
                <w:rFonts w:cs="Arial"/>
                <w:sz w:val="20"/>
              </w:rPr>
              <w:t>20</w:t>
            </w:r>
            <w:r w:rsidR="00A876D8" w:rsidRPr="00DC6EC1">
              <w:rPr>
                <w:rFonts w:cs="Arial"/>
                <w:sz w:val="20"/>
              </w:rPr>
              <w:t xml:space="preserve"> </w:t>
            </w:r>
          </w:p>
        </w:tc>
        <w:tc>
          <w:tcPr>
            <w:tcW w:w="1843" w:type="dxa"/>
          </w:tcPr>
          <w:p w:rsidR="00785BCE" w:rsidRPr="00C612A1" w:rsidRDefault="00785BCE" w:rsidP="00F15CDC">
            <w:pPr>
              <w:rPr>
                <w:rFonts w:cs="Arial"/>
                <w:sz w:val="20"/>
              </w:rPr>
            </w:pPr>
            <w:r w:rsidRPr="005C492C">
              <w:rPr>
                <w:rFonts w:cs="Arial"/>
                <w:sz w:val="20"/>
              </w:rPr>
              <w:t>Pain Functional Assessment</w:t>
            </w:r>
          </w:p>
        </w:tc>
        <w:tc>
          <w:tcPr>
            <w:tcW w:w="4536" w:type="dxa"/>
          </w:tcPr>
          <w:p w:rsidR="00785BCE" w:rsidRPr="00C612A1" w:rsidRDefault="00785BCE" w:rsidP="00F15CDC">
            <w:pPr>
              <w:rPr>
                <w:rFonts w:cs="Arial"/>
                <w:sz w:val="20"/>
              </w:rPr>
            </w:pPr>
            <w:r w:rsidRPr="005C492C">
              <w:rPr>
                <w:rFonts w:cs="Arial"/>
                <w:sz w:val="20"/>
              </w:rPr>
              <w:t>Attendance for assessment of the Service User’s current functional abilities/ limitations, engagement in life activities</w:t>
            </w:r>
            <w:r>
              <w:rPr>
                <w:rFonts w:cs="Arial"/>
                <w:sz w:val="20"/>
              </w:rPr>
              <w:t>.by a Physiotherapist and</w:t>
            </w:r>
            <w:r w:rsidRPr="00711CA7">
              <w:rPr>
                <w:rFonts w:cs="Arial"/>
                <w:sz w:val="20"/>
              </w:rPr>
              <w:t>/ or Occupational Therapist</w:t>
            </w:r>
            <w:r w:rsidR="00D21B94">
              <w:rPr>
                <w:rFonts w:cs="Arial"/>
                <w:sz w:val="20"/>
              </w:rPr>
              <w:t>.</w:t>
            </w:r>
          </w:p>
        </w:tc>
        <w:tc>
          <w:tcPr>
            <w:tcW w:w="1275" w:type="dxa"/>
          </w:tcPr>
          <w:p w:rsidR="00785BCE" w:rsidRPr="00C612A1" w:rsidRDefault="00785BCE" w:rsidP="00F15CDC">
            <w:pPr>
              <w:rPr>
                <w:rFonts w:cs="Arial"/>
                <w:sz w:val="20"/>
              </w:rPr>
            </w:pPr>
            <w:r w:rsidRPr="005C492C">
              <w:rPr>
                <w:rFonts w:cs="Arial"/>
                <w:sz w:val="20"/>
              </w:rPr>
              <w:t>Attendance</w:t>
            </w:r>
          </w:p>
        </w:tc>
        <w:tc>
          <w:tcPr>
            <w:tcW w:w="1418" w:type="dxa"/>
          </w:tcPr>
          <w:p w:rsidR="00785BCE" w:rsidRPr="00C612A1" w:rsidRDefault="00785BCE" w:rsidP="00F15CDC">
            <w:pPr>
              <w:rPr>
                <w:rFonts w:cs="Arial"/>
                <w:sz w:val="20"/>
              </w:rPr>
            </w:pPr>
            <w:r w:rsidRPr="00C612A1">
              <w:rPr>
                <w:rFonts w:cs="Arial"/>
                <w:sz w:val="20"/>
              </w:rPr>
              <w:t>NNPAC</w:t>
            </w:r>
          </w:p>
        </w:tc>
      </w:tr>
      <w:tr w:rsidR="00C25292" w:rsidRPr="00597DBE" w:rsidTr="00C25292">
        <w:trPr>
          <w:trHeight w:val="841"/>
        </w:trPr>
        <w:tc>
          <w:tcPr>
            <w:tcW w:w="993" w:type="dxa"/>
          </w:tcPr>
          <w:p w:rsidR="00944F34" w:rsidRPr="00DC6EC1" w:rsidRDefault="00E12AC1" w:rsidP="00DC6EC1">
            <w:pPr>
              <w:rPr>
                <w:rFonts w:cs="Arial"/>
                <w:sz w:val="20"/>
              </w:rPr>
            </w:pPr>
            <w:r w:rsidRPr="00DC6EC1">
              <w:rPr>
                <w:rFonts w:cs="Arial"/>
                <w:sz w:val="20"/>
              </w:rPr>
              <w:t>PC00</w:t>
            </w:r>
            <w:r w:rsidR="00DC6EC1" w:rsidRPr="00DC6EC1">
              <w:rPr>
                <w:rFonts w:cs="Arial"/>
                <w:sz w:val="20"/>
              </w:rPr>
              <w:t>21</w:t>
            </w:r>
          </w:p>
        </w:tc>
        <w:tc>
          <w:tcPr>
            <w:tcW w:w="1843" w:type="dxa"/>
          </w:tcPr>
          <w:p w:rsidR="00944F34" w:rsidRPr="00C612A1" w:rsidRDefault="00944F34" w:rsidP="000E4682">
            <w:pPr>
              <w:rPr>
                <w:rFonts w:cs="Arial"/>
                <w:sz w:val="20"/>
              </w:rPr>
            </w:pPr>
            <w:r w:rsidRPr="005C492C">
              <w:rPr>
                <w:rFonts w:cs="Arial"/>
                <w:sz w:val="20"/>
              </w:rPr>
              <w:t>Physical Assessment</w:t>
            </w:r>
          </w:p>
        </w:tc>
        <w:tc>
          <w:tcPr>
            <w:tcW w:w="4536" w:type="dxa"/>
          </w:tcPr>
          <w:p w:rsidR="00944F34" w:rsidRDefault="00944F34" w:rsidP="00785BCE">
            <w:pPr>
              <w:rPr>
                <w:rFonts w:cs="Arial"/>
                <w:sz w:val="20"/>
              </w:rPr>
            </w:pPr>
            <w:r w:rsidRPr="00711CA7">
              <w:rPr>
                <w:rFonts w:cs="Arial"/>
                <w:sz w:val="20"/>
              </w:rPr>
              <w:t xml:space="preserve">Attendance for assessment of physical capacity and Kinesiophobia (fear avoidance) by a pain physiotherapist. </w:t>
            </w:r>
          </w:p>
        </w:tc>
        <w:tc>
          <w:tcPr>
            <w:tcW w:w="1275" w:type="dxa"/>
          </w:tcPr>
          <w:p w:rsidR="00944F34" w:rsidRPr="00C612A1" w:rsidRDefault="00944F34" w:rsidP="000E4682">
            <w:pPr>
              <w:rPr>
                <w:rFonts w:cs="Arial"/>
                <w:sz w:val="20"/>
              </w:rPr>
            </w:pPr>
            <w:r>
              <w:rPr>
                <w:rFonts w:cs="Arial"/>
                <w:sz w:val="20"/>
              </w:rPr>
              <w:t>Attendance</w:t>
            </w:r>
          </w:p>
        </w:tc>
        <w:tc>
          <w:tcPr>
            <w:tcW w:w="1418" w:type="dxa"/>
          </w:tcPr>
          <w:p w:rsidR="00944F34" w:rsidRPr="00C612A1" w:rsidRDefault="003D1561" w:rsidP="000E4682">
            <w:pPr>
              <w:rPr>
                <w:rFonts w:cs="Arial"/>
                <w:sz w:val="20"/>
              </w:rPr>
            </w:pPr>
            <w:r w:rsidRPr="00C612A1">
              <w:rPr>
                <w:rFonts w:cs="Arial"/>
                <w:sz w:val="20"/>
              </w:rPr>
              <w:t>NNPAC</w:t>
            </w:r>
          </w:p>
        </w:tc>
      </w:tr>
      <w:tr w:rsidR="00C25292" w:rsidRPr="00597DBE" w:rsidTr="00C25292">
        <w:trPr>
          <w:trHeight w:val="760"/>
        </w:trPr>
        <w:tc>
          <w:tcPr>
            <w:tcW w:w="993" w:type="dxa"/>
            <w:hideMark/>
          </w:tcPr>
          <w:p w:rsidR="00944F34" w:rsidRPr="00C612A1" w:rsidRDefault="00944F34" w:rsidP="001836AF">
            <w:pPr>
              <w:rPr>
                <w:rFonts w:cs="Arial"/>
                <w:sz w:val="20"/>
              </w:rPr>
            </w:pPr>
            <w:r w:rsidRPr="00C612A1">
              <w:rPr>
                <w:rFonts w:cs="Arial"/>
                <w:sz w:val="20"/>
              </w:rPr>
              <w:t>PC0014</w:t>
            </w:r>
          </w:p>
        </w:tc>
        <w:tc>
          <w:tcPr>
            <w:tcW w:w="1843" w:type="dxa"/>
            <w:hideMark/>
          </w:tcPr>
          <w:p w:rsidR="00944F34" w:rsidRPr="00C612A1" w:rsidRDefault="00944F34" w:rsidP="000E4682">
            <w:pPr>
              <w:rPr>
                <w:rFonts w:cs="Arial"/>
                <w:sz w:val="20"/>
              </w:rPr>
            </w:pPr>
            <w:r w:rsidRPr="00C612A1">
              <w:rPr>
                <w:rFonts w:cs="Arial"/>
                <w:sz w:val="20"/>
              </w:rPr>
              <w:t>Pain Interventional procedures – non Operating room</w:t>
            </w:r>
          </w:p>
        </w:tc>
        <w:tc>
          <w:tcPr>
            <w:tcW w:w="4536" w:type="dxa"/>
            <w:hideMark/>
          </w:tcPr>
          <w:p w:rsidR="00944F34" w:rsidRPr="00C612A1" w:rsidRDefault="00944F34" w:rsidP="00225A77">
            <w:pPr>
              <w:rPr>
                <w:rFonts w:cs="Arial"/>
                <w:sz w:val="20"/>
              </w:rPr>
            </w:pPr>
            <w:r>
              <w:rPr>
                <w:rFonts w:cs="Arial"/>
                <w:sz w:val="20"/>
              </w:rPr>
              <w:t>A</w:t>
            </w:r>
            <w:r w:rsidRPr="00C612A1">
              <w:rPr>
                <w:rFonts w:cs="Arial"/>
                <w:sz w:val="20"/>
              </w:rPr>
              <w:t xml:space="preserve"> biomedical intervention performed by a Pain </w:t>
            </w:r>
            <w:r w:rsidR="00225A77">
              <w:rPr>
                <w:rFonts w:cs="Arial"/>
                <w:sz w:val="20"/>
              </w:rPr>
              <w:t>M</w:t>
            </w:r>
            <w:r w:rsidR="00E42112">
              <w:rPr>
                <w:rFonts w:cs="Arial"/>
                <w:sz w:val="20"/>
              </w:rPr>
              <w:t xml:space="preserve">edicine </w:t>
            </w:r>
            <w:r w:rsidR="00225A77">
              <w:rPr>
                <w:rFonts w:cs="Arial"/>
                <w:sz w:val="20"/>
              </w:rPr>
              <w:t xml:space="preserve">Specialist </w:t>
            </w:r>
            <w:r w:rsidRPr="00C612A1">
              <w:rPr>
                <w:rFonts w:cs="Arial"/>
                <w:sz w:val="20"/>
              </w:rPr>
              <w:t>in a procedure room, not requiring an operating room.</w:t>
            </w:r>
          </w:p>
        </w:tc>
        <w:tc>
          <w:tcPr>
            <w:tcW w:w="1275" w:type="dxa"/>
            <w:hideMark/>
          </w:tcPr>
          <w:p w:rsidR="00944F34" w:rsidRPr="00C612A1" w:rsidRDefault="00785BCE" w:rsidP="00A560BC">
            <w:pPr>
              <w:rPr>
                <w:rFonts w:cs="Arial"/>
                <w:sz w:val="20"/>
              </w:rPr>
            </w:pPr>
            <w:r>
              <w:rPr>
                <w:rFonts w:cs="Arial"/>
                <w:sz w:val="20"/>
              </w:rPr>
              <w:t>Attendance</w:t>
            </w:r>
          </w:p>
        </w:tc>
        <w:tc>
          <w:tcPr>
            <w:tcW w:w="1418" w:type="dxa"/>
          </w:tcPr>
          <w:p w:rsidR="00944F34" w:rsidRPr="00C612A1" w:rsidRDefault="00944F34" w:rsidP="000E4682">
            <w:pPr>
              <w:rPr>
                <w:rFonts w:cs="Arial"/>
                <w:sz w:val="20"/>
              </w:rPr>
            </w:pPr>
            <w:r w:rsidRPr="00C612A1">
              <w:rPr>
                <w:rFonts w:cs="Arial"/>
                <w:sz w:val="20"/>
              </w:rPr>
              <w:t>NNPAC</w:t>
            </w:r>
          </w:p>
        </w:tc>
      </w:tr>
      <w:tr w:rsidR="00C25292" w:rsidRPr="00597DBE" w:rsidTr="00C25292">
        <w:trPr>
          <w:trHeight w:val="936"/>
        </w:trPr>
        <w:tc>
          <w:tcPr>
            <w:tcW w:w="993" w:type="dxa"/>
          </w:tcPr>
          <w:p w:rsidR="0042184A" w:rsidRPr="00C612A1" w:rsidRDefault="0042184A" w:rsidP="001836AF">
            <w:pPr>
              <w:rPr>
                <w:rFonts w:cs="Arial"/>
                <w:sz w:val="20"/>
              </w:rPr>
            </w:pPr>
            <w:r w:rsidRPr="00430265">
              <w:rPr>
                <w:rFonts w:cs="Arial"/>
                <w:sz w:val="20"/>
              </w:rPr>
              <w:t>PC0015</w:t>
            </w:r>
          </w:p>
        </w:tc>
        <w:tc>
          <w:tcPr>
            <w:tcW w:w="1843" w:type="dxa"/>
          </w:tcPr>
          <w:p w:rsidR="0042184A" w:rsidRPr="00C612A1" w:rsidRDefault="0042184A" w:rsidP="000E4682">
            <w:pPr>
              <w:rPr>
                <w:rFonts w:cs="Arial"/>
                <w:sz w:val="20"/>
              </w:rPr>
            </w:pPr>
            <w:r w:rsidRPr="00504493">
              <w:rPr>
                <w:bCs/>
                <w:sz w:val="20"/>
              </w:rPr>
              <w:t>Pain Interventional Procedures – Operating Room</w:t>
            </w:r>
            <w:r w:rsidRPr="00504493">
              <w:rPr>
                <w:rFonts w:cs="Arial"/>
                <w:sz w:val="20"/>
              </w:rPr>
              <w:t xml:space="preserve"> </w:t>
            </w:r>
          </w:p>
        </w:tc>
        <w:tc>
          <w:tcPr>
            <w:tcW w:w="4536" w:type="dxa"/>
          </w:tcPr>
          <w:p w:rsidR="0042184A" w:rsidRDefault="0042184A" w:rsidP="00225A77">
            <w:pPr>
              <w:rPr>
                <w:rFonts w:cs="Arial"/>
                <w:sz w:val="20"/>
              </w:rPr>
            </w:pPr>
            <w:r w:rsidRPr="00504493">
              <w:rPr>
                <w:rFonts w:cs="Arial"/>
                <w:sz w:val="20"/>
              </w:rPr>
              <w:t xml:space="preserve">A biomedical intervention performed by a Pain </w:t>
            </w:r>
            <w:r w:rsidR="00225A77">
              <w:rPr>
                <w:rFonts w:cs="Arial"/>
                <w:sz w:val="20"/>
              </w:rPr>
              <w:t xml:space="preserve">Medicine </w:t>
            </w:r>
            <w:r w:rsidRPr="00504493">
              <w:rPr>
                <w:rFonts w:cs="Arial"/>
                <w:sz w:val="20"/>
              </w:rPr>
              <w:t>Specialist</w:t>
            </w:r>
            <w:r w:rsidR="00785BCE">
              <w:rPr>
                <w:rFonts w:cs="Arial"/>
                <w:sz w:val="20"/>
              </w:rPr>
              <w:t>,</w:t>
            </w:r>
            <w:r w:rsidRPr="00504493">
              <w:rPr>
                <w:rFonts w:cs="Arial"/>
                <w:sz w:val="20"/>
              </w:rPr>
              <w:t xml:space="preserve"> in the operating room, requiring operating theatre and/or radiology assistance</w:t>
            </w:r>
            <w:r>
              <w:rPr>
                <w:rFonts w:cs="Arial"/>
                <w:sz w:val="20"/>
              </w:rPr>
              <w:t xml:space="preserve"> (for non-admitted patients only)</w:t>
            </w:r>
            <w:r w:rsidRPr="00504493">
              <w:rPr>
                <w:rFonts w:cs="Arial"/>
                <w:sz w:val="20"/>
              </w:rPr>
              <w:t xml:space="preserve">. </w:t>
            </w:r>
          </w:p>
        </w:tc>
        <w:tc>
          <w:tcPr>
            <w:tcW w:w="1275" w:type="dxa"/>
          </w:tcPr>
          <w:p w:rsidR="0042184A" w:rsidRDefault="0042184A" w:rsidP="00A560BC">
            <w:pPr>
              <w:rPr>
                <w:rFonts w:cs="Arial"/>
                <w:sz w:val="20"/>
              </w:rPr>
            </w:pPr>
            <w:r w:rsidRPr="00430265">
              <w:rPr>
                <w:rFonts w:cs="Arial"/>
                <w:sz w:val="20"/>
              </w:rPr>
              <w:t>Attendance</w:t>
            </w:r>
          </w:p>
        </w:tc>
        <w:tc>
          <w:tcPr>
            <w:tcW w:w="1418" w:type="dxa"/>
          </w:tcPr>
          <w:p w:rsidR="0042184A" w:rsidRPr="00C612A1" w:rsidRDefault="009D4BCD" w:rsidP="000E4682">
            <w:pPr>
              <w:rPr>
                <w:rFonts w:cs="Arial"/>
                <w:sz w:val="20"/>
              </w:rPr>
            </w:pPr>
            <w:r>
              <w:rPr>
                <w:rFonts w:cs="Arial"/>
                <w:sz w:val="20"/>
              </w:rPr>
              <w:t>NNPAC</w:t>
            </w:r>
          </w:p>
        </w:tc>
      </w:tr>
      <w:tr w:rsidR="00C25292" w:rsidRPr="00597DBE" w:rsidTr="00C25292">
        <w:trPr>
          <w:trHeight w:val="559"/>
        </w:trPr>
        <w:tc>
          <w:tcPr>
            <w:tcW w:w="993" w:type="dxa"/>
            <w:hideMark/>
          </w:tcPr>
          <w:p w:rsidR="0042184A" w:rsidRPr="00C612A1" w:rsidRDefault="0042184A" w:rsidP="001836AF">
            <w:pPr>
              <w:rPr>
                <w:rFonts w:cs="Arial"/>
                <w:sz w:val="20"/>
              </w:rPr>
            </w:pPr>
            <w:r w:rsidRPr="00C612A1">
              <w:rPr>
                <w:rFonts w:cs="Arial"/>
                <w:sz w:val="20"/>
              </w:rPr>
              <w:t>PC0017</w:t>
            </w:r>
          </w:p>
        </w:tc>
        <w:tc>
          <w:tcPr>
            <w:tcW w:w="1843" w:type="dxa"/>
            <w:hideMark/>
          </w:tcPr>
          <w:p w:rsidR="0042184A" w:rsidRPr="00C612A1" w:rsidRDefault="0042184A" w:rsidP="000E4682">
            <w:pPr>
              <w:rPr>
                <w:rFonts w:cs="Arial"/>
                <w:sz w:val="20"/>
              </w:rPr>
            </w:pPr>
            <w:r w:rsidRPr="00C612A1">
              <w:rPr>
                <w:rFonts w:cs="Arial"/>
                <w:sz w:val="20"/>
              </w:rPr>
              <w:t xml:space="preserve">Pain </w:t>
            </w:r>
            <w:r>
              <w:rPr>
                <w:rFonts w:cs="Arial"/>
                <w:sz w:val="20"/>
              </w:rPr>
              <w:t xml:space="preserve">individual </w:t>
            </w:r>
            <w:r w:rsidRPr="00C612A1">
              <w:rPr>
                <w:rFonts w:cs="Arial"/>
                <w:sz w:val="20"/>
              </w:rPr>
              <w:t>therapy session</w:t>
            </w:r>
          </w:p>
        </w:tc>
        <w:tc>
          <w:tcPr>
            <w:tcW w:w="4536" w:type="dxa"/>
            <w:hideMark/>
          </w:tcPr>
          <w:p w:rsidR="0042184A" w:rsidRPr="00C612A1" w:rsidRDefault="0042184A" w:rsidP="00EC7A5D">
            <w:pPr>
              <w:rPr>
                <w:rFonts w:cs="Arial"/>
                <w:sz w:val="20"/>
              </w:rPr>
            </w:pPr>
            <w:r>
              <w:rPr>
                <w:rFonts w:cs="Arial"/>
                <w:sz w:val="20"/>
              </w:rPr>
              <w:t>Attendance to i</w:t>
            </w:r>
            <w:r w:rsidRPr="00C612A1">
              <w:rPr>
                <w:rFonts w:cs="Arial"/>
                <w:sz w:val="20"/>
              </w:rPr>
              <w:t xml:space="preserve">ndividual </w:t>
            </w:r>
            <w:r>
              <w:rPr>
                <w:rFonts w:cs="Arial"/>
                <w:sz w:val="20"/>
              </w:rPr>
              <w:t xml:space="preserve">pain </w:t>
            </w:r>
            <w:r w:rsidRPr="00C612A1">
              <w:rPr>
                <w:rFonts w:cs="Arial"/>
                <w:sz w:val="20"/>
              </w:rPr>
              <w:t xml:space="preserve">therapy sessions with a member of the </w:t>
            </w:r>
            <w:r>
              <w:rPr>
                <w:rFonts w:cs="Arial"/>
                <w:sz w:val="20"/>
              </w:rPr>
              <w:t xml:space="preserve">pain </w:t>
            </w:r>
            <w:r w:rsidRPr="00C612A1">
              <w:rPr>
                <w:rFonts w:cs="Arial"/>
                <w:sz w:val="20"/>
              </w:rPr>
              <w:t xml:space="preserve">interdisciplinary team. </w:t>
            </w:r>
          </w:p>
        </w:tc>
        <w:tc>
          <w:tcPr>
            <w:tcW w:w="1275" w:type="dxa"/>
            <w:hideMark/>
          </w:tcPr>
          <w:p w:rsidR="0042184A" w:rsidRPr="00C612A1" w:rsidRDefault="0042184A" w:rsidP="000E4682">
            <w:pPr>
              <w:rPr>
                <w:rFonts w:cs="Arial"/>
                <w:sz w:val="20"/>
              </w:rPr>
            </w:pPr>
            <w:r w:rsidRPr="00C612A1">
              <w:rPr>
                <w:rFonts w:cs="Arial"/>
                <w:sz w:val="20"/>
              </w:rPr>
              <w:t>Attendance</w:t>
            </w:r>
          </w:p>
        </w:tc>
        <w:tc>
          <w:tcPr>
            <w:tcW w:w="1418" w:type="dxa"/>
          </w:tcPr>
          <w:p w:rsidR="0042184A" w:rsidRPr="00C612A1" w:rsidRDefault="0042184A" w:rsidP="000E4682">
            <w:pPr>
              <w:rPr>
                <w:rFonts w:cs="Arial"/>
                <w:sz w:val="20"/>
              </w:rPr>
            </w:pPr>
            <w:r w:rsidRPr="00C612A1">
              <w:rPr>
                <w:rFonts w:cs="Arial"/>
                <w:sz w:val="20"/>
              </w:rPr>
              <w:t>NNPAC</w:t>
            </w:r>
          </w:p>
        </w:tc>
      </w:tr>
      <w:tr w:rsidR="00C25292" w:rsidRPr="00597DBE" w:rsidTr="00C25292">
        <w:trPr>
          <w:trHeight w:val="559"/>
        </w:trPr>
        <w:tc>
          <w:tcPr>
            <w:tcW w:w="993" w:type="dxa"/>
          </w:tcPr>
          <w:p w:rsidR="00DC6EC1" w:rsidRPr="00DC6EC1" w:rsidRDefault="00DC6EC1" w:rsidP="00554FE4">
            <w:pPr>
              <w:rPr>
                <w:rFonts w:cs="Arial"/>
                <w:sz w:val="20"/>
              </w:rPr>
            </w:pPr>
            <w:r w:rsidRPr="00DC6EC1">
              <w:rPr>
                <w:rFonts w:cs="Arial"/>
                <w:sz w:val="20"/>
              </w:rPr>
              <w:t>PC0019</w:t>
            </w:r>
          </w:p>
          <w:p w:rsidR="00DC6EC1" w:rsidRPr="00C612A1" w:rsidRDefault="00DC6EC1" w:rsidP="00554FE4">
            <w:pPr>
              <w:rPr>
                <w:rFonts w:cs="Arial"/>
                <w:sz w:val="20"/>
              </w:rPr>
            </w:pPr>
          </w:p>
        </w:tc>
        <w:tc>
          <w:tcPr>
            <w:tcW w:w="1843" w:type="dxa"/>
          </w:tcPr>
          <w:p w:rsidR="00DC6EC1" w:rsidRPr="00C612A1" w:rsidRDefault="00DC6EC1" w:rsidP="00554FE4">
            <w:pPr>
              <w:rPr>
                <w:rFonts w:cs="Arial"/>
                <w:sz w:val="20"/>
              </w:rPr>
            </w:pPr>
            <w:r w:rsidRPr="00C612A1">
              <w:rPr>
                <w:rFonts w:cs="Arial"/>
                <w:sz w:val="20"/>
              </w:rPr>
              <w:t xml:space="preserve">Pain Management </w:t>
            </w:r>
            <w:r>
              <w:rPr>
                <w:rFonts w:cs="Arial"/>
                <w:sz w:val="20"/>
              </w:rPr>
              <w:t xml:space="preserve">Group </w:t>
            </w:r>
            <w:r w:rsidRPr="00C612A1">
              <w:rPr>
                <w:rFonts w:cs="Arial"/>
                <w:sz w:val="20"/>
              </w:rPr>
              <w:t>Day Programme</w:t>
            </w:r>
          </w:p>
        </w:tc>
        <w:tc>
          <w:tcPr>
            <w:tcW w:w="4536" w:type="dxa"/>
          </w:tcPr>
          <w:p w:rsidR="00DC6EC1" w:rsidRPr="00C612A1" w:rsidRDefault="00DC6EC1" w:rsidP="00554FE4">
            <w:pPr>
              <w:rPr>
                <w:rFonts w:cs="Arial"/>
                <w:sz w:val="20"/>
              </w:rPr>
            </w:pPr>
            <w:r w:rsidRPr="00C612A1">
              <w:rPr>
                <w:rFonts w:cs="Arial"/>
                <w:sz w:val="20"/>
              </w:rPr>
              <w:t xml:space="preserve">A pain management </w:t>
            </w:r>
            <w:r>
              <w:rPr>
                <w:rFonts w:cs="Arial"/>
                <w:sz w:val="20"/>
              </w:rPr>
              <w:t xml:space="preserve">group </w:t>
            </w:r>
            <w:r w:rsidRPr="00C612A1">
              <w:rPr>
                <w:rFonts w:cs="Arial"/>
                <w:sz w:val="20"/>
              </w:rPr>
              <w:t>day programme based on a cognitive/ behavioural model to assist individuals to achieve the key objectives of their pain management plan</w:t>
            </w:r>
            <w:r>
              <w:rPr>
                <w:rFonts w:cs="Arial"/>
                <w:sz w:val="20"/>
              </w:rPr>
              <w:t>. (previously PC0009). Includes follow-up session after completion of the group day programme, (previously PC0013).</w:t>
            </w:r>
          </w:p>
        </w:tc>
        <w:tc>
          <w:tcPr>
            <w:tcW w:w="1275" w:type="dxa"/>
          </w:tcPr>
          <w:p w:rsidR="00DC6EC1" w:rsidRPr="00C612A1" w:rsidRDefault="00781839" w:rsidP="00554FE4">
            <w:pPr>
              <w:rPr>
                <w:rFonts w:cs="Arial"/>
                <w:sz w:val="20"/>
              </w:rPr>
            </w:pPr>
            <w:r>
              <w:rPr>
                <w:rFonts w:cs="Arial"/>
                <w:sz w:val="20"/>
              </w:rPr>
              <w:t>Day Attendance</w:t>
            </w:r>
          </w:p>
        </w:tc>
        <w:tc>
          <w:tcPr>
            <w:tcW w:w="1418" w:type="dxa"/>
          </w:tcPr>
          <w:p w:rsidR="00DC6EC1" w:rsidRPr="00C612A1" w:rsidRDefault="00DC6EC1" w:rsidP="00554FE4">
            <w:pPr>
              <w:rPr>
                <w:rFonts w:cs="Arial"/>
                <w:sz w:val="20"/>
              </w:rPr>
            </w:pPr>
            <w:r w:rsidRPr="00C612A1">
              <w:rPr>
                <w:rFonts w:cs="Arial"/>
                <w:sz w:val="20"/>
              </w:rPr>
              <w:t>NNPAC</w:t>
            </w:r>
          </w:p>
        </w:tc>
      </w:tr>
      <w:tr w:rsidR="00C25292" w:rsidRPr="00597DBE" w:rsidTr="00C25292">
        <w:trPr>
          <w:trHeight w:val="850"/>
        </w:trPr>
        <w:tc>
          <w:tcPr>
            <w:tcW w:w="993" w:type="dxa"/>
            <w:hideMark/>
          </w:tcPr>
          <w:p w:rsidR="00DC6EC1" w:rsidRPr="00DC6EC1" w:rsidRDefault="00DC6EC1" w:rsidP="00DC6EC1">
            <w:pPr>
              <w:rPr>
                <w:rFonts w:cs="Arial"/>
                <w:sz w:val="20"/>
              </w:rPr>
            </w:pPr>
            <w:r w:rsidRPr="00DC6EC1">
              <w:rPr>
                <w:rFonts w:cs="Arial"/>
                <w:sz w:val="20"/>
              </w:rPr>
              <w:t>PC0022</w:t>
            </w:r>
          </w:p>
        </w:tc>
        <w:tc>
          <w:tcPr>
            <w:tcW w:w="1843" w:type="dxa"/>
            <w:hideMark/>
          </w:tcPr>
          <w:p w:rsidR="00DC6EC1" w:rsidRPr="00C612A1" w:rsidRDefault="00DC6EC1" w:rsidP="00A81BE0">
            <w:pPr>
              <w:rPr>
                <w:rFonts w:cs="Arial"/>
                <w:sz w:val="20"/>
              </w:rPr>
            </w:pPr>
            <w:r w:rsidRPr="00C612A1">
              <w:rPr>
                <w:rFonts w:cs="Arial"/>
                <w:sz w:val="20"/>
              </w:rPr>
              <w:t>Pain Activity</w:t>
            </w:r>
            <w:r>
              <w:rPr>
                <w:rFonts w:cs="Arial"/>
                <w:sz w:val="20"/>
              </w:rPr>
              <w:t xml:space="preserve"> Individualised </w:t>
            </w:r>
            <w:r w:rsidRPr="00C612A1">
              <w:rPr>
                <w:rFonts w:cs="Arial"/>
                <w:sz w:val="20"/>
              </w:rPr>
              <w:t>Programme</w:t>
            </w:r>
          </w:p>
        </w:tc>
        <w:tc>
          <w:tcPr>
            <w:tcW w:w="4536" w:type="dxa"/>
            <w:hideMark/>
          </w:tcPr>
          <w:p w:rsidR="00DC6EC1" w:rsidRPr="00C612A1" w:rsidRDefault="00DC6EC1" w:rsidP="00A81BE0">
            <w:pPr>
              <w:rPr>
                <w:rFonts w:cs="Arial"/>
                <w:sz w:val="20"/>
              </w:rPr>
            </w:pPr>
            <w:r w:rsidRPr="00C612A1">
              <w:rPr>
                <w:rFonts w:cs="Arial"/>
                <w:sz w:val="20"/>
              </w:rPr>
              <w:t xml:space="preserve">An </w:t>
            </w:r>
            <w:r>
              <w:rPr>
                <w:rFonts w:cs="Arial"/>
                <w:sz w:val="20"/>
              </w:rPr>
              <w:t xml:space="preserve">individualised </w:t>
            </w:r>
            <w:r w:rsidRPr="00C612A1">
              <w:rPr>
                <w:rFonts w:cs="Arial"/>
                <w:sz w:val="20"/>
              </w:rPr>
              <w:t>multi week programme provided by the pain interdisciplinary team</w:t>
            </w:r>
            <w:r>
              <w:rPr>
                <w:rFonts w:cs="Arial"/>
                <w:sz w:val="20"/>
              </w:rPr>
              <w:t xml:space="preserve"> based on a cognitive / behavioural model</w:t>
            </w:r>
            <w:r w:rsidRPr="00C612A1">
              <w:rPr>
                <w:rFonts w:cs="Arial"/>
                <w:sz w:val="20"/>
              </w:rPr>
              <w:t xml:space="preserve">. </w:t>
            </w:r>
          </w:p>
        </w:tc>
        <w:tc>
          <w:tcPr>
            <w:tcW w:w="1275" w:type="dxa"/>
            <w:hideMark/>
          </w:tcPr>
          <w:p w:rsidR="00DC6EC1" w:rsidRPr="00C612A1" w:rsidRDefault="00781839" w:rsidP="000E4682">
            <w:pPr>
              <w:rPr>
                <w:rFonts w:cs="Arial"/>
                <w:sz w:val="20"/>
              </w:rPr>
            </w:pPr>
            <w:r>
              <w:rPr>
                <w:rFonts w:cs="Arial"/>
                <w:sz w:val="20"/>
              </w:rPr>
              <w:t>Day Attendance</w:t>
            </w:r>
          </w:p>
        </w:tc>
        <w:tc>
          <w:tcPr>
            <w:tcW w:w="1418" w:type="dxa"/>
          </w:tcPr>
          <w:p w:rsidR="00DC6EC1" w:rsidRPr="00C612A1" w:rsidRDefault="00DC6EC1" w:rsidP="000E4682">
            <w:pPr>
              <w:rPr>
                <w:rFonts w:cs="Arial"/>
                <w:sz w:val="20"/>
              </w:rPr>
            </w:pPr>
            <w:r w:rsidRPr="00C612A1">
              <w:rPr>
                <w:rFonts w:cs="Arial"/>
                <w:sz w:val="20"/>
              </w:rPr>
              <w:t>NNPAC</w:t>
            </w:r>
          </w:p>
        </w:tc>
      </w:tr>
      <w:tr w:rsidR="00C25292" w:rsidRPr="00597DBE" w:rsidTr="00C25292">
        <w:trPr>
          <w:trHeight w:val="979"/>
        </w:trPr>
        <w:tc>
          <w:tcPr>
            <w:tcW w:w="993" w:type="dxa"/>
          </w:tcPr>
          <w:p w:rsidR="00DC6EC1" w:rsidRPr="00C612A1" w:rsidRDefault="00DC6EC1" w:rsidP="0042184A">
            <w:pPr>
              <w:rPr>
                <w:rFonts w:cs="Arial"/>
                <w:sz w:val="20"/>
              </w:rPr>
            </w:pPr>
            <w:r w:rsidRPr="0042184A">
              <w:rPr>
                <w:rFonts w:cs="Arial"/>
                <w:sz w:val="20"/>
              </w:rPr>
              <w:t>M00010</w:t>
            </w:r>
          </w:p>
        </w:tc>
        <w:tc>
          <w:tcPr>
            <w:tcW w:w="1843" w:type="dxa"/>
          </w:tcPr>
          <w:p w:rsidR="00DC6EC1" w:rsidRPr="00C612A1" w:rsidRDefault="00DC6EC1" w:rsidP="0042184A">
            <w:pPr>
              <w:rPr>
                <w:rFonts w:cs="Arial"/>
                <w:sz w:val="20"/>
              </w:rPr>
            </w:pPr>
            <w:r w:rsidRPr="0042184A">
              <w:rPr>
                <w:rFonts w:cs="Arial"/>
                <w:sz w:val="20"/>
              </w:rPr>
              <w:t>Medical non contact First Specialist Assessment - Any health specialty</w:t>
            </w:r>
          </w:p>
        </w:tc>
        <w:tc>
          <w:tcPr>
            <w:tcW w:w="4536" w:type="dxa"/>
          </w:tcPr>
          <w:p w:rsidR="00DC6EC1" w:rsidRPr="00C612A1" w:rsidRDefault="00DC6EC1" w:rsidP="0042184A">
            <w:pPr>
              <w:rPr>
                <w:rFonts w:cs="Arial"/>
                <w:sz w:val="20"/>
              </w:rPr>
            </w:pPr>
            <w:r w:rsidRPr="00C612A1">
              <w:rPr>
                <w:rFonts w:cs="Arial"/>
                <w:sz w:val="20"/>
              </w:rPr>
              <w:t>A review is undertaken by a Registered Medical Practitioner of Registrar level or above, or a Registered Nurse Practitioner, of patient records and any diagnostic test. The original referral should only be generated after a face to face contact by the referrer. A written plan of care is developed for the patient and provision of that plan and other necessary advice is sent to the referring clinician and the patient. The non contact FSA does not include the triaging of referral letters. The patient should not be present during the assessment.</w:t>
            </w:r>
          </w:p>
        </w:tc>
        <w:tc>
          <w:tcPr>
            <w:tcW w:w="1275" w:type="dxa"/>
          </w:tcPr>
          <w:p w:rsidR="00DC6EC1" w:rsidRPr="00C612A1" w:rsidRDefault="00DC6EC1" w:rsidP="0042184A">
            <w:pPr>
              <w:rPr>
                <w:rFonts w:cs="Arial"/>
                <w:sz w:val="20"/>
              </w:rPr>
            </w:pPr>
            <w:r w:rsidRPr="00C612A1">
              <w:rPr>
                <w:rFonts w:cs="Arial"/>
                <w:sz w:val="20"/>
              </w:rPr>
              <w:t>Written plan of care</w:t>
            </w:r>
          </w:p>
        </w:tc>
        <w:tc>
          <w:tcPr>
            <w:tcW w:w="1418" w:type="dxa"/>
          </w:tcPr>
          <w:p w:rsidR="00DC6EC1" w:rsidRPr="00C612A1" w:rsidRDefault="00DC6EC1" w:rsidP="0042184A">
            <w:pPr>
              <w:rPr>
                <w:rFonts w:cs="Arial"/>
                <w:sz w:val="20"/>
              </w:rPr>
            </w:pPr>
            <w:r w:rsidRPr="00C612A1">
              <w:rPr>
                <w:rFonts w:cs="Arial"/>
                <w:sz w:val="20"/>
              </w:rPr>
              <w:t>NNPAC</w:t>
            </w:r>
          </w:p>
        </w:tc>
      </w:tr>
    </w:tbl>
    <w:p w:rsidR="00430265" w:rsidRDefault="00BF66E0" w:rsidP="00504493">
      <w:pPr>
        <w:spacing w:before="120" w:after="120" w:line="276" w:lineRule="auto"/>
        <w:rPr>
          <w:sz w:val="22"/>
          <w:szCs w:val="22"/>
        </w:rPr>
      </w:pPr>
      <w:r>
        <w:rPr>
          <w:sz w:val="22"/>
          <w:szCs w:val="22"/>
        </w:rPr>
        <w:lastRenderedPageBreak/>
        <w:t>Refer to Appendix 2 for detail of procedures included in these purchase units.</w:t>
      </w:r>
    </w:p>
    <w:tbl>
      <w:tblPr>
        <w:tblStyle w:val="TableGrid"/>
        <w:tblW w:w="10065" w:type="dxa"/>
        <w:tblInd w:w="-34" w:type="dxa"/>
        <w:tblLayout w:type="fixed"/>
        <w:tblLook w:val="04A0" w:firstRow="1" w:lastRow="0" w:firstColumn="1" w:lastColumn="0" w:noHBand="0" w:noVBand="1"/>
      </w:tblPr>
      <w:tblGrid>
        <w:gridCol w:w="2694"/>
        <w:gridCol w:w="7371"/>
      </w:tblGrid>
      <w:tr w:rsidR="00430265" w:rsidRPr="000E4682" w:rsidTr="0061087F">
        <w:trPr>
          <w:trHeight w:val="343"/>
        </w:trPr>
        <w:tc>
          <w:tcPr>
            <w:tcW w:w="2694" w:type="dxa"/>
            <w:shd w:val="pct12" w:color="auto" w:fill="auto"/>
          </w:tcPr>
          <w:p w:rsidR="00430265" w:rsidRPr="003D1561" w:rsidRDefault="00430265" w:rsidP="0061087F">
            <w:pPr>
              <w:spacing w:before="120" w:after="120"/>
              <w:rPr>
                <w:rFonts w:cs="Arial"/>
                <w:b/>
                <w:sz w:val="22"/>
                <w:szCs w:val="22"/>
              </w:rPr>
            </w:pPr>
            <w:r w:rsidRPr="003D1561">
              <w:rPr>
                <w:rFonts w:cs="Arial"/>
                <w:b/>
                <w:sz w:val="22"/>
                <w:szCs w:val="22"/>
              </w:rPr>
              <w:t>Unit of measure (UoM)</w:t>
            </w:r>
          </w:p>
        </w:tc>
        <w:tc>
          <w:tcPr>
            <w:tcW w:w="7371" w:type="dxa"/>
            <w:shd w:val="pct12" w:color="auto" w:fill="auto"/>
          </w:tcPr>
          <w:p w:rsidR="00430265" w:rsidRPr="003D1561" w:rsidRDefault="00430265" w:rsidP="0061087F">
            <w:pPr>
              <w:spacing w:before="120" w:after="120"/>
              <w:rPr>
                <w:rFonts w:cs="Arial"/>
                <w:b/>
                <w:sz w:val="22"/>
                <w:szCs w:val="22"/>
              </w:rPr>
            </w:pPr>
            <w:r w:rsidRPr="003D1561">
              <w:rPr>
                <w:rFonts w:cs="Arial"/>
                <w:b/>
                <w:sz w:val="22"/>
                <w:szCs w:val="22"/>
              </w:rPr>
              <w:t>UoM definitions</w:t>
            </w:r>
          </w:p>
        </w:tc>
      </w:tr>
      <w:tr w:rsidR="00430265" w:rsidRPr="000E4682" w:rsidTr="0061087F">
        <w:trPr>
          <w:trHeight w:val="423"/>
        </w:trPr>
        <w:tc>
          <w:tcPr>
            <w:tcW w:w="2694" w:type="dxa"/>
          </w:tcPr>
          <w:p w:rsidR="00430265" w:rsidRPr="00BF66E0" w:rsidRDefault="00430265" w:rsidP="0061087F">
            <w:pPr>
              <w:spacing w:before="120" w:after="120"/>
              <w:rPr>
                <w:rFonts w:cs="Arial"/>
                <w:sz w:val="22"/>
                <w:szCs w:val="22"/>
              </w:rPr>
            </w:pPr>
            <w:r w:rsidRPr="00BF66E0">
              <w:rPr>
                <w:rFonts w:cs="Arial"/>
                <w:sz w:val="22"/>
                <w:szCs w:val="22"/>
              </w:rPr>
              <w:t>Attendance</w:t>
            </w:r>
          </w:p>
        </w:tc>
        <w:tc>
          <w:tcPr>
            <w:tcW w:w="7371" w:type="dxa"/>
          </w:tcPr>
          <w:p w:rsidR="00430265" w:rsidRPr="00BF66E0" w:rsidRDefault="00430265" w:rsidP="0061087F">
            <w:pPr>
              <w:spacing w:before="120" w:after="120"/>
              <w:rPr>
                <w:rFonts w:cs="Arial"/>
                <w:sz w:val="22"/>
                <w:szCs w:val="22"/>
              </w:rPr>
            </w:pPr>
            <w:r w:rsidRPr="00BF66E0">
              <w:rPr>
                <w:rFonts w:cs="Arial"/>
                <w:sz w:val="22"/>
                <w:szCs w:val="22"/>
              </w:rPr>
              <w:t>Number of attendances to a clinic/department/acute assessment unit or domiciliary.</w:t>
            </w:r>
          </w:p>
        </w:tc>
      </w:tr>
      <w:tr w:rsidR="00781839" w:rsidRPr="000E4682" w:rsidTr="0061087F">
        <w:trPr>
          <w:trHeight w:val="557"/>
        </w:trPr>
        <w:tc>
          <w:tcPr>
            <w:tcW w:w="2694" w:type="dxa"/>
          </w:tcPr>
          <w:p w:rsidR="00781839" w:rsidRDefault="00781839" w:rsidP="00CE4868">
            <w:pPr>
              <w:spacing w:before="120" w:after="120"/>
              <w:rPr>
                <w:rFonts w:cs="Arial"/>
                <w:sz w:val="22"/>
                <w:szCs w:val="22"/>
              </w:rPr>
            </w:pPr>
            <w:r>
              <w:rPr>
                <w:rFonts w:cs="Arial"/>
                <w:sz w:val="22"/>
                <w:szCs w:val="22"/>
              </w:rPr>
              <w:t>Day Attendance</w:t>
            </w:r>
          </w:p>
        </w:tc>
        <w:tc>
          <w:tcPr>
            <w:tcW w:w="7371" w:type="dxa"/>
          </w:tcPr>
          <w:p w:rsidR="00781839" w:rsidRPr="00781839" w:rsidRDefault="00781839" w:rsidP="00781839">
            <w:pPr>
              <w:spacing w:before="120"/>
              <w:rPr>
                <w:rFonts w:cs="Arial"/>
                <w:sz w:val="22"/>
                <w:szCs w:val="22"/>
              </w:rPr>
            </w:pPr>
            <w:r w:rsidRPr="00781839">
              <w:rPr>
                <w:rFonts w:cs="Arial"/>
                <w:sz w:val="22"/>
                <w:szCs w:val="22"/>
              </w:rPr>
              <w:t>Number of attendances to a day session lasting 3 hours or more.</w:t>
            </w:r>
          </w:p>
        </w:tc>
      </w:tr>
      <w:tr w:rsidR="00430265" w:rsidRPr="007C6EA3" w:rsidTr="0061087F">
        <w:trPr>
          <w:trHeight w:val="557"/>
        </w:trPr>
        <w:tc>
          <w:tcPr>
            <w:tcW w:w="2694" w:type="dxa"/>
          </w:tcPr>
          <w:p w:rsidR="00430265" w:rsidRPr="00BF66E0" w:rsidRDefault="00430265" w:rsidP="0061087F">
            <w:pPr>
              <w:spacing w:before="120" w:after="120"/>
              <w:rPr>
                <w:rFonts w:cs="Arial"/>
                <w:sz w:val="22"/>
                <w:szCs w:val="22"/>
              </w:rPr>
            </w:pPr>
            <w:r w:rsidRPr="00BF66E0">
              <w:rPr>
                <w:rFonts w:cs="Arial"/>
                <w:sz w:val="22"/>
                <w:szCs w:val="22"/>
              </w:rPr>
              <w:t>Written plan of care</w:t>
            </w:r>
          </w:p>
        </w:tc>
        <w:tc>
          <w:tcPr>
            <w:tcW w:w="7371" w:type="dxa"/>
          </w:tcPr>
          <w:p w:rsidR="00430265" w:rsidRPr="00BF66E0" w:rsidRDefault="00430265" w:rsidP="0061087F">
            <w:pPr>
              <w:spacing w:before="120" w:after="120"/>
              <w:rPr>
                <w:rFonts w:cs="Arial"/>
                <w:sz w:val="22"/>
                <w:szCs w:val="22"/>
              </w:rPr>
            </w:pPr>
            <w:r w:rsidRPr="00BF66E0">
              <w:rPr>
                <w:rFonts w:cs="Arial"/>
                <w:sz w:val="22"/>
                <w:szCs w:val="22"/>
              </w:rPr>
              <w:t>Written plan of care provided by the specialist to the referring GP</w:t>
            </w:r>
          </w:p>
        </w:tc>
      </w:tr>
    </w:tbl>
    <w:p w:rsidR="009425A3" w:rsidRPr="000E4682" w:rsidRDefault="00781BCD" w:rsidP="001E03FE">
      <w:pPr>
        <w:pStyle w:val="Heading2"/>
        <w:ind w:hanging="596"/>
      </w:pPr>
      <w:r>
        <w:t xml:space="preserve">Additional Information and </w:t>
      </w:r>
      <w:r w:rsidR="009425A3" w:rsidRPr="000E4682">
        <w:t>Reporting Requirements</w:t>
      </w:r>
    </w:p>
    <w:p w:rsidR="00781BCD" w:rsidRPr="00577D07" w:rsidRDefault="0012773D" w:rsidP="00C612A1">
      <w:pPr>
        <w:pStyle w:val="BodyText"/>
        <w:ind w:left="142"/>
      </w:pPr>
      <w:r>
        <w:t>The Service will w</w:t>
      </w:r>
      <w:r w:rsidR="00F94342">
        <w:t>ork towards having an agreed</w:t>
      </w:r>
      <w:r w:rsidR="00781BCD" w:rsidRPr="00577D07">
        <w:t xml:space="preserve"> core set of information </w:t>
      </w:r>
      <w:r>
        <w:t xml:space="preserve">that </w:t>
      </w:r>
      <w:r w:rsidR="00781BCD" w:rsidRPr="00577D07">
        <w:t xml:space="preserve">will be </w:t>
      </w:r>
      <w:r w:rsidR="00F94342">
        <w:t>collected</w:t>
      </w:r>
      <w:r w:rsidR="00F94342" w:rsidRPr="00577D07">
        <w:t xml:space="preserve"> </w:t>
      </w:r>
      <w:r w:rsidR="00781BCD" w:rsidRPr="00577D07">
        <w:t>and provided on request to the Funder.</w:t>
      </w:r>
      <w:r w:rsidR="00234C4E">
        <w:t xml:space="preserve"> </w:t>
      </w:r>
      <w:r w:rsidR="00781BCD" w:rsidRPr="00577D07">
        <w:t>This information is for the purpose of monitoring service provision and to support national consistency for service development and benchmarking.</w:t>
      </w:r>
    </w:p>
    <w:p w:rsidR="005A3478" w:rsidRPr="00504493" w:rsidRDefault="005A3478" w:rsidP="00504493">
      <w:pPr>
        <w:pStyle w:val="Heading1"/>
        <w:ind w:left="567" w:hanging="567"/>
        <w:rPr>
          <w:sz w:val="24"/>
          <w:szCs w:val="24"/>
        </w:rPr>
      </w:pPr>
      <w:r w:rsidRPr="00504493">
        <w:rPr>
          <w:sz w:val="24"/>
          <w:szCs w:val="24"/>
        </w:rPr>
        <w:t>Glossary</w:t>
      </w:r>
      <w:r w:rsidR="003D1561">
        <w:rPr>
          <w:sz w:val="24"/>
          <w:szCs w:val="24"/>
        </w:rPr>
        <w:t xml:space="preserve"> of Terms Used in this Service Specification</w:t>
      </w:r>
    </w:p>
    <w:p w:rsidR="00B809B9" w:rsidRDefault="00B809B9" w:rsidP="00B87FB8">
      <w:pPr>
        <w:spacing w:before="120"/>
      </w:pPr>
      <w:r w:rsidRPr="000E4682">
        <w:rPr>
          <w:rFonts w:cs="Arial"/>
          <w:b/>
          <w:szCs w:val="24"/>
        </w:rPr>
        <w:t>Day Programme</w:t>
      </w:r>
      <w:r w:rsidR="00B87FB8">
        <w:rPr>
          <w:rFonts w:cs="Arial"/>
          <w:b/>
          <w:szCs w:val="24"/>
        </w:rPr>
        <w:t xml:space="preserve"> -</w:t>
      </w:r>
      <w:r w:rsidR="00AD0D07">
        <w:rPr>
          <w:rFonts w:cs="Arial"/>
          <w:b/>
          <w:szCs w:val="24"/>
        </w:rPr>
        <w:t xml:space="preserve"> </w:t>
      </w:r>
      <w:r w:rsidR="005C0B34" w:rsidRPr="000E4682">
        <w:t>An integrated</w:t>
      </w:r>
      <w:r w:rsidR="00785F26">
        <w:t xml:space="preserve"> group</w:t>
      </w:r>
      <w:r w:rsidR="005C0B34" w:rsidRPr="000E4682">
        <w:t xml:space="preserve"> multi week </w:t>
      </w:r>
      <w:r w:rsidR="00AA6DC7">
        <w:t xml:space="preserve">group </w:t>
      </w:r>
      <w:r w:rsidR="005C0B34" w:rsidRPr="000E4682">
        <w:t>rehabilitation programme</w:t>
      </w:r>
      <w:r w:rsidR="00B462E9">
        <w:t xml:space="preserve"> </w:t>
      </w:r>
      <w:r w:rsidR="005C0B34" w:rsidRPr="000E4682">
        <w:t xml:space="preserve">as </w:t>
      </w:r>
      <w:r w:rsidR="00B462E9">
        <w:t xml:space="preserve">specified (for up to </w:t>
      </w:r>
      <w:r w:rsidR="00A60E92">
        <w:t>21</w:t>
      </w:r>
      <w:r w:rsidR="00B462E9">
        <w:t xml:space="preserve"> days) </w:t>
      </w:r>
      <w:r w:rsidR="005C0B34" w:rsidRPr="000E4682">
        <w:t xml:space="preserve">in the Service User’s </w:t>
      </w:r>
      <w:r w:rsidR="00B462E9">
        <w:t xml:space="preserve">Pain </w:t>
      </w:r>
      <w:r w:rsidR="003076FC">
        <w:t>Management</w:t>
      </w:r>
      <w:r w:rsidR="003076FC" w:rsidRPr="000E4682">
        <w:t xml:space="preserve"> </w:t>
      </w:r>
      <w:r w:rsidR="003076FC">
        <w:t>P</w:t>
      </w:r>
      <w:r w:rsidR="005C0B34" w:rsidRPr="000E4682">
        <w:t>lan.</w:t>
      </w:r>
    </w:p>
    <w:p w:rsidR="0042184A" w:rsidRDefault="0042184A" w:rsidP="0042184A">
      <w:pPr>
        <w:pStyle w:val="BodyText"/>
        <w:spacing w:before="120"/>
        <w:ind w:left="0"/>
      </w:pPr>
      <w:r w:rsidRPr="0042184A">
        <w:rPr>
          <w:rFonts w:cs="Arial"/>
          <w:b/>
          <w:szCs w:val="24"/>
        </w:rPr>
        <w:t>Nurse Practitioner</w:t>
      </w:r>
      <w:r w:rsidR="00B87FB8">
        <w:rPr>
          <w:rFonts w:cs="Arial"/>
          <w:b/>
          <w:szCs w:val="24"/>
        </w:rPr>
        <w:t xml:space="preserve"> -</w:t>
      </w:r>
      <w:r w:rsidR="00AD0D07">
        <w:rPr>
          <w:rFonts w:cs="Arial"/>
          <w:b/>
          <w:szCs w:val="24"/>
        </w:rPr>
        <w:t xml:space="preserve"> </w:t>
      </w:r>
      <w:r>
        <w:t xml:space="preserve">A </w:t>
      </w:r>
      <w:r w:rsidR="00E136FD">
        <w:t>R</w:t>
      </w:r>
      <w:r>
        <w:t xml:space="preserve">egistered </w:t>
      </w:r>
      <w:r w:rsidR="00E136FD">
        <w:t>N</w:t>
      </w:r>
      <w:r>
        <w:t>urse (RN) who has completed an advanced education and training programme in the area of pain medicine</w:t>
      </w:r>
      <w:r w:rsidR="00E12AC1">
        <w:t xml:space="preserve"> and is registered with the Nursing Council of New Zealand as a Nurse </w:t>
      </w:r>
      <w:r w:rsidR="00E136FD">
        <w:t>P</w:t>
      </w:r>
      <w:r w:rsidR="00E12AC1">
        <w:t>ractitioner</w:t>
      </w:r>
      <w:r>
        <w:t xml:space="preserve">. </w:t>
      </w:r>
    </w:p>
    <w:p w:rsidR="00F72CF9" w:rsidRDefault="003076FC" w:rsidP="00B87FB8">
      <w:pPr>
        <w:spacing w:before="120"/>
      </w:pPr>
      <w:r>
        <w:rPr>
          <w:rFonts w:cs="Arial"/>
          <w:b/>
          <w:szCs w:val="24"/>
        </w:rPr>
        <w:t>Pain</w:t>
      </w:r>
      <w:r w:rsidR="006E2D31">
        <w:rPr>
          <w:rFonts w:cs="Arial"/>
          <w:b/>
          <w:szCs w:val="24"/>
        </w:rPr>
        <w:t xml:space="preserve"> Management</w:t>
      </w:r>
      <w:r>
        <w:rPr>
          <w:rFonts w:cs="Arial"/>
          <w:b/>
          <w:szCs w:val="24"/>
        </w:rPr>
        <w:t xml:space="preserve"> </w:t>
      </w:r>
      <w:r w:rsidR="00B809B9" w:rsidRPr="000E4682">
        <w:rPr>
          <w:rFonts w:cs="Arial"/>
          <w:b/>
          <w:szCs w:val="24"/>
        </w:rPr>
        <w:t>Interdisciplinary</w:t>
      </w:r>
      <w:r>
        <w:rPr>
          <w:rFonts w:cs="Arial"/>
          <w:b/>
          <w:szCs w:val="24"/>
        </w:rPr>
        <w:t xml:space="preserve"> </w:t>
      </w:r>
      <w:r w:rsidR="00B809B9" w:rsidRPr="000E4682">
        <w:rPr>
          <w:rFonts w:cs="Arial"/>
          <w:b/>
          <w:szCs w:val="24"/>
        </w:rPr>
        <w:t>Team</w:t>
      </w:r>
      <w:r w:rsidR="00301CAE">
        <w:rPr>
          <w:rFonts w:cs="Arial"/>
          <w:b/>
          <w:szCs w:val="24"/>
        </w:rPr>
        <w:t xml:space="preserve"> (IDT)</w:t>
      </w:r>
      <w:r w:rsidR="00B87FB8">
        <w:rPr>
          <w:rFonts w:cs="Arial"/>
          <w:b/>
          <w:szCs w:val="24"/>
        </w:rPr>
        <w:t xml:space="preserve"> -</w:t>
      </w:r>
      <w:r w:rsidR="00F72CF9" w:rsidRPr="000E4682">
        <w:t xml:space="preserve">A team of </w:t>
      </w:r>
      <w:r w:rsidR="00781BCD">
        <w:t>m</w:t>
      </w:r>
      <w:r w:rsidR="00B809B9" w:rsidRPr="000E4682">
        <w:t xml:space="preserve">edical, </w:t>
      </w:r>
      <w:r w:rsidR="00301CAE">
        <w:t xml:space="preserve">nursing, </w:t>
      </w:r>
      <w:r w:rsidR="00B809B9" w:rsidRPr="000E4682">
        <w:t>psychological and allied health professional staff appropriately qualified and skilled in assessing and treating persistent pain</w:t>
      </w:r>
      <w:r w:rsidR="00781BCD">
        <w:t>.</w:t>
      </w:r>
      <w:r w:rsidR="00B809B9" w:rsidRPr="000E4682">
        <w:t xml:space="preserve"> </w:t>
      </w:r>
    </w:p>
    <w:p w:rsidR="00303A37" w:rsidRDefault="00F72CF9" w:rsidP="00B87FB8">
      <w:pPr>
        <w:spacing w:before="120"/>
      </w:pPr>
      <w:r w:rsidRPr="000E4682">
        <w:rPr>
          <w:rFonts w:cs="Arial"/>
          <w:b/>
          <w:szCs w:val="24"/>
        </w:rPr>
        <w:t>Pain Medicine Specialists (PMSs)</w:t>
      </w:r>
      <w:r w:rsidR="00B87FB8">
        <w:rPr>
          <w:rFonts w:cs="Arial"/>
          <w:szCs w:val="24"/>
        </w:rPr>
        <w:t xml:space="preserve"> </w:t>
      </w:r>
      <w:r w:rsidRPr="000E4682">
        <w:t xml:space="preserve">act as comprehensive pain physicians. Their primary purpose is to manage the treatment of patients with </w:t>
      </w:r>
      <w:r w:rsidR="006E2D31">
        <w:t xml:space="preserve">acute and persistent </w:t>
      </w:r>
      <w:r w:rsidRPr="000E4682">
        <w:t xml:space="preserve">pain, using a biopsychosocial approach. </w:t>
      </w:r>
    </w:p>
    <w:p w:rsidR="00303A37" w:rsidRPr="000E4682" w:rsidRDefault="00303A37" w:rsidP="00E61058">
      <w:pPr>
        <w:pStyle w:val="BodyText"/>
        <w:spacing w:before="120"/>
        <w:ind w:left="0"/>
      </w:pPr>
      <w:r>
        <w:t>The PMS</w:t>
      </w:r>
      <w:r w:rsidRPr="000E4682">
        <w:t xml:space="preserve"> </w:t>
      </w:r>
      <w:r>
        <w:t xml:space="preserve">will </w:t>
      </w:r>
      <w:r w:rsidRPr="000E4682">
        <w:t>hold a Fellowship from the Australian and New Zealand Faculty of Pain Medicine whose vocational sc</w:t>
      </w:r>
      <w:r>
        <w:t>ope of Pain Medicine is recognis</w:t>
      </w:r>
      <w:r w:rsidRPr="000E4682">
        <w:t>ed by the Medical Council of New Zealand.</w:t>
      </w:r>
    </w:p>
    <w:p w:rsidR="008A185F" w:rsidRDefault="00785F26" w:rsidP="00B87FB8">
      <w:pPr>
        <w:pStyle w:val="BodyText"/>
        <w:ind w:left="0"/>
      </w:pPr>
      <w:r w:rsidRPr="005D5B47">
        <w:rPr>
          <w:b/>
        </w:rPr>
        <w:t xml:space="preserve">Pain </w:t>
      </w:r>
      <w:r w:rsidR="000412E8" w:rsidRPr="005D5B47">
        <w:rPr>
          <w:b/>
        </w:rPr>
        <w:t>Management Plan</w:t>
      </w:r>
      <w:r w:rsidR="00B87FB8">
        <w:rPr>
          <w:b/>
        </w:rPr>
        <w:t xml:space="preserve"> -</w:t>
      </w:r>
      <w:r w:rsidR="00AD0D07">
        <w:rPr>
          <w:b/>
        </w:rPr>
        <w:t xml:space="preserve"> </w:t>
      </w:r>
      <w:r w:rsidR="000412E8">
        <w:t xml:space="preserve">Outcome oriented </w:t>
      </w:r>
      <w:r w:rsidR="000412E8" w:rsidRPr="000E4682">
        <w:t>treatment and /or rehabilitation plan</w:t>
      </w:r>
      <w:r w:rsidR="000412E8">
        <w:t xml:space="preserve"> </w:t>
      </w:r>
      <w:r w:rsidR="00AA6DC7">
        <w:t>for the Service User</w:t>
      </w:r>
      <w:r w:rsidR="00CD3D8F">
        <w:t>.</w:t>
      </w:r>
      <w:r w:rsidR="00AA6DC7">
        <w:t xml:space="preserve"> </w:t>
      </w:r>
    </w:p>
    <w:p w:rsidR="005D5B47" w:rsidRDefault="005978F8" w:rsidP="00B87FB8">
      <w:pPr>
        <w:pStyle w:val="BodyText"/>
        <w:ind w:left="0"/>
      </w:pPr>
      <w:r w:rsidRPr="005D5B47">
        <w:rPr>
          <w:b/>
        </w:rPr>
        <w:t>Persistent pain</w:t>
      </w:r>
      <w:r w:rsidR="00B87FB8">
        <w:rPr>
          <w:b/>
        </w:rPr>
        <w:t xml:space="preserve"> -</w:t>
      </w:r>
      <w:r w:rsidR="005D5B47">
        <w:t xml:space="preserve">Persistent pain is recurrent or chronic pain that persists beyond the expected time of healing, or occurs in a condition that cannot be cured. It can be considered a condition in </w:t>
      </w:r>
      <w:r w:rsidR="00AD0D07">
        <w:t>its</w:t>
      </w:r>
      <w:r w:rsidR="005D5B47">
        <w:t xml:space="preserve"> own right or as a component of other long term conditions. It encompasses a wide array of conditions, including musculoskeletal, neuropathic and visceral pain. Cancer pain is any pain that is caused by the cancer, </w:t>
      </w:r>
      <w:r w:rsidR="00A60E92">
        <w:t>cancer</w:t>
      </w:r>
      <w:r w:rsidR="005D5B47">
        <w:t xml:space="preserve"> treatment or cancer related debility.</w:t>
      </w:r>
    </w:p>
    <w:p w:rsidR="008C493F" w:rsidRDefault="008C493F">
      <w:pPr>
        <w:spacing w:after="200" w:line="276" w:lineRule="auto"/>
        <w:rPr>
          <w:lang w:eastAsia="en-NZ"/>
        </w:rPr>
      </w:pPr>
      <w:r>
        <w:rPr>
          <w:lang w:eastAsia="en-NZ"/>
        </w:rPr>
        <w:br w:type="page"/>
      </w:r>
    </w:p>
    <w:p w:rsidR="001C0948" w:rsidRPr="000E4682" w:rsidRDefault="001C0948" w:rsidP="005A264F">
      <w:pPr>
        <w:pStyle w:val="Heading1"/>
        <w:numPr>
          <w:ilvl w:val="0"/>
          <w:numId w:val="0"/>
        </w:numPr>
        <w:spacing w:before="0" w:after="0"/>
        <w:ind w:left="454" w:hanging="454"/>
        <w:rPr>
          <w:rFonts w:eastAsiaTheme="minorHAnsi"/>
          <w:lang w:val="en-NZ"/>
        </w:rPr>
      </w:pPr>
      <w:r w:rsidRPr="000E4682">
        <w:rPr>
          <w:rFonts w:eastAsiaTheme="minorHAnsi"/>
          <w:lang w:val="en-NZ"/>
        </w:rPr>
        <w:lastRenderedPageBreak/>
        <w:t xml:space="preserve">Appendix </w:t>
      </w:r>
      <w:r w:rsidR="00DC0F4B">
        <w:rPr>
          <w:rFonts w:eastAsiaTheme="minorHAnsi"/>
          <w:lang w:val="en-NZ"/>
        </w:rPr>
        <w:t>1</w:t>
      </w:r>
      <w:r w:rsidR="000C40A7">
        <w:rPr>
          <w:rFonts w:eastAsiaTheme="minorHAnsi"/>
          <w:lang w:val="en-NZ"/>
        </w:rPr>
        <w:t xml:space="preserve"> Proposed </w:t>
      </w:r>
      <w:r w:rsidR="00636CB0">
        <w:rPr>
          <w:rFonts w:eastAsiaTheme="minorHAnsi"/>
          <w:lang w:val="en-NZ"/>
        </w:rPr>
        <w:t xml:space="preserve">New Zealand </w:t>
      </w:r>
      <w:r w:rsidR="006835EB">
        <w:rPr>
          <w:rFonts w:eastAsiaTheme="minorHAnsi"/>
          <w:lang w:val="en-NZ"/>
        </w:rPr>
        <w:t xml:space="preserve">- </w:t>
      </w:r>
      <w:r w:rsidR="00636CB0">
        <w:rPr>
          <w:rFonts w:eastAsiaTheme="minorHAnsi"/>
          <w:lang w:val="en-NZ"/>
        </w:rPr>
        <w:t>Austral</w:t>
      </w:r>
      <w:r w:rsidR="006835EB">
        <w:rPr>
          <w:rFonts w:eastAsiaTheme="minorHAnsi"/>
          <w:lang w:val="en-NZ"/>
        </w:rPr>
        <w:t>i</w:t>
      </w:r>
      <w:r w:rsidR="00636CB0">
        <w:rPr>
          <w:rFonts w:eastAsiaTheme="minorHAnsi"/>
          <w:lang w:val="en-NZ"/>
        </w:rPr>
        <w:t>a</w:t>
      </w:r>
      <w:r w:rsidR="000C40A7">
        <w:rPr>
          <w:rFonts w:eastAsiaTheme="minorHAnsi"/>
          <w:lang w:val="en-NZ"/>
        </w:rPr>
        <w:t xml:space="preserve"> ‘Common dataset’</w:t>
      </w:r>
    </w:p>
    <w:p w:rsidR="00640E3E" w:rsidRPr="000E4682" w:rsidRDefault="00640E3E" w:rsidP="000E4682">
      <w:pPr>
        <w:autoSpaceDE w:val="0"/>
        <w:autoSpaceDN w:val="0"/>
        <w:adjustRightInd w:val="0"/>
        <w:rPr>
          <w:rFonts w:eastAsiaTheme="minorHAnsi" w:cs="Arial"/>
          <w:b/>
          <w:iCs/>
          <w:color w:val="FFFFFF"/>
          <w:szCs w:val="24"/>
          <w:lang w:val="en-NZ"/>
        </w:rPr>
      </w:pPr>
      <w:r w:rsidRPr="000E4682">
        <w:rPr>
          <w:rFonts w:eastAsiaTheme="minorHAnsi" w:cs="Arial"/>
          <w:b/>
          <w:iCs/>
          <w:color w:val="FFFFFF"/>
          <w:szCs w:val="24"/>
          <w:lang w:val="en-NZ"/>
        </w:rPr>
        <w:t>Appendix 3</w:t>
      </w:r>
    </w:p>
    <w:p w:rsidR="009306DB" w:rsidRPr="009306DB" w:rsidRDefault="009306DB" w:rsidP="005A264F">
      <w:r w:rsidRPr="009306DB">
        <w:t>Electronic Persistent Pain Outcomes Collaboration (ePPOC)</w:t>
      </w:r>
    </w:p>
    <w:p w:rsidR="009306DB" w:rsidRPr="00304770" w:rsidRDefault="009306DB" w:rsidP="005A264F">
      <w:pPr>
        <w:spacing w:before="120" w:after="120"/>
      </w:pPr>
      <w:r w:rsidRPr="009306DB">
        <w:t xml:space="preserve">An Australian and New Zealand Faculty of Pain Medicine </w:t>
      </w:r>
      <w:r w:rsidRPr="00304770">
        <w:t xml:space="preserve">(NZFPM) </w:t>
      </w:r>
      <w:r w:rsidRPr="009306DB">
        <w:t>initiative for a National Pain Outcomes Database has been broadened to include participation of the Australian Pain Society and New Zealand Pain Society. Agreement has been obtained on a minimal data set</w:t>
      </w:r>
      <w:r w:rsidR="00D11166">
        <w:rPr>
          <w:rStyle w:val="FootnoteReference"/>
        </w:rPr>
        <w:footnoteReference w:id="7"/>
      </w:r>
      <w:r w:rsidRPr="00304770">
        <w:t>- see the table below</w:t>
      </w:r>
      <w:r w:rsidRPr="009306DB">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796"/>
      </w:tblGrid>
      <w:tr w:rsidR="00640E3E" w:rsidRPr="000E4682" w:rsidTr="009306DB">
        <w:trPr>
          <w:trHeight w:val="395"/>
        </w:trPr>
        <w:tc>
          <w:tcPr>
            <w:tcW w:w="2127" w:type="dxa"/>
            <w:shd w:val="pct12" w:color="auto" w:fill="FFFFFF" w:themeFill="background1"/>
          </w:tcPr>
          <w:p w:rsidR="00640E3E" w:rsidRPr="000E4682" w:rsidRDefault="00640E3E" w:rsidP="0061087F">
            <w:pPr>
              <w:ind w:left="536"/>
              <w:rPr>
                <w:rFonts w:cs="Arial"/>
                <w:b/>
                <w:bCs/>
                <w:szCs w:val="24"/>
              </w:rPr>
            </w:pPr>
            <w:r w:rsidRPr="000E4682">
              <w:rPr>
                <w:rFonts w:cs="Arial"/>
                <w:b/>
                <w:bCs/>
                <w:szCs w:val="24"/>
              </w:rPr>
              <w:t>Domain</w:t>
            </w:r>
          </w:p>
        </w:tc>
        <w:tc>
          <w:tcPr>
            <w:tcW w:w="7796" w:type="dxa"/>
            <w:shd w:val="pct12" w:color="auto" w:fill="FFFFFF" w:themeFill="background1"/>
          </w:tcPr>
          <w:p w:rsidR="00640E3E" w:rsidRPr="000E4682" w:rsidRDefault="00640E3E" w:rsidP="0061087F">
            <w:pPr>
              <w:rPr>
                <w:rFonts w:cs="Arial"/>
                <w:b/>
                <w:bCs/>
                <w:szCs w:val="24"/>
              </w:rPr>
            </w:pPr>
            <w:r w:rsidRPr="000E4682">
              <w:rPr>
                <w:rFonts w:cs="Arial"/>
                <w:b/>
                <w:bCs/>
                <w:szCs w:val="24"/>
              </w:rPr>
              <w:t>Minimal measure</w:t>
            </w:r>
          </w:p>
        </w:tc>
      </w:tr>
      <w:tr w:rsidR="00640E3E" w:rsidRPr="000E4682" w:rsidTr="009306DB">
        <w:trPr>
          <w:trHeight w:val="391"/>
        </w:trPr>
        <w:tc>
          <w:tcPr>
            <w:tcW w:w="2127" w:type="dxa"/>
          </w:tcPr>
          <w:p w:rsidR="00640E3E" w:rsidRPr="000E4682" w:rsidRDefault="00640E3E" w:rsidP="0061087F">
            <w:pPr>
              <w:rPr>
                <w:rFonts w:cs="Arial"/>
                <w:szCs w:val="24"/>
              </w:rPr>
            </w:pPr>
            <w:r w:rsidRPr="000E4682">
              <w:rPr>
                <w:rFonts w:cs="Arial"/>
                <w:szCs w:val="24"/>
              </w:rPr>
              <w:t>1. Pain Intensity</w:t>
            </w:r>
          </w:p>
        </w:tc>
        <w:tc>
          <w:tcPr>
            <w:tcW w:w="7796" w:type="dxa"/>
          </w:tcPr>
          <w:p w:rsidR="00640E3E" w:rsidRPr="000E4682" w:rsidRDefault="00640E3E" w:rsidP="0061087F">
            <w:pPr>
              <w:rPr>
                <w:rFonts w:cs="Arial"/>
                <w:szCs w:val="24"/>
              </w:rPr>
            </w:pPr>
            <w:r w:rsidRPr="000E4682">
              <w:rPr>
                <w:rFonts w:cs="Arial"/>
                <w:szCs w:val="24"/>
              </w:rPr>
              <w:t>Numerical rating scales from Brief Pain Inventory (BPI)</w:t>
            </w:r>
          </w:p>
        </w:tc>
      </w:tr>
      <w:tr w:rsidR="00640E3E" w:rsidRPr="000E4682" w:rsidTr="009306DB">
        <w:trPr>
          <w:trHeight w:val="877"/>
        </w:trPr>
        <w:tc>
          <w:tcPr>
            <w:tcW w:w="2127" w:type="dxa"/>
          </w:tcPr>
          <w:p w:rsidR="00640E3E" w:rsidRPr="000E4682" w:rsidRDefault="00640E3E" w:rsidP="0061087F">
            <w:pPr>
              <w:rPr>
                <w:rFonts w:cs="Arial"/>
                <w:szCs w:val="24"/>
              </w:rPr>
            </w:pPr>
            <w:r w:rsidRPr="000E4682">
              <w:rPr>
                <w:rFonts w:cs="Arial"/>
                <w:szCs w:val="24"/>
              </w:rPr>
              <w:t>2. Physical Disability</w:t>
            </w:r>
          </w:p>
        </w:tc>
        <w:tc>
          <w:tcPr>
            <w:tcW w:w="7796" w:type="dxa"/>
          </w:tcPr>
          <w:p w:rsidR="00640E3E" w:rsidRPr="000E4682" w:rsidRDefault="00640E3E" w:rsidP="0061087F">
            <w:pPr>
              <w:tabs>
                <w:tab w:val="left" w:pos="3315"/>
              </w:tabs>
              <w:rPr>
                <w:rFonts w:cs="Arial"/>
                <w:szCs w:val="24"/>
              </w:rPr>
            </w:pPr>
            <w:r w:rsidRPr="000E4682">
              <w:rPr>
                <w:rFonts w:cs="Arial"/>
                <w:szCs w:val="24"/>
              </w:rPr>
              <w:t>Pain interference scales (BPI)</w:t>
            </w:r>
          </w:p>
          <w:p w:rsidR="00640E3E" w:rsidRPr="000E4682" w:rsidRDefault="00640E3E" w:rsidP="0061087F">
            <w:pPr>
              <w:rPr>
                <w:rFonts w:cs="Arial"/>
                <w:szCs w:val="24"/>
              </w:rPr>
            </w:pPr>
            <w:r w:rsidRPr="000E4682">
              <w:rPr>
                <w:rFonts w:cs="Arial"/>
                <w:szCs w:val="24"/>
              </w:rPr>
              <w:t>Roland Morris disability questionnaire</w:t>
            </w:r>
          </w:p>
        </w:tc>
      </w:tr>
      <w:tr w:rsidR="00640E3E" w:rsidRPr="000E4682" w:rsidTr="009306DB">
        <w:trPr>
          <w:trHeight w:val="677"/>
        </w:trPr>
        <w:tc>
          <w:tcPr>
            <w:tcW w:w="2127" w:type="dxa"/>
          </w:tcPr>
          <w:p w:rsidR="00640E3E" w:rsidRPr="000E4682" w:rsidRDefault="00640E3E" w:rsidP="0061087F">
            <w:pPr>
              <w:rPr>
                <w:rFonts w:cs="Arial"/>
                <w:szCs w:val="24"/>
              </w:rPr>
            </w:pPr>
            <w:r w:rsidRPr="000E4682">
              <w:rPr>
                <w:rFonts w:cs="Arial"/>
                <w:szCs w:val="24"/>
              </w:rPr>
              <w:t>3. Cognitive</w:t>
            </w:r>
          </w:p>
        </w:tc>
        <w:tc>
          <w:tcPr>
            <w:tcW w:w="7796" w:type="dxa"/>
          </w:tcPr>
          <w:p w:rsidR="00640E3E" w:rsidRPr="000E4682" w:rsidRDefault="00640E3E" w:rsidP="0061087F">
            <w:pPr>
              <w:rPr>
                <w:rFonts w:cs="Arial"/>
                <w:szCs w:val="24"/>
              </w:rPr>
            </w:pPr>
            <w:r w:rsidRPr="000E4682">
              <w:rPr>
                <w:rFonts w:cs="Arial"/>
                <w:szCs w:val="24"/>
              </w:rPr>
              <w:t>Pain Self Efficacy Questionnaire (PSEQ)</w:t>
            </w:r>
          </w:p>
          <w:p w:rsidR="00640E3E" w:rsidRPr="000E4682" w:rsidRDefault="00640E3E" w:rsidP="0061087F">
            <w:pPr>
              <w:rPr>
                <w:rFonts w:cs="Arial"/>
                <w:szCs w:val="24"/>
              </w:rPr>
            </w:pPr>
            <w:r w:rsidRPr="000E4682">
              <w:rPr>
                <w:rFonts w:cs="Arial"/>
                <w:szCs w:val="24"/>
              </w:rPr>
              <w:t>Pain Catastrophising Scale (PCS)</w:t>
            </w:r>
          </w:p>
        </w:tc>
      </w:tr>
      <w:tr w:rsidR="00640E3E" w:rsidRPr="000E4682" w:rsidTr="009306DB">
        <w:trPr>
          <w:trHeight w:val="439"/>
        </w:trPr>
        <w:tc>
          <w:tcPr>
            <w:tcW w:w="2127" w:type="dxa"/>
          </w:tcPr>
          <w:p w:rsidR="00640E3E" w:rsidRPr="000E4682" w:rsidRDefault="00640E3E" w:rsidP="0061087F">
            <w:pPr>
              <w:rPr>
                <w:rFonts w:cs="Arial"/>
                <w:szCs w:val="24"/>
              </w:rPr>
            </w:pPr>
            <w:r w:rsidRPr="000E4682">
              <w:rPr>
                <w:rFonts w:cs="Arial"/>
                <w:szCs w:val="24"/>
              </w:rPr>
              <w:t>4. Mood</w:t>
            </w:r>
          </w:p>
        </w:tc>
        <w:tc>
          <w:tcPr>
            <w:tcW w:w="7796" w:type="dxa"/>
          </w:tcPr>
          <w:p w:rsidR="00640E3E" w:rsidRPr="000E4682" w:rsidRDefault="00640E3E" w:rsidP="0061087F">
            <w:pPr>
              <w:rPr>
                <w:rFonts w:cs="Arial"/>
                <w:szCs w:val="24"/>
              </w:rPr>
            </w:pPr>
            <w:r w:rsidRPr="000E4682">
              <w:rPr>
                <w:rFonts w:cs="Arial"/>
                <w:szCs w:val="24"/>
              </w:rPr>
              <w:t>Depression Anxiety and Stress Scale (DASS 21)</w:t>
            </w:r>
          </w:p>
        </w:tc>
      </w:tr>
      <w:tr w:rsidR="00640E3E" w:rsidRPr="000E4682" w:rsidTr="009306DB">
        <w:trPr>
          <w:trHeight w:val="702"/>
        </w:trPr>
        <w:tc>
          <w:tcPr>
            <w:tcW w:w="2127" w:type="dxa"/>
          </w:tcPr>
          <w:p w:rsidR="00640E3E" w:rsidRPr="000E4682" w:rsidRDefault="00640E3E" w:rsidP="0061087F">
            <w:pPr>
              <w:rPr>
                <w:rFonts w:cs="Arial"/>
                <w:szCs w:val="24"/>
              </w:rPr>
            </w:pPr>
            <w:r w:rsidRPr="000E4682">
              <w:rPr>
                <w:rFonts w:cs="Arial"/>
                <w:szCs w:val="24"/>
              </w:rPr>
              <w:t>5. Healthcare utilisation</w:t>
            </w:r>
          </w:p>
        </w:tc>
        <w:tc>
          <w:tcPr>
            <w:tcW w:w="7796" w:type="dxa"/>
          </w:tcPr>
          <w:p w:rsidR="00640E3E" w:rsidRPr="000E4682" w:rsidRDefault="00640E3E" w:rsidP="0061087F">
            <w:pPr>
              <w:rPr>
                <w:rFonts w:cs="Arial"/>
                <w:szCs w:val="24"/>
              </w:rPr>
            </w:pPr>
            <w:r w:rsidRPr="000E4682">
              <w:rPr>
                <w:rFonts w:cs="Arial"/>
                <w:szCs w:val="24"/>
              </w:rPr>
              <w:t>Utilisation over 3 months (GP, specialist, other health professional, emergency department, inpatient days)</w:t>
            </w:r>
          </w:p>
        </w:tc>
      </w:tr>
      <w:tr w:rsidR="00640E3E" w:rsidRPr="000E4682" w:rsidTr="009306DB">
        <w:trPr>
          <w:trHeight w:val="877"/>
        </w:trPr>
        <w:tc>
          <w:tcPr>
            <w:tcW w:w="2127" w:type="dxa"/>
          </w:tcPr>
          <w:p w:rsidR="00640E3E" w:rsidRPr="000E4682" w:rsidRDefault="00640E3E" w:rsidP="0061087F">
            <w:pPr>
              <w:rPr>
                <w:rFonts w:cs="Arial"/>
                <w:szCs w:val="24"/>
              </w:rPr>
            </w:pPr>
            <w:r w:rsidRPr="000E4682">
              <w:rPr>
                <w:rFonts w:cs="Arial"/>
                <w:szCs w:val="24"/>
              </w:rPr>
              <w:t>6. Medication</w:t>
            </w:r>
          </w:p>
        </w:tc>
        <w:tc>
          <w:tcPr>
            <w:tcW w:w="7796" w:type="dxa"/>
          </w:tcPr>
          <w:p w:rsidR="00640E3E" w:rsidRPr="000E4682" w:rsidRDefault="00640E3E" w:rsidP="0061087F">
            <w:pPr>
              <w:rPr>
                <w:rFonts w:cs="Arial"/>
                <w:szCs w:val="24"/>
              </w:rPr>
            </w:pPr>
            <w:r w:rsidRPr="000E4682">
              <w:rPr>
                <w:rFonts w:cs="Arial"/>
                <w:szCs w:val="24"/>
              </w:rPr>
              <w:t>Daily oral morphine equivalent</w:t>
            </w:r>
          </w:p>
          <w:p w:rsidR="00640E3E" w:rsidRPr="000E4682" w:rsidRDefault="00640E3E" w:rsidP="0061087F">
            <w:pPr>
              <w:rPr>
                <w:rFonts w:cs="Arial"/>
                <w:szCs w:val="24"/>
              </w:rPr>
            </w:pPr>
            <w:r w:rsidRPr="000E4682">
              <w:rPr>
                <w:rFonts w:cs="Arial"/>
                <w:szCs w:val="24"/>
              </w:rPr>
              <w:t>Number of “analgesic” groups (x / 7)</w:t>
            </w:r>
          </w:p>
        </w:tc>
      </w:tr>
      <w:tr w:rsidR="00640E3E" w:rsidRPr="000E4682" w:rsidTr="009306DB">
        <w:trPr>
          <w:trHeight w:val="941"/>
        </w:trPr>
        <w:tc>
          <w:tcPr>
            <w:tcW w:w="2127" w:type="dxa"/>
          </w:tcPr>
          <w:p w:rsidR="00640E3E" w:rsidRPr="000E4682" w:rsidRDefault="00640E3E" w:rsidP="0061087F">
            <w:pPr>
              <w:rPr>
                <w:rFonts w:cs="Arial"/>
                <w:szCs w:val="24"/>
              </w:rPr>
            </w:pPr>
            <w:r w:rsidRPr="000E4682">
              <w:rPr>
                <w:rFonts w:cs="Arial"/>
                <w:szCs w:val="24"/>
              </w:rPr>
              <w:t>7. Demographics</w:t>
            </w:r>
          </w:p>
        </w:tc>
        <w:tc>
          <w:tcPr>
            <w:tcW w:w="7796" w:type="dxa"/>
          </w:tcPr>
          <w:p w:rsidR="00640E3E" w:rsidRPr="000E4682" w:rsidRDefault="00640E3E" w:rsidP="0061087F">
            <w:pPr>
              <w:rPr>
                <w:rFonts w:cs="Arial"/>
                <w:szCs w:val="24"/>
              </w:rPr>
            </w:pPr>
            <w:r w:rsidRPr="000E4682">
              <w:rPr>
                <w:rFonts w:cs="Arial"/>
                <w:szCs w:val="24"/>
              </w:rPr>
              <w:t>Postcode, N</w:t>
            </w:r>
            <w:r w:rsidR="00C612A1">
              <w:rPr>
                <w:rFonts w:cs="Arial"/>
                <w:szCs w:val="24"/>
              </w:rPr>
              <w:t>on English Speaking Background (N</w:t>
            </w:r>
            <w:r w:rsidRPr="000E4682">
              <w:rPr>
                <w:rFonts w:cs="Arial"/>
                <w:szCs w:val="24"/>
              </w:rPr>
              <w:t>ESB</w:t>
            </w:r>
            <w:r w:rsidR="00C612A1">
              <w:rPr>
                <w:rFonts w:cs="Arial"/>
                <w:szCs w:val="24"/>
              </w:rPr>
              <w:t>)</w:t>
            </w:r>
            <w:r w:rsidRPr="000E4682">
              <w:rPr>
                <w:rFonts w:cs="Arial"/>
                <w:szCs w:val="24"/>
              </w:rPr>
              <w:t>, indigenous, age, gender, site(s), duration, work status, body mass index, multiple morbidities, sight and hearing impairments, literacy</w:t>
            </w:r>
          </w:p>
        </w:tc>
      </w:tr>
      <w:tr w:rsidR="00640E3E" w:rsidRPr="000E4682" w:rsidTr="009306DB">
        <w:trPr>
          <w:trHeight w:val="551"/>
        </w:trPr>
        <w:tc>
          <w:tcPr>
            <w:tcW w:w="2127" w:type="dxa"/>
          </w:tcPr>
          <w:p w:rsidR="00640E3E" w:rsidRPr="000E4682" w:rsidRDefault="00640E3E" w:rsidP="0061087F">
            <w:pPr>
              <w:rPr>
                <w:rFonts w:cs="Arial"/>
                <w:szCs w:val="24"/>
              </w:rPr>
            </w:pPr>
            <w:r w:rsidRPr="000E4682">
              <w:rPr>
                <w:rFonts w:cs="Arial"/>
                <w:szCs w:val="24"/>
              </w:rPr>
              <w:t xml:space="preserve">8. Service activity profile </w:t>
            </w:r>
          </w:p>
        </w:tc>
        <w:tc>
          <w:tcPr>
            <w:tcW w:w="7796" w:type="dxa"/>
          </w:tcPr>
          <w:p w:rsidR="00640E3E" w:rsidRPr="000E4682" w:rsidRDefault="00640E3E" w:rsidP="0061087F">
            <w:pPr>
              <w:rPr>
                <w:rFonts w:cs="Arial"/>
                <w:szCs w:val="24"/>
              </w:rPr>
            </w:pPr>
            <w:r w:rsidRPr="000E4682">
              <w:rPr>
                <w:rFonts w:cs="Arial"/>
                <w:szCs w:val="24"/>
              </w:rPr>
              <w:t xml:space="preserve">Referral rate, clinical sessions, telehealth, waiting times (referral to pre-assessment group or individual clinic assessment), ratio new </w:t>
            </w:r>
            <w:r w:rsidR="0015341A">
              <w:rPr>
                <w:rFonts w:cs="Arial"/>
                <w:szCs w:val="24"/>
              </w:rPr>
              <w:t xml:space="preserve">/ </w:t>
            </w:r>
            <w:r w:rsidRPr="000E4682">
              <w:rPr>
                <w:rFonts w:cs="Arial"/>
                <w:szCs w:val="24"/>
              </w:rPr>
              <w:t xml:space="preserve">review </w:t>
            </w:r>
            <w:r w:rsidR="00C87034">
              <w:rPr>
                <w:rFonts w:cs="Arial"/>
                <w:szCs w:val="24"/>
              </w:rPr>
              <w:t>a</w:t>
            </w:r>
            <w:r w:rsidRPr="000E4682">
              <w:rPr>
                <w:rFonts w:cs="Arial"/>
                <w:szCs w:val="24"/>
              </w:rPr>
              <w:t>ppointments</w:t>
            </w:r>
          </w:p>
        </w:tc>
      </w:tr>
      <w:tr w:rsidR="00640E3E" w:rsidRPr="000E4682" w:rsidTr="009306DB">
        <w:trPr>
          <w:trHeight w:val="515"/>
        </w:trPr>
        <w:tc>
          <w:tcPr>
            <w:tcW w:w="2127" w:type="dxa"/>
          </w:tcPr>
          <w:p w:rsidR="00640E3E" w:rsidRPr="000E4682" w:rsidRDefault="00640E3E" w:rsidP="0061087F">
            <w:pPr>
              <w:rPr>
                <w:rFonts w:cs="Arial"/>
                <w:szCs w:val="24"/>
              </w:rPr>
            </w:pPr>
            <w:r w:rsidRPr="000E4682">
              <w:rPr>
                <w:rFonts w:cs="Arial"/>
                <w:szCs w:val="24"/>
              </w:rPr>
              <w:t>9. Treatments</w:t>
            </w:r>
          </w:p>
        </w:tc>
        <w:tc>
          <w:tcPr>
            <w:tcW w:w="7796" w:type="dxa"/>
          </w:tcPr>
          <w:p w:rsidR="00640E3E" w:rsidRPr="000E4682" w:rsidRDefault="00640E3E" w:rsidP="0061087F">
            <w:pPr>
              <w:rPr>
                <w:rFonts w:cs="Arial"/>
                <w:szCs w:val="24"/>
              </w:rPr>
            </w:pPr>
            <w:r w:rsidRPr="000E4682">
              <w:rPr>
                <w:rFonts w:cs="Arial"/>
                <w:szCs w:val="24"/>
              </w:rPr>
              <w:t>Individual, group, inpatient – disciplines, procedures, contact hours</w:t>
            </w:r>
          </w:p>
        </w:tc>
      </w:tr>
    </w:tbl>
    <w:p w:rsidR="009306DB" w:rsidRDefault="009306DB" w:rsidP="0061087F">
      <w:pPr>
        <w:autoSpaceDE w:val="0"/>
        <w:autoSpaceDN w:val="0"/>
        <w:adjustRightInd w:val="0"/>
        <w:spacing w:before="120"/>
        <w:rPr>
          <w:rFonts w:eastAsiaTheme="minorHAnsi" w:cs="Arial"/>
          <w:b/>
          <w:iCs/>
          <w:color w:val="FFFFFF"/>
          <w:szCs w:val="24"/>
          <w:lang w:val="en-NZ"/>
        </w:rPr>
      </w:pPr>
      <w:r>
        <w:t>Note: This dataset excludes children, a separate data set is being developed.</w:t>
      </w:r>
    </w:p>
    <w:p w:rsidR="00C612A1" w:rsidRPr="00C612A1" w:rsidRDefault="00C612A1" w:rsidP="001836AF">
      <w:pPr>
        <w:spacing w:before="120"/>
        <w:jc w:val="both"/>
        <w:rPr>
          <w:rFonts w:cs="Arial"/>
          <w:b/>
          <w:szCs w:val="24"/>
        </w:rPr>
      </w:pPr>
      <w:r w:rsidRPr="00C612A1">
        <w:rPr>
          <w:rFonts w:cs="Arial"/>
          <w:b/>
          <w:szCs w:val="24"/>
        </w:rPr>
        <w:t>Reporting frequency</w:t>
      </w:r>
    </w:p>
    <w:p w:rsidR="00640E3E" w:rsidRPr="000E4682" w:rsidRDefault="00640E3E" w:rsidP="00BF66E0">
      <w:pPr>
        <w:spacing w:before="120"/>
        <w:rPr>
          <w:rFonts w:cs="Arial"/>
          <w:szCs w:val="24"/>
        </w:rPr>
      </w:pPr>
      <w:r w:rsidRPr="000E4682">
        <w:rPr>
          <w:rFonts w:cs="Arial"/>
          <w:szCs w:val="24"/>
        </w:rPr>
        <w:t xml:space="preserve">Data will be collected at baseline (referral), at initial clinic assessment, then at 3 and 6 months post assessment. A </w:t>
      </w:r>
      <w:r w:rsidR="00504493">
        <w:rPr>
          <w:rFonts w:cs="Arial"/>
          <w:szCs w:val="24"/>
        </w:rPr>
        <w:t>‘</w:t>
      </w:r>
      <w:r w:rsidRPr="000E4682">
        <w:rPr>
          <w:rFonts w:cs="Arial"/>
          <w:szCs w:val="24"/>
        </w:rPr>
        <w:t>snap shot</w:t>
      </w:r>
      <w:r w:rsidR="00504493">
        <w:rPr>
          <w:rFonts w:cs="Arial"/>
          <w:szCs w:val="24"/>
        </w:rPr>
        <w:t>’</w:t>
      </w:r>
      <w:r w:rsidRPr="000E4682">
        <w:rPr>
          <w:rFonts w:cs="Arial"/>
          <w:szCs w:val="24"/>
        </w:rPr>
        <w:t xml:space="preserve"> capability will allow more detailed analysis for a time limited period eg. a focus on the impact of co-morbidities for 12 months. </w:t>
      </w:r>
    </w:p>
    <w:p w:rsidR="009306DB" w:rsidRDefault="00C612A1" w:rsidP="00BF66E0">
      <w:pPr>
        <w:spacing w:before="120"/>
        <w:rPr>
          <w:rFonts w:cs="Arial"/>
          <w:b/>
          <w:szCs w:val="24"/>
        </w:rPr>
      </w:pPr>
      <w:r w:rsidRPr="00C612A1">
        <w:rPr>
          <w:rFonts w:cs="Arial"/>
          <w:b/>
          <w:szCs w:val="24"/>
        </w:rPr>
        <w:t>Benchmarking resources</w:t>
      </w:r>
    </w:p>
    <w:p w:rsidR="005A3478" w:rsidRPr="000E4682" w:rsidRDefault="00640E3E" w:rsidP="00BF66E0">
      <w:pPr>
        <w:spacing w:before="120"/>
        <w:rPr>
          <w:rFonts w:eastAsiaTheme="minorHAnsi" w:cs="Arial"/>
          <w:b/>
          <w:iCs/>
          <w:color w:val="FFFFFF"/>
          <w:szCs w:val="24"/>
          <w:lang w:val="en-NZ"/>
        </w:rPr>
      </w:pPr>
      <w:r w:rsidRPr="000E4682">
        <w:rPr>
          <w:rFonts w:cs="Arial"/>
          <w:szCs w:val="24"/>
        </w:rPr>
        <w:t>Examples of existing benchmarking systems with relevance to pain medicine include the Palliative Care Outcome Centre (PCOC) and Australian Rehabilitation Outcome Centre (AROC).</w:t>
      </w:r>
      <w:r w:rsidR="005A3478" w:rsidRPr="000E4682">
        <w:rPr>
          <w:rFonts w:eastAsiaTheme="minorHAnsi" w:cs="Arial"/>
          <w:b/>
          <w:iCs/>
          <w:color w:val="FFFFFF"/>
          <w:szCs w:val="24"/>
          <w:lang w:val="en-NZ"/>
        </w:rPr>
        <w:br w:type="page"/>
      </w:r>
    </w:p>
    <w:p w:rsidR="00DC0F4B" w:rsidRPr="00AA6DC7" w:rsidRDefault="00FA67B0" w:rsidP="00DC0F4B">
      <w:pPr>
        <w:pStyle w:val="BodyText"/>
        <w:ind w:left="0"/>
        <w:rPr>
          <w:rStyle w:val="Emphasis"/>
          <w:i w:val="0"/>
          <w:sz w:val="28"/>
          <w:szCs w:val="28"/>
        </w:rPr>
      </w:pPr>
      <w:r w:rsidRPr="00AA6DC7">
        <w:rPr>
          <w:rStyle w:val="Emphasis"/>
          <w:i w:val="0"/>
          <w:sz w:val="28"/>
          <w:szCs w:val="28"/>
        </w:rPr>
        <w:lastRenderedPageBreak/>
        <w:t xml:space="preserve">Appendix 2 </w:t>
      </w:r>
      <w:r w:rsidR="00376E98">
        <w:rPr>
          <w:rStyle w:val="Emphasis"/>
          <w:i w:val="0"/>
          <w:sz w:val="28"/>
          <w:szCs w:val="28"/>
        </w:rPr>
        <w:t xml:space="preserve">Assessment and Treatment </w:t>
      </w:r>
      <w:r w:rsidR="00C87034">
        <w:rPr>
          <w:rStyle w:val="Emphasis"/>
          <w:i w:val="0"/>
          <w:sz w:val="28"/>
          <w:szCs w:val="28"/>
        </w:rPr>
        <w:t xml:space="preserve">Services </w:t>
      </w:r>
      <w:r w:rsidRPr="00AA6DC7">
        <w:rPr>
          <w:rStyle w:val="Emphasis"/>
          <w:i w:val="0"/>
          <w:sz w:val="28"/>
          <w:szCs w:val="28"/>
        </w:rPr>
        <w:t xml:space="preserve">Provided by the </w:t>
      </w:r>
      <w:r w:rsidR="00C87034">
        <w:rPr>
          <w:rStyle w:val="Emphasis"/>
          <w:i w:val="0"/>
          <w:sz w:val="28"/>
          <w:szCs w:val="28"/>
        </w:rPr>
        <w:t xml:space="preserve">Pain Management Service </w:t>
      </w:r>
    </w:p>
    <w:p w:rsidR="00DC0F4B" w:rsidRPr="00BE37B6" w:rsidRDefault="00DC0F4B" w:rsidP="00504493">
      <w:pPr>
        <w:pStyle w:val="BodyText"/>
        <w:ind w:left="0"/>
        <w:rPr>
          <w:rStyle w:val="Emphasis"/>
        </w:rPr>
      </w:pPr>
      <w:r w:rsidRPr="00BE37B6">
        <w:rPr>
          <w:rStyle w:val="Emphasis"/>
        </w:rPr>
        <w:t>Assessment</w:t>
      </w:r>
    </w:p>
    <w:p w:rsidR="00DC0F4B" w:rsidRPr="000E4682" w:rsidRDefault="00DC0F4B" w:rsidP="00504493">
      <w:pPr>
        <w:pStyle w:val="Heading3"/>
        <w:numPr>
          <w:ilvl w:val="0"/>
          <w:numId w:val="0"/>
        </w:numPr>
        <w:ind w:left="454" w:hanging="170"/>
      </w:pPr>
      <w:r w:rsidRPr="000E4682">
        <w:t xml:space="preserve">First </w:t>
      </w:r>
      <w:r w:rsidR="00003202">
        <w:t xml:space="preserve">Specialist </w:t>
      </w:r>
      <w:r w:rsidRPr="000E4682">
        <w:t>A</w:t>
      </w:r>
      <w:r>
        <w:t>ssess</w:t>
      </w:r>
      <w:r w:rsidRPr="000E4682">
        <w:t>ment (PC0001)</w:t>
      </w:r>
    </w:p>
    <w:p w:rsidR="00DC0F4B" w:rsidRPr="000E4682" w:rsidRDefault="00003202" w:rsidP="00DC0F4B">
      <w:pPr>
        <w:pStyle w:val="BodyText"/>
      </w:pPr>
      <w:r>
        <w:t>Clinical assessment that i</w:t>
      </w:r>
      <w:r w:rsidR="00DC0F4B">
        <w:t>ncludes d</w:t>
      </w:r>
      <w:r w:rsidR="00DC0F4B" w:rsidRPr="000E4682">
        <w:t xml:space="preserve">iscussion of care options and alternatives with the </w:t>
      </w:r>
      <w:r w:rsidR="00DC0F4B">
        <w:t>Service User</w:t>
      </w:r>
      <w:r w:rsidR="00DC0F4B" w:rsidRPr="000E4682">
        <w:t xml:space="preserve"> and formulation of a </w:t>
      </w:r>
      <w:r w:rsidR="00DC0F4B">
        <w:t>M</w:t>
      </w:r>
      <w:r w:rsidR="00DC0F4B" w:rsidRPr="000E4682">
        <w:t xml:space="preserve">anagement </w:t>
      </w:r>
      <w:r w:rsidR="00DC0F4B">
        <w:t>P</w:t>
      </w:r>
      <w:r w:rsidR="00DC0F4B" w:rsidRPr="000E4682">
        <w:t>lan.</w:t>
      </w:r>
      <w:r w:rsidR="00DC0F4B">
        <w:t xml:space="preserve"> </w:t>
      </w:r>
      <w:r w:rsidR="00DC0F4B" w:rsidRPr="000E4682">
        <w:t>This may include referral for further clinical assessments and education surrounding pain and its management</w:t>
      </w:r>
      <w:r w:rsidR="00DC0F4B">
        <w:t>.</w:t>
      </w:r>
    </w:p>
    <w:p w:rsidR="00DC0F4B" w:rsidRPr="000E4682" w:rsidRDefault="00DC0F4B" w:rsidP="00504493">
      <w:pPr>
        <w:pStyle w:val="Heading3"/>
        <w:numPr>
          <w:ilvl w:val="0"/>
          <w:numId w:val="0"/>
        </w:numPr>
        <w:ind w:left="454" w:hanging="170"/>
      </w:pPr>
      <w:r w:rsidRPr="000E4682">
        <w:t xml:space="preserve">Follow-up Medical </w:t>
      </w:r>
      <w:r w:rsidRPr="00AF046F">
        <w:t>A</w:t>
      </w:r>
      <w:r>
        <w:t>ssessment</w:t>
      </w:r>
      <w:r w:rsidRPr="000E4682">
        <w:t xml:space="preserve"> </w:t>
      </w:r>
      <w:r w:rsidR="00304770">
        <w:t>(</w:t>
      </w:r>
      <w:r w:rsidRPr="000E4682">
        <w:t>PC0003)</w:t>
      </w:r>
    </w:p>
    <w:p w:rsidR="00DC0F4B" w:rsidRPr="000E4682" w:rsidRDefault="00DC0F4B" w:rsidP="00DC0F4B">
      <w:pPr>
        <w:pStyle w:val="BodyText"/>
      </w:pPr>
      <w:r>
        <w:t>A</w:t>
      </w:r>
      <w:r w:rsidRPr="000E4682">
        <w:t xml:space="preserve">ssessment of effectiveness of the </w:t>
      </w:r>
      <w:r>
        <w:t>M</w:t>
      </w:r>
      <w:r w:rsidRPr="000E4682">
        <w:t xml:space="preserve">anagement </w:t>
      </w:r>
      <w:r>
        <w:t>P</w:t>
      </w:r>
      <w:r w:rsidRPr="000E4682">
        <w:t xml:space="preserve">lan and </w:t>
      </w:r>
      <w:r>
        <w:t xml:space="preserve">assessment of </w:t>
      </w:r>
      <w:r w:rsidRPr="000E4682">
        <w:t>Service User</w:t>
      </w:r>
      <w:r>
        <w:t>’s</w:t>
      </w:r>
      <w:r w:rsidRPr="000E4682">
        <w:t xml:space="preserve"> education surrounding pain and its management.</w:t>
      </w:r>
      <w:r>
        <w:t xml:space="preserve"> </w:t>
      </w:r>
      <w:r w:rsidRPr="000E4682">
        <w:t>Review any further investigations ordered at initial assessment.</w:t>
      </w:r>
    </w:p>
    <w:p w:rsidR="00DC0F4B" w:rsidRPr="000E4682" w:rsidRDefault="00DC0F4B" w:rsidP="00504493">
      <w:pPr>
        <w:pStyle w:val="Heading3"/>
        <w:numPr>
          <w:ilvl w:val="0"/>
          <w:numId w:val="0"/>
        </w:numPr>
        <w:ind w:left="454" w:hanging="170"/>
      </w:pPr>
      <w:r w:rsidRPr="000E4682">
        <w:t>Inter</w:t>
      </w:r>
      <w:r w:rsidRPr="00AF046F">
        <w:t>disciplinary</w:t>
      </w:r>
      <w:r w:rsidRPr="000E4682">
        <w:t xml:space="preserve"> Comprehensive Pain Assessment </w:t>
      </w:r>
      <w:r w:rsidR="00304770">
        <w:t>(</w:t>
      </w:r>
      <w:r w:rsidRPr="000E4682">
        <w:t>PC0007)</w:t>
      </w:r>
    </w:p>
    <w:p w:rsidR="00DC0F4B" w:rsidRPr="000E4682" w:rsidRDefault="00DC0F4B" w:rsidP="00DC0F4B">
      <w:pPr>
        <w:pStyle w:val="BodyText"/>
      </w:pPr>
      <w:r>
        <w:t>A</w:t>
      </w:r>
      <w:r w:rsidRPr="000E4682">
        <w:t xml:space="preserve">ssessment by at least </w:t>
      </w:r>
      <w:r>
        <w:t xml:space="preserve">three IDT </w:t>
      </w:r>
      <w:r w:rsidRPr="000E4682">
        <w:t>members, including medical practitioner trained in Pain Medicine</w:t>
      </w:r>
      <w:r>
        <w:t>. The</w:t>
      </w:r>
      <w:r w:rsidRPr="000E4682">
        <w:t xml:space="preserve"> </w:t>
      </w:r>
      <w:r>
        <w:t>i</w:t>
      </w:r>
      <w:r w:rsidRPr="000E4682">
        <w:t xml:space="preserve">nterdisciplinary assessment will include </w:t>
      </w:r>
      <w:r>
        <w:t>bio</w:t>
      </w:r>
      <w:r w:rsidRPr="000E4682">
        <w:t>psychosocial</w:t>
      </w:r>
      <w:r>
        <w:t xml:space="preserve"> and </w:t>
      </w:r>
      <w:r w:rsidRPr="000E4682">
        <w:t xml:space="preserve">functioning of a Service User with persistent pain. </w:t>
      </w:r>
    </w:p>
    <w:p w:rsidR="00303A37" w:rsidRDefault="00303A37" w:rsidP="00303A37">
      <w:pPr>
        <w:pStyle w:val="BodyText"/>
      </w:pPr>
      <w:r>
        <w:t>R</w:t>
      </w:r>
      <w:r w:rsidRPr="000E4682">
        <w:t xml:space="preserve">ecommendations </w:t>
      </w:r>
      <w:r>
        <w:t xml:space="preserve">in the </w:t>
      </w:r>
      <w:r w:rsidR="00AA6DC7">
        <w:t xml:space="preserve">Pain Management Plan, </w:t>
      </w:r>
      <w:r w:rsidRPr="000E4682">
        <w:t>for further treatment and management of persistent pain</w:t>
      </w:r>
      <w:r w:rsidR="00AA6DC7">
        <w:t>,</w:t>
      </w:r>
      <w:r w:rsidRPr="000E4682">
        <w:t xml:space="preserve"> will be developed in partnership with the Service User and their family and / or whānau and /or carer.</w:t>
      </w:r>
      <w:r>
        <w:t xml:space="preserve"> </w:t>
      </w:r>
    </w:p>
    <w:p w:rsidR="00DC0F4B" w:rsidRPr="000E4682" w:rsidRDefault="00DC0F4B" w:rsidP="00504493">
      <w:pPr>
        <w:pStyle w:val="Heading3"/>
        <w:numPr>
          <w:ilvl w:val="0"/>
          <w:numId w:val="0"/>
        </w:numPr>
        <w:ind w:left="454" w:hanging="170"/>
      </w:pPr>
      <w:r w:rsidRPr="000E4682">
        <w:t xml:space="preserve">Psycho Social </w:t>
      </w:r>
      <w:r w:rsidR="0051336D">
        <w:t xml:space="preserve">First </w:t>
      </w:r>
      <w:r>
        <w:t>Assessment</w:t>
      </w:r>
      <w:r w:rsidR="0051336D">
        <w:t xml:space="preserve"> and Follow up</w:t>
      </w:r>
      <w:r w:rsidRPr="000E4682">
        <w:t xml:space="preserve"> (PC0010</w:t>
      </w:r>
      <w:r w:rsidR="00BC7356">
        <w:t xml:space="preserve"> and PC0016</w:t>
      </w:r>
      <w:r w:rsidRPr="000E4682">
        <w:t>)</w:t>
      </w:r>
    </w:p>
    <w:p w:rsidR="00DC0F4B" w:rsidRPr="000E4682" w:rsidRDefault="0051336D" w:rsidP="00DC0F4B">
      <w:pPr>
        <w:pStyle w:val="BodyText"/>
      </w:pPr>
      <w:r>
        <w:t>A</w:t>
      </w:r>
      <w:r w:rsidR="00DC0F4B" w:rsidRPr="000E4682">
        <w:t xml:space="preserve">ssessment </w:t>
      </w:r>
      <w:r>
        <w:t xml:space="preserve">or reassessment </w:t>
      </w:r>
      <w:r w:rsidR="00DC0F4B">
        <w:t>b</w:t>
      </w:r>
      <w:r w:rsidR="00DC0F4B" w:rsidRPr="000E4682">
        <w:t xml:space="preserve">y </w:t>
      </w:r>
      <w:r w:rsidR="00DC0F4B">
        <w:t>a registered health practitioner with appropriate training</w:t>
      </w:r>
      <w:r w:rsidR="00E12AC1">
        <w:t>.</w:t>
      </w:r>
      <w:r w:rsidR="00DC0F4B" w:rsidRPr="000E4682">
        <w:t xml:space="preserve"> </w:t>
      </w:r>
      <w:r w:rsidR="00E12AC1">
        <w:t>R</w:t>
      </w:r>
      <w:r w:rsidR="00DC0F4B" w:rsidRPr="000E4682">
        <w:t>eview of mood symptoms or other psychological and social features associated with a pain condition.</w:t>
      </w:r>
      <w:r w:rsidR="00DC0F4B">
        <w:t xml:space="preserve"> </w:t>
      </w:r>
      <w:r w:rsidR="00DC0F4B" w:rsidRPr="000E4682">
        <w:t>Includes the review of history, current presentation and may introduce psychological management</w:t>
      </w:r>
      <w:r w:rsidR="00DC0F4B">
        <w:t>.</w:t>
      </w:r>
    </w:p>
    <w:p w:rsidR="00DC0F4B" w:rsidRDefault="00202609" w:rsidP="00504493">
      <w:pPr>
        <w:pStyle w:val="Heading3"/>
        <w:numPr>
          <w:ilvl w:val="0"/>
          <w:numId w:val="0"/>
        </w:numPr>
        <w:ind w:left="454" w:hanging="170"/>
      </w:pPr>
      <w:r>
        <w:t xml:space="preserve">Pain </w:t>
      </w:r>
      <w:r w:rsidR="00DC0F4B" w:rsidRPr="000E4682">
        <w:t>Functional Assessment (PC00</w:t>
      </w:r>
      <w:r w:rsidR="00DC6EC1">
        <w:t>20</w:t>
      </w:r>
      <w:r w:rsidR="00DC0F4B">
        <w:t>)</w:t>
      </w:r>
    </w:p>
    <w:p w:rsidR="00DC0F4B" w:rsidRDefault="00DC0F4B" w:rsidP="00DC0F4B">
      <w:pPr>
        <w:pStyle w:val="BodyText"/>
      </w:pPr>
      <w:r w:rsidRPr="000E4682">
        <w:t>Assessment of the Service User’s current functional abilities / limitations and engagement in life activities, including baseline level of participation in valued life activities across domains of self-care, leisure and work.</w:t>
      </w:r>
      <w:r>
        <w:t xml:space="preserve"> </w:t>
      </w:r>
      <w:r w:rsidRPr="000E4682">
        <w:t>Factors contributing to current level of function, including approach to activity, pacing, activity management and lifesty</w:t>
      </w:r>
      <w:r>
        <w:t>le balance are to be addressed.</w:t>
      </w:r>
    </w:p>
    <w:p w:rsidR="00DC0F4B" w:rsidRPr="000E4682" w:rsidRDefault="00DC0F4B" w:rsidP="00DC0F4B">
      <w:pPr>
        <w:pStyle w:val="BodyText"/>
      </w:pPr>
      <w:r w:rsidRPr="000E4682">
        <w:t>Physiotherapist and</w:t>
      </w:r>
      <w:r w:rsidR="00AA6DC7">
        <w:t xml:space="preserve"> </w:t>
      </w:r>
      <w:r>
        <w:t>/</w:t>
      </w:r>
      <w:r w:rsidR="00AA6DC7">
        <w:t xml:space="preserve"> </w:t>
      </w:r>
      <w:r>
        <w:t>or</w:t>
      </w:r>
      <w:r w:rsidRPr="000E4682">
        <w:t xml:space="preserve"> Occupational Therapist </w:t>
      </w:r>
      <w:r>
        <w:t>may</w:t>
      </w:r>
      <w:r w:rsidRPr="000E4682">
        <w:t xml:space="preserve"> both be involved to adequately identify current physical function and participation in life activities, including baseline measurement and to inform formulation of goals for the rehabilitation plan (to optimise </w:t>
      </w:r>
      <w:r>
        <w:t>S</w:t>
      </w:r>
      <w:r w:rsidRPr="000E4682">
        <w:t xml:space="preserve">ervice </w:t>
      </w:r>
      <w:r>
        <w:t>U</w:t>
      </w:r>
      <w:r w:rsidRPr="000E4682">
        <w:t>ser</w:t>
      </w:r>
      <w:r>
        <w:t>’s</w:t>
      </w:r>
      <w:r w:rsidRPr="000E4682">
        <w:t xml:space="preserve"> engagement in treatment and to </w:t>
      </w:r>
      <w:r>
        <w:t>maximise measurable outcomes).</w:t>
      </w:r>
    </w:p>
    <w:p w:rsidR="00A81BE0" w:rsidRDefault="00202609" w:rsidP="00A81BE0">
      <w:pPr>
        <w:pStyle w:val="Heading3"/>
        <w:numPr>
          <w:ilvl w:val="0"/>
          <w:numId w:val="0"/>
        </w:numPr>
        <w:ind w:left="454" w:hanging="170"/>
      </w:pPr>
      <w:r>
        <w:t xml:space="preserve">Pain </w:t>
      </w:r>
      <w:r w:rsidR="00A81BE0">
        <w:t>Physical</w:t>
      </w:r>
      <w:r w:rsidR="00A81BE0" w:rsidRPr="000E4682">
        <w:t xml:space="preserve"> Assessment</w:t>
      </w:r>
      <w:r w:rsidR="00AD1FDB">
        <w:t xml:space="preserve"> (</w:t>
      </w:r>
      <w:r>
        <w:t xml:space="preserve">new code </w:t>
      </w:r>
      <w:r w:rsidR="00A876D8" w:rsidRPr="00A876D8">
        <w:t>PC00</w:t>
      </w:r>
      <w:r w:rsidR="00DC6EC1">
        <w:t>21</w:t>
      </w:r>
      <w:r>
        <w:t xml:space="preserve">, previously a sub set of </w:t>
      </w:r>
      <w:r w:rsidR="00AD1FDB">
        <w:t>PC0011)</w:t>
      </w:r>
    </w:p>
    <w:p w:rsidR="00A81BE0" w:rsidRPr="00230356" w:rsidRDefault="00A81BE0" w:rsidP="00A81BE0">
      <w:pPr>
        <w:ind w:left="284"/>
      </w:pPr>
      <w:r>
        <w:t>Assessment of physical capacity and Kinesiophobia (fear avoidance)</w:t>
      </w:r>
      <w:r w:rsidRPr="00A81BE0">
        <w:t xml:space="preserve"> </w:t>
      </w:r>
      <w:r>
        <w:t xml:space="preserve">by a pain physiotherapist. Formulation of management plan. </w:t>
      </w:r>
    </w:p>
    <w:p w:rsidR="00C87034" w:rsidRPr="00C87034" w:rsidRDefault="00C87034" w:rsidP="00504493">
      <w:pPr>
        <w:pStyle w:val="Heading3"/>
        <w:numPr>
          <w:ilvl w:val="0"/>
          <w:numId w:val="0"/>
        </w:numPr>
        <w:rPr>
          <w:i/>
        </w:rPr>
      </w:pPr>
      <w:r w:rsidRPr="00C87034">
        <w:rPr>
          <w:i/>
        </w:rPr>
        <w:lastRenderedPageBreak/>
        <w:t>Treatment</w:t>
      </w:r>
    </w:p>
    <w:p w:rsidR="00A2010F" w:rsidRDefault="00A2010F" w:rsidP="00A2010F">
      <w:pPr>
        <w:pStyle w:val="Heading3"/>
        <w:numPr>
          <w:ilvl w:val="0"/>
          <w:numId w:val="0"/>
        </w:numPr>
        <w:ind w:left="454" w:hanging="170"/>
      </w:pPr>
      <w:r>
        <w:t>Pain Individual therapy session (PC0017)</w:t>
      </w:r>
    </w:p>
    <w:p w:rsidR="00DC0F4B" w:rsidRPr="000E4682" w:rsidRDefault="00DC0F4B" w:rsidP="00A2010F">
      <w:pPr>
        <w:pStyle w:val="Heading3"/>
        <w:numPr>
          <w:ilvl w:val="0"/>
          <w:numId w:val="0"/>
        </w:numPr>
        <w:ind w:left="454"/>
      </w:pPr>
      <w:r>
        <w:t>Fun</w:t>
      </w:r>
      <w:r w:rsidR="00B462E9">
        <w:t>c</w:t>
      </w:r>
      <w:r>
        <w:t>tional</w:t>
      </w:r>
      <w:r w:rsidRPr="000E4682">
        <w:t xml:space="preserve"> </w:t>
      </w:r>
      <w:r>
        <w:t>therapy sessions</w:t>
      </w:r>
      <w:r w:rsidR="00AD1FDB" w:rsidRPr="00AD1FDB">
        <w:t xml:space="preserve"> </w:t>
      </w:r>
    </w:p>
    <w:p w:rsidR="00DC0F4B" w:rsidRPr="000E4682" w:rsidRDefault="00DC0F4B" w:rsidP="00A2010F">
      <w:pPr>
        <w:pStyle w:val="BodyText"/>
        <w:ind w:left="454"/>
      </w:pPr>
      <w:r>
        <w:t>Functional treatment</w:t>
      </w:r>
      <w:r w:rsidR="00B462E9">
        <w:t>,</w:t>
      </w:r>
      <w:r>
        <w:t xml:space="preserve"> according to </w:t>
      </w:r>
      <w:r w:rsidRPr="000E4682">
        <w:t>the</w:t>
      </w:r>
      <w:r w:rsidR="00B462E9">
        <w:t xml:space="preserve"> Service U</w:t>
      </w:r>
      <w:r>
        <w:t>ser’s</w:t>
      </w:r>
      <w:r w:rsidRPr="000E4682">
        <w:t xml:space="preserve"> </w:t>
      </w:r>
      <w:r>
        <w:t>management plan</w:t>
      </w:r>
      <w:r w:rsidR="00B462E9">
        <w:t>,</w:t>
      </w:r>
      <w:r>
        <w:t xml:space="preserve"> by physiotherapist and/or occupational therapist.</w:t>
      </w:r>
    </w:p>
    <w:p w:rsidR="00DC0F4B" w:rsidRPr="000E4682" w:rsidRDefault="00DC0F4B" w:rsidP="00A2010F">
      <w:pPr>
        <w:pStyle w:val="Heading3"/>
        <w:numPr>
          <w:ilvl w:val="0"/>
          <w:numId w:val="0"/>
        </w:numPr>
        <w:ind w:left="454"/>
      </w:pPr>
      <w:r w:rsidRPr="000E4682">
        <w:t xml:space="preserve">Psycho-Social </w:t>
      </w:r>
      <w:r>
        <w:t>therapy session</w:t>
      </w:r>
      <w:r w:rsidR="00B452BA">
        <w:t>s</w:t>
      </w:r>
      <w:r w:rsidR="00AD1FDB">
        <w:t xml:space="preserve"> </w:t>
      </w:r>
    </w:p>
    <w:p w:rsidR="00DC0F4B" w:rsidRDefault="00DC0F4B" w:rsidP="00A2010F">
      <w:pPr>
        <w:pStyle w:val="BodyText"/>
        <w:ind w:left="454"/>
      </w:pPr>
      <w:r>
        <w:t xml:space="preserve">Psychosocial treatment according to </w:t>
      </w:r>
      <w:r w:rsidRPr="000E4682">
        <w:t>the</w:t>
      </w:r>
      <w:r>
        <w:t xml:space="preserve"> Service user’s</w:t>
      </w:r>
      <w:r w:rsidRPr="000E4682">
        <w:t xml:space="preserve"> management plan</w:t>
      </w:r>
      <w:r w:rsidR="00653588">
        <w:t>.</w:t>
      </w:r>
      <w:r w:rsidRPr="000E4682">
        <w:t xml:space="preserve"> </w:t>
      </w:r>
      <w:r w:rsidR="00653588" w:rsidRPr="00653588">
        <w:t>Therapy session provided by a psychiatrist, medical officer at registrar level or above, or Clinical/ Health Psychologist , Occupational Therapist or Nurse Practitioner trained in psychosocial therapy.</w:t>
      </w:r>
    </w:p>
    <w:p w:rsidR="00653588" w:rsidRPr="00653588" w:rsidRDefault="00653588" w:rsidP="00A2010F">
      <w:pPr>
        <w:pStyle w:val="BodyText"/>
        <w:ind w:firstLine="170"/>
        <w:rPr>
          <w:b/>
        </w:rPr>
      </w:pPr>
      <w:r w:rsidRPr="00653588">
        <w:rPr>
          <w:b/>
        </w:rPr>
        <w:t>Pain Therapy session</w:t>
      </w:r>
      <w:r w:rsidR="00B452BA">
        <w:rPr>
          <w:b/>
        </w:rPr>
        <w:t>s</w:t>
      </w:r>
    </w:p>
    <w:p w:rsidR="00653588" w:rsidRPr="000E4682" w:rsidRDefault="00653588" w:rsidP="00A2010F">
      <w:pPr>
        <w:pStyle w:val="BodyText"/>
        <w:ind w:left="454"/>
      </w:pPr>
      <w:r>
        <w:t xml:space="preserve">Individual pain therapy session with a member of the IDT according to </w:t>
      </w:r>
      <w:r w:rsidRPr="000E4682">
        <w:t>the</w:t>
      </w:r>
      <w:r>
        <w:t xml:space="preserve"> Service User’s</w:t>
      </w:r>
      <w:r w:rsidRPr="000E4682">
        <w:t xml:space="preserve"> management plan</w:t>
      </w:r>
      <w:r>
        <w:t>.</w:t>
      </w:r>
    </w:p>
    <w:p w:rsidR="00DC0F4B" w:rsidRPr="00FF3D27" w:rsidRDefault="00DC0F4B" w:rsidP="00504493">
      <w:pPr>
        <w:pStyle w:val="Heading3"/>
        <w:numPr>
          <w:ilvl w:val="0"/>
          <w:numId w:val="0"/>
        </w:numPr>
        <w:ind w:left="454" w:hanging="170"/>
      </w:pPr>
      <w:r>
        <w:t xml:space="preserve">Pain Management </w:t>
      </w:r>
      <w:r w:rsidR="00202609">
        <w:t xml:space="preserve">Group </w:t>
      </w:r>
      <w:r>
        <w:t xml:space="preserve">Day </w:t>
      </w:r>
      <w:r w:rsidRPr="00FF3D27">
        <w:t>Programme (</w:t>
      </w:r>
      <w:r w:rsidR="00202609">
        <w:t>PC00</w:t>
      </w:r>
      <w:r w:rsidR="00DC6EC1">
        <w:t>19,</w:t>
      </w:r>
      <w:r w:rsidR="00202609">
        <w:t xml:space="preserve"> previously </w:t>
      </w:r>
      <w:r w:rsidRPr="00FF3D27">
        <w:t>PC00</w:t>
      </w:r>
      <w:r>
        <w:t>09</w:t>
      </w:r>
      <w:r w:rsidR="00AD1FDB">
        <w:t xml:space="preserve"> including PC0013</w:t>
      </w:r>
      <w:r w:rsidRPr="00FF3D27">
        <w:t>)</w:t>
      </w:r>
    </w:p>
    <w:p w:rsidR="00DC0F4B" w:rsidRDefault="00DC0F4B" w:rsidP="00DC0F4B">
      <w:pPr>
        <w:pStyle w:val="BodyText"/>
      </w:pPr>
      <w:r>
        <w:t>A group d</w:t>
      </w:r>
      <w:r w:rsidRPr="000E4682">
        <w:t>ay programme based on a cognitive / behavioural model</w:t>
      </w:r>
      <w:r>
        <w:t>.</w:t>
      </w:r>
      <w:r w:rsidRPr="000E4682">
        <w:t xml:space="preserve"> The programme provides education on pain and lifestyle, physical exercise training and a range of techniques to assist the </w:t>
      </w:r>
      <w:r>
        <w:t>Service User’s</w:t>
      </w:r>
      <w:r w:rsidRPr="000E4682">
        <w:t xml:space="preserve"> management of pain conditions. </w:t>
      </w:r>
    </w:p>
    <w:p w:rsidR="00DC0F4B" w:rsidRDefault="00DC0F4B" w:rsidP="00DC0F4B">
      <w:pPr>
        <w:pStyle w:val="BodyText"/>
      </w:pPr>
      <w:r w:rsidRPr="000E4682">
        <w:t>Duration of the programme is</w:t>
      </w:r>
      <w:r>
        <w:t xml:space="preserve"> between 1 and</w:t>
      </w:r>
      <w:r w:rsidRPr="000E4682">
        <w:t xml:space="preserve"> </w:t>
      </w:r>
      <w:r>
        <w:t xml:space="preserve">21 days (including follow up previously </w:t>
      </w:r>
      <w:r w:rsidR="00504493">
        <w:t>PC</w:t>
      </w:r>
      <w:r>
        <w:t>0013) as specified in the Service user’s management plan.</w:t>
      </w:r>
    </w:p>
    <w:p w:rsidR="00DC0F4B" w:rsidRPr="000E4682" w:rsidRDefault="00DC0F4B" w:rsidP="00504493">
      <w:pPr>
        <w:pStyle w:val="Heading3"/>
        <w:numPr>
          <w:ilvl w:val="0"/>
          <w:numId w:val="0"/>
        </w:numPr>
        <w:ind w:left="454" w:hanging="170"/>
      </w:pPr>
      <w:r w:rsidRPr="000E4682">
        <w:t xml:space="preserve">Pain Activity </w:t>
      </w:r>
      <w:r w:rsidR="00202609">
        <w:t xml:space="preserve">Individualised </w:t>
      </w:r>
      <w:r w:rsidRPr="000E4682">
        <w:t>Programme (</w:t>
      </w:r>
      <w:r w:rsidR="00DC6EC1">
        <w:t>PC0022,</w:t>
      </w:r>
      <w:r w:rsidR="00A876D8">
        <w:t xml:space="preserve"> previously </w:t>
      </w:r>
      <w:r w:rsidRPr="000E4682">
        <w:t>PC0018)</w:t>
      </w:r>
    </w:p>
    <w:p w:rsidR="00DC0F4B" w:rsidRPr="00AD1FDB" w:rsidRDefault="00DC0F4B" w:rsidP="00AD1FDB">
      <w:pPr>
        <w:pStyle w:val="BodyText"/>
      </w:pPr>
      <w:r w:rsidRPr="00AD1FDB">
        <w:rPr>
          <w:bCs/>
        </w:rPr>
        <w:t>An individualised programme based on a cognitive / behavioural model</w:t>
      </w:r>
      <w:r w:rsidR="00AD1FDB" w:rsidRPr="00AD1FDB">
        <w:rPr>
          <w:bCs/>
        </w:rPr>
        <w:t xml:space="preserve"> </w:t>
      </w:r>
      <w:r w:rsidR="00AD1FDB">
        <w:rPr>
          <w:bCs/>
        </w:rPr>
        <w:t>(eg</w:t>
      </w:r>
      <w:r w:rsidR="00FC002D">
        <w:rPr>
          <w:bCs/>
        </w:rPr>
        <w:t>,</w:t>
      </w:r>
      <w:r w:rsidR="00AD1FDB">
        <w:rPr>
          <w:bCs/>
        </w:rPr>
        <w:t xml:space="preserve"> an </w:t>
      </w:r>
      <w:r w:rsidR="00AD1FDB" w:rsidRPr="00AD1FDB">
        <w:rPr>
          <w:bCs/>
        </w:rPr>
        <w:t>average of 2 sessions per week for 12 weeks</w:t>
      </w:r>
      <w:r w:rsidR="00AD1FDB">
        <w:rPr>
          <w:bCs/>
        </w:rPr>
        <w:t>)</w:t>
      </w:r>
      <w:r w:rsidR="00AD1FDB" w:rsidRPr="00AD1FDB">
        <w:rPr>
          <w:bCs/>
        </w:rPr>
        <w:t xml:space="preserve">. </w:t>
      </w:r>
      <w:r w:rsidRPr="00AD1FDB">
        <w:t xml:space="preserve">The programme provides education on pain and lifestyle, physical exercise training and a range of techniques to assist the Service User’s management of pain conditions. </w:t>
      </w:r>
    </w:p>
    <w:p w:rsidR="00BF66E0" w:rsidRDefault="00DC0F4B" w:rsidP="00504493">
      <w:pPr>
        <w:spacing w:before="120" w:after="120" w:line="276" w:lineRule="auto"/>
        <w:ind w:left="284"/>
      </w:pPr>
      <w:r w:rsidRPr="00C26FFA">
        <w:rPr>
          <w:b/>
        </w:rPr>
        <w:t>Pain Interventional Procedures – Non Operating Room</w:t>
      </w:r>
      <w:r w:rsidRPr="000E4682">
        <w:t xml:space="preserve"> </w:t>
      </w:r>
      <w:r w:rsidR="00304770" w:rsidRPr="00E42112">
        <w:rPr>
          <w:b/>
        </w:rPr>
        <w:t>(PC0014)</w:t>
      </w:r>
      <w:r w:rsidR="00304770" w:rsidRPr="000E4682">
        <w:t xml:space="preserve"> </w:t>
      </w:r>
    </w:p>
    <w:p w:rsidR="00DC0F4B" w:rsidRDefault="00E42112" w:rsidP="00504493">
      <w:pPr>
        <w:spacing w:before="120" w:after="120" w:line="276" w:lineRule="auto"/>
        <w:ind w:left="284"/>
      </w:pPr>
      <w:r>
        <w:t>I</w:t>
      </w:r>
      <w:r w:rsidR="00DC0F4B">
        <w:t>ncludes but is not limited to</w:t>
      </w:r>
      <w:r w:rsidR="00504493">
        <w:t xml:space="preserve"> the following procedures</w:t>
      </w:r>
      <w:r w:rsidR="00DC0F4B">
        <w:t>:</w:t>
      </w:r>
    </w:p>
    <w:tbl>
      <w:tblPr>
        <w:tblStyle w:val="TableGrid"/>
        <w:tblW w:w="9923" w:type="dxa"/>
        <w:tblInd w:w="108" w:type="dxa"/>
        <w:tblLook w:val="04A0" w:firstRow="1" w:lastRow="0" w:firstColumn="1" w:lastColumn="0" w:noHBand="0" w:noVBand="1"/>
      </w:tblPr>
      <w:tblGrid>
        <w:gridCol w:w="3119"/>
        <w:gridCol w:w="6804"/>
      </w:tblGrid>
      <w:tr w:rsidR="00DC0F4B" w:rsidTr="00731930">
        <w:tc>
          <w:tcPr>
            <w:tcW w:w="3119" w:type="dxa"/>
            <w:shd w:val="pct12" w:color="auto" w:fill="auto"/>
          </w:tcPr>
          <w:p w:rsidR="00DC0F4B" w:rsidRPr="00540D21" w:rsidRDefault="00DC0F4B" w:rsidP="00731930">
            <w:pPr>
              <w:rPr>
                <w:b/>
              </w:rPr>
            </w:pPr>
            <w:r w:rsidRPr="00540D21">
              <w:rPr>
                <w:b/>
              </w:rPr>
              <w:t>Procedure</w:t>
            </w:r>
          </w:p>
        </w:tc>
        <w:tc>
          <w:tcPr>
            <w:tcW w:w="6804" w:type="dxa"/>
            <w:shd w:val="pct12" w:color="auto" w:fill="auto"/>
          </w:tcPr>
          <w:p w:rsidR="00DC0F4B" w:rsidRPr="00540D21" w:rsidRDefault="00DC0F4B" w:rsidP="00731930">
            <w:pPr>
              <w:rPr>
                <w:b/>
              </w:rPr>
            </w:pPr>
            <w:r w:rsidRPr="00540D21">
              <w:rPr>
                <w:b/>
              </w:rPr>
              <w:t>Definition</w:t>
            </w:r>
          </w:p>
        </w:tc>
      </w:tr>
      <w:tr w:rsidR="00DC0F4B" w:rsidTr="00731930">
        <w:tc>
          <w:tcPr>
            <w:tcW w:w="3119" w:type="dxa"/>
          </w:tcPr>
          <w:p w:rsidR="00DC0F4B" w:rsidRPr="00540D21" w:rsidRDefault="00DC0F4B" w:rsidP="00731930">
            <w:pPr>
              <w:pStyle w:val="Tablenormal0"/>
            </w:pPr>
            <w:r w:rsidRPr="00540D21">
              <w:t>Infusions</w:t>
            </w:r>
          </w:p>
        </w:tc>
        <w:tc>
          <w:tcPr>
            <w:tcW w:w="6804" w:type="dxa"/>
          </w:tcPr>
          <w:p w:rsidR="00DC0F4B" w:rsidRPr="00540D21" w:rsidRDefault="00DC0F4B" w:rsidP="00731930">
            <w:pPr>
              <w:pStyle w:val="Tablenormal0"/>
            </w:pPr>
            <w:r w:rsidRPr="00540D21">
              <w:t>Infusions such as lignocaine, bisphosphonates, ketamine or other medication.</w:t>
            </w:r>
          </w:p>
        </w:tc>
      </w:tr>
      <w:tr w:rsidR="00DC0F4B" w:rsidTr="00731930">
        <w:tc>
          <w:tcPr>
            <w:tcW w:w="3119" w:type="dxa"/>
          </w:tcPr>
          <w:p w:rsidR="00DC0F4B" w:rsidRPr="00540D21" w:rsidRDefault="00DC0F4B" w:rsidP="00731930">
            <w:pPr>
              <w:pStyle w:val="Tablenormal0"/>
            </w:pPr>
            <w:r w:rsidRPr="00540D21">
              <w:t>Intravenous Medication Assessment</w:t>
            </w:r>
          </w:p>
        </w:tc>
        <w:tc>
          <w:tcPr>
            <w:tcW w:w="6804" w:type="dxa"/>
          </w:tcPr>
          <w:p w:rsidR="00DC0F4B" w:rsidRPr="00540D21" w:rsidRDefault="00DC0F4B" w:rsidP="00731930">
            <w:pPr>
              <w:pStyle w:val="Tablenormal0"/>
            </w:pPr>
            <w:r w:rsidRPr="00540D21">
              <w:t>Administration of several drugs, at intervals to assess different drugs’ effectiveness on pain, to give an indication of which oral drugs may be most useful</w:t>
            </w:r>
            <w:r>
              <w:t>.</w:t>
            </w:r>
            <w:r w:rsidRPr="00540D21">
              <w:t>.</w:t>
            </w:r>
          </w:p>
        </w:tc>
      </w:tr>
      <w:tr w:rsidR="00DC0F4B" w:rsidTr="00731930">
        <w:tc>
          <w:tcPr>
            <w:tcW w:w="3119" w:type="dxa"/>
          </w:tcPr>
          <w:p w:rsidR="00DC0F4B" w:rsidRPr="00540D21" w:rsidRDefault="00DC0F4B" w:rsidP="00731930">
            <w:pPr>
              <w:pStyle w:val="Tablenormal0"/>
            </w:pPr>
            <w:r w:rsidRPr="00540D21">
              <w:t>Peripheral Nerve Blocks</w:t>
            </w:r>
          </w:p>
        </w:tc>
        <w:tc>
          <w:tcPr>
            <w:tcW w:w="6804" w:type="dxa"/>
          </w:tcPr>
          <w:p w:rsidR="00DC0F4B" w:rsidRPr="00540D21" w:rsidRDefault="00DC0F4B" w:rsidP="00731930">
            <w:pPr>
              <w:pStyle w:val="Tablenormal0"/>
            </w:pPr>
            <w:r w:rsidRPr="00540D21">
              <w:t>Injection of local anaesthetic, corticosteroids or alpha 2 agonists alongside peripheral nerves</w:t>
            </w:r>
            <w:r>
              <w:t>.</w:t>
            </w:r>
          </w:p>
        </w:tc>
      </w:tr>
      <w:tr w:rsidR="00DC0F4B" w:rsidTr="00731930">
        <w:tc>
          <w:tcPr>
            <w:tcW w:w="3119" w:type="dxa"/>
          </w:tcPr>
          <w:p w:rsidR="00DC0F4B" w:rsidRPr="00540D21" w:rsidRDefault="00DC0F4B" w:rsidP="00731930">
            <w:pPr>
              <w:pStyle w:val="Tablenormal0"/>
            </w:pPr>
            <w:r w:rsidRPr="00540D21">
              <w:t>PCA Opioid pumps</w:t>
            </w:r>
          </w:p>
        </w:tc>
        <w:tc>
          <w:tcPr>
            <w:tcW w:w="6804" w:type="dxa"/>
          </w:tcPr>
          <w:p w:rsidR="00DC0F4B" w:rsidRPr="00540D21" w:rsidRDefault="00DC0F4B" w:rsidP="00731930">
            <w:pPr>
              <w:pStyle w:val="Tablenormal0"/>
            </w:pPr>
            <w:r w:rsidRPr="00540D21">
              <w:t>Administration of opioid analgesia and/or adjuvants such as clonidine and ketamine intravenously and subcutaneously via a patient controlled analgesia pump.</w:t>
            </w:r>
          </w:p>
        </w:tc>
      </w:tr>
      <w:tr w:rsidR="00DC0F4B" w:rsidTr="00731930">
        <w:tc>
          <w:tcPr>
            <w:tcW w:w="3119" w:type="dxa"/>
          </w:tcPr>
          <w:p w:rsidR="00DC0F4B" w:rsidRPr="00540D21" w:rsidRDefault="00DC0F4B" w:rsidP="00731930">
            <w:pPr>
              <w:pStyle w:val="Tablenormal0"/>
            </w:pPr>
            <w:r>
              <w:t>Corticosteroid Injection</w:t>
            </w:r>
          </w:p>
        </w:tc>
        <w:tc>
          <w:tcPr>
            <w:tcW w:w="6804" w:type="dxa"/>
          </w:tcPr>
          <w:p w:rsidR="00DC0F4B" w:rsidRPr="00540D21" w:rsidRDefault="00DC0F4B" w:rsidP="00731930">
            <w:pPr>
              <w:pStyle w:val="Tablenormal0"/>
            </w:pPr>
            <w:r w:rsidRPr="00540D21">
              <w:t>Insertion of Corticosteroids into Joints (except for hip)</w:t>
            </w:r>
            <w:r>
              <w:t>.</w:t>
            </w:r>
          </w:p>
          <w:p w:rsidR="00DC0F4B" w:rsidRPr="00540D21" w:rsidRDefault="00DC0F4B" w:rsidP="00731930">
            <w:pPr>
              <w:pStyle w:val="Tablenormal0"/>
            </w:pPr>
          </w:p>
        </w:tc>
      </w:tr>
    </w:tbl>
    <w:p w:rsidR="00781839" w:rsidRDefault="00781839" w:rsidP="006A24F2">
      <w:pPr>
        <w:spacing w:before="120" w:after="120" w:line="276" w:lineRule="auto"/>
        <w:rPr>
          <w:b/>
          <w:bCs/>
          <w:szCs w:val="26"/>
        </w:rPr>
      </w:pPr>
    </w:p>
    <w:p w:rsidR="00781839" w:rsidRDefault="00781839">
      <w:pPr>
        <w:spacing w:after="200" w:line="276" w:lineRule="auto"/>
        <w:rPr>
          <w:b/>
          <w:bCs/>
          <w:szCs w:val="26"/>
        </w:rPr>
      </w:pPr>
      <w:r>
        <w:rPr>
          <w:b/>
          <w:bCs/>
          <w:szCs w:val="26"/>
        </w:rPr>
        <w:br w:type="page"/>
      </w:r>
    </w:p>
    <w:p w:rsidR="00DC0F4B" w:rsidRDefault="00DC0F4B" w:rsidP="006A24F2">
      <w:pPr>
        <w:spacing w:before="120" w:after="120" w:line="276" w:lineRule="auto"/>
        <w:rPr>
          <w:rFonts w:cs="Arial"/>
          <w:b/>
          <w:szCs w:val="24"/>
        </w:rPr>
      </w:pPr>
      <w:r w:rsidRPr="00504493">
        <w:rPr>
          <w:b/>
          <w:bCs/>
          <w:szCs w:val="26"/>
        </w:rPr>
        <w:lastRenderedPageBreak/>
        <w:t>Pain Interventional Procedures – Operating Room</w:t>
      </w:r>
      <w:r w:rsidRPr="00597DBE">
        <w:rPr>
          <w:rFonts w:cs="Arial"/>
          <w:b/>
          <w:szCs w:val="24"/>
        </w:rPr>
        <w:t xml:space="preserve"> </w:t>
      </w:r>
      <w:r w:rsidR="00CD40AF">
        <w:rPr>
          <w:rFonts w:cs="Arial"/>
          <w:b/>
          <w:szCs w:val="24"/>
        </w:rPr>
        <w:t>(PC0015</w:t>
      </w:r>
      <w:r w:rsidR="00E42112">
        <w:rPr>
          <w:rFonts w:cs="Arial"/>
          <w:b/>
          <w:szCs w:val="24"/>
        </w:rPr>
        <w:t>)</w:t>
      </w:r>
    </w:p>
    <w:p w:rsidR="00DC0F4B" w:rsidRDefault="00304770" w:rsidP="00281822">
      <w:pPr>
        <w:pStyle w:val="BodyText"/>
        <w:ind w:left="0"/>
      </w:pPr>
      <w:r w:rsidRPr="00304770">
        <w:t>Pain Management</w:t>
      </w:r>
      <w:r w:rsidR="00DC0F4B">
        <w:t xml:space="preserve"> </w:t>
      </w:r>
      <w:r>
        <w:t>services</w:t>
      </w:r>
      <w:r w:rsidR="00DC0F4B">
        <w:t xml:space="preserve"> for day patients</w:t>
      </w:r>
      <w:r>
        <w:t>,</w:t>
      </w:r>
      <w:r w:rsidR="00DC0F4B">
        <w:t xml:space="preserve"> or </w:t>
      </w:r>
      <w:r w:rsidR="00202609">
        <w:t>where it is</w:t>
      </w:r>
      <w:r>
        <w:t xml:space="preserve"> an </w:t>
      </w:r>
      <w:r w:rsidR="00DC0F4B">
        <w:t>input to an inpatient event includes</w:t>
      </w:r>
      <w:r w:rsidR="00202609">
        <w:t>,</w:t>
      </w:r>
      <w:r w:rsidR="00DC0F4B">
        <w:t xml:space="preserve"> but is not limited</w:t>
      </w:r>
      <w:r w:rsidR="00FC002D">
        <w:t xml:space="preserve"> </w:t>
      </w:r>
      <w:r w:rsidR="00DC0F4B">
        <w:t>to</w:t>
      </w:r>
      <w:r w:rsidR="00FC002D">
        <w:t xml:space="preserve"> the following procedures</w:t>
      </w:r>
      <w:r w:rsidR="00DC0F4B">
        <w:t>:</w:t>
      </w:r>
    </w:p>
    <w:tbl>
      <w:tblPr>
        <w:tblStyle w:val="TableGrid"/>
        <w:tblW w:w="0" w:type="auto"/>
        <w:tblInd w:w="108" w:type="dxa"/>
        <w:tblLook w:val="04A0" w:firstRow="1" w:lastRow="0" w:firstColumn="1" w:lastColumn="0" w:noHBand="0" w:noVBand="1"/>
      </w:tblPr>
      <w:tblGrid>
        <w:gridCol w:w="3119"/>
        <w:gridCol w:w="6662"/>
      </w:tblGrid>
      <w:tr w:rsidR="00DC0F4B" w:rsidRPr="00540D21" w:rsidTr="00731930">
        <w:tc>
          <w:tcPr>
            <w:tcW w:w="3119" w:type="dxa"/>
            <w:shd w:val="pct12" w:color="auto" w:fill="auto"/>
          </w:tcPr>
          <w:p w:rsidR="00DC0F4B" w:rsidRPr="00540D21" w:rsidRDefault="00DC0F4B" w:rsidP="00731930">
            <w:pPr>
              <w:spacing w:before="120" w:after="120"/>
              <w:rPr>
                <w:b/>
              </w:rPr>
            </w:pPr>
            <w:r w:rsidRPr="00540D21">
              <w:rPr>
                <w:b/>
              </w:rPr>
              <w:t>Procedure</w:t>
            </w:r>
          </w:p>
        </w:tc>
        <w:tc>
          <w:tcPr>
            <w:tcW w:w="6662" w:type="dxa"/>
            <w:shd w:val="pct12" w:color="auto" w:fill="auto"/>
          </w:tcPr>
          <w:p w:rsidR="00DC0F4B" w:rsidRPr="00540D21" w:rsidRDefault="00DC0F4B" w:rsidP="00731930">
            <w:pPr>
              <w:spacing w:before="120" w:after="120"/>
              <w:rPr>
                <w:b/>
              </w:rPr>
            </w:pPr>
            <w:r w:rsidRPr="00540D21">
              <w:rPr>
                <w:b/>
              </w:rPr>
              <w:t>Definition</w:t>
            </w:r>
          </w:p>
        </w:tc>
      </w:tr>
      <w:tr w:rsidR="00DC0F4B" w:rsidRPr="00540D21" w:rsidTr="00731930">
        <w:tc>
          <w:tcPr>
            <w:tcW w:w="3119" w:type="dxa"/>
          </w:tcPr>
          <w:p w:rsidR="00DC0F4B" w:rsidRPr="00540D21" w:rsidRDefault="00DC0F4B" w:rsidP="00731930">
            <w:pPr>
              <w:pStyle w:val="Tablenormal0"/>
            </w:pPr>
            <w:r w:rsidRPr="00540D21">
              <w:t>Epidurals</w:t>
            </w:r>
          </w:p>
        </w:tc>
        <w:tc>
          <w:tcPr>
            <w:tcW w:w="6662" w:type="dxa"/>
          </w:tcPr>
          <w:p w:rsidR="00DC0F4B" w:rsidRPr="00540D21" w:rsidRDefault="00DC0F4B" w:rsidP="00731930">
            <w:pPr>
              <w:pStyle w:val="Tablenormal0"/>
            </w:pPr>
            <w:r w:rsidRPr="00540D21">
              <w:t>Administration of local anaesthetic, corticosteroids or alpha 2 agonists via an epidural. Catheters are placed from hours to days.</w:t>
            </w:r>
          </w:p>
        </w:tc>
      </w:tr>
      <w:tr w:rsidR="00DC0F4B" w:rsidRPr="00540D21" w:rsidTr="00731930">
        <w:tc>
          <w:tcPr>
            <w:tcW w:w="3119" w:type="dxa"/>
          </w:tcPr>
          <w:p w:rsidR="00DC0F4B" w:rsidRPr="00540D21" w:rsidRDefault="00DC0F4B" w:rsidP="00304770">
            <w:pPr>
              <w:pStyle w:val="Tablenormal0"/>
            </w:pPr>
            <w:r w:rsidRPr="00540D21">
              <w:t xml:space="preserve">Selective Nerve Root sleeve injections </w:t>
            </w:r>
          </w:p>
        </w:tc>
        <w:tc>
          <w:tcPr>
            <w:tcW w:w="6662" w:type="dxa"/>
          </w:tcPr>
          <w:p w:rsidR="00DC0F4B" w:rsidRPr="00540D21" w:rsidRDefault="00DC0F4B" w:rsidP="00731930">
            <w:pPr>
              <w:pStyle w:val="Tablenormal0"/>
            </w:pPr>
            <w:r w:rsidRPr="00540D21">
              <w:t>Performed under sterile conditions usually in theatre with the use of image intensification and contrast</w:t>
            </w:r>
          </w:p>
        </w:tc>
      </w:tr>
      <w:tr w:rsidR="00DC0F4B" w:rsidRPr="00540D21" w:rsidTr="00731930">
        <w:tc>
          <w:tcPr>
            <w:tcW w:w="3119" w:type="dxa"/>
          </w:tcPr>
          <w:p w:rsidR="00DC0F4B" w:rsidRPr="00540D21" w:rsidRDefault="00DC0F4B" w:rsidP="00304770">
            <w:pPr>
              <w:pStyle w:val="Tablenormal0"/>
            </w:pPr>
            <w:r w:rsidRPr="00540D21">
              <w:t>Plexus</w:t>
            </w:r>
          </w:p>
        </w:tc>
        <w:tc>
          <w:tcPr>
            <w:tcW w:w="6662" w:type="dxa"/>
          </w:tcPr>
          <w:p w:rsidR="00DC0F4B" w:rsidRPr="00540D21" w:rsidRDefault="00DC0F4B" w:rsidP="00731930">
            <w:pPr>
              <w:pStyle w:val="Tablenormal0"/>
            </w:pPr>
            <w:r w:rsidRPr="00540D21">
              <w:t>Administration of local anaesthetics and alpha 2 agonists via a catheter inserted into the brachial plexus or lumbar sacral plexus.</w:t>
            </w:r>
          </w:p>
        </w:tc>
      </w:tr>
      <w:tr w:rsidR="00DC0F4B" w:rsidRPr="00540D21" w:rsidTr="00731930">
        <w:tc>
          <w:tcPr>
            <w:tcW w:w="3119" w:type="dxa"/>
          </w:tcPr>
          <w:p w:rsidR="00DC0F4B" w:rsidRPr="00540D21" w:rsidRDefault="00DC0F4B" w:rsidP="00304770">
            <w:pPr>
              <w:pStyle w:val="Tablenormal0"/>
            </w:pPr>
            <w:r w:rsidRPr="00540D21">
              <w:t xml:space="preserve">Neural Sheath </w:t>
            </w:r>
          </w:p>
        </w:tc>
        <w:tc>
          <w:tcPr>
            <w:tcW w:w="6662" w:type="dxa"/>
          </w:tcPr>
          <w:p w:rsidR="00DC0F4B" w:rsidRPr="00540D21" w:rsidRDefault="00DC0F4B" w:rsidP="00731930">
            <w:pPr>
              <w:pStyle w:val="Tablenormal0"/>
            </w:pPr>
            <w:r w:rsidRPr="00540D21">
              <w:t>Administration of local anaesthetics and alpha 2 agonists via a catheter inserted into neural sheaths. (Occasionally catheters may be inserted into wound sites as well).</w:t>
            </w:r>
          </w:p>
        </w:tc>
      </w:tr>
      <w:tr w:rsidR="00DC0F4B" w:rsidRPr="00540D21" w:rsidTr="00731930">
        <w:tc>
          <w:tcPr>
            <w:tcW w:w="3119" w:type="dxa"/>
          </w:tcPr>
          <w:p w:rsidR="00DC0F4B" w:rsidRPr="00540D21" w:rsidRDefault="00DC0F4B" w:rsidP="00731930">
            <w:pPr>
              <w:pStyle w:val="Tablenormal0"/>
            </w:pPr>
            <w:r w:rsidRPr="00540D21">
              <w:t>Diagnostic sympathetic blockade with local anaesthetic</w:t>
            </w:r>
          </w:p>
        </w:tc>
        <w:tc>
          <w:tcPr>
            <w:tcW w:w="6662" w:type="dxa"/>
          </w:tcPr>
          <w:p w:rsidR="00DC0F4B" w:rsidRPr="00540D21" w:rsidRDefault="00DC0F4B" w:rsidP="00731930">
            <w:pPr>
              <w:pStyle w:val="Tablenormal0"/>
            </w:pPr>
          </w:p>
        </w:tc>
      </w:tr>
      <w:tr w:rsidR="00DC0F4B" w:rsidRPr="00540D21" w:rsidTr="00731930">
        <w:tc>
          <w:tcPr>
            <w:tcW w:w="3119" w:type="dxa"/>
          </w:tcPr>
          <w:p w:rsidR="00DC0F4B" w:rsidRPr="00540D21" w:rsidRDefault="00DC0F4B" w:rsidP="00281822">
            <w:pPr>
              <w:pStyle w:val="Tablenormal0"/>
            </w:pPr>
            <w:r w:rsidRPr="00540D21">
              <w:t>Radiofrequency (or Chemical Lumbar Sympathectomy)</w:t>
            </w:r>
          </w:p>
        </w:tc>
        <w:tc>
          <w:tcPr>
            <w:tcW w:w="6662" w:type="dxa"/>
          </w:tcPr>
          <w:p w:rsidR="00DC0F4B" w:rsidRPr="00540D21" w:rsidRDefault="00DC0F4B" w:rsidP="00731930">
            <w:pPr>
              <w:pStyle w:val="Tablenormal0"/>
            </w:pPr>
            <w:r w:rsidRPr="00540D21">
              <w:t xml:space="preserve">Performed using x-ray guidance in the operating theatre. </w:t>
            </w:r>
          </w:p>
          <w:p w:rsidR="00DC0F4B" w:rsidRPr="00540D21" w:rsidRDefault="00DC0F4B" w:rsidP="00731930">
            <w:pPr>
              <w:pStyle w:val="Tablenormal0"/>
            </w:pPr>
          </w:p>
        </w:tc>
      </w:tr>
      <w:tr w:rsidR="00DC0F4B" w:rsidRPr="00540D21" w:rsidTr="00731930">
        <w:tc>
          <w:tcPr>
            <w:tcW w:w="3119" w:type="dxa"/>
          </w:tcPr>
          <w:p w:rsidR="00DC0F4B" w:rsidRPr="00540D21" w:rsidRDefault="00DC0F4B" w:rsidP="00281822">
            <w:pPr>
              <w:pStyle w:val="Tablenormal0"/>
            </w:pPr>
            <w:r w:rsidRPr="00540D21">
              <w:t>Intrathecal Drug Pumps</w:t>
            </w:r>
          </w:p>
        </w:tc>
        <w:tc>
          <w:tcPr>
            <w:tcW w:w="6662" w:type="dxa"/>
          </w:tcPr>
          <w:p w:rsidR="00DC0F4B" w:rsidRPr="00540D21" w:rsidRDefault="00DC0F4B" w:rsidP="00304770">
            <w:pPr>
              <w:pStyle w:val="Tablenormal0"/>
            </w:pPr>
            <w:r w:rsidRPr="00540D21">
              <w:t>Diagnostic placement followed by implantation of a pump as an inpatient procedure in the operating theatre.</w:t>
            </w:r>
            <w:r>
              <w:t xml:space="preserve"> </w:t>
            </w:r>
            <w:r w:rsidRPr="00540D21">
              <w:t>This is usually for painful spasticity, in addition to the implantation regular refills being carried out.</w:t>
            </w:r>
          </w:p>
        </w:tc>
      </w:tr>
      <w:tr w:rsidR="00DC0F4B" w:rsidRPr="00540D21" w:rsidTr="00731930">
        <w:tc>
          <w:tcPr>
            <w:tcW w:w="3119" w:type="dxa"/>
          </w:tcPr>
          <w:p w:rsidR="00DC0F4B" w:rsidRPr="00540D21" w:rsidRDefault="00DC0F4B" w:rsidP="00731930">
            <w:pPr>
              <w:pStyle w:val="Tablenormal0"/>
            </w:pPr>
            <w:r w:rsidRPr="00540D21">
              <w:t>Peripheral and Spinal Cord Stimulation</w:t>
            </w:r>
          </w:p>
          <w:p w:rsidR="00DC0F4B" w:rsidRPr="00540D21" w:rsidRDefault="00DC0F4B" w:rsidP="00731930">
            <w:pPr>
              <w:pStyle w:val="Tablenormal0"/>
            </w:pPr>
          </w:p>
        </w:tc>
        <w:tc>
          <w:tcPr>
            <w:tcW w:w="6662" w:type="dxa"/>
          </w:tcPr>
          <w:p w:rsidR="00DC0F4B" w:rsidRPr="00540D21" w:rsidRDefault="00DC0F4B" w:rsidP="00304770">
            <w:pPr>
              <w:pStyle w:val="Tablenormal0"/>
            </w:pPr>
            <w:r w:rsidRPr="00540D21">
              <w:t>Implantation of a fixing an electrical lead alongside a peripheral nerve or in the epidural space.</w:t>
            </w:r>
            <w:r>
              <w:t xml:space="preserve"> </w:t>
            </w:r>
            <w:r w:rsidRPr="00540D21">
              <w:t>This is implanted in an operating theatre as an inpatient.</w:t>
            </w:r>
            <w:r>
              <w:t xml:space="preserve"> </w:t>
            </w:r>
            <w:r w:rsidRPr="00540D21">
              <w:t>Follow-up programming is done in the procedure clinic.</w:t>
            </w:r>
          </w:p>
        </w:tc>
      </w:tr>
    </w:tbl>
    <w:p w:rsidR="006A24F2" w:rsidRPr="00CA2F04" w:rsidRDefault="00C26FFA" w:rsidP="00AD1FDB">
      <w:pPr>
        <w:spacing w:before="120"/>
        <w:rPr>
          <w:sz w:val="22"/>
          <w:szCs w:val="22"/>
        </w:rPr>
      </w:pPr>
      <w:r w:rsidRPr="00CA2F04">
        <w:rPr>
          <w:rFonts w:eastAsiaTheme="minorHAnsi"/>
          <w:bCs/>
          <w:iCs/>
          <w:sz w:val="22"/>
          <w:szCs w:val="22"/>
          <w:lang w:val="en-NZ"/>
        </w:rPr>
        <w:t>Note: Pain Management i</w:t>
      </w:r>
      <w:r w:rsidRPr="00CA2F04">
        <w:rPr>
          <w:rFonts w:eastAsiaTheme="minorHAnsi"/>
          <w:iCs/>
          <w:sz w:val="22"/>
          <w:szCs w:val="22"/>
          <w:lang w:val="en-NZ"/>
        </w:rPr>
        <w:t>npatient</w:t>
      </w:r>
      <w:r w:rsidRPr="00CA2F04">
        <w:rPr>
          <w:rFonts w:eastAsiaTheme="minorHAnsi"/>
          <w:sz w:val="22"/>
          <w:szCs w:val="22"/>
          <w:lang w:val="en-NZ"/>
        </w:rPr>
        <w:t xml:space="preserve"> episodes of care are funded as an input into inpatient purchase units according to each hospital speciality as a Diagnosis Related Group (DRG) WIESNZ Discharge</w:t>
      </w:r>
      <w:r w:rsidR="00E42112">
        <w:rPr>
          <w:rFonts w:eastAsiaTheme="minorHAnsi"/>
          <w:sz w:val="22"/>
          <w:szCs w:val="22"/>
          <w:lang w:val="en-NZ"/>
        </w:rPr>
        <w:t>)</w:t>
      </w:r>
      <w:r w:rsidR="003B5328" w:rsidRPr="00CA2F04">
        <w:rPr>
          <w:rFonts w:eastAsiaTheme="minorHAnsi"/>
          <w:sz w:val="22"/>
          <w:szCs w:val="22"/>
          <w:lang w:val="en-NZ"/>
        </w:rPr>
        <w:t>.</w:t>
      </w:r>
    </w:p>
    <w:sectPr w:rsidR="006A24F2" w:rsidRPr="00CA2F04" w:rsidSect="00366DFC">
      <w:footerReference w:type="default" r:id="rId11"/>
      <w:pgSz w:w="11907" w:h="16840" w:code="9"/>
      <w:pgMar w:top="1440" w:right="1080" w:bottom="1440" w:left="1080" w:header="720" w:footer="720" w:gutter="0"/>
      <w:paperSrc w:first="7"/>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67" w:rsidRDefault="001E2467" w:rsidP="009425A3">
      <w:r>
        <w:separator/>
      </w:r>
    </w:p>
  </w:endnote>
  <w:endnote w:type="continuationSeparator" w:id="0">
    <w:p w:rsidR="001E2467" w:rsidRDefault="001E2467" w:rsidP="0094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B8" w:rsidRDefault="008341AA" w:rsidP="00B462E9">
    <w:pPr>
      <w:pStyle w:val="Footer"/>
      <w:pBdr>
        <w:top w:val="single" w:sz="4" w:space="1" w:color="auto"/>
      </w:pBdr>
      <w:tabs>
        <w:tab w:val="clear" w:pos="4153"/>
        <w:tab w:val="clear" w:pos="8306"/>
        <w:tab w:val="left" w:pos="3686"/>
      </w:tabs>
      <w:rPr>
        <w:rFonts w:cs="Arial"/>
        <w:sz w:val="20"/>
      </w:rPr>
    </w:pPr>
    <w:r w:rsidRPr="005C409C">
      <w:rPr>
        <w:rFonts w:cs="Arial"/>
        <w:sz w:val="20"/>
      </w:rPr>
      <w:t>Specialist Medical and Surgical Services, P</w:t>
    </w:r>
    <w:r w:rsidR="001219ED">
      <w:rPr>
        <w:rFonts w:cs="Arial"/>
        <w:sz w:val="20"/>
      </w:rPr>
      <w:t>ain Management Service Tier Two</w:t>
    </w:r>
    <w:r w:rsidRPr="005C409C">
      <w:rPr>
        <w:rFonts w:cs="Arial"/>
        <w:sz w:val="20"/>
      </w:rPr>
      <w:t xml:space="preserve"> Service Specification </w:t>
    </w:r>
  </w:p>
  <w:p w:rsidR="00894EEB" w:rsidRDefault="001219ED" w:rsidP="00B462E9">
    <w:pPr>
      <w:pStyle w:val="Footer"/>
      <w:pBdr>
        <w:top w:val="single" w:sz="4" w:space="1" w:color="auto"/>
      </w:pBdr>
      <w:tabs>
        <w:tab w:val="clear" w:pos="4153"/>
        <w:tab w:val="clear" w:pos="8306"/>
        <w:tab w:val="left" w:pos="3686"/>
      </w:tabs>
      <w:rPr>
        <w:rFonts w:cs="Arial"/>
        <w:sz w:val="20"/>
      </w:rPr>
    </w:pPr>
    <w:r>
      <w:rPr>
        <w:rFonts w:cs="Arial"/>
        <w:sz w:val="20"/>
      </w:rPr>
      <w:t>January 2015</w:t>
    </w:r>
  </w:p>
  <w:p w:rsidR="008341AA" w:rsidRDefault="008341AA" w:rsidP="00B462E9">
    <w:pPr>
      <w:pStyle w:val="Footer"/>
      <w:pBdr>
        <w:top w:val="single" w:sz="4" w:space="1" w:color="auto"/>
      </w:pBdr>
      <w:tabs>
        <w:tab w:val="clear" w:pos="4153"/>
        <w:tab w:val="clear" w:pos="8306"/>
        <w:tab w:val="left" w:pos="3686"/>
      </w:tabs>
    </w:pPr>
    <w:r w:rsidRPr="005C409C">
      <w:rPr>
        <w:rFonts w:cs="Arial"/>
        <w:sz w:val="20"/>
      </w:rPr>
      <w:t>Nationwide Service Framework</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D1561">
      <w:rPr>
        <w:rFonts w:cs="Arial"/>
        <w:sz w:val="20"/>
      </w:rPr>
      <w:fldChar w:fldCharType="begin"/>
    </w:r>
    <w:r w:rsidRPr="003D1561">
      <w:rPr>
        <w:rFonts w:cs="Arial"/>
        <w:sz w:val="20"/>
      </w:rPr>
      <w:instrText xml:space="preserve"> PAGE  \* Arabic  \* MERGEFORMAT </w:instrText>
    </w:r>
    <w:r w:rsidRPr="003D1561">
      <w:rPr>
        <w:rFonts w:cs="Arial"/>
        <w:sz w:val="20"/>
      </w:rPr>
      <w:fldChar w:fldCharType="separate"/>
    </w:r>
    <w:r w:rsidR="00BB7772">
      <w:rPr>
        <w:rFonts w:cs="Arial"/>
        <w:noProof/>
        <w:sz w:val="20"/>
      </w:rPr>
      <w:t>4</w:t>
    </w:r>
    <w:r w:rsidRPr="003D1561">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67" w:rsidRDefault="001E2467" w:rsidP="009425A3">
      <w:r>
        <w:separator/>
      </w:r>
    </w:p>
  </w:footnote>
  <w:footnote w:type="continuationSeparator" w:id="0">
    <w:p w:rsidR="001E2467" w:rsidRDefault="001E2467" w:rsidP="009425A3">
      <w:r>
        <w:continuationSeparator/>
      </w:r>
    </w:p>
  </w:footnote>
  <w:footnote w:id="1">
    <w:p w:rsidR="008341AA" w:rsidRPr="0093051C" w:rsidRDefault="008341AA" w:rsidP="0093051C">
      <w:pPr>
        <w:spacing w:before="120"/>
        <w:rPr>
          <w:sz w:val="20"/>
          <w:lang w:val="en-NZ"/>
        </w:rPr>
      </w:pPr>
      <w:r>
        <w:rPr>
          <w:rStyle w:val="FootnoteReference"/>
        </w:rPr>
        <w:footnoteRef/>
      </w:r>
      <w:r>
        <w:t xml:space="preserve"> </w:t>
      </w:r>
      <w:r w:rsidRPr="0093051C">
        <w:rPr>
          <w:rFonts w:cs="Arial"/>
          <w:color w:val="0000FF"/>
          <w:sz w:val="20"/>
        </w:rPr>
        <w:t>Blythe, NZ Medical Journal (NZMJ) 24 June 2011, Vol 124 No 1337; ISSN 1175 8716 Page 63</w:t>
      </w:r>
      <w:r w:rsidRPr="0093051C">
        <w:rPr>
          <w:rFonts w:cs="Arial"/>
          <w:color w:val="0000FF"/>
          <w:sz w:val="20"/>
        </w:rPr>
        <w:br/>
        <w:t xml:space="preserve">URL: </w:t>
      </w:r>
      <w:hyperlink r:id="rId1" w:history="1">
        <w:r w:rsidRPr="0093051C">
          <w:rPr>
            <w:rStyle w:val="Hyperlink"/>
            <w:rFonts w:cs="Arial"/>
            <w:sz w:val="20"/>
          </w:rPr>
          <w:t>http://www.nzma.org.nz/journal/124-1337/4730/</w:t>
        </w:r>
      </w:hyperlink>
    </w:p>
  </w:footnote>
  <w:footnote w:id="2">
    <w:p w:rsidR="008341AA" w:rsidRPr="0093051C" w:rsidRDefault="008341AA" w:rsidP="0093051C">
      <w:pPr>
        <w:numPr>
          <w:ilvl w:val="0"/>
          <w:numId w:val="45"/>
        </w:numPr>
        <w:spacing w:before="120"/>
        <w:ind w:left="0"/>
        <w:rPr>
          <w:sz w:val="20"/>
          <w:lang w:val="en-NZ"/>
        </w:rPr>
      </w:pPr>
      <w:r w:rsidRPr="0093051C">
        <w:rPr>
          <w:rStyle w:val="FootnoteReference"/>
          <w:sz w:val="20"/>
        </w:rPr>
        <w:footnoteRef/>
      </w:r>
      <w:r w:rsidRPr="0093051C">
        <w:rPr>
          <w:sz w:val="20"/>
        </w:rPr>
        <w:t xml:space="preserve"> </w:t>
      </w:r>
      <w:r w:rsidRPr="0093051C">
        <w:rPr>
          <w:rFonts w:cs="Arial"/>
          <w:i/>
          <w:iCs/>
          <w:color w:val="222222"/>
          <w:sz w:val="20"/>
          <w:lang w:val="en-NZ" w:eastAsia="en-NZ"/>
        </w:rPr>
        <w:t>en.wikipedia.org/wiki/</w:t>
      </w:r>
      <w:r w:rsidRPr="0093051C">
        <w:rPr>
          <w:rFonts w:cs="Arial"/>
          <w:bCs/>
          <w:i/>
          <w:iCs/>
          <w:color w:val="222222"/>
          <w:sz w:val="20"/>
          <w:lang w:val="en-NZ" w:eastAsia="en-NZ"/>
        </w:rPr>
        <w:t>Biopsychosocial</w:t>
      </w:r>
      <w:r w:rsidRPr="0093051C">
        <w:rPr>
          <w:rFonts w:cs="Arial"/>
          <w:i/>
          <w:iCs/>
          <w:color w:val="222222"/>
          <w:sz w:val="20"/>
          <w:lang w:val="en-NZ" w:eastAsia="en-NZ"/>
        </w:rPr>
        <w:t>_</w:t>
      </w:r>
      <w:r w:rsidRPr="0093051C">
        <w:rPr>
          <w:rFonts w:cs="Arial"/>
          <w:bCs/>
          <w:i/>
          <w:iCs/>
          <w:color w:val="222222"/>
          <w:sz w:val="20"/>
          <w:lang w:val="en-NZ" w:eastAsia="en-NZ"/>
        </w:rPr>
        <w:t>model</w:t>
      </w:r>
      <w:r w:rsidRPr="0093051C">
        <w:rPr>
          <w:rFonts w:cs="Arial"/>
          <w:color w:val="222222"/>
          <w:sz w:val="20"/>
          <w:lang w:val="en-NZ" w:eastAsia="en-NZ"/>
        </w:rPr>
        <w:t>‎</w:t>
      </w:r>
    </w:p>
  </w:footnote>
  <w:footnote w:id="3">
    <w:p w:rsidR="008341AA" w:rsidRPr="006C6230" w:rsidRDefault="008341AA" w:rsidP="00CC75B1">
      <w:pPr>
        <w:pStyle w:val="FootnoteText"/>
        <w:rPr>
          <w:sz w:val="20"/>
          <w:lang w:val="en-NZ"/>
        </w:rPr>
      </w:pPr>
      <w:r>
        <w:rPr>
          <w:rStyle w:val="FootnoteReference"/>
        </w:rPr>
        <w:footnoteRef/>
      </w:r>
      <w:r>
        <w:t xml:space="preserve"> </w:t>
      </w:r>
      <w:r w:rsidRPr="006C6230">
        <w:rPr>
          <w:sz w:val="20"/>
        </w:rPr>
        <w:t>http://www.health.govt.nz/new-zealand-health-system/eligibility-publicly-funded-health-services</w:t>
      </w:r>
    </w:p>
  </w:footnote>
  <w:footnote w:id="4">
    <w:p w:rsidR="008341AA" w:rsidRPr="006C6230" w:rsidRDefault="008341AA">
      <w:pPr>
        <w:pStyle w:val="FootnoteText"/>
        <w:rPr>
          <w:lang w:val="en-NZ"/>
        </w:rPr>
      </w:pPr>
      <w:r w:rsidRPr="006C6230">
        <w:rPr>
          <w:rStyle w:val="FootnoteReference"/>
          <w:sz w:val="20"/>
        </w:rPr>
        <w:footnoteRef/>
      </w:r>
      <w:r w:rsidRPr="006C6230">
        <w:rPr>
          <w:sz w:val="20"/>
        </w:rPr>
        <w:t xml:space="preserve"> See section 10 Glossary for definition of persistent pain.</w:t>
      </w:r>
      <w:r>
        <w:t xml:space="preserve"> </w:t>
      </w:r>
    </w:p>
  </w:footnote>
  <w:footnote w:id="5">
    <w:p w:rsidR="008341AA" w:rsidRPr="00A30AB4" w:rsidRDefault="008341AA" w:rsidP="00A30AB4">
      <w:pPr>
        <w:rPr>
          <w:lang w:val="en-NZ"/>
        </w:rPr>
      </w:pPr>
      <w:r>
        <w:rPr>
          <w:rStyle w:val="FootnoteReference"/>
        </w:rPr>
        <w:footnoteRef/>
      </w:r>
      <w:r>
        <w:t xml:space="preserve"> </w:t>
      </w:r>
      <w:r w:rsidRPr="00A30AB4">
        <w:rPr>
          <w:rFonts w:eastAsiaTheme="minorHAnsi"/>
          <w:bCs/>
          <w:iCs/>
          <w:sz w:val="20"/>
          <w:lang w:val="en-NZ"/>
        </w:rPr>
        <w:t>Note: Pain Management inpatient</w:t>
      </w:r>
      <w:r w:rsidRPr="00A30AB4">
        <w:rPr>
          <w:rFonts w:eastAsiaTheme="minorHAnsi"/>
          <w:bCs/>
          <w:sz w:val="20"/>
          <w:lang w:val="en-NZ"/>
        </w:rPr>
        <w:t xml:space="preserve"> </w:t>
      </w:r>
      <w:r w:rsidRPr="00A30AB4">
        <w:rPr>
          <w:rFonts w:eastAsiaTheme="minorHAnsi"/>
          <w:sz w:val="20"/>
          <w:lang w:val="en-NZ"/>
        </w:rPr>
        <w:t>episodes of care are funded as an input into the inpatient purchase units according to each hospital speciality as a Diagnosis Related Group (DRG) WIESNZ Discharge.</w:t>
      </w:r>
    </w:p>
  </w:footnote>
  <w:footnote w:id="6">
    <w:p w:rsidR="008341AA" w:rsidRPr="008341AA" w:rsidRDefault="008341AA">
      <w:pPr>
        <w:pStyle w:val="FootnoteText"/>
        <w:rPr>
          <w:lang w:val="en-NZ"/>
        </w:rPr>
      </w:pPr>
      <w:r>
        <w:rPr>
          <w:rStyle w:val="FootnoteReference"/>
        </w:rPr>
        <w:footnoteRef/>
      </w:r>
      <w:r>
        <w:t xml:space="preserve"> </w:t>
      </w:r>
      <w:r w:rsidRPr="008341AA">
        <w:rPr>
          <w:sz w:val="20"/>
        </w:rPr>
        <w:t>Ministry of Health Accountability Documents are published on: http://www.nsfl.health.govt.nz/apps/nsfl.nsf/menumh/Accountability+Documents</w:t>
      </w:r>
    </w:p>
  </w:footnote>
  <w:footnote w:id="7">
    <w:p w:rsidR="008341AA" w:rsidRPr="00D11166" w:rsidRDefault="008341AA">
      <w:pPr>
        <w:pStyle w:val="FootnoteText"/>
        <w:rPr>
          <w:lang w:val="en-NZ"/>
        </w:rPr>
      </w:pPr>
      <w:r>
        <w:rPr>
          <w:rStyle w:val="FootnoteReference"/>
        </w:rPr>
        <w:footnoteRef/>
      </w:r>
      <w:r>
        <w:t xml:space="preserve"> </w:t>
      </w:r>
      <w:r w:rsidRPr="009306DB">
        <w:rPr>
          <w:rFonts w:cs="Arial"/>
          <w:sz w:val="20"/>
        </w:rPr>
        <w:t>The NZFPM will work with Professor Kathy Eagar and her team at the University of Wollongong as the central database and analysis provider based on their experience with the Australasian Rehabilitation Outcomes Centre and Palliative Care Outcomes Collaboration projects. Professor Kathy Eagar and team at Australian Health Services Research Institute (AHSRI) provid</w:t>
      </w:r>
      <w:r>
        <w:rPr>
          <w:rFonts w:cs="Arial"/>
          <w:sz w:val="20"/>
        </w:rPr>
        <w:t>es</w:t>
      </w:r>
      <w:r w:rsidRPr="009306DB">
        <w:rPr>
          <w:rFonts w:cs="Arial"/>
          <w:sz w:val="20"/>
        </w:rPr>
        <w:t xml:space="preserve"> the ePPOC manager, statistical support and also high level strategic input.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41A52CC"/>
    <w:lvl w:ilvl="0">
      <w:start w:val="1"/>
      <w:numFmt w:val="decimal"/>
      <w:lvlText w:val="%1."/>
      <w:legacy w:legacy="1" w:legacySpace="120" w:legacyIndent="567"/>
      <w:lvlJc w:val="left"/>
      <w:pPr>
        <w:ind w:left="567" w:hanging="567"/>
      </w:pPr>
      <w:rPr>
        <w:i w:val="0"/>
      </w:rPr>
    </w:lvl>
    <w:lvl w:ilvl="1">
      <w:start w:val="1"/>
      <w:numFmt w:val="decimal"/>
      <w:lvlText w:val="%1.%2."/>
      <w:legacy w:legacy="1" w:legacySpace="120" w:legacyIndent="567"/>
      <w:lvlJc w:val="left"/>
      <w:pPr>
        <w:ind w:hanging="567"/>
      </w:pPr>
      <w:rPr>
        <w:i w:val="0"/>
      </w:r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pPr>
        <w:ind w:left="0" w:firstLine="0"/>
      </w:pPr>
    </w:lvl>
  </w:abstractNum>
  <w:abstractNum w:abstractNumId="2">
    <w:nsid w:val="011B0660"/>
    <w:multiLevelType w:val="hybridMultilevel"/>
    <w:tmpl w:val="9B9E9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1065C5"/>
    <w:multiLevelType w:val="hybridMultilevel"/>
    <w:tmpl w:val="90186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49400C"/>
    <w:multiLevelType w:val="hybridMultilevel"/>
    <w:tmpl w:val="758CED80"/>
    <w:lvl w:ilvl="0" w:tplc="4E92B21A">
      <w:start w:val="1"/>
      <w:numFmt w:val="lowerLetter"/>
      <w:pStyle w:val="2ListParagraph"/>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113678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6CD63BD"/>
    <w:multiLevelType w:val="multilevel"/>
    <w:tmpl w:val="4C527B0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70F3FF3"/>
    <w:multiLevelType w:val="multilevel"/>
    <w:tmpl w:val="8F6A5EF2"/>
    <w:numStyleLink w:val="Bullets"/>
  </w:abstractNum>
  <w:abstractNum w:abstractNumId="8">
    <w:nsid w:val="180365F2"/>
    <w:multiLevelType w:val="multilevel"/>
    <w:tmpl w:val="1CB0F6EA"/>
    <w:lvl w:ilvl="0">
      <w:start w:val="1"/>
      <w:numFmt w:val="bullet"/>
      <w:pStyle w:val="ListParagraph"/>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83678D6"/>
    <w:multiLevelType w:val="multilevel"/>
    <w:tmpl w:val="9DF672A4"/>
    <w:styleLink w:val="HeadingsNr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305"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0">
    <w:nsid w:val="19685322"/>
    <w:multiLevelType w:val="hybridMultilevel"/>
    <w:tmpl w:val="25D6E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D090F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113073C"/>
    <w:multiLevelType w:val="hybridMultilevel"/>
    <w:tmpl w:val="5B24FE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3227F83"/>
    <w:multiLevelType w:val="multilevel"/>
    <w:tmpl w:val="543E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F85FBC"/>
    <w:multiLevelType w:val="hybridMultilevel"/>
    <w:tmpl w:val="087A9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45E3B02"/>
    <w:multiLevelType w:val="multilevel"/>
    <w:tmpl w:val="49524472"/>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312" w:hanging="312"/>
      </w:pPr>
      <w:rPr>
        <w:rFonts w:hint="default"/>
        <w:i w:val="0"/>
      </w:rPr>
    </w:lvl>
    <w:lvl w:ilvl="2">
      <w:start w:val="1"/>
      <w:numFmt w:val="decimal"/>
      <w:pStyle w:val="Heading3"/>
      <w:lvlText w:val="%1.%2.%3"/>
      <w:lvlJc w:val="left"/>
      <w:pPr>
        <w:ind w:left="454" w:hanging="170"/>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6">
    <w:nsid w:val="36E825CC"/>
    <w:multiLevelType w:val="multilevel"/>
    <w:tmpl w:val="8F6A5EF2"/>
    <w:styleLink w:val="Bullets"/>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92052A9"/>
    <w:multiLevelType w:val="hybridMultilevel"/>
    <w:tmpl w:val="CEDEB1B0"/>
    <w:lvl w:ilvl="0" w:tplc="618CC676">
      <w:start w:val="1"/>
      <w:numFmt w:val="bullet"/>
      <w:lvlText w:val=""/>
      <w:lvlJc w:val="left"/>
      <w:pPr>
        <w:ind w:left="567" w:hanging="567"/>
      </w:pPr>
      <w:rPr>
        <w:rFonts w:ascii="Symbol" w:hAnsi="Symbol" w:hint="default"/>
      </w:rPr>
    </w:lvl>
    <w:lvl w:ilvl="1" w:tplc="BE88F38C">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C332F64"/>
    <w:multiLevelType w:val="hybridMultilevel"/>
    <w:tmpl w:val="B4AEF2BA"/>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0BE7C92"/>
    <w:multiLevelType w:val="multilevel"/>
    <w:tmpl w:val="99A6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7924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78F71A3"/>
    <w:multiLevelType w:val="hybridMultilevel"/>
    <w:tmpl w:val="9F342C76"/>
    <w:lvl w:ilvl="0" w:tplc="BE88F38C">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nsid w:val="47EF5DC2"/>
    <w:multiLevelType w:val="hybridMultilevel"/>
    <w:tmpl w:val="710C4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AF97A9E"/>
    <w:multiLevelType w:val="multilevel"/>
    <w:tmpl w:val="9DF672A4"/>
    <w:numStyleLink w:val="HeadingsNrs"/>
  </w:abstractNum>
  <w:abstractNum w:abstractNumId="24">
    <w:nsid w:val="4B536382"/>
    <w:multiLevelType w:val="hybridMultilevel"/>
    <w:tmpl w:val="8F0C2E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nsid w:val="4F8E2FE9"/>
    <w:multiLevelType w:val="multilevel"/>
    <w:tmpl w:val="9DF672A4"/>
    <w:numStyleLink w:val="HeadingsNrs"/>
  </w:abstractNum>
  <w:abstractNum w:abstractNumId="26">
    <w:nsid w:val="5664003D"/>
    <w:multiLevelType w:val="hybridMultilevel"/>
    <w:tmpl w:val="B5EE0C5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594E3E9F"/>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28">
    <w:nsid w:val="59723302"/>
    <w:multiLevelType w:val="multilevel"/>
    <w:tmpl w:val="03C298A6"/>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227"/>
        </w:tabs>
        <w:ind w:left="1227" w:hanging="660"/>
      </w:pPr>
      <w:rPr>
        <w:rFonts w:cs="Times New Roman" w:hint="default"/>
      </w:rPr>
    </w:lvl>
    <w:lvl w:ilvl="2">
      <w:start w:val="3"/>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2"/>
        </w:tabs>
        <w:ind w:left="2422"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9">
    <w:nsid w:val="5AF35A71"/>
    <w:multiLevelType w:val="multilevel"/>
    <w:tmpl w:val="9DF672A4"/>
    <w:numStyleLink w:val="HeadingsNrs"/>
  </w:abstractNum>
  <w:abstractNum w:abstractNumId="30">
    <w:nsid w:val="627458F4"/>
    <w:multiLevelType w:val="hybridMultilevel"/>
    <w:tmpl w:val="A54E4A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F142057"/>
    <w:multiLevelType w:val="hybridMultilevel"/>
    <w:tmpl w:val="B1B4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0E397D"/>
    <w:multiLevelType w:val="hybridMultilevel"/>
    <w:tmpl w:val="61FC70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7E60C4A"/>
    <w:multiLevelType w:val="hybridMultilevel"/>
    <w:tmpl w:val="4448F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A4D344A"/>
    <w:multiLevelType w:val="hybridMultilevel"/>
    <w:tmpl w:val="7BF02A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6"/>
  </w:num>
  <w:num w:numId="4">
    <w:abstractNumId w:val="16"/>
  </w:num>
  <w:num w:numId="5">
    <w:abstractNumId w:val="25"/>
  </w:num>
  <w:num w:numId="6">
    <w:abstractNumId w:val="25"/>
  </w:num>
  <w:num w:numId="7">
    <w:abstractNumId w:val="25"/>
  </w:num>
  <w:num w:numId="8">
    <w:abstractNumId w:val="5"/>
  </w:num>
  <w:num w:numId="9">
    <w:abstractNumId w:val="8"/>
  </w:num>
  <w:num w:numId="10">
    <w:abstractNumId w:val="4"/>
  </w:num>
  <w:num w:numId="11">
    <w:abstractNumId w:val="29"/>
  </w:num>
  <w:num w:numId="12">
    <w:abstractNumId w:val="23"/>
  </w:num>
  <w:num w:numId="13">
    <w:abstractNumId w:val="15"/>
  </w:num>
  <w:num w:numId="14">
    <w:abstractNumId w:val="13"/>
  </w:num>
  <w:num w:numId="15">
    <w:abstractNumId w:val="10"/>
  </w:num>
  <w:num w:numId="16">
    <w:abstractNumId w:val="8"/>
  </w:num>
  <w:num w:numId="17">
    <w:abstractNumId w:val="28"/>
  </w:num>
  <w:num w:numId="18">
    <w:abstractNumId w:val="12"/>
  </w:num>
  <w:num w:numId="19">
    <w:abstractNumId w:val="30"/>
  </w:num>
  <w:num w:numId="20">
    <w:abstractNumId w:val="31"/>
  </w:num>
  <w:num w:numId="21">
    <w:abstractNumId w:val="15"/>
  </w:num>
  <w:num w:numId="22">
    <w:abstractNumId w:val="20"/>
  </w:num>
  <w:num w:numId="23">
    <w:abstractNumId w:val="2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22"/>
  </w:num>
  <w:num w:numId="28">
    <w:abstractNumId w:val="34"/>
  </w:num>
  <w:num w:numId="29">
    <w:abstractNumId w:val="14"/>
  </w:num>
  <w:num w:numId="30">
    <w:abstractNumId w:val="21"/>
  </w:num>
  <w:num w:numId="31">
    <w:abstractNumId w:val="15"/>
    <w:lvlOverride w:ilvl="0">
      <w:startOverride w:val="9"/>
    </w:lvlOverride>
    <w:lvlOverride w:ilvl="1">
      <w:startOverride w:val="3"/>
    </w:lvlOverride>
  </w:num>
  <w:num w:numId="32">
    <w:abstractNumId w:val="1"/>
    <w:lvlOverride w:ilvl="0">
      <w:lvl w:ilvl="0">
        <w:numFmt w:val="bullet"/>
        <w:lvlText w:val=""/>
        <w:legacy w:legacy="1" w:legacySpace="0" w:legacyIndent="283"/>
        <w:lvlJc w:val="left"/>
        <w:pPr>
          <w:ind w:left="283" w:hanging="283"/>
        </w:pPr>
        <w:rPr>
          <w:rFonts w:ascii="Symbol" w:hAnsi="Symbol" w:hint="default"/>
        </w:rPr>
      </w:lvl>
    </w:lvlOverride>
  </w:num>
  <w:num w:numId="33">
    <w:abstractNumId w:val="2"/>
  </w:num>
  <w:num w:numId="34">
    <w:abstractNumId w:val="3"/>
  </w:num>
  <w:num w:numId="35">
    <w:abstractNumId w:val="8"/>
  </w:num>
  <w:num w:numId="36">
    <w:abstractNumId w:val="26"/>
  </w:num>
  <w:num w:numId="37">
    <w:abstractNumId w:val="24"/>
  </w:num>
  <w:num w:numId="38">
    <w:abstractNumId w:val="0"/>
  </w:num>
  <w:num w:numId="39">
    <w:abstractNumId w:val="32"/>
  </w:num>
  <w:num w:numId="40">
    <w:abstractNumId w:val="11"/>
  </w:num>
  <w:num w:numId="41">
    <w:abstractNumId w:val="6"/>
  </w:num>
  <w:num w:numId="42">
    <w:abstractNumId w:val="1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A3"/>
    <w:rsid w:val="000014E4"/>
    <w:rsid w:val="0000242C"/>
    <w:rsid w:val="00003202"/>
    <w:rsid w:val="00007E97"/>
    <w:rsid w:val="00016749"/>
    <w:rsid w:val="00023020"/>
    <w:rsid w:val="000254EE"/>
    <w:rsid w:val="0003799D"/>
    <w:rsid w:val="000412E8"/>
    <w:rsid w:val="00053D29"/>
    <w:rsid w:val="00060B7F"/>
    <w:rsid w:val="0007011D"/>
    <w:rsid w:val="00071C59"/>
    <w:rsid w:val="000800A9"/>
    <w:rsid w:val="00091E82"/>
    <w:rsid w:val="000921A9"/>
    <w:rsid w:val="000921FE"/>
    <w:rsid w:val="00092CC9"/>
    <w:rsid w:val="000978EA"/>
    <w:rsid w:val="000B172E"/>
    <w:rsid w:val="000B7D11"/>
    <w:rsid w:val="000C0449"/>
    <w:rsid w:val="000C403E"/>
    <w:rsid w:val="000C40A7"/>
    <w:rsid w:val="000D05DE"/>
    <w:rsid w:val="000D411A"/>
    <w:rsid w:val="000D5131"/>
    <w:rsid w:val="000E0157"/>
    <w:rsid w:val="000E4682"/>
    <w:rsid w:val="000E5B7B"/>
    <w:rsid w:val="000F4B2E"/>
    <w:rsid w:val="0010491C"/>
    <w:rsid w:val="00115AEE"/>
    <w:rsid w:val="001219ED"/>
    <w:rsid w:val="0012773D"/>
    <w:rsid w:val="00135BA7"/>
    <w:rsid w:val="0013668A"/>
    <w:rsid w:val="00140E41"/>
    <w:rsid w:val="001458F6"/>
    <w:rsid w:val="00151BF5"/>
    <w:rsid w:val="001528F9"/>
    <w:rsid w:val="001529B2"/>
    <w:rsid w:val="0015341A"/>
    <w:rsid w:val="00160D24"/>
    <w:rsid w:val="00166E60"/>
    <w:rsid w:val="001836AF"/>
    <w:rsid w:val="001920B1"/>
    <w:rsid w:val="001A2232"/>
    <w:rsid w:val="001A5A8D"/>
    <w:rsid w:val="001A5F16"/>
    <w:rsid w:val="001B0F71"/>
    <w:rsid w:val="001B207A"/>
    <w:rsid w:val="001B66BC"/>
    <w:rsid w:val="001C0581"/>
    <w:rsid w:val="001C0948"/>
    <w:rsid w:val="001D2DB8"/>
    <w:rsid w:val="001D5959"/>
    <w:rsid w:val="001E03FE"/>
    <w:rsid w:val="001E2467"/>
    <w:rsid w:val="001F24A1"/>
    <w:rsid w:val="001F783D"/>
    <w:rsid w:val="00202609"/>
    <w:rsid w:val="00205151"/>
    <w:rsid w:val="00206220"/>
    <w:rsid w:val="00223D64"/>
    <w:rsid w:val="00225A77"/>
    <w:rsid w:val="00227D0F"/>
    <w:rsid w:val="00227ED6"/>
    <w:rsid w:val="00230356"/>
    <w:rsid w:val="00234C4E"/>
    <w:rsid w:val="00237FD3"/>
    <w:rsid w:val="00245574"/>
    <w:rsid w:val="00251D8E"/>
    <w:rsid w:val="00263EC7"/>
    <w:rsid w:val="00266192"/>
    <w:rsid w:val="00273846"/>
    <w:rsid w:val="002814F2"/>
    <w:rsid w:val="00281822"/>
    <w:rsid w:val="002A240F"/>
    <w:rsid w:val="002A593B"/>
    <w:rsid w:val="002B36E2"/>
    <w:rsid w:val="002B43CA"/>
    <w:rsid w:val="002B50D0"/>
    <w:rsid w:val="002B5B56"/>
    <w:rsid w:val="002D7FCD"/>
    <w:rsid w:val="002E4843"/>
    <w:rsid w:val="002F3875"/>
    <w:rsid w:val="002F6A6E"/>
    <w:rsid w:val="00301CAE"/>
    <w:rsid w:val="00303A37"/>
    <w:rsid w:val="00304770"/>
    <w:rsid w:val="003076FC"/>
    <w:rsid w:val="00312C97"/>
    <w:rsid w:val="00323DCA"/>
    <w:rsid w:val="0033378D"/>
    <w:rsid w:val="003344EC"/>
    <w:rsid w:val="00366DFC"/>
    <w:rsid w:val="00376E98"/>
    <w:rsid w:val="00382984"/>
    <w:rsid w:val="00383D8F"/>
    <w:rsid w:val="0038532D"/>
    <w:rsid w:val="0038620E"/>
    <w:rsid w:val="003870BB"/>
    <w:rsid w:val="003938B3"/>
    <w:rsid w:val="003A4A06"/>
    <w:rsid w:val="003B5328"/>
    <w:rsid w:val="003C14E1"/>
    <w:rsid w:val="003C2678"/>
    <w:rsid w:val="003D1561"/>
    <w:rsid w:val="003E662E"/>
    <w:rsid w:val="00406771"/>
    <w:rsid w:val="00421362"/>
    <w:rsid w:val="0042184A"/>
    <w:rsid w:val="004221E7"/>
    <w:rsid w:val="00430265"/>
    <w:rsid w:val="00431A5D"/>
    <w:rsid w:val="00433FB5"/>
    <w:rsid w:val="00440B40"/>
    <w:rsid w:val="00443D6D"/>
    <w:rsid w:val="00460FDC"/>
    <w:rsid w:val="00465003"/>
    <w:rsid w:val="00472886"/>
    <w:rsid w:val="0047476C"/>
    <w:rsid w:val="00476493"/>
    <w:rsid w:val="00486C76"/>
    <w:rsid w:val="004A0F17"/>
    <w:rsid w:val="004A3E4A"/>
    <w:rsid w:val="004B471B"/>
    <w:rsid w:val="004D1DBA"/>
    <w:rsid w:val="004D1F02"/>
    <w:rsid w:val="004D2AB5"/>
    <w:rsid w:val="004D2CE8"/>
    <w:rsid w:val="004E1D4C"/>
    <w:rsid w:val="004F7081"/>
    <w:rsid w:val="00504493"/>
    <w:rsid w:val="005110E2"/>
    <w:rsid w:val="00511CD8"/>
    <w:rsid w:val="0051336D"/>
    <w:rsid w:val="005210A2"/>
    <w:rsid w:val="00522E71"/>
    <w:rsid w:val="00526980"/>
    <w:rsid w:val="00532A53"/>
    <w:rsid w:val="00534399"/>
    <w:rsid w:val="00536430"/>
    <w:rsid w:val="00540D21"/>
    <w:rsid w:val="00552B90"/>
    <w:rsid w:val="005718F5"/>
    <w:rsid w:val="00571C4C"/>
    <w:rsid w:val="00574983"/>
    <w:rsid w:val="00575104"/>
    <w:rsid w:val="00577D07"/>
    <w:rsid w:val="00585F31"/>
    <w:rsid w:val="00590B6F"/>
    <w:rsid w:val="005933E4"/>
    <w:rsid w:val="005978F8"/>
    <w:rsid w:val="00597DBE"/>
    <w:rsid w:val="005A264F"/>
    <w:rsid w:val="005A2BCE"/>
    <w:rsid w:val="005A3478"/>
    <w:rsid w:val="005A5A48"/>
    <w:rsid w:val="005C0B34"/>
    <w:rsid w:val="005C409C"/>
    <w:rsid w:val="005C40AB"/>
    <w:rsid w:val="005C6AEF"/>
    <w:rsid w:val="005D5B47"/>
    <w:rsid w:val="005D770A"/>
    <w:rsid w:val="005E5645"/>
    <w:rsid w:val="005E7624"/>
    <w:rsid w:val="005F063D"/>
    <w:rsid w:val="005F6546"/>
    <w:rsid w:val="00605582"/>
    <w:rsid w:val="0061087F"/>
    <w:rsid w:val="00613073"/>
    <w:rsid w:val="00616414"/>
    <w:rsid w:val="00620E67"/>
    <w:rsid w:val="00632B4C"/>
    <w:rsid w:val="00632CB1"/>
    <w:rsid w:val="00635E29"/>
    <w:rsid w:val="006368AE"/>
    <w:rsid w:val="00636CB0"/>
    <w:rsid w:val="00640E3E"/>
    <w:rsid w:val="00652BA5"/>
    <w:rsid w:val="00653588"/>
    <w:rsid w:val="00657BA4"/>
    <w:rsid w:val="00674532"/>
    <w:rsid w:val="006835EB"/>
    <w:rsid w:val="00692896"/>
    <w:rsid w:val="00695655"/>
    <w:rsid w:val="0069681C"/>
    <w:rsid w:val="006A0EF9"/>
    <w:rsid w:val="006A24F2"/>
    <w:rsid w:val="006B19EF"/>
    <w:rsid w:val="006C6230"/>
    <w:rsid w:val="006C6EB9"/>
    <w:rsid w:val="006C78E5"/>
    <w:rsid w:val="006C7F2D"/>
    <w:rsid w:val="006E2D31"/>
    <w:rsid w:val="006E658E"/>
    <w:rsid w:val="00705FB0"/>
    <w:rsid w:val="00721690"/>
    <w:rsid w:val="00727587"/>
    <w:rsid w:val="00731930"/>
    <w:rsid w:val="00776C68"/>
    <w:rsid w:val="00781839"/>
    <w:rsid w:val="00781BCD"/>
    <w:rsid w:val="00784DD0"/>
    <w:rsid w:val="00785BCE"/>
    <w:rsid w:val="00785F26"/>
    <w:rsid w:val="00795909"/>
    <w:rsid w:val="00795E0A"/>
    <w:rsid w:val="00796016"/>
    <w:rsid w:val="007A7F24"/>
    <w:rsid w:val="007B5938"/>
    <w:rsid w:val="007C6EA3"/>
    <w:rsid w:val="007D3876"/>
    <w:rsid w:val="007D4359"/>
    <w:rsid w:val="007D7B17"/>
    <w:rsid w:val="007D7F61"/>
    <w:rsid w:val="007E7084"/>
    <w:rsid w:val="007F12C7"/>
    <w:rsid w:val="007F5206"/>
    <w:rsid w:val="0080360C"/>
    <w:rsid w:val="00813FF7"/>
    <w:rsid w:val="00822F55"/>
    <w:rsid w:val="008341AA"/>
    <w:rsid w:val="00855393"/>
    <w:rsid w:val="00860A0E"/>
    <w:rsid w:val="00860FD2"/>
    <w:rsid w:val="008633A7"/>
    <w:rsid w:val="00863596"/>
    <w:rsid w:val="008658C7"/>
    <w:rsid w:val="00870C17"/>
    <w:rsid w:val="0087265B"/>
    <w:rsid w:val="00872995"/>
    <w:rsid w:val="008828BF"/>
    <w:rsid w:val="00886D7A"/>
    <w:rsid w:val="00894EEB"/>
    <w:rsid w:val="008A185F"/>
    <w:rsid w:val="008A1C8B"/>
    <w:rsid w:val="008B056D"/>
    <w:rsid w:val="008B21F3"/>
    <w:rsid w:val="008C493F"/>
    <w:rsid w:val="008D53E0"/>
    <w:rsid w:val="008E114E"/>
    <w:rsid w:val="008E5338"/>
    <w:rsid w:val="008E5C66"/>
    <w:rsid w:val="008F55B8"/>
    <w:rsid w:val="008F616C"/>
    <w:rsid w:val="00905184"/>
    <w:rsid w:val="009138C8"/>
    <w:rsid w:val="00920C3C"/>
    <w:rsid w:val="00924B9D"/>
    <w:rsid w:val="00927014"/>
    <w:rsid w:val="0093051C"/>
    <w:rsid w:val="009306DB"/>
    <w:rsid w:val="00932D1B"/>
    <w:rsid w:val="009425A3"/>
    <w:rsid w:val="00942F7B"/>
    <w:rsid w:val="00944F34"/>
    <w:rsid w:val="009452A0"/>
    <w:rsid w:val="0095029E"/>
    <w:rsid w:val="0095266B"/>
    <w:rsid w:val="0095429F"/>
    <w:rsid w:val="00957857"/>
    <w:rsid w:val="009631A9"/>
    <w:rsid w:val="009653A4"/>
    <w:rsid w:val="00966908"/>
    <w:rsid w:val="009866FE"/>
    <w:rsid w:val="009961ED"/>
    <w:rsid w:val="009A3CB4"/>
    <w:rsid w:val="009A44CD"/>
    <w:rsid w:val="009A5A91"/>
    <w:rsid w:val="009A75C8"/>
    <w:rsid w:val="009C24BF"/>
    <w:rsid w:val="009C3978"/>
    <w:rsid w:val="009C60B0"/>
    <w:rsid w:val="009D4BCD"/>
    <w:rsid w:val="009F5CCA"/>
    <w:rsid w:val="00A00093"/>
    <w:rsid w:val="00A05031"/>
    <w:rsid w:val="00A17EE5"/>
    <w:rsid w:val="00A2010F"/>
    <w:rsid w:val="00A211F1"/>
    <w:rsid w:val="00A22706"/>
    <w:rsid w:val="00A23C2D"/>
    <w:rsid w:val="00A279DA"/>
    <w:rsid w:val="00A30AB4"/>
    <w:rsid w:val="00A31332"/>
    <w:rsid w:val="00A346CA"/>
    <w:rsid w:val="00A5118A"/>
    <w:rsid w:val="00A51411"/>
    <w:rsid w:val="00A560BC"/>
    <w:rsid w:val="00A60E92"/>
    <w:rsid w:val="00A65918"/>
    <w:rsid w:val="00A741B2"/>
    <w:rsid w:val="00A81BE0"/>
    <w:rsid w:val="00A82D77"/>
    <w:rsid w:val="00A872A7"/>
    <w:rsid w:val="00A876D8"/>
    <w:rsid w:val="00A93165"/>
    <w:rsid w:val="00AA6DC7"/>
    <w:rsid w:val="00AA7E28"/>
    <w:rsid w:val="00AB324B"/>
    <w:rsid w:val="00AB327A"/>
    <w:rsid w:val="00AB3687"/>
    <w:rsid w:val="00AC49D2"/>
    <w:rsid w:val="00AD0D07"/>
    <w:rsid w:val="00AD1FDB"/>
    <w:rsid w:val="00AF046F"/>
    <w:rsid w:val="00AF3065"/>
    <w:rsid w:val="00AF5C2C"/>
    <w:rsid w:val="00B0368D"/>
    <w:rsid w:val="00B14283"/>
    <w:rsid w:val="00B167A3"/>
    <w:rsid w:val="00B16F0F"/>
    <w:rsid w:val="00B173A3"/>
    <w:rsid w:val="00B24E22"/>
    <w:rsid w:val="00B452BA"/>
    <w:rsid w:val="00B4626F"/>
    <w:rsid w:val="00B462E9"/>
    <w:rsid w:val="00B465D7"/>
    <w:rsid w:val="00B47686"/>
    <w:rsid w:val="00B62215"/>
    <w:rsid w:val="00B70248"/>
    <w:rsid w:val="00B74C7E"/>
    <w:rsid w:val="00B809B9"/>
    <w:rsid w:val="00B81DD7"/>
    <w:rsid w:val="00B82464"/>
    <w:rsid w:val="00B83DA3"/>
    <w:rsid w:val="00B84B07"/>
    <w:rsid w:val="00B85ECA"/>
    <w:rsid w:val="00B87FB8"/>
    <w:rsid w:val="00B90ABF"/>
    <w:rsid w:val="00B95C45"/>
    <w:rsid w:val="00BA3618"/>
    <w:rsid w:val="00BA449C"/>
    <w:rsid w:val="00BA5A78"/>
    <w:rsid w:val="00BB7772"/>
    <w:rsid w:val="00BC02E2"/>
    <w:rsid w:val="00BC533C"/>
    <w:rsid w:val="00BC7356"/>
    <w:rsid w:val="00BD1D22"/>
    <w:rsid w:val="00BD717F"/>
    <w:rsid w:val="00BE37B6"/>
    <w:rsid w:val="00BF66E0"/>
    <w:rsid w:val="00C219A5"/>
    <w:rsid w:val="00C25292"/>
    <w:rsid w:val="00C26FFA"/>
    <w:rsid w:val="00C35556"/>
    <w:rsid w:val="00C37921"/>
    <w:rsid w:val="00C431BD"/>
    <w:rsid w:val="00C4583D"/>
    <w:rsid w:val="00C5041D"/>
    <w:rsid w:val="00C612A1"/>
    <w:rsid w:val="00C7038D"/>
    <w:rsid w:val="00C812F6"/>
    <w:rsid w:val="00C84045"/>
    <w:rsid w:val="00C87034"/>
    <w:rsid w:val="00C92EF7"/>
    <w:rsid w:val="00C9468A"/>
    <w:rsid w:val="00CA075E"/>
    <w:rsid w:val="00CA2F04"/>
    <w:rsid w:val="00CC4495"/>
    <w:rsid w:val="00CC75B1"/>
    <w:rsid w:val="00CD3D8F"/>
    <w:rsid w:val="00CD40AF"/>
    <w:rsid w:val="00CD6047"/>
    <w:rsid w:val="00CD60AF"/>
    <w:rsid w:val="00CE3EB2"/>
    <w:rsid w:val="00CE4868"/>
    <w:rsid w:val="00CF23C6"/>
    <w:rsid w:val="00CF3D4B"/>
    <w:rsid w:val="00D061BB"/>
    <w:rsid w:val="00D11166"/>
    <w:rsid w:val="00D12C01"/>
    <w:rsid w:val="00D21B94"/>
    <w:rsid w:val="00D25E2E"/>
    <w:rsid w:val="00D318F1"/>
    <w:rsid w:val="00D5061F"/>
    <w:rsid w:val="00D70E47"/>
    <w:rsid w:val="00D92500"/>
    <w:rsid w:val="00D95367"/>
    <w:rsid w:val="00D9661D"/>
    <w:rsid w:val="00D97846"/>
    <w:rsid w:val="00DA215D"/>
    <w:rsid w:val="00DC0AA7"/>
    <w:rsid w:val="00DC0F4B"/>
    <w:rsid w:val="00DC4C4D"/>
    <w:rsid w:val="00DC6EC1"/>
    <w:rsid w:val="00DD69A8"/>
    <w:rsid w:val="00DE2EAE"/>
    <w:rsid w:val="00DE3BFA"/>
    <w:rsid w:val="00DE41E0"/>
    <w:rsid w:val="00DE6496"/>
    <w:rsid w:val="00DF3C46"/>
    <w:rsid w:val="00DF4910"/>
    <w:rsid w:val="00DF6BA2"/>
    <w:rsid w:val="00E05EB6"/>
    <w:rsid w:val="00E12AC1"/>
    <w:rsid w:val="00E136FD"/>
    <w:rsid w:val="00E1498D"/>
    <w:rsid w:val="00E15084"/>
    <w:rsid w:val="00E20F00"/>
    <w:rsid w:val="00E26632"/>
    <w:rsid w:val="00E42112"/>
    <w:rsid w:val="00E4274C"/>
    <w:rsid w:val="00E52505"/>
    <w:rsid w:val="00E61058"/>
    <w:rsid w:val="00E662D1"/>
    <w:rsid w:val="00E7118A"/>
    <w:rsid w:val="00E86BEC"/>
    <w:rsid w:val="00EA7E4D"/>
    <w:rsid w:val="00EC4B74"/>
    <w:rsid w:val="00EC7A5D"/>
    <w:rsid w:val="00ED7C35"/>
    <w:rsid w:val="00F00A8E"/>
    <w:rsid w:val="00F04670"/>
    <w:rsid w:val="00F124D1"/>
    <w:rsid w:val="00F146E1"/>
    <w:rsid w:val="00F15383"/>
    <w:rsid w:val="00F3072C"/>
    <w:rsid w:val="00F42CBA"/>
    <w:rsid w:val="00F43E19"/>
    <w:rsid w:val="00F4441F"/>
    <w:rsid w:val="00F54593"/>
    <w:rsid w:val="00F66DDF"/>
    <w:rsid w:val="00F72CF9"/>
    <w:rsid w:val="00F76760"/>
    <w:rsid w:val="00F835A4"/>
    <w:rsid w:val="00F94342"/>
    <w:rsid w:val="00F9645D"/>
    <w:rsid w:val="00FA67B0"/>
    <w:rsid w:val="00FB6079"/>
    <w:rsid w:val="00FC002D"/>
    <w:rsid w:val="00FC1D35"/>
    <w:rsid w:val="00FC30CA"/>
    <w:rsid w:val="00FC5621"/>
    <w:rsid w:val="00FC6D6D"/>
    <w:rsid w:val="00FC7A2E"/>
    <w:rsid w:val="00FE7B1F"/>
    <w:rsid w:val="00FF3D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3"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semiHidden="0" w:uiPriority="6" w:unhideWhenUsed="0" w:qFormat="1"/>
    <w:lsdException w:name="Subtitle" w:semiHidden="0" w:uiPriority="11" w:unhideWhenUsed="0" w:qFormat="1"/>
    <w:lsdException w:name="Body Tex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151BF5"/>
    <w:pPr>
      <w:spacing w:after="0" w:line="240" w:lineRule="auto"/>
    </w:pPr>
    <w:rPr>
      <w:rFonts w:eastAsia="Times New Roman" w:cs="Times New Roman"/>
      <w:szCs w:val="20"/>
      <w:lang w:val="en-GB"/>
    </w:rPr>
  </w:style>
  <w:style w:type="paragraph" w:styleId="Heading1">
    <w:name w:val="heading 1"/>
    <w:basedOn w:val="Normal"/>
    <w:next w:val="Normal"/>
    <w:link w:val="Heading1Char"/>
    <w:uiPriority w:val="99"/>
    <w:qFormat/>
    <w:rsid w:val="001B207A"/>
    <w:pPr>
      <w:keepNext/>
      <w:numPr>
        <w:numId w:val="13"/>
      </w:numPr>
      <w:spacing w:before="240" w:after="60"/>
      <w:outlineLvl w:val="0"/>
    </w:pPr>
    <w:rPr>
      <w:rFonts w:cs="Arial"/>
      <w:b/>
      <w:bCs/>
      <w:kern w:val="32"/>
      <w:sz w:val="28"/>
      <w:szCs w:val="32"/>
      <w:lang w:eastAsia="en-NZ"/>
    </w:rPr>
  </w:style>
  <w:style w:type="paragraph" w:styleId="Heading2">
    <w:name w:val="heading 2"/>
    <w:basedOn w:val="Normal"/>
    <w:next w:val="Normal"/>
    <w:link w:val="Heading2Char"/>
    <w:uiPriority w:val="99"/>
    <w:qFormat/>
    <w:rsid w:val="00CD60AF"/>
    <w:pPr>
      <w:keepNext/>
      <w:numPr>
        <w:ilvl w:val="1"/>
        <w:numId w:val="13"/>
      </w:numPr>
      <w:spacing w:before="240" w:after="60"/>
      <w:ind w:left="596"/>
      <w:outlineLvl w:val="1"/>
    </w:pPr>
    <w:rPr>
      <w:b/>
      <w:bCs/>
      <w:iCs/>
      <w:szCs w:val="28"/>
    </w:rPr>
  </w:style>
  <w:style w:type="paragraph" w:styleId="Heading3">
    <w:name w:val="heading 3"/>
    <w:basedOn w:val="Normal"/>
    <w:next w:val="Normal"/>
    <w:link w:val="Heading3Char"/>
    <w:uiPriority w:val="99"/>
    <w:qFormat/>
    <w:rsid w:val="00151BF5"/>
    <w:pPr>
      <w:keepNext/>
      <w:numPr>
        <w:ilvl w:val="2"/>
        <w:numId w:val="13"/>
      </w:numPr>
      <w:spacing w:before="240" w:after="60"/>
      <w:outlineLvl w:val="2"/>
    </w:pPr>
    <w:rPr>
      <w:b/>
      <w:bCs/>
      <w:szCs w:val="26"/>
    </w:rPr>
  </w:style>
  <w:style w:type="paragraph" w:styleId="Heading5">
    <w:name w:val="heading 5"/>
    <w:basedOn w:val="Normal"/>
    <w:next w:val="Normal"/>
    <w:link w:val="Heading5Char"/>
    <w:uiPriority w:val="6"/>
    <w:qFormat/>
    <w:rsid w:val="00727587"/>
    <w:pPr>
      <w:spacing w:before="240" w:after="60"/>
      <w:outlineLvl w:val="4"/>
    </w:pPr>
  </w:style>
  <w:style w:type="paragraph" w:styleId="Heading6">
    <w:name w:val="heading 6"/>
    <w:basedOn w:val="Normal"/>
    <w:next w:val="Normal"/>
    <w:link w:val="Heading6Char"/>
    <w:uiPriority w:val="7"/>
    <w:qFormat/>
    <w:rsid w:val="00727587"/>
    <w:pPr>
      <w:spacing w:before="240" w:after="60"/>
      <w:outlineLvl w:val="5"/>
    </w:pPr>
    <w:rPr>
      <w:i/>
    </w:rPr>
  </w:style>
  <w:style w:type="paragraph" w:styleId="Heading7">
    <w:name w:val="heading 7"/>
    <w:basedOn w:val="Normal"/>
    <w:next w:val="Normal"/>
    <w:link w:val="Heading7Char"/>
    <w:uiPriority w:val="8"/>
    <w:qFormat/>
    <w:rsid w:val="00727587"/>
    <w:pPr>
      <w:spacing w:before="240" w:after="60"/>
      <w:outlineLvl w:val="6"/>
    </w:pPr>
    <w:rPr>
      <w:sz w:val="20"/>
    </w:rPr>
  </w:style>
  <w:style w:type="paragraph" w:styleId="Heading8">
    <w:name w:val="heading 8"/>
    <w:basedOn w:val="Normal"/>
    <w:next w:val="Normal"/>
    <w:link w:val="Heading8Char"/>
    <w:uiPriority w:val="9"/>
    <w:qFormat/>
    <w:rsid w:val="00727587"/>
    <w:pPr>
      <w:spacing w:before="240" w:after="6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Nrs">
    <w:name w:val="HeadingsNrs"/>
    <w:uiPriority w:val="99"/>
    <w:rsid w:val="001B207A"/>
    <w:pPr>
      <w:numPr>
        <w:numId w:val="1"/>
      </w:numPr>
    </w:pPr>
  </w:style>
  <w:style w:type="numbering" w:customStyle="1" w:styleId="Bullets">
    <w:name w:val="Bullets"/>
    <w:uiPriority w:val="99"/>
    <w:rsid w:val="001B0F71"/>
    <w:pPr>
      <w:numPr>
        <w:numId w:val="2"/>
      </w:numPr>
    </w:pPr>
  </w:style>
  <w:style w:type="character" w:customStyle="1" w:styleId="Heading3Char">
    <w:name w:val="Heading 3 Char"/>
    <w:link w:val="Heading3"/>
    <w:uiPriority w:val="2"/>
    <w:rsid w:val="00151BF5"/>
    <w:rPr>
      <w:rFonts w:eastAsia="Times New Roman" w:cs="Times New Roman"/>
      <w:b/>
      <w:bCs/>
      <w:szCs w:val="26"/>
      <w:lang w:val="en-GB"/>
    </w:rPr>
  </w:style>
  <w:style w:type="character" w:customStyle="1" w:styleId="Heading2Char">
    <w:name w:val="Heading 2 Char"/>
    <w:link w:val="Heading2"/>
    <w:uiPriority w:val="99"/>
    <w:rsid w:val="00CD60AF"/>
    <w:rPr>
      <w:rFonts w:eastAsia="Times New Roman" w:cs="Times New Roman"/>
      <w:b/>
      <w:bCs/>
      <w:iCs/>
      <w:szCs w:val="28"/>
      <w:lang w:val="en-GB"/>
    </w:rPr>
  </w:style>
  <w:style w:type="character" w:customStyle="1" w:styleId="Heading1Char">
    <w:name w:val="Heading 1 Char"/>
    <w:basedOn w:val="DefaultParagraphFont"/>
    <w:link w:val="Heading1"/>
    <w:rsid w:val="001B207A"/>
    <w:rPr>
      <w:rFonts w:eastAsia="Times New Roman" w:cs="Arial"/>
      <w:b/>
      <w:bCs/>
      <w:kern w:val="32"/>
      <w:sz w:val="28"/>
      <w:szCs w:val="32"/>
      <w:lang w:val="en-GB" w:eastAsia="en-NZ"/>
    </w:rPr>
  </w:style>
  <w:style w:type="paragraph" w:styleId="Footer">
    <w:name w:val="footer"/>
    <w:basedOn w:val="Normal"/>
    <w:link w:val="FooterChar"/>
    <w:unhideWhenUsed/>
    <w:rsid w:val="009425A3"/>
    <w:pPr>
      <w:tabs>
        <w:tab w:val="center" w:pos="4153"/>
        <w:tab w:val="right" w:pos="8306"/>
      </w:tabs>
    </w:pPr>
  </w:style>
  <w:style w:type="character" w:customStyle="1" w:styleId="FooterChar">
    <w:name w:val="Footer Char"/>
    <w:basedOn w:val="DefaultParagraphFont"/>
    <w:link w:val="Footer"/>
    <w:rsid w:val="005210A2"/>
    <w:rPr>
      <w:rFonts w:eastAsia="Times New Roman" w:cs="Times New Roman"/>
      <w:sz w:val="22"/>
      <w:szCs w:val="20"/>
      <w:lang w:val="en-GB"/>
    </w:rPr>
  </w:style>
  <w:style w:type="character" w:styleId="Hyperlink">
    <w:name w:val="Hyperlink"/>
    <w:basedOn w:val="DefaultParagraphFont"/>
    <w:uiPriority w:val="99"/>
    <w:rsid w:val="009425A3"/>
    <w:rPr>
      <w:rFonts w:cs="Times New Roman"/>
      <w:color w:val="0000FF"/>
      <w:u w:val="single"/>
    </w:rPr>
  </w:style>
  <w:style w:type="character" w:styleId="CommentReference">
    <w:name w:val="annotation reference"/>
    <w:basedOn w:val="DefaultParagraphFont"/>
    <w:uiPriority w:val="99"/>
    <w:semiHidden/>
    <w:unhideWhenUsed/>
    <w:rsid w:val="009425A3"/>
    <w:rPr>
      <w:sz w:val="16"/>
      <w:szCs w:val="16"/>
    </w:rPr>
  </w:style>
  <w:style w:type="paragraph" w:styleId="CommentText">
    <w:name w:val="annotation text"/>
    <w:basedOn w:val="Normal"/>
    <w:link w:val="CommentTextChar"/>
    <w:uiPriority w:val="99"/>
    <w:semiHidden/>
    <w:unhideWhenUsed/>
    <w:rsid w:val="009425A3"/>
  </w:style>
  <w:style w:type="character" w:customStyle="1" w:styleId="CommentTextChar">
    <w:name w:val="Comment Text Char"/>
    <w:basedOn w:val="DefaultParagraphFont"/>
    <w:link w:val="CommentText"/>
    <w:uiPriority w:val="99"/>
    <w:semiHidden/>
    <w:rsid w:val="009425A3"/>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unhideWhenUsed/>
    <w:rsid w:val="009425A3"/>
  </w:style>
  <w:style w:type="character" w:customStyle="1" w:styleId="FootnoteTextChar">
    <w:name w:val="Footnote Text Char"/>
    <w:basedOn w:val="DefaultParagraphFont"/>
    <w:link w:val="FootnoteText"/>
    <w:semiHidden/>
    <w:rsid w:val="009425A3"/>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9425A3"/>
    <w:rPr>
      <w:vertAlign w:val="superscript"/>
    </w:rPr>
  </w:style>
  <w:style w:type="table" w:styleId="TableGrid">
    <w:name w:val="Table Grid"/>
    <w:basedOn w:val="TableNormal"/>
    <w:uiPriority w:val="59"/>
    <w:rsid w:val="009425A3"/>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5A3"/>
    <w:rPr>
      <w:rFonts w:ascii="Tahoma" w:hAnsi="Tahoma" w:cs="Tahoma"/>
      <w:sz w:val="16"/>
      <w:szCs w:val="16"/>
    </w:rPr>
  </w:style>
  <w:style w:type="character" w:customStyle="1" w:styleId="BalloonTextChar">
    <w:name w:val="Balloon Text Char"/>
    <w:basedOn w:val="DefaultParagraphFont"/>
    <w:link w:val="BalloonText"/>
    <w:uiPriority w:val="99"/>
    <w:semiHidden/>
    <w:rsid w:val="009425A3"/>
    <w:rPr>
      <w:rFonts w:ascii="Tahoma" w:eastAsia="Times New Roman" w:hAnsi="Tahoma" w:cs="Tahoma"/>
      <w:sz w:val="16"/>
      <w:szCs w:val="16"/>
      <w:lang w:val="en-GB"/>
    </w:rPr>
  </w:style>
  <w:style w:type="character" w:styleId="Emphasis">
    <w:name w:val="Emphasis"/>
    <w:basedOn w:val="DefaultParagraphFont"/>
    <w:uiPriority w:val="20"/>
    <w:qFormat/>
    <w:rsid w:val="00BE37B6"/>
    <w:rPr>
      <w:b/>
      <w:i/>
      <w:iCs/>
    </w:rPr>
  </w:style>
  <w:style w:type="paragraph" w:styleId="Title">
    <w:name w:val="Title"/>
    <w:basedOn w:val="Normal"/>
    <w:next w:val="Normal"/>
    <w:link w:val="TitleChar"/>
    <w:uiPriority w:val="10"/>
    <w:qFormat/>
    <w:rsid w:val="00536430"/>
    <w:pPr>
      <w:spacing w:after="300"/>
      <w:contextualSpacing/>
      <w:jc w:val="center"/>
    </w:pPr>
    <w:rPr>
      <w:rFonts w:eastAsiaTheme="majorEastAsia" w:cstheme="majorBidi"/>
      <w:b/>
      <w:caps/>
      <w:spacing w:val="5"/>
      <w:kern w:val="28"/>
      <w:sz w:val="36"/>
      <w:szCs w:val="52"/>
    </w:rPr>
  </w:style>
  <w:style w:type="character" w:customStyle="1" w:styleId="TitleChar">
    <w:name w:val="Title Char"/>
    <w:basedOn w:val="DefaultParagraphFont"/>
    <w:link w:val="Title"/>
    <w:uiPriority w:val="10"/>
    <w:rsid w:val="00536430"/>
    <w:rPr>
      <w:rFonts w:eastAsiaTheme="majorEastAsia" w:cstheme="majorBidi"/>
      <w:b/>
      <w:caps/>
      <w:spacing w:val="5"/>
      <w:kern w:val="28"/>
      <w:sz w:val="36"/>
      <w:szCs w:val="52"/>
      <w:lang w:val="en-GB"/>
    </w:rPr>
  </w:style>
  <w:style w:type="character" w:styleId="SubtleEmphasis">
    <w:name w:val="Subtle Emphasis"/>
    <w:basedOn w:val="DefaultParagraphFont"/>
    <w:uiPriority w:val="19"/>
    <w:qFormat/>
    <w:rsid w:val="009425A3"/>
    <w:rPr>
      <w:i/>
      <w:iCs/>
      <w:color w:val="auto"/>
    </w:rPr>
  </w:style>
  <w:style w:type="paragraph" w:styleId="ListParagraph">
    <w:name w:val="List Paragraph"/>
    <w:basedOn w:val="Normal"/>
    <w:uiPriority w:val="99"/>
    <w:qFormat/>
    <w:rsid w:val="00A211F1"/>
    <w:pPr>
      <w:numPr>
        <w:numId w:val="9"/>
      </w:numPr>
      <w:spacing w:before="120"/>
      <w:contextualSpacing/>
    </w:pPr>
  </w:style>
  <w:style w:type="paragraph" w:customStyle="1" w:styleId="2ListParagraph">
    <w:name w:val="2List Paragraph"/>
    <w:basedOn w:val="ListParagraph"/>
    <w:next w:val="Normal"/>
    <w:uiPriority w:val="4"/>
    <w:qFormat/>
    <w:rsid w:val="00223D64"/>
    <w:pPr>
      <w:numPr>
        <w:numId w:val="10"/>
      </w:numPr>
    </w:pPr>
  </w:style>
  <w:style w:type="character" w:styleId="BookTitle">
    <w:name w:val="Book Title"/>
    <w:basedOn w:val="DefaultParagraphFont"/>
    <w:uiPriority w:val="33"/>
    <w:qFormat/>
    <w:rsid w:val="00223D64"/>
    <w:rPr>
      <w:b/>
      <w:bCs/>
      <w:smallCaps/>
      <w:spacing w:val="5"/>
    </w:rPr>
  </w:style>
  <w:style w:type="character" w:styleId="Strong">
    <w:name w:val="Strong"/>
    <w:basedOn w:val="DefaultParagraphFont"/>
    <w:uiPriority w:val="22"/>
    <w:qFormat/>
    <w:rsid w:val="00536430"/>
    <w:rPr>
      <w:b/>
      <w:bCs/>
    </w:rPr>
  </w:style>
  <w:style w:type="paragraph" w:styleId="Header">
    <w:name w:val="header"/>
    <w:basedOn w:val="Normal"/>
    <w:link w:val="HeaderChar"/>
    <w:uiPriority w:val="99"/>
    <w:unhideWhenUsed/>
    <w:rsid w:val="00273846"/>
    <w:pPr>
      <w:tabs>
        <w:tab w:val="center" w:pos="4513"/>
        <w:tab w:val="right" w:pos="9026"/>
      </w:tabs>
    </w:pPr>
  </w:style>
  <w:style w:type="character" w:customStyle="1" w:styleId="HeaderChar">
    <w:name w:val="Header Char"/>
    <w:basedOn w:val="DefaultParagraphFont"/>
    <w:link w:val="Header"/>
    <w:uiPriority w:val="99"/>
    <w:rsid w:val="00273846"/>
    <w:rPr>
      <w:rFonts w:eastAsia="Times New Roman" w:cs="Times New Roman"/>
      <w:sz w:val="22"/>
      <w:szCs w:val="20"/>
      <w:lang w:val="en-GB"/>
    </w:rPr>
  </w:style>
  <w:style w:type="paragraph" w:styleId="CommentSubject">
    <w:name w:val="annotation subject"/>
    <w:basedOn w:val="CommentText"/>
    <w:next w:val="CommentText"/>
    <w:link w:val="CommentSubjectChar"/>
    <w:uiPriority w:val="99"/>
    <w:semiHidden/>
    <w:unhideWhenUsed/>
    <w:rsid w:val="002814F2"/>
    <w:rPr>
      <w:b/>
      <w:bCs/>
      <w:sz w:val="20"/>
    </w:rPr>
  </w:style>
  <w:style w:type="character" w:customStyle="1" w:styleId="CommentSubjectChar">
    <w:name w:val="Comment Subject Char"/>
    <w:basedOn w:val="CommentTextChar"/>
    <w:link w:val="CommentSubject"/>
    <w:uiPriority w:val="99"/>
    <w:semiHidden/>
    <w:rsid w:val="002814F2"/>
    <w:rPr>
      <w:rFonts w:ascii="Times New Roman" w:eastAsia="Times New Roman" w:hAnsi="Times New Roman" w:cs="Times New Roman"/>
      <w:b/>
      <w:bCs/>
      <w:sz w:val="20"/>
      <w:szCs w:val="20"/>
      <w:lang w:val="en-GB"/>
    </w:rPr>
  </w:style>
  <w:style w:type="paragraph" w:customStyle="1" w:styleId="bullet">
    <w:name w:val="bullet"/>
    <w:basedOn w:val="Normal"/>
    <w:unhideWhenUsed/>
    <w:rsid w:val="001C0948"/>
    <w:pPr>
      <w:spacing w:before="100" w:beforeAutospacing="1" w:after="100" w:afterAutospacing="1"/>
    </w:pPr>
    <w:rPr>
      <w:rFonts w:ascii="Times New Roman" w:hAnsi="Times New Roman"/>
      <w:szCs w:val="24"/>
      <w:lang w:val="en-NZ" w:eastAsia="en-NZ"/>
    </w:rPr>
  </w:style>
  <w:style w:type="paragraph" w:styleId="BodyTextIndent3">
    <w:name w:val="Body Text Indent 3"/>
    <w:basedOn w:val="Normal"/>
    <w:link w:val="BodyTextIndent3Char"/>
    <w:uiPriority w:val="99"/>
    <w:rsid w:val="00870C17"/>
    <w:pPr>
      <w:ind w:left="2220"/>
      <w:jc w:val="both"/>
    </w:pPr>
    <w:rPr>
      <w:rFonts w:ascii="Times New Roman" w:hAnsi="Times New Roman"/>
      <w:lang w:val="en-NZ"/>
    </w:rPr>
  </w:style>
  <w:style w:type="character" w:customStyle="1" w:styleId="BodyTextIndent3Char">
    <w:name w:val="Body Text Indent 3 Char"/>
    <w:basedOn w:val="DefaultParagraphFont"/>
    <w:link w:val="BodyTextIndent3"/>
    <w:uiPriority w:val="99"/>
    <w:rsid w:val="00870C17"/>
    <w:rPr>
      <w:rFonts w:ascii="Times New Roman" w:eastAsia="Times New Roman" w:hAnsi="Times New Roman" w:cs="Times New Roman"/>
      <w:szCs w:val="20"/>
    </w:rPr>
  </w:style>
  <w:style w:type="character" w:styleId="PageNumber">
    <w:name w:val="page number"/>
    <w:basedOn w:val="DefaultParagraphFont"/>
    <w:unhideWhenUsed/>
    <w:rsid w:val="00016749"/>
  </w:style>
  <w:style w:type="paragraph" w:customStyle="1" w:styleId="BulletPoints">
    <w:name w:val="Bullet Points"/>
    <w:basedOn w:val="Normal"/>
    <w:unhideWhenUsed/>
    <w:rsid w:val="005E7624"/>
    <w:pPr>
      <w:ind w:left="720" w:hanging="720"/>
    </w:pPr>
    <w:rPr>
      <w:rFonts w:ascii="Times New Roman" w:hAnsi="Times New Roman"/>
      <w:lang w:val="en-AU" w:eastAsia="en-GB"/>
    </w:rPr>
  </w:style>
  <w:style w:type="paragraph" w:styleId="Revision">
    <w:name w:val="Revision"/>
    <w:hidden/>
    <w:uiPriority w:val="99"/>
    <w:semiHidden/>
    <w:rsid w:val="00A51411"/>
    <w:pPr>
      <w:spacing w:after="0" w:line="240" w:lineRule="auto"/>
    </w:pPr>
    <w:rPr>
      <w:rFonts w:eastAsia="Times New Roman" w:cs="Times New Roman"/>
      <w:sz w:val="22"/>
      <w:szCs w:val="20"/>
      <w:lang w:val="en-GB"/>
    </w:rPr>
  </w:style>
  <w:style w:type="paragraph" w:styleId="BodyText2">
    <w:name w:val="Body Text 2"/>
    <w:basedOn w:val="Normal"/>
    <w:link w:val="BodyText2Char"/>
    <w:uiPriority w:val="99"/>
    <w:rsid w:val="00E05EB6"/>
    <w:pPr>
      <w:spacing w:after="120"/>
      <w:ind w:left="142"/>
    </w:pPr>
  </w:style>
  <w:style w:type="character" w:customStyle="1" w:styleId="BodyText2Char">
    <w:name w:val="Body Text 2 Char"/>
    <w:basedOn w:val="DefaultParagraphFont"/>
    <w:link w:val="BodyText2"/>
    <w:uiPriority w:val="99"/>
    <w:rsid w:val="00E05EB6"/>
    <w:rPr>
      <w:rFonts w:eastAsia="Times New Roman" w:cs="Times New Roman"/>
      <w:szCs w:val="20"/>
      <w:lang w:val="en-GB"/>
    </w:rPr>
  </w:style>
  <w:style w:type="character" w:customStyle="1" w:styleId="Heading5Char">
    <w:name w:val="Heading 5 Char"/>
    <w:basedOn w:val="DefaultParagraphFont"/>
    <w:link w:val="Heading5"/>
    <w:uiPriority w:val="6"/>
    <w:rsid w:val="005210A2"/>
    <w:rPr>
      <w:rFonts w:eastAsia="Times New Roman" w:cs="Times New Roman"/>
      <w:sz w:val="22"/>
      <w:szCs w:val="20"/>
      <w:lang w:val="en-GB"/>
    </w:rPr>
  </w:style>
  <w:style w:type="character" w:customStyle="1" w:styleId="Heading6Char">
    <w:name w:val="Heading 6 Char"/>
    <w:basedOn w:val="DefaultParagraphFont"/>
    <w:link w:val="Heading6"/>
    <w:uiPriority w:val="7"/>
    <w:rsid w:val="005210A2"/>
    <w:rPr>
      <w:rFonts w:eastAsia="Times New Roman" w:cs="Times New Roman"/>
      <w:i/>
      <w:sz w:val="22"/>
      <w:szCs w:val="20"/>
      <w:lang w:val="en-GB"/>
    </w:rPr>
  </w:style>
  <w:style w:type="character" w:customStyle="1" w:styleId="Heading7Char">
    <w:name w:val="Heading 7 Char"/>
    <w:basedOn w:val="DefaultParagraphFont"/>
    <w:link w:val="Heading7"/>
    <w:uiPriority w:val="8"/>
    <w:rsid w:val="005210A2"/>
    <w:rPr>
      <w:rFonts w:eastAsia="Times New Roman" w:cs="Times New Roman"/>
      <w:sz w:val="20"/>
      <w:szCs w:val="20"/>
      <w:lang w:val="en-GB"/>
    </w:rPr>
  </w:style>
  <w:style w:type="character" w:customStyle="1" w:styleId="Heading8Char">
    <w:name w:val="Heading 8 Char"/>
    <w:basedOn w:val="DefaultParagraphFont"/>
    <w:link w:val="Heading8"/>
    <w:uiPriority w:val="9"/>
    <w:rsid w:val="005210A2"/>
    <w:rPr>
      <w:rFonts w:eastAsia="Times New Roman" w:cs="Times New Roman"/>
      <w:i/>
      <w:sz w:val="20"/>
      <w:szCs w:val="20"/>
      <w:lang w:val="en-GB"/>
    </w:rPr>
  </w:style>
  <w:style w:type="paragraph" w:customStyle="1" w:styleId="Tablelist">
    <w:name w:val="Table list"/>
    <w:basedOn w:val="ListParagraph"/>
    <w:uiPriority w:val="99"/>
    <w:qFormat/>
    <w:rsid w:val="00905184"/>
    <w:rPr>
      <w:sz w:val="22"/>
    </w:rPr>
  </w:style>
  <w:style w:type="paragraph" w:customStyle="1" w:styleId="Tablenormal0">
    <w:name w:val="Table normal"/>
    <w:basedOn w:val="Normal"/>
    <w:uiPriority w:val="4"/>
    <w:qFormat/>
    <w:rsid w:val="00905184"/>
    <w:rPr>
      <w:sz w:val="22"/>
    </w:rPr>
  </w:style>
  <w:style w:type="paragraph" w:styleId="NormalIndent">
    <w:name w:val="Normal Indent"/>
    <w:basedOn w:val="Normal"/>
    <w:unhideWhenUsed/>
    <w:rsid w:val="00227D0F"/>
    <w:pPr>
      <w:tabs>
        <w:tab w:val="left" w:pos="709"/>
        <w:tab w:val="left" w:pos="1418"/>
      </w:tabs>
      <w:ind w:left="720"/>
    </w:pPr>
    <w:rPr>
      <w:rFonts w:ascii="Times New Roman" w:hAnsi="Times New Roman"/>
    </w:rPr>
  </w:style>
  <w:style w:type="paragraph" w:styleId="BodyText">
    <w:name w:val="Body Text"/>
    <w:basedOn w:val="Normal"/>
    <w:link w:val="BodyTextChar"/>
    <w:uiPriority w:val="6"/>
    <w:qFormat/>
    <w:rsid w:val="00151BF5"/>
    <w:pPr>
      <w:spacing w:after="120"/>
      <w:ind w:left="284"/>
    </w:pPr>
  </w:style>
  <w:style w:type="character" w:customStyle="1" w:styleId="BodyTextChar">
    <w:name w:val="Body Text Char"/>
    <w:basedOn w:val="DefaultParagraphFont"/>
    <w:link w:val="BodyText"/>
    <w:uiPriority w:val="6"/>
    <w:rsid w:val="00151BF5"/>
    <w:rPr>
      <w:rFonts w:eastAsia="Times New Roman" w:cs="Times New Roman"/>
      <w:szCs w:val="20"/>
      <w:lang w:val="en-GB"/>
    </w:rPr>
  </w:style>
  <w:style w:type="character" w:styleId="HTMLCite">
    <w:name w:val="HTML Cite"/>
    <w:basedOn w:val="DefaultParagraphFont"/>
    <w:uiPriority w:val="99"/>
    <w:semiHidden/>
    <w:unhideWhenUsed/>
    <w:rsid w:val="00DC0F4B"/>
    <w:rPr>
      <w:i/>
      <w:iCs/>
    </w:rPr>
  </w:style>
  <w:style w:type="paragraph" w:styleId="TOC2">
    <w:name w:val="toc 2"/>
    <w:basedOn w:val="Normal"/>
    <w:next w:val="Normal"/>
    <w:autoRedefine/>
    <w:uiPriority w:val="39"/>
    <w:unhideWhenUsed/>
    <w:rsid w:val="001F783D"/>
    <w:rPr>
      <w:rFonts w:asciiTheme="minorHAnsi" w:hAnsiTheme="minorHAnsi"/>
      <w:b/>
      <w:bCs/>
      <w:smallCaps/>
      <w:sz w:val="22"/>
      <w:szCs w:val="22"/>
    </w:rPr>
  </w:style>
  <w:style w:type="paragraph" w:styleId="TOC1">
    <w:name w:val="toc 1"/>
    <w:basedOn w:val="Normal"/>
    <w:next w:val="Normal"/>
    <w:autoRedefine/>
    <w:uiPriority w:val="39"/>
    <w:unhideWhenUsed/>
    <w:rsid w:val="001F783D"/>
    <w:pPr>
      <w:spacing w:before="360" w:after="360"/>
    </w:pPr>
    <w:rPr>
      <w:rFonts w:asciiTheme="minorHAnsi" w:hAnsiTheme="minorHAnsi"/>
      <w:b/>
      <w:bCs/>
      <w:caps/>
      <w:sz w:val="22"/>
      <w:szCs w:val="22"/>
      <w:u w:val="single"/>
    </w:rPr>
  </w:style>
  <w:style w:type="paragraph" w:styleId="TOC3">
    <w:name w:val="toc 3"/>
    <w:basedOn w:val="Normal"/>
    <w:next w:val="Normal"/>
    <w:autoRedefine/>
    <w:uiPriority w:val="39"/>
    <w:unhideWhenUsed/>
    <w:rsid w:val="001F783D"/>
    <w:rPr>
      <w:rFonts w:asciiTheme="minorHAnsi" w:hAnsiTheme="minorHAnsi"/>
      <w:smallCaps/>
      <w:sz w:val="22"/>
      <w:szCs w:val="22"/>
    </w:rPr>
  </w:style>
  <w:style w:type="paragraph" w:styleId="TOC4">
    <w:name w:val="toc 4"/>
    <w:basedOn w:val="Normal"/>
    <w:next w:val="Normal"/>
    <w:autoRedefine/>
    <w:uiPriority w:val="39"/>
    <w:unhideWhenUsed/>
    <w:rsid w:val="001F783D"/>
    <w:rPr>
      <w:rFonts w:asciiTheme="minorHAnsi" w:hAnsiTheme="minorHAnsi"/>
      <w:sz w:val="22"/>
      <w:szCs w:val="22"/>
    </w:rPr>
  </w:style>
  <w:style w:type="paragraph" w:styleId="TOC5">
    <w:name w:val="toc 5"/>
    <w:basedOn w:val="Normal"/>
    <w:next w:val="Normal"/>
    <w:autoRedefine/>
    <w:uiPriority w:val="39"/>
    <w:unhideWhenUsed/>
    <w:rsid w:val="001F783D"/>
    <w:rPr>
      <w:rFonts w:asciiTheme="minorHAnsi" w:hAnsiTheme="minorHAnsi"/>
      <w:sz w:val="22"/>
      <w:szCs w:val="22"/>
    </w:rPr>
  </w:style>
  <w:style w:type="paragraph" w:styleId="TOC6">
    <w:name w:val="toc 6"/>
    <w:basedOn w:val="Normal"/>
    <w:next w:val="Normal"/>
    <w:autoRedefine/>
    <w:uiPriority w:val="39"/>
    <w:unhideWhenUsed/>
    <w:rsid w:val="001F783D"/>
    <w:rPr>
      <w:rFonts w:asciiTheme="minorHAnsi" w:hAnsiTheme="minorHAnsi"/>
      <w:sz w:val="22"/>
      <w:szCs w:val="22"/>
    </w:rPr>
  </w:style>
  <w:style w:type="paragraph" w:styleId="TOC7">
    <w:name w:val="toc 7"/>
    <w:basedOn w:val="Normal"/>
    <w:next w:val="Normal"/>
    <w:autoRedefine/>
    <w:uiPriority w:val="39"/>
    <w:unhideWhenUsed/>
    <w:rsid w:val="001F783D"/>
    <w:rPr>
      <w:rFonts w:asciiTheme="minorHAnsi" w:hAnsiTheme="minorHAnsi"/>
      <w:sz w:val="22"/>
      <w:szCs w:val="22"/>
    </w:rPr>
  </w:style>
  <w:style w:type="paragraph" w:styleId="TOC8">
    <w:name w:val="toc 8"/>
    <w:basedOn w:val="Normal"/>
    <w:next w:val="Normal"/>
    <w:autoRedefine/>
    <w:uiPriority w:val="39"/>
    <w:unhideWhenUsed/>
    <w:rsid w:val="001F783D"/>
    <w:rPr>
      <w:rFonts w:asciiTheme="minorHAnsi" w:hAnsiTheme="minorHAnsi"/>
      <w:sz w:val="22"/>
      <w:szCs w:val="22"/>
    </w:rPr>
  </w:style>
  <w:style w:type="paragraph" w:styleId="TOC9">
    <w:name w:val="toc 9"/>
    <w:basedOn w:val="Normal"/>
    <w:next w:val="Normal"/>
    <w:autoRedefine/>
    <w:uiPriority w:val="39"/>
    <w:unhideWhenUsed/>
    <w:rsid w:val="001F783D"/>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3"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semiHidden="0" w:uiPriority="6" w:unhideWhenUsed="0" w:qFormat="1"/>
    <w:lsdException w:name="Subtitle" w:semiHidden="0" w:uiPriority="11" w:unhideWhenUsed="0" w:qFormat="1"/>
    <w:lsdException w:name="Body Tex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151BF5"/>
    <w:pPr>
      <w:spacing w:after="0" w:line="240" w:lineRule="auto"/>
    </w:pPr>
    <w:rPr>
      <w:rFonts w:eastAsia="Times New Roman" w:cs="Times New Roman"/>
      <w:szCs w:val="20"/>
      <w:lang w:val="en-GB"/>
    </w:rPr>
  </w:style>
  <w:style w:type="paragraph" w:styleId="Heading1">
    <w:name w:val="heading 1"/>
    <w:basedOn w:val="Normal"/>
    <w:next w:val="Normal"/>
    <w:link w:val="Heading1Char"/>
    <w:uiPriority w:val="99"/>
    <w:qFormat/>
    <w:rsid w:val="001B207A"/>
    <w:pPr>
      <w:keepNext/>
      <w:numPr>
        <w:numId w:val="13"/>
      </w:numPr>
      <w:spacing w:before="240" w:after="60"/>
      <w:outlineLvl w:val="0"/>
    </w:pPr>
    <w:rPr>
      <w:rFonts w:cs="Arial"/>
      <w:b/>
      <w:bCs/>
      <w:kern w:val="32"/>
      <w:sz w:val="28"/>
      <w:szCs w:val="32"/>
      <w:lang w:eastAsia="en-NZ"/>
    </w:rPr>
  </w:style>
  <w:style w:type="paragraph" w:styleId="Heading2">
    <w:name w:val="heading 2"/>
    <w:basedOn w:val="Normal"/>
    <w:next w:val="Normal"/>
    <w:link w:val="Heading2Char"/>
    <w:uiPriority w:val="99"/>
    <w:qFormat/>
    <w:rsid w:val="00CD60AF"/>
    <w:pPr>
      <w:keepNext/>
      <w:numPr>
        <w:ilvl w:val="1"/>
        <w:numId w:val="13"/>
      </w:numPr>
      <w:spacing w:before="240" w:after="60"/>
      <w:ind w:left="596"/>
      <w:outlineLvl w:val="1"/>
    </w:pPr>
    <w:rPr>
      <w:b/>
      <w:bCs/>
      <w:iCs/>
      <w:szCs w:val="28"/>
    </w:rPr>
  </w:style>
  <w:style w:type="paragraph" w:styleId="Heading3">
    <w:name w:val="heading 3"/>
    <w:basedOn w:val="Normal"/>
    <w:next w:val="Normal"/>
    <w:link w:val="Heading3Char"/>
    <w:uiPriority w:val="99"/>
    <w:qFormat/>
    <w:rsid w:val="00151BF5"/>
    <w:pPr>
      <w:keepNext/>
      <w:numPr>
        <w:ilvl w:val="2"/>
        <w:numId w:val="13"/>
      </w:numPr>
      <w:spacing w:before="240" w:after="60"/>
      <w:outlineLvl w:val="2"/>
    </w:pPr>
    <w:rPr>
      <w:b/>
      <w:bCs/>
      <w:szCs w:val="26"/>
    </w:rPr>
  </w:style>
  <w:style w:type="paragraph" w:styleId="Heading5">
    <w:name w:val="heading 5"/>
    <w:basedOn w:val="Normal"/>
    <w:next w:val="Normal"/>
    <w:link w:val="Heading5Char"/>
    <w:uiPriority w:val="6"/>
    <w:qFormat/>
    <w:rsid w:val="00727587"/>
    <w:pPr>
      <w:spacing w:before="240" w:after="60"/>
      <w:outlineLvl w:val="4"/>
    </w:pPr>
  </w:style>
  <w:style w:type="paragraph" w:styleId="Heading6">
    <w:name w:val="heading 6"/>
    <w:basedOn w:val="Normal"/>
    <w:next w:val="Normal"/>
    <w:link w:val="Heading6Char"/>
    <w:uiPriority w:val="7"/>
    <w:qFormat/>
    <w:rsid w:val="00727587"/>
    <w:pPr>
      <w:spacing w:before="240" w:after="60"/>
      <w:outlineLvl w:val="5"/>
    </w:pPr>
    <w:rPr>
      <w:i/>
    </w:rPr>
  </w:style>
  <w:style w:type="paragraph" w:styleId="Heading7">
    <w:name w:val="heading 7"/>
    <w:basedOn w:val="Normal"/>
    <w:next w:val="Normal"/>
    <w:link w:val="Heading7Char"/>
    <w:uiPriority w:val="8"/>
    <w:qFormat/>
    <w:rsid w:val="00727587"/>
    <w:pPr>
      <w:spacing w:before="240" w:after="60"/>
      <w:outlineLvl w:val="6"/>
    </w:pPr>
    <w:rPr>
      <w:sz w:val="20"/>
    </w:rPr>
  </w:style>
  <w:style w:type="paragraph" w:styleId="Heading8">
    <w:name w:val="heading 8"/>
    <w:basedOn w:val="Normal"/>
    <w:next w:val="Normal"/>
    <w:link w:val="Heading8Char"/>
    <w:uiPriority w:val="9"/>
    <w:qFormat/>
    <w:rsid w:val="00727587"/>
    <w:pPr>
      <w:spacing w:before="240" w:after="6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Nrs">
    <w:name w:val="HeadingsNrs"/>
    <w:uiPriority w:val="99"/>
    <w:rsid w:val="001B207A"/>
    <w:pPr>
      <w:numPr>
        <w:numId w:val="1"/>
      </w:numPr>
    </w:pPr>
  </w:style>
  <w:style w:type="numbering" w:customStyle="1" w:styleId="Bullets">
    <w:name w:val="Bullets"/>
    <w:uiPriority w:val="99"/>
    <w:rsid w:val="001B0F71"/>
    <w:pPr>
      <w:numPr>
        <w:numId w:val="2"/>
      </w:numPr>
    </w:pPr>
  </w:style>
  <w:style w:type="character" w:customStyle="1" w:styleId="Heading3Char">
    <w:name w:val="Heading 3 Char"/>
    <w:link w:val="Heading3"/>
    <w:uiPriority w:val="2"/>
    <w:rsid w:val="00151BF5"/>
    <w:rPr>
      <w:rFonts w:eastAsia="Times New Roman" w:cs="Times New Roman"/>
      <w:b/>
      <w:bCs/>
      <w:szCs w:val="26"/>
      <w:lang w:val="en-GB"/>
    </w:rPr>
  </w:style>
  <w:style w:type="character" w:customStyle="1" w:styleId="Heading2Char">
    <w:name w:val="Heading 2 Char"/>
    <w:link w:val="Heading2"/>
    <w:uiPriority w:val="99"/>
    <w:rsid w:val="00CD60AF"/>
    <w:rPr>
      <w:rFonts w:eastAsia="Times New Roman" w:cs="Times New Roman"/>
      <w:b/>
      <w:bCs/>
      <w:iCs/>
      <w:szCs w:val="28"/>
      <w:lang w:val="en-GB"/>
    </w:rPr>
  </w:style>
  <w:style w:type="character" w:customStyle="1" w:styleId="Heading1Char">
    <w:name w:val="Heading 1 Char"/>
    <w:basedOn w:val="DefaultParagraphFont"/>
    <w:link w:val="Heading1"/>
    <w:rsid w:val="001B207A"/>
    <w:rPr>
      <w:rFonts w:eastAsia="Times New Roman" w:cs="Arial"/>
      <w:b/>
      <w:bCs/>
      <w:kern w:val="32"/>
      <w:sz w:val="28"/>
      <w:szCs w:val="32"/>
      <w:lang w:val="en-GB" w:eastAsia="en-NZ"/>
    </w:rPr>
  </w:style>
  <w:style w:type="paragraph" w:styleId="Footer">
    <w:name w:val="footer"/>
    <w:basedOn w:val="Normal"/>
    <w:link w:val="FooterChar"/>
    <w:unhideWhenUsed/>
    <w:rsid w:val="009425A3"/>
    <w:pPr>
      <w:tabs>
        <w:tab w:val="center" w:pos="4153"/>
        <w:tab w:val="right" w:pos="8306"/>
      </w:tabs>
    </w:pPr>
  </w:style>
  <w:style w:type="character" w:customStyle="1" w:styleId="FooterChar">
    <w:name w:val="Footer Char"/>
    <w:basedOn w:val="DefaultParagraphFont"/>
    <w:link w:val="Footer"/>
    <w:rsid w:val="005210A2"/>
    <w:rPr>
      <w:rFonts w:eastAsia="Times New Roman" w:cs="Times New Roman"/>
      <w:sz w:val="22"/>
      <w:szCs w:val="20"/>
      <w:lang w:val="en-GB"/>
    </w:rPr>
  </w:style>
  <w:style w:type="character" w:styleId="Hyperlink">
    <w:name w:val="Hyperlink"/>
    <w:basedOn w:val="DefaultParagraphFont"/>
    <w:uiPriority w:val="99"/>
    <w:rsid w:val="009425A3"/>
    <w:rPr>
      <w:rFonts w:cs="Times New Roman"/>
      <w:color w:val="0000FF"/>
      <w:u w:val="single"/>
    </w:rPr>
  </w:style>
  <w:style w:type="character" w:styleId="CommentReference">
    <w:name w:val="annotation reference"/>
    <w:basedOn w:val="DefaultParagraphFont"/>
    <w:uiPriority w:val="99"/>
    <w:semiHidden/>
    <w:unhideWhenUsed/>
    <w:rsid w:val="009425A3"/>
    <w:rPr>
      <w:sz w:val="16"/>
      <w:szCs w:val="16"/>
    </w:rPr>
  </w:style>
  <w:style w:type="paragraph" w:styleId="CommentText">
    <w:name w:val="annotation text"/>
    <w:basedOn w:val="Normal"/>
    <w:link w:val="CommentTextChar"/>
    <w:uiPriority w:val="99"/>
    <w:semiHidden/>
    <w:unhideWhenUsed/>
    <w:rsid w:val="009425A3"/>
  </w:style>
  <w:style w:type="character" w:customStyle="1" w:styleId="CommentTextChar">
    <w:name w:val="Comment Text Char"/>
    <w:basedOn w:val="DefaultParagraphFont"/>
    <w:link w:val="CommentText"/>
    <w:uiPriority w:val="99"/>
    <w:semiHidden/>
    <w:rsid w:val="009425A3"/>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unhideWhenUsed/>
    <w:rsid w:val="009425A3"/>
  </w:style>
  <w:style w:type="character" w:customStyle="1" w:styleId="FootnoteTextChar">
    <w:name w:val="Footnote Text Char"/>
    <w:basedOn w:val="DefaultParagraphFont"/>
    <w:link w:val="FootnoteText"/>
    <w:semiHidden/>
    <w:rsid w:val="009425A3"/>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9425A3"/>
    <w:rPr>
      <w:vertAlign w:val="superscript"/>
    </w:rPr>
  </w:style>
  <w:style w:type="table" w:styleId="TableGrid">
    <w:name w:val="Table Grid"/>
    <w:basedOn w:val="TableNormal"/>
    <w:uiPriority w:val="59"/>
    <w:rsid w:val="009425A3"/>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5A3"/>
    <w:rPr>
      <w:rFonts w:ascii="Tahoma" w:hAnsi="Tahoma" w:cs="Tahoma"/>
      <w:sz w:val="16"/>
      <w:szCs w:val="16"/>
    </w:rPr>
  </w:style>
  <w:style w:type="character" w:customStyle="1" w:styleId="BalloonTextChar">
    <w:name w:val="Balloon Text Char"/>
    <w:basedOn w:val="DefaultParagraphFont"/>
    <w:link w:val="BalloonText"/>
    <w:uiPriority w:val="99"/>
    <w:semiHidden/>
    <w:rsid w:val="009425A3"/>
    <w:rPr>
      <w:rFonts w:ascii="Tahoma" w:eastAsia="Times New Roman" w:hAnsi="Tahoma" w:cs="Tahoma"/>
      <w:sz w:val="16"/>
      <w:szCs w:val="16"/>
      <w:lang w:val="en-GB"/>
    </w:rPr>
  </w:style>
  <w:style w:type="character" w:styleId="Emphasis">
    <w:name w:val="Emphasis"/>
    <w:basedOn w:val="DefaultParagraphFont"/>
    <w:uiPriority w:val="20"/>
    <w:qFormat/>
    <w:rsid w:val="00BE37B6"/>
    <w:rPr>
      <w:b/>
      <w:i/>
      <w:iCs/>
    </w:rPr>
  </w:style>
  <w:style w:type="paragraph" w:styleId="Title">
    <w:name w:val="Title"/>
    <w:basedOn w:val="Normal"/>
    <w:next w:val="Normal"/>
    <w:link w:val="TitleChar"/>
    <w:uiPriority w:val="10"/>
    <w:qFormat/>
    <w:rsid w:val="00536430"/>
    <w:pPr>
      <w:spacing w:after="300"/>
      <w:contextualSpacing/>
      <w:jc w:val="center"/>
    </w:pPr>
    <w:rPr>
      <w:rFonts w:eastAsiaTheme="majorEastAsia" w:cstheme="majorBidi"/>
      <w:b/>
      <w:caps/>
      <w:spacing w:val="5"/>
      <w:kern w:val="28"/>
      <w:sz w:val="36"/>
      <w:szCs w:val="52"/>
    </w:rPr>
  </w:style>
  <w:style w:type="character" w:customStyle="1" w:styleId="TitleChar">
    <w:name w:val="Title Char"/>
    <w:basedOn w:val="DefaultParagraphFont"/>
    <w:link w:val="Title"/>
    <w:uiPriority w:val="10"/>
    <w:rsid w:val="00536430"/>
    <w:rPr>
      <w:rFonts w:eastAsiaTheme="majorEastAsia" w:cstheme="majorBidi"/>
      <w:b/>
      <w:caps/>
      <w:spacing w:val="5"/>
      <w:kern w:val="28"/>
      <w:sz w:val="36"/>
      <w:szCs w:val="52"/>
      <w:lang w:val="en-GB"/>
    </w:rPr>
  </w:style>
  <w:style w:type="character" w:styleId="SubtleEmphasis">
    <w:name w:val="Subtle Emphasis"/>
    <w:basedOn w:val="DefaultParagraphFont"/>
    <w:uiPriority w:val="19"/>
    <w:qFormat/>
    <w:rsid w:val="009425A3"/>
    <w:rPr>
      <w:i/>
      <w:iCs/>
      <w:color w:val="auto"/>
    </w:rPr>
  </w:style>
  <w:style w:type="paragraph" w:styleId="ListParagraph">
    <w:name w:val="List Paragraph"/>
    <w:basedOn w:val="Normal"/>
    <w:uiPriority w:val="99"/>
    <w:qFormat/>
    <w:rsid w:val="00A211F1"/>
    <w:pPr>
      <w:numPr>
        <w:numId w:val="9"/>
      </w:numPr>
      <w:spacing w:before="120"/>
      <w:contextualSpacing/>
    </w:pPr>
  </w:style>
  <w:style w:type="paragraph" w:customStyle="1" w:styleId="2ListParagraph">
    <w:name w:val="2List Paragraph"/>
    <w:basedOn w:val="ListParagraph"/>
    <w:next w:val="Normal"/>
    <w:uiPriority w:val="4"/>
    <w:qFormat/>
    <w:rsid w:val="00223D64"/>
    <w:pPr>
      <w:numPr>
        <w:numId w:val="10"/>
      </w:numPr>
    </w:pPr>
  </w:style>
  <w:style w:type="character" w:styleId="BookTitle">
    <w:name w:val="Book Title"/>
    <w:basedOn w:val="DefaultParagraphFont"/>
    <w:uiPriority w:val="33"/>
    <w:qFormat/>
    <w:rsid w:val="00223D64"/>
    <w:rPr>
      <w:b/>
      <w:bCs/>
      <w:smallCaps/>
      <w:spacing w:val="5"/>
    </w:rPr>
  </w:style>
  <w:style w:type="character" w:styleId="Strong">
    <w:name w:val="Strong"/>
    <w:basedOn w:val="DefaultParagraphFont"/>
    <w:uiPriority w:val="22"/>
    <w:qFormat/>
    <w:rsid w:val="00536430"/>
    <w:rPr>
      <w:b/>
      <w:bCs/>
    </w:rPr>
  </w:style>
  <w:style w:type="paragraph" w:styleId="Header">
    <w:name w:val="header"/>
    <w:basedOn w:val="Normal"/>
    <w:link w:val="HeaderChar"/>
    <w:uiPriority w:val="99"/>
    <w:unhideWhenUsed/>
    <w:rsid w:val="00273846"/>
    <w:pPr>
      <w:tabs>
        <w:tab w:val="center" w:pos="4513"/>
        <w:tab w:val="right" w:pos="9026"/>
      </w:tabs>
    </w:pPr>
  </w:style>
  <w:style w:type="character" w:customStyle="1" w:styleId="HeaderChar">
    <w:name w:val="Header Char"/>
    <w:basedOn w:val="DefaultParagraphFont"/>
    <w:link w:val="Header"/>
    <w:uiPriority w:val="99"/>
    <w:rsid w:val="00273846"/>
    <w:rPr>
      <w:rFonts w:eastAsia="Times New Roman" w:cs="Times New Roman"/>
      <w:sz w:val="22"/>
      <w:szCs w:val="20"/>
      <w:lang w:val="en-GB"/>
    </w:rPr>
  </w:style>
  <w:style w:type="paragraph" w:styleId="CommentSubject">
    <w:name w:val="annotation subject"/>
    <w:basedOn w:val="CommentText"/>
    <w:next w:val="CommentText"/>
    <w:link w:val="CommentSubjectChar"/>
    <w:uiPriority w:val="99"/>
    <w:semiHidden/>
    <w:unhideWhenUsed/>
    <w:rsid w:val="002814F2"/>
    <w:rPr>
      <w:b/>
      <w:bCs/>
      <w:sz w:val="20"/>
    </w:rPr>
  </w:style>
  <w:style w:type="character" w:customStyle="1" w:styleId="CommentSubjectChar">
    <w:name w:val="Comment Subject Char"/>
    <w:basedOn w:val="CommentTextChar"/>
    <w:link w:val="CommentSubject"/>
    <w:uiPriority w:val="99"/>
    <w:semiHidden/>
    <w:rsid w:val="002814F2"/>
    <w:rPr>
      <w:rFonts w:ascii="Times New Roman" w:eastAsia="Times New Roman" w:hAnsi="Times New Roman" w:cs="Times New Roman"/>
      <w:b/>
      <w:bCs/>
      <w:sz w:val="20"/>
      <w:szCs w:val="20"/>
      <w:lang w:val="en-GB"/>
    </w:rPr>
  </w:style>
  <w:style w:type="paragraph" w:customStyle="1" w:styleId="bullet">
    <w:name w:val="bullet"/>
    <w:basedOn w:val="Normal"/>
    <w:unhideWhenUsed/>
    <w:rsid w:val="001C0948"/>
    <w:pPr>
      <w:spacing w:before="100" w:beforeAutospacing="1" w:after="100" w:afterAutospacing="1"/>
    </w:pPr>
    <w:rPr>
      <w:rFonts w:ascii="Times New Roman" w:hAnsi="Times New Roman"/>
      <w:szCs w:val="24"/>
      <w:lang w:val="en-NZ" w:eastAsia="en-NZ"/>
    </w:rPr>
  </w:style>
  <w:style w:type="paragraph" w:styleId="BodyTextIndent3">
    <w:name w:val="Body Text Indent 3"/>
    <w:basedOn w:val="Normal"/>
    <w:link w:val="BodyTextIndent3Char"/>
    <w:uiPriority w:val="99"/>
    <w:rsid w:val="00870C17"/>
    <w:pPr>
      <w:ind w:left="2220"/>
      <w:jc w:val="both"/>
    </w:pPr>
    <w:rPr>
      <w:rFonts w:ascii="Times New Roman" w:hAnsi="Times New Roman"/>
      <w:lang w:val="en-NZ"/>
    </w:rPr>
  </w:style>
  <w:style w:type="character" w:customStyle="1" w:styleId="BodyTextIndent3Char">
    <w:name w:val="Body Text Indent 3 Char"/>
    <w:basedOn w:val="DefaultParagraphFont"/>
    <w:link w:val="BodyTextIndent3"/>
    <w:uiPriority w:val="99"/>
    <w:rsid w:val="00870C17"/>
    <w:rPr>
      <w:rFonts w:ascii="Times New Roman" w:eastAsia="Times New Roman" w:hAnsi="Times New Roman" w:cs="Times New Roman"/>
      <w:szCs w:val="20"/>
    </w:rPr>
  </w:style>
  <w:style w:type="character" w:styleId="PageNumber">
    <w:name w:val="page number"/>
    <w:basedOn w:val="DefaultParagraphFont"/>
    <w:unhideWhenUsed/>
    <w:rsid w:val="00016749"/>
  </w:style>
  <w:style w:type="paragraph" w:customStyle="1" w:styleId="BulletPoints">
    <w:name w:val="Bullet Points"/>
    <w:basedOn w:val="Normal"/>
    <w:unhideWhenUsed/>
    <w:rsid w:val="005E7624"/>
    <w:pPr>
      <w:ind w:left="720" w:hanging="720"/>
    </w:pPr>
    <w:rPr>
      <w:rFonts w:ascii="Times New Roman" w:hAnsi="Times New Roman"/>
      <w:lang w:val="en-AU" w:eastAsia="en-GB"/>
    </w:rPr>
  </w:style>
  <w:style w:type="paragraph" w:styleId="Revision">
    <w:name w:val="Revision"/>
    <w:hidden/>
    <w:uiPriority w:val="99"/>
    <w:semiHidden/>
    <w:rsid w:val="00A51411"/>
    <w:pPr>
      <w:spacing w:after="0" w:line="240" w:lineRule="auto"/>
    </w:pPr>
    <w:rPr>
      <w:rFonts w:eastAsia="Times New Roman" w:cs="Times New Roman"/>
      <w:sz w:val="22"/>
      <w:szCs w:val="20"/>
      <w:lang w:val="en-GB"/>
    </w:rPr>
  </w:style>
  <w:style w:type="paragraph" w:styleId="BodyText2">
    <w:name w:val="Body Text 2"/>
    <w:basedOn w:val="Normal"/>
    <w:link w:val="BodyText2Char"/>
    <w:uiPriority w:val="99"/>
    <w:rsid w:val="00E05EB6"/>
    <w:pPr>
      <w:spacing w:after="120"/>
      <w:ind w:left="142"/>
    </w:pPr>
  </w:style>
  <w:style w:type="character" w:customStyle="1" w:styleId="BodyText2Char">
    <w:name w:val="Body Text 2 Char"/>
    <w:basedOn w:val="DefaultParagraphFont"/>
    <w:link w:val="BodyText2"/>
    <w:uiPriority w:val="99"/>
    <w:rsid w:val="00E05EB6"/>
    <w:rPr>
      <w:rFonts w:eastAsia="Times New Roman" w:cs="Times New Roman"/>
      <w:szCs w:val="20"/>
      <w:lang w:val="en-GB"/>
    </w:rPr>
  </w:style>
  <w:style w:type="character" w:customStyle="1" w:styleId="Heading5Char">
    <w:name w:val="Heading 5 Char"/>
    <w:basedOn w:val="DefaultParagraphFont"/>
    <w:link w:val="Heading5"/>
    <w:uiPriority w:val="6"/>
    <w:rsid w:val="005210A2"/>
    <w:rPr>
      <w:rFonts w:eastAsia="Times New Roman" w:cs="Times New Roman"/>
      <w:sz w:val="22"/>
      <w:szCs w:val="20"/>
      <w:lang w:val="en-GB"/>
    </w:rPr>
  </w:style>
  <w:style w:type="character" w:customStyle="1" w:styleId="Heading6Char">
    <w:name w:val="Heading 6 Char"/>
    <w:basedOn w:val="DefaultParagraphFont"/>
    <w:link w:val="Heading6"/>
    <w:uiPriority w:val="7"/>
    <w:rsid w:val="005210A2"/>
    <w:rPr>
      <w:rFonts w:eastAsia="Times New Roman" w:cs="Times New Roman"/>
      <w:i/>
      <w:sz w:val="22"/>
      <w:szCs w:val="20"/>
      <w:lang w:val="en-GB"/>
    </w:rPr>
  </w:style>
  <w:style w:type="character" w:customStyle="1" w:styleId="Heading7Char">
    <w:name w:val="Heading 7 Char"/>
    <w:basedOn w:val="DefaultParagraphFont"/>
    <w:link w:val="Heading7"/>
    <w:uiPriority w:val="8"/>
    <w:rsid w:val="005210A2"/>
    <w:rPr>
      <w:rFonts w:eastAsia="Times New Roman" w:cs="Times New Roman"/>
      <w:sz w:val="20"/>
      <w:szCs w:val="20"/>
      <w:lang w:val="en-GB"/>
    </w:rPr>
  </w:style>
  <w:style w:type="character" w:customStyle="1" w:styleId="Heading8Char">
    <w:name w:val="Heading 8 Char"/>
    <w:basedOn w:val="DefaultParagraphFont"/>
    <w:link w:val="Heading8"/>
    <w:uiPriority w:val="9"/>
    <w:rsid w:val="005210A2"/>
    <w:rPr>
      <w:rFonts w:eastAsia="Times New Roman" w:cs="Times New Roman"/>
      <w:i/>
      <w:sz w:val="20"/>
      <w:szCs w:val="20"/>
      <w:lang w:val="en-GB"/>
    </w:rPr>
  </w:style>
  <w:style w:type="paragraph" w:customStyle="1" w:styleId="Tablelist">
    <w:name w:val="Table list"/>
    <w:basedOn w:val="ListParagraph"/>
    <w:uiPriority w:val="99"/>
    <w:qFormat/>
    <w:rsid w:val="00905184"/>
    <w:rPr>
      <w:sz w:val="22"/>
    </w:rPr>
  </w:style>
  <w:style w:type="paragraph" w:customStyle="1" w:styleId="Tablenormal0">
    <w:name w:val="Table normal"/>
    <w:basedOn w:val="Normal"/>
    <w:uiPriority w:val="4"/>
    <w:qFormat/>
    <w:rsid w:val="00905184"/>
    <w:rPr>
      <w:sz w:val="22"/>
    </w:rPr>
  </w:style>
  <w:style w:type="paragraph" w:styleId="NormalIndent">
    <w:name w:val="Normal Indent"/>
    <w:basedOn w:val="Normal"/>
    <w:unhideWhenUsed/>
    <w:rsid w:val="00227D0F"/>
    <w:pPr>
      <w:tabs>
        <w:tab w:val="left" w:pos="709"/>
        <w:tab w:val="left" w:pos="1418"/>
      </w:tabs>
      <w:ind w:left="720"/>
    </w:pPr>
    <w:rPr>
      <w:rFonts w:ascii="Times New Roman" w:hAnsi="Times New Roman"/>
    </w:rPr>
  </w:style>
  <w:style w:type="paragraph" w:styleId="BodyText">
    <w:name w:val="Body Text"/>
    <w:basedOn w:val="Normal"/>
    <w:link w:val="BodyTextChar"/>
    <w:uiPriority w:val="6"/>
    <w:qFormat/>
    <w:rsid w:val="00151BF5"/>
    <w:pPr>
      <w:spacing w:after="120"/>
      <w:ind w:left="284"/>
    </w:pPr>
  </w:style>
  <w:style w:type="character" w:customStyle="1" w:styleId="BodyTextChar">
    <w:name w:val="Body Text Char"/>
    <w:basedOn w:val="DefaultParagraphFont"/>
    <w:link w:val="BodyText"/>
    <w:uiPriority w:val="6"/>
    <w:rsid w:val="00151BF5"/>
    <w:rPr>
      <w:rFonts w:eastAsia="Times New Roman" w:cs="Times New Roman"/>
      <w:szCs w:val="20"/>
      <w:lang w:val="en-GB"/>
    </w:rPr>
  </w:style>
  <w:style w:type="character" w:styleId="HTMLCite">
    <w:name w:val="HTML Cite"/>
    <w:basedOn w:val="DefaultParagraphFont"/>
    <w:uiPriority w:val="99"/>
    <w:semiHidden/>
    <w:unhideWhenUsed/>
    <w:rsid w:val="00DC0F4B"/>
    <w:rPr>
      <w:i/>
      <w:iCs/>
    </w:rPr>
  </w:style>
  <w:style w:type="paragraph" w:styleId="TOC2">
    <w:name w:val="toc 2"/>
    <w:basedOn w:val="Normal"/>
    <w:next w:val="Normal"/>
    <w:autoRedefine/>
    <w:uiPriority w:val="39"/>
    <w:unhideWhenUsed/>
    <w:rsid w:val="001F783D"/>
    <w:rPr>
      <w:rFonts w:asciiTheme="minorHAnsi" w:hAnsiTheme="minorHAnsi"/>
      <w:b/>
      <w:bCs/>
      <w:smallCaps/>
      <w:sz w:val="22"/>
      <w:szCs w:val="22"/>
    </w:rPr>
  </w:style>
  <w:style w:type="paragraph" w:styleId="TOC1">
    <w:name w:val="toc 1"/>
    <w:basedOn w:val="Normal"/>
    <w:next w:val="Normal"/>
    <w:autoRedefine/>
    <w:uiPriority w:val="39"/>
    <w:unhideWhenUsed/>
    <w:rsid w:val="001F783D"/>
    <w:pPr>
      <w:spacing w:before="360" w:after="360"/>
    </w:pPr>
    <w:rPr>
      <w:rFonts w:asciiTheme="minorHAnsi" w:hAnsiTheme="minorHAnsi"/>
      <w:b/>
      <w:bCs/>
      <w:caps/>
      <w:sz w:val="22"/>
      <w:szCs w:val="22"/>
      <w:u w:val="single"/>
    </w:rPr>
  </w:style>
  <w:style w:type="paragraph" w:styleId="TOC3">
    <w:name w:val="toc 3"/>
    <w:basedOn w:val="Normal"/>
    <w:next w:val="Normal"/>
    <w:autoRedefine/>
    <w:uiPriority w:val="39"/>
    <w:unhideWhenUsed/>
    <w:rsid w:val="001F783D"/>
    <w:rPr>
      <w:rFonts w:asciiTheme="minorHAnsi" w:hAnsiTheme="minorHAnsi"/>
      <w:smallCaps/>
      <w:sz w:val="22"/>
      <w:szCs w:val="22"/>
    </w:rPr>
  </w:style>
  <w:style w:type="paragraph" w:styleId="TOC4">
    <w:name w:val="toc 4"/>
    <w:basedOn w:val="Normal"/>
    <w:next w:val="Normal"/>
    <w:autoRedefine/>
    <w:uiPriority w:val="39"/>
    <w:unhideWhenUsed/>
    <w:rsid w:val="001F783D"/>
    <w:rPr>
      <w:rFonts w:asciiTheme="minorHAnsi" w:hAnsiTheme="minorHAnsi"/>
      <w:sz w:val="22"/>
      <w:szCs w:val="22"/>
    </w:rPr>
  </w:style>
  <w:style w:type="paragraph" w:styleId="TOC5">
    <w:name w:val="toc 5"/>
    <w:basedOn w:val="Normal"/>
    <w:next w:val="Normal"/>
    <w:autoRedefine/>
    <w:uiPriority w:val="39"/>
    <w:unhideWhenUsed/>
    <w:rsid w:val="001F783D"/>
    <w:rPr>
      <w:rFonts w:asciiTheme="minorHAnsi" w:hAnsiTheme="minorHAnsi"/>
      <w:sz w:val="22"/>
      <w:szCs w:val="22"/>
    </w:rPr>
  </w:style>
  <w:style w:type="paragraph" w:styleId="TOC6">
    <w:name w:val="toc 6"/>
    <w:basedOn w:val="Normal"/>
    <w:next w:val="Normal"/>
    <w:autoRedefine/>
    <w:uiPriority w:val="39"/>
    <w:unhideWhenUsed/>
    <w:rsid w:val="001F783D"/>
    <w:rPr>
      <w:rFonts w:asciiTheme="minorHAnsi" w:hAnsiTheme="minorHAnsi"/>
      <w:sz w:val="22"/>
      <w:szCs w:val="22"/>
    </w:rPr>
  </w:style>
  <w:style w:type="paragraph" w:styleId="TOC7">
    <w:name w:val="toc 7"/>
    <w:basedOn w:val="Normal"/>
    <w:next w:val="Normal"/>
    <w:autoRedefine/>
    <w:uiPriority w:val="39"/>
    <w:unhideWhenUsed/>
    <w:rsid w:val="001F783D"/>
    <w:rPr>
      <w:rFonts w:asciiTheme="minorHAnsi" w:hAnsiTheme="minorHAnsi"/>
      <w:sz w:val="22"/>
      <w:szCs w:val="22"/>
    </w:rPr>
  </w:style>
  <w:style w:type="paragraph" w:styleId="TOC8">
    <w:name w:val="toc 8"/>
    <w:basedOn w:val="Normal"/>
    <w:next w:val="Normal"/>
    <w:autoRedefine/>
    <w:uiPriority w:val="39"/>
    <w:unhideWhenUsed/>
    <w:rsid w:val="001F783D"/>
    <w:rPr>
      <w:rFonts w:asciiTheme="minorHAnsi" w:hAnsiTheme="minorHAnsi"/>
      <w:sz w:val="22"/>
      <w:szCs w:val="22"/>
    </w:rPr>
  </w:style>
  <w:style w:type="paragraph" w:styleId="TOC9">
    <w:name w:val="toc 9"/>
    <w:basedOn w:val="Normal"/>
    <w:next w:val="Normal"/>
    <w:autoRedefine/>
    <w:uiPriority w:val="39"/>
    <w:unhideWhenUsed/>
    <w:rsid w:val="001F783D"/>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1869">
      <w:bodyDiv w:val="1"/>
      <w:marLeft w:val="0"/>
      <w:marRight w:val="0"/>
      <w:marTop w:val="0"/>
      <w:marBottom w:val="0"/>
      <w:divBdr>
        <w:top w:val="none" w:sz="0" w:space="0" w:color="auto"/>
        <w:left w:val="none" w:sz="0" w:space="0" w:color="auto"/>
        <w:bottom w:val="none" w:sz="0" w:space="0" w:color="auto"/>
        <w:right w:val="none" w:sz="0" w:space="0" w:color="auto"/>
      </w:divBdr>
    </w:div>
    <w:div w:id="357388609">
      <w:bodyDiv w:val="1"/>
      <w:marLeft w:val="0"/>
      <w:marRight w:val="0"/>
      <w:marTop w:val="0"/>
      <w:marBottom w:val="0"/>
      <w:divBdr>
        <w:top w:val="none" w:sz="0" w:space="0" w:color="auto"/>
        <w:left w:val="none" w:sz="0" w:space="0" w:color="auto"/>
        <w:bottom w:val="none" w:sz="0" w:space="0" w:color="auto"/>
        <w:right w:val="none" w:sz="0" w:space="0" w:color="auto"/>
      </w:divBdr>
    </w:div>
    <w:div w:id="363213525">
      <w:bodyDiv w:val="1"/>
      <w:marLeft w:val="0"/>
      <w:marRight w:val="0"/>
      <w:marTop w:val="0"/>
      <w:marBottom w:val="0"/>
      <w:divBdr>
        <w:top w:val="none" w:sz="0" w:space="0" w:color="auto"/>
        <w:left w:val="none" w:sz="0" w:space="0" w:color="auto"/>
        <w:bottom w:val="none" w:sz="0" w:space="0" w:color="auto"/>
        <w:right w:val="none" w:sz="0" w:space="0" w:color="auto"/>
      </w:divBdr>
    </w:div>
    <w:div w:id="506023539">
      <w:bodyDiv w:val="1"/>
      <w:marLeft w:val="0"/>
      <w:marRight w:val="0"/>
      <w:marTop w:val="0"/>
      <w:marBottom w:val="0"/>
      <w:divBdr>
        <w:top w:val="none" w:sz="0" w:space="0" w:color="auto"/>
        <w:left w:val="none" w:sz="0" w:space="0" w:color="auto"/>
        <w:bottom w:val="none" w:sz="0" w:space="0" w:color="auto"/>
        <w:right w:val="none" w:sz="0" w:space="0" w:color="auto"/>
      </w:divBdr>
    </w:div>
    <w:div w:id="521016994">
      <w:bodyDiv w:val="1"/>
      <w:marLeft w:val="0"/>
      <w:marRight w:val="0"/>
      <w:marTop w:val="0"/>
      <w:marBottom w:val="0"/>
      <w:divBdr>
        <w:top w:val="none" w:sz="0" w:space="0" w:color="auto"/>
        <w:left w:val="none" w:sz="0" w:space="0" w:color="auto"/>
        <w:bottom w:val="none" w:sz="0" w:space="0" w:color="auto"/>
        <w:right w:val="none" w:sz="0" w:space="0" w:color="auto"/>
      </w:divBdr>
    </w:div>
    <w:div w:id="1209536931">
      <w:bodyDiv w:val="1"/>
      <w:marLeft w:val="0"/>
      <w:marRight w:val="0"/>
      <w:marTop w:val="0"/>
      <w:marBottom w:val="0"/>
      <w:divBdr>
        <w:top w:val="none" w:sz="0" w:space="0" w:color="auto"/>
        <w:left w:val="none" w:sz="0" w:space="0" w:color="auto"/>
        <w:bottom w:val="none" w:sz="0" w:space="0" w:color="auto"/>
        <w:right w:val="none" w:sz="0" w:space="0" w:color="auto"/>
      </w:divBdr>
      <w:divsChild>
        <w:div w:id="1513647774">
          <w:marLeft w:val="0"/>
          <w:marRight w:val="0"/>
          <w:marTop w:val="0"/>
          <w:marBottom w:val="0"/>
          <w:divBdr>
            <w:top w:val="none" w:sz="0" w:space="0" w:color="auto"/>
            <w:left w:val="none" w:sz="0" w:space="0" w:color="auto"/>
            <w:bottom w:val="none" w:sz="0" w:space="0" w:color="auto"/>
            <w:right w:val="none" w:sz="0" w:space="0" w:color="auto"/>
          </w:divBdr>
          <w:divsChild>
            <w:div w:id="104038214">
              <w:marLeft w:val="0"/>
              <w:marRight w:val="0"/>
              <w:marTop w:val="0"/>
              <w:marBottom w:val="0"/>
              <w:divBdr>
                <w:top w:val="none" w:sz="0" w:space="0" w:color="auto"/>
                <w:left w:val="none" w:sz="0" w:space="0" w:color="auto"/>
                <w:bottom w:val="none" w:sz="0" w:space="0" w:color="auto"/>
                <w:right w:val="none" w:sz="0" w:space="0" w:color="auto"/>
              </w:divBdr>
              <w:divsChild>
                <w:div w:id="1183133512">
                  <w:marLeft w:val="0"/>
                  <w:marRight w:val="0"/>
                  <w:marTop w:val="0"/>
                  <w:marBottom w:val="0"/>
                  <w:divBdr>
                    <w:top w:val="none" w:sz="0" w:space="0" w:color="auto"/>
                    <w:left w:val="none" w:sz="0" w:space="0" w:color="auto"/>
                    <w:bottom w:val="none" w:sz="0" w:space="0" w:color="auto"/>
                    <w:right w:val="none" w:sz="0" w:space="0" w:color="auto"/>
                  </w:divBdr>
                  <w:divsChild>
                    <w:div w:id="906257547">
                      <w:marLeft w:val="0"/>
                      <w:marRight w:val="0"/>
                      <w:marTop w:val="0"/>
                      <w:marBottom w:val="0"/>
                      <w:divBdr>
                        <w:top w:val="none" w:sz="0" w:space="0" w:color="auto"/>
                        <w:left w:val="none" w:sz="0" w:space="0" w:color="auto"/>
                        <w:bottom w:val="none" w:sz="0" w:space="0" w:color="auto"/>
                        <w:right w:val="none" w:sz="0" w:space="0" w:color="auto"/>
                      </w:divBdr>
                      <w:divsChild>
                        <w:div w:id="2142115896">
                          <w:marLeft w:val="0"/>
                          <w:marRight w:val="0"/>
                          <w:marTop w:val="0"/>
                          <w:marBottom w:val="0"/>
                          <w:divBdr>
                            <w:top w:val="none" w:sz="0" w:space="0" w:color="auto"/>
                            <w:left w:val="none" w:sz="0" w:space="0" w:color="auto"/>
                            <w:bottom w:val="none" w:sz="0" w:space="0" w:color="auto"/>
                            <w:right w:val="none" w:sz="0" w:space="0" w:color="auto"/>
                          </w:divBdr>
                          <w:divsChild>
                            <w:div w:id="323054456">
                              <w:marLeft w:val="0"/>
                              <w:marRight w:val="0"/>
                              <w:marTop w:val="0"/>
                              <w:marBottom w:val="0"/>
                              <w:divBdr>
                                <w:top w:val="none" w:sz="0" w:space="0" w:color="auto"/>
                                <w:left w:val="none" w:sz="0" w:space="0" w:color="auto"/>
                                <w:bottom w:val="none" w:sz="0" w:space="0" w:color="auto"/>
                                <w:right w:val="none" w:sz="0" w:space="0" w:color="auto"/>
                              </w:divBdr>
                              <w:divsChild>
                                <w:div w:id="513308374">
                                  <w:marLeft w:val="0"/>
                                  <w:marRight w:val="0"/>
                                  <w:marTop w:val="0"/>
                                  <w:marBottom w:val="0"/>
                                  <w:divBdr>
                                    <w:top w:val="none" w:sz="0" w:space="0" w:color="auto"/>
                                    <w:left w:val="none" w:sz="0" w:space="0" w:color="auto"/>
                                    <w:bottom w:val="none" w:sz="0" w:space="0" w:color="auto"/>
                                    <w:right w:val="none" w:sz="0" w:space="0" w:color="auto"/>
                                  </w:divBdr>
                                  <w:divsChild>
                                    <w:div w:id="1545824010">
                                      <w:marLeft w:val="0"/>
                                      <w:marRight w:val="0"/>
                                      <w:marTop w:val="0"/>
                                      <w:marBottom w:val="0"/>
                                      <w:divBdr>
                                        <w:top w:val="none" w:sz="0" w:space="0" w:color="auto"/>
                                        <w:left w:val="none" w:sz="0" w:space="0" w:color="auto"/>
                                        <w:bottom w:val="none" w:sz="0" w:space="0" w:color="auto"/>
                                        <w:right w:val="none" w:sz="0" w:space="0" w:color="auto"/>
                                      </w:divBdr>
                                      <w:divsChild>
                                        <w:div w:id="1008368604">
                                          <w:marLeft w:val="0"/>
                                          <w:marRight w:val="0"/>
                                          <w:marTop w:val="0"/>
                                          <w:marBottom w:val="0"/>
                                          <w:divBdr>
                                            <w:top w:val="none" w:sz="0" w:space="0" w:color="auto"/>
                                            <w:left w:val="none" w:sz="0" w:space="0" w:color="auto"/>
                                            <w:bottom w:val="none" w:sz="0" w:space="0" w:color="auto"/>
                                            <w:right w:val="none" w:sz="0" w:space="0" w:color="auto"/>
                                          </w:divBdr>
                                          <w:divsChild>
                                            <w:div w:id="1924339418">
                                              <w:marLeft w:val="0"/>
                                              <w:marRight w:val="0"/>
                                              <w:marTop w:val="0"/>
                                              <w:marBottom w:val="0"/>
                                              <w:divBdr>
                                                <w:top w:val="none" w:sz="0" w:space="0" w:color="auto"/>
                                                <w:left w:val="none" w:sz="0" w:space="0" w:color="auto"/>
                                                <w:bottom w:val="none" w:sz="0" w:space="0" w:color="auto"/>
                                                <w:right w:val="none" w:sz="0" w:space="0" w:color="auto"/>
                                              </w:divBdr>
                                              <w:divsChild>
                                                <w:div w:id="704719501">
                                                  <w:marLeft w:val="0"/>
                                                  <w:marRight w:val="0"/>
                                                  <w:marTop w:val="0"/>
                                                  <w:marBottom w:val="0"/>
                                                  <w:divBdr>
                                                    <w:top w:val="none" w:sz="0" w:space="0" w:color="auto"/>
                                                    <w:left w:val="none" w:sz="0" w:space="0" w:color="auto"/>
                                                    <w:bottom w:val="none" w:sz="0" w:space="0" w:color="auto"/>
                                                    <w:right w:val="none" w:sz="0" w:space="0" w:color="auto"/>
                                                  </w:divBdr>
                                                  <w:divsChild>
                                                    <w:div w:id="1835561102">
                                                      <w:marLeft w:val="0"/>
                                                      <w:marRight w:val="0"/>
                                                      <w:marTop w:val="0"/>
                                                      <w:marBottom w:val="0"/>
                                                      <w:divBdr>
                                                        <w:top w:val="none" w:sz="0" w:space="0" w:color="auto"/>
                                                        <w:left w:val="none" w:sz="0" w:space="0" w:color="auto"/>
                                                        <w:bottom w:val="none" w:sz="0" w:space="0" w:color="auto"/>
                                                        <w:right w:val="none" w:sz="0" w:space="0" w:color="auto"/>
                                                      </w:divBdr>
                                                      <w:divsChild>
                                                        <w:div w:id="1325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057923">
      <w:bodyDiv w:val="1"/>
      <w:marLeft w:val="0"/>
      <w:marRight w:val="0"/>
      <w:marTop w:val="0"/>
      <w:marBottom w:val="0"/>
      <w:divBdr>
        <w:top w:val="none" w:sz="0" w:space="0" w:color="auto"/>
        <w:left w:val="none" w:sz="0" w:space="0" w:color="auto"/>
        <w:bottom w:val="none" w:sz="0" w:space="0" w:color="auto"/>
        <w:right w:val="none" w:sz="0" w:space="0" w:color="auto"/>
      </w:divBdr>
      <w:divsChild>
        <w:div w:id="372316857">
          <w:marLeft w:val="0"/>
          <w:marRight w:val="0"/>
          <w:marTop w:val="0"/>
          <w:marBottom w:val="0"/>
          <w:divBdr>
            <w:top w:val="none" w:sz="0" w:space="0" w:color="auto"/>
            <w:left w:val="none" w:sz="0" w:space="0" w:color="auto"/>
            <w:bottom w:val="none" w:sz="0" w:space="0" w:color="auto"/>
            <w:right w:val="none" w:sz="0" w:space="0" w:color="auto"/>
          </w:divBdr>
        </w:div>
        <w:div w:id="539054887">
          <w:marLeft w:val="0"/>
          <w:marRight w:val="0"/>
          <w:marTop w:val="0"/>
          <w:marBottom w:val="0"/>
          <w:divBdr>
            <w:top w:val="none" w:sz="0" w:space="0" w:color="auto"/>
            <w:left w:val="none" w:sz="0" w:space="0" w:color="auto"/>
            <w:bottom w:val="none" w:sz="0" w:space="0" w:color="auto"/>
            <w:right w:val="none" w:sz="0" w:space="0" w:color="auto"/>
          </w:divBdr>
        </w:div>
        <w:div w:id="979767518">
          <w:marLeft w:val="0"/>
          <w:marRight w:val="0"/>
          <w:marTop w:val="0"/>
          <w:marBottom w:val="0"/>
          <w:divBdr>
            <w:top w:val="none" w:sz="0" w:space="0" w:color="auto"/>
            <w:left w:val="none" w:sz="0" w:space="0" w:color="auto"/>
            <w:bottom w:val="none" w:sz="0" w:space="0" w:color="auto"/>
            <w:right w:val="none" w:sz="0" w:space="0" w:color="auto"/>
          </w:divBdr>
          <w:divsChild>
            <w:div w:id="335809375">
              <w:marLeft w:val="540"/>
              <w:marRight w:val="0"/>
              <w:marTop w:val="120"/>
              <w:marBottom w:val="0"/>
              <w:divBdr>
                <w:top w:val="none" w:sz="0" w:space="0" w:color="auto"/>
                <w:left w:val="none" w:sz="0" w:space="0" w:color="auto"/>
                <w:bottom w:val="none" w:sz="0" w:space="0" w:color="auto"/>
                <w:right w:val="none" w:sz="0" w:space="0" w:color="auto"/>
              </w:divBdr>
            </w:div>
            <w:div w:id="1778282843">
              <w:marLeft w:val="57"/>
              <w:marRight w:val="0"/>
              <w:marTop w:val="120"/>
              <w:marBottom w:val="0"/>
              <w:divBdr>
                <w:top w:val="none" w:sz="0" w:space="0" w:color="auto"/>
                <w:left w:val="none" w:sz="0" w:space="0" w:color="auto"/>
                <w:bottom w:val="none" w:sz="0" w:space="0" w:color="auto"/>
                <w:right w:val="none" w:sz="0" w:space="0" w:color="auto"/>
              </w:divBdr>
              <w:divsChild>
                <w:div w:id="1624263004">
                  <w:marLeft w:val="540"/>
                  <w:marRight w:val="0"/>
                  <w:marTop w:val="120"/>
                  <w:marBottom w:val="0"/>
                  <w:divBdr>
                    <w:top w:val="none" w:sz="0" w:space="0" w:color="auto"/>
                    <w:left w:val="none" w:sz="0" w:space="0" w:color="auto"/>
                    <w:bottom w:val="none" w:sz="0" w:space="0" w:color="auto"/>
                    <w:right w:val="none" w:sz="0" w:space="0" w:color="auto"/>
                  </w:divBdr>
                </w:div>
              </w:divsChild>
            </w:div>
            <w:div w:id="1854419195">
              <w:marLeft w:val="57"/>
              <w:marRight w:val="0"/>
              <w:marTop w:val="120"/>
              <w:marBottom w:val="0"/>
              <w:divBdr>
                <w:top w:val="none" w:sz="0" w:space="0" w:color="auto"/>
                <w:left w:val="none" w:sz="0" w:space="0" w:color="auto"/>
                <w:bottom w:val="none" w:sz="0" w:space="0" w:color="auto"/>
                <w:right w:val="none" w:sz="0" w:space="0" w:color="auto"/>
              </w:divBdr>
              <w:divsChild>
                <w:div w:id="1385177126">
                  <w:marLeft w:val="540"/>
                  <w:marRight w:val="0"/>
                  <w:marTop w:val="120"/>
                  <w:marBottom w:val="0"/>
                  <w:divBdr>
                    <w:top w:val="none" w:sz="0" w:space="0" w:color="auto"/>
                    <w:left w:val="none" w:sz="0" w:space="0" w:color="auto"/>
                    <w:bottom w:val="none" w:sz="0" w:space="0" w:color="auto"/>
                    <w:right w:val="none" w:sz="0" w:space="0" w:color="auto"/>
                  </w:divBdr>
                </w:div>
              </w:divsChild>
            </w:div>
          </w:divsChild>
        </w:div>
        <w:div w:id="1003972865">
          <w:marLeft w:val="0"/>
          <w:marRight w:val="0"/>
          <w:marTop w:val="0"/>
          <w:marBottom w:val="0"/>
          <w:divBdr>
            <w:top w:val="none" w:sz="0" w:space="0" w:color="auto"/>
            <w:left w:val="none" w:sz="0" w:space="0" w:color="auto"/>
            <w:bottom w:val="none" w:sz="0" w:space="0" w:color="auto"/>
            <w:right w:val="none" w:sz="0" w:space="0" w:color="auto"/>
          </w:divBdr>
        </w:div>
        <w:div w:id="1145587094">
          <w:marLeft w:val="0"/>
          <w:marRight w:val="0"/>
          <w:marTop w:val="0"/>
          <w:marBottom w:val="0"/>
          <w:divBdr>
            <w:top w:val="none" w:sz="0" w:space="0" w:color="auto"/>
            <w:left w:val="none" w:sz="0" w:space="0" w:color="auto"/>
            <w:bottom w:val="none" w:sz="0" w:space="0" w:color="auto"/>
            <w:right w:val="none" w:sz="0" w:space="0" w:color="auto"/>
          </w:divBdr>
          <w:divsChild>
            <w:div w:id="884679691">
              <w:marLeft w:val="0"/>
              <w:marRight w:val="0"/>
              <w:marTop w:val="0"/>
              <w:marBottom w:val="0"/>
              <w:divBdr>
                <w:top w:val="none" w:sz="0" w:space="0" w:color="auto"/>
                <w:left w:val="none" w:sz="0" w:space="0" w:color="auto"/>
                <w:bottom w:val="none" w:sz="0" w:space="0" w:color="auto"/>
                <w:right w:val="none" w:sz="0" w:space="0" w:color="auto"/>
              </w:divBdr>
            </w:div>
            <w:div w:id="1270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2934">
      <w:bodyDiv w:val="1"/>
      <w:marLeft w:val="0"/>
      <w:marRight w:val="0"/>
      <w:marTop w:val="0"/>
      <w:marBottom w:val="0"/>
      <w:divBdr>
        <w:top w:val="none" w:sz="0" w:space="0" w:color="auto"/>
        <w:left w:val="none" w:sz="0" w:space="0" w:color="auto"/>
        <w:bottom w:val="none" w:sz="0" w:space="0" w:color="auto"/>
        <w:right w:val="none" w:sz="0" w:space="0" w:color="auto"/>
      </w:divBdr>
    </w:div>
    <w:div w:id="1832333907">
      <w:bodyDiv w:val="1"/>
      <w:marLeft w:val="0"/>
      <w:marRight w:val="0"/>
      <w:marTop w:val="0"/>
      <w:marBottom w:val="0"/>
      <w:divBdr>
        <w:top w:val="none" w:sz="0" w:space="0" w:color="auto"/>
        <w:left w:val="none" w:sz="0" w:space="0" w:color="auto"/>
        <w:bottom w:val="none" w:sz="0" w:space="0" w:color="auto"/>
        <w:right w:val="none" w:sz="0" w:space="0" w:color="auto"/>
      </w:divBdr>
    </w:div>
    <w:div w:id="20072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sfl.health.govt.nz/"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www.nzma.org.nz/journal/124-1337/4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E864-BE56-41FF-81BD-1CAA32BD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4544</Words>
  <Characters>25902</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vailtiff</cp:lastModifiedBy>
  <cp:revision>2</cp:revision>
  <cp:lastPrinted>2013-12-16T19:32:00Z</cp:lastPrinted>
  <dcterms:created xsi:type="dcterms:W3CDTF">2016-05-19T22:26:00Z</dcterms:created>
  <dcterms:modified xsi:type="dcterms:W3CDTF">2016-05-19T22:26:00Z</dcterms:modified>
</cp:coreProperties>
</file>